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A3240">
      <w:pPr>
        <w:pStyle w:val="20"/>
        <w:ind w:left="0" w:leftChars="0" w:firstLine="0" w:firstLineChars="0"/>
        <w:jc w:val="center"/>
        <w:rPr>
          <w:rFonts w:hint="eastAsia" w:ascii="仿宋" w:hAnsi="仿宋" w:eastAsia="仿宋" w:cs="仿宋"/>
          <w:b/>
          <w:bCs/>
          <w:color w:val="auto"/>
          <w:sz w:val="84"/>
          <w:szCs w:val="84"/>
          <w:highlight w:val="none"/>
          <w:lang w:eastAsia="zh-CN"/>
        </w:rPr>
      </w:pPr>
    </w:p>
    <w:p w14:paraId="3A4D46A5">
      <w:pPr>
        <w:pStyle w:val="20"/>
        <w:ind w:left="0" w:leftChars="0" w:firstLine="0" w:firstLineChars="0"/>
        <w:jc w:val="center"/>
        <w:rPr>
          <w:rFonts w:hint="eastAsia" w:ascii="仿宋" w:hAnsi="仿宋" w:eastAsia="仿宋" w:cs="仿宋"/>
          <w:b/>
          <w:bCs/>
          <w:sz w:val="52"/>
          <w:szCs w:val="52"/>
          <w:highlight w:val="none"/>
          <w:lang w:val="en-US" w:eastAsia="zh-CN"/>
        </w:rPr>
      </w:pPr>
      <w:r>
        <w:rPr>
          <w:rFonts w:hint="eastAsia" w:ascii="仿宋" w:hAnsi="仿宋" w:eastAsia="仿宋" w:cs="仿宋"/>
          <w:b/>
          <w:bCs/>
          <w:color w:val="auto"/>
          <w:sz w:val="84"/>
          <w:szCs w:val="84"/>
          <w:highlight w:val="none"/>
          <w:lang w:eastAsia="zh-CN"/>
        </w:rPr>
        <w:drawing>
          <wp:inline distT="0" distB="0" distL="114300" distR="114300">
            <wp:extent cx="2693035" cy="3002280"/>
            <wp:effectExtent l="0" t="0" r="4445" b="0"/>
            <wp:docPr id="1" name="图片 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公司LOGO"/>
                    <pic:cNvPicPr>
                      <a:picLocks noChangeAspect="1"/>
                    </pic:cNvPicPr>
                  </pic:nvPicPr>
                  <pic:blipFill>
                    <a:blip r:embed="rId39"/>
                    <a:srcRect l="24214" t="16469" r="28638" b="21736"/>
                    <a:stretch>
                      <a:fillRect/>
                    </a:stretch>
                  </pic:blipFill>
                  <pic:spPr>
                    <a:xfrm>
                      <a:off x="0" y="0"/>
                      <a:ext cx="2693035" cy="3002280"/>
                    </a:xfrm>
                    <a:prstGeom prst="rect">
                      <a:avLst/>
                    </a:prstGeom>
                    <a:noFill/>
                    <a:ln>
                      <a:noFill/>
                    </a:ln>
                  </pic:spPr>
                </pic:pic>
              </a:graphicData>
            </a:graphic>
          </wp:inline>
        </w:drawing>
      </w:r>
    </w:p>
    <w:p w14:paraId="09A1A1EF">
      <w:pPr>
        <w:rPr>
          <w:rFonts w:hint="eastAsia" w:ascii="仿宋" w:hAnsi="仿宋" w:eastAsia="仿宋" w:cs="仿宋"/>
          <w:highlight w:val="none"/>
          <w:lang w:val="en-US" w:eastAsia="zh-CN"/>
        </w:rPr>
      </w:pPr>
    </w:p>
    <w:p w14:paraId="41BA432C">
      <w:pPr>
        <w:pStyle w:val="91"/>
        <w:jc w:val="center"/>
        <w:rPr>
          <w:rFonts w:hint="eastAsia" w:ascii="仿宋" w:hAnsi="仿宋" w:eastAsia="仿宋" w:cs="仿宋"/>
          <w:sz w:val="28"/>
          <w:szCs w:val="28"/>
          <w:highlight w:val="none"/>
        </w:rPr>
      </w:pPr>
      <w:r>
        <w:rPr>
          <w:rFonts w:hint="eastAsia" w:ascii="仿宋" w:hAnsi="仿宋" w:eastAsia="仿宋" w:cs="仿宋"/>
          <w:b/>
          <w:bCs/>
          <w:color w:val="auto"/>
          <w:sz w:val="84"/>
          <w:szCs w:val="84"/>
          <w:highlight w:val="none"/>
        </w:rPr>
        <w:t>招 标 文 件</w:t>
      </w:r>
    </w:p>
    <w:p w14:paraId="39B8F431">
      <w:pPr>
        <w:pStyle w:val="91"/>
        <w:rPr>
          <w:rFonts w:hint="eastAsia" w:ascii="仿宋" w:hAnsi="仿宋" w:eastAsia="仿宋" w:cs="仿宋"/>
          <w:highlight w:val="none"/>
          <w:lang w:val="zh-CN"/>
        </w:rPr>
      </w:pPr>
    </w:p>
    <w:p w14:paraId="41552F0C">
      <w:pPr>
        <w:ind w:left="0" w:leftChars="0" w:firstLine="0" w:firstLineChars="0"/>
        <w:rPr>
          <w:rFonts w:hint="eastAsia" w:ascii="仿宋" w:hAnsi="仿宋" w:eastAsia="仿宋" w:cs="仿宋"/>
          <w:highlight w:val="none"/>
          <w:lang w:val="zh-CN"/>
        </w:rPr>
      </w:pPr>
    </w:p>
    <w:p w14:paraId="71B56E20">
      <w:pPr>
        <w:tabs>
          <w:tab w:val="left" w:pos="3240"/>
          <w:tab w:val="left" w:pos="3420"/>
        </w:tabs>
        <w:spacing w:line="360" w:lineRule="auto"/>
        <w:ind w:left="2516" w:leftChars="444" w:hanging="1584" w:hangingChars="528"/>
        <w:jc w:val="left"/>
        <w:rPr>
          <w:rFonts w:hint="eastAsia" w:ascii="仿宋" w:hAnsi="仿宋" w:eastAsia="仿宋" w:cs="仿宋"/>
          <w:bCs/>
          <w:sz w:val="30"/>
          <w:szCs w:val="30"/>
          <w:highlight w:val="none"/>
          <w:lang w:val="en-US" w:eastAsia="zh-CN"/>
        </w:rPr>
      </w:pPr>
      <w:r>
        <w:rPr>
          <w:rFonts w:hint="eastAsia" w:ascii="仿宋" w:hAnsi="仿宋" w:eastAsia="仿宋" w:cs="仿宋"/>
          <w:bCs/>
          <w:sz w:val="30"/>
          <w:szCs w:val="30"/>
          <w:highlight w:val="none"/>
        </w:rPr>
        <w:t>项目名称：</w:t>
      </w:r>
      <w:r>
        <w:rPr>
          <w:rFonts w:hint="eastAsia" w:ascii="仿宋" w:hAnsi="仿宋" w:eastAsia="仿宋" w:cs="仿宋"/>
          <w:bCs/>
          <w:sz w:val="30"/>
          <w:szCs w:val="30"/>
          <w:highlight w:val="none"/>
          <w:lang w:val="en-US" w:eastAsia="zh-CN"/>
        </w:rPr>
        <w:t>2025年墨玉县市场援疆消费帮扶项目农产品</w:t>
      </w:r>
    </w:p>
    <w:p w14:paraId="1BDF9409">
      <w:pPr>
        <w:tabs>
          <w:tab w:val="left" w:pos="3240"/>
          <w:tab w:val="left" w:pos="3420"/>
        </w:tabs>
        <w:spacing w:line="360" w:lineRule="auto"/>
        <w:ind w:left="2498" w:leftChars="1154" w:hanging="75" w:hangingChars="25"/>
        <w:jc w:val="left"/>
        <w:rPr>
          <w:rFonts w:hint="eastAsia" w:ascii="仿宋" w:hAnsi="仿宋" w:eastAsia="仿宋" w:cs="仿宋"/>
          <w:bCs/>
          <w:sz w:val="30"/>
          <w:szCs w:val="30"/>
          <w:highlight w:val="none"/>
          <w:lang w:val="en-US" w:eastAsia="zh-CN"/>
        </w:rPr>
      </w:pPr>
      <w:r>
        <w:rPr>
          <w:rFonts w:hint="eastAsia" w:ascii="仿宋" w:hAnsi="仿宋" w:eastAsia="仿宋" w:cs="仿宋"/>
          <w:bCs/>
          <w:sz w:val="30"/>
          <w:szCs w:val="30"/>
          <w:highlight w:val="none"/>
          <w:lang w:val="en-US" w:eastAsia="zh-CN"/>
        </w:rPr>
        <w:t>地铁展厅建设及运营服务</w:t>
      </w:r>
    </w:p>
    <w:p w14:paraId="30728EA2">
      <w:pPr>
        <w:tabs>
          <w:tab w:val="left" w:pos="3240"/>
          <w:tab w:val="left" w:pos="3420"/>
        </w:tabs>
        <w:spacing w:line="360" w:lineRule="auto"/>
        <w:ind w:left="2516" w:leftChars="444" w:hanging="1584" w:hangingChars="528"/>
        <w:jc w:val="left"/>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rPr>
        <w:t>项目编号：</w:t>
      </w:r>
      <w:bookmarkStart w:id="0" w:name="OLE_LINK54"/>
      <w:bookmarkStart w:id="1" w:name="OLE_LINK42"/>
      <w:r>
        <w:rPr>
          <w:rFonts w:hint="eastAsia" w:ascii="仿宋" w:hAnsi="仿宋" w:eastAsia="仿宋" w:cs="仿宋"/>
          <w:bCs/>
          <w:sz w:val="30"/>
          <w:szCs w:val="30"/>
          <w:highlight w:val="none"/>
          <w:lang w:eastAsia="zh-CN"/>
        </w:rPr>
        <w:t>ZXZC-MYXCG-2025-0</w:t>
      </w:r>
      <w:bookmarkEnd w:id="0"/>
      <w:r>
        <w:rPr>
          <w:rFonts w:hint="eastAsia" w:ascii="仿宋" w:hAnsi="仿宋" w:eastAsia="仿宋" w:cs="仿宋"/>
          <w:bCs/>
          <w:sz w:val="30"/>
          <w:szCs w:val="30"/>
          <w:highlight w:val="none"/>
          <w:lang w:val="en-US" w:eastAsia="zh-CN"/>
        </w:rPr>
        <w:t>31</w:t>
      </w:r>
      <w:r>
        <w:rPr>
          <w:rFonts w:hint="eastAsia" w:ascii="仿宋" w:hAnsi="仿宋" w:eastAsia="仿宋" w:cs="仿宋"/>
          <w:bCs/>
          <w:sz w:val="30"/>
          <w:szCs w:val="30"/>
          <w:highlight w:val="none"/>
          <w:lang w:eastAsia="zh-CN"/>
        </w:rPr>
        <w:t>号</w:t>
      </w:r>
      <w:bookmarkEnd w:id="1"/>
    </w:p>
    <w:p w14:paraId="71D456BE">
      <w:pPr>
        <w:tabs>
          <w:tab w:val="left" w:pos="3240"/>
          <w:tab w:val="left" w:pos="3420"/>
        </w:tabs>
        <w:spacing w:line="360" w:lineRule="auto"/>
        <w:ind w:left="2516" w:leftChars="444" w:hanging="1584" w:hangingChars="528"/>
        <w:jc w:val="left"/>
        <w:rPr>
          <w:rFonts w:hint="eastAsia" w:ascii="仿宋" w:hAnsi="仿宋" w:eastAsia="仿宋" w:cs="仿宋"/>
          <w:bCs/>
          <w:sz w:val="30"/>
          <w:szCs w:val="30"/>
          <w:highlight w:val="none"/>
          <w:lang w:val="en-US" w:eastAsia="zh-CN"/>
        </w:rPr>
      </w:pPr>
      <w:r>
        <w:rPr>
          <w:rFonts w:hint="eastAsia" w:ascii="仿宋" w:hAnsi="仿宋" w:eastAsia="仿宋" w:cs="仿宋"/>
          <w:bCs/>
          <w:sz w:val="30"/>
          <w:szCs w:val="30"/>
          <w:highlight w:val="none"/>
        </w:rPr>
        <w:t>采 购 人：</w:t>
      </w:r>
      <w:r>
        <w:rPr>
          <w:rFonts w:hint="eastAsia" w:ascii="仿宋" w:hAnsi="仿宋" w:eastAsia="仿宋" w:cs="仿宋"/>
          <w:bCs/>
          <w:sz w:val="30"/>
          <w:szCs w:val="30"/>
          <w:highlight w:val="none"/>
          <w:lang w:val="en-US" w:eastAsia="zh-CN"/>
        </w:rPr>
        <w:t>墨玉县商务和工业信息化局</w:t>
      </w:r>
    </w:p>
    <w:p w14:paraId="6F1F4B05">
      <w:pPr>
        <w:tabs>
          <w:tab w:val="left" w:pos="3240"/>
          <w:tab w:val="left" w:pos="3420"/>
        </w:tabs>
        <w:spacing w:line="360" w:lineRule="auto"/>
        <w:ind w:left="2516" w:leftChars="444" w:hanging="1584" w:hangingChars="528"/>
        <w:jc w:val="left"/>
        <w:rPr>
          <w:rFonts w:hint="eastAsia" w:ascii="仿宋" w:hAnsi="仿宋" w:eastAsia="仿宋" w:cs="仿宋"/>
          <w:bCs/>
          <w:sz w:val="36"/>
          <w:szCs w:val="36"/>
          <w:highlight w:val="none"/>
        </w:rPr>
      </w:pPr>
      <w:r>
        <w:rPr>
          <w:rFonts w:hint="eastAsia" w:ascii="仿宋" w:hAnsi="仿宋" w:eastAsia="仿宋" w:cs="仿宋"/>
          <w:bCs/>
          <w:sz w:val="30"/>
          <w:szCs w:val="30"/>
          <w:highlight w:val="none"/>
        </w:rPr>
        <w:t>采购代理机构：</w:t>
      </w:r>
      <w:r>
        <w:rPr>
          <w:rFonts w:hint="eastAsia" w:ascii="仿宋" w:hAnsi="仿宋" w:eastAsia="仿宋" w:cs="仿宋"/>
          <w:bCs/>
          <w:sz w:val="30"/>
          <w:szCs w:val="30"/>
          <w:highlight w:val="none"/>
          <w:lang w:val="en-US" w:eastAsia="zh-CN"/>
        </w:rPr>
        <w:t>墨玉县众信智诚工程项目管理有限公司</w:t>
      </w:r>
      <w:r>
        <w:rPr>
          <w:rFonts w:hint="eastAsia" w:ascii="仿宋" w:hAnsi="仿宋" w:eastAsia="仿宋" w:cs="仿宋"/>
          <w:bCs/>
          <w:sz w:val="36"/>
          <w:szCs w:val="36"/>
          <w:highlight w:val="none"/>
        </w:rPr>
        <w:t xml:space="preserve"> </w:t>
      </w:r>
    </w:p>
    <w:p w14:paraId="553EAC7B">
      <w:pPr>
        <w:autoSpaceDE w:val="0"/>
        <w:autoSpaceDN w:val="0"/>
        <w:jc w:val="center"/>
        <w:rPr>
          <w:rFonts w:hint="eastAsia" w:ascii="仿宋" w:hAnsi="仿宋" w:eastAsia="仿宋" w:cs="仿宋"/>
          <w:bCs/>
          <w:sz w:val="44"/>
          <w:szCs w:val="44"/>
          <w:highlight w:val="none"/>
          <w:lang w:val="zh-CN"/>
        </w:rPr>
      </w:pPr>
    </w:p>
    <w:p w14:paraId="11BDCD4F">
      <w:pPr>
        <w:snapToGrid w:val="0"/>
        <w:spacing w:line="700" w:lineRule="exact"/>
        <w:ind w:left="-12" w:leftChars="-95" w:hanging="187" w:hangingChars="62"/>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202</w:t>
      </w:r>
      <w:r>
        <w:rPr>
          <w:rFonts w:hint="eastAsia" w:ascii="仿宋" w:hAnsi="仿宋" w:eastAsia="仿宋" w:cs="仿宋"/>
          <w:b/>
          <w:bCs/>
          <w:color w:val="auto"/>
          <w:sz w:val="30"/>
          <w:szCs w:val="30"/>
          <w:highlight w:val="none"/>
          <w:lang w:val="en-US" w:eastAsia="zh-CN"/>
        </w:rPr>
        <w:t>5</w:t>
      </w:r>
      <w:r>
        <w:rPr>
          <w:rFonts w:hint="eastAsia" w:ascii="仿宋" w:hAnsi="仿宋" w:eastAsia="仿宋" w:cs="仿宋"/>
          <w:b/>
          <w:bCs/>
          <w:color w:val="auto"/>
          <w:sz w:val="30"/>
          <w:szCs w:val="30"/>
          <w:highlight w:val="none"/>
        </w:rPr>
        <w:t>年</w:t>
      </w:r>
      <w:r>
        <w:rPr>
          <w:rFonts w:hint="eastAsia" w:ascii="仿宋" w:hAnsi="仿宋" w:eastAsia="仿宋" w:cs="仿宋"/>
          <w:b/>
          <w:bCs/>
          <w:color w:val="auto"/>
          <w:sz w:val="30"/>
          <w:szCs w:val="30"/>
          <w:highlight w:val="none"/>
          <w:lang w:val="en-US" w:eastAsia="zh-CN"/>
        </w:rPr>
        <w:t xml:space="preserve">  07 </w:t>
      </w:r>
      <w:r>
        <w:rPr>
          <w:rFonts w:hint="eastAsia" w:ascii="仿宋" w:hAnsi="仿宋" w:eastAsia="仿宋" w:cs="仿宋"/>
          <w:b/>
          <w:bCs/>
          <w:color w:val="auto"/>
          <w:sz w:val="30"/>
          <w:szCs w:val="30"/>
          <w:highlight w:val="none"/>
        </w:rPr>
        <w:t>月</w:t>
      </w:r>
    </w:p>
    <w:p w14:paraId="5F1F3CD0">
      <w:pPr>
        <w:snapToGrid w:val="0"/>
        <w:spacing w:line="700" w:lineRule="exact"/>
        <w:ind w:left="-10" w:leftChars="-5" w:firstLine="852" w:firstLineChars="283"/>
        <w:rPr>
          <w:rFonts w:hint="eastAsia" w:ascii="仿宋" w:hAnsi="仿宋" w:eastAsia="仿宋" w:cs="仿宋"/>
          <w:bCs/>
          <w:sz w:val="28"/>
          <w:szCs w:val="28"/>
          <w:highlight w:val="none"/>
          <w:lang w:val="en-US" w:eastAsia="zh-CN"/>
        </w:rPr>
      </w:pPr>
      <w:r>
        <w:rPr>
          <w:rFonts w:hint="eastAsia" w:ascii="仿宋" w:hAnsi="仿宋" w:eastAsia="仿宋" w:cs="仿宋"/>
          <w:b/>
          <w:bCs/>
          <w:color w:val="auto"/>
          <w:sz w:val="30"/>
          <w:szCs w:val="30"/>
          <w:highlight w:val="none"/>
        </w:rPr>
        <w:br w:type="page"/>
      </w:r>
      <w:r>
        <w:rPr>
          <w:rFonts w:hint="eastAsia" w:ascii="仿宋" w:hAnsi="仿宋" w:eastAsia="仿宋" w:cs="仿宋"/>
          <w:bCs/>
          <w:sz w:val="28"/>
          <w:szCs w:val="28"/>
          <w:highlight w:val="none"/>
          <w:lang w:val="en-US" w:eastAsia="zh-CN"/>
        </w:rPr>
        <w:t>项目名称：2025年墨玉县市场援疆消费帮扶项目农产品</w:t>
      </w:r>
    </w:p>
    <w:p w14:paraId="7EA17318">
      <w:pPr>
        <w:snapToGrid w:val="0"/>
        <w:spacing w:line="700" w:lineRule="exact"/>
        <w:ind w:left="-10" w:leftChars="-5" w:firstLine="2184" w:firstLineChars="78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地铁展厅建设及运营服务</w:t>
      </w:r>
    </w:p>
    <w:p w14:paraId="02F713F9">
      <w:pPr>
        <w:snapToGrid w:val="0"/>
        <w:spacing w:line="700" w:lineRule="exact"/>
        <w:ind w:left="-10" w:leftChars="-5" w:firstLine="792" w:firstLineChars="283"/>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 xml:space="preserve">地址：墨玉县政务中心415        </w:t>
      </w:r>
    </w:p>
    <w:p w14:paraId="6EE6699D">
      <w:pPr>
        <w:snapToGrid w:val="0"/>
        <w:spacing w:line="700" w:lineRule="exact"/>
        <w:ind w:left="-10" w:leftChars="-5" w:firstLine="792" w:firstLineChars="283"/>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 xml:space="preserve">联系人：：凯德尔丁       </w:t>
      </w:r>
    </w:p>
    <w:p w14:paraId="2A904BD8">
      <w:pPr>
        <w:snapToGrid w:val="0"/>
        <w:spacing w:line="700" w:lineRule="exact"/>
        <w:ind w:left="-10" w:leftChars="-5" w:firstLine="792" w:firstLineChars="283"/>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 xml:space="preserve">联系电话：0903-6511279             </w:t>
      </w:r>
    </w:p>
    <w:p w14:paraId="603F50DB">
      <w:pPr>
        <w:snapToGrid w:val="0"/>
        <w:spacing w:line="700" w:lineRule="exact"/>
        <w:ind w:left="-10" w:leftChars="-5" w:firstLine="792" w:firstLineChars="283"/>
        <w:rPr>
          <w:rFonts w:hint="eastAsia" w:ascii="仿宋" w:hAnsi="仿宋" w:eastAsia="仿宋" w:cs="仿宋"/>
          <w:bCs/>
          <w:sz w:val="28"/>
          <w:szCs w:val="28"/>
          <w:highlight w:val="none"/>
        </w:rPr>
      </w:pPr>
    </w:p>
    <w:p w14:paraId="5F781BE1">
      <w:pPr>
        <w:snapToGrid w:val="0"/>
        <w:spacing w:line="700" w:lineRule="exact"/>
        <w:ind w:left="-10" w:leftChars="-5" w:firstLine="792" w:firstLineChars="283"/>
        <w:rPr>
          <w:rFonts w:hint="eastAsia" w:ascii="仿宋" w:hAnsi="仿宋" w:eastAsia="仿宋" w:cs="仿宋"/>
          <w:bCs/>
          <w:sz w:val="28"/>
          <w:szCs w:val="28"/>
          <w:highlight w:val="none"/>
        </w:rPr>
      </w:pPr>
    </w:p>
    <w:p w14:paraId="24CF2BB1">
      <w:pPr>
        <w:snapToGrid w:val="0"/>
        <w:spacing w:line="700" w:lineRule="exact"/>
        <w:ind w:left="-10" w:leftChars="-5" w:firstLine="792" w:firstLineChars="283"/>
        <w:rPr>
          <w:rFonts w:hint="eastAsia" w:ascii="仿宋" w:hAnsi="仿宋" w:eastAsia="仿宋" w:cs="仿宋"/>
          <w:bCs/>
          <w:sz w:val="28"/>
          <w:szCs w:val="28"/>
          <w:highlight w:val="none"/>
        </w:rPr>
      </w:pPr>
    </w:p>
    <w:p w14:paraId="2BF73575">
      <w:pPr>
        <w:snapToGrid w:val="0"/>
        <w:spacing w:line="700" w:lineRule="exact"/>
        <w:ind w:left="-10" w:leftChars="-5" w:firstLine="792" w:firstLineChars="283"/>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招标代理机构</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墨玉县众信智诚工程项目管理有限公司</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盖章</w:t>
      </w:r>
      <w:r>
        <w:rPr>
          <w:rFonts w:hint="eastAsia" w:ascii="仿宋" w:hAnsi="仿宋" w:eastAsia="仿宋" w:cs="仿宋"/>
          <w:bCs/>
          <w:sz w:val="28"/>
          <w:szCs w:val="28"/>
          <w:highlight w:val="none"/>
          <w:lang w:eastAsia="zh-CN"/>
        </w:rPr>
        <w:t>）</w:t>
      </w:r>
    </w:p>
    <w:p w14:paraId="52BA364C">
      <w:pPr>
        <w:snapToGrid w:val="0"/>
        <w:spacing w:line="700" w:lineRule="exact"/>
        <w:ind w:left="-10" w:leftChars="-5" w:firstLine="792" w:firstLineChars="283"/>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 xml:space="preserve">地址：墨玉县乐民社区B栋二楼          </w:t>
      </w:r>
    </w:p>
    <w:p w14:paraId="4CBE60FC">
      <w:pPr>
        <w:snapToGrid w:val="0"/>
        <w:spacing w:line="700" w:lineRule="exact"/>
        <w:ind w:left="-10" w:leftChars="-5" w:firstLine="792" w:firstLineChars="283"/>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联系人：</w:t>
      </w:r>
      <w:r>
        <w:rPr>
          <w:rFonts w:hint="eastAsia" w:ascii="仿宋" w:hAnsi="仿宋" w:eastAsia="仿宋" w:cs="仿宋"/>
          <w:bCs/>
          <w:sz w:val="28"/>
          <w:szCs w:val="28"/>
          <w:highlight w:val="none"/>
          <w:lang w:val="en-US" w:eastAsia="zh-CN"/>
        </w:rPr>
        <w:t xml:space="preserve">徐工         </w:t>
      </w:r>
    </w:p>
    <w:p w14:paraId="3DA31FE9">
      <w:pPr>
        <w:snapToGrid w:val="0"/>
        <w:spacing w:line="700" w:lineRule="exact"/>
        <w:ind w:left="-10" w:leftChars="-5" w:firstLine="792" w:firstLineChars="283"/>
        <w:rPr>
          <w:rFonts w:hint="eastAsia" w:ascii="仿宋" w:hAnsi="仿宋" w:eastAsia="仿宋" w:cs="仿宋"/>
          <w:bCs/>
          <w:sz w:val="32"/>
          <w:highlight w:val="none"/>
          <w:lang w:val="en-US" w:eastAsia="zh-CN"/>
        </w:rPr>
      </w:pPr>
      <w:r>
        <w:rPr>
          <w:rFonts w:hint="eastAsia" w:ascii="仿宋" w:hAnsi="仿宋" w:eastAsia="仿宋" w:cs="仿宋"/>
          <w:bCs/>
          <w:sz w:val="28"/>
          <w:szCs w:val="28"/>
          <w:highlight w:val="none"/>
        </w:rPr>
        <w:t>联系电话：</w:t>
      </w:r>
      <w:r>
        <w:rPr>
          <w:rFonts w:hint="eastAsia" w:ascii="仿宋" w:hAnsi="仿宋" w:eastAsia="仿宋" w:cs="仿宋"/>
          <w:bCs/>
          <w:sz w:val="28"/>
          <w:szCs w:val="28"/>
          <w:highlight w:val="none"/>
          <w:lang w:val="en-US" w:eastAsia="zh-CN"/>
        </w:rPr>
        <w:t xml:space="preserve">0903-6530990           </w:t>
      </w:r>
    </w:p>
    <w:p w14:paraId="39B3D4B8">
      <w:pPr>
        <w:spacing w:before="0" w:beforeLines="0" w:after="0" w:afterLines="0" w:line="240" w:lineRule="auto"/>
        <w:ind w:left="0" w:leftChars="0" w:right="0" w:rightChars="0" w:firstLine="0" w:firstLineChars="0"/>
        <w:jc w:val="center"/>
        <w:rPr>
          <w:rFonts w:hint="eastAsia" w:ascii="仿宋" w:hAnsi="仿宋" w:eastAsia="仿宋" w:cs="仿宋"/>
          <w:sz w:val="36"/>
          <w:szCs w:val="36"/>
          <w:highlight w:val="none"/>
        </w:rPr>
      </w:pPr>
      <w:r>
        <w:rPr>
          <w:rFonts w:hint="eastAsia" w:ascii="仿宋" w:hAnsi="仿宋" w:eastAsia="仿宋" w:cs="仿宋"/>
          <w:sz w:val="28"/>
          <w:szCs w:val="28"/>
          <w:highlight w:val="none"/>
        </w:rPr>
        <w:br w:type="page"/>
      </w:r>
      <w:r>
        <w:rPr>
          <w:rFonts w:hint="eastAsia" w:ascii="仿宋" w:hAnsi="仿宋" w:eastAsia="仿宋" w:cs="仿宋"/>
          <w:sz w:val="36"/>
          <w:szCs w:val="36"/>
          <w:highlight w:val="none"/>
        </w:rPr>
        <w:t>目</w:t>
      </w:r>
      <w:r>
        <w:rPr>
          <w:rFonts w:hint="eastAsia" w:ascii="仿宋" w:hAnsi="仿宋" w:eastAsia="仿宋" w:cs="仿宋"/>
          <w:sz w:val="36"/>
          <w:szCs w:val="36"/>
          <w:highlight w:val="none"/>
          <w:lang w:val="en-US" w:eastAsia="zh-CN"/>
        </w:rPr>
        <w:t xml:space="preserve">  </w:t>
      </w:r>
      <w:r>
        <w:rPr>
          <w:rFonts w:hint="eastAsia" w:ascii="仿宋" w:hAnsi="仿宋" w:eastAsia="仿宋" w:cs="仿宋"/>
          <w:sz w:val="36"/>
          <w:szCs w:val="36"/>
          <w:highlight w:val="none"/>
        </w:rPr>
        <w:t>录</w:t>
      </w:r>
    </w:p>
    <w:p w14:paraId="4569A4AB">
      <w:pPr>
        <w:spacing w:before="0" w:beforeLines="0" w:after="0" w:afterLines="0" w:line="240" w:lineRule="auto"/>
        <w:ind w:left="0" w:leftChars="0" w:right="0" w:rightChars="0" w:firstLine="0" w:firstLineChars="0"/>
        <w:jc w:val="center"/>
        <w:rPr>
          <w:rFonts w:hint="eastAsia" w:ascii="仿宋" w:hAnsi="仿宋" w:eastAsia="仿宋" w:cs="仿宋"/>
          <w:sz w:val="36"/>
          <w:szCs w:val="36"/>
          <w:highlight w:val="none"/>
        </w:rPr>
      </w:pPr>
    </w:p>
    <w:p w14:paraId="633D6326">
      <w:pPr>
        <w:pStyle w:val="53"/>
        <w:tabs>
          <w:tab w:val="right" w:leader="dot" w:pos="975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"1-1" \h \u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_Toc20031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第一章</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招标公告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_Toc20031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1715B6E0">
      <w:pPr>
        <w:pStyle w:val="53"/>
        <w:tabs>
          <w:tab w:val="right" w:leader="dot" w:pos="9750"/>
        </w:tabs>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_Toc18311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第二章  投标人须知</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fldChar w:fldCharType="end"/>
      </w:r>
    </w:p>
    <w:p w14:paraId="211CC132">
      <w:pPr>
        <w:pStyle w:val="53"/>
        <w:tabs>
          <w:tab w:val="right" w:leader="dot" w:pos="9750"/>
        </w:tabs>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_Toc21383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第三章   资格审查</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38</w:t>
      </w:r>
      <w:r>
        <w:rPr>
          <w:rFonts w:hint="eastAsia" w:ascii="仿宋" w:hAnsi="仿宋" w:eastAsia="仿宋" w:cs="仿宋"/>
          <w:sz w:val="28"/>
          <w:szCs w:val="28"/>
          <w:highlight w:val="none"/>
        </w:rPr>
        <w:fldChar w:fldCharType="end"/>
      </w:r>
    </w:p>
    <w:p w14:paraId="501BB3E7">
      <w:pPr>
        <w:pStyle w:val="53"/>
        <w:tabs>
          <w:tab w:val="right" w:leader="dot" w:pos="9750"/>
        </w:tabs>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_Toc10925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第四章   评标程序、评标方法和评标标准</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0</w:t>
      </w:r>
    </w:p>
    <w:p w14:paraId="16BF9C80">
      <w:pPr>
        <w:pStyle w:val="53"/>
        <w:tabs>
          <w:tab w:val="right" w:leader="dot" w:pos="9750"/>
        </w:tabs>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_Toc19387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第五章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46</w:t>
      </w:r>
      <w:r>
        <w:rPr>
          <w:rFonts w:hint="eastAsia" w:ascii="仿宋" w:hAnsi="仿宋" w:eastAsia="仿宋" w:cs="仿宋"/>
          <w:sz w:val="28"/>
          <w:szCs w:val="28"/>
          <w:highlight w:val="none"/>
        </w:rPr>
        <w:fldChar w:fldCharType="end"/>
      </w:r>
    </w:p>
    <w:p w14:paraId="49B5D9BF">
      <w:pPr>
        <w:pStyle w:val="53"/>
        <w:tabs>
          <w:tab w:val="right" w:leader="dot" w:pos="9750"/>
        </w:tabs>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_Toc27969 </w:instrText>
      </w:r>
      <w:r>
        <w:rPr>
          <w:rFonts w:hint="eastAsia" w:ascii="仿宋" w:hAnsi="仿宋" w:eastAsia="仿宋" w:cs="仿宋"/>
          <w:sz w:val="28"/>
          <w:szCs w:val="28"/>
          <w:highlight w:val="none"/>
        </w:rPr>
        <w:fldChar w:fldCharType="separate"/>
      </w:r>
      <w:r>
        <w:rPr>
          <w:rFonts w:hint="eastAsia" w:ascii="仿宋" w:hAnsi="仿宋" w:eastAsia="仿宋" w:cs="仿宋"/>
          <w:kern w:val="2"/>
          <w:sz w:val="28"/>
          <w:szCs w:val="28"/>
          <w:highlight w:val="none"/>
          <w:lang w:val="en-US" w:eastAsia="zh-CN" w:bidi="ar-SA"/>
        </w:rPr>
        <w:t>第六章  拟签订的合同文本</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48</w:t>
      </w:r>
      <w:r>
        <w:rPr>
          <w:rFonts w:hint="eastAsia" w:ascii="仿宋" w:hAnsi="仿宋" w:eastAsia="仿宋" w:cs="仿宋"/>
          <w:sz w:val="28"/>
          <w:szCs w:val="28"/>
          <w:highlight w:val="none"/>
        </w:rPr>
        <w:fldChar w:fldCharType="end"/>
      </w:r>
    </w:p>
    <w:p w14:paraId="3981F409">
      <w:pPr>
        <w:pStyle w:val="53"/>
        <w:tabs>
          <w:tab w:val="right" w:leader="dot" w:pos="9750"/>
        </w:tabs>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_Toc21010 </w:instrText>
      </w:r>
      <w:r>
        <w:rPr>
          <w:rFonts w:hint="eastAsia" w:ascii="仿宋" w:hAnsi="仿宋" w:eastAsia="仿宋" w:cs="仿宋"/>
          <w:sz w:val="28"/>
          <w:szCs w:val="28"/>
          <w:highlight w:val="none"/>
        </w:rPr>
        <w:fldChar w:fldCharType="separate"/>
      </w:r>
      <w:r>
        <w:rPr>
          <w:rFonts w:hint="eastAsia" w:ascii="仿宋" w:hAnsi="仿宋" w:eastAsia="仿宋" w:cs="仿宋"/>
          <w:kern w:val="2"/>
          <w:sz w:val="28"/>
          <w:szCs w:val="28"/>
          <w:highlight w:val="none"/>
          <w:lang w:val="en-US" w:eastAsia="zh-CN" w:bidi="ar-SA"/>
        </w:rPr>
        <w:t>第七章　投标文件格式</w:t>
      </w:r>
      <w:r>
        <w:rPr>
          <w:rFonts w:hint="eastAsia" w:ascii="仿宋" w:hAnsi="仿宋" w:eastAsia="仿宋" w:cs="仿宋"/>
          <w:sz w:val="28"/>
          <w:szCs w:val="28"/>
          <w:highlight w:val="none"/>
        </w:rPr>
        <w:tab/>
      </w:r>
      <w:r>
        <w:rPr>
          <w:rFonts w:hint="eastAsia" w:ascii="仿宋" w:hAnsi="仿宋" w:eastAsia="仿宋" w:cs="仿宋"/>
          <w:sz w:val="28"/>
          <w:szCs w:val="28"/>
          <w:highlight w:val="none"/>
          <w:lang w:val="en-US" w:eastAsia="zh-CN"/>
        </w:rPr>
        <w:t>58</w:t>
      </w:r>
      <w:r>
        <w:rPr>
          <w:rFonts w:hint="eastAsia" w:ascii="仿宋" w:hAnsi="仿宋" w:eastAsia="仿宋" w:cs="仿宋"/>
          <w:sz w:val="28"/>
          <w:szCs w:val="28"/>
          <w:highlight w:val="none"/>
        </w:rPr>
        <w:fldChar w:fldCharType="end"/>
      </w:r>
    </w:p>
    <w:p w14:paraId="517D9048">
      <w:pPr>
        <w:spacing w:before="0" w:beforeLines="0" w:after="0" w:afterLines="0" w:line="240" w:lineRule="auto"/>
        <w:ind w:left="0" w:leftChars="0" w:right="0" w:rightChars="0" w:firstLine="0" w:firstLineChars="0"/>
        <w:jc w:val="center"/>
        <w:outlineLvl w:val="9"/>
        <w:rPr>
          <w:rFonts w:hint="eastAsia" w:ascii="仿宋" w:hAnsi="仿宋" w:eastAsia="仿宋" w:cs="仿宋"/>
          <w:highlight w:val="none"/>
        </w:rPr>
      </w:pPr>
      <w:r>
        <w:rPr>
          <w:rFonts w:hint="eastAsia" w:ascii="仿宋" w:hAnsi="仿宋" w:eastAsia="仿宋" w:cs="仿宋"/>
          <w:sz w:val="28"/>
          <w:szCs w:val="28"/>
          <w:highlight w:val="none"/>
        </w:rPr>
        <w:fldChar w:fldCharType="end"/>
      </w:r>
    </w:p>
    <w:p w14:paraId="77DB0967">
      <w:pPr>
        <w:ind w:left="0" w:firstLine="0" w:firstLineChars="0"/>
        <w:jc w:val="center"/>
        <w:outlineLvl w:val="0"/>
        <w:rPr>
          <w:rFonts w:hint="eastAsia" w:ascii="仿宋" w:hAnsi="仿宋" w:eastAsia="仿宋" w:cs="仿宋"/>
          <w:b/>
          <w:bCs w:val="0"/>
          <w:color w:val="auto"/>
          <w:sz w:val="36"/>
          <w:szCs w:val="36"/>
          <w:highlight w:val="none"/>
          <w:lang w:val="en-US" w:eastAsia="zh-CN"/>
        </w:rPr>
      </w:pPr>
      <w:bookmarkStart w:id="2" w:name="_Toc17774"/>
      <w:bookmarkStart w:id="3" w:name="_Toc20031"/>
      <w:bookmarkStart w:id="4" w:name="_Toc13346"/>
      <w:r>
        <w:rPr>
          <w:rFonts w:hint="eastAsia" w:ascii="仿宋" w:hAnsi="仿宋" w:eastAsia="仿宋" w:cs="仿宋"/>
          <w:b w:val="0"/>
          <w:bCs/>
          <w:sz w:val="28"/>
          <w:szCs w:val="28"/>
          <w:highlight w:val="none"/>
        </w:rPr>
        <w:br w:type="page"/>
      </w:r>
      <w:bookmarkStart w:id="5" w:name="OLE_LINK40"/>
      <w:r>
        <w:rPr>
          <w:rFonts w:hint="eastAsia" w:ascii="仿宋" w:hAnsi="仿宋" w:eastAsia="仿宋" w:cs="仿宋"/>
          <w:b/>
          <w:bCs w:val="0"/>
          <w:sz w:val="36"/>
          <w:szCs w:val="36"/>
          <w:highlight w:val="none"/>
        </w:rPr>
        <w:t>第一章</w:t>
      </w:r>
      <w:r>
        <w:rPr>
          <w:rFonts w:hint="eastAsia" w:ascii="仿宋" w:hAnsi="仿宋" w:eastAsia="仿宋" w:cs="仿宋"/>
          <w:b/>
          <w:bCs w:val="0"/>
          <w:sz w:val="36"/>
          <w:szCs w:val="36"/>
          <w:highlight w:val="none"/>
          <w:lang w:val="en-US" w:eastAsia="zh-CN"/>
        </w:rPr>
        <w:t xml:space="preserve">   </w:t>
      </w:r>
      <w:r>
        <w:rPr>
          <w:rFonts w:hint="eastAsia" w:ascii="仿宋" w:hAnsi="仿宋" w:eastAsia="仿宋" w:cs="仿宋"/>
          <w:b/>
          <w:bCs w:val="0"/>
          <w:sz w:val="36"/>
          <w:szCs w:val="36"/>
          <w:highlight w:val="none"/>
        </w:rPr>
        <w:t>招标公告</w:t>
      </w:r>
      <w:bookmarkEnd w:id="2"/>
      <w:bookmarkEnd w:id="3"/>
      <w:bookmarkEnd w:id="4"/>
      <w:r>
        <w:rPr>
          <w:rFonts w:hint="eastAsia" w:ascii="仿宋" w:hAnsi="仿宋" w:eastAsia="仿宋" w:cs="仿宋"/>
          <w:b/>
          <w:bCs w:val="0"/>
          <w:sz w:val="36"/>
          <w:szCs w:val="36"/>
          <w:highlight w:val="none"/>
          <w:lang w:val="en-US" w:eastAsia="zh-CN"/>
        </w:rPr>
        <w:t xml:space="preserve">  </w:t>
      </w:r>
    </w:p>
    <w:p w14:paraId="3E70D7FD">
      <w:pPr>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2025年墨玉县市场援疆消费帮扶项目农产品地铁展厅建设及运营服务—公开招标公告</w:t>
      </w:r>
    </w:p>
    <w:p w14:paraId="1E54131C">
      <w:pPr>
        <w:pageBreakBefore w:val="0"/>
        <w:pBdr>
          <w:top w:val="single" w:color="auto" w:sz="4" w:space="0"/>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textAlignment w:val="auto"/>
        <w:outlineLvl w:val="9"/>
        <w:rPr>
          <w:rFonts w:hint="eastAsia" w:ascii="仿宋" w:hAnsi="仿宋" w:eastAsia="仿宋" w:cs="仿宋"/>
          <w:i w:val="0"/>
          <w:iCs w:val="0"/>
          <w:caps w:val="0"/>
          <w:color w:val="000000"/>
          <w:spacing w:val="0"/>
          <w:kern w:val="0"/>
          <w:sz w:val="24"/>
          <w:szCs w:val="24"/>
          <w:highlight w:val="none"/>
          <w:lang w:val="en-US" w:eastAsia="zh-CN" w:bidi="ar-SA"/>
        </w:rPr>
      </w:pPr>
      <w:bookmarkStart w:id="6" w:name="_Toc35393790"/>
      <w:bookmarkStart w:id="7" w:name="_Toc28359079"/>
      <w:bookmarkStart w:id="8" w:name="_Toc28359002"/>
      <w:bookmarkStart w:id="9" w:name="_Toc35393621"/>
      <w:bookmarkStart w:id="10" w:name="_Hlk24379207"/>
      <w:r>
        <w:rPr>
          <w:rFonts w:hint="eastAsia" w:ascii="仿宋" w:hAnsi="仿宋" w:eastAsia="仿宋" w:cs="仿宋"/>
          <w:i w:val="0"/>
          <w:iCs w:val="0"/>
          <w:caps w:val="0"/>
          <w:color w:val="000000"/>
          <w:spacing w:val="0"/>
          <w:kern w:val="0"/>
          <w:sz w:val="24"/>
          <w:szCs w:val="24"/>
          <w:highlight w:val="none"/>
          <w:lang w:val="en-US" w:eastAsia="zh-CN" w:bidi="ar-SA"/>
        </w:rPr>
        <w:t>项目概况</w:t>
      </w:r>
    </w:p>
    <w:p w14:paraId="0FC7F917">
      <w:pPr>
        <w:pageBreakBefore w:val="0"/>
        <w:pBdr>
          <w:top w:val="single" w:color="auto" w:sz="4" w:space="0"/>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textAlignment w:val="auto"/>
        <w:outlineLvl w:val="9"/>
        <w:rPr>
          <w:rFonts w:hint="eastAsia" w:ascii="仿宋" w:hAnsi="仿宋" w:eastAsia="仿宋" w:cs="仿宋"/>
          <w:i w:val="0"/>
          <w:iCs w:val="0"/>
          <w:caps w:val="0"/>
          <w:color w:val="000000"/>
          <w:spacing w:val="0"/>
          <w:kern w:val="0"/>
          <w:sz w:val="24"/>
          <w:szCs w:val="24"/>
          <w:highlight w:val="none"/>
          <w:lang w:val="en-US" w:eastAsia="zh-CN" w:bidi="ar-SA"/>
        </w:rPr>
      </w:pPr>
      <w:r>
        <w:rPr>
          <w:rFonts w:hint="eastAsia" w:ascii="仿宋" w:hAnsi="仿宋" w:eastAsia="仿宋" w:cs="仿宋"/>
          <w:color w:val="000000"/>
          <w:sz w:val="24"/>
          <w:szCs w:val="24"/>
          <w:highlight w:val="none"/>
          <w:lang w:val="en-US" w:eastAsia="zh-CN"/>
        </w:rPr>
        <w:t>2025年墨玉县市场援疆消费帮扶项目农产品地铁展厅建设及运营服务</w:t>
      </w:r>
      <w:r>
        <w:rPr>
          <w:rFonts w:hint="eastAsia" w:ascii="仿宋" w:hAnsi="仿宋" w:eastAsia="仿宋" w:cs="仿宋"/>
          <w:i w:val="0"/>
          <w:iCs w:val="0"/>
          <w:caps w:val="0"/>
          <w:color w:val="000000"/>
          <w:spacing w:val="0"/>
          <w:kern w:val="0"/>
          <w:sz w:val="24"/>
          <w:szCs w:val="24"/>
          <w:highlight w:val="none"/>
          <w:lang w:val="en-US" w:eastAsia="zh-CN" w:bidi="ar-SA"/>
        </w:rPr>
        <w:t>的潜在投标人应在政采云平台https://www.zcygov.cn/在线申请获取采购文件（进入“项目采购”应用，在获取采购文件菜单中选择项目，申请获取采购文件），并于2025年7月24日11点00分（北京时间）前递交投标文件。</w:t>
      </w:r>
    </w:p>
    <w:bookmarkEnd w:id="6"/>
    <w:bookmarkEnd w:id="7"/>
    <w:bookmarkEnd w:id="8"/>
    <w:bookmarkEnd w:id="9"/>
    <w:bookmarkEnd w:id="10"/>
    <w:p w14:paraId="02694A78">
      <w:pPr>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outlineLvl w:val="9"/>
        <w:rPr>
          <w:rStyle w:val="74"/>
          <w:rFonts w:hint="eastAsia" w:ascii="仿宋" w:hAnsi="仿宋" w:eastAsia="仿宋" w:cs="仿宋"/>
          <w:b/>
          <w:i w:val="0"/>
          <w:iCs w:val="0"/>
          <w:caps w:val="0"/>
          <w:color w:val="000000"/>
          <w:spacing w:val="0"/>
          <w:sz w:val="24"/>
          <w:szCs w:val="24"/>
          <w:highlight w:val="none"/>
        </w:rPr>
      </w:pPr>
      <w:bookmarkStart w:id="11" w:name="_Toc24430"/>
      <w:bookmarkStart w:id="12" w:name="_Toc27595"/>
      <w:bookmarkStart w:id="13" w:name="_Toc30392"/>
      <w:r>
        <w:rPr>
          <w:rFonts w:hint="eastAsia" w:ascii="仿宋" w:hAnsi="仿宋" w:eastAsia="仿宋" w:cs="仿宋"/>
          <w:b/>
          <w:bCs/>
          <w:i w:val="0"/>
          <w:iCs w:val="0"/>
          <w:caps w:val="0"/>
          <w:color w:val="000000"/>
          <w:spacing w:val="0"/>
          <w:kern w:val="0"/>
          <w:sz w:val="24"/>
          <w:szCs w:val="24"/>
          <w:highlight w:val="none"/>
          <w:lang w:val="en-US" w:eastAsia="zh-CN" w:bidi="ar"/>
        </w:rPr>
        <w:t>一、项目基本情况</w:t>
      </w:r>
      <w:bookmarkEnd w:id="11"/>
      <w:bookmarkEnd w:id="12"/>
      <w:bookmarkEnd w:id="13"/>
    </w:p>
    <w:p w14:paraId="3786358D">
      <w:pPr>
        <w:pStyle w:val="44"/>
        <w:keepNext w:val="0"/>
        <w:keepLines w:val="0"/>
        <w:pageBreakBefore w:val="0"/>
        <w:kinsoku/>
        <w:wordWrap/>
        <w:topLinePunct w:val="0"/>
        <w:autoSpaceDE/>
        <w:autoSpaceDN/>
        <w:bidi w:val="0"/>
        <w:adjustRightInd/>
        <w:snapToGrid w:val="0"/>
        <w:spacing w:line="300" w:lineRule="exac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4"/>
          <w:highlight w:val="none"/>
          <w:lang w:val="en-US" w:eastAsia="zh-CN"/>
        </w:rPr>
        <w:t>2025年墨玉县市场援疆消费帮扶项目农产品地铁展厅建设及运营服务</w:t>
      </w:r>
    </w:p>
    <w:p w14:paraId="11F6C094">
      <w:pPr>
        <w:pStyle w:val="44"/>
        <w:keepNext w:val="0"/>
        <w:keepLines w:val="0"/>
        <w:pageBreakBefore w:val="0"/>
        <w:kinsoku/>
        <w:wordWrap/>
        <w:topLinePunct w:val="0"/>
        <w:autoSpaceDE/>
        <w:autoSpaceDN/>
        <w:bidi w:val="0"/>
        <w:adjustRightInd/>
        <w:snapToGrid w:val="0"/>
        <w:spacing w:line="300" w:lineRule="exact"/>
        <w:textAlignment w:val="auto"/>
        <w:outlineLvl w:val="9"/>
        <w:rPr>
          <w:rFonts w:hint="eastAsia" w:ascii="仿宋" w:hAnsi="仿宋" w:eastAsia="仿宋" w:cs="仿宋"/>
          <w:color w:val="000000"/>
          <w:sz w:val="24"/>
          <w:szCs w:val="24"/>
          <w:highlight w:val="none"/>
          <w:lang w:eastAsia="zh-CN"/>
        </w:rPr>
      </w:pPr>
      <w:bookmarkStart w:id="14" w:name="OLE_LINK4"/>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eastAsia="zh-CN"/>
        </w:rPr>
        <w:t>ZXZC-MYXCG-2025-0</w:t>
      </w:r>
      <w:r>
        <w:rPr>
          <w:rFonts w:hint="eastAsia" w:ascii="仿宋" w:hAnsi="仿宋" w:eastAsia="仿宋" w:cs="仿宋"/>
          <w:color w:val="000000"/>
          <w:sz w:val="24"/>
          <w:szCs w:val="24"/>
          <w:highlight w:val="none"/>
          <w:lang w:val="en-US" w:eastAsia="zh-CN"/>
        </w:rPr>
        <w:t>31</w:t>
      </w:r>
      <w:r>
        <w:rPr>
          <w:rFonts w:hint="eastAsia" w:ascii="仿宋" w:hAnsi="仿宋" w:eastAsia="仿宋" w:cs="仿宋"/>
          <w:color w:val="000000"/>
          <w:sz w:val="24"/>
          <w:szCs w:val="24"/>
          <w:highlight w:val="none"/>
          <w:lang w:eastAsia="zh-CN"/>
        </w:rPr>
        <w:t>号</w:t>
      </w:r>
      <w:bookmarkEnd w:id="14"/>
    </w:p>
    <w:p w14:paraId="5B86B5DD">
      <w:pPr>
        <w:pStyle w:val="44"/>
        <w:keepNext w:val="0"/>
        <w:keepLines w:val="0"/>
        <w:pageBreakBefore w:val="0"/>
        <w:kinsoku/>
        <w:wordWrap/>
        <w:topLinePunct w:val="0"/>
        <w:autoSpaceDE/>
        <w:autoSpaceDN/>
        <w:bidi w:val="0"/>
        <w:adjustRightInd/>
        <w:snapToGrid w:val="0"/>
        <w:spacing w:line="300" w:lineRule="exac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采购方式：</w:t>
      </w:r>
      <w:r>
        <w:rPr>
          <w:rFonts w:hint="eastAsia" w:ascii="仿宋" w:hAnsi="仿宋" w:eastAsia="仿宋" w:cs="仿宋"/>
          <w:color w:val="000000"/>
          <w:sz w:val="24"/>
          <w:szCs w:val="24"/>
          <w:highlight w:val="none"/>
          <w:lang w:val="en-US" w:eastAsia="zh-CN"/>
        </w:rPr>
        <w:t>公开招标</w:t>
      </w:r>
    </w:p>
    <w:p w14:paraId="69FBD1A4">
      <w:pPr>
        <w:pStyle w:val="44"/>
        <w:keepNext w:val="0"/>
        <w:keepLines w:val="0"/>
        <w:pageBreakBefore w:val="0"/>
        <w:kinsoku/>
        <w:wordWrap/>
        <w:topLinePunct w:val="0"/>
        <w:autoSpaceDE/>
        <w:autoSpaceDN/>
        <w:bidi w:val="0"/>
        <w:adjustRightInd/>
        <w:snapToGrid w:val="0"/>
        <w:spacing w:line="30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预算</w:t>
      </w:r>
      <w:r>
        <w:rPr>
          <w:rFonts w:hint="eastAsia" w:ascii="仿宋" w:hAnsi="仿宋" w:eastAsia="仿宋" w:cs="仿宋"/>
          <w:color w:val="000000"/>
          <w:sz w:val="24"/>
          <w:szCs w:val="24"/>
          <w:highlight w:val="none"/>
          <w:lang w:val="en-US" w:eastAsia="zh-CN"/>
        </w:rPr>
        <w:t>总</w:t>
      </w:r>
      <w:r>
        <w:rPr>
          <w:rFonts w:hint="eastAsia" w:ascii="仿宋" w:hAnsi="仿宋" w:eastAsia="仿宋" w:cs="仿宋"/>
          <w:color w:val="000000"/>
          <w:sz w:val="24"/>
          <w:szCs w:val="24"/>
          <w:highlight w:val="none"/>
        </w:rPr>
        <w:t>金额：</w:t>
      </w:r>
      <w:bookmarkStart w:id="15" w:name="OLE_LINK43"/>
      <w:r>
        <w:rPr>
          <w:rFonts w:hint="eastAsia" w:ascii="仿宋" w:hAnsi="仿宋" w:eastAsia="仿宋" w:cs="仿宋"/>
          <w:color w:val="000000"/>
          <w:sz w:val="24"/>
          <w:szCs w:val="24"/>
          <w:highlight w:val="none"/>
          <w:lang w:val="en-US" w:eastAsia="zh-CN"/>
        </w:rPr>
        <w:t>300万元</w:t>
      </w:r>
    </w:p>
    <w:bookmarkEnd w:id="15"/>
    <w:p w14:paraId="236E3DE6">
      <w:pPr>
        <w:pStyle w:val="44"/>
        <w:keepNext w:val="0"/>
        <w:keepLines w:val="0"/>
        <w:pageBreakBefore w:val="0"/>
        <w:kinsoku/>
        <w:wordWrap/>
        <w:topLinePunct w:val="0"/>
        <w:autoSpaceDE/>
        <w:autoSpaceDN/>
        <w:bidi w:val="0"/>
        <w:adjustRightInd/>
        <w:snapToGrid w:val="0"/>
        <w:spacing w:line="300" w:lineRule="exact"/>
        <w:textAlignment w:val="auto"/>
        <w:outlineLvl w:val="9"/>
        <w:rPr>
          <w:rFonts w:hint="eastAsia" w:ascii="仿宋" w:hAnsi="仿宋" w:eastAsia="仿宋" w:cs="仿宋"/>
          <w:color w:val="000000"/>
          <w:sz w:val="24"/>
          <w:szCs w:val="24"/>
          <w:highlight w:val="none"/>
          <w:lang w:val="en-US" w:eastAsia="zh-CN"/>
        </w:rPr>
      </w:pPr>
      <w:bookmarkStart w:id="16" w:name="OLE_LINK3"/>
      <w:r>
        <w:rPr>
          <w:rFonts w:hint="eastAsia" w:ascii="仿宋" w:hAnsi="仿宋" w:eastAsia="仿宋" w:cs="仿宋"/>
          <w:color w:val="000000"/>
          <w:sz w:val="24"/>
          <w:szCs w:val="24"/>
          <w:highlight w:val="none"/>
        </w:rPr>
        <w:t>最高限价：</w:t>
      </w:r>
      <w:bookmarkEnd w:id="16"/>
      <w:bookmarkStart w:id="17" w:name="_Toc15068"/>
      <w:r>
        <w:rPr>
          <w:rFonts w:hint="eastAsia" w:ascii="仿宋" w:hAnsi="仿宋" w:eastAsia="仿宋" w:cs="仿宋"/>
          <w:color w:val="000000"/>
          <w:sz w:val="24"/>
          <w:szCs w:val="24"/>
          <w:highlight w:val="none"/>
          <w:lang w:val="en-US" w:eastAsia="zh-CN"/>
        </w:rPr>
        <w:t>300万</w:t>
      </w:r>
    </w:p>
    <w:p w14:paraId="29B32DE4">
      <w:pPr>
        <w:pStyle w:val="44"/>
        <w:keepNext w:val="0"/>
        <w:keepLines w:val="0"/>
        <w:pageBreakBefore w:val="0"/>
        <w:kinsoku/>
        <w:wordWrap/>
        <w:topLinePunct w:val="0"/>
        <w:autoSpaceDE/>
        <w:autoSpaceDN/>
        <w:bidi w:val="0"/>
        <w:adjustRightInd/>
        <w:snapToGrid w:val="0"/>
        <w:spacing w:line="30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概况：在地铁站搭建城市会客厅和地铁小站，对和田地区优质特色农产品进行集中展示展销，全面、深入地呈现和田地区衣产品绿色、新鲜、高品质的特性，打造具有独特特色的和田墨玉高质量农产品品牌，提升品牌在城市的知名度与美誉度。</w:t>
      </w:r>
      <w:r>
        <w:rPr>
          <w:rFonts w:hint="eastAsia" w:ascii="仿宋" w:hAnsi="仿宋" w:eastAsia="仿宋" w:cs="仿宋"/>
          <w:b w:val="0"/>
          <w:bCs w:val="0"/>
          <w:i w:val="0"/>
          <w:iCs w:val="0"/>
          <w:caps w:val="0"/>
          <w:color w:val="auto"/>
          <w:spacing w:val="0"/>
          <w:sz w:val="24"/>
          <w:szCs w:val="24"/>
          <w:highlight w:val="none"/>
          <w:lang w:val="en-US" w:eastAsia="zh-CN"/>
        </w:rPr>
        <w:t>（具体以招标文件需求为准）</w:t>
      </w:r>
    </w:p>
    <w:bookmarkEnd w:id="17"/>
    <w:p w14:paraId="64A6718B">
      <w:pPr>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仿宋" w:hAnsi="仿宋" w:eastAsia="仿宋" w:cs="仿宋"/>
          <w:b w:val="0"/>
          <w:bCs w:val="0"/>
          <w:i w:val="0"/>
          <w:iCs w:val="0"/>
          <w:caps w:val="0"/>
          <w:color w:val="000000"/>
          <w:spacing w:val="0"/>
          <w:kern w:val="0"/>
          <w:sz w:val="24"/>
          <w:szCs w:val="24"/>
          <w:highlight w:val="none"/>
          <w:lang w:val="en-US" w:eastAsia="zh-CN" w:bidi="ar"/>
        </w:rPr>
      </w:pPr>
      <w:bookmarkStart w:id="18" w:name="_Toc22990"/>
      <w:bookmarkStart w:id="19" w:name="_Toc22510"/>
      <w:bookmarkStart w:id="20" w:name="_Toc11569"/>
      <w:r>
        <w:rPr>
          <w:rFonts w:hint="eastAsia" w:ascii="仿宋" w:hAnsi="仿宋" w:eastAsia="仿宋" w:cs="仿宋"/>
          <w:b w:val="0"/>
          <w:bCs w:val="0"/>
          <w:i w:val="0"/>
          <w:iCs w:val="0"/>
          <w:caps w:val="0"/>
          <w:color w:val="000000"/>
          <w:spacing w:val="0"/>
          <w:kern w:val="0"/>
          <w:sz w:val="24"/>
          <w:szCs w:val="24"/>
          <w:highlight w:val="none"/>
          <w:lang w:val="en-US" w:eastAsia="zh-CN" w:bidi="ar"/>
        </w:rPr>
        <w:t>本项目（是/否）接受联合体投标：否</w:t>
      </w:r>
    </w:p>
    <w:p w14:paraId="0ADC11EB">
      <w:pPr>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仿宋" w:hAnsi="仿宋" w:eastAsia="仿宋" w:cs="仿宋"/>
          <w:b/>
          <w:bCs/>
          <w:i w:val="0"/>
          <w:iCs w:val="0"/>
          <w:caps w:val="0"/>
          <w:color w:val="000000"/>
          <w:spacing w:val="0"/>
          <w:kern w:val="0"/>
          <w:sz w:val="24"/>
          <w:szCs w:val="24"/>
          <w:highlight w:val="none"/>
          <w:lang w:val="en-US" w:eastAsia="zh-CN" w:bidi="ar"/>
        </w:rPr>
      </w:pPr>
      <w:r>
        <w:rPr>
          <w:rFonts w:hint="eastAsia" w:ascii="仿宋" w:hAnsi="仿宋" w:eastAsia="仿宋" w:cs="仿宋"/>
          <w:b/>
          <w:bCs/>
          <w:i w:val="0"/>
          <w:iCs w:val="0"/>
          <w:caps w:val="0"/>
          <w:color w:val="000000"/>
          <w:spacing w:val="0"/>
          <w:kern w:val="0"/>
          <w:sz w:val="24"/>
          <w:szCs w:val="24"/>
          <w:highlight w:val="none"/>
          <w:lang w:val="en-US" w:eastAsia="zh-CN" w:bidi="ar"/>
        </w:rPr>
        <w:t>二、申请人的资格要求：</w:t>
      </w:r>
      <w:bookmarkEnd w:id="18"/>
      <w:bookmarkEnd w:id="19"/>
      <w:bookmarkEnd w:id="20"/>
    </w:p>
    <w:p w14:paraId="3093BA3E">
      <w:pPr>
        <w:pStyle w:val="66"/>
        <w:keepNext w:val="0"/>
        <w:keepLines w:val="0"/>
        <w:pageBreakBefore w:val="0"/>
        <w:kinsoku/>
        <w:wordWrap/>
        <w:topLinePunct w:val="0"/>
        <w:autoSpaceDE/>
        <w:autoSpaceDN/>
        <w:bidi w:val="0"/>
        <w:adjustRightInd/>
        <w:spacing w:before="75" w:beforeAutospacing="0" w:after="75" w:afterAutospacing="0" w:line="300" w:lineRule="exact"/>
        <w:ind w:left="0" w:right="0" w:firstLine="0" w:firstLineChars="0"/>
        <w:textAlignment w:val="auto"/>
        <w:outlineLvl w:val="9"/>
        <w:rPr>
          <w:rFonts w:hint="eastAsia" w:ascii="仿宋" w:hAnsi="仿宋" w:eastAsia="仿宋" w:cs="仿宋"/>
          <w:color w:val="000000"/>
          <w:sz w:val="24"/>
          <w:szCs w:val="24"/>
          <w:highlight w:val="none"/>
        </w:rPr>
      </w:pPr>
      <w:bookmarkStart w:id="21" w:name="_Toc23893"/>
      <w:r>
        <w:rPr>
          <w:rFonts w:hint="eastAsia" w:ascii="仿宋" w:hAnsi="仿宋" w:eastAsia="仿宋" w:cs="仿宋"/>
          <w:color w:val="000000"/>
          <w:sz w:val="24"/>
          <w:szCs w:val="24"/>
          <w:highlight w:val="none"/>
        </w:rPr>
        <w:t>1.满足《中华人民共和国政府采购法》第二十二条规定；</w:t>
      </w:r>
      <w:bookmarkEnd w:id="21"/>
    </w:p>
    <w:p w14:paraId="05D458A7">
      <w:pPr>
        <w:keepNext w:val="0"/>
        <w:keepLines w:val="0"/>
        <w:pageBreakBefore w:val="0"/>
        <w:kinsoku/>
        <w:wordWrap/>
        <w:topLinePunct w:val="0"/>
        <w:autoSpaceDE/>
        <w:autoSpaceDN/>
        <w:bidi w:val="0"/>
        <w:adjustRightInd/>
        <w:spacing w:line="300" w:lineRule="exact"/>
        <w:ind w:left="0" w:firstLine="0" w:firstLineChars="0"/>
        <w:textAlignment w:val="auto"/>
        <w:outlineLvl w:val="9"/>
        <w:rPr>
          <w:rFonts w:hint="eastAsia" w:ascii="仿宋" w:hAnsi="仿宋" w:eastAsia="仿宋" w:cs="仿宋"/>
          <w:color w:val="000000"/>
          <w:kern w:val="0"/>
          <w:sz w:val="24"/>
          <w:szCs w:val="24"/>
          <w:highlight w:val="none"/>
          <w:lang w:bidi="ar"/>
        </w:rPr>
      </w:pPr>
      <w:bookmarkStart w:id="22" w:name="OLE_LINK62"/>
      <w:r>
        <w:rPr>
          <w:rFonts w:hint="eastAsia" w:ascii="仿宋" w:hAnsi="仿宋" w:eastAsia="仿宋" w:cs="仿宋"/>
          <w:color w:val="000000"/>
          <w:sz w:val="24"/>
          <w:szCs w:val="24"/>
          <w:highlight w:val="none"/>
        </w:rPr>
        <w:t>2.落实政府采购政策需满足的资格要求：</w:t>
      </w:r>
    </w:p>
    <w:p w14:paraId="4A0259E6">
      <w:pPr>
        <w:pStyle w:val="44"/>
        <w:keepNext w:val="0"/>
        <w:keepLines w:val="0"/>
        <w:pageBreakBefore w:val="0"/>
        <w:kinsoku/>
        <w:wordWrap/>
        <w:topLinePunct w:val="0"/>
        <w:autoSpaceDE/>
        <w:autoSpaceDN/>
        <w:bidi w:val="0"/>
        <w:adjustRightInd/>
        <w:snapToGrid w:val="0"/>
        <w:spacing w:line="300" w:lineRule="exact"/>
        <w:ind w:left="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2.1中小企业政策</w:t>
      </w:r>
    </w:p>
    <w:p w14:paraId="01E385A3">
      <w:pPr>
        <w:pStyle w:val="44"/>
        <w:keepNext w:val="0"/>
        <w:keepLines w:val="0"/>
        <w:pageBreakBefore w:val="0"/>
        <w:kinsoku/>
        <w:wordWrap/>
        <w:topLinePunct w:val="0"/>
        <w:autoSpaceDE/>
        <w:autoSpaceDN/>
        <w:bidi w:val="0"/>
        <w:adjustRightInd/>
        <w:snapToGrid w:val="0"/>
        <w:spacing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本项目不专门面向中小企业预留采购份额。</w:t>
      </w:r>
    </w:p>
    <w:p w14:paraId="0A241F42">
      <w:pPr>
        <w:pStyle w:val="44"/>
        <w:keepNext w:val="0"/>
        <w:keepLines w:val="0"/>
        <w:pageBreakBefore w:val="0"/>
        <w:kinsoku/>
        <w:wordWrap/>
        <w:topLinePunct w:val="0"/>
        <w:autoSpaceDE/>
        <w:autoSpaceDN/>
        <w:bidi w:val="0"/>
        <w:adjustRightInd/>
        <w:snapToGrid w:val="0"/>
        <w:spacing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 xml:space="preserve">本项目专门面向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 xml:space="preserve">中小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小微企业采购。即：提供的货物或服务全部由符合政策要求的中小/小微企业制造、服务全部由符合政策要求的中小/小微企业承接。</w:t>
      </w:r>
    </w:p>
    <w:p w14:paraId="39080535">
      <w:pPr>
        <w:pStyle w:val="44"/>
        <w:keepNext w:val="0"/>
        <w:keepLines w:val="0"/>
        <w:pageBreakBefore w:val="0"/>
        <w:kinsoku/>
        <w:wordWrap/>
        <w:topLinePunct w:val="0"/>
        <w:autoSpaceDE/>
        <w:autoSpaceDN/>
        <w:bidi w:val="0"/>
        <w:adjustRightInd/>
        <w:snapToGrid w:val="0"/>
        <w:spacing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本项目为专门面向中小企业项目，参加投标的供应商须为中小企业，否则投标无效。因本项属于专门面向中小企业采购，故小型和微型企业不享受价格扣除优惠政策。JY企业、残疾人福利性单位视同小型和微型企业。</w:t>
      </w:r>
    </w:p>
    <w:p w14:paraId="72664D4B">
      <w:pPr>
        <w:pStyle w:val="44"/>
        <w:keepNext w:val="0"/>
        <w:keepLines w:val="0"/>
        <w:pageBreakBefore w:val="0"/>
        <w:kinsoku/>
        <w:wordWrap/>
        <w:topLinePunct w:val="0"/>
        <w:autoSpaceDE/>
        <w:autoSpaceDN/>
        <w:bidi w:val="0"/>
        <w:adjustRightInd/>
        <w:snapToGrid w:val="0"/>
        <w:spacing w:line="300" w:lineRule="exact"/>
        <w:ind w:left="0" w:firstLine="480" w:firstLineChars="200"/>
        <w:textAlignment w:val="auto"/>
        <w:outlineLvl w:val="9"/>
        <w:rPr>
          <w:rFonts w:hint="eastAsia" w:ascii="仿宋" w:hAnsi="仿宋" w:eastAsia="仿宋" w:cs="仿宋"/>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本项目预留部分采购项目预算专门面向中小企业采购。对于预留份额，提供的货物由</w:t>
      </w:r>
    </w:p>
    <w:p w14:paraId="5209525D">
      <w:pPr>
        <w:pStyle w:val="44"/>
        <w:keepNext w:val="0"/>
        <w:keepLines w:val="0"/>
        <w:pageBreakBefore w:val="0"/>
        <w:kinsoku/>
        <w:wordWrap/>
        <w:topLinePunct w:val="0"/>
        <w:autoSpaceDE/>
        <w:autoSpaceDN/>
        <w:bidi w:val="0"/>
        <w:adjustRightInd/>
        <w:snapToGrid w:val="0"/>
        <w:spacing w:line="300" w:lineRule="exact"/>
        <w:ind w:left="0" w:firstLine="480" w:firstLineChars="200"/>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符合政策要求的中小企业制造、服务由符合政策要求的中小企业承接。预留份额通过以下措施进行：</w:t>
      </w:r>
      <w:r>
        <w:rPr>
          <w:rFonts w:hint="eastAsia" w:ascii="仿宋" w:hAnsi="仿宋" w:eastAsia="仿宋" w:cs="仿宋"/>
          <w:color w:val="000000"/>
          <w:sz w:val="24"/>
          <w:szCs w:val="24"/>
          <w:highlight w:val="none"/>
          <w:u w:val="single"/>
          <w:lang w:val="en-US" w:eastAsia="zh-CN"/>
        </w:rPr>
        <w:t xml:space="preserve"> 供应商为中小企业，或供应商以联合体形式参加采购活动且联合体中中小企业承担的部分达到一定比例 </w:t>
      </w:r>
    </w:p>
    <w:p w14:paraId="59C9F0F7">
      <w:pPr>
        <w:pStyle w:val="44"/>
        <w:keepNext w:val="0"/>
        <w:keepLines w:val="0"/>
        <w:pageBreakBefore w:val="0"/>
        <w:kinsoku/>
        <w:wordWrap/>
        <w:topLinePunct w:val="0"/>
        <w:autoSpaceDE/>
        <w:autoSpaceDN/>
        <w:bidi w:val="0"/>
        <w:adjustRightInd/>
        <w:snapToGrid w:val="0"/>
        <w:spacing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2.2其它落实政府采购政策的资格要求</w:t>
      </w:r>
    </w:p>
    <w:p w14:paraId="7F8E8A94">
      <w:pPr>
        <w:pStyle w:val="44"/>
        <w:keepNext w:val="0"/>
        <w:keepLines w:val="0"/>
        <w:pageBreakBefore w:val="0"/>
        <w:kinsoku/>
        <w:wordWrap/>
        <w:topLinePunct w:val="0"/>
        <w:autoSpaceDE/>
        <w:autoSpaceDN/>
        <w:bidi w:val="0"/>
        <w:adjustRightInd/>
        <w:snapToGrid w:val="0"/>
        <w:spacing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（1）财政部、国家发展改革委、生态环境部、市场监管总局《关于调整优化节能产品、环境标志产品政府采购执行机制的通知》（财库[2019]9号文）；  </w:t>
      </w:r>
    </w:p>
    <w:p w14:paraId="637D2C4B">
      <w:pPr>
        <w:pStyle w:val="44"/>
        <w:keepNext w:val="0"/>
        <w:keepLines w:val="0"/>
        <w:pageBreakBefore w:val="0"/>
        <w:kinsoku/>
        <w:wordWrap/>
        <w:topLinePunct w:val="0"/>
        <w:autoSpaceDE/>
        <w:autoSpaceDN/>
        <w:bidi w:val="0"/>
        <w:adjustRightInd/>
        <w:snapToGrid w:val="0"/>
        <w:spacing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（2）财政部、生态环境部《关于印发环境标志产品政府采购品目清单的通知》（财库[2019]18号文）； </w:t>
      </w:r>
    </w:p>
    <w:p w14:paraId="272F2BD7">
      <w:pPr>
        <w:pStyle w:val="44"/>
        <w:keepNext w:val="0"/>
        <w:keepLines w:val="0"/>
        <w:pageBreakBefore w:val="0"/>
        <w:kinsoku/>
        <w:wordWrap/>
        <w:topLinePunct w:val="0"/>
        <w:autoSpaceDE/>
        <w:autoSpaceDN/>
        <w:bidi w:val="0"/>
        <w:adjustRightInd/>
        <w:snapToGrid w:val="0"/>
        <w:spacing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（3）财政部、发展改革委《关于印发节能产品政府采购品目清单的通知》（财库[2019]19号文）； </w:t>
      </w:r>
    </w:p>
    <w:p w14:paraId="3BCD12A6">
      <w:pPr>
        <w:pStyle w:val="44"/>
        <w:keepNext w:val="0"/>
        <w:keepLines w:val="0"/>
        <w:pageBreakBefore w:val="0"/>
        <w:kinsoku/>
        <w:wordWrap/>
        <w:topLinePunct w:val="0"/>
        <w:autoSpaceDE/>
        <w:autoSpaceDN/>
        <w:bidi w:val="0"/>
        <w:adjustRightInd/>
        <w:snapToGrid w:val="0"/>
        <w:spacing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（4）市场监管总局《市场监管总局关于发布参与实施政府采购节能产品、环境标志产品认证机构名录的公告》（2019年第16号）；  </w:t>
      </w:r>
    </w:p>
    <w:p w14:paraId="1DA20E57">
      <w:pPr>
        <w:pStyle w:val="44"/>
        <w:keepNext w:val="0"/>
        <w:keepLines w:val="0"/>
        <w:pageBreakBefore w:val="0"/>
        <w:kinsoku/>
        <w:wordWrap/>
        <w:topLinePunct w:val="0"/>
        <w:autoSpaceDE/>
        <w:autoSpaceDN/>
        <w:bidi w:val="0"/>
        <w:adjustRightInd/>
        <w:snapToGrid w:val="0"/>
        <w:spacing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（5）财政部、工业和信息化部《关于印发《政府采购促进中小企业发展管理办法》的通知》（财库[2020]46号文）《关于进一步加大政府采购支持中小企业力度的通知》（财库[2022]19号文）执行； </w:t>
      </w:r>
    </w:p>
    <w:p w14:paraId="54FA76E6">
      <w:pPr>
        <w:pStyle w:val="44"/>
        <w:keepNext w:val="0"/>
        <w:keepLines w:val="0"/>
        <w:pageBreakBefore w:val="0"/>
        <w:kinsoku/>
        <w:wordWrap/>
        <w:topLinePunct w:val="0"/>
        <w:autoSpaceDE/>
        <w:autoSpaceDN/>
        <w:bidi w:val="0"/>
        <w:adjustRightInd/>
        <w:snapToGrid w:val="0"/>
        <w:spacing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（6）财政部、民政部、中国残疾人联合会《关于促进残疾人就业政府采购政策的通知》（财库[2017]141号）；  </w:t>
      </w:r>
    </w:p>
    <w:p w14:paraId="7FA66053">
      <w:pPr>
        <w:pStyle w:val="44"/>
        <w:keepNext w:val="0"/>
        <w:keepLines w:val="0"/>
        <w:pageBreakBefore w:val="0"/>
        <w:kinsoku/>
        <w:wordWrap/>
        <w:topLinePunct w:val="0"/>
        <w:autoSpaceDE/>
        <w:autoSpaceDN/>
        <w:bidi w:val="0"/>
        <w:adjustRightInd/>
        <w:snapToGrid w:val="0"/>
        <w:spacing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（7）财政部、</w:t>
      </w:r>
      <w:r>
        <w:rPr>
          <w:rFonts w:hint="eastAsia" w:ascii="仿宋" w:hAnsi="仿宋" w:eastAsia="仿宋" w:cs="仿宋"/>
          <w:color w:val="000000"/>
          <w:sz w:val="24"/>
          <w:szCs w:val="24"/>
          <w:highlight w:val="none"/>
          <w:lang w:val="en-US" w:eastAsia="zh-CN"/>
        </w:rPr>
        <w:t>SF</w:t>
      </w:r>
      <w:r>
        <w:rPr>
          <w:rFonts w:hint="eastAsia" w:ascii="仿宋" w:hAnsi="仿宋" w:eastAsia="仿宋" w:cs="仿宋"/>
          <w:color w:val="000000"/>
          <w:sz w:val="24"/>
          <w:szCs w:val="24"/>
          <w:highlight w:val="none"/>
        </w:rPr>
        <w:t>部《关于政府采购支持</w:t>
      </w:r>
      <w:r>
        <w:rPr>
          <w:rFonts w:hint="eastAsia" w:ascii="仿宋" w:hAnsi="仿宋" w:eastAsia="仿宋" w:cs="仿宋"/>
          <w:color w:val="000000"/>
          <w:sz w:val="24"/>
          <w:szCs w:val="24"/>
          <w:highlight w:val="none"/>
          <w:lang w:val="en-US" w:eastAsia="zh-CN"/>
        </w:rPr>
        <w:t>JY</w:t>
      </w:r>
      <w:r>
        <w:rPr>
          <w:rFonts w:hint="eastAsia" w:ascii="仿宋" w:hAnsi="仿宋" w:eastAsia="仿宋" w:cs="仿宋"/>
          <w:color w:val="000000"/>
          <w:sz w:val="24"/>
          <w:szCs w:val="24"/>
          <w:highlight w:val="none"/>
        </w:rPr>
        <w:t xml:space="preserve">企业发展有关问题的通知》（财库[2014]68号文）； </w:t>
      </w:r>
    </w:p>
    <w:p w14:paraId="035B43AA">
      <w:pPr>
        <w:pStyle w:val="44"/>
        <w:keepNext w:val="0"/>
        <w:keepLines w:val="0"/>
        <w:pageBreakBefore w:val="0"/>
        <w:kinsoku/>
        <w:wordWrap/>
        <w:topLinePunct w:val="0"/>
        <w:autoSpaceDE/>
        <w:autoSpaceDN/>
        <w:bidi w:val="0"/>
        <w:adjustRightInd/>
        <w:snapToGrid w:val="0"/>
        <w:spacing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（8）财政部、生态环境部、国家邮政局《关于印发《商品包装政府采购需求标准（试行）</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快递包装政府采购需求标准（试行）》的通知》（财办库〔2020〕123号）。</w:t>
      </w:r>
    </w:p>
    <w:p w14:paraId="683965DB">
      <w:pPr>
        <w:pStyle w:val="20"/>
        <w:keepNext w:val="0"/>
        <w:keepLines w:val="0"/>
        <w:pageBreakBefore w:val="0"/>
        <w:kinsoku/>
        <w:wordWrap/>
        <w:overflowPunct w:val="0"/>
        <w:topLinePunct w:val="0"/>
        <w:autoSpaceDE/>
        <w:autoSpaceDN/>
        <w:bidi w:val="0"/>
        <w:adjustRightInd/>
        <w:snapToGrid w:val="0"/>
        <w:spacing w:line="3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标项1：</w:t>
      </w:r>
    </w:p>
    <w:p w14:paraId="727E4D9C">
      <w:pPr>
        <w:pStyle w:val="20"/>
        <w:keepNext w:val="0"/>
        <w:keepLines w:val="0"/>
        <w:pageBreakBefore w:val="0"/>
        <w:numPr>
          <w:ilvl w:val="0"/>
          <w:numId w:val="4"/>
        </w:numPr>
        <w:kinsoku/>
        <w:wordWrap/>
        <w:overflowPunct w:val="0"/>
        <w:topLinePunct w:val="0"/>
        <w:autoSpaceDE/>
        <w:autoSpaceDN/>
        <w:bidi w:val="0"/>
        <w:adjustRightInd/>
        <w:snapToGrid w:val="0"/>
        <w:spacing w:line="3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val="en-US" w:eastAsia="zh-CN"/>
        </w:rPr>
      </w:pPr>
      <w:bookmarkStart w:id="23" w:name="OLE_LINK47"/>
      <w:bookmarkStart w:id="24" w:name="OLE_LINK20"/>
      <w:r>
        <w:rPr>
          <w:rFonts w:hint="eastAsia" w:ascii="仿宋" w:hAnsi="仿宋" w:eastAsia="仿宋" w:cs="仿宋"/>
          <w:i w:val="0"/>
          <w:iCs w:val="0"/>
          <w:caps w:val="0"/>
          <w:color w:val="000000"/>
          <w:spacing w:val="0"/>
          <w:sz w:val="24"/>
          <w:szCs w:val="24"/>
          <w:highlight w:val="none"/>
        </w:rPr>
        <w:t>具有独立承担民事责任的能力：</w:t>
      </w:r>
      <w:bookmarkStart w:id="25" w:name="OLE_LINK48"/>
      <w:r>
        <w:rPr>
          <w:rFonts w:hint="eastAsia" w:ascii="仿宋" w:hAnsi="仿宋" w:eastAsia="仿宋" w:cs="仿宋"/>
          <w:i w:val="0"/>
          <w:iCs w:val="0"/>
          <w:caps w:val="0"/>
          <w:color w:val="000000"/>
          <w:spacing w:val="0"/>
          <w:sz w:val="24"/>
          <w:szCs w:val="24"/>
          <w:highlight w:val="none"/>
          <w:lang w:val="en-US" w:eastAsia="zh-CN"/>
        </w:rPr>
        <w:t>具有企业法人营业执照（三证合一）、《银行开户许可证》或《基本存款账户信息》</w:t>
      </w:r>
    </w:p>
    <w:bookmarkEnd w:id="23"/>
    <w:bookmarkEnd w:id="25"/>
    <w:p w14:paraId="775773FD">
      <w:pPr>
        <w:pStyle w:val="20"/>
        <w:keepNext w:val="0"/>
        <w:keepLines w:val="0"/>
        <w:pageBreakBefore w:val="0"/>
        <w:numPr>
          <w:ilvl w:val="0"/>
          <w:numId w:val="0"/>
        </w:numPr>
        <w:kinsoku/>
        <w:wordWrap/>
        <w:overflowPunct w:val="0"/>
        <w:topLinePunct w:val="0"/>
        <w:autoSpaceDE/>
        <w:autoSpaceDN/>
        <w:bidi w:val="0"/>
        <w:adjustRightInd/>
        <w:snapToGrid w:val="0"/>
        <w:spacing w:line="300" w:lineRule="exact"/>
        <w:ind w:leftChars="0" w:right="62" w:right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2）有依法缴纳税收和社会保障资金的良好记录：提供投标截止日前</w:t>
      </w:r>
      <w:r>
        <w:rPr>
          <w:rFonts w:hint="eastAsia" w:ascii="仿宋" w:hAnsi="仿宋" w:eastAsia="仿宋" w:cs="仿宋"/>
          <w:i w:val="0"/>
          <w:iCs w:val="0"/>
          <w:caps w:val="0"/>
          <w:color w:val="000000"/>
          <w:spacing w:val="0"/>
          <w:sz w:val="24"/>
          <w:szCs w:val="24"/>
          <w:highlight w:val="none"/>
          <w:lang w:val="en-US" w:eastAsia="zh-CN"/>
        </w:rPr>
        <w:t>3</w:t>
      </w:r>
      <w:r>
        <w:rPr>
          <w:rFonts w:hint="eastAsia" w:ascii="仿宋" w:hAnsi="仿宋" w:eastAsia="仿宋" w:cs="仿宋"/>
          <w:i w:val="0"/>
          <w:iCs w:val="0"/>
          <w:caps w:val="0"/>
          <w:color w:val="000000"/>
          <w:spacing w:val="0"/>
          <w:sz w:val="24"/>
          <w:szCs w:val="24"/>
          <w:highlight w:val="none"/>
        </w:rPr>
        <w:t>个月</w:t>
      </w:r>
      <w:r>
        <w:rPr>
          <w:rFonts w:hint="eastAsia" w:ascii="仿宋" w:hAnsi="仿宋" w:eastAsia="仿宋" w:cs="仿宋"/>
          <w:i w:val="0"/>
          <w:iCs w:val="0"/>
          <w:caps w:val="0"/>
          <w:color w:val="000000"/>
          <w:spacing w:val="0"/>
          <w:sz w:val="24"/>
          <w:szCs w:val="24"/>
          <w:highlight w:val="none"/>
          <w:lang w:val="en-US" w:eastAsia="zh-CN"/>
        </w:rPr>
        <w:t>内任意1个月</w:t>
      </w:r>
      <w:r>
        <w:rPr>
          <w:rFonts w:hint="eastAsia" w:ascii="仿宋" w:hAnsi="仿宋" w:eastAsia="仿宋" w:cs="仿宋"/>
          <w:i w:val="0"/>
          <w:iCs w:val="0"/>
          <w:caps w:val="0"/>
          <w:color w:val="000000"/>
          <w:spacing w:val="0"/>
          <w:sz w:val="24"/>
          <w:szCs w:val="24"/>
          <w:highlight w:val="none"/>
        </w:rPr>
        <w:t>的缴纳税收的完税证明或税务部门出具的纳税证明，如依法免税的，应提供相应文件证明；提供投标截止日前</w:t>
      </w:r>
      <w:r>
        <w:rPr>
          <w:rFonts w:hint="eastAsia" w:ascii="仿宋" w:hAnsi="仿宋" w:eastAsia="仿宋" w:cs="仿宋"/>
          <w:i w:val="0"/>
          <w:iCs w:val="0"/>
          <w:caps w:val="0"/>
          <w:color w:val="000000"/>
          <w:spacing w:val="0"/>
          <w:sz w:val="24"/>
          <w:szCs w:val="24"/>
          <w:highlight w:val="none"/>
          <w:lang w:val="en-US" w:eastAsia="zh-CN"/>
        </w:rPr>
        <w:t>3</w:t>
      </w:r>
      <w:r>
        <w:rPr>
          <w:rFonts w:hint="eastAsia" w:ascii="仿宋" w:hAnsi="仿宋" w:eastAsia="仿宋" w:cs="仿宋"/>
          <w:i w:val="0"/>
          <w:iCs w:val="0"/>
          <w:caps w:val="0"/>
          <w:color w:val="000000"/>
          <w:spacing w:val="0"/>
          <w:sz w:val="24"/>
          <w:szCs w:val="24"/>
          <w:highlight w:val="none"/>
        </w:rPr>
        <w:t>个月</w:t>
      </w:r>
      <w:r>
        <w:rPr>
          <w:rFonts w:hint="eastAsia" w:ascii="仿宋" w:hAnsi="仿宋" w:eastAsia="仿宋" w:cs="仿宋"/>
          <w:i w:val="0"/>
          <w:iCs w:val="0"/>
          <w:caps w:val="0"/>
          <w:color w:val="000000"/>
          <w:spacing w:val="0"/>
          <w:sz w:val="24"/>
          <w:szCs w:val="24"/>
          <w:highlight w:val="none"/>
          <w:lang w:val="en-US" w:eastAsia="zh-CN"/>
        </w:rPr>
        <w:t>内任意1个月</w:t>
      </w:r>
      <w:r>
        <w:rPr>
          <w:rFonts w:hint="eastAsia" w:ascii="仿宋" w:hAnsi="仿宋" w:eastAsia="仿宋" w:cs="仿宋"/>
          <w:i w:val="0"/>
          <w:iCs w:val="0"/>
          <w:caps w:val="0"/>
          <w:color w:val="000000"/>
          <w:spacing w:val="0"/>
          <w:sz w:val="24"/>
          <w:szCs w:val="24"/>
          <w:highlight w:val="none"/>
        </w:rPr>
        <w:t>的社保证明材料，如依法不需要缴纳社会保障资金的，应提供相应文件证明。</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lang w:val="en-US" w:eastAsia="zh-CN"/>
        </w:rPr>
        <w:t>新成立公司，按实际</w:t>
      </w:r>
      <w:r>
        <w:rPr>
          <w:rFonts w:hint="eastAsia" w:ascii="仿宋" w:hAnsi="仿宋" w:eastAsia="仿宋" w:cs="仿宋"/>
          <w:i w:val="0"/>
          <w:iCs w:val="0"/>
          <w:caps w:val="0"/>
          <w:color w:val="000000"/>
          <w:spacing w:val="0"/>
          <w:sz w:val="24"/>
          <w:szCs w:val="24"/>
          <w:highlight w:val="none"/>
        </w:rPr>
        <w:t>发生提供</w:t>
      </w:r>
      <w:r>
        <w:rPr>
          <w:rFonts w:hint="eastAsia" w:ascii="仿宋" w:hAnsi="仿宋" w:eastAsia="仿宋" w:cs="仿宋"/>
          <w:i w:val="0"/>
          <w:iCs w:val="0"/>
          <w:caps w:val="0"/>
          <w:color w:val="000000"/>
          <w:spacing w:val="0"/>
          <w:sz w:val="24"/>
          <w:szCs w:val="24"/>
          <w:highlight w:val="none"/>
          <w:lang w:eastAsia="zh-CN"/>
        </w:rPr>
        <w:t>）</w:t>
      </w:r>
    </w:p>
    <w:p w14:paraId="396A9E87">
      <w:pPr>
        <w:pStyle w:val="20"/>
        <w:keepNext w:val="0"/>
        <w:keepLines w:val="0"/>
        <w:pageBreakBefore w:val="0"/>
        <w:kinsoku/>
        <w:wordWrap/>
        <w:overflowPunct w:val="0"/>
        <w:topLinePunct w:val="0"/>
        <w:autoSpaceDE/>
        <w:autoSpaceDN/>
        <w:bidi w:val="0"/>
        <w:adjustRightInd/>
        <w:snapToGrid w:val="0"/>
        <w:spacing w:line="3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3）具有良好的商业信誉和健全的财务会计制度：提供[ 202</w:t>
      </w:r>
      <w:r>
        <w:rPr>
          <w:rFonts w:hint="eastAsia" w:ascii="仿宋" w:hAnsi="仿宋" w:eastAsia="仿宋" w:cs="仿宋"/>
          <w:i w:val="0"/>
          <w:iCs w:val="0"/>
          <w:caps w:val="0"/>
          <w:color w:val="000000"/>
          <w:spacing w:val="0"/>
          <w:sz w:val="24"/>
          <w:szCs w:val="24"/>
          <w:highlight w:val="none"/>
          <w:lang w:val="en-US" w:eastAsia="zh-CN"/>
        </w:rPr>
        <w:t>4</w:t>
      </w:r>
      <w:r>
        <w:rPr>
          <w:rFonts w:hint="eastAsia" w:ascii="仿宋" w:hAnsi="仿宋" w:eastAsia="仿宋" w:cs="仿宋"/>
          <w:i w:val="0"/>
          <w:iCs w:val="0"/>
          <w:caps w:val="0"/>
          <w:color w:val="000000"/>
          <w:spacing w:val="0"/>
          <w:sz w:val="24"/>
          <w:szCs w:val="24"/>
          <w:highlight w:val="none"/>
        </w:rPr>
        <w:t>年任意一年财务状况报告复印件，供应商是法人的，应提供经审计的财务报告（含第三方审计机构评估的财务报告）（执行《企业会计准则》的，提供资产负债表、利润表、现金流量表、所有者权益变动表及其附注（以下称“四表一注”）；执行《中小企业会计准则》的，提供资产负债表、利润表、现金流量表及其附注（以下称“三表一注”））；供应商是其他组织或者自然人的，应提供经审计的财务报告（含第三方审计机构评估的财务报告）（包括“四表一注”“三表一注”）或者银行出具的资信证明；如是202</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rPr>
        <w:t>年新成立企业，只需提供从取得营业执照起的基本开户银行出具的资信证明）；</w:t>
      </w:r>
    </w:p>
    <w:p w14:paraId="1CA0D96B">
      <w:pPr>
        <w:pStyle w:val="20"/>
        <w:keepNext w:val="0"/>
        <w:keepLines w:val="0"/>
        <w:pageBreakBefore w:val="0"/>
        <w:kinsoku/>
        <w:wordWrap/>
        <w:overflowPunct w:val="0"/>
        <w:topLinePunct w:val="0"/>
        <w:autoSpaceDE/>
        <w:autoSpaceDN/>
        <w:bidi w:val="0"/>
        <w:adjustRightInd/>
        <w:snapToGrid w:val="0"/>
        <w:spacing w:line="3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4）参加采购活动前3年内，在经营活动中没有重大违法记录：</w:t>
      </w:r>
      <w:r>
        <w:rPr>
          <w:rFonts w:hint="eastAsia" w:ascii="仿宋" w:hAnsi="仿宋" w:eastAsia="仿宋" w:cs="仿宋"/>
          <w:sz w:val="24"/>
          <w:szCs w:val="24"/>
          <w:highlight w:val="none"/>
        </w:rPr>
        <w:t>提供参加本次政府采购活动前3年内在经营活动中没有重大违法记录的书面承诺函</w:t>
      </w:r>
      <w:r>
        <w:rPr>
          <w:rFonts w:hint="eastAsia" w:ascii="仿宋" w:hAnsi="仿宋" w:eastAsia="仿宋" w:cs="仿宋"/>
          <w:sz w:val="24"/>
          <w:highlight w:val="none"/>
          <w:lang w:val="zh-CN"/>
        </w:rPr>
        <w:t>并加盖单位公章</w:t>
      </w:r>
      <w:r>
        <w:rPr>
          <w:rFonts w:hint="eastAsia" w:ascii="仿宋" w:hAnsi="仿宋" w:eastAsia="仿宋" w:cs="仿宋"/>
          <w:i w:val="0"/>
          <w:iCs w:val="0"/>
          <w:caps w:val="0"/>
          <w:color w:val="000000"/>
          <w:spacing w:val="0"/>
          <w:sz w:val="24"/>
          <w:szCs w:val="24"/>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BEDE763">
      <w:pPr>
        <w:pStyle w:val="20"/>
        <w:keepNext w:val="0"/>
        <w:keepLines w:val="0"/>
        <w:pageBreakBefore w:val="0"/>
        <w:kinsoku/>
        <w:wordWrap/>
        <w:overflowPunct w:val="0"/>
        <w:topLinePunct w:val="0"/>
        <w:autoSpaceDE/>
        <w:autoSpaceDN/>
        <w:bidi w:val="0"/>
        <w:adjustRightInd/>
        <w:snapToGrid w:val="0"/>
        <w:spacing w:line="3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val="zh-CN" w:eastAsia="zh-CN"/>
        </w:rPr>
      </w:pPr>
      <w:r>
        <w:rPr>
          <w:rFonts w:hint="eastAsia" w:ascii="仿宋" w:hAnsi="仿宋" w:eastAsia="仿宋" w:cs="仿宋"/>
          <w:i w:val="0"/>
          <w:iCs w:val="0"/>
          <w:caps w:val="0"/>
          <w:color w:val="000000"/>
          <w:spacing w:val="0"/>
          <w:sz w:val="24"/>
          <w:szCs w:val="24"/>
          <w:highlight w:val="none"/>
        </w:rPr>
        <w:t>（</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rPr>
        <w:t>）</w:t>
      </w:r>
      <w:r>
        <w:rPr>
          <w:rFonts w:hint="eastAsia" w:ascii="仿宋" w:hAnsi="仿宋" w:eastAsia="仿宋" w:cs="仿宋"/>
          <w:i w:val="0"/>
          <w:iCs w:val="0"/>
          <w:caps w:val="0"/>
          <w:color w:val="000000"/>
          <w:spacing w:val="0"/>
          <w:sz w:val="24"/>
          <w:szCs w:val="24"/>
          <w:highlight w:val="none"/>
          <w:lang w:val="zh-CN"/>
        </w:rPr>
        <w:t>凡拟参加本次招标项目的投标人，如在“信用中国”网站（ www.creditchina.gov.cn） 被列入失信被执行人、重大税收违法失信主体（</w:t>
      </w:r>
      <w:r>
        <w:rPr>
          <w:rFonts w:hint="eastAsia" w:ascii="仿宋" w:hAnsi="仿宋" w:eastAsia="仿宋" w:cs="仿宋"/>
          <w:i w:val="0"/>
          <w:iCs w:val="0"/>
          <w:caps w:val="0"/>
          <w:color w:val="000000"/>
          <w:spacing w:val="0"/>
          <w:sz w:val="24"/>
          <w:szCs w:val="24"/>
          <w:highlight w:val="none"/>
        </w:rPr>
        <w:t>进入信用中国网站</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信用服务-失信被执行人、重大税收违法失信主体</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查询、截图</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lang w:val="zh-CN"/>
        </w:rPr>
        <w:t xml:space="preserve">、中国政府采购网（http://www.ccgp.gov.cn/search/cr/）严重违法失信行为记录名单的（尚在处罚期内的），将拒绝其参加本次招标活动。 </w:t>
      </w:r>
    </w:p>
    <w:p w14:paraId="4E4D4CAA">
      <w:pPr>
        <w:pStyle w:val="20"/>
        <w:keepNext w:val="0"/>
        <w:keepLines w:val="0"/>
        <w:pageBreakBefore w:val="0"/>
        <w:kinsoku/>
        <w:wordWrap/>
        <w:overflowPunct w:val="0"/>
        <w:topLinePunct w:val="0"/>
        <w:autoSpaceDE/>
        <w:autoSpaceDN/>
        <w:bidi w:val="0"/>
        <w:adjustRightInd/>
        <w:snapToGrid w:val="0"/>
        <w:spacing w:line="3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w:t>
      </w:r>
      <w:r>
        <w:rPr>
          <w:rFonts w:hint="eastAsia" w:ascii="仿宋" w:hAnsi="仿宋" w:eastAsia="仿宋" w:cs="仿宋"/>
          <w:i w:val="0"/>
          <w:iCs w:val="0"/>
          <w:caps w:val="0"/>
          <w:color w:val="000000"/>
          <w:spacing w:val="0"/>
          <w:sz w:val="24"/>
          <w:szCs w:val="24"/>
          <w:highlight w:val="none"/>
          <w:lang w:val="en-US" w:eastAsia="zh-CN"/>
        </w:rPr>
        <w:t>6</w:t>
      </w:r>
      <w:r>
        <w:rPr>
          <w:rFonts w:hint="eastAsia" w:ascii="仿宋" w:hAnsi="仿宋" w:eastAsia="仿宋" w:cs="仿宋"/>
          <w:i w:val="0"/>
          <w:iCs w:val="0"/>
          <w:caps w:val="0"/>
          <w:color w:val="000000"/>
          <w:spacing w:val="0"/>
          <w:sz w:val="24"/>
          <w:szCs w:val="24"/>
          <w:highlight w:val="none"/>
        </w:rPr>
        <w:t>）企业负责人为同一人或者存在直接控股、管理关系的不同投标人，不得参加同一合同项下的政府采购活动。否则，皆取消投标资格。</w:t>
      </w:r>
    </w:p>
    <w:p w14:paraId="1B47A51B">
      <w:pPr>
        <w:pStyle w:val="20"/>
        <w:keepNext w:val="0"/>
        <w:keepLines w:val="0"/>
        <w:pageBreakBefore w:val="0"/>
        <w:kinsoku/>
        <w:wordWrap/>
        <w:overflowPunct w:val="0"/>
        <w:topLinePunct w:val="0"/>
        <w:autoSpaceDE/>
        <w:autoSpaceDN/>
        <w:bidi w:val="0"/>
        <w:adjustRightInd/>
        <w:snapToGrid w:val="0"/>
        <w:spacing w:line="300" w:lineRule="exact"/>
        <w:ind w:left="0" w:firstLine="0" w:firstLineChars="0"/>
        <w:textAlignment w:val="auto"/>
        <w:outlineLvl w:val="9"/>
        <w:rPr>
          <w:rFonts w:hint="eastAsia" w:ascii="仿宋" w:hAnsi="仿宋" w:eastAsia="仿宋" w:cs="仿宋"/>
          <w:iCs/>
          <w:color w:val="000000"/>
          <w:sz w:val="24"/>
          <w:szCs w:val="24"/>
          <w:highlight w:val="none"/>
          <w:lang w:eastAsia="zh-CN"/>
        </w:rPr>
      </w:pPr>
      <w:r>
        <w:rPr>
          <w:rFonts w:hint="eastAsia" w:ascii="仿宋" w:hAnsi="仿宋" w:eastAsia="仿宋" w:cs="仿宋"/>
          <w:i w:val="0"/>
          <w:iCs w:val="0"/>
          <w:caps w:val="0"/>
          <w:color w:val="000000"/>
          <w:spacing w:val="0"/>
          <w:sz w:val="24"/>
          <w:szCs w:val="24"/>
          <w:highlight w:val="none"/>
        </w:rPr>
        <w:t>（</w:t>
      </w:r>
      <w:r>
        <w:rPr>
          <w:rFonts w:hint="eastAsia" w:ascii="仿宋" w:hAnsi="仿宋" w:eastAsia="仿宋" w:cs="仿宋"/>
          <w:i w:val="0"/>
          <w:iCs w:val="0"/>
          <w:caps w:val="0"/>
          <w:color w:val="000000"/>
          <w:spacing w:val="0"/>
          <w:sz w:val="24"/>
          <w:szCs w:val="24"/>
          <w:highlight w:val="none"/>
          <w:lang w:val="en-US" w:eastAsia="zh-CN"/>
        </w:rPr>
        <w:t>7</w:t>
      </w:r>
      <w:r>
        <w:rPr>
          <w:rFonts w:hint="eastAsia" w:ascii="仿宋" w:hAnsi="仿宋" w:eastAsia="仿宋" w:cs="仿宋"/>
          <w:i w:val="0"/>
          <w:iCs w:val="0"/>
          <w:caps w:val="0"/>
          <w:color w:val="000000"/>
          <w:spacing w:val="0"/>
          <w:sz w:val="24"/>
          <w:szCs w:val="24"/>
          <w:highlight w:val="none"/>
        </w:rPr>
        <w:t>）</w:t>
      </w:r>
      <w:r>
        <w:rPr>
          <w:rFonts w:hint="eastAsia" w:ascii="仿宋" w:hAnsi="仿宋" w:eastAsia="仿宋" w:cs="仿宋"/>
          <w:iCs/>
          <w:color w:val="000000"/>
          <w:sz w:val="24"/>
          <w:szCs w:val="24"/>
          <w:highlight w:val="none"/>
        </w:rPr>
        <w:t>本项目</w:t>
      </w:r>
      <w:r>
        <w:rPr>
          <w:rFonts w:hint="eastAsia" w:ascii="仿宋" w:hAnsi="仿宋" w:eastAsia="仿宋" w:cs="仿宋"/>
          <w:iCs/>
          <w:color w:val="000000"/>
          <w:sz w:val="24"/>
          <w:szCs w:val="24"/>
          <w:highlight w:val="none"/>
          <w:lang w:val="en-US" w:eastAsia="zh-CN"/>
        </w:rPr>
        <w:t>不</w:t>
      </w:r>
      <w:r>
        <w:rPr>
          <w:rFonts w:hint="eastAsia" w:ascii="仿宋" w:hAnsi="仿宋" w:eastAsia="仿宋" w:cs="仿宋"/>
          <w:iCs/>
          <w:color w:val="000000"/>
          <w:sz w:val="24"/>
          <w:szCs w:val="24"/>
          <w:highlight w:val="none"/>
        </w:rPr>
        <w:t>接受联合体投标</w:t>
      </w:r>
      <w:r>
        <w:rPr>
          <w:rFonts w:hint="eastAsia" w:ascii="仿宋" w:hAnsi="仿宋" w:eastAsia="仿宋" w:cs="仿宋"/>
          <w:iCs/>
          <w:color w:val="000000"/>
          <w:sz w:val="24"/>
          <w:szCs w:val="24"/>
          <w:highlight w:val="none"/>
          <w:lang w:eastAsia="zh-CN"/>
        </w:rPr>
        <w:t>；</w:t>
      </w:r>
    </w:p>
    <w:p w14:paraId="7178211C">
      <w:pPr>
        <w:pStyle w:val="20"/>
        <w:keepNext w:val="0"/>
        <w:keepLines w:val="0"/>
        <w:pageBreakBefore w:val="0"/>
        <w:kinsoku/>
        <w:wordWrap/>
        <w:overflowPunct w:val="0"/>
        <w:topLinePunct w:val="0"/>
        <w:autoSpaceDE/>
        <w:autoSpaceDN/>
        <w:bidi w:val="0"/>
        <w:adjustRightInd/>
        <w:snapToGrid w:val="0"/>
        <w:spacing w:line="300" w:lineRule="exact"/>
        <w:ind w:left="0" w:firstLine="0" w:firstLineChars="0"/>
        <w:textAlignment w:val="auto"/>
        <w:outlineLvl w:val="9"/>
        <w:rPr>
          <w:rFonts w:hint="eastAsia" w:ascii="仿宋" w:hAnsi="仿宋" w:eastAsia="仿宋" w:cs="仿宋"/>
          <w:iCs/>
          <w:color w:val="000000"/>
          <w:sz w:val="24"/>
          <w:szCs w:val="24"/>
          <w:highlight w:val="none"/>
          <w:lang w:val="en-US" w:eastAsia="zh-CN"/>
        </w:rPr>
      </w:pPr>
      <w:r>
        <w:rPr>
          <w:rFonts w:hint="eastAsia" w:ascii="仿宋" w:hAnsi="仿宋" w:eastAsia="仿宋" w:cs="仿宋"/>
          <w:iCs/>
          <w:color w:val="000000"/>
          <w:sz w:val="24"/>
          <w:szCs w:val="24"/>
          <w:highlight w:val="none"/>
          <w:lang w:eastAsia="zh-CN"/>
        </w:rPr>
        <w:t>（</w:t>
      </w:r>
      <w:r>
        <w:rPr>
          <w:rFonts w:hint="eastAsia" w:ascii="仿宋" w:hAnsi="仿宋" w:eastAsia="仿宋" w:cs="仿宋"/>
          <w:iCs/>
          <w:color w:val="000000"/>
          <w:sz w:val="24"/>
          <w:szCs w:val="24"/>
          <w:highlight w:val="none"/>
          <w:lang w:val="en-US" w:eastAsia="zh-CN"/>
        </w:rPr>
        <w:t>8</w:t>
      </w:r>
      <w:r>
        <w:rPr>
          <w:rFonts w:hint="eastAsia" w:ascii="仿宋" w:hAnsi="仿宋" w:eastAsia="仿宋" w:cs="仿宋"/>
          <w:iCs/>
          <w:color w:val="000000"/>
          <w:sz w:val="24"/>
          <w:szCs w:val="24"/>
          <w:highlight w:val="none"/>
          <w:lang w:eastAsia="zh-CN"/>
        </w:rPr>
        <w:t>）</w:t>
      </w:r>
      <w:r>
        <w:rPr>
          <w:rFonts w:hint="eastAsia" w:ascii="仿宋" w:hAnsi="仿宋" w:eastAsia="仿宋" w:cs="仿宋"/>
          <w:iCs/>
          <w:color w:val="000000"/>
          <w:sz w:val="24"/>
          <w:szCs w:val="24"/>
          <w:highlight w:val="none"/>
          <w:lang w:val="en-US" w:eastAsia="zh-CN"/>
        </w:rPr>
        <w:t>有效的</w:t>
      </w:r>
      <w:r>
        <w:rPr>
          <w:rFonts w:hint="eastAsia" w:ascii="仿宋" w:hAnsi="仿宋" w:eastAsia="仿宋" w:cs="仿宋"/>
          <w:iCs/>
          <w:color w:val="000000"/>
          <w:sz w:val="24"/>
          <w:szCs w:val="24"/>
          <w:highlight w:val="none"/>
          <w:lang w:eastAsia="zh-CN"/>
        </w:rPr>
        <w:t>《</w:t>
      </w:r>
      <w:r>
        <w:rPr>
          <w:rFonts w:hint="eastAsia" w:ascii="仿宋" w:hAnsi="仿宋" w:eastAsia="仿宋" w:cs="仿宋"/>
          <w:iCs/>
          <w:color w:val="000000"/>
          <w:sz w:val="24"/>
          <w:szCs w:val="24"/>
          <w:highlight w:val="none"/>
          <w:lang w:val="en-US" w:eastAsia="zh-CN"/>
        </w:rPr>
        <w:t>中小企业声明函</w:t>
      </w:r>
      <w:r>
        <w:rPr>
          <w:rFonts w:hint="eastAsia" w:ascii="仿宋" w:hAnsi="仿宋" w:eastAsia="仿宋" w:cs="仿宋"/>
          <w:iCs/>
          <w:color w:val="000000"/>
          <w:sz w:val="24"/>
          <w:szCs w:val="24"/>
          <w:highlight w:val="none"/>
          <w:lang w:eastAsia="zh-CN"/>
        </w:rPr>
        <w:t>》；</w:t>
      </w:r>
    </w:p>
    <w:bookmarkEnd w:id="22"/>
    <w:bookmarkEnd w:id="24"/>
    <w:p w14:paraId="653A5DE4">
      <w:pPr>
        <w:pageBreakBefore w:val="0"/>
        <w:widowControl w:val="0"/>
        <w:kinsoku/>
        <w:wordWrap/>
        <w:overflowPunct/>
        <w:topLinePunct w:val="0"/>
        <w:autoSpaceDE/>
        <w:autoSpaceDN/>
        <w:bidi w:val="0"/>
        <w:adjustRightInd/>
        <w:snapToGrid/>
        <w:spacing w:before="0" w:after="0" w:line="300" w:lineRule="exact"/>
        <w:ind w:left="0" w:leftChars="0" w:right="0" w:firstLine="0" w:firstLineChars="0"/>
        <w:jc w:val="both"/>
        <w:textAlignment w:val="auto"/>
        <w:outlineLvl w:val="9"/>
        <w:rPr>
          <w:rFonts w:hint="eastAsia" w:ascii="仿宋" w:hAnsi="仿宋" w:eastAsia="仿宋" w:cs="仿宋"/>
          <w:b w:val="0"/>
          <w:bCs w:val="0"/>
          <w:i w:val="0"/>
          <w:iCs w:val="0"/>
          <w:caps w:val="0"/>
          <w:color w:val="000000"/>
          <w:spacing w:val="0"/>
          <w:sz w:val="24"/>
          <w:szCs w:val="24"/>
          <w:highlight w:val="none"/>
          <w:lang w:val="en-US" w:eastAsia="zh-CN"/>
        </w:rPr>
      </w:pPr>
      <w:bookmarkStart w:id="26" w:name="_Toc5294"/>
      <w:r>
        <w:rPr>
          <w:rFonts w:hint="eastAsia" w:ascii="仿宋" w:hAnsi="仿宋" w:eastAsia="仿宋" w:cs="仿宋"/>
          <w:b w:val="0"/>
          <w:bCs w:val="0"/>
          <w:i w:val="0"/>
          <w:iCs w:val="0"/>
          <w:caps w:val="0"/>
          <w:color w:val="000000"/>
          <w:spacing w:val="0"/>
          <w:sz w:val="24"/>
          <w:szCs w:val="24"/>
          <w:highlight w:val="none"/>
          <w:lang w:val="en-US" w:eastAsia="zh-CN"/>
        </w:rPr>
        <w:t>3.本项目的特定资格要求：</w:t>
      </w:r>
      <w:bookmarkEnd w:id="26"/>
      <w:bookmarkStart w:id="27" w:name="_Toc29122"/>
      <w:bookmarkStart w:id="28" w:name="_Toc14519"/>
      <w:bookmarkStart w:id="29" w:name="_Toc4096"/>
      <w:r>
        <w:rPr>
          <w:rFonts w:hint="eastAsia" w:ascii="仿宋" w:hAnsi="仿宋" w:eastAsia="仿宋" w:cs="仿宋"/>
          <w:b w:val="0"/>
          <w:bCs w:val="0"/>
          <w:i w:val="0"/>
          <w:iCs w:val="0"/>
          <w:caps w:val="0"/>
          <w:color w:val="000000"/>
          <w:spacing w:val="0"/>
          <w:sz w:val="24"/>
          <w:szCs w:val="24"/>
          <w:highlight w:val="none"/>
          <w:lang w:val="en-US" w:eastAsia="zh-CN"/>
        </w:rPr>
        <w:t>无</w:t>
      </w:r>
    </w:p>
    <w:p w14:paraId="490F8A53">
      <w:pPr>
        <w:pageBreakBefore w:val="0"/>
        <w:widowControl w:val="0"/>
        <w:kinsoku/>
        <w:wordWrap/>
        <w:overflowPunct/>
        <w:topLinePunct w:val="0"/>
        <w:autoSpaceDE/>
        <w:autoSpaceDN/>
        <w:bidi w:val="0"/>
        <w:adjustRightInd/>
        <w:snapToGrid/>
        <w:spacing w:before="0" w:after="0" w:line="240" w:lineRule="auto"/>
        <w:ind w:left="0" w:leftChars="0" w:right="0" w:firstLine="0" w:firstLineChars="0"/>
        <w:jc w:val="both"/>
        <w:textAlignment w:val="auto"/>
        <w:outlineLvl w:val="9"/>
        <w:rPr>
          <w:rFonts w:hint="eastAsia" w:ascii="仿宋" w:hAnsi="仿宋" w:eastAsia="仿宋" w:cs="仿宋"/>
          <w:b/>
          <w:bCs/>
          <w:i w:val="0"/>
          <w:iCs w:val="0"/>
          <w:caps w:val="0"/>
          <w:color w:val="000000"/>
          <w:spacing w:val="0"/>
          <w:kern w:val="0"/>
          <w:sz w:val="24"/>
          <w:szCs w:val="24"/>
          <w:highlight w:val="none"/>
          <w:lang w:val="en-US" w:eastAsia="zh-CN" w:bidi="ar"/>
        </w:rPr>
      </w:pPr>
      <w:r>
        <w:rPr>
          <w:rFonts w:hint="eastAsia" w:ascii="仿宋" w:hAnsi="仿宋" w:eastAsia="仿宋" w:cs="仿宋"/>
          <w:b/>
          <w:bCs/>
          <w:i w:val="0"/>
          <w:iCs w:val="0"/>
          <w:caps w:val="0"/>
          <w:color w:val="000000"/>
          <w:spacing w:val="0"/>
          <w:kern w:val="0"/>
          <w:sz w:val="24"/>
          <w:szCs w:val="24"/>
          <w:highlight w:val="none"/>
          <w:lang w:val="en-US" w:eastAsia="zh-CN" w:bidi="ar"/>
        </w:rPr>
        <w:t>三、获取招标文件</w:t>
      </w:r>
      <w:bookmarkEnd w:id="27"/>
      <w:bookmarkEnd w:id="28"/>
      <w:bookmarkEnd w:id="29"/>
    </w:p>
    <w:p w14:paraId="3DCC9605">
      <w:pPr>
        <w:pStyle w:val="6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时间：2025年</w:t>
      </w:r>
      <w:bookmarkStart w:id="579" w:name="_GoBack"/>
      <w:bookmarkEnd w:id="579"/>
      <w:r>
        <w:rPr>
          <w:rFonts w:hint="eastAsia" w:ascii="仿宋" w:hAnsi="仿宋" w:eastAsia="仿宋" w:cs="仿宋"/>
          <w:i w:val="0"/>
          <w:iCs w:val="0"/>
          <w:caps w:val="0"/>
          <w:color w:val="000000"/>
          <w:spacing w:val="0"/>
          <w:sz w:val="24"/>
          <w:szCs w:val="24"/>
          <w:highlight w:val="none"/>
          <w:lang w:val="en-US" w:eastAsia="zh-CN"/>
        </w:rPr>
        <w:t>07月04日至2025年07月23日，地点：政采云平台https://www.zcygov.cn/线上获取</w:t>
      </w:r>
    </w:p>
    <w:p w14:paraId="3438B314">
      <w:pPr>
        <w:pStyle w:val="6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outlineLvl w:val="9"/>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方式：供应商登录政采云平台https://www.zcygov.cn/在线申请获取采购文件（进入“项目采购”应用，在获取采购文件菜单中选择项目，申请获取采购文件）</w:t>
      </w:r>
    </w:p>
    <w:p w14:paraId="6F43EC5F">
      <w:pPr>
        <w:pStyle w:val="6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outlineLvl w:val="9"/>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售价（元）：0</w:t>
      </w:r>
    </w:p>
    <w:p w14:paraId="53C2C513">
      <w:pPr>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仿宋" w:hAnsi="仿宋" w:eastAsia="仿宋" w:cs="仿宋"/>
          <w:b/>
          <w:bCs/>
          <w:i w:val="0"/>
          <w:iCs w:val="0"/>
          <w:caps w:val="0"/>
          <w:color w:val="000000"/>
          <w:spacing w:val="0"/>
          <w:kern w:val="0"/>
          <w:sz w:val="24"/>
          <w:szCs w:val="24"/>
          <w:highlight w:val="none"/>
          <w:lang w:val="en-US" w:eastAsia="zh-CN" w:bidi="ar"/>
        </w:rPr>
      </w:pPr>
      <w:bookmarkStart w:id="30" w:name="_Toc4068"/>
      <w:bookmarkStart w:id="31" w:name="_Toc4398"/>
      <w:bookmarkStart w:id="32" w:name="_Toc20322"/>
      <w:r>
        <w:rPr>
          <w:rFonts w:hint="eastAsia" w:ascii="仿宋" w:hAnsi="仿宋" w:eastAsia="仿宋" w:cs="仿宋"/>
          <w:b/>
          <w:bCs/>
          <w:i w:val="0"/>
          <w:iCs w:val="0"/>
          <w:caps w:val="0"/>
          <w:color w:val="000000"/>
          <w:spacing w:val="0"/>
          <w:kern w:val="0"/>
          <w:sz w:val="24"/>
          <w:szCs w:val="24"/>
          <w:highlight w:val="none"/>
          <w:lang w:val="en-US" w:eastAsia="zh-CN" w:bidi="ar"/>
        </w:rPr>
        <w:t>四、提交投标文件截止时间、开标时间和地点</w:t>
      </w:r>
      <w:bookmarkEnd w:id="30"/>
      <w:bookmarkEnd w:id="31"/>
      <w:bookmarkEnd w:id="32"/>
    </w:p>
    <w:p w14:paraId="0946D20F">
      <w:pPr>
        <w:pStyle w:val="6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outlineLvl w:val="9"/>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提交投标文件截止时间：2025年 07月24日11：00分（北京时间）</w:t>
      </w:r>
    </w:p>
    <w:p w14:paraId="10BFF0D9">
      <w:pPr>
        <w:pStyle w:val="6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outlineLvl w:val="9"/>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投标地点：</w:t>
      </w:r>
      <w:bookmarkStart w:id="33" w:name="OLE_LINK63"/>
      <w:r>
        <w:rPr>
          <w:rFonts w:hint="eastAsia" w:ascii="仿宋" w:hAnsi="仿宋" w:eastAsia="仿宋" w:cs="仿宋"/>
          <w:i w:val="0"/>
          <w:iCs w:val="0"/>
          <w:caps w:val="0"/>
          <w:color w:val="000000"/>
          <w:spacing w:val="0"/>
          <w:sz w:val="24"/>
          <w:szCs w:val="24"/>
          <w:highlight w:val="none"/>
          <w:lang w:val="en-US" w:eastAsia="zh-CN"/>
        </w:rPr>
        <w:t>投标人应于2025年07月24日11：00分（北京时间）之前将电子投标文件上传到新疆政府采购云平台。应按照本项目招标文件和新疆政府采购平台的要求编制、加密传输投标文件。</w:t>
      </w:r>
      <w:bookmarkEnd w:id="33"/>
    </w:p>
    <w:p w14:paraId="7687DE03">
      <w:pPr>
        <w:pStyle w:val="6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outlineLvl w:val="9"/>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开标时间：2025年 07月24日11：00分（北京时间）</w:t>
      </w:r>
    </w:p>
    <w:p w14:paraId="11F8F6E3">
      <w:pPr>
        <w:pStyle w:val="6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outlineLvl w:val="9"/>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开标地点：</w:t>
      </w:r>
      <w:bookmarkStart w:id="34" w:name="OLE_LINK64"/>
      <w:r>
        <w:rPr>
          <w:rFonts w:hint="eastAsia" w:ascii="仿宋" w:hAnsi="仿宋" w:eastAsia="仿宋" w:cs="仿宋"/>
          <w:i w:val="0"/>
          <w:iCs w:val="0"/>
          <w:caps w:val="0"/>
          <w:color w:val="000000"/>
          <w:spacing w:val="0"/>
          <w:sz w:val="24"/>
          <w:szCs w:val="24"/>
          <w:highlight w:val="none"/>
          <w:lang w:val="en-US" w:eastAsia="zh-CN"/>
        </w:rPr>
        <w:t>墨玉县公共资源交易平台中心（墨玉县玉华社区院内）（投标供应商无需到场）</w:t>
      </w:r>
    </w:p>
    <w:bookmarkEnd w:id="34"/>
    <w:p w14:paraId="2F4D661F">
      <w:pPr>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仿宋" w:hAnsi="仿宋" w:eastAsia="仿宋" w:cs="仿宋"/>
          <w:b/>
          <w:bCs/>
          <w:i w:val="0"/>
          <w:iCs w:val="0"/>
          <w:caps w:val="0"/>
          <w:color w:val="000000"/>
          <w:spacing w:val="0"/>
          <w:kern w:val="0"/>
          <w:sz w:val="24"/>
          <w:szCs w:val="24"/>
          <w:highlight w:val="none"/>
          <w:lang w:val="en-US" w:eastAsia="zh-CN" w:bidi="ar"/>
        </w:rPr>
      </w:pPr>
      <w:bookmarkStart w:id="35" w:name="_Toc19015"/>
      <w:bookmarkStart w:id="36" w:name="_Toc30941"/>
      <w:bookmarkStart w:id="37" w:name="_Toc9151"/>
      <w:r>
        <w:rPr>
          <w:rFonts w:hint="eastAsia" w:ascii="仿宋" w:hAnsi="仿宋" w:eastAsia="仿宋" w:cs="仿宋"/>
          <w:b/>
          <w:bCs/>
          <w:i w:val="0"/>
          <w:iCs w:val="0"/>
          <w:caps w:val="0"/>
          <w:color w:val="000000"/>
          <w:spacing w:val="0"/>
          <w:kern w:val="0"/>
          <w:sz w:val="24"/>
          <w:szCs w:val="24"/>
          <w:highlight w:val="none"/>
          <w:lang w:val="en-US" w:eastAsia="zh-CN" w:bidi="ar"/>
        </w:rPr>
        <w:t>五、公告期限</w:t>
      </w:r>
      <w:bookmarkEnd w:id="35"/>
      <w:bookmarkEnd w:id="36"/>
      <w:bookmarkEnd w:id="37"/>
    </w:p>
    <w:p w14:paraId="4700A9A8">
      <w:pPr>
        <w:pStyle w:val="66"/>
        <w:keepNext w:val="0"/>
        <w:keepLines w:val="0"/>
        <w:widowControl/>
        <w:suppressLineNumbers w:val="0"/>
        <w:spacing w:before="75" w:beforeAutospacing="0" w:after="75" w:afterAutospacing="0" w:line="240" w:lineRule="auto"/>
        <w:ind w:left="0" w:right="0" w:firstLine="0"/>
        <w:jc w:val="left"/>
        <w:outlineLvl w:val="9"/>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自本公告发布之日起5个工作日。</w:t>
      </w:r>
    </w:p>
    <w:p w14:paraId="2BA32594">
      <w:pPr>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仿宋" w:hAnsi="仿宋" w:eastAsia="仿宋" w:cs="仿宋"/>
          <w:b/>
          <w:bCs/>
          <w:i w:val="0"/>
          <w:iCs w:val="0"/>
          <w:caps w:val="0"/>
          <w:color w:val="000000"/>
          <w:spacing w:val="0"/>
          <w:kern w:val="0"/>
          <w:sz w:val="24"/>
          <w:szCs w:val="24"/>
          <w:highlight w:val="none"/>
          <w:lang w:val="en-US" w:eastAsia="zh-CN" w:bidi="ar"/>
        </w:rPr>
      </w:pPr>
      <w:bookmarkStart w:id="38" w:name="_Toc1504"/>
      <w:bookmarkStart w:id="39" w:name="_Toc32428"/>
      <w:bookmarkStart w:id="40" w:name="_Toc2426"/>
      <w:r>
        <w:rPr>
          <w:rFonts w:hint="eastAsia" w:ascii="仿宋" w:hAnsi="仿宋" w:eastAsia="仿宋" w:cs="仿宋"/>
          <w:b/>
          <w:bCs/>
          <w:i w:val="0"/>
          <w:iCs w:val="0"/>
          <w:caps w:val="0"/>
          <w:color w:val="000000"/>
          <w:spacing w:val="0"/>
          <w:kern w:val="0"/>
          <w:sz w:val="24"/>
          <w:szCs w:val="24"/>
          <w:highlight w:val="none"/>
          <w:lang w:val="en-US" w:eastAsia="zh-CN" w:bidi="ar"/>
        </w:rPr>
        <w:t>六、其他补充事宜</w:t>
      </w:r>
      <w:bookmarkEnd w:id="38"/>
      <w:bookmarkEnd w:id="39"/>
      <w:bookmarkEnd w:id="40"/>
    </w:p>
    <w:p w14:paraId="72AE037B">
      <w:pPr>
        <w:pStyle w:val="6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outlineLvl w:val="9"/>
        <w:rPr>
          <w:rFonts w:hint="eastAsia" w:ascii="仿宋" w:hAnsi="仿宋" w:eastAsia="仿宋" w:cs="仿宋"/>
          <w:i w:val="0"/>
          <w:iCs w:val="0"/>
          <w:caps w:val="0"/>
          <w:color w:val="000000"/>
          <w:spacing w:val="0"/>
          <w:sz w:val="24"/>
          <w:szCs w:val="24"/>
          <w:highlight w:val="none"/>
          <w:lang w:val="en-US" w:eastAsia="zh-CN"/>
        </w:rPr>
      </w:pPr>
      <w:bookmarkStart w:id="41" w:name="OLE_LINK67"/>
      <w:r>
        <w:rPr>
          <w:rFonts w:hint="eastAsia" w:ascii="仿宋" w:hAnsi="仿宋" w:eastAsia="仿宋" w:cs="仿宋"/>
          <w:i w:val="0"/>
          <w:iCs w:val="0"/>
          <w:caps w:val="0"/>
          <w:color w:val="000000"/>
          <w:spacing w:val="0"/>
          <w:sz w:val="24"/>
          <w:szCs w:val="24"/>
          <w:highlight w:val="none"/>
          <w:lang w:val="en-US" w:eastAsia="zh-CN"/>
        </w:rPr>
        <w:t>1、本项目实行网上投标，采用电子投标文件。若供应商参与投标，自行承担投标一切费用。</w:t>
      </w:r>
    </w:p>
    <w:p w14:paraId="67243E76">
      <w:pPr>
        <w:pStyle w:val="6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outlineLvl w:val="9"/>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17323D03">
      <w:pPr>
        <w:pStyle w:val="6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outlineLvl w:val="9"/>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45C68DAD">
      <w:pPr>
        <w:pStyle w:val="6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outlineLvl w:val="9"/>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4、有意向参与新疆区域电子开评标的供应商，可访问新疆数字证书认证中心官方网站（https://www.xjca.com.cn/）或下载“新疆政务通”APP自行进行申领。如需咨询，请联系新疆CA服务热线0991-2819290</w:t>
      </w:r>
    </w:p>
    <w:p w14:paraId="7858D2FB">
      <w:pPr>
        <w:pStyle w:val="6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outlineLvl w:val="9"/>
        <w:rPr>
          <w:rFonts w:hint="eastAsia" w:ascii="仿宋" w:hAnsi="仿宋" w:eastAsia="仿宋" w:cs="仿宋"/>
          <w:b/>
          <w:bCs/>
          <w:i w:val="0"/>
          <w:caps w:val="0"/>
          <w:color w:val="000000"/>
          <w:spacing w:val="0"/>
          <w:kern w:val="0"/>
          <w:sz w:val="24"/>
          <w:szCs w:val="24"/>
          <w:highlight w:val="none"/>
          <w:vertAlign w:val="baseline"/>
          <w:lang w:val="en-US" w:eastAsia="zh-CN" w:bidi="ar"/>
        </w:rPr>
      </w:pPr>
      <w:r>
        <w:rPr>
          <w:rFonts w:hint="eastAsia" w:ascii="仿宋" w:hAnsi="仿宋" w:eastAsia="仿宋" w:cs="仿宋"/>
          <w:i w:val="0"/>
          <w:iCs w:val="0"/>
          <w:caps w:val="0"/>
          <w:color w:val="000000"/>
          <w:spacing w:val="0"/>
          <w:sz w:val="24"/>
          <w:szCs w:val="24"/>
          <w:highlight w:val="none"/>
          <w:lang w:val="en-US" w:eastAsia="zh-CN"/>
        </w:rPr>
        <w:t>5、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450号）中规定的小型、微型企业标准的，按招标文件格式提供《中小企业声明函》等政府采购政策。《财政部发展改革委 生态环境部 市场监管总局关于调整优化节能产品、环境标志产品政府采购执行机制的通知》（财库〔2019〕9号）。</w:t>
      </w:r>
    </w:p>
    <w:bookmarkEnd w:id="41"/>
    <w:p w14:paraId="62135D88">
      <w:pPr>
        <w:pStyle w:val="6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outlineLvl w:val="9"/>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b/>
          <w:bCs/>
          <w:i w:val="0"/>
          <w:caps w:val="0"/>
          <w:color w:val="000000"/>
          <w:spacing w:val="0"/>
          <w:kern w:val="0"/>
          <w:sz w:val="24"/>
          <w:szCs w:val="24"/>
          <w:highlight w:val="none"/>
          <w:vertAlign w:val="baseline"/>
          <w:lang w:val="en-US" w:eastAsia="zh-CN" w:bidi="ar"/>
        </w:rPr>
        <w:t>特别强调：</w:t>
      </w:r>
    </w:p>
    <w:p w14:paraId="6B02FD43">
      <w:pPr>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outlineLvl w:val="9"/>
        <w:rPr>
          <w:rFonts w:hint="eastAsia" w:ascii="仿宋" w:hAnsi="仿宋" w:eastAsia="仿宋" w:cs="仿宋"/>
          <w:b w:val="0"/>
          <w:bCs w:val="0"/>
          <w:i w:val="0"/>
          <w:iCs w:val="0"/>
          <w:caps w:val="0"/>
          <w:color w:val="000000"/>
          <w:spacing w:val="0"/>
          <w:kern w:val="0"/>
          <w:sz w:val="24"/>
          <w:szCs w:val="24"/>
          <w:highlight w:val="none"/>
          <w:lang w:val="en-US" w:eastAsia="zh-CN" w:bidi="ar"/>
        </w:rPr>
      </w:pPr>
      <w:bookmarkStart w:id="42" w:name="_Toc3294"/>
      <w:bookmarkStart w:id="43" w:name="_Toc3331"/>
      <w:bookmarkStart w:id="44" w:name="_Toc9402"/>
      <w:r>
        <w:rPr>
          <w:rFonts w:hint="eastAsia" w:ascii="仿宋" w:hAnsi="仿宋" w:eastAsia="仿宋" w:cs="仿宋"/>
          <w:b w:val="0"/>
          <w:bCs w:val="0"/>
          <w:i w:val="0"/>
          <w:iCs w:val="0"/>
          <w:caps w:val="0"/>
          <w:color w:val="000000"/>
          <w:spacing w:val="0"/>
          <w:kern w:val="0"/>
          <w:sz w:val="24"/>
          <w:szCs w:val="24"/>
          <w:highlight w:val="none"/>
          <w:lang w:val="en-US" w:eastAsia="zh-CN" w:bidi="ar"/>
        </w:rPr>
        <w:t>1、采购限额标准以上，200万元以下的货物和服务采购项目、400万元以下的工程采购项目，适宜由中小企业提供的，采购人应当专门面向中小企业采购。</w:t>
      </w:r>
    </w:p>
    <w:p w14:paraId="7015CF35">
      <w:pPr>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outlineLvl w:val="9"/>
        <w:rPr>
          <w:rFonts w:hint="eastAsia" w:ascii="仿宋" w:hAnsi="仿宋" w:eastAsia="仿宋" w:cs="仿宋"/>
          <w:b w:val="0"/>
          <w:bCs w:val="0"/>
          <w:i w:val="0"/>
          <w:iCs w:val="0"/>
          <w:caps w:val="0"/>
          <w:color w:val="000000"/>
          <w:spacing w:val="0"/>
          <w:kern w:val="0"/>
          <w:sz w:val="24"/>
          <w:szCs w:val="24"/>
          <w:highlight w:val="none"/>
          <w:lang w:val="en-US" w:eastAsia="zh-CN" w:bidi="ar"/>
        </w:rPr>
      </w:pPr>
      <w:r>
        <w:rPr>
          <w:rFonts w:hint="eastAsia" w:ascii="仿宋" w:hAnsi="仿宋" w:eastAsia="仿宋" w:cs="仿宋"/>
          <w:b w:val="0"/>
          <w:bCs w:val="0"/>
          <w:i w:val="0"/>
          <w:iCs w:val="0"/>
          <w:caps w:val="0"/>
          <w:color w:val="000000"/>
          <w:spacing w:val="0"/>
          <w:kern w:val="0"/>
          <w:sz w:val="24"/>
          <w:szCs w:val="24"/>
          <w:highlight w:val="none"/>
          <w:lang w:val="en-US" w:eastAsia="zh-CN" w:bidi="ar"/>
        </w:rPr>
        <w:t>2、超过200万元的货物和服务采购项目，预留该部分采购项目预算总额的30%以上专门面向中小企业采购，其中预留给小微企业的比例不低于60%。</w:t>
      </w:r>
    </w:p>
    <w:p w14:paraId="54709E9B">
      <w:pPr>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outlineLvl w:val="9"/>
        <w:rPr>
          <w:rFonts w:hint="eastAsia" w:ascii="仿宋" w:hAnsi="仿宋" w:eastAsia="仿宋" w:cs="仿宋"/>
          <w:b w:val="0"/>
          <w:bCs w:val="0"/>
          <w:i w:val="0"/>
          <w:iCs w:val="0"/>
          <w:caps w:val="0"/>
          <w:color w:val="000000"/>
          <w:spacing w:val="0"/>
          <w:kern w:val="0"/>
          <w:sz w:val="24"/>
          <w:szCs w:val="24"/>
          <w:highlight w:val="none"/>
          <w:lang w:val="en-US" w:eastAsia="zh-CN" w:bidi="ar"/>
        </w:rPr>
      </w:pPr>
      <w:r>
        <w:rPr>
          <w:rFonts w:hint="eastAsia" w:ascii="仿宋" w:hAnsi="仿宋" w:eastAsia="仿宋" w:cs="仿宋"/>
          <w:b w:val="0"/>
          <w:bCs w:val="0"/>
          <w:i w:val="0"/>
          <w:iCs w:val="0"/>
          <w:caps w:val="0"/>
          <w:color w:val="000000"/>
          <w:spacing w:val="0"/>
          <w:kern w:val="0"/>
          <w:sz w:val="24"/>
          <w:szCs w:val="24"/>
          <w:highlight w:val="none"/>
          <w:lang w:val="en-US" w:eastAsia="zh-CN" w:bidi="ar"/>
        </w:rPr>
        <w:t>3、超过400万元的工程采购项目中适宜由中小企业提供的，预留该部分采购项目预算总额的40%以上专门面向中小企业采购，其中预留给小微企业的比例不低于60%。</w:t>
      </w:r>
    </w:p>
    <w:p w14:paraId="7BD61D3E">
      <w:pPr>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outlineLvl w:val="9"/>
        <w:rPr>
          <w:rFonts w:hint="eastAsia" w:ascii="仿宋" w:hAnsi="仿宋" w:eastAsia="仿宋" w:cs="仿宋"/>
          <w:b w:val="0"/>
          <w:bCs w:val="0"/>
          <w:i w:val="0"/>
          <w:iCs w:val="0"/>
          <w:caps w:val="0"/>
          <w:color w:val="000000"/>
          <w:spacing w:val="0"/>
          <w:kern w:val="0"/>
          <w:sz w:val="24"/>
          <w:szCs w:val="24"/>
          <w:highlight w:val="none"/>
          <w:lang w:val="en-US" w:eastAsia="zh-CN" w:bidi="ar"/>
        </w:rPr>
      </w:pPr>
      <w:r>
        <w:rPr>
          <w:rFonts w:hint="eastAsia" w:ascii="仿宋" w:hAnsi="仿宋" w:eastAsia="仿宋" w:cs="仿宋"/>
          <w:b w:val="0"/>
          <w:bCs w:val="0"/>
          <w:i w:val="0"/>
          <w:iCs w:val="0"/>
          <w:caps w:val="0"/>
          <w:color w:val="000000"/>
          <w:spacing w:val="0"/>
          <w:kern w:val="0"/>
          <w:sz w:val="24"/>
          <w:szCs w:val="24"/>
          <w:highlight w:val="none"/>
          <w:lang w:val="en-US" w:eastAsia="zh-CN" w:bidi="ar"/>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00FF8AD">
      <w:pPr>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outlineLvl w:val="9"/>
        <w:rPr>
          <w:rFonts w:hint="eastAsia" w:ascii="仿宋" w:hAnsi="仿宋" w:eastAsia="仿宋" w:cs="仿宋"/>
          <w:b w:val="0"/>
          <w:bCs w:val="0"/>
          <w:i w:val="0"/>
          <w:iCs w:val="0"/>
          <w:caps w:val="0"/>
          <w:color w:val="000000"/>
          <w:spacing w:val="0"/>
          <w:kern w:val="0"/>
          <w:sz w:val="24"/>
          <w:szCs w:val="24"/>
          <w:highlight w:val="none"/>
          <w:lang w:val="en-US" w:eastAsia="zh-CN" w:bidi="ar"/>
        </w:rPr>
      </w:pPr>
      <w:r>
        <w:rPr>
          <w:rFonts w:hint="eastAsia" w:ascii="仿宋" w:hAnsi="仿宋" w:eastAsia="仿宋" w:cs="仿宋"/>
          <w:b w:val="0"/>
          <w:bCs w:val="0"/>
          <w:i w:val="0"/>
          <w:iCs w:val="0"/>
          <w:caps w:val="0"/>
          <w:color w:val="000000"/>
          <w:spacing w:val="0"/>
          <w:kern w:val="0"/>
          <w:sz w:val="24"/>
          <w:szCs w:val="24"/>
          <w:highlight w:val="none"/>
          <w:lang w:val="en-US"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93DE7A4">
      <w:pPr>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outlineLvl w:val="9"/>
        <w:rPr>
          <w:rFonts w:hint="eastAsia" w:ascii="仿宋" w:hAnsi="仿宋" w:eastAsia="仿宋" w:cs="仿宋"/>
          <w:b/>
          <w:bCs/>
          <w:i w:val="0"/>
          <w:iCs w:val="0"/>
          <w:caps w:val="0"/>
          <w:color w:val="000000"/>
          <w:spacing w:val="0"/>
          <w:kern w:val="0"/>
          <w:sz w:val="24"/>
          <w:szCs w:val="24"/>
          <w:highlight w:val="none"/>
          <w:lang w:val="en-US" w:eastAsia="zh-CN" w:bidi="ar"/>
        </w:rPr>
      </w:pPr>
      <w:r>
        <w:rPr>
          <w:rFonts w:hint="eastAsia" w:ascii="仿宋" w:hAnsi="仿宋" w:eastAsia="仿宋" w:cs="仿宋"/>
          <w:b/>
          <w:bCs/>
          <w:i w:val="0"/>
          <w:iCs w:val="0"/>
          <w:caps w:val="0"/>
          <w:color w:val="000000"/>
          <w:spacing w:val="0"/>
          <w:kern w:val="0"/>
          <w:sz w:val="24"/>
          <w:szCs w:val="24"/>
          <w:highlight w:val="none"/>
          <w:lang w:val="en-US" w:eastAsia="zh-CN" w:bidi="ar"/>
        </w:rPr>
        <w:t>七、对本次采购提出询问，请按以下方式联系</w:t>
      </w:r>
      <w:bookmarkEnd w:id="42"/>
      <w:bookmarkEnd w:id="43"/>
      <w:bookmarkEnd w:id="44"/>
    </w:p>
    <w:p w14:paraId="7D64EBC2">
      <w:pPr>
        <w:pStyle w:val="91"/>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bookmarkStart w:id="45" w:name="_Toc7331"/>
      <w:r>
        <w:rPr>
          <w:rFonts w:hint="eastAsia" w:ascii="仿宋" w:hAnsi="仿宋" w:eastAsia="仿宋" w:cs="仿宋"/>
          <w:i w:val="0"/>
          <w:iCs w:val="0"/>
          <w:caps w:val="0"/>
          <w:color w:val="000000"/>
          <w:spacing w:val="0"/>
          <w:kern w:val="0"/>
          <w:sz w:val="24"/>
          <w:szCs w:val="24"/>
          <w:highlight w:val="none"/>
          <w:lang w:val="en-US" w:eastAsia="zh-CN" w:bidi="ar"/>
        </w:rPr>
        <w:t>1、采购单位信息</w:t>
      </w:r>
      <w:bookmarkEnd w:id="45"/>
    </w:p>
    <w:p w14:paraId="303B5D7C">
      <w:pPr>
        <w:pStyle w:val="91"/>
        <w:pageBreakBefore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采购人名称：墨玉县商务和工业信息化局</w:t>
      </w:r>
    </w:p>
    <w:p w14:paraId="1B8E3475">
      <w:pPr>
        <w:pStyle w:val="91"/>
        <w:pageBreakBefore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 xml:space="preserve">地      址：墨玉县政务中心415        </w:t>
      </w:r>
    </w:p>
    <w:p w14:paraId="139B9382">
      <w:pPr>
        <w:pStyle w:val="91"/>
        <w:pageBreakBefore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 xml:space="preserve">联  系  人：凯德尔丁       </w:t>
      </w:r>
    </w:p>
    <w:p w14:paraId="43F2664D">
      <w:pPr>
        <w:pStyle w:val="91"/>
        <w:pageBreakBefore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联系电话：0903-6511279</w:t>
      </w:r>
    </w:p>
    <w:p w14:paraId="4FFFEC23">
      <w:pPr>
        <w:pStyle w:val="91"/>
        <w:pageBreakBefore w:val="0"/>
        <w:numPr>
          <w:ilvl w:val="0"/>
          <w:numId w:val="5"/>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bookmarkStart w:id="46" w:name="_Toc1309"/>
      <w:r>
        <w:rPr>
          <w:rFonts w:hint="eastAsia" w:ascii="仿宋" w:hAnsi="仿宋" w:eastAsia="仿宋" w:cs="仿宋"/>
          <w:i w:val="0"/>
          <w:iCs w:val="0"/>
          <w:caps w:val="0"/>
          <w:color w:val="000000"/>
          <w:spacing w:val="0"/>
          <w:kern w:val="0"/>
          <w:sz w:val="24"/>
          <w:szCs w:val="24"/>
          <w:highlight w:val="none"/>
          <w:lang w:val="en-US" w:eastAsia="zh-CN" w:bidi="ar"/>
        </w:rPr>
        <w:t>采购代理机构</w:t>
      </w:r>
      <w:bookmarkEnd w:id="46"/>
      <w:r>
        <w:rPr>
          <w:rFonts w:hint="eastAsia" w:ascii="仿宋" w:hAnsi="仿宋" w:eastAsia="仿宋" w:cs="仿宋"/>
          <w:i w:val="0"/>
          <w:iCs w:val="0"/>
          <w:caps w:val="0"/>
          <w:color w:val="000000"/>
          <w:spacing w:val="0"/>
          <w:kern w:val="0"/>
          <w:sz w:val="24"/>
          <w:szCs w:val="24"/>
          <w:highlight w:val="none"/>
          <w:lang w:val="en-US" w:eastAsia="zh-CN" w:bidi="ar"/>
        </w:rPr>
        <w:t>信息</w:t>
      </w:r>
    </w:p>
    <w:p w14:paraId="449497A7">
      <w:pPr>
        <w:pStyle w:val="91"/>
        <w:pageBreakBefore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代理机构名称：墨玉县众信智诚工程项目管理有限公司</w:t>
      </w:r>
    </w:p>
    <w:p w14:paraId="70B897BF">
      <w:pPr>
        <w:pStyle w:val="91"/>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地址：</w:t>
      </w:r>
      <w:bookmarkStart w:id="47" w:name="OLE_LINK69"/>
      <w:r>
        <w:rPr>
          <w:rFonts w:hint="eastAsia" w:ascii="仿宋" w:hAnsi="仿宋" w:eastAsia="仿宋" w:cs="仿宋"/>
          <w:i w:val="0"/>
          <w:iCs w:val="0"/>
          <w:caps w:val="0"/>
          <w:color w:val="000000"/>
          <w:spacing w:val="0"/>
          <w:kern w:val="0"/>
          <w:sz w:val="24"/>
          <w:szCs w:val="24"/>
          <w:highlight w:val="none"/>
          <w:lang w:val="en-US" w:eastAsia="zh-CN" w:bidi="ar"/>
        </w:rPr>
        <w:t xml:space="preserve">墨玉县乐民社区B栋二楼 </w:t>
      </w:r>
      <w:bookmarkEnd w:id="47"/>
      <w:r>
        <w:rPr>
          <w:rFonts w:hint="eastAsia" w:ascii="仿宋" w:hAnsi="仿宋" w:eastAsia="仿宋" w:cs="仿宋"/>
          <w:i w:val="0"/>
          <w:iCs w:val="0"/>
          <w:caps w:val="0"/>
          <w:color w:val="000000"/>
          <w:spacing w:val="0"/>
          <w:kern w:val="0"/>
          <w:sz w:val="24"/>
          <w:szCs w:val="24"/>
          <w:highlight w:val="none"/>
          <w:lang w:val="en-US" w:eastAsia="zh-CN" w:bidi="ar"/>
        </w:rPr>
        <w:t xml:space="preserve">  </w:t>
      </w:r>
    </w:p>
    <w:p w14:paraId="1CB6E4EE">
      <w:pPr>
        <w:pStyle w:val="91"/>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项目联系人：徐工    </w:t>
      </w:r>
    </w:p>
    <w:p w14:paraId="6501C0F4">
      <w:pPr>
        <w:pStyle w:val="91"/>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 xml:space="preserve">联系电话：0903-6530990   </w:t>
      </w:r>
    </w:p>
    <w:p w14:paraId="03A9323B">
      <w:pPr>
        <w:pStyle w:val="91"/>
        <w:pageBreakBefore w:val="0"/>
        <w:numPr>
          <w:ilvl w:val="0"/>
          <w:numId w:val="5"/>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同级政府采购监督管理部门</w:t>
      </w:r>
    </w:p>
    <w:p w14:paraId="775E2A6F">
      <w:pPr>
        <w:pStyle w:val="91"/>
        <w:pageBreakBefore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名称：墨玉县财政局</w:t>
      </w:r>
    </w:p>
    <w:p w14:paraId="3E0D406D">
      <w:pPr>
        <w:pStyle w:val="91"/>
        <w:pageBreakBefore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地址：墨玉县行政服务中心</w:t>
      </w:r>
    </w:p>
    <w:p w14:paraId="2A792FAA">
      <w:pPr>
        <w:pStyle w:val="91"/>
        <w:pageBreakBefore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联系人：杨先生</w:t>
      </w:r>
    </w:p>
    <w:p w14:paraId="009B0485">
      <w:pPr>
        <w:pStyle w:val="91"/>
        <w:pageBreakBefore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联系电话：0903-6565062</w:t>
      </w:r>
    </w:p>
    <w:bookmarkEnd w:id="5"/>
    <w:p w14:paraId="34F92D1E">
      <w:pPr>
        <w:pStyle w:val="178"/>
        <w:pageBreakBefore w:val="0"/>
        <w:kinsoku/>
        <w:wordWrap/>
        <w:topLinePunct w:val="0"/>
        <w:bidi w:val="0"/>
        <w:spacing w:line="360" w:lineRule="auto"/>
        <w:ind w:left="0" w:leftChars="0" w:firstLine="0" w:firstLineChars="0"/>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br w:type="page"/>
      </w:r>
      <w:r>
        <w:rPr>
          <w:rFonts w:hint="eastAsia" w:ascii="仿宋" w:hAnsi="仿宋" w:eastAsia="仿宋" w:cs="仿宋"/>
          <w:b/>
          <w:bCs/>
          <w:i w:val="0"/>
          <w:iCs w:val="0"/>
          <w:caps w:val="0"/>
          <w:color w:val="auto"/>
          <w:spacing w:val="0"/>
          <w:kern w:val="0"/>
          <w:sz w:val="24"/>
          <w:szCs w:val="24"/>
          <w:highlight w:val="none"/>
          <w:lang w:val="en-US" w:eastAsia="zh-CN" w:bidi="ar"/>
        </w:rPr>
        <w:t>特别提醒：</w:t>
      </w:r>
    </w:p>
    <w:p w14:paraId="721E9D18">
      <w:pPr>
        <w:spacing w:line="360" w:lineRule="auto"/>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1、投标企业采用银行转账或电汇的方式的，投标保证金由投标人基本账户汇出（投标保证金需一笔汇出，分笔汇出银行系统将不予统计），且不得以分公司的名义转账，投标保证金需在</w:t>
      </w:r>
      <w:r>
        <w:rPr>
          <w:rFonts w:hint="eastAsia" w:ascii="仿宋" w:hAnsi="仿宋" w:eastAsia="仿宋" w:cs="仿宋"/>
          <w:b/>
          <w:bCs/>
          <w:color w:val="auto"/>
          <w:kern w:val="2"/>
          <w:sz w:val="24"/>
          <w:szCs w:val="24"/>
          <w:highlight w:val="none"/>
          <w:lang w:val="en-US" w:eastAsia="zh-CN" w:bidi="ar-SA"/>
        </w:rPr>
        <w:t>投标截止时间之前</w:t>
      </w:r>
      <w:r>
        <w:rPr>
          <w:rFonts w:hint="eastAsia" w:ascii="仿宋" w:hAnsi="仿宋" w:eastAsia="仿宋" w:cs="仿宋"/>
          <w:b/>
          <w:bCs/>
          <w:i w:val="0"/>
          <w:iCs w:val="0"/>
          <w:caps w:val="0"/>
          <w:color w:val="auto"/>
          <w:spacing w:val="0"/>
          <w:kern w:val="0"/>
          <w:sz w:val="24"/>
          <w:szCs w:val="24"/>
          <w:highlight w:val="none"/>
          <w:lang w:val="en-US" w:eastAsia="zh-CN" w:bidi="ar"/>
        </w:rPr>
        <w:t>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14:paraId="10BD4C48">
      <w:pPr>
        <w:spacing w:line="360" w:lineRule="auto"/>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2、投标企业下载招标文件后请仔细阅读，如对招标文件内容有质疑，投标人应在投标截止7日前按招标文件中载明的邮箱：3060380044@qq.com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6FC49AAC">
      <w:pPr>
        <w:spacing w:line="360" w:lineRule="auto"/>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3、退保证金说明：为了方便各企业投标保证金能在公示期后及时退回，请在开标结束后向墨玉县公共资源交易平台中心提供以下材料：</w:t>
      </w:r>
    </w:p>
    <w:p w14:paraId="1B6757EA">
      <w:pPr>
        <w:spacing w:line="360" w:lineRule="auto"/>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所有复印件上必须加盖公司公章发送至3681167191@qq.com，联系电话：0903-7863806；</w:t>
      </w:r>
    </w:p>
    <w:p w14:paraId="564CFDF4">
      <w:pPr>
        <w:spacing w:line="360" w:lineRule="auto"/>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（1）开户许可证复印件或账户基本信息（与缴纳投标保证金账户一致）；</w:t>
      </w:r>
    </w:p>
    <w:p w14:paraId="5F63A060">
      <w:pPr>
        <w:spacing w:line="360" w:lineRule="auto"/>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（2）法人身份证复印件或办理退付手续委托书原件；</w:t>
      </w:r>
    </w:p>
    <w:p w14:paraId="58BAC6C1">
      <w:pPr>
        <w:spacing w:line="360" w:lineRule="auto"/>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（3）该公司缴纳投标保证金回单；</w:t>
      </w:r>
    </w:p>
    <w:p w14:paraId="6EC28694">
      <w:pPr>
        <w:spacing w:line="360" w:lineRule="auto"/>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（4）该公司所开具的收据。</w:t>
      </w:r>
    </w:p>
    <w:p w14:paraId="7B7EE38B">
      <w:pPr>
        <w:spacing w:line="360" w:lineRule="auto"/>
        <w:ind w:left="0" w:leftChars="0" w:firstLine="482" w:firstLineChars="200"/>
        <w:jc w:val="left"/>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中标企业应在签订合同后5个工作日内，另行提供；甲方单位关于退付投标保证金证明原件、中标通知书和合同复印件（合同第一部分及质保约定部分）、缴纳履约保证金的收据复印件（不缴纳履约保证金的忽略）；</w:t>
      </w:r>
    </w:p>
    <w:p w14:paraId="2D2FCF64">
      <w:pPr>
        <w:pStyle w:val="17"/>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4.电子保函使用方法：1、登录新疆维吾尔自治区政府采购网，首页点击“电子保函”直接进入新疆政府采购电子保函申请页，点击【立即申请】2、依次完善页面显示的投保人信息（供应商信息），确认您要投保的项目信息，在投保项目选择页面选择您需要投保的项目（可根据项目名称或项目保函进行搜索），选择投保项目后填写被保险人信息及投保内容。服务热线：400-9039583</w:t>
      </w:r>
    </w:p>
    <w:p w14:paraId="2C3AFF4C">
      <w:pPr>
        <w:widowControl/>
        <w:spacing w:line="240" w:lineRule="auto"/>
        <w:ind w:left="141" w:hanging="141"/>
        <w:jc w:val="center"/>
        <w:outlineLvl w:val="0"/>
        <w:rPr>
          <w:rFonts w:hint="eastAsia" w:ascii="仿宋" w:hAnsi="仿宋" w:eastAsia="仿宋" w:cs="仿宋"/>
          <w:b/>
          <w:bCs w:val="0"/>
          <w:sz w:val="36"/>
          <w:szCs w:val="36"/>
          <w:highlight w:val="none"/>
        </w:rPr>
      </w:pPr>
      <w:bookmarkStart w:id="48" w:name="_Toc18311"/>
      <w:bookmarkStart w:id="49" w:name="_Toc7035"/>
      <w:bookmarkStart w:id="50" w:name="_Toc16152"/>
      <w:r>
        <w:rPr>
          <w:rFonts w:hint="eastAsia" w:ascii="仿宋" w:hAnsi="仿宋" w:eastAsia="仿宋" w:cs="仿宋"/>
          <w:b w:val="0"/>
          <w:bCs/>
          <w:sz w:val="28"/>
          <w:szCs w:val="28"/>
          <w:highlight w:val="none"/>
        </w:rPr>
        <w:br w:type="page"/>
      </w:r>
      <w:r>
        <w:rPr>
          <w:rFonts w:hint="eastAsia" w:ascii="仿宋" w:hAnsi="仿宋" w:eastAsia="仿宋" w:cs="仿宋"/>
          <w:b/>
          <w:bCs w:val="0"/>
          <w:sz w:val="36"/>
          <w:szCs w:val="36"/>
          <w:highlight w:val="none"/>
        </w:rPr>
        <w:t>第二章  投标人须知</w:t>
      </w:r>
      <w:bookmarkEnd w:id="48"/>
      <w:bookmarkEnd w:id="49"/>
      <w:bookmarkEnd w:id="50"/>
    </w:p>
    <w:p w14:paraId="76757E4D">
      <w:pPr>
        <w:widowControl/>
        <w:spacing w:line="320" w:lineRule="exact"/>
        <w:ind w:left="141" w:hanging="141"/>
        <w:rPr>
          <w:rFonts w:hint="eastAsia" w:ascii="仿宋" w:hAnsi="仿宋" w:eastAsia="仿宋" w:cs="仿宋"/>
          <w:b w:val="0"/>
          <w:bCs/>
          <w:sz w:val="28"/>
          <w:szCs w:val="28"/>
          <w:highlight w:val="none"/>
        </w:rPr>
      </w:pPr>
    </w:p>
    <w:p w14:paraId="345E7090">
      <w:pPr>
        <w:widowControl/>
        <w:spacing w:line="320" w:lineRule="exact"/>
        <w:ind w:left="141" w:hanging="141"/>
        <w:jc w:val="center"/>
        <w:outlineLvl w:val="1"/>
        <w:rPr>
          <w:rFonts w:hint="eastAsia" w:ascii="仿宋" w:hAnsi="仿宋" w:eastAsia="仿宋" w:cs="仿宋"/>
          <w:b w:val="0"/>
          <w:bCs/>
          <w:sz w:val="32"/>
          <w:szCs w:val="32"/>
          <w:highlight w:val="none"/>
        </w:rPr>
      </w:pPr>
      <w:bookmarkStart w:id="51" w:name="_Toc10036"/>
      <w:r>
        <w:rPr>
          <w:rFonts w:hint="eastAsia" w:ascii="仿宋" w:hAnsi="仿宋" w:eastAsia="仿宋" w:cs="仿宋"/>
          <w:b w:val="0"/>
          <w:bCs/>
          <w:sz w:val="32"/>
          <w:szCs w:val="32"/>
          <w:highlight w:val="none"/>
        </w:rPr>
        <w:t>投标人须知前附表</w:t>
      </w:r>
      <w:bookmarkEnd w:id="51"/>
    </w:p>
    <w:p w14:paraId="7E423B99">
      <w:pPr>
        <w:widowControl/>
        <w:spacing w:line="320" w:lineRule="exact"/>
        <w:ind w:left="141" w:hanging="141"/>
        <w:jc w:val="center"/>
        <w:rPr>
          <w:rFonts w:hint="eastAsia" w:ascii="仿宋" w:hAnsi="仿宋" w:eastAsia="仿宋" w:cs="仿宋"/>
          <w:b/>
          <w:sz w:val="28"/>
          <w:szCs w:val="28"/>
          <w:highlight w:val="none"/>
        </w:rPr>
      </w:pPr>
    </w:p>
    <w:tbl>
      <w:tblPr>
        <w:tblStyle w:val="71"/>
        <w:tblW w:w="95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27"/>
        <w:gridCol w:w="1616"/>
        <w:gridCol w:w="7512"/>
      </w:tblGrid>
      <w:tr w14:paraId="29A73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jc w:val="center"/>
        </w:trPr>
        <w:tc>
          <w:tcPr>
            <w:tcW w:w="427" w:type="dxa"/>
            <w:tcBorders>
              <w:top w:val="single" w:color="auto" w:sz="12" w:space="0"/>
            </w:tcBorders>
            <w:noWrap w:val="0"/>
            <w:vAlign w:val="center"/>
          </w:tcPr>
          <w:p w14:paraId="001466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616" w:type="dxa"/>
            <w:tcBorders>
              <w:top w:val="single" w:color="auto" w:sz="12" w:space="0"/>
              <w:right w:val="single" w:color="auto" w:sz="4" w:space="0"/>
            </w:tcBorders>
            <w:noWrap w:val="0"/>
            <w:vAlign w:val="center"/>
          </w:tcPr>
          <w:p w14:paraId="0C076A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条款名称</w:t>
            </w:r>
          </w:p>
        </w:tc>
        <w:tc>
          <w:tcPr>
            <w:tcW w:w="7512" w:type="dxa"/>
            <w:tcBorders>
              <w:top w:val="single" w:color="auto" w:sz="12" w:space="0"/>
              <w:left w:val="single" w:color="auto" w:sz="4" w:space="0"/>
            </w:tcBorders>
            <w:noWrap w:val="0"/>
            <w:vAlign w:val="center"/>
          </w:tcPr>
          <w:p w14:paraId="63AF6C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说明和要求</w:t>
            </w:r>
          </w:p>
        </w:tc>
      </w:tr>
      <w:tr w14:paraId="1B9F4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0" w:hRule="atLeast"/>
          <w:jc w:val="center"/>
        </w:trPr>
        <w:tc>
          <w:tcPr>
            <w:tcW w:w="427" w:type="dxa"/>
            <w:noWrap w:val="0"/>
            <w:vAlign w:val="center"/>
          </w:tcPr>
          <w:p w14:paraId="42B346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616" w:type="dxa"/>
            <w:tcBorders>
              <w:right w:val="single" w:color="auto" w:sz="4" w:space="0"/>
            </w:tcBorders>
            <w:noWrap w:val="0"/>
            <w:vAlign w:val="center"/>
          </w:tcPr>
          <w:p w14:paraId="25828E4E">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w:t>
            </w:r>
          </w:p>
        </w:tc>
        <w:tc>
          <w:tcPr>
            <w:tcW w:w="7512" w:type="dxa"/>
            <w:tcBorders>
              <w:left w:val="single" w:color="auto" w:sz="4" w:space="0"/>
            </w:tcBorders>
            <w:noWrap w:val="0"/>
            <w:vAlign w:val="center"/>
          </w:tcPr>
          <w:p w14:paraId="38FBF0B6">
            <w:pPr>
              <w:pStyle w:val="91"/>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采购人名称：墨玉县商务和工业信息化局</w:t>
            </w:r>
          </w:p>
          <w:p w14:paraId="2C651B08">
            <w:pPr>
              <w:pStyle w:val="91"/>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 xml:space="preserve">地址：墨玉县政务中心415        </w:t>
            </w:r>
          </w:p>
          <w:p w14:paraId="19BF5DB7">
            <w:pPr>
              <w:pStyle w:val="91"/>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 w:hAnsi="仿宋" w:eastAsia="仿宋" w:cs="仿宋"/>
                <w:i w:val="0"/>
                <w:iCs w:val="0"/>
                <w:caps w:val="0"/>
                <w:color w:val="000000"/>
                <w:spacing w:val="0"/>
                <w:kern w:val="0"/>
                <w:sz w:val="24"/>
                <w:szCs w:val="24"/>
                <w:highlight w:val="none"/>
                <w:lang w:val="en-US" w:eastAsia="zh-CN" w:bidi="ar"/>
              </w:rPr>
              <w:t xml:space="preserve">联系人：凯德尔丁       </w:t>
            </w:r>
          </w:p>
          <w:p w14:paraId="3365A44A">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i w:val="0"/>
                <w:iCs w:val="0"/>
                <w:caps w:val="0"/>
                <w:color w:val="000000"/>
                <w:spacing w:val="0"/>
                <w:kern w:val="0"/>
                <w:sz w:val="24"/>
                <w:szCs w:val="24"/>
                <w:highlight w:val="none"/>
                <w:lang w:val="en-US" w:eastAsia="zh-CN" w:bidi="ar"/>
              </w:rPr>
              <w:t>联系电话：0903-6511279</w:t>
            </w:r>
          </w:p>
        </w:tc>
      </w:tr>
      <w:tr w14:paraId="4C45A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5" w:hRule="atLeast"/>
          <w:jc w:val="center"/>
        </w:trPr>
        <w:tc>
          <w:tcPr>
            <w:tcW w:w="427" w:type="dxa"/>
            <w:noWrap w:val="0"/>
            <w:vAlign w:val="center"/>
          </w:tcPr>
          <w:p w14:paraId="18A126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616" w:type="dxa"/>
            <w:tcBorders>
              <w:right w:val="single" w:color="auto" w:sz="4" w:space="0"/>
            </w:tcBorders>
            <w:noWrap w:val="0"/>
            <w:vAlign w:val="center"/>
          </w:tcPr>
          <w:p w14:paraId="68A8A89B">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代理机构</w:t>
            </w:r>
          </w:p>
        </w:tc>
        <w:tc>
          <w:tcPr>
            <w:tcW w:w="7512" w:type="dxa"/>
            <w:tcBorders>
              <w:left w:val="single" w:color="auto" w:sz="4" w:space="0"/>
            </w:tcBorders>
            <w:noWrap w:val="0"/>
            <w:vAlign w:val="center"/>
          </w:tcPr>
          <w:p w14:paraId="613907D0">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称：墨玉县众信智诚工程项目管理有限公司</w:t>
            </w:r>
          </w:p>
          <w:p w14:paraId="57946006">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  址：墨玉县乐民社区B栋二楼</w:t>
            </w:r>
          </w:p>
          <w:p w14:paraId="34B198E2">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联系人：</w:t>
            </w:r>
            <w:bookmarkStart w:id="52" w:name="OLE_LINK26"/>
            <w:r>
              <w:rPr>
                <w:rFonts w:hint="eastAsia" w:ascii="仿宋" w:hAnsi="仿宋" w:eastAsia="仿宋" w:cs="仿宋"/>
                <w:sz w:val="24"/>
                <w:szCs w:val="24"/>
                <w:highlight w:val="none"/>
                <w:lang w:val="en-US" w:eastAsia="zh-CN"/>
              </w:rPr>
              <w:t>徐工</w:t>
            </w:r>
            <w:bookmarkEnd w:id="52"/>
          </w:p>
          <w:p w14:paraId="26860F33">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电  话：0903-6530990</w:t>
            </w:r>
          </w:p>
        </w:tc>
      </w:tr>
      <w:tr w14:paraId="57705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7" w:hRule="atLeast"/>
          <w:jc w:val="center"/>
        </w:trPr>
        <w:tc>
          <w:tcPr>
            <w:tcW w:w="427" w:type="dxa"/>
            <w:noWrap w:val="0"/>
            <w:vAlign w:val="center"/>
          </w:tcPr>
          <w:p w14:paraId="4A0149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616" w:type="dxa"/>
            <w:tcBorders>
              <w:right w:val="single" w:color="auto" w:sz="4" w:space="0"/>
            </w:tcBorders>
            <w:noWrap w:val="0"/>
            <w:vAlign w:val="center"/>
          </w:tcPr>
          <w:p w14:paraId="13A6CA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采购项目名称</w:t>
            </w:r>
            <w:r>
              <w:rPr>
                <w:rFonts w:hint="eastAsia" w:ascii="仿宋" w:hAnsi="仿宋" w:eastAsia="仿宋" w:cs="仿宋"/>
                <w:sz w:val="24"/>
                <w:szCs w:val="24"/>
                <w:highlight w:val="none"/>
                <w:lang w:val="en-US" w:eastAsia="zh-CN"/>
              </w:rPr>
              <w:t>及项目编号</w:t>
            </w:r>
          </w:p>
        </w:tc>
        <w:tc>
          <w:tcPr>
            <w:tcW w:w="7512" w:type="dxa"/>
            <w:tcBorders>
              <w:left w:val="single" w:color="auto" w:sz="4" w:space="0"/>
            </w:tcBorders>
            <w:noWrap w:val="0"/>
            <w:vAlign w:val="center"/>
          </w:tcPr>
          <w:p w14:paraId="47122B52">
            <w:pPr>
              <w:pStyle w:val="44"/>
              <w:keepNext w:val="0"/>
              <w:keepLines w:val="0"/>
              <w:pageBreakBefore w:val="0"/>
              <w:suppressLineNumbers w:val="0"/>
              <w:kinsoku/>
              <w:wordWrap/>
              <w:topLinePunct w:val="0"/>
              <w:autoSpaceDE/>
              <w:autoSpaceDN/>
              <w:bidi w:val="0"/>
              <w:adjustRightInd/>
              <w:snapToGrid w:val="0"/>
              <w:spacing w:before="0" w:beforeAutospacing="0" w:after="0" w:afterAutospacing="0" w:line="300" w:lineRule="exac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4"/>
                <w:highlight w:val="none"/>
                <w:lang w:val="en-US" w:eastAsia="zh-CN"/>
              </w:rPr>
              <w:t>2025年墨玉县市场援疆消费帮扶项目农产品</w:t>
            </w:r>
          </w:p>
          <w:p w14:paraId="3C51672C">
            <w:pPr>
              <w:pStyle w:val="44"/>
              <w:keepNext w:val="0"/>
              <w:keepLines w:val="0"/>
              <w:pageBreakBefore w:val="0"/>
              <w:suppressLineNumbers w:val="0"/>
              <w:kinsoku/>
              <w:wordWrap/>
              <w:topLinePunct w:val="0"/>
              <w:autoSpaceDE/>
              <w:autoSpaceDN/>
              <w:bidi w:val="0"/>
              <w:adjustRightInd/>
              <w:snapToGrid w:val="0"/>
              <w:spacing w:before="0" w:beforeAutospacing="0" w:after="0" w:afterAutospacing="0" w:line="300" w:lineRule="exact"/>
              <w:ind w:left="239" w:leftChars="114" w:firstLine="840" w:firstLineChars="350"/>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地铁展厅建设及运营服务</w:t>
            </w:r>
          </w:p>
          <w:p w14:paraId="3C9F070D">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eastAsia="zh-CN"/>
              </w:rPr>
              <w:t>ZXZC-MYXCG-2025-0</w:t>
            </w:r>
            <w:r>
              <w:rPr>
                <w:rFonts w:hint="eastAsia" w:ascii="仿宋" w:hAnsi="仿宋" w:eastAsia="仿宋" w:cs="仿宋"/>
                <w:color w:val="000000"/>
                <w:sz w:val="24"/>
                <w:szCs w:val="24"/>
                <w:highlight w:val="none"/>
                <w:lang w:val="en-US" w:eastAsia="zh-CN"/>
              </w:rPr>
              <w:t>31</w:t>
            </w:r>
            <w:r>
              <w:rPr>
                <w:rFonts w:hint="eastAsia" w:ascii="仿宋" w:hAnsi="仿宋" w:eastAsia="仿宋" w:cs="仿宋"/>
                <w:color w:val="000000"/>
                <w:sz w:val="24"/>
                <w:szCs w:val="24"/>
                <w:highlight w:val="none"/>
                <w:lang w:eastAsia="zh-CN"/>
              </w:rPr>
              <w:t>号</w:t>
            </w:r>
          </w:p>
        </w:tc>
      </w:tr>
      <w:tr w14:paraId="61AC3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427" w:type="dxa"/>
            <w:noWrap w:val="0"/>
            <w:vAlign w:val="center"/>
          </w:tcPr>
          <w:p w14:paraId="61D9A2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616" w:type="dxa"/>
            <w:tcBorders>
              <w:right w:val="single" w:color="auto" w:sz="4" w:space="0"/>
            </w:tcBorders>
            <w:noWrap w:val="0"/>
            <w:vAlign w:val="center"/>
          </w:tcPr>
          <w:p w14:paraId="6CD5C5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采购内容</w:t>
            </w:r>
          </w:p>
        </w:tc>
        <w:tc>
          <w:tcPr>
            <w:tcW w:w="7512" w:type="dxa"/>
            <w:tcBorders>
              <w:left w:val="single" w:color="auto" w:sz="4" w:space="0"/>
            </w:tcBorders>
            <w:noWrap w:val="0"/>
            <w:vAlign w:val="center"/>
          </w:tcPr>
          <w:p w14:paraId="049DBC2A">
            <w:pPr>
              <w:pStyle w:val="66"/>
              <w:keepNext w:val="0"/>
              <w:keepLines w:val="0"/>
              <w:widowControl/>
              <w:suppressLineNumbers w:val="0"/>
              <w:spacing w:before="75" w:beforeAutospacing="0" w:after="75" w:afterAutospacing="0" w:line="240" w:lineRule="auto"/>
              <w:ind w:left="239" w:leftChars="114" w:right="0" w:firstLine="360" w:firstLineChars="150"/>
              <w:jc w:val="both"/>
              <w:rPr>
                <w:rFonts w:hint="eastAsia" w:ascii="仿宋" w:hAnsi="仿宋" w:eastAsia="仿宋" w:cs="仿宋"/>
                <w:sz w:val="24"/>
                <w:szCs w:val="24"/>
                <w:highlight w:val="none"/>
                <w:lang w:eastAsia="zh-CN"/>
              </w:rPr>
            </w:pPr>
            <w:bookmarkStart w:id="53" w:name="OLE_LINK33"/>
            <w:r>
              <w:rPr>
                <w:rFonts w:hint="eastAsia" w:ascii="仿宋" w:hAnsi="仿宋" w:eastAsia="仿宋" w:cs="仿宋"/>
                <w:color w:val="000000"/>
                <w:sz w:val="24"/>
                <w:szCs w:val="24"/>
                <w:highlight w:val="none"/>
                <w:lang w:val="en-US" w:eastAsia="zh-CN"/>
              </w:rPr>
              <w:t>在地铁站搭建城市会客厅和地铁小站，对和田地区优质特色农产品进行集中展示展销，全面、深入地呈现和田地区衣产品绿色、新鲜、高品质的特性，打造具有独特特色的和田墨玉高质量农产品品牌，提升品牌在城市的知名度与美誉度。</w:t>
            </w:r>
            <w:r>
              <w:rPr>
                <w:rFonts w:hint="eastAsia" w:ascii="仿宋" w:hAnsi="仿宋" w:eastAsia="仿宋" w:cs="仿宋"/>
                <w:b w:val="0"/>
                <w:bCs w:val="0"/>
                <w:i w:val="0"/>
                <w:iCs w:val="0"/>
                <w:caps w:val="0"/>
                <w:color w:val="auto"/>
                <w:spacing w:val="0"/>
                <w:sz w:val="24"/>
                <w:szCs w:val="24"/>
                <w:highlight w:val="none"/>
                <w:lang w:val="en-US" w:eastAsia="zh-CN"/>
              </w:rPr>
              <w:t>（具体以招标文件需求为准）</w:t>
            </w:r>
            <w:bookmarkEnd w:id="53"/>
          </w:p>
        </w:tc>
      </w:tr>
      <w:tr w14:paraId="0B878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427" w:type="dxa"/>
            <w:noWrap w:val="0"/>
            <w:vAlign w:val="center"/>
          </w:tcPr>
          <w:p w14:paraId="6D3A2F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616" w:type="dxa"/>
            <w:tcBorders>
              <w:right w:val="single" w:color="auto" w:sz="4" w:space="0"/>
            </w:tcBorders>
            <w:noWrap w:val="0"/>
            <w:vAlign w:val="center"/>
          </w:tcPr>
          <w:p w14:paraId="1B11E3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资金来源</w:t>
            </w:r>
          </w:p>
        </w:tc>
        <w:tc>
          <w:tcPr>
            <w:tcW w:w="7512" w:type="dxa"/>
            <w:tcBorders>
              <w:left w:val="single" w:color="auto" w:sz="4" w:space="0"/>
            </w:tcBorders>
            <w:noWrap w:val="0"/>
            <w:vAlign w:val="center"/>
          </w:tcPr>
          <w:p w14:paraId="23A916EF">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北京市对口援助资金</w:t>
            </w:r>
          </w:p>
        </w:tc>
      </w:tr>
      <w:tr w14:paraId="29E86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099265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616" w:type="dxa"/>
            <w:tcBorders>
              <w:right w:val="single" w:color="auto" w:sz="4" w:space="0"/>
            </w:tcBorders>
            <w:noWrap w:val="0"/>
            <w:vAlign w:val="center"/>
          </w:tcPr>
          <w:p w14:paraId="64C72AF6">
            <w:pPr>
              <w:keepNext w:val="0"/>
              <w:keepLines w:val="0"/>
              <w:pageBreakBefore w:val="0"/>
              <w:suppressLineNumbers w:val="0"/>
              <w:tabs>
                <w:tab w:val="left" w:pos="900"/>
              </w:tabs>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预算价及最高限价</w:t>
            </w:r>
          </w:p>
        </w:tc>
        <w:tc>
          <w:tcPr>
            <w:tcW w:w="7512" w:type="dxa"/>
            <w:tcBorders>
              <w:left w:val="single" w:color="auto" w:sz="4" w:space="0"/>
            </w:tcBorders>
            <w:noWrap w:val="0"/>
            <w:vAlign w:val="center"/>
          </w:tcPr>
          <w:p w14:paraId="11B96186">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sz w:val="24"/>
                <w:szCs w:val="24"/>
                <w:highlight w:val="none"/>
                <w:lang w:val="en-US" w:eastAsia="zh-CN"/>
              </w:rPr>
              <w:t>预算价：</w:t>
            </w:r>
            <w:bookmarkStart w:id="54" w:name="OLE_LINK14"/>
            <w:r>
              <w:rPr>
                <w:rFonts w:hint="eastAsia" w:ascii="仿宋" w:hAnsi="仿宋" w:eastAsia="仿宋" w:cs="仿宋"/>
                <w:i w:val="0"/>
                <w:iCs w:val="0"/>
                <w:caps w:val="0"/>
                <w:color w:val="000000"/>
                <w:spacing w:val="0"/>
                <w:sz w:val="24"/>
                <w:szCs w:val="24"/>
                <w:highlight w:val="none"/>
                <w:lang w:val="en-US" w:eastAsia="zh-CN"/>
              </w:rPr>
              <w:t>300万元</w:t>
            </w:r>
            <w:bookmarkEnd w:id="54"/>
          </w:p>
          <w:p w14:paraId="0823A0DD">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本项目最高限价</w:t>
            </w:r>
            <w:r>
              <w:rPr>
                <w:rFonts w:hint="eastAsia" w:ascii="仿宋" w:hAnsi="仿宋" w:eastAsia="仿宋" w:cs="仿宋"/>
                <w:i w:val="0"/>
                <w:iCs w:val="0"/>
                <w:caps w:val="0"/>
                <w:color w:val="000000"/>
                <w:spacing w:val="0"/>
                <w:sz w:val="24"/>
                <w:szCs w:val="24"/>
                <w:highlight w:val="none"/>
                <w:lang w:val="en-US" w:eastAsia="zh-CN"/>
              </w:rPr>
              <w:t>300万元</w:t>
            </w:r>
            <w:r>
              <w:rPr>
                <w:rFonts w:hint="eastAsia" w:ascii="仿宋" w:hAnsi="仿宋" w:eastAsia="仿宋" w:cs="仿宋"/>
                <w:sz w:val="24"/>
                <w:szCs w:val="24"/>
                <w:highlight w:val="none"/>
                <w:lang w:val="en-US" w:eastAsia="zh-CN"/>
              </w:rPr>
              <w:t>（此采购预算为最高限价、如超过预算价的报价为无效报价）</w:t>
            </w:r>
          </w:p>
          <w:p w14:paraId="29B6B40F">
            <w:pPr>
              <w:keepNext w:val="0"/>
              <w:keepLines w:val="0"/>
              <w:pageBreakBefore w:val="0"/>
              <w:suppressLineNumbers w:val="0"/>
              <w:tabs>
                <w:tab w:val="left" w:pos="900"/>
              </w:tabs>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rPr>
              <w:t>投标报价高于预算限价按废标处理，敬请投标人注意</w:t>
            </w:r>
            <w:r>
              <w:rPr>
                <w:rFonts w:hint="eastAsia" w:ascii="仿宋" w:hAnsi="仿宋" w:eastAsia="仿宋" w:cs="仿宋"/>
                <w:b/>
                <w:bCs/>
                <w:color w:val="auto"/>
                <w:kern w:val="0"/>
                <w:sz w:val="24"/>
                <w:szCs w:val="24"/>
                <w:highlight w:val="none"/>
                <w:lang w:eastAsia="zh-CN"/>
              </w:rPr>
              <w:t>！</w:t>
            </w:r>
          </w:p>
        </w:tc>
      </w:tr>
      <w:tr w14:paraId="784BF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38AB95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616" w:type="dxa"/>
            <w:tcBorders>
              <w:right w:val="single" w:color="auto" w:sz="4" w:space="0"/>
            </w:tcBorders>
            <w:noWrap w:val="0"/>
            <w:vAlign w:val="center"/>
          </w:tcPr>
          <w:p w14:paraId="39BA65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采购方式</w:t>
            </w:r>
          </w:p>
        </w:tc>
        <w:tc>
          <w:tcPr>
            <w:tcW w:w="7512" w:type="dxa"/>
            <w:tcBorders>
              <w:left w:val="single" w:color="auto" w:sz="4" w:space="0"/>
            </w:tcBorders>
            <w:noWrap w:val="0"/>
            <w:vAlign w:val="center"/>
          </w:tcPr>
          <w:p w14:paraId="23F039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公开招标</w:t>
            </w:r>
          </w:p>
        </w:tc>
      </w:tr>
      <w:tr w14:paraId="4D3C3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54794B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616" w:type="dxa"/>
            <w:tcBorders>
              <w:right w:val="single" w:color="auto" w:sz="4" w:space="0"/>
            </w:tcBorders>
            <w:noWrap w:val="0"/>
            <w:vAlign w:val="center"/>
          </w:tcPr>
          <w:p w14:paraId="3B14C7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评标方法</w:t>
            </w:r>
          </w:p>
        </w:tc>
        <w:tc>
          <w:tcPr>
            <w:tcW w:w="7512" w:type="dxa"/>
            <w:tcBorders>
              <w:left w:val="single" w:color="auto" w:sz="4" w:space="0"/>
            </w:tcBorders>
            <w:noWrap w:val="0"/>
            <w:vAlign w:val="center"/>
          </w:tcPr>
          <w:p w14:paraId="47794146">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根据《政府采购货物和服务招标投标管理办法》（中华人民共和国财政部令第87号）规定的评审标准，采用综合评分法。</w:t>
            </w:r>
          </w:p>
        </w:tc>
      </w:tr>
      <w:tr w14:paraId="5D8BF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4C5E10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616" w:type="dxa"/>
            <w:tcBorders>
              <w:right w:val="single" w:color="auto" w:sz="4" w:space="0"/>
            </w:tcBorders>
            <w:noWrap w:val="0"/>
            <w:vAlign w:val="center"/>
          </w:tcPr>
          <w:p w14:paraId="6CA01E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信息公告媒体</w:t>
            </w:r>
          </w:p>
        </w:tc>
        <w:tc>
          <w:tcPr>
            <w:tcW w:w="7512" w:type="dxa"/>
            <w:tcBorders>
              <w:left w:val="single" w:color="auto" w:sz="4" w:space="0"/>
            </w:tcBorders>
            <w:noWrap w:val="0"/>
            <w:vAlign w:val="center"/>
          </w:tcPr>
          <w:p w14:paraId="34330A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新疆政府采购网（http://www.ccgp-xinjiang.gov.cn/）</w:t>
            </w:r>
          </w:p>
        </w:tc>
      </w:tr>
      <w:tr w14:paraId="44C4C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46ACF6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616" w:type="dxa"/>
            <w:tcBorders>
              <w:right w:val="single" w:color="auto" w:sz="4" w:space="0"/>
            </w:tcBorders>
            <w:noWrap w:val="0"/>
            <w:vAlign w:val="center"/>
          </w:tcPr>
          <w:p w14:paraId="6D5DED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资格要求</w:t>
            </w:r>
          </w:p>
        </w:tc>
        <w:tc>
          <w:tcPr>
            <w:tcW w:w="7512" w:type="dxa"/>
            <w:tcBorders>
              <w:left w:val="single" w:color="auto" w:sz="4" w:space="0"/>
            </w:tcBorders>
            <w:noWrap w:val="0"/>
            <w:vAlign w:val="center"/>
          </w:tcPr>
          <w:p w14:paraId="1F7116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投标供应商资格要求：</w:t>
            </w:r>
          </w:p>
          <w:p w14:paraId="1CF5D039">
            <w:pPr>
              <w:pStyle w:val="66"/>
              <w:keepNext w:val="0"/>
              <w:keepLines w:val="0"/>
              <w:pageBreakBefore w:val="0"/>
              <w:suppressLineNumbers w:val="0"/>
              <w:kinsoku/>
              <w:wordWrap/>
              <w:topLinePunct w:val="0"/>
              <w:autoSpaceDE/>
              <w:autoSpaceDN/>
              <w:bidi w:val="0"/>
              <w:adjustRightInd/>
              <w:spacing w:before="75" w:beforeAutospacing="0" w:after="75" w:afterAutospacing="0" w:line="300" w:lineRule="exact"/>
              <w:ind w:left="0" w:right="0" w:firstLine="0" w:firstLineChars="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1.满足《中华人民共和国政府采购法》第二十二条规定；</w:t>
            </w:r>
          </w:p>
          <w:p w14:paraId="04E8A602">
            <w:pPr>
              <w:pStyle w:val="20"/>
              <w:keepNext w:val="0"/>
              <w:keepLines w:val="0"/>
              <w:pageBreakBefore w:val="0"/>
              <w:suppressLineNumbers w:val="0"/>
              <w:kinsoku/>
              <w:wordWrap/>
              <w:overflowPunct w:val="0"/>
              <w:topLinePunct w:val="0"/>
              <w:autoSpaceDE/>
              <w:autoSpaceDN/>
              <w:bidi w:val="0"/>
              <w:adjustRightInd/>
              <w:snapToGrid w:val="0"/>
              <w:spacing w:before="0" w:beforeAutospacing="0" w:after="0" w:afterAutospacing="0" w:line="3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标项1：</w:t>
            </w:r>
          </w:p>
          <w:p w14:paraId="16AA6513">
            <w:pPr>
              <w:pStyle w:val="20"/>
              <w:keepNext w:val="0"/>
              <w:keepLines w:val="0"/>
              <w:pageBreakBefore w:val="0"/>
              <w:numPr>
                <w:ilvl w:val="0"/>
                <w:numId w:val="0"/>
              </w:numPr>
              <w:suppressLineNumbers w:val="0"/>
              <w:kinsoku/>
              <w:wordWrap/>
              <w:overflowPunct w:val="0"/>
              <w:topLinePunct w:val="0"/>
              <w:autoSpaceDE/>
              <w:autoSpaceDN/>
              <w:bidi w:val="0"/>
              <w:adjustRightInd/>
              <w:snapToGrid w:val="0"/>
              <w:spacing w:before="0" w:beforeAutospacing="0" w:after="0" w:afterAutospacing="0" w:line="300" w:lineRule="exact"/>
              <w:ind w:leftChars="0" w:right="62" w:rightChars="0"/>
              <w:textAlignment w:val="auto"/>
              <w:outlineLvl w:val="9"/>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1）</w:t>
            </w:r>
            <w:bookmarkStart w:id="55" w:name="OLE_LINK46"/>
            <w:r>
              <w:rPr>
                <w:rFonts w:hint="eastAsia" w:ascii="仿宋" w:hAnsi="仿宋" w:eastAsia="仿宋" w:cs="仿宋"/>
                <w:i w:val="0"/>
                <w:iCs w:val="0"/>
                <w:caps w:val="0"/>
                <w:color w:val="000000"/>
                <w:spacing w:val="0"/>
                <w:sz w:val="24"/>
                <w:szCs w:val="24"/>
                <w:highlight w:val="none"/>
              </w:rPr>
              <w:t>具有独立承担民事责任的能力</w:t>
            </w:r>
            <w:bookmarkEnd w:id="55"/>
            <w:r>
              <w:rPr>
                <w:rFonts w:hint="eastAsia" w:ascii="仿宋" w:hAnsi="仿宋" w:eastAsia="仿宋" w:cs="仿宋"/>
                <w:i w:val="0"/>
                <w:iCs w:val="0"/>
                <w:caps w:val="0"/>
                <w:color w:val="000000"/>
                <w:spacing w:val="0"/>
                <w:sz w:val="24"/>
                <w:szCs w:val="24"/>
                <w:highlight w:val="none"/>
              </w:rPr>
              <w:t>：</w:t>
            </w:r>
            <w:r>
              <w:rPr>
                <w:rFonts w:hint="eastAsia" w:ascii="仿宋" w:hAnsi="仿宋" w:eastAsia="仿宋" w:cs="仿宋"/>
                <w:i w:val="0"/>
                <w:iCs w:val="0"/>
                <w:caps w:val="0"/>
                <w:color w:val="000000"/>
                <w:spacing w:val="0"/>
                <w:sz w:val="24"/>
                <w:szCs w:val="24"/>
                <w:highlight w:val="none"/>
                <w:lang w:val="en-US" w:eastAsia="zh-CN"/>
              </w:rPr>
              <w:t>具有企业法人营业执照（三证合一）、《银行开户许可证》或《基本存款账户信息》</w:t>
            </w:r>
          </w:p>
          <w:p w14:paraId="1104C8F8">
            <w:pPr>
              <w:pStyle w:val="20"/>
              <w:keepNext w:val="0"/>
              <w:keepLines w:val="0"/>
              <w:pageBreakBefore w:val="0"/>
              <w:suppressLineNumbers w:val="0"/>
              <w:kinsoku/>
              <w:wordWrap/>
              <w:overflowPunct w:val="0"/>
              <w:topLinePunct w:val="0"/>
              <w:autoSpaceDE/>
              <w:autoSpaceDN/>
              <w:bidi w:val="0"/>
              <w:adjustRightInd/>
              <w:snapToGrid w:val="0"/>
              <w:spacing w:before="0" w:beforeAutospacing="0" w:after="0" w:afterAutospacing="0" w:line="3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lang w:eastAsia="zh-CN"/>
              </w:rPr>
              <w:t>（</w:t>
            </w:r>
            <w:bookmarkStart w:id="56" w:name="OLE_LINK28"/>
            <w:r>
              <w:rPr>
                <w:rFonts w:hint="eastAsia" w:ascii="仿宋" w:hAnsi="仿宋" w:eastAsia="仿宋" w:cs="仿宋"/>
                <w:i w:val="0"/>
                <w:iCs w:val="0"/>
                <w:caps w:val="0"/>
                <w:color w:val="000000"/>
                <w:spacing w:val="0"/>
                <w:sz w:val="24"/>
                <w:szCs w:val="24"/>
                <w:highlight w:val="none"/>
              </w:rPr>
              <w:t>2）有依法缴纳税收和社会保障资金的良好记录：提供投标截止日前</w:t>
            </w:r>
            <w:r>
              <w:rPr>
                <w:rFonts w:hint="eastAsia" w:ascii="仿宋" w:hAnsi="仿宋" w:eastAsia="仿宋" w:cs="仿宋"/>
                <w:i w:val="0"/>
                <w:iCs w:val="0"/>
                <w:caps w:val="0"/>
                <w:color w:val="000000"/>
                <w:spacing w:val="0"/>
                <w:sz w:val="24"/>
                <w:szCs w:val="24"/>
                <w:highlight w:val="none"/>
                <w:lang w:val="en-US" w:eastAsia="zh-CN"/>
              </w:rPr>
              <w:t>3</w:t>
            </w:r>
            <w:r>
              <w:rPr>
                <w:rFonts w:hint="eastAsia" w:ascii="仿宋" w:hAnsi="仿宋" w:eastAsia="仿宋" w:cs="仿宋"/>
                <w:i w:val="0"/>
                <w:iCs w:val="0"/>
                <w:caps w:val="0"/>
                <w:color w:val="000000"/>
                <w:spacing w:val="0"/>
                <w:sz w:val="24"/>
                <w:szCs w:val="24"/>
                <w:highlight w:val="none"/>
              </w:rPr>
              <w:t>个月</w:t>
            </w:r>
            <w:r>
              <w:rPr>
                <w:rFonts w:hint="eastAsia" w:ascii="仿宋" w:hAnsi="仿宋" w:eastAsia="仿宋" w:cs="仿宋"/>
                <w:i w:val="0"/>
                <w:iCs w:val="0"/>
                <w:caps w:val="0"/>
                <w:color w:val="000000"/>
                <w:spacing w:val="0"/>
                <w:sz w:val="24"/>
                <w:szCs w:val="24"/>
                <w:highlight w:val="none"/>
                <w:lang w:val="en-US" w:eastAsia="zh-CN"/>
              </w:rPr>
              <w:t>内任意1个月</w:t>
            </w:r>
            <w:r>
              <w:rPr>
                <w:rFonts w:hint="eastAsia" w:ascii="仿宋" w:hAnsi="仿宋" w:eastAsia="仿宋" w:cs="仿宋"/>
                <w:i w:val="0"/>
                <w:iCs w:val="0"/>
                <w:caps w:val="0"/>
                <w:color w:val="000000"/>
                <w:spacing w:val="0"/>
                <w:sz w:val="24"/>
                <w:szCs w:val="24"/>
                <w:highlight w:val="none"/>
              </w:rPr>
              <w:t>的缴纳税收的完税证明或税务部门出具的纳税证明，如依法免税的，应提供相应文件证明；提供投标截止日前</w:t>
            </w:r>
            <w:r>
              <w:rPr>
                <w:rFonts w:hint="eastAsia" w:ascii="仿宋" w:hAnsi="仿宋" w:eastAsia="仿宋" w:cs="仿宋"/>
                <w:i w:val="0"/>
                <w:iCs w:val="0"/>
                <w:caps w:val="0"/>
                <w:color w:val="000000"/>
                <w:spacing w:val="0"/>
                <w:sz w:val="24"/>
                <w:szCs w:val="24"/>
                <w:highlight w:val="none"/>
                <w:lang w:val="en-US" w:eastAsia="zh-CN"/>
              </w:rPr>
              <w:t>3</w:t>
            </w:r>
            <w:r>
              <w:rPr>
                <w:rFonts w:hint="eastAsia" w:ascii="仿宋" w:hAnsi="仿宋" w:eastAsia="仿宋" w:cs="仿宋"/>
                <w:i w:val="0"/>
                <w:iCs w:val="0"/>
                <w:caps w:val="0"/>
                <w:color w:val="000000"/>
                <w:spacing w:val="0"/>
                <w:sz w:val="24"/>
                <w:szCs w:val="24"/>
                <w:highlight w:val="none"/>
              </w:rPr>
              <w:t>个月</w:t>
            </w:r>
            <w:r>
              <w:rPr>
                <w:rFonts w:hint="eastAsia" w:ascii="仿宋" w:hAnsi="仿宋" w:eastAsia="仿宋" w:cs="仿宋"/>
                <w:i w:val="0"/>
                <w:iCs w:val="0"/>
                <w:caps w:val="0"/>
                <w:color w:val="000000"/>
                <w:spacing w:val="0"/>
                <w:sz w:val="24"/>
                <w:szCs w:val="24"/>
                <w:highlight w:val="none"/>
                <w:lang w:val="en-US" w:eastAsia="zh-CN"/>
              </w:rPr>
              <w:t>内任意1个月</w:t>
            </w:r>
            <w:r>
              <w:rPr>
                <w:rFonts w:hint="eastAsia" w:ascii="仿宋" w:hAnsi="仿宋" w:eastAsia="仿宋" w:cs="仿宋"/>
                <w:i w:val="0"/>
                <w:iCs w:val="0"/>
                <w:caps w:val="0"/>
                <w:color w:val="000000"/>
                <w:spacing w:val="0"/>
                <w:sz w:val="24"/>
                <w:szCs w:val="24"/>
                <w:highlight w:val="none"/>
              </w:rPr>
              <w:t>的社保证明材料，如依法不需要缴纳社会保障资金的，应提供相应文件证明。</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lang w:val="en-US" w:eastAsia="zh-CN"/>
              </w:rPr>
              <w:t>新成立公司，按实际</w:t>
            </w:r>
            <w:r>
              <w:rPr>
                <w:rFonts w:hint="eastAsia" w:ascii="仿宋" w:hAnsi="仿宋" w:eastAsia="仿宋" w:cs="仿宋"/>
                <w:i w:val="0"/>
                <w:iCs w:val="0"/>
                <w:caps w:val="0"/>
                <w:color w:val="000000"/>
                <w:spacing w:val="0"/>
                <w:sz w:val="24"/>
                <w:szCs w:val="24"/>
                <w:highlight w:val="none"/>
              </w:rPr>
              <w:t>发生提供</w:t>
            </w:r>
            <w:r>
              <w:rPr>
                <w:rFonts w:hint="eastAsia" w:ascii="仿宋" w:hAnsi="仿宋" w:eastAsia="仿宋" w:cs="仿宋"/>
                <w:i w:val="0"/>
                <w:iCs w:val="0"/>
                <w:caps w:val="0"/>
                <w:color w:val="000000"/>
                <w:spacing w:val="0"/>
                <w:sz w:val="24"/>
                <w:szCs w:val="24"/>
                <w:highlight w:val="none"/>
                <w:lang w:eastAsia="zh-CN"/>
              </w:rPr>
              <w:t>）</w:t>
            </w:r>
            <w:bookmarkEnd w:id="56"/>
          </w:p>
          <w:p w14:paraId="6A9CA54E">
            <w:pPr>
              <w:pStyle w:val="20"/>
              <w:keepNext w:val="0"/>
              <w:keepLines w:val="0"/>
              <w:pageBreakBefore w:val="0"/>
              <w:suppressLineNumbers w:val="0"/>
              <w:kinsoku/>
              <w:wordWrap/>
              <w:overflowPunct w:val="0"/>
              <w:topLinePunct w:val="0"/>
              <w:autoSpaceDE/>
              <w:autoSpaceDN/>
              <w:bidi w:val="0"/>
              <w:adjustRightInd/>
              <w:snapToGrid w:val="0"/>
              <w:spacing w:before="0" w:beforeAutospacing="0" w:after="0" w:afterAutospacing="0" w:line="3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3）具有良好的商业信誉和健全的财务会计制度：提供202</w:t>
            </w:r>
            <w:r>
              <w:rPr>
                <w:rFonts w:hint="eastAsia" w:ascii="仿宋" w:hAnsi="仿宋" w:eastAsia="仿宋" w:cs="仿宋"/>
                <w:i w:val="0"/>
                <w:iCs w:val="0"/>
                <w:caps w:val="0"/>
                <w:color w:val="000000"/>
                <w:spacing w:val="0"/>
                <w:sz w:val="24"/>
                <w:szCs w:val="24"/>
                <w:highlight w:val="none"/>
                <w:lang w:val="en-US" w:eastAsia="zh-CN"/>
              </w:rPr>
              <w:t>4</w:t>
            </w:r>
            <w:r>
              <w:rPr>
                <w:rFonts w:hint="eastAsia" w:ascii="仿宋" w:hAnsi="仿宋" w:eastAsia="仿宋" w:cs="仿宋"/>
                <w:i w:val="0"/>
                <w:iCs w:val="0"/>
                <w:caps w:val="0"/>
                <w:color w:val="000000"/>
                <w:spacing w:val="0"/>
                <w:sz w:val="24"/>
                <w:szCs w:val="24"/>
                <w:highlight w:val="none"/>
              </w:rPr>
              <w:t>年财务状况报告复印件，供应商是法人的，应提供经审计的财务报告（含第三方审计机构评估的财务报告）（执行《企业会计准则》的，提供资产负债表、利润表、现金流量表、所有者权益变动表及其附注（以下称“四表一注”）；执行《中小企业会计准则》的，提供资产负债表、利润表、现金流量表及其附注（以下称“三表一注”））；供应商是其他组织或者自然人的，应提供经审计的财务报告（含第三方审计机构评估的财务报告）（包括“四表一注”“三表一注”）或者银行出具的资信证明；如是202</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rPr>
              <w:t>年新成立企业，只需提供从取得营业执照起的基本开户银行出具的资信证明）；</w:t>
            </w:r>
          </w:p>
          <w:p w14:paraId="4827A3C2">
            <w:pPr>
              <w:pStyle w:val="20"/>
              <w:keepNext w:val="0"/>
              <w:keepLines w:val="0"/>
              <w:pageBreakBefore w:val="0"/>
              <w:suppressLineNumbers w:val="0"/>
              <w:kinsoku/>
              <w:wordWrap/>
              <w:overflowPunct w:val="0"/>
              <w:topLinePunct w:val="0"/>
              <w:autoSpaceDE/>
              <w:autoSpaceDN/>
              <w:bidi w:val="0"/>
              <w:adjustRightInd/>
              <w:snapToGrid w:val="0"/>
              <w:spacing w:before="0" w:beforeAutospacing="0" w:after="0" w:afterAutospacing="0" w:line="3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4）参加采购活动前3年内，在经营活动中没有重大违法记录：</w:t>
            </w:r>
            <w:r>
              <w:rPr>
                <w:rFonts w:hint="eastAsia" w:ascii="仿宋" w:hAnsi="仿宋" w:eastAsia="仿宋" w:cs="仿宋"/>
                <w:sz w:val="24"/>
                <w:szCs w:val="24"/>
                <w:highlight w:val="none"/>
              </w:rPr>
              <w:t>提供参加本次政府采购活动前3年内在经营活动中没有重大违法记录的书面承诺函</w:t>
            </w:r>
            <w:r>
              <w:rPr>
                <w:rFonts w:hint="eastAsia" w:ascii="仿宋" w:hAnsi="仿宋" w:eastAsia="仿宋" w:cs="仿宋"/>
                <w:sz w:val="24"/>
                <w:highlight w:val="none"/>
                <w:lang w:val="zh-CN"/>
              </w:rPr>
              <w:t>并加盖单位公章</w:t>
            </w:r>
            <w:r>
              <w:rPr>
                <w:rFonts w:hint="eastAsia" w:ascii="仿宋" w:hAnsi="仿宋" w:eastAsia="仿宋" w:cs="仿宋"/>
                <w:i w:val="0"/>
                <w:iCs w:val="0"/>
                <w:caps w:val="0"/>
                <w:color w:val="000000"/>
                <w:spacing w:val="0"/>
                <w:sz w:val="24"/>
                <w:szCs w:val="24"/>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5221F8F">
            <w:pPr>
              <w:pStyle w:val="20"/>
              <w:keepNext w:val="0"/>
              <w:keepLines w:val="0"/>
              <w:pageBreakBefore w:val="0"/>
              <w:suppressLineNumbers w:val="0"/>
              <w:kinsoku/>
              <w:wordWrap/>
              <w:overflowPunct w:val="0"/>
              <w:topLinePunct w:val="0"/>
              <w:autoSpaceDE/>
              <w:autoSpaceDN/>
              <w:bidi w:val="0"/>
              <w:adjustRightInd/>
              <w:snapToGrid w:val="0"/>
              <w:spacing w:before="0" w:beforeAutospacing="0" w:after="0" w:afterAutospacing="0" w:line="3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val="zh-CN" w:eastAsia="zh-CN"/>
              </w:rPr>
            </w:pPr>
            <w:r>
              <w:rPr>
                <w:rFonts w:hint="eastAsia" w:ascii="仿宋" w:hAnsi="仿宋" w:eastAsia="仿宋" w:cs="仿宋"/>
                <w:i w:val="0"/>
                <w:iCs w:val="0"/>
                <w:caps w:val="0"/>
                <w:color w:val="000000"/>
                <w:spacing w:val="0"/>
                <w:sz w:val="24"/>
                <w:szCs w:val="24"/>
                <w:highlight w:val="none"/>
              </w:rPr>
              <w:t>（</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rPr>
              <w:t>）</w:t>
            </w:r>
            <w:r>
              <w:rPr>
                <w:rFonts w:hint="eastAsia" w:ascii="仿宋" w:hAnsi="仿宋" w:eastAsia="仿宋" w:cs="仿宋"/>
                <w:i w:val="0"/>
                <w:iCs w:val="0"/>
                <w:caps w:val="0"/>
                <w:color w:val="000000"/>
                <w:spacing w:val="0"/>
                <w:sz w:val="24"/>
                <w:szCs w:val="24"/>
                <w:highlight w:val="none"/>
                <w:lang w:val="zh-CN"/>
              </w:rPr>
              <w:t>凡拟参加本次招标项目的投标人，如在“信用中国”网站（ www.creditchina.gov.cn） 被列入失信被执行人、重大税收违法失信主体（</w:t>
            </w:r>
            <w:r>
              <w:rPr>
                <w:rFonts w:hint="eastAsia" w:ascii="仿宋" w:hAnsi="仿宋" w:eastAsia="仿宋" w:cs="仿宋"/>
                <w:i w:val="0"/>
                <w:iCs w:val="0"/>
                <w:caps w:val="0"/>
                <w:color w:val="000000"/>
                <w:spacing w:val="0"/>
                <w:sz w:val="24"/>
                <w:szCs w:val="24"/>
                <w:highlight w:val="none"/>
              </w:rPr>
              <w:t>进入信用中国网站</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信用服务-失信被执行人、重大税收违法失信主体</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查询、截图</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lang w:val="zh-CN"/>
              </w:rPr>
              <w:t xml:space="preserve">、中国政府采购网（http://www.ccgp.gov.cn/search/cr/）严重违法失信行为记录名单的（尚在处罚期内的），将拒绝其参加本次招标活动。 </w:t>
            </w:r>
          </w:p>
          <w:p w14:paraId="427B4EF9">
            <w:pPr>
              <w:pStyle w:val="20"/>
              <w:keepNext w:val="0"/>
              <w:keepLines w:val="0"/>
              <w:pageBreakBefore w:val="0"/>
              <w:suppressLineNumbers w:val="0"/>
              <w:kinsoku/>
              <w:wordWrap/>
              <w:overflowPunct w:val="0"/>
              <w:topLinePunct w:val="0"/>
              <w:autoSpaceDE/>
              <w:autoSpaceDN/>
              <w:bidi w:val="0"/>
              <w:adjustRightInd/>
              <w:snapToGrid w:val="0"/>
              <w:spacing w:before="0" w:beforeAutospacing="0" w:after="0" w:afterAutospacing="0" w:line="300" w:lineRule="exact"/>
              <w:ind w:left="0" w:firstLine="0" w:firstLineChars="0"/>
              <w:textAlignment w:val="auto"/>
              <w:outlineLvl w:val="9"/>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w:t>
            </w:r>
            <w:r>
              <w:rPr>
                <w:rFonts w:hint="eastAsia" w:ascii="仿宋" w:hAnsi="仿宋" w:eastAsia="仿宋" w:cs="仿宋"/>
                <w:i w:val="0"/>
                <w:iCs w:val="0"/>
                <w:caps w:val="0"/>
                <w:color w:val="000000"/>
                <w:spacing w:val="0"/>
                <w:sz w:val="24"/>
                <w:szCs w:val="24"/>
                <w:highlight w:val="none"/>
                <w:lang w:val="en-US" w:eastAsia="zh-CN"/>
              </w:rPr>
              <w:t>6</w:t>
            </w:r>
            <w:r>
              <w:rPr>
                <w:rFonts w:hint="eastAsia" w:ascii="仿宋" w:hAnsi="仿宋" w:eastAsia="仿宋" w:cs="仿宋"/>
                <w:i w:val="0"/>
                <w:iCs w:val="0"/>
                <w:caps w:val="0"/>
                <w:color w:val="000000"/>
                <w:spacing w:val="0"/>
                <w:sz w:val="24"/>
                <w:szCs w:val="24"/>
                <w:highlight w:val="none"/>
              </w:rPr>
              <w:t>）企业负责人为同一人或者存在直接控股、管理关系的不同投标人，不得参加同一合同项下的政府采购活动。否则，皆取消投标资格。</w:t>
            </w:r>
          </w:p>
          <w:p w14:paraId="479B9500">
            <w:pPr>
              <w:pStyle w:val="20"/>
              <w:keepNext w:val="0"/>
              <w:keepLines w:val="0"/>
              <w:pageBreakBefore w:val="0"/>
              <w:suppressLineNumbers w:val="0"/>
              <w:kinsoku/>
              <w:wordWrap/>
              <w:overflowPunct w:val="0"/>
              <w:topLinePunct w:val="0"/>
              <w:autoSpaceDE/>
              <w:autoSpaceDN/>
              <w:bidi w:val="0"/>
              <w:adjustRightInd/>
              <w:snapToGrid w:val="0"/>
              <w:spacing w:before="0" w:beforeAutospacing="0" w:after="0" w:afterAutospacing="0" w:line="300" w:lineRule="exact"/>
              <w:ind w:left="0" w:firstLine="0" w:firstLineChars="0"/>
              <w:textAlignment w:val="auto"/>
              <w:outlineLvl w:val="9"/>
              <w:rPr>
                <w:rFonts w:hint="eastAsia" w:ascii="仿宋" w:hAnsi="仿宋" w:eastAsia="仿宋" w:cs="仿宋"/>
                <w:iCs/>
                <w:color w:val="000000"/>
                <w:sz w:val="24"/>
                <w:szCs w:val="24"/>
                <w:highlight w:val="none"/>
                <w:lang w:eastAsia="zh-CN"/>
              </w:rPr>
            </w:pPr>
            <w:r>
              <w:rPr>
                <w:rFonts w:hint="eastAsia" w:ascii="仿宋" w:hAnsi="仿宋" w:eastAsia="仿宋" w:cs="仿宋"/>
                <w:i w:val="0"/>
                <w:iCs w:val="0"/>
                <w:caps w:val="0"/>
                <w:color w:val="000000"/>
                <w:spacing w:val="0"/>
                <w:sz w:val="24"/>
                <w:szCs w:val="24"/>
                <w:highlight w:val="none"/>
              </w:rPr>
              <w:t>（</w:t>
            </w:r>
            <w:r>
              <w:rPr>
                <w:rFonts w:hint="eastAsia" w:ascii="仿宋" w:hAnsi="仿宋" w:eastAsia="仿宋" w:cs="仿宋"/>
                <w:i w:val="0"/>
                <w:iCs w:val="0"/>
                <w:caps w:val="0"/>
                <w:color w:val="000000"/>
                <w:spacing w:val="0"/>
                <w:sz w:val="24"/>
                <w:szCs w:val="24"/>
                <w:highlight w:val="none"/>
                <w:lang w:val="en-US" w:eastAsia="zh-CN"/>
              </w:rPr>
              <w:t>7</w:t>
            </w:r>
            <w:r>
              <w:rPr>
                <w:rFonts w:hint="eastAsia" w:ascii="仿宋" w:hAnsi="仿宋" w:eastAsia="仿宋" w:cs="仿宋"/>
                <w:i w:val="0"/>
                <w:iCs w:val="0"/>
                <w:caps w:val="0"/>
                <w:color w:val="000000"/>
                <w:spacing w:val="0"/>
                <w:sz w:val="24"/>
                <w:szCs w:val="24"/>
                <w:highlight w:val="none"/>
              </w:rPr>
              <w:t>）</w:t>
            </w:r>
            <w:r>
              <w:rPr>
                <w:rFonts w:hint="eastAsia" w:ascii="仿宋" w:hAnsi="仿宋" w:eastAsia="仿宋" w:cs="仿宋"/>
                <w:iCs/>
                <w:color w:val="000000"/>
                <w:sz w:val="24"/>
                <w:szCs w:val="24"/>
                <w:highlight w:val="none"/>
              </w:rPr>
              <w:t>本项目</w:t>
            </w:r>
            <w:r>
              <w:rPr>
                <w:rFonts w:hint="eastAsia" w:ascii="仿宋" w:hAnsi="仿宋" w:eastAsia="仿宋" w:cs="仿宋"/>
                <w:iCs/>
                <w:color w:val="000000"/>
                <w:sz w:val="24"/>
                <w:szCs w:val="24"/>
                <w:highlight w:val="none"/>
                <w:lang w:val="en-US" w:eastAsia="zh-CN"/>
              </w:rPr>
              <w:t>不</w:t>
            </w:r>
            <w:r>
              <w:rPr>
                <w:rFonts w:hint="eastAsia" w:ascii="仿宋" w:hAnsi="仿宋" w:eastAsia="仿宋" w:cs="仿宋"/>
                <w:iCs/>
                <w:color w:val="000000"/>
                <w:sz w:val="24"/>
                <w:szCs w:val="24"/>
                <w:highlight w:val="none"/>
              </w:rPr>
              <w:t>接受联合体投标</w:t>
            </w:r>
            <w:r>
              <w:rPr>
                <w:rFonts w:hint="eastAsia" w:ascii="仿宋" w:hAnsi="仿宋" w:eastAsia="仿宋" w:cs="仿宋"/>
                <w:iCs/>
                <w:color w:val="000000"/>
                <w:sz w:val="24"/>
                <w:szCs w:val="24"/>
                <w:highlight w:val="none"/>
                <w:lang w:eastAsia="zh-CN"/>
              </w:rPr>
              <w:t>；</w:t>
            </w:r>
          </w:p>
          <w:p w14:paraId="34189C4F">
            <w:pPr>
              <w:pStyle w:val="20"/>
              <w:keepNext w:val="0"/>
              <w:keepLines w:val="0"/>
              <w:pageBreakBefore w:val="0"/>
              <w:suppressLineNumbers w:val="0"/>
              <w:kinsoku/>
              <w:wordWrap/>
              <w:overflowPunct w:val="0"/>
              <w:topLinePunct w:val="0"/>
              <w:autoSpaceDE/>
              <w:autoSpaceDN/>
              <w:bidi w:val="0"/>
              <w:adjustRightInd/>
              <w:snapToGrid w:val="0"/>
              <w:spacing w:before="0" w:beforeAutospacing="0" w:after="0" w:afterAutospacing="0" w:line="300" w:lineRule="exact"/>
              <w:ind w:left="0" w:firstLine="0" w:firstLineChars="0"/>
              <w:textAlignment w:val="auto"/>
              <w:outlineLvl w:val="9"/>
              <w:rPr>
                <w:rFonts w:hint="eastAsia" w:ascii="仿宋" w:hAnsi="仿宋" w:eastAsia="仿宋" w:cs="仿宋"/>
                <w:iCs/>
                <w:color w:val="000000"/>
                <w:sz w:val="24"/>
                <w:szCs w:val="24"/>
                <w:highlight w:val="none"/>
                <w:lang w:val="en-US" w:eastAsia="zh-CN"/>
              </w:rPr>
            </w:pPr>
            <w:r>
              <w:rPr>
                <w:rFonts w:hint="eastAsia" w:ascii="仿宋" w:hAnsi="仿宋" w:eastAsia="仿宋" w:cs="仿宋"/>
                <w:iCs/>
                <w:color w:val="000000"/>
                <w:sz w:val="24"/>
                <w:szCs w:val="24"/>
                <w:highlight w:val="none"/>
                <w:lang w:eastAsia="zh-CN"/>
              </w:rPr>
              <w:t>（</w:t>
            </w:r>
            <w:r>
              <w:rPr>
                <w:rFonts w:hint="eastAsia" w:ascii="仿宋" w:hAnsi="仿宋" w:eastAsia="仿宋" w:cs="仿宋"/>
                <w:iCs/>
                <w:color w:val="000000"/>
                <w:sz w:val="24"/>
                <w:szCs w:val="24"/>
                <w:highlight w:val="none"/>
                <w:lang w:val="en-US" w:eastAsia="zh-CN"/>
              </w:rPr>
              <w:t>8</w:t>
            </w:r>
            <w:r>
              <w:rPr>
                <w:rFonts w:hint="eastAsia" w:ascii="仿宋" w:hAnsi="仿宋" w:eastAsia="仿宋" w:cs="仿宋"/>
                <w:iCs/>
                <w:color w:val="000000"/>
                <w:sz w:val="24"/>
                <w:szCs w:val="24"/>
                <w:highlight w:val="none"/>
                <w:lang w:eastAsia="zh-CN"/>
              </w:rPr>
              <w:t>）</w:t>
            </w:r>
            <w:r>
              <w:rPr>
                <w:rFonts w:hint="eastAsia" w:ascii="仿宋" w:hAnsi="仿宋" w:eastAsia="仿宋" w:cs="仿宋"/>
                <w:iCs/>
                <w:color w:val="000000"/>
                <w:sz w:val="24"/>
                <w:szCs w:val="24"/>
                <w:highlight w:val="none"/>
                <w:lang w:val="en-US" w:eastAsia="zh-CN"/>
              </w:rPr>
              <w:t>有效的《中小企业声明函》；</w:t>
            </w:r>
          </w:p>
          <w:p w14:paraId="322C7152">
            <w:pPr>
              <w:pStyle w:val="3"/>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i w:val="0"/>
                <w:iCs w:val="0"/>
                <w:caps w:val="0"/>
                <w:color w:val="000000"/>
                <w:spacing w:val="0"/>
                <w:sz w:val="24"/>
                <w:szCs w:val="24"/>
                <w:highlight w:val="none"/>
                <w:lang w:val="en-US" w:eastAsia="zh-CN"/>
              </w:rPr>
              <w:t>3.本项目的特定资格要求：无</w:t>
            </w:r>
          </w:p>
        </w:tc>
      </w:tr>
      <w:tr w14:paraId="4B6C4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427" w:type="dxa"/>
            <w:noWrap w:val="0"/>
            <w:vAlign w:val="center"/>
          </w:tcPr>
          <w:p w14:paraId="6F8396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1616" w:type="dxa"/>
            <w:tcBorders>
              <w:right w:val="single" w:color="auto" w:sz="4" w:space="0"/>
            </w:tcBorders>
            <w:noWrap w:val="0"/>
            <w:vAlign w:val="center"/>
          </w:tcPr>
          <w:p w14:paraId="1A11AC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b/>
                <w:bCs/>
                <w:sz w:val="24"/>
                <w:szCs w:val="24"/>
                <w:highlight w:val="none"/>
                <w:lang w:val="en-US"/>
              </w:rPr>
            </w:pPr>
            <w:r>
              <w:rPr>
                <w:rFonts w:hint="eastAsia" w:ascii="仿宋" w:hAnsi="仿宋" w:eastAsia="仿宋" w:cs="仿宋"/>
                <w:b w:val="0"/>
                <w:bCs w:val="0"/>
                <w:sz w:val="24"/>
                <w:szCs w:val="24"/>
                <w:highlight w:val="none"/>
                <w:lang w:val="en-US" w:eastAsia="zh-CN"/>
              </w:rPr>
              <w:t>合同履行期限及项目地点</w:t>
            </w:r>
          </w:p>
        </w:tc>
        <w:tc>
          <w:tcPr>
            <w:tcW w:w="7512" w:type="dxa"/>
            <w:tcBorders>
              <w:left w:val="single" w:color="auto" w:sz="4" w:space="0"/>
            </w:tcBorders>
            <w:noWrap w:val="0"/>
            <w:vAlign w:val="center"/>
          </w:tcPr>
          <w:p w14:paraId="34D3B679">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履行期限：</w:t>
            </w:r>
            <w:r>
              <w:rPr>
                <w:rFonts w:hint="eastAsia" w:ascii="仿宋" w:hAnsi="仿宋" w:eastAsia="仿宋" w:cs="仿宋"/>
                <w:b w:val="0"/>
                <w:bCs w:val="0"/>
                <w:i w:val="0"/>
                <w:iCs w:val="0"/>
                <w:caps w:val="0"/>
                <w:color w:val="auto"/>
                <w:spacing w:val="0"/>
                <w:sz w:val="24"/>
                <w:szCs w:val="24"/>
                <w:highlight w:val="none"/>
                <w:lang w:val="en-US" w:eastAsia="zh-CN"/>
              </w:rPr>
              <w:t>一年（具体时间以合同签订为准）</w:t>
            </w:r>
          </w:p>
          <w:p w14:paraId="74044208">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项目地点为北京等地（甲方指定地点，具体以合同签订为准）</w:t>
            </w:r>
          </w:p>
        </w:tc>
      </w:tr>
      <w:tr w14:paraId="1DB58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290D56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p>
        </w:tc>
        <w:tc>
          <w:tcPr>
            <w:tcW w:w="1616" w:type="dxa"/>
            <w:tcBorders>
              <w:right w:val="single" w:color="auto" w:sz="4" w:space="0"/>
            </w:tcBorders>
            <w:noWrap w:val="0"/>
            <w:vAlign w:val="center"/>
          </w:tcPr>
          <w:p w14:paraId="340DD0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质量</w:t>
            </w:r>
            <w:r>
              <w:rPr>
                <w:rFonts w:hint="eastAsia" w:ascii="仿宋" w:hAnsi="仿宋" w:eastAsia="仿宋" w:cs="仿宋"/>
                <w:sz w:val="24"/>
                <w:szCs w:val="24"/>
                <w:highlight w:val="none"/>
                <w:lang w:val="en-US" w:eastAsia="zh-CN"/>
              </w:rPr>
              <w:t>标准</w:t>
            </w:r>
          </w:p>
        </w:tc>
        <w:tc>
          <w:tcPr>
            <w:tcW w:w="7512" w:type="dxa"/>
            <w:tcBorders>
              <w:left w:val="single" w:color="auto" w:sz="4" w:space="0"/>
            </w:tcBorders>
            <w:noWrap w:val="0"/>
            <w:vAlign w:val="center"/>
          </w:tcPr>
          <w:p w14:paraId="3F9F7AD2">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满足国家和地方相关技术规范和标准要求</w:t>
            </w:r>
          </w:p>
        </w:tc>
      </w:tr>
      <w:tr w14:paraId="55011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357A4A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1616" w:type="dxa"/>
            <w:tcBorders>
              <w:right w:val="single" w:color="auto" w:sz="4" w:space="0"/>
            </w:tcBorders>
            <w:noWrap w:val="0"/>
            <w:vAlign w:val="center"/>
          </w:tcPr>
          <w:p w14:paraId="3CF4BF89">
            <w:pPr>
              <w:keepNext w:val="0"/>
              <w:keepLines w:val="0"/>
              <w:suppressLineNumbers w:val="0"/>
              <w:spacing w:before="0" w:beforeAutospacing="0" w:after="0" w:afterAutospacing="0" w:line="360" w:lineRule="exact"/>
              <w:ind w:left="120" w:leftChars="0" w:right="62" w:rightChars="0" w:hanging="120" w:hangingChars="5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shd w:val="clear" w:color="auto" w:fill="auto"/>
                <w:lang w:val="en-US" w:eastAsia="zh-CN"/>
              </w:rPr>
              <w:t>合同付款方式</w:t>
            </w:r>
          </w:p>
        </w:tc>
        <w:tc>
          <w:tcPr>
            <w:tcW w:w="7512" w:type="dxa"/>
            <w:tcBorders>
              <w:left w:val="single" w:color="auto" w:sz="4" w:space="0"/>
            </w:tcBorders>
            <w:noWrap w:val="0"/>
            <w:vAlign w:val="center"/>
          </w:tcPr>
          <w:p w14:paraId="18ABFD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具体以合同签订为准</w:t>
            </w:r>
          </w:p>
        </w:tc>
      </w:tr>
      <w:tr w14:paraId="6BEFE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2A13ED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1616" w:type="dxa"/>
            <w:tcBorders>
              <w:right w:val="single" w:color="auto" w:sz="4" w:space="0"/>
            </w:tcBorders>
            <w:noWrap w:val="0"/>
            <w:vAlign w:val="center"/>
          </w:tcPr>
          <w:p w14:paraId="7E15FB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验收要求</w:t>
            </w:r>
          </w:p>
        </w:tc>
        <w:tc>
          <w:tcPr>
            <w:tcW w:w="7512" w:type="dxa"/>
            <w:tcBorders>
              <w:left w:val="single" w:color="auto" w:sz="4" w:space="0"/>
            </w:tcBorders>
            <w:noWrap w:val="0"/>
            <w:vAlign w:val="center"/>
          </w:tcPr>
          <w:p w14:paraId="2C28F5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政府采购合同履行完毕后，收到中标人验收申请10日内组织履约验收</w:t>
            </w:r>
          </w:p>
        </w:tc>
      </w:tr>
      <w:tr w14:paraId="58EA9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427" w:type="dxa"/>
            <w:noWrap w:val="0"/>
            <w:vAlign w:val="center"/>
          </w:tcPr>
          <w:p w14:paraId="7AF0FE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p>
        </w:tc>
        <w:tc>
          <w:tcPr>
            <w:tcW w:w="1616" w:type="dxa"/>
            <w:tcBorders>
              <w:right w:val="single" w:color="auto" w:sz="4" w:space="0"/>
            </w:tcBorders>
            <w:noWrap w:val="0"/>
            <w:vAlign w:val="center"/>
          </w:tcPr>
          <w:p w14:paraId="7998FF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联合体投标</w:t>
            </w:r>
          </w:p>
        </w:tc>
        <w:tc>
          <w:tcPr>
            <w:tcW w:w="7512" w:type="dxa"/>
            <w:tcBorders>
              <w:left w:val="single" w:color="auto" w:sz="4" w:space="0"/>
            </w:tcBorders>
            <w:noWrap w:val="0"/>
            <w:vAlign w:val="center"/>
          </w:tcPr>
          <w:p w14:paraId="383AA9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不接受</w:t>
            </w:r>
          </w:p>
        </w:tc>
      </w:tr>
      <w:tr w14:paraId="33062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 w:hRule="atLeast"/>
          <w:jc w:val="center"/>
        </w:trPr>
        <w:tc>
          <w:tcPr>
            <w:tcW w:w="427" w:type="dxa"/>
            <w:noWrap w:val="0"/>
            <w:vAlign w:val="center"/>
          </w:tcPr>
          <w:p w14:paraId="203372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p>
        </w:tc>
        <w:tc>
          <w:tcPr>
            <w:tcW w:w="1616" w:type="dxa"/>
            <w:tcBorders>
              <w:right w:val="single" w:color="auto" w:sz="4" w:space="0"/>
            </w:tcBorders>
            <w:noWrap w:val="0"/>
            <w:vAlign w:val="center"/>
          </w:tcPr>
          <w:p w14:paraId="0F3214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踏勘</w:t>
            </w:r>
            <w:r>
              <w:rPr>
                <w:rFonts w:hint="eastAsia" w:ascii="仿宋" w:hAnsi="仿宋" w:eastAsia="仿宋" w:cs="仿宋"/>
                <w:sz w:val="24"/>
                <w:szCs w:val="24"/>
                <w:highlight w:val="none"/>
              </w:rPr>
              <w:t>现场</w:t>
            </w:r>
          </w:p>
        </w:tc>
        <w:tc>
          <w:tcPr>
            <w:tcW w:w="7512" w:type="dxa"/>
            <w:tcBorders>
              <w:left w:val="single" w:color="auto" w:sz="4" w:space="0"/>
            </w:tcBorders>
            <w:noWrap w:val="0"/>
            <w:vAlign w:val="center"/>
          </w:tcPr>
          <w:p w14:paraId="17198D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不组织</w:t>
            </w:r>
          </w:p>
        </w:tc>
      </w:tr>
      <w:tr w14:paraId="46BBD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771508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1616" w:type="dxa"/>
            <w:tcBorders>
              <w:right w:val="single" w:color="auto" w:sz="4" w:space="0"/>
            </w:tcBorders>
            <w:noWrap w:val="0"/>
            <w:vAlign w:val="center"/>
          </w:tcPr>
          <w:p w14:paraId="65C1E8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分包</w:t>
            </w:r>
          </w:p>
        </w:tc>
        <w:tc>
          <w:tcPr>
            <w:tcW w:w="7512" w:type="dxa"/>
            <w:tcBorders>
              <w:left w:val="single" w:color="auto" w:sz="4" w:space="0"/>
            </w:tcBorders>
            <w:noWrap w:val="0"/>
            <w:vAlign w:val="center"/>
          </w:tcPr>
          <w:p w14:paraId="71C77537">
            <w:pPr>
              <w:keepNext w:val="0"/>
              <w:keepLines w:val="0"/>
              <w:suppressLineNumbers w:val="0"/>
              <w:shd w:val="clear" w:color="auto" w:fill="auto"/>
              <w:spacing w:before="0" w:beforeAutospacing="0" w:after="0" w:afterAutospacing="0" w:line="240" w:lineRule="auto"/>
              <w:ind w:left="0" w:leftChars="0" w:right="0" w:rightChars="0" w:firstLine="0" w:firstLineChars="0"/>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允许</w:t>
            </w:r>
          </w:p>
        </w:tc>
      </w:tr>
      <w:tr w14:paraId="50FE1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 w:hRule="atLeast"/>
          <w:jc w:val="center"/>
        </w:trPr>
        <w:tc>
          <w:tcPr>
            <w:tcW w:w="427" w:type="dxa"/>
            <w:noWrap w:val="0"/>
            <w:vAlign w:val="center"/>
          </w:tcPr>
          <w:p w14:paraId="6CA8D8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1616" w:type="dxa"/>
            <w:tcBorders>
              <w:right w:val="single" w:color="auto" w:sz="4" w:space="0"/>
            </w:tcBorders>
            <w:noWrap w:val="0"/>
            <w:vAlign w:val="center"/>
          </w:tcPr>
          <w:p w14:paraId="371311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转包</w:t>
            </w:r>
          </w:p>
        </w:tc>
        <w:tc>
          <w:tcPr>
            <w:tcW w:w="7512" w:type="dxa"/>
            <w:tcBorders>
              <w:left w:val="single" w:color="auto" w:sz="4" w:space="0"/>
            </w:tcBorders>
            <w:noWrap w:val="0"/>
            <w:vAlign w:val="center"/>
          </w:tcPr>
          <w:p w14:paraId="30D70F36">
            <w:pPr>
              <w:keepNext w:val="0"/>
              <w:keepLines w:val="0"/>
              <w:suppressLineNumbers w:val="0"/>
              <w:shd w:val="clear" w:color="auto" w:fill="auto"/>
              <w:spacing w:before="0" w:beforeAutospacing="0" w:after="0" w:afterAutospacing="0" w:line="240" w:lineRule="auto"/>
              <w:ind w:left="0" w:leftChars="0" w:right="0" w:righ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不接受</w:t>
            </w:r>
          </w:p>
        </w:tc>
      </w:tr>
      <w:tr w14:paraId="29B1B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3" w:hRule="atLeast"/>
          <w:jc w:val="center"/>
        </w:trPr>
        <w:tc>
          <w:tcPr>
            <w:tcW w:w="427" w:type="dxa"/>
            <w:noWrap w:val="0"/>
            <w:vAlign w:val="center"/>
          </w:tcPr>
          <w:p w14:paraId="2433AB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9</w:t>
            </w:r>
          </w:p>
        </w:tc>
        <w:tc>
          <w:tcPr>
            <w:tcW w:w="1616" w:type="dxa"/>
            <w:tcBorders>
              <w:right w:val="single" w:color="auto" w:sz="4" w:space="0"/>
            </w:tcBorders>
            <w:noWrap w:val="0"/>
            <w:vAlign w:val="center"/>
          </w:tcPr>
          <w:p w14:paraId="618237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投标人对招标文件提出质疑的时间</w:t>
            </w:r>
          </w:p>
        </w:tc>
        <w:tc>
          <w:tcPr>
            <w:tcW w:w="7512" w:type="dxa"/>
            <w:tcBorders>
              <w:left w:val="single" w:color="auto" w:sz="4" w:space="0"/>
            </w:tcBorders>
            <w:noWrap w:val="0"/>
            <w:vAlign w:val="center"/>
          </w:tcPr>
          <w:p w14:paraId="5B44D551">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sz w:val="24"/>
                <w:szCs w:val="24"/>
                <w:highlight w:val="none"/>
                <w:lang w:val="en-US" w:eastAsia="zh-CN"/>
              </w:rPr>
              <w:t>投标人认为招标文件、招标过程或中标结果使自己的合法权益受到损害的，应当在知道或者应知其权益受到损害之日起七个工作日内，以书面形式向招标人、招标代理机构提出质疑</w:t>
            </w:r>
            <w:r>
              <w:rPr>
                <w:rFonts w:hint="eastAsia" w:ascii="仿宋" w:hAnsi="仿宋" w:eastAsia="仿宋" w:cs="仿宋"/>
                <w:b w:val="0"/>
                <w:bCs w:val="0"/>
                <w:color w:val="000000"/>
                <w:kern w:val="2"/>
                <w:sz w:val="24"/>
                <w:szCs w:val="24"/>
                <w:highlight w:val="none"/>
                <w:lang w:val="en-US" w:eastAsia="zh-CN" w:bidi="ar-SA"/>
              </w:rPr>
              <w:t>；投标人须对质疑内容的真实性承担责任，由招标人或招标代理机构负责解释。如在规定的日期内未收到任何投标人递交的质疑书，视为投标人可完全响应。质疑函的方式：以书面形式提出质疑，质疑书应列明理由、依据，加盖单位公章递交至墨玉县众信智诚工程项目管理有限公司或将PDF格式电子版质疑文件加盖公章扫描发送至邮箱</w:t>
            </w:r>
          </w:p>
          <w:p w14:paraId="7F59A54B">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b w:val="0"/>
                <w:bCs w:val="0"/>
                <w:color w:val="000000"/>
                <w:kern w:val="2"/>
                <w:sz w:val="24"/>
                <w:szCs w:val="24"/>
                <w:highlight w:val="none"/>
                <w:lang w:val="en-US" w:eastAsia="zh-CN" w:bidi="ar-SA"/>
              </w:rPr>
              <w:t>接受质疑的单位：</w:t>
            </w:r>
            <w:r>
              <w:rPr>
                <w:rFonts w:hint="eastAsia" w:ascii="仿宋" w:hAnsi="仿宋" w:eastAsia="仿宋" w:cs="仿宋"/>
                <w:sz w:val="24"/>
                <w:szCs w:val="24"/>
                <w:highlight w:val="none"/>
              </w:rPr>
              <w:t>墨玉县众信智诚工程项目管理有限公司</w:t>
            </w:r>
          </w:p>
          <w:p w14:paraId="6AB07690">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b w:val="0"/>
                <w:bCs w:val="0"/>
                <w:color w:val="000000"/>
                <w:kern w:val="2"/>
                <w:sz w:val="24"/>
                <w:szCs w:val="24"/>
                <w:highlight w:val="none"/>
                <w:lang w:val="en-US" w:eastAsia="zh-CN" w:bidi="ar-SA"/>
              </w:rPr>
              <w:t>联系电话：</w:t>
            </w:r>
            <w:r>
              <w:rPr>
                <w:rFonts w:hint="eastAsia" w:ascii="仿宋" w:hAnsi="仿宋" w:eastAsia="仿宋" w:cs="仿宋"/>
                <w:sz w:val="24"/>
                <w:szCs w:val="24"/>
                <w:highlight w:val="none"/>
              </w:rPr>
              <w:t>0903-6530990</w:t>
            </w:r>
          </w:p>
          <w:p w14:paraId="7CDB91B6">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邮箱：</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"mailto:3060380044@qq.com" </w:instrText>
            </w:r>
            <w:r>
              <w:rPr>
                <w:rFonts w:hint="eastAsia" w:ascii="仿宋" w:hAnsi="仿宋" w:eastAsia="仿宋" w:cs="仿宋"/>
                <w:sz w:val="24"/>
                <w:szCs w:val="24"/>
                <w:highlight w:val="none"/>
                <w:lang w:val="en-US" w:eastAsia="zh-CN"/>
              </w:rPr>
              <w:fldChar w:fldCharType="separate"/>
            </w:r>
            <w:r>
              <w:rPr>
                <w:rStyle w:val="78"/>
                <w:rFonts w:hint="eastAsia" w:ascii="仿宋" w:hAnsi="仿宋" w:eastAsia="仿宋" w:cs="仿宋"/>
                <w:sz w:val="24"/>
                <w:szCs w:val="24"/>
                <w:highlight w:val="none"/>
                <w:lang w:val="en-US" w:eastAsia="zh-CN"/>
              </w:rPr>
              <w:t>3060380044@qq.com</w:t>
            </w:r>
            <w:r>
              <w:rPr>
                <w:rFonts w:hint="eastAsia" w:ascii="仿宋" w:hAnsi="仿宋" w:eastAsia="仿宋" w:cs="仿宋"/>
                <w:sz w:val="24"/>
                <w:szCs w:val="24"/>
                <w:highlight w:val="none"/>
                <w:lang w:val="en-US" w:eastAsia="zh-CN"/>
              </w:rPr>
              <w:fldChar w:fldCharType="end"/>
            </w:r>
          </w:p>
          <w:p w14:paraId="08ACD898">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b w:val="0"/>
                <w:bCs w:val="0"/>
                <w:color w:val="000000"/>
                <w:kern w:val="2"/>
                <w:sz w:val="24"/>
                <w:szCs w:val="24"/>
                <w:highlight w:val="none"/>
                <w:lang w:val="en-US" w:eastAsia="zh-CN" w:bidi="ar-SA"/>
              </w:rPr>
              <w:t>注：供应商认为采购文件、采购过程、中标或者成交结果使自己的权益受到损害的，可以根据中华人民共和国财政部令第94号中第十条，以书面形式向采购人、供应商在法定质疑期内一次性提出针对同一采购程序环节的质疑。</w:t>
            </w:r>
          </w:p>
        </w:tc>
      </w:tr>
      <w:tr w14:paraId="70317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 w:hRule="atLeast"/>
          <w:jc w:val="center"/>
        </w:trPr>
        <w:tc>
          <w:tcPr>
            <w:tcW w:w="427" w:type="dxa"/>
            <w:noWrap w:val="0"/>
            <w:vAlign w:val="center"/>
          </w:tcPr>
          <w:p w14:paraId="4C5DB8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616" w:type="dxa"/>
            <w:tcBorders>
              <w:right w:val="single" w:color="auto" w:sz="4" w:space="0"/>
            </w:tcBorders>
            <w:noWrap w:val="0"/>
            <w:vAlign w:val="center"/>
          </w:tcPr>
          <w:p w14:paraId="7E26BB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构成招标文件的其他文件</w:t>
            </w:r>
          </w:p>
        </w:tc>
        <w:tc>
          <w:tcPr>
            <w:tcW w:w="7512" w:type="dxa"/>
            <w:tcBorders>
              <w:left w:val="single" w:color="auto" w:sz="4" w:space="0"/>
            </w:tcBorders>
            <w:noWrap w:val="0"/>
            <w:vAlign w:val="center"/>
          </w:tcPr>
          <w:p w14:paraId="78BE5F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招标文件的澄清、</w:t>
            </w:r>
            <w:r>
              <w:rPr>
                <w:rFonts w:hint="eastAsia" w:ascii="仿宋" w:hAnsi="仿宋" w:eastAsia="仿宋" w:cs="仿宋"/>
                <w:color w:val="auto"/>
                <w:sz w:val="24"/>
                <w:szCs w:val="24"/>
                <w:highlight w:val="none"/>
                <w:lang w:eastAsia="zh-CN"/>
              </w:rPr>
              <w:t>修改</w:t>
            </w:r>
            <w:r>
              <w:rPr>
                <w:rFonts w:hint="eastAsia" w:ascii="仿宋" w:hAnsi="仿宋" w:eastAsia="仿宋" w:cs="仿宋"/>
                <w:color w:val="auto"/>
                <w:sz w:val="24"/>
                <w:szCs w:val="24"/>
                <w:highlight w:val="none"/>
              </w:rPr>
              <w:t>及有关补充通知为招标文件的有效组成部分</w:t>
            </w:r>
            <w:r>
              <w:rPr>
                <w:rFonts w:hint="eastAsia" w:ascii="仿宋" w:hAnsi="仿宋" w:eastAsia="仿宋" w:cs="仿宋"/>
                <w:color w:val="auto"/>
                <w:sz w:val="24"/>
                <w:szCs w:val="24"/>
                <w:highlight w:val="none"/>
                <w:lang w:eastAsia="zh-CN"/>
              </w:rPr>
              <w:t>。</w:t>
            </w:r>
          </w:p>
        </w:tc>
      </w:tr>
      <w:tr w14:paraId="3227C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427" w:type="dxa"/>
            <w:noWrap w:val="0"/>
            <w:vAlign w:val="center"/>
          </w:tcPr>
          <w:p w14:paraId="06ACA1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616" w:type="dxa"/>
            <w:tcBorders>
              <w:right w:val="single" w:color="auto" w:sz="4" w:space="0"/>
            </w:tcBorders>
            <w:noWrap w:val="0"/>
            <w:vAlign w:val="center"/>
          </w:tcPr>
          <w:p w14:paraId="3B55B733">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投标截止时间</w:t>
            </w:r>
          </w:p>
        </w:tc>
        <w:tc>
          <w:tcPr>
            <w:tcW w:w="7512" w:type="dxa"/>
            <w:tcBorders>
              <w:left w:val="single" w:color="auto" w:sz="4" w:space="0"/>
            </w:tcBorders>
            <w:noWrap w:val="0"/>
            <w:vAlign w:val="center"/>
          </w:tcPr>
          <w:p w14:paraId="6C555361">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2025年7月24日11：00分（北京时间）</w:t>
            </w:r>
          </w:p>
        </w:tc>
      </w:tr>
      <w:tr w14:paraId="57CE5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2" w:hRule="atLeast"/>
          <w:jc w:val="center"/>
        </w:trPr>
        <w:tc>
          <w:tcPr>
            <w:tcW w:w="427" w:type="dxa"/>
            <w:noWrap w:val="0"/>
            <w:vAlign w:val="center"/>
          </w:tcPr>
          <w:p w14:paraId="43EA52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616" w:type="dxa"/>
            <w:tcBorders>
              <w:right w:val="single" w:color="auto" w:sz="4" w:space="0"/>
            </w:tcBorders>
            <w:noWrap w:val="0"/>
            <w:vAlign w:val="center"/>
          </w:tcPr>
          <w:p w14:paraId="0FEAEA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bCs/>
                <w:color w:val="auto"/>
                <w:sz w:val="24"/>
                <w:szCs w:val="24"/>
                <w:highlight w:val="none"/>
              </w:rPr>
              <w:t>有效期</w:t>
            </w:r>
          </w:p>
        </w:tc>
        <w:tc>
          <w:tcPr>
            <w:tcW w:w="7512" w:type="dxa"/>
            <w:tcBorders>
              <w:left w:val="single" w:color="auto" w:sz="4" w:space="0"/>
            </w:tcBorders>
            <w:noWrap w:val="0"/>
            <w:vAlign w:val="center"/>
          </w:tcPr>
          <w:p w14:paraId="05BD9C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日历天（从投标截止之日算起）</w:t>
            </w:r>
          </w:p>
        </w:tc>
      </w:tr>
      <w:tr w14:paraId="7B1E3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427" w:type="dxa"/>
            <w:noWrap w:val="0"/>
            <w:vAlign w:val="center"/>
          </w:tcPr>
          <w:p w14:paraId="6351B7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1616" w:type="dxa"/>
            <w:tcBorders>
              <w:right w:val="single" w:color="auto" w:sz="4" w:space="0"/>
            </w:tcBorders>
            <w:noWrap w:val="0"/>
            <w:vAlign w:val="center"/>
          </w:tcPr>
          <w:p w14:paraId="361F3E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投标保证金</w:t>
            </w:r>
          </w:p>
        </w:tc>
        <w:tc>
          <w:tcPr>
            <w:tcW w:w="7512" w:type="dxa"/>
            <w:tcBorders>
              <w:left w:val="single" w:color="auto" w:sz="4" w:space="0"/>
            </w:tcBorders>
            <w:noWrap w:val="0"/>
            <w:vAlign w:val="center"/>
          </w:tcPr>
          <w:p w14:paraId="30E705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投标保证金的形式：转账、</w:t>
            </w:r>
            <w:r>
              <w:rPr>
                <w:rFonts w:hint="eastAsia" w:ascii="仿宋" w:hAnsi="仿宋" w:eastAsia="仿宋" w:cs="仿宋"/>
                <w:b/>
                <w:bCs/>
                <w:sz w:val="24"/>
                <w:szCs w:val="24"/>
                <w:highlight w:val="none"/>
                <w:lang w:val="en-US" w:eastAsia="zh-CN"/>
              </w:rPr>
              <w:t>电汇、电子保函</w:t>
            </w:r>
          </w:p>
          <w:p w14:paraId="3008DF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b/>
                <w:bCs/>
                <w:sz w:val="24"/>
                <w:szCs w:val="24"/>
                <w:highlight w:val="none"/>
                <w:lang w:val="en-US" w:eastAsia="zh-CN"/>
              </w:rPr>
            </w:pPr>
            <w:bookmarkStart w:id="57" w:name="OLE_LINK37"/>
            <w:r>
              <w:rPr>
                <w:rFonts w:hint="eastAsia" w:ascii="仿宋" w:hAnsi="仿宋" w:eastAsia="仿宋" w:cs="仿宋"/>
                <w:b/>
                <w:bCs/>
                <w:sz w:val="24"/>
                <w:szCs w:val="24"/>
                <w:highlight w:val="none"/>
              </w:rPr>
              <w:t>投标保证金的金额：</w:t>
            </w:r>
            <w:bookmarkStart w:id="58" w:name="OLE_LINK16"/>
            <w:r>
              <w:rPr>
                <w:rFonts w:hint="eastAsia" w:ascii="仿宋" w:hAnsi="仿宋" w:eastAsia="仿宋" w:cs="仿宋"/>
                <w:b/>
                <w:bCs/>
                <w:sz w:val="24"/>
                <w:szCs w:val="24"/>
                <w:highlight w:val="none"/>
                <w:lang w:val="en-US" w:eastAsia="zh-CN"/>
              </w:rPr>
              <w:t>30000.00元（叁万元整）</w:t>
            </w:r>
            <w:bookmarkEnd w:id="58"/>
          </w:p>
          <w:bookmarkEnd w:id="57"/>
          <w:p w14:paraId="511209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投标保证金缴纳账户：</w:t>
            </w:r>
          </w:p>
          <w:p w14:paraId="4BE5DB0E">
            <w:pPr>
              <w:keepNext w:val="0"/>
              <w:keepLines w:val="0"/>
              <w:suppressLineNumbers w:val="0"/>
              <w:spacing w:before="0" w:beforeAutospacing="0" w:after="0" w:afterAutospacing="0" w:line="24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账户名称：</w:t>
            </w:r>
            <w:r>
              <w:rPr>
                <w:rFonts w:hint="eastAsia" w:ascii="仿宋" w:hAnsi="仿宋" w:eastAsia="仿宋" w:cs="仿宋"/>
                <w:b/>
                <w:bCs/>
                <w:sz w:val="24"/>
                <w:szCs w:val="24"/>
                <w:highlight w:val="none"/>
                <w:lang w:val="en-US" w:eastAsia="zh-CN"/>
              </w:rPr>
              <w:t>墨玉县公共资源交易平台中心</w:t>
            </w:r>
          </w:p>
          <w:p w14:paraId="5CBD1019">
            <w:pPr>
              <w:keepNext w:val="0"/>
              <w:keepLines w:val="0"/>
              <w:suppressLineNumbers w:val="0"/>
              <w:spacing w:before="0" w:beforeAutospacing="0" w:after="0" w:afterAutospacing="0" w:line="24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账号</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879010012010178915451</w:t>
            </w:r>
          </w:p>
          <w:p w14:paraId="5B0667C7">
            <w:pPr>
              <w:keepNext w:val="0"/>
              <w:keepLines w:val="0"/>
              <w:suppressLineNumbers w:val="0"/>
              <w:spacing w:before="0" w:beforeAutospacing="0" w:after="0" w:afterAutospacing="0" w:line="24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开户银行：</w:t>
            </w:r>
            <w:r>
              <w:rPr>
                <w:rFonts w:hint="eastAsia" w:ascii="仿宋" w:hAnsi="仿宋" w:eastAsia="仿宋" w:cs="仿宋"/>
                <w:b/>
                <w:bCs/>
                <w:kern w:val="2"/>
                <w:sz w:val="24"/>
                <w:szCs w:val="24"/>
                <w:highlight w:val="none"/>
                <w:lang w:val="en-US" w:eastAsia="zh-CN" w:bidi="ar-SA"/>
              </w:rPr>
              <w:t>新疆和田农村商业银行股份有限公司墨玉支行</w:t>
            </w:r>
          </w:p>
          <w:p w14:paraId="518E620D">
            <w:pPr>
              <w:keepNext w:val="0"/>
              <w:keepLines w:val="0"/>
              <w:suppressLineNumbers w:val="0"/>
              <w:spacing w:before="0" w:beforeAutospacing="0" w:after="0" w:afterAutospacing="0" w:line="24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行号：</w:t>
            </w:r>
            <w:r>
              <w:rPr>
                <w:rFonts w:hint="eastAsia" w:ascii="仿宋" w:hAnsi="仿宋" w:eastAsia="仿宋" w:cs="仿宋"/>
                <w:b/>
                <w:bCs/>
                <w:sz w:val="24"/>
                <w:szCs w:val="24"/>
                <w:highlight w:val="none"/>
                <w:lang w:val="en-US" w:eastAsia="zh-CN"/>
              </w:rPr>
              <w:t>402896300016</w:t>
            </w:r>
          </w:p>
          <w:p w14:paraId="4278A7A9">
            <w:pPr>
              <w:pStyle w:val="91"/>
              <w:keepNext w:val="0"/>
              <w:keepLines w:val="0"/>
              <w:suppressLineNumbers w:val="0"/>
              <w:spacing w:before="0" w:beforeAutospacing="0" w:after="0" w:afterAutospacing="0"/>
              <w:ind w:left="0" w:right="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联系电话：0903-7863806</w:t>
            </w:r>
          </w:p>
          <w:p w14:paraId="71BDDA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1.采用银行转账或电汇的方式的，由报名单位基本账户于2025年07月24日11：00（北京时间）前汇至墨玉县公共资源交易平台中心专用账户，不得以现金和其他形式缴纳，不得以分公司、办事处或其他机构的名义缴纳，报名单位在缴纳保证金时，需在进账凭证上明确资金用途、项目名称 ，以便查对核实。投标保证金缴纳截止时间为递交投标文件截止时间，无须到墨玉县公共资源交易平台中心换取收据。</w:t>
            </w:r>
          </w:p>
          <w:p w14:paraId="355F28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电子保函使用方法：1、登录新疆维吾尔自治区政府采购网，首页点击“电子保函”直接进入新疆政府采购电子保函申请页，点击【立即申请】2、依次完善页面显示的投保人信息（供应商信息），确认您要投保的项目信息，在投保项目选择页面选择您需要投保的项目（可根据项目名称或项目保函进行搜索），选择投保项目后填写被保险人信息及投保内容。服务热线：400-9039583。</w:t>
            </w:r>
          </w:p>
          <w:p w14:paraId="11F90E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保函投保金额（元）：30000.00元（叁万元整）</w:t>
            </w:r>
          </w:p>
          <w:p w14:paraId="7B1845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保函承保期限：</w:t>
            </w:r>
            <w:bookmarkStart w:id="59" w:name="OLE_LINK35"/>
            <w:r>
              <w:rPr>
                <w:rFonts w:hint="eastAsia" w:ascii="仿宋" w:hAnsi="仿宋" w:eastAsia="仿宋" w:cs="仿宋"/>
                <w:b/>
                <w:bCs/>
                <w:sz w:val="24"/>
                <w:szCs w:val="24"/>
                <w:highlight w:val="none"/>
                <w:lang w:val="en-US" w:eastAsia="zh-CN"/>
              </w:rPr>
              <w:t xml:space="preserve">2025年7月24日11:00分----2025年10月22日20:00分（90日历天） </w:t>
            </w:r>
            <w:r>
              <w:rPr>
                <w:rFonts w:hint="eastAsia" w:ascii="仿宋" w:hAnsi="仿宋" w:eastAsia="仿宋" w:cs="仿宋"/>
                <w:sz w:val="24"/>
                <w:szCs w:val="24"/>
                <w:highlight w:val="none"/>
                <w:lang w:val="en-US" w:eastAsia="zh-CN"/>
              </w:rPr>
              <w:t xml:space="preserve">  </w:t>
            </w:r>
            <w:bookmarkEnd w:id="59"/>
          </w:p>
        </w:tc>
      </w:tr>
      <w:tr w14:paraId="61DBF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3" w:hRule="atLeast"/>
          <w:jc w:val="center"/>
        </w:trPr>
        <w:tc>
          <w:tcPr>
            <w:tcW w:w="427" w:type="dxa"/>
            <w:noWrap w:val="0"/>
            <w:vAlign w:val="center"/>
          </w:tcPr>
          <w:p w14:paraId="6C00B6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1616" w:type="dxa"/>
            <w:tcBorders>
              <w:right w:val="single" w:color="auto" w:sz="4" w:space="0"/>
            </w:tcBorders>
            <w:noWrap w:val="0"/>
            <w:vAlign w:val="center"/>
          </w:tcPr>
          <w:p w14:paraId="482B65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签字盖章</w:t>
            </w:r>
          </w:p>
        </w:tc>
        <w:tc>
          <w:tcPr>
            <w:tcW w:w="7512" w:type="dxa"/>
            <w:tcBorders>
              <w:left w:val="single" w:color="auto" w:sz="4" w:space="0"/>
            </w:tcBorders>
            <w:noWrap w:val="0"/>
            <w:vAlign w:val="center"/>
          </w:tcPr>
          <w:p w14:paraId="3B1FED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投标人必须按照招标文件的规定和要求签字、盖章</w:t>
            </w:r>
          </w:p>
        </w:tc>
      </w:tr>
      <w:tr w14:paraId="6556E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27" w:type="dxa"/>
            <w:noWrap w:val="0"/>
            <w:vAlign w:val="center"/>
          </w:tcPr>
          <w:p w14:paraId="3CB660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1616" w:type="dxa"/>
            <w:tcBorders>
              <w:right w:val="single" w:color="auto" w:sz="4" w:space="0"/>
            </w:tcBorders>
            <w:noWrap w:val="0"/>
            <w:vAlign w:val="center"/>
          </w:tcPr>
          <w:p w14:paraId="3958F7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递交投标文件的地点及方式</w:t>
            </w:r>
          </w:p>
        </w:tc>
        <w:tc>
          <w:tcPr>
            <w:tcW w:w="7512" w:type="dxa"/>
            <w:tcBorders>
              <w:left w:val="single" w:color="auto" w:sz="4" w:space="0"/>
            </w:tcBorders>
            <w:noWrap w:val="0"/>
            <w:vAlign w:val="center"/>
          </w:tcPr>
          <w:p w14:paraId="4F41FD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开标地点：墨玉县公共资源交易平台中心（墨玉县玉华社区院内）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供应商无需到场</w:t>
            </w:r>
            <w:r>
              <w:rPr>
                <w:rFonts w:hint="eastAsia" w:ascii="仿宋" w:hAnsi="仿宋" w:eastAsia="仿宋" w:cs="仿宋"/>
                <w:color w:val="auto"/>
                <w:sz w:val="24"/>
                <w:szCs w:val="24"/>
                <w:highlight w:val="none"/>
                <w:lang w:eastAsia="zh-CN"/>
              </w:rPr>
              <w:t>）</w:t>
            </w:r>
          </w:p>
          <w:p w14:paraId="29084E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递交投标文件的地点及方式：</w:t>
            </w:r>
            <w:r>
              <w:rPr>
                <w:rFonts w:hint="eastAsia" w:ascii="仿宋" w:hAnsi="仿宋" w:eastAsia="仿宋" w:cs="仿宋"/>
                <w:bCs/>
                <w:color w:val="auto"/>
                <w:sz w:val="24"/>
                <w:szCs w:val="24"/>
                <w:highlight w:val="none"/>
              </w:rPr>
              <w:t>投标人应</w:t>
            </w:r>
            <w:r>
              <w:rPr>
                <w:rFonts w:hint="eastAsia" w:ascii="仿宋" w:hAnsi="仿宋" w:eastAsia="仿宋" w:cs="仿宋"/>
                <w:bCs/>
                <w:color w:val="auto"/>
                <w:sz w:val="24"/>
                <w:szCs w:val="24"/>
                <w:highlight w:val="none"/>
                <w:lang w:eastAsia="zh-CN"/>
              </w:rPr>
              <w:t>2025年 0</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月</w:t>
            </w:r>
            <w:r>
              <w:rPr>
                <w:rFonts w:hint="eastAsia" w:ascii="仿宋" w:hAnsi="仿宋" w:eastAsia="仿宋" w:cs="仿宋"/>
                <w:bCs/>
                <w:color w:val="auto"/>
                <w:sz w:val="24"/>
                <w:szCs w:val="24"/>
                <w:highlight w:val="none"/>
                <w:lang w:val="en-US" w:eastAsia="zh-CN"/>
              </w:rPr>
              <w:t>24</w:t>
            </w:r>
            <w:r>
              <w:rPr>
                <w:rFonts w:hint="eastAsia" w:ascii="仿宋" w:hAnsi="仿宋" w:eastAsia="仿宋" w:cs="仿宋"/>
                <w:bCs/>
                <w:color w:val="auto"/>
                <w:sz w:val="24"/>
                <w:szCs w:val="24"/>
                <w:highlight w:val="none"/>
                <w:lang w:eastAsia="zh-CN"/>
              </w:rPr>
              <w:t>日</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点00分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w:t>
            </w:r>
            <w:r>
              <w:rPr>
                <w:rFonts w:hint="eastAsia" w:ascii="仿宋" w:hAnsi="仿宋" w:eastAsia="仿宋" w:cs="仿宋"/>
                <w:bCs/>
                <w:color w:val="auto"/>
                <w:sz w:val="24"/>
                <w:szCs w:val="24"/>
                <w:highlight w:val="none"/>
                <w:lang w:val="en-US" w:eastAsia="zh-CN"/>
              </w:rPr>
              <w:t>95763</w:t>
            </w:r>
            <w:r>
              <w:rPr>
                <w:rFonts w:hint="eastAsia" w:ascii="仿宋" w:hAnsi="仿宋" w:eastAsia="仿宋" w:cs="仿宋"/>
                <w:bCs/>
                <w:color w:val="auto"/>
                <w:sz w:val="24"/>
                <w:szCs w:val="24"/>
                <w:highlight w:val="none"/>
              </w:rPr>
              <w:t>。</w:t>
            </w:r>
          </w:p>
          <w:p w14:paraId="0E3C53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投标文件：开标结束后各投标人将上传政府采购网的投标文件使用A4纸胶装成册（1正1副）递交或邮寄（不支持到付件）至墨玉县众信智诚工程项目管理有限公司（墨玉县乐民社区B栋二楼）</w:t>
            </w:r>
          </w:p>
        </w:tc>
      </w:tr>
      <w:tr w14:paraId="39ED0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427" w:type="dxa"/>
            <w:noWrap w:val="0"/>
            <w:vAlign w:val="center"/>
          </w:tcPr>
          <w:p w14:paraId="4A36C4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1616" w:type="dxa"/>
            <w:tcBorders>
              <w:right w:val="single" w:color="auto" w:sz="4" w:space="0"/>
            </w:tcBorders>
            <w:noWrap w:val="0"/>
            <w:vAlign w:val="center"/>
          </w:tcPr>
          <w:p w14:paraId="7DA996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120" w:leftChars="0" w:right="62" w:rightChars="0" w:hanging="120" w:hangingChars="5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highlight w:val="none"/>
              </w:rPr>
              <w:t>标前准备</w:t>
            </w:r>
          </w:p>
        </w:tc>
        <w:tc>
          <w:tcPr>
            <w:tcW w:w="7512" w:type="dxa"/>
            <w:tcBorders>
              <w:left w:val="single" w:color="auto" w:sz="4" w:space="0"/>
            </w:tcBorders>
            <w:noWrap w:val="0"/>
            <w:vAlign w:val="center"/>
          </w:tcPr>
          <w:p w14:paraId="52FE75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1、本项目实行网上投标，采用电子投标文件。供应商应按照相关格式要求上传投标文件即可，无需到现场开标。若供应商参与投标，自行承担投标一切费用。</w:t>
            </w:r>
          </w:p>
          <w:p w14:paraId="3CEB82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53D01B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 </w:t>
            </w:r>
          </w:p>
          <w:p w14:paraId="55B4B8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Cs/>
                <w:color w:val="auto"/>
                <w:sz w:val="24"/>
                <w:szCs w:val="24"/>
                <w:highlight w:val="none"/>
                <w:lang w:val="en-US" w:eastAsia="zh-CN"/>
              </w:rPr>
              <w:t>4、供应商将新疆政府采购电子交易客户端下载、安装完成后，可通过账号密码或CA登录客户端进行投标文件制作。在使用新疆政府采购投标客户端时，建议使用WIN7及以上操作系统。客户端请至新疆政府采购网（http://www.ccgp-xinjiang.gov.cn/）下载专区查看，如有问题可拨打新疆政府采购客户服务热线95763进行咨询。</w:t>
            </w:r>
          </w:p>
        </w:tc>
      </w:tr>
      <w:tr w14:paraId="63F21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427" w:type="dxa"/>
            <w:noWrap w:val="0"/>
            <w:vAlign w:val="center"/>
          </w:tcPr>
          <w:p w14:paraId="09781E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p>
        </w:tc>
        <w:tc>
          <w:tcPr>
            <w:tcW w:w="1616" w:type="dxa"/>
            <w:tcBorders>
              <w:right w:val="single" w:color="auto" w:sz="4" w:space="0"/>
            </w:tcBorders>
            <w:noWrap w:val="0"/>
            <w:vAlign w:val="center"/>
          </w:tcPr>
          <w:p w14:paraId="3063B0C4">
            <w:pPr>
              <w:keepNext w:val="0"/>
              <w:keepLines w:val="0"/>
              <w:suppressLineNumbers w:val="0"/>
              <w:spacing w:before="0" w:beforeAutospacing="0" w:after="0" w:afterAutospacing="0" w:line="360" w:lineRule="exact"/>
              <w:ind w:left="120" w:leftChars="0" w:right="62" w:rightChars="0" w:hanging="120" w:hangingChars="5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shd w:val="clear" w:color="auto" w:fill="auto"/>
                <w:lang w:eastAsia="zh-CN"/>
              </w:rPr>
              <w:t>招标文件解密时间</w:t>
            </w:r>
          </w:p>
        </w:tc>
        <w:tc>
          <w:tcPr>
            <w:tcW w:w="7512" w:type="dxa"/>
            <w:tcBorders>
              <w:left w:val="single" w:color="auto" w:sz="4" w:space="0"/>
            </w:tcBorders>
            <w:noWrap w:val="0"/>
            <w:vAlign w:val="center"/>
          </w:tcPr>
          <w:p w14:paraId="1B4204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120" w:leftChars="0" w:right="62" w:rightChars="0" w:hanging="120" w:hangingChars="5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 xml:space="preserve"> 2025年 07月24日</w:t>
            </w:r>
            <w:r>
              <w:rPr>
                <w:rFonts w:hint="eastAsia" w:ascii="仿宋" w:hAnsi="仿宋" w:eastAsia="仿宋" w:cs="仿宋"/>
                <w:b w:val="0"/>
                <w:bCs w:val="0"/>
                <w:color w:val="auto"/>
                <w:sz w:val="24"/>
                <w:szCs w:val="24"/>
                <w:highlight w:val="none"/>
                <w:lang w:eastAsia="zh-CN"/>
              </w:rPr>
              <w:t>11：00</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北京时间</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前供应商可以登录“</w:t>
            </w:r>
            <w:r>
              <w:rPr>
                <w:rFonts w:hint="eastAsia" w:ascii="仿宋" w:hAnsi="仿宋" w:eastAsia="仿宋" w:cs="仿宋"/>
                <w:b w:val="0"/>
                <w:bCs w:val="0"/>
                <w:color w:val="auto"/>
                <w:sz w:val="24"/>
                <w:szCs w:val="24"/>
                <w:highlight w:val="none"/>
                <w:lang w:val="en-US" w:eastAsia="zh-CN"/>
              </w:rPr>
              <w:t>政采云</w:t>
            </w:r>
            <w:r>
              <w:rPr>
                <w:rFonts w:hint="eastAsia" w:ascii="仿宋" w:hAnsi="仿宋" w:eastAsia="仿宋" w:cs="仿宋"/>
                <w:b w:val="0"/>
                <w:bCs w:val="0"/>
                <w:color w:val="auto"/>
                <w:sz w:val="24"/>
                <w:szCs w:val="24"/>
                <w:highlight w:val="none"/>
              </w:rPr>
              <w:t>”平台，用“项目采购</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开标评标”功能进行解密投标文件。若供应商在规定时间内（</w:t>
            </w:r>
            <w:r>
              <w:rPr>
                <w:rFonts w:hint="eastAsia" w:ascii="仿宋" w:hAnsi="仿宋" w:eastAsia="仿宋" w:cs="仿宋"/>
                <w:b w:val="0"/>
                <w:bCs w:val="0"/>
                <w:color w:val="auto"/>
                <w:sz w:val="24"/>
                <w:szCs w:val="24"/>
                <w:highlight w:val="none"/>
                <w:lang w:val="en-US" w:eastAsia="zh-CN"/>
              </w:rPr>
              <w:t>2025年 07月24日上午11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0前）未按时解密的，视为投标文件撤回。</w:t>
            </w:r>
          </w:p>
        </w:tc>
      </w:tr>
      <w:tr w14:paraId="78E59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427" w:type="dxa"/>
            <w:noWrap w:val="0"/>
            <w:vAlign w:val="center"/>
          </w:tcPr>
          <w:p w14:paraId="500632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p>
        </w:tc>
        <w:tc>
          <w:tcPr>
            <w:tcW w:w="1616" w:type="dxa"/>
            <w:tcBorders>
              <w:right w:val="single" w:color="auto" w:sz="4" w:space="0"/>
            </w:tcBorders>
            <w:noWrap w:val="0"/>
            <w:vAlign w:val="center"/>
          </w:tcPr>
          <w:p w14:paraId="3E768C00">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shd w:val="clear" w:color="auto" w:fill="auto"/>
              </w:rPr>
              <w:t>招标代理服务费</w:t>
            </w:r>
            <w:r>
              <w:rPr>
                <w:rFonts w:hint="eastAsia" w:ascii="仿宋" w:hAnsi="仿宋" w:eastAsia="仿宋" w:cs="仿宋"/>
                <w:color w:val="auto"/>
                <w:kern w:val="0"/>
                <w:sz w:val="24"/>
                <w:szCs w:val="24"/>
                <w:highlight w:val="none"/>
                <w:shd w:val="clear" w:color="auto" w:fill="auto"/>
                <w:lang w:val="en-US" w:eastAsia="zh-CN"/>
              </w:rPr>
              <w:t>收取标准</w:t>
            </w:r>
          </w:p>
        </w:tc>
        <w:tc>
          <w:tcPr>
            <w:tcW w:w="7512" w:type="dxa"/>
            <w:tcBorders>
              <w:left w:val="single" w:color="auto" w:sz="4" w:space="0"/>
            </w:tcBorders>
            <w:noWrap w:val="0"/>
            <w:vAlign w:val="center"/>
          </w:tcPr>
          <w:p w14:paraId="7F530B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 w:val="0"/>
                <w:bCs w:val="0"/>
                <w:color w:val="auto"/>
                <w:sz w:val="24"/>
                <w:szCs w:val="24"/>
                <w:highlight w:val="none"/>
                <w:lang w:val="en-US" w:eastAsia="zh-CN"/>
              </w:rPr>
            </w:pPr>
            <w:bookmarkStart w:id="60" w:name="OLE_LINK70"/>
            <w:r>
              <w:rPr>
                <w:rFonts w:hint="eastAsia" w:ascii="仿宋" w:hAnsi="仿宋" w:eastAsia="仿宋" w:cs="仿宋"/>
                <w:bCs/>
                <w:color w:val="auto"/>
                <w:sz w:val="24"/>
                <w:szCs w:val="24"/>
                <w:highlight w:val="none"/>
                <w:lang w:val="en-US" w:eastAsia="zh-CN"/>
              </w:rPr>
              <w:t>标准：参考</w:t>
            </w:r>
            <w:r>
              <w:rPr>
                <w:rFonts w:hint="eastAsia" w:ascii="仿宋" w:hAnsi="仿宋" w:eastAsia="仿宋" w:cs="仿宋"/>
                <w:b w:val="0"/>
                <w:bCs w:val="0"/>
                <w:color w:val="auto"/>
                <w:sz w:val="24"/>
                <w:szCs w:val="24"/>
                <w:highlight w:val="none"/>
                <w:lang w:val="en-US" w:eastAsia="zh-CN"/>
              </w:rPr>
              <w:t>新疆维吾尔自治区建设工程招标投标协会《关于印发《新疆维吾尔自治区招标代理服务收费指导意见》的通知》（新建招协【2024】4号）服务类计取</w:t>
            </w:r>
          </w:p>
          <w:p w14:paraId="1B3647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以 (☑ 中标金额/□采购预算/□暂定中标金额/□其他 ) 为计费额， 按服务招标采用差额定率累进法计算出收费基准价格，采购代理收费以 (☑ 收费基准价格□收费基准价格下浮</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%□收费基准价格上浮</w:t>
            </w:r>
            <w:r>
              <w:rPr>
                <w:rFonts w:hint="eastAsia" w:ascii="仿宋" w:hAnsi="仿宋" w:eastAsia="仿宋" w:cs="仿宋"/>
                <w:bCs/>
                <w:color w:val="auto"/>
                <w:sz w:val="24"/>
                <w:szCs w:val="24"/>
                <w:highlight w:val="none"/>
                <w:u w:val="single"/>
                <w:lang w:val="en-US" w:eastAsia="zh-CN"/>
              </w:rPr>
              <w:t xml:space="preserve"> / </w:t>
            </w:r>
            <w:r>
              <w:rPr>
                <w:rFonts w:hint="eastAsia" w:ascii="仿宋" w:hAnsi="仿宋" w:eastAsia="仿宋" w:cs="仿宋"/>
                <w:bCs/>
                <w:color w:val="auto"/>
                <w:sz w:val="24"/>
                <w:szCs w:val="24"/>
                <w:highlight w:val="none"/>
                <w:lang w:val="en-US" w:eastAsia="zh-CN"/>
              </w:rPr>
              <w:t>%) 收取。</w:t>
            </w:r>
          </w:p>
          <w:bookmarkEnd w:id="60"/>
          <w:p w14:paraId="0AABA5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□固定采购代理收费</w:t>
            </w:r>
            <w:r>
              <w:rPr>
                <w:rFonts w:hint="eastAsia" w:ascii="仿宋" w:hAnsi="仿宋" w:eastAsia="仿宋" w:cs="仿宋"/>
                <w:bCs/>
                <w:color w:val="auto"/>
                <w:sz w:val="24"/>
                <w:szCs w:val="24"/>
                <w:highlight w:val="none"/>
                <w:u w:val="single"/>
                <w:lang w:val="en-US" w:eastAsia="zh-CN"/>
              </w:rPr>
              <w:t xml:space="preserve">   /     </w:t>
            </w:r>
            <w:r>
              <w:rPr>
                <w:rFonts w:hint="eastAsia" w:ascii="仿宋" w:hAnsi="仿宋" w:eastAsia="仿宋" w:cs="仿宋"/>
                <w:bCs/>
                <w:color w:val="auto"/>
                <w:sz w:val="24"/>
                <w:szCs w:val="24"/>
                <w:highlight w:val="none"/>
                <w:lang w:val="en-US" w:eastAsia="zh-CN"/>
              </w:rPr>
              <w:t>。</w:t>
            </w:r>
          </w:p>
        </w:tc>
      </w:tr>
      <w:tr w14:paraId="3409A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7" w:hRule="atLeast"/>
          <w:jc w:val="center"/>
        </w:trPr>
        <w:tc>
          <w:tcPr>
            <w:tcW w:w="427" w:type="dxa"/>
            <w:noWrap w:val="0"/>
            <w:vAlign w:val="center"/>
          </w:tcPr>
          <w:p w14:paraId="74D1EF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1616" w:type="dxa"/>
            <w:tcBorders>
              <w:right w:val="single" w:color="auto" w:sz="4" w:space="0"/>
            </w:tcBorders>
            <w:noWrap w:val="0"/>
            <w:vAlign w:val="center"/>
          </w:tcPr>
          <w:p w14:paraId="3FBCA314">
            <w:pPr>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spacing w:val="9"/>
                <w:sz w:val="24"/>
                <w:szCs w:val="24"/>
                <w:highlight w:val="none"/>
                <w:lang w:val="en-US" w:eastAsia="zh-CN"/>
              </w:rPr>
              <w:t>招标</w:t>
            </w:r>
            <w:r>
              <w:rPr>
                <w:rFonts w:hint="eastAsia" w:ascii="仿宋" w:hAnsi="仿宋" w:eastAsia="仿宋" w:cs="仿宋"/>
                <w:spacing w:val="9"/>
                <w:sz w:val="24"/>
                <w:szCs w:val="24"/>
                <w:highlight w:val="none"/>
              </w:rPr>
              <w:t>代理费支付方式</w:t>
            </w:r>
          </w:p>
        </w:tc>
        <w:tc>
          <w:tcPr>
            <w:tcW w:w="7512" w:type="dxa"/>
            <w:tcBorders>
              <w:left w:val="single" w:color="auto" w:sz="4" w:space="0"/>
            </w:tcBorders>
            <w:noWrap w:val="0"/>
            <w:vAlign w:val="center"/>
          </w:tcPr>
          <w:p w14:paraId="48A99A81">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sz w:val="24"/>
                <w:szCs w:val="24"/>
                <w:highlight w:val="none"/>
                <w:lang w:eastAsia="zh-CN"/>
              </w:rPr>
            </w:pPr>
            <w:r>
              <w:rPr>
                <w:rFonts w:hint="eastAsia" w:ascii="仿宋" w:hAnsi="仿宋" w:eastAsia="仿宋" w:cs="仿宋"/>
                <w:spacing w:val="14"/>
                <w:sz w:val="24"/>
                <w:szCs w:val="24"/>
                <w:highlight w:val="none"/>
                <w:lang w:eastAsia="zh-CN"/>
              </w:rPr>
              <w:t>☑</w:t>
            </w:r>
            <w:r>
              <w:rPr>
                <w:rFonts w:hint="eastAsia" w:ascii="仿宋" w:hAnsi="仿宋" w:eastAsia="仿宋" w:cs="仿宋"/>
                <w:spacing w:val="12"/>
                <w:sz w:val="24"/>
                <w:szCs w:val="24"/>
                <w:highlight w:val="none"/>
              </w:rPr>
              <w:t>本</w:t>
            </w:r>
            <w:r>
              <w:rPr>
                <w:rFonts w:hint="eastAsia" w:ascii="仿宋" w:hAnsi="仿宋" w:eastAsia="仿宋" w:cs="仿宋"/>
                <w:spacing w:val="7"/>
                <w:sz w:val="24"/>
                <w:szCs w:val="24"/>
                <w:highlight w:val="none"/>
              </w:rPr>
              <w:t>项目代理服务费由</w:t>
            </w:r>
            <w:r>
              <w:rPr>
                <w:rFonts w:hint="eastAsia" w:ascii="仿宋" w:hAnsi="仿宋" w:eastAsia="仿宋" w:cs="仿宋"/>
                <w:spacing w:val="7"/>
                <w:sz w:val="24"/>
                <w:szCs w:val="24"/>
                <w:highlight w:val="none"/>
                <w:u w:val="single" w:color="auto"/>
              </w:rPr>
              <w:t>中标人</w:t>
            </w:r>
            <w:r>
              <w:rPr>
                <w:rFonts w:hint="eastAsia" w:ascii="仿宋" w:hAnsi="仿宋" w:eastAsia="仿宋" w:cs="仿宋"/>
                <w:spacing w:val="7"/>
                <w:sz w:val="24"/>
                <w:szCs w:val="24"/>
                <w:highlight w:val="none"/>
              </w:rPr>
              <w:t>在领取中标通知书前，一次性向采购代理机构支</w:t>
            </w:r>
            <w:r>
              <w:rPr>
                <w:rFonts w:hint="eastAsia" w:ascii="仿宋" w:hAnsi="仿宋" w:eastAsia="仿宋" w:cs="仿宋"/>
                <w:sz w:val="24"/>
                <w:szCs w:val="24"/>
                <w:highlight w:val="none"/>
              </w:rPr>
              <w:t>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注：投标人在报价时请考虑</w:t>
            </w:r>
            <w:r>
              <w:rPr>
                <w:rFonts w:hint="eastAsia" w:ascii="仿宋" w:hAnsi="仿宋" w:eastAsia="仿宋" w:cs="仿宋"/>
                <w:sz w:val="24"/>
                <w:szCs w:val="24"/>
                <w:highlight w:val="none"/>
                <w:lang w:eastAsia="zh-CN"/>
              </w:rPr>
              <w:t>）</w:t>
            </w:r>
          </w:p>
          <w:p w14:paraId="6E1EF630">
            <w:pPr>
              <w:keepNext w:val="0"/>
              <w:keepLines w:val="0"/>
              <w:suppressLineNumbers w:val="0"/>
              <w:spacing w:before="0" w:beforeAutospacing="0" w:after="0" w:afterAutospacing="0" w:line="240" w:lineRule="auto"/>
              <w:ind w:left="0" w:right="0" w:firstLine="0" w:firstLineChars="0"/>
              <w:rPr>
                <w:rFonts w:hint="eastAsia" w:ascii="仿宋" w:hAnsi="仿宋" w:eastAsia="仿宋" w:cs="仿宋"/>
                <w:sz w:val="24"/>
                <w:szCs w:val="24"/>
                <w:highlight w:val="none"/>
              </w:rPr>
            </w:pPr>
            <w:r>
              <w:rPr>
                <w:rFonts w:hint="eastAsia" w:ascii="仿宋" w:hAnsi="仿宋" w:eastAsia="仿宋" w:cs="仿宋"/>
                <w:spacing w:val="6"/>
                <w:sz w:val="24"/>
                <w:szCs w:val="24"/>
                <w:highlight w:val="none"/>
                <w:lang w:eastAsia="zh-CN"/>
              </w:rPr>
              <w:t>□</w:t>
            </w:r>
            <w:r>
              <w:rPr>
                <w:rFonts w:hint="eastAsia" w:ascii="仿宋" w:hAnsi="仿宋" w:eastAsia="仿宋" w:cs="仿宋"/>
                <w:spacing w:val="4"/>
                <w:sz w:val="24"/>
                <w:szCs w:val="24"/>
                <w:highlight w:val="none"/>
              </w:rPr>
              <w:t>采购人支付。</w:t>
            </w:r>
          </w:p>
          <w:p w14:paraId="0FF126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spacing w:val="7"/>
                <w:sz w:val="24"/>
                <w:szCs w:val="24"/>
                <w:highlight w:val="none"/>
              </w:rPr>
              <w:t>□本项目不收取代理服务费</w:t>
            </w:r>
            <w:r>
              <w:rPr>
                <w:rFonts w:hint="eastAsia" w:ascii="仿宋" w:hAnsi="仿宋" w:eastAsia="仿宋" w:cs="仿宋"/>
                <w:spacing w:val="7"/>
                <w:sz w:val="24"/>
                <w:szCs w:val="24"/>
                <w:highlight w:val="none"/>
                <w:lang w:eastAsia="zh-CN"/>
              </w:rPr>
              <w:t>。</w:t>
            </w:r>
          </w:p>
        </w:tc>
      </w:tr>
      <w:tr w14:paraId="34E08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427" w:type="dxa"/>
            <w:noWrap w:val="0"/>
            <w:vAlign w:val="center"/>
          </w:tcPr>
          <w:p w14:paraId="5B0250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616" w:type="dxa"/>
            <w:tcBorders>
              <w:right w:val="single" w:color="auto" w:sz="4" w:space="0"/>
            </w:tcBorders>
            <w:noWrap w:val="0"/>
            <w:vAlign w:val="center"/>
          </w:tcPr>
          <w:p w14:paraId="2F1DDD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招标代理费收款账户信息</w:t>
            </w:r>
          </w:p>
        </w:tc>
        <w:tc>
          <w:tcPr>
            <w:tcW w:w="7512" w:type="dxa"/>
            <w:tcBorders>
              <w:left w:val="single" w:color="auto" w:sz="4" w:space="0"/>
            </w:tcBorders>
            <w:noWrap w:val="0"/>
            <w:vAlign w:val="center"/>
          </w:tcPr>
          <w:p w14:paraId="4BFA02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账户名称：墨玉县众信智诚工程项目管理有限公司</w:t>
            </w:r>
          </w:p>
          <w:p w14:paraId="6A4FEC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开户银行：中国银行股份有限公司墨玉县支行</w:t>
            </w:r>
          </w:p>
          <w:p w14:paraId="46E700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银行账号：108296516643</w:t>
            </w:r>
          </w:p>
          <w:p w14:paraId="41E925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Cs/>
                <w:color w:val="auto"/>
                <w:sz w:val="24"/>
                <w:szCs w:val="24"/>
                <w:highlight w:val="none"/>
                <w:lang w:val="en-US" w:eastAsia="zh-CN"/>
              </w:rPr>
              <w:t>开户行行号：104896302018</w:t>
            </w:r>
          </w:p>
        </w:tc>
      </w:tr>
      <w:tr w14:paraId="77F13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427" w:type="dxa"/>
            <w:noWrap w:val="0"/>
            <w:vAlign w:val="center"/>
          </w:tcPr>
          <w:p w14:paraId="4E2455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616" w:type="dxa"/>
            <w:tcBorders>
              <w:right w:val="single" w:color="auto" w:sz="4" w:space="0"/>
            </w:tcBorders>
            <w:noWrap w:val="0"/>
            <w:vAlign w:val="center"/>
          </w:tcPr>
          <w:p w14:paraId="7734EC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评标委员的组建</w:t>
            </w:r>
          </w:p>
        </w:tc>
        <w:tc>
          <w:tcPr>
            <w:tcW w:w="7512" w:type="dxa"/>
            <w:tcBorders>
              <w:left w:val="single" w:color="auto" w:sz="4" w:space="0"/>
            </w:tcBorders>
            <w:noWrap w:val="0"/>
            <w:vAlign w:val="center"/>
          </w:tcPr>
          <w:p w14:paraId="12ADB4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评标委员会构成：</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其中评标专家4人，采购人代表1人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74942E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评标专家确定方式：由招标代理在开标前</w:t>
            </w:r>
            <w:r>
              <w:rPr>
                <w:rFonts w:hint="eastAsia" w:ascii="仿宋" w:hAnsi="仿宋" w:eastAsia="仿宋" w:cs="仿宋"/>
                <w:color w:val="auto"/>
                <w:sz w:val="24"/>
                <w:szCs w:val="24"/>
                <w:highlight w:val="none"/>
                <w:lang w:val="en-US" w:eastAsia="zh-CN"/>
              </w:rPr>
              <w:t>48</w:t>
            </w:r>
            <w:r>
              <w:rPr>
                <w:rFonts w:hint="eastAsia" w:ascii="仿宋" w:hAnsi="仿宋" w:eastAsia="仿宋" w:cs="仿宋"/>
                <w:color w:val="auto"/>
                <w:sz w:val="24"/>
                <w:szCs w:val="24"/>
                <w:highlight w:val="none"/>
              </w:rPr>
              <w:t>小时在新疆政府采购专家库中随机抽取此次评标专家</w:t>
            </w:r>
            <w:r>
              <w:rPr>
                <w:rFonts w:hint="eastAsia" w:ascii="仿宋" w:hAnsi="仿宋" w:eastAsia="仿宋" w:cs="仿宋"/>
                <w:color w:val="auto"/>
                <w:sz w:val="24"/>
                <w:szCs w:val="24"/>
                <w:highlight w:val="none"/>
                <w:lang w:eastAsia="zh-CN"/>
              </w:rPr>
              <w:t>。</w:t>
            </w:r>
          </w:p>
        </w:tc>
      </w:tr>
      <w:tr w14:paraId="5A051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97" w:hRule="atLeast"/>
          <w:jc w:val="center"/>
        </w:trPr>
        <w:tc>
          <w:tcPr>
            <w:tcW w:w="427" w:type="dxa"/>
            <w:tcBorders>
              <w:top w:val="single" w:color="auto" w:sz="4" w:space="0"/>
            </w:tcBorders>
            <w:noWrap w:val="0"/>
            <w:vAlign w:val="center"/>
          </w:tcPr>
          <w:p w14:paraId="023EE1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1616" w:type="dxa"/>
            <w:tcBorders>
              <w:top w:val="single" w:color="auto" w:sz="4" w:space="0"/>
              <w:right w:val="single" w:color="auto" w:sz="4" w:space="0"/>
            </w:tcBorders>
            <w:noWrap w:val="0"/>
            <w:vAlign w:val="center"/>
          </w:tcPr>
          <w:p w14:paraId="40D952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政府采购政策支持</w:t>
            </w:r>
          </w:p>
        </w:tc>
        <w:tc>
          <w:tcPr>
            <w:tcW w:w="7512" w:type="dxa"/>
            <w:tcBorders>
              <w:top w:val="single" w:color="auto" w:sz="4" w:space="0"/>
              <w:left w:val="single" w:color="auto" w:sz="4" w:space="0"/>
            </w:tcBorders>
            <w:noWrap w:val="0"/>
            <w:vAlign w:val="center"/>
          </w:tcPr>
          <w:p w14:paraId="1A485A3B">
            <w:pPr>
              <w:keepNext w:val="0"/>
              <w:keepLines w:val="0"/>
              <w:pageBreakBefore w:val="0"/>
              <w:suppressLineNumbers w:val="0"/>
              <w:kinsoku/>
              <w:wordWrap/>
              <w:topLinePunct w:val="0"/>
              <w:autoSpaceDE/>
              <w:autoSpaceDN/>
              <w:bidi w:val="0"/>
              <w:adjustRightInd/>
              <w:spacing w:before="0" w:beforeAutospacing="0" w:after="0" w:afterAutospacing="0" w:line="300" w:lineRule="exact"/>
              <w:ind w:left="0" w:firstLine="0" w:firstLineChars="0"/>
              <w:textAlignment w:val="auto"/>
              <w:outlineLvl w:val="9"/>
              <w:rPr>
                <w:rFonts w:hint="eastAsia" w:ascii="仿宋" w:hAnsi="仿宋" w:eastAsia="仿宋" w:cs="仿宋"/>
                <w:color w:val="000000"/>
                <w:kern w:val="0"/>
                <w:sz w:val="24"/>
                <w:szCs w:val="24"/>
                <w:highlight w:val="none"/>
                <w:lang w:bidi="ar"/>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.落实政府采购政策需满足的资格要求：</w:t>
            </w:r>
          </w:p>
          <w:p w14:paraId="22FFA0B3">
            <w:pPr>
              <w:pStyle w:val="44"/>
              <w:keepNext w:val="0"/>
              <w:keepLines w:val="0"/>
              <w:pageBreakBefore w:val="0"/>
              <w:suppressLineNumbers w:val="0"/>
              <w:kinsoku/>
              <w:wordWrap/>
              <w:topLinePunct w:val="0"/>
              <w:autoSpaceDE/>
              <w:autoSpaceDN/>
              <w:bidi w:val="0"/>
              <w:adjustRightInd/>
              <w:snapToGrid w:val="0"/>
              <w:spacing w:before="0" w:beforeAutospacing="0" w:after="0" w:afterAutospacing="0" w:line="300" w:lineRule="exact"/>
              <w:ind w:left="0"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.1中小企业政策</w:t>
            </w:r>
          </w:p>
          <w:p w14:paraId="7C0331FD">
            <w:pPr>
              <w:pStyle w:val="44"/>
              <w:keepNext w:val="0"/>
              <w:keepLines w:val="0"/>
              <w:pageBreakBefore w:val="0"/>
              <w:suppressLineNumbers w:val="0"/>
              <w:kinsoku/>
              <w:wordWrap/>
              <w:topLinePunct w:val="0"/>
              <w:autoSpaceDE/>
              <w:autoSpaceDN/>
              <w:bidi w:val="0"/>
              <w:adjustRightInd/>
              <w:snapToGrid w:val="0"/>
              <w:spacing w:before="0" w:beforeAutospacing="0" w:after="0" w:afterAutospacing="0"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本项目不专门面向中小企业预留采购份额。</w:t>
            </w:r>
          </w:p>
          <w:p w14:paraId="3DACD049">
            <w:pPr>
              <w:pStyle w:val="44"/>
              <w:keepNext w:val="0"/>
              <w:keepLines w:val="0"/>
              <w:pageBreakBefore w:val="0"/>
              <w:suppressLineNumbers w:val="0"/>
              <w:kinsoku/>
              <w:wordWrap/>
              <w:topLinePunct w:val="0"/>
              <w:autoSpaceDE/>
              <w:autoSpaceDN/>
              <w:bidi w:val="0"/>
              <w:adjustRightInd/>
              <w:snapToGrid w:val="0"/>
              <w:spacing w:before="0" w:beforeAutospacing="0" w:after="0" w:afterAutospacing="0"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 xml:space="preserve">本项目专门面向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 xml:space="preserve">中小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小微企业采购。即：提供的货物或服务全部由符合政策要求的中小/小微企业制造、服务全部由符合政策要求的中小/小微企业承接。</w:t>
            </w:r>
          </w:p>
          <w:p w14:paraId="1E7FCC92">
            <w:pPr>
              <w:pStyle w:val="44"/>
              <w:keepNext w:val="0"/>
              <w:keepLines w:val="0"/>
              <w:pageBreakBefore w:val="0"/>
              <w:suppressLineNumbers w:val="0"/>
              <w:kinsoku/>
              <w:wordWrap/>
              <w:topLinePunct w:val="0"/>
              <w:autoSpaceDE/>
              <w:autoSpaceDN/>
              <w:bidi w:val="0"/>
              <w:adjustRightInd/>
              <w:snapToGrid w:val="0"/>
              <w:spacing w:before="0" w:beforeAutospacing="0" w:after="0" w:afterAutospacing="0"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本项目为专门面向中小企业项目，参加投标的供应商须为中小企业，否则投标无效。因本项属于专门面向中小企业采购，故小型和微型企业不享受价格扣除优惠政策。JY企业、残疾人福利性单位视同小型和微型企业。</w:t>
            </w:r>
          </w:p>
          <w:p w14:paraId="0F0D4AFE">
            <w:pPr>
              <w:pStyle w:val="44"/>
              <w:keepNext w:val="0"/>
              <w:keepLines w:val="0"/>
              <w:pageBreakBefore w:val="0"/>
              <w:suppressLineNumbers w:val="0"/>
              <w:kinsoku/>
              <w:wordWrap/>
              <w:topLinePunct w:val="0"/>
              <w:autoSpaceDE/>
              <w:autoSpaceDN/>
              <w:bidi w:val="0"/>
              <w:adjustRightInd/>
              <w:snapToGrid w:val="0"/>
              <w:spacing w:before="0" w:beforeAutospacing="0" w:after="0" w:afterAutospacing="0" w:line="300" w:lineRule="exact"/>
              <w:ind w:left="0" w:firstLine="480" w:firstLineChars="200"/>
              <w:textAlignment w:val="auto"/>
              <w:outlineLvl w:val="9"/>
              <w:rPr>
                <w:rFonts w:hint="eastAsia" w:ascii="仿宋" w:hAnsi="仿宋" w:eastAsia="仿宋" w:cs="仿宋"/>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本项目预留部分采购项目预算专门面向中小企业采购。对于预留份额，提供的货物由</w:t>
            </w:r>
          </w:p>
          <w:p w14:paraId="79F17A3D">
            <w:pPr>
              <w:pStyle w:val="44"/>
              <w:keepNext w:val="0"/>
              <w:keepLines w:val="0"/>
              <w:pageBreakBefore w:val="0"/>
              <w:suppressLineNumbers w:val="0"/>
              <w:kinsoku/>
              <w:wordWrap/>
              <w:topLinePunct w:val="0"/>
              <w:autoSpaceDE/>
              <w:autoSpaceDN/>
              <w:bidi w:val="0"/>
              <w:adjustRightInd/>
              <w:snapToGrid w:val="0"/>
              <w:spacing w:before="0" w:beforeAutospacing="0" w:after="0" w:afterAutospacing="0" w:line="300" w:lineRule="exact"/>
              <w:ind w:left="0" w:firstLine="480" w:firstLineChars="200"/>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符合政策要求的中小企业制造、服务由符合政策要求的中小企业承接。预留份额通过以下措施进行：</w:t>
            </w:r>
            <w:r>
              <w:rPr>
                <w:rFonts w:hint="eastAsia" w:ascii="仿宋" w:hAnsi="仿宋" w:eastAsia="仿宋" w:cs="仿宋"/>
                <w:color w:val="000000"/>
                <w:sz w:val="24"/>
                <w:szCs w:val="24"/>
                <w:highlight w:val="none"/>
                <w:u w:val="single"/>
                <w:lang w:val="en-US" w:eastAsia="zh-CN"/>
              </w:rPr>
              <w:t xml:space="preserve"> 供应商为中小企业，或供应商以联合体形式参加采购活动且联合体中中小企业承担的部分达到一定比例 </w:t>
            </w:r>
          </w:p>
          <w:p w14:paraId="72915BD2">
            <w:pPr>
              <w:pStyle w:val="44"/>
              <w:keepNext w:val="0"/>
              <w:keepLines w:val="0"/>
              <w:pageBreakBefore w:val="0"/>
              <w:suppressLineNumbers w:val="0"/>
              <w:kinsoku/>
              <w:wordWrap/>
              <w:topLinePunct w:val="0"/>
              <w:autoSpaceDE/>
              <w:autoSpaceDN/>
              <w:bidi w:val="0"/>
              <w:adjustRightInd/>
              <w:snapToGrid w:val="0"/>
              <w:spacing w:before="0" w:beforeAutospacing="0" w:after="0" w:afterAutospacing="0"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.2其它落实政府采购政策的资格要求</w:t>
            </w:r>
          </w:p>
          <w:p w14:paraId="707E382A">
            <w:pPr>
              <w:pStyle w:val="44"/>
              <w:keepNext w:val="0"/>
              <w:keepLines w:val="0"/>
              <w:pageBreakBefore w:val="0"/>
              <w:suppressLineNumbers w:val="0"/>
              <w:kinsoku/>
              <w:wordWrap/>
              <w:topLinePunct w:val="0"/>
              <w:autoSpaceDE/>
              <w:autoSpaceDN/>
              <w:bidi w:val="0"/>
              <w:adjustRightInd/>
              <w:snapToGrid w:val="0"/>
              <w:spacing w:before="0" w:beforeAutospacing="0" w:after="0" w:afterAutospacing="0"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（1）财政部、国家发展改革委、生态环境部、市场监管总局《关于调整优化节能产品、环境标志产品政府采购执行机制的通知》（财库[2019]9号文）；  </w:t>
            </w:r>
          </w:p>
          <w:p w14:paraId="246DECE5">
            <w:pPr>
              <w:pStyle w:val="44"/>
              <w:keepNext w:val="0"/>
              <w:keepLines w:val="0"/>
              <w:pageBreakBefore w:val="0"/>
              <w:suppressLineNumbers w:val="0"/>
              <w:kinsoku/>
              <w:wordWrap/>
              <w:topLinePunct w:val="0"/>
              <w:autoSpaceDE/>
              <w:autoSpaceDN/>
              <w:bidi w:val="0"/>
              <w:adjustRightInd/>
              <w:snapToGrid w:val="0"/>
              <w:spacing w:before="0" w:beforeAutospacing="0" w:after="0" w:afterAutospacing="0"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（2）财政部、生态环境部《关于印发环境标志产品政府采购品目清单的通知》（财库[2019]18号文）； </w:t>
            </w:r>
          </w:p>
          <w:p w14:paraId="25FAF6BE">
            <w:pPr>
              <w:pStyle w:val="44"/>
              <w:keepNext w:val="0"/>
              <w:keepLines w:val="0"/>
              <w:pageBreakBefore w:val="0"/>
              <w:suppressLineNumbers w:val="0"/>
              <w:kinsoku/>
              <w:wordWrap/>
              <w:topLinePunct w:val="0"/>
              <w:autoSpaceDE/>
              <w:autoSpaceDN/>
              <w:bidi w:val="0"/>
              <w:adjustRightInd/>
              <w:snapToGrid w:val="0"/>
              <w:spacing w:before="0" w:beforeAutospacing="0" w:after="0" w:afterAutospacing="0"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（3）财政部、发展改革委《关于印发节能产品政府采购品目清单的通知》（财库[2019]19号文）； </w:t>
            </w:r>
          </w:p>
          <w:p w14:paraId="0B1DC5E2">
            <w:pPr>
              <w:pStyle w:val="44"/>
              <w:keepNext w:val="0"/>
              <w:keepLines w:val="0"/>
              <w:pageBreakBefore w:val="0"/>
              <w:suppressLineNumbers w:val="0"/>
              <w:kinsoku/>
              <w:wordWrap/>
              <w:topLinePunct w:val="0"/>
              <w:autoSpaceDE/>
              <w:autoSpaceDN/>
              <w:bidi w:val="0"/>
              <w:adjustRightInd/>
              <w:snapToGrid w:val="0"/>
              <w:spacing w:before="0" w:beforeAutospacing="0" w:after="0" w:afterAutospacing="0"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（4）市场监管总局《市场监管总局关于发布参与实施政府采购节能产品、环境标志产品认证机构名录的公告》（2019年第16号）；  </w:t>
            </w:r>
          </w:p>
          <w:p w14:paraId="790C4FCC">
            <w:pPr>
              <w:pStyle w:val="44"/>
              <w:keepNext w:val="0"/>
              <w:keepLines w:val="0"/>
              <w:pageBreakBefore w:val="0"/>
              <w:suppressLineNumbers w:val="0"/>
              <w:kinsoku/>
              <w:wordWrap/>
              <w:topLinePunct w:val="0"/>
              <w:autoSpaceDE/>
              <w:autoSpaceDN/>
              <w:bidi w:val="0"/>
              <w:adjustRightInd/>
              <w:snapToGrid w:val="0"/>
              <w:spacing w:before="0" w:beforeAutospacing="0" w:after="0" w:afterAutospacing="0"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（5）财政部、工业和信息化部《关于印发《政府采购促进中小企业发展管理办法》的通知》（财库[2020]46号文）《关于进一步加大政府采购支持中小企业力度的通知》（财库[2022]19号文）执行； </w:t>
            </w:r>
          </w:p>
          <w:p w14:paraId="11D30D7B">
            <w:pPr>
              <w:pStyle w:val="44"/>
              <w:keepNext w:val="0"/>
              <w:keepLines w:val="0"/>
              <w:pageBreakBefore w:val="0"/>
              <w:suppressLineNumbers w:val="0"/>
              <w:kinsoku/>
              <w:wordWrap/>
              <w:topLinePunct w:val="0"/>
              <w:autoSpaceDE/>
              <w:autoSpaceDN/>
              <w:bidi w:val="0"/>
              <w:adjustRightInd/>
              <w:snapToGrid w:val="0"/>
              <w:spacing w:before="0" w:beforeAutospacing="0" w:after="0" w:afterAutospacing="0"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（6）财政部、民政部、中国残疾人联合会《关于促进残疾人就业政府采购政策的通知》（财库[2017]141号）；  </w:t>
            </w:r>
          </w:p>
          <w:p w14:paraId="19F43186">
            <w:pPr>
              <w:pStyle w:val="44"/>
              <w:keepNext w:val="0"/>
              <w:keepLines w:val="0"/>
              <w:pageBreakBefore w:val="0"/>
              <w:suppressLineNumbers w:val="0"/>
              <w:kinsoku/>
              <w:wordWrap/>
              <w:topLinePunct w:val="0"/>
              <w:autoSpaceDE/>
              <w:autoSpaceDN/>
              <w:bidi w:val="0"/>
              <w:adjustRightInd/>
              <w:snapToGrid w:val="0"/>
              <w:spacing w:before="0" w:beforeAutospacing="0" w:after="0" w:afterAutospacing="0" w:line="300" w:lineRule="exact"/>
              <w:ind w:left="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（7）财政部、</w:t>
            </w:r>
            <w:r>
              <w:rPr>
                <w:rFonts w:hint="eastAsia" w:ascii="仿宋" w:hAnsi="仿宋" w:eastAsia="仿宋" w:cs="仿宋"/>
                <w:color w:val="000000"/>
                <w:sz w:val="24"/>
                <w:szCs w:val="24"/>
                <w:highlight w:val="none"/>
                <w:lang w:val="en-US" w:eastAsia="zh-CN"/>
              </w:rPr>
              <w:t>SF</w:t>
            </w:r>
            <w:r>
              <w:rPr>
                <w:rFonts w:hint="eastAsia" w:ascii="仿宋" w:hAnsi="仿宋" w:eastAsia="仿宋" w:cs="仿宋"/>
                <w:color w:val="000000"/>
                <w:sz w:val="24"/>
                <w:szCs w:val="24"/>
                <w:highlight w:val="none"/>
              </w:rPr>
              <w:t>部《关于政府采购支持</w:t>
            </w:r>
            <w:r>
              <w:rPr>
                <w:rFonts w:hint="eastAsia" w:ascii="仿宋" w:hAnsi="仿宋" w:eastAsia="仿宋" w:cs="仿宋"/>
                <w:color w:val="000000"/>
                <w:sz w:val="24"/>
                <w:szCs w:val="24"/>
                <w:highlight w:val="none"/>
                <w:lang w:val="en-US" w:eastAsia="zh-CN"/>
              </w:rPr>
              <w:t>JY</w:t>
            </w:r>
            <w:r>
              <w:rPr>
                <w:rFonts w:hint="eastAsia" w:ascii="仿宋" w:hAnsi="仿宋" w:eastAsia="仿宋" w:cs="仿宋"/>
                <w:color w:val="000000"/>
                <w:sz w:val="24"/>
                <w:szCs w:val="24"/>
                <w:highlight w:val="none"/>
              </w:rPr>
              <w:t xml:space="preserve">企业发展有关问题的通知》（财库[2014]68号文）； </w:t>
            </w:r>
          </w:p>
          <w:p w14:paraId="4BE8BF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（8）财政部、生态环境部、国家邮政局《关于印发《商品包装政府采购需求标准（试行）</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快递包装政府采购需求标准（试行）》的通知》（财办库〔2020〕123号）。</w:t>
            </w:r>
          </w:p>
          <w:p w14:paraId="547B29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根据《中华人民共和国政府采购法》、财政部、 工信部《政府采购促进中小企业发展管理办法》（财 库〔2020〕46 号）、《关于进一步加大政府采购支持中小企业力度的通知财库〔2022〕19 号》等有关法律法规执行； </w:t>
            </w:r>
          </w:p>
          <w:p w14:paraId="6BA908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价格扣除幅度：货物服务采购项目给予小微企业的价格扣除优惠，由财库〔2020〕46 号文件规定给予</w:t>
            </w:r>
            <w:r>
              <w:rPr>
                <w:rFonts w:hint="eastAsia" w:ascii="仿宋" w:hAnsi="仿宋" w:eastAsia="仿宋" w:cs="仿宋"/>
                <w:sz w:val="24"/>
                <w:szCs w:val="24"/>
                <w:highlight w:val="none"/>
                <w:u w:val="single"/>
                <w:lang w:val="en-US" w:eastAsia="zh-CN"/>
              </w:rPr>
              <w:t>10%</w:t>
            </w:r>
            <w:r>
              <w:rPr>
                <w:rFonts w:hint="eastAsia" w:ascii="仿宋" w:hAnsi="仿宋" w:eastAsia="仿宋" w:cs="仿宋"/>
                <w:sz w:val="24"/>
                <w:szCs w:val="24"/>
                <w:highlight w:val="none"/>
                <w:lang w:val="en-US" w:eastAsia="zh-CN"/>
              </w:rPr>
              <w:t>的扣除，以扣除后的报价参与评审。大中型企业与小微企业组成联合体或者大中型企业向小微企业分包的，给予6%的扣除，以扣除后的报价参与评审。政府采购工程的价格评审优惠按照财库〔2020〕46 号文件的规定执行。</w:t>
            </w:r>
          </w:p>
          <w:p w14:paraId="798B1C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 xml:space="preserve">                                                           </w:t>
            </w:r>
          </w:p>
          <w:p w14:paraId="2ED73D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注：供应商应当对《中小企业声明函》、JY企业 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w:t>
            </w:r>
          </w:p>
          <w:p w14:paraId="440CA5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本项目所属行业：</w:t>
            </w:r>
            <w:bookmarkStart w:id="61" w:name="OLE_LINK21"/>
            <w:r>
              <w:rPr>
                <w:rFonts w:hint="eastAsia" w:ascii="仿宋" w:hAnsi="仿宋" w:eastAsia="仿宋" w:cs="仿宋"/>
                <w:b/>
                <w:bCs/>
                <w:sz w:val="24"/>
                <w:szCs w:val="24"/>
                <w:highlight w:val="none"/>
                <w:lang w:val="en-US" w:eastAsia="zh-CN"/>
              </w:rPr>
              <w:t>租赁和商务服务业</w:t>
            </w:r>
            <w:bookmarkEnd w:id="61"/>
          </w:p>
        </w:tc>
      </w:tr>
      <w:tr w14:paraId="3676C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5" w:hRule="atLeast"/>
          <w:jc w:val="center"/>
        </w:trPr>
        <w:tc>
          <w:tcPr>
            <w:tcW w:w="427" w:type="dxa"/>
            <w:tcBorders>
              <w:top w:val="single" w:color="auto" w:sz="4" w:space="0"/>
            </w:tcBorders>
            <w:noWrap w:val="0"/>
            <w:vAlign w:val="center"/>
          </w:tcPr>
          <w:p w14:paraId="53A6C250">
            <w:pPr>
              <w:keepNext w:val="0"/>
              <w:keepLines w:val="0"/>
              <w:suppressLineNumbers w:val="0"/>
              <w:bidi w:val="0"/>
              <w:spacing w:before="0" w:beforeAutospacing="0" w:after="0" w:afterAutospacing="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1616" w:type="dxa"/>
            <w:tcBorders>
              <w:top w:val="single" w:color="auto" w:sz="4" w:space="0"/>
              <w:right w:val="single" w:color="auto" w:sz="4" w:space="0"/>
            </w:tcBorders>
            <w:noWrap w:val="0"/>
            <w:vAlign w:val="center"/>
          </w:tcPr>
          <w:p w14:paraId="564599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关于小微企业报价扣除比例说明</w:t>
            </w:r>
          </w:p>
        </w:tc>
        <w:tc>
          <w:tcPr>
            <w:tcW w:w="7512" w:type="dxa"/>
            <w:tcBorders>
              <w:top w:val="single" w:color="auto" w:sz="4" w:space="0"/>
              <w:left w:val="single" w:color="auto" w:sz="4" w:space="0"/>
            </w:tcBorders>
            <w:noWrap w:val="0"/>
            <w:vAlign w:val="top"/>
          </w:tcPr>
          <w:p w14:paraId="20AF75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1.投标人为非联合体投标的，对其投标货物的制造商/投标服务的承接商为小微型企业的给予10%的扣除，以扣除后的报价参与评审。</w:t>
            </w:r>
          </w:p>
          <w:p w14:paraId="1C9BAB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FC63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D10F7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4.JY企业、残疾人福利性单位视同小型、微型企业。</w:t>
            </w:r>
          </w:p>
          <w:p w14:paraId="197F8296">
            <w:pPr>
              <w:pStyle w:val="17"/>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5.如专门面向中小企业的采购项目，不再享受价格扣除。</w:t>
            </w:r>
          </w:p>
        </w:tc>
      </w:tr>
      <w:tr w14:paraId="0BA70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27" w:type="dxa"/>
            <w:noWrap w:val="0"/>
            <w:vAlign w:val="center"/>
          </w:tcPr>
          <w:p w14:paraId="6C45E4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1616" w:type="dxa"/>
            <w:tcBorders>
              <w:right w:val="single" w:color="auto" w:sz="4" w:space="0"/>
            </w:tcBorders>
            <w:noWrap w:val="0"/>
            <w:vAlign w:val="center"/>
          </w:tcPr>
          <w:p w14:paraId="5A038E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其他说明</w:t>
            </w:r>
            <w:r>
              <w:rPr>
                <w:rFonts w:hint="eastAsia" w:ascii="仿宋" w:hAnsi="仿宋" w:eastAsia="仿宋" w:cs="仿宋"/>
                <w:color w:val="auto"/>
                <w:sz w:val="24"/>
                <w:szCs w:val="24"/>
                <w:highlight w:val="none"/>
                <w:lang w:val="en-US" w:eastAsia="zh-CN"/>
              </w:rPr>
              <w:t>1</w:t>
            </w:r>
          </w:p>
        </w:tc>
        <w:tc>
          <w:tcPr>
            <w:tcW w:w="7512" w:type="dxa"/>
            <w:tcBorders>
              <w:left w:val="single" w:color="auto" w:sz="4" w:space="0"/>
            </w:tcBorders>
            <w:noWrap w:val="0"/>
            <w:vAlign w:val="center"/>
          </w:tcPr>
          <w:p w14:paraId="28377E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特别提醒：</w:t>
            </w:r>
          </w:p>
          <w:p w14:paraId="51736A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1、所有投标人的报价高于本项目（标项）最高限价额度的视为无效报价（即作否决投标处理）。</w:t>
            </w:r>
          </w:p>
          <w:p w14:paraId="0F21CB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投标处理。</w:t>
            </w:r>
          </w:p>
          <w:p w14:paraId="603524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3、更正补充公告请自行登录新疆政府采购网查看下载。</w:t>
            </w:r>
          </w:p>
          <w:p w14:paraId="68DCAE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4、采购代理机构将拒绝接受未在政采云平台获取招标文件的投标人的投标文件。</w:t>
            </w:r>
          </w:p>
          <w:p w14:paraId="79045C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5、所有投标单位对招标文件中所有条款如有疑问或异议请在开标以书面形式提出，否则不予受理。</w:t>
            </w:r>
          </w:p>
          <w:p w14:paraId="47C58F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6、为确保投标保证金的及时退还，结果公示后投标企业需提供保证金汇款凭证、开户许可证复印件、收据并注明开户行行号、联系方式（加盖公司鲜公章）发送至墨玉县公共资源交易平台中心财务室办理。（注：废标项目投标保证金在后续项目再次招标时银行系统不做统计，投标企业及时办理退款）。</w:t>
            </w:r>
          </w:p>
          <w:p w14:paraId="2B84F0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7、本项目资格审查模块由采购人及其采购代理机构依法进行资格审查。</w:t>
            </w:r>
          </w:p>
        </w:tc>
      </w:tr>
      <w:tr w14:paraId="65897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427" w:type="dxa"/>
            <w:noWrap w:val="0"/>
            <w:vAlign w:val="center"/>
          </w:tcPr>
          <w:p w14:paraId="1E8A39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w:t>
            </w:r>
          </w:p>
        </w:tc>
        <w:tc>
          <w:tcPr>
            <w:tcW w:w="1616" w:type="dxa"/>
            <w:tcBorders>
              <w:right w:val="single" w:color="auto" w:sz="4" w:space="0"/>
            </w:tcBorders>
            <w:noWrap w:val="0"/>
            <w:vAlign w:val="center"/>
          </w:tcPr>
          <w:p w14:paraId="4D91D7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其他说明</w:t>
            </w:r>
            <w:r>
              <w:rPr>
                <w:rFonts w:hint="eastAsia" w:ascii="仿宋" w:hAnsi="仿宋" w:eastAsia="仿宋" w:cs="仿宋"/>
                <w:color w:val="auto"/>
                <w:sz w:val="24"/>
                <w:szCs w:val="24"/>
                <w:highlight w:val="none"/>
                <w:lang w:val="en-US" w:eastAsia="zh-CN"/>
              </w:rPr>
              <w:t>2</w:t>
            </w:r>
          </w:p>
        </w:tc>
        <w:tc>
          <w:tcPr>
            <w:tcW w:w="7512" w:type="dxa"/>
            <w:tcBorders>
              <w:left w:val="single" w:color="auto" w:sz="4" w:space="0"/>
            </w:tcBorders>
            <w:noWrap w:val="0"/>
            <w:vAlign w:val="center"/>
          </w:tcPr>
          <w:p w14:paraId="63B099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7F21BE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14:paraId="24F51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zh-CN" w:eastAsia="zh-CN"/>
              </w:rPr>
            </w:pPr>
            <w:r>
              <w:rPr>
                <w:rFonts w:hint="eastAsia" w:ascii="仿宋" w:hAnsi="仿宋" w:eastAsia="仿宋" w:cs="仿宋"/>
                <w:b w:val="0"/>
                <w:bCs w:val="0"/>
                <w:color w:val="000000"/>
                <w:sz w:val="24"/>
                <w:szCs w:val="24"/>
                <w:highlight w:val="none"/>
                <w:lang w:val="en-US" w:eastAsia="zh-CN"/>
              </w:rPr>
              <w:t>3、</w:t>
            </w:r>
            <w:r>
              <w:rPr>
                <w:rFonts w:hint="eastAsia" w:ascii="仿宋" w:hAnsi="仿宋" w:eastAsia="仿宋" w:cs="仿宋"/>
                <w:b w:val="0"/>
                <w:bCs w:val="0"/>
                <w:color w:val="000000"/>
                <w:sz w:val="24"/>
                <w:szCs w:val="24"/>
                <w:highlight w:val="none"/>
                <w:lang w:val="zh-CN" w:eastAsia="zh-CN"/>
              </w:rPr>
              <w:t>本项目的招标投标活动以及相关当事人须接受财政监督部门依法实施的监督。</w:t>
            </w:r>
          </w:p>
          <w:p w14:paraId="4D187D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成本（应根据供应商企业类型予以区别）、税金及附加、销售费用、管理费用、财务费用等成本构成事项详细陈述。</w:t>
            </w:r>
          </w:p>
          <w:p w14:paraId="484D13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5、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29FE7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6、供应商提供书面说明后，评标委员会应当结合采购项目采购需求、专业实际情况、供应商提供的书面材料等就供应商书面说明进行审查评价。供应商拒绝或者变相拒绝提供有效书面说明或者书面说明不能证明其报价合理性的，评标委员会应当将其投标文件作为无效处理。</w:t>
            </w:r>
          </w:p>
          <w:p w14:paraId="69A98C97">
            <w:pPr>
              <w:pStyle w:val="8"/>
              <w:keepNext w:val="0"/>
              <w:keepLines w:val="0"/>
              <w:suppressLineNumbers w:val="0"/>
              <w:spacing w:before="0" w:beforeAutospacing="0" w:afterAutospacing="0"/>
              <w:rPr>
                <w:rFonts w:hint="eastAsia" w:ascii="仿宋" w:hAnsi="仿宋" w:eastAsia="仿宋" w:cs="仿宋"/>
                <w:highlight w:val="none"/>
                <w:lang w:val="en-US" w:eastAsia="zh-CN"/>
              </w:rPr>
            </w:pPr>
            <w:r>
              <w:rPr>
                <w:rFonts w:hint="eastAsia" w:ascii="仿宋" w:hAnsi="仿宋" w:eastAsia="仿宋" w:cs="仿宋"/>
                <w:b w:val="0"/>
                <w:bCs w:val="0"/>
                <w:color w:val="000000"/>
                <w:sz w:val="24"/>
                <w:szCs w:val="24"/>
                <w:highlight w:val="none"/>
                <w:lang w:val="en-US" w:eastAsia="zh-CN"/>
              </w:rPr>
              <w:t>7、类似项目业绩是指服务的内容质量、标准相同或相近的项目</w:t>
            </w:r>
          </w:p>
        </w:tc>
      </w:tr>
      <w:tr w14:paraId="661EE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27" w:type="dxa"/>
            <w:noWrap w:val="0"/>
            <w:vAlign w:val="center"/>
          </w:tcPr>
          <w:p w14:paraId="26D1D0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1616" w:type="dxa"/>
            <w:tcBorders>
              <w:right w:val="single" w:color="auto" w:sz="4" w:space="0"/>
            </w:tcBorders>
            <w:noWrap w:val="0"/>
            <w:vAlign w:val="center"/>
          </w:tcPr>
          <w:p w14:paraId="489C708C">
            <w:pPr>
              <w:keepNext w:val="0"/>
              <w:keepLines w:val="0"/>
              <w:suppressLineNumbers w:val="0"/>
              <w:shd w:val="clear" w:color="auto" w:fill="auto"/>
              <w:spacing w:before="0" w:beforeAutospacing="0" w:after="0" w:afterAutospacing="0" w:line="360" w:lineRule="exact"/>
              <w:ind w:left="120" w:leftChars="0" w:right="62" w:rightChars="0" w:hanging="120" w:hanging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重要提示</w:t>
            </w:r>
          </w:p>
        </w:tc>
        <w:tc>
          <w:tcPr>
            <w:tcW w:w="7512" w:type="dxa"/>
            <w:tcBorders>
              <w:left w:val="single" w:color="auto" w:sz="4" w:space="0"/>
            </w:tcBorders>
            <w:noWrap w:val="0"/>
            <w:vAlign w:val="center"/>
          </w:tcPr>
          <w:p w14:paraId="730C6F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（1）中标供应商应在规定期限内领取《中标通知书》，若中标供应商未在规定期限内领取《中标通知书》，采购人有权取消中标供应商中标资格，并将相关违约行为报送监管部门，实施信用惩戒； </w:t>
            </w:r>
          </w:p>
          <w:p w14:paraId="0EF56A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2）中标供应商应在规定期限内提交履约担保并与采购人签订合同，若中标供应商未能在规定期限内提交履约担保或签订合同，采购人有权取消中标供应商中标资格，并将相关违约行为报送监管部门，实施信用惩戒； </w:t>
            </w:r>
          </w:p>
          <w:p w14:paraId="4DCE13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3）合同签订后，中标供应商存在规定时间内不组织人员进场开工，不履行供货、安装或服务义务等情况，采购人有权解除合同，并追究违约责任，同时将相关违约行为报送监管部门，记不良行为记录，实施信用惩戒； </w:t>
            </w:r>
          </w:p>
          <w:p w14:paraId="28F53D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（4）中标供应商中标后被监管部门查实存在违法行为，不满足中标条件的，由采购人取消中标资格，并做好项目后续工作； </w:t>
            </w:r>
          </w:p>
          <w:p w14:paraId="518510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color w:val="000000"/>
                <w:sz w:val="24"/>
                <w:szCs w:val="24"/>
                <w:highlight w:val="none"/>
                <w:lang w:val="en-US" w:eastAsia="zh-CN"/>
              </w:rPr>
              <w:t>（5）中标供应商在中标项目发生投诉、信访举报案件、履约存在争议时，拒绝协助配合执法部门调查案件的，采购人可以取消其中标资格或解除合同，并追究其违约责任。</w:t>
            </w:r>
          </w:p>
        </w:tc>
      </w:tr>
      <w:tr w14:paraId="74F84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27" w:type="dxa"/>
            <w:noWrap w:val="0"/>
            <w:vAlign w:val="center"/>
          </w:tcPr>
          <w:p w14:paraId="252ADE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w:t>
            </w:r>
          </w:p>
        </w:tc>
        <w:tc>
          <w:tcPr>
            <w:tcW w:w="1616" w:type="dxa"/>
            <w:tcBorders>
              <w:right w:val="single" w:color="auto" w:sz="4" w:space="0"/>
            </w:tcBorders>
            <w:noWrap w:val="0"/>
            <w:vAlign w:val="center"/>
          </w:tcPr>
          <w:p w14:paraId="116A5C27">
            <w:pPr>
              <w:keepNext w:val="0"/>
              <w:keepLines w:val="0"/>
              <w:suppressLineNumbers w:val="0"/>
              <w:shd w:val="clear" w:color="auto" w:fill="auto"/>
              <w:spacing w:before="0" w:beforeAutospacing="0" w:after="0" w:afterAutospacing="0"/>
              <w:ind w:left="120" w:leftChars="0" w:right="62" w:rightChars="0" w:hanging="120" w:hanging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其他方式采购</w:t>
            </w:r>
          </w:p>
        </w:tc>
        <w:tc>
          <w:tcPr>
            <w:tcW w:w="7512" w:type="dxa"/>
            <w:tcBorders>
              <w:left w:val="single" w:color="auto" w:sz="4" w:space="0"/>
            </w:tcBorders>
            <w:noWrap w:val="0"/>
            <w:vAlign w:val="center"/>
          </w:tcPr>
          <w:p w14:paraId="2E6BB5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公开采购数额标准以上的采购项目，投标截止后供应商不足3家或者通过资格审查或符合性审查的供应商不足3家的，除采购任务取消情形外，根据《政府采购货物和服务采购投标管理办法》（中华人民共和国财政部令第87号）第四十三条规定，按照以下方式处理：</w:t>
            </w:r>
          </w:p>
          <w:p w14:paraId="5CF08E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（1）招标文件存在不合理条款或者采购程序不符合规定的，采购人、采购代理机构改正后依法重新采购；</w:t>
            </w:r>
          </w:p>
          <w:p w14:paraId="340107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000000"/>
                <w:sz w:val="24"/>
                <w:szCs w:val="24"/>
                <w:highlight w:val="none"/>
                <w:lang w:val="en-US" w:eastAsia="zh-CN"/>
              </w:rPr>
              <w:t>（2）招标文件没有不合理条款、采购程序符合规定，需要采用其他采购方式采购的，采购人应当依法报财政部门批准。</w:t>
            </w:r>
          </w:p>
        </w:tc>
      </w:tr>
      <w:tr w14:paraId="54BB8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27" w:type="dxa"/>
            <w:noWrap w:val="0"/>
            <w:vAlign w:val="center"/>
          </w:tcPr>
          <w:p w14:paraId="37A2D3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w:t>
            </w:r>
          </w:p>
        </w:tc>
        <w:tc>
          <w:tcPr>
            <w:tcW w:w="1616" w:type="dxa"/>
            <w:tcBorders>
              <w:right w:val="single" w:color="auto" w:sz="4" w:space="0"/>
            </w:tcBorders>
            <w:noWrap w:val="0"/>
            <w:vAlign w:val="center"/>
          </w:tcPr>
          <w:p w14:paraId="619D7B70">
            <w:pPr>
              <w:keepNext w:val="0"/>
              <w:keepLines w:val="0"/>
              <w:suppressLineNumbers w:val="0"/>
              <w:shd w:val="clear" w:color="auto" w:fill="auto"/>
              <w:spacing w:before="0" w:beforeAutospacing="0" w:after="0" w:afterAutospacing="0"/>
              <w:ind w:left="120" w:leftChars="0" w:right="62" w:rightChars="0" w:hanging="120" w:hanging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w:t>
            </w:r>
          </w:p>
        </w:tc>
        <w:tc>
          <w:tcPr>
            <w:tcW w:w="7512" w:type="dxa"/>
            <w:tcBorders>
              <w:left w:val="single" w:color="auto" w:sz="4" w:space="0"/>
            </w:tcBorders>
            <w:noWrap w:val="0"/>
            <w:vAlign w:val="center"/>
          </w:tcPr>
          <w:p w14:paraId="224851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供应商认为招标文件、采购过程或中标结果使自己的合法权益受到损害的，应当在知道或者应知其权益受到损害之日起在规定的期限内，以书面或邮件形式一次性向采购人（采购代理机构）提出质疑或供应商对采购人（采购代理机构）的质疑答复不满意或者采购人（采购代理机构）未在规定时间内作出答复的，可以在答复期满后十五个工作日内向有关监管部门投诉。</w:t>
            </w:r>
          </w:p>
          <w:p w14:paraId="023576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2" w:firstLineChars="200"/>
              <w:jc w:val="both"/>
              <w:textAlignment w:val="auto"/>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lang w:val="en-US" w:eastAsia="zh-CN"/>
              </w:rPr>
              <w:t>注：根据《中华人民共和国政府采购法》的规定，供应商质疑不得超出公开招标文件、公开招标过程及公开招标结果的范围及时效限制。</w:t>
            </w:r>
          </w:p>
        </w:tc>
      </w:tr>
      <w:tr w14:paraId="06562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27" w:type="dxa"/>
            <w:noWrap w:val="0"/>
            <w:vAlign w:val="center"/>
          </w:tcPr>
          <w:p w14:paraId="06E9AA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1616" w:type="dxa"/>
            <w:tcBorders>
              <w:right w:val="single" w:color="auto" w:sz="4" w:space="0"/>
            </w:tcBorders>
            <w:noWrap w:val="0"/>
            <w:vAlign w:val="center"/>
          </w:tcPr>
          <w:p w14:paraId="2400132F">
            <w:pPr>
              <w:keepNext w:val="0"/>
              <w:keepLines w:val="0"/>
              <w:suppressLineNumbers w:val="0"/>
              <w:shd w:val="clear" w:color="auto" w:fill="auto"/>
              <w:spacing w:before="0" w:beforeAutospacing="0" w:after="0" w:afterAutospacing="0"/>
              <w:ind w:left="120" w:leftChars="0" w:right="62" w:rightChars="0" w:hanging="120" w:hanging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w:t>
            </w:r>
          </w:p>
        </w:tc>
        <w:tc>
          <w:tcPr>
            <w:tcW w:w="7512" w:type="dxa"/>
            <w:tcBorders>
              <w:left w:val="single" w:color="auto" w:sz="4" w:space="0"/>
            </w:tcBorders>
            <w:noWrap w:val="0"/>
            <w:vAlign w:val="center"/>
          </w:tcPr>
          <w:p w14:paraId="5BF413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（1）质疑供应商对采购人、采购代理机构的答复不满意或者采购人、采购代理机构未在规定的时间内作出答复的，可以在答复期满后十五个工作日内向同级政府采购监督管理部门投诉。</w:t>
            </w:r>
          </w:p>
          <w:p w14:paraId="00ADAF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14:paraId="5A8F49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注：根据《中华人民共和国政府采购法实施条例》的规定，供应商投诉事项不得超出已质疑事项的范围。</w:t>
            </w:r>
          </w:p>
          <w:p w14:paraId="0CB6BA25">
            <w:pPr>
              <w:pStyle w:val="17"/>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采购监管部门：墨玉县财政局</w:t>
            </w:r>
          </w:p>
          <w:p w14:paraId="75EDCF7E">
            <w:pPr>
              <w:keepNext w:val="0"/>
              <w:keepLines w:val="0"/>
              <w:suppressLineNumbers w:val="0"/>
              <w:spacing w:before="0" w:beforeAutospacing="0" w:after="0" w:afterAutospacing="0" w:line="240" w:lineRule="auto"/>
              <w:ind w:left="0" w:leftChars="0" w:right="0" w:firstLine="0" w:firstLineChars="0"/>
              <w:rPr>
                <w:rFonts w:hint="eastAsia" w:ascii="仿宋" w:hAnsi="仿宋" w:eastAsia="仿宋" w:cs="仿宋"/>
                <w:sz w:val="24"/>
                <w:szCs w:val="24"/>
                <w:highlight w:val="none"/>
                <w:lang w:val="en-US" w:eastAsia="zh-CN"/>
              </w:rPr>
            </w:pPr>
            <w:r>
              <w:rPr>
                <w:rFonts w:hint="eastAsia" w:ascii="仿宋" w:hAnsi="仿宋" w:eastAsia="仿宋" w:cs="仿宋"/>
                <w:b/>
                <w:bCs/>
                <w:color w:val="000000"/>
                <w:sz w:val="24"/>
                <w:szCs w:val="24"/>
                <w:highlight w:val="none"/>
                <w:lang w:val="en-US" w:eastAsia="zh-CN"/>
              </w:rPr>
              <w:t>联系方式（传真）：0903-6565062</w:t>
            </w:r>
          </w:p>
        </w:tc>
      </w:tr>
      <w:tr w14:paraId="74AD7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555" w:type="dxa"/>
            <w:gridSpan w:val="3"/>
            <w:noWrap w:val="0"/>
            <w:vAlign w:val="center"/>
          </w:tcPr>
          <w:p w14:paraId="47E8AF49">
            <w:pPr>
              <w:keepNext w:val="0"/>
              <w:keepLines w:val="0"/>
              <w:suppressLineNumbers w:val="0"/>
              <w:spacing w:before="0" w:beforeAutospacing="0" w:after="0" w:afterAutospacing="0" w:line="240" w:lineRule="auto"/>
              <w:ind w:left="0" w:right="0" w:firstLine="48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745BE9F8">
            <w:pPr>
              <w:keepNext w:val="0"/>
              <w:keepLines w:val="0"/>
              <w:suppressLineNumbers w:val="0"/>
              <w:spacing w:before="0" w:beforeAutospacing="0" w:after="0" w:afterAutospacing="0" w:line="240" w:lineRule="auto"/>
              <w:ind w:left="0" w:right="0" w:firstLine="48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请注意：供应商需在投标文件截止时间前，将加密投标文件上传至云平台项目采购系统，逾期上传或错误方式投递送达将导致投标无效。</w:t>
            </w:r>
          </w:p>
          <w:p w14:paraId="21AB8AC3">
            <w:pPr>
              <w:pStyle w:val="91"/>
              <w:keepNext w:val="0"/>
              <w:keepLines w:val="0"/>
              <w:suppressLineNumbers w:val="0"/>
              <w:spacing w:before="0" w:beforeAutospacing="0" w:after="0" w:afterAutospacing="0"/>
              <w:ind w:left="0" w:right="0" w:firstLine="482" w:firstLineChars="200"/>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428DBE9E">
      <w:pPr>
        <w:shd w:val="clear" w:color="auto" w:fill="auto"/>
        <w:spacing w:line="36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备注：</w:t>
      </w:r>
      <w:r>
        <w:rPr>
          <w:rFonts w:hint="eastAsia" w:ascii="仿宋" w:hAnsi="仿宋" w:eastAsia="仿宋" w:cs="仿宋"/>
          <w:color w:val="auto"/>
          <w:sz w:val="24"/>
          <w:szCs w:val="24"/>
          <w:highlight w:val="none"/>
        </w:rPr>
        <w:t>本须知前附表内容与招标文件的内容相对应，如有矛盾，应以投标须知前附表为准。</w:t>
      </w:r>
    </w:p>
    <w:p w14:paraId="6714C5A3">
      <w:pPr>
        <w:spacing w:line="500" w:lineRule="exact"/>
        <w:ind w:left="120" w:hanging="120"/>
        <w:jc w:val="center"/>
        <w:rPr>
          <w:rFonts w:hint="eastAsia" w:ascii="仿宋" w:hAnsi="仿宋" w:eastAsia="仿宋" w:cs="仿宋"/>
          <w:b/>
          <w:sz w:val="24"/>
          <w:highlight w:val="non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rPr>
        <w:t>投标人须知正文部分</w:t>
      </w:r>
    </w:p>
    <w:p w14:paraId="2FC12A97">
      <w:pPr>
        <w:spacing w:line="500" w:lineRule="exact"/>
        <w:ind w:left="120" w:hanging="120"/>
        <w:jc w:val="center"/>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 xml:space="preserve"> </w:t>
      </w:r>
      <w:bookmarkStart w:id="62" w:name="_Toc17382"/>
      <w:r>
        <w:rPr>
          <w:rFonts w:hint="eastAsia" w:ascii="仿宋" w:hAnsi="仿宋" w:eastAsia="仿宋" w:cs="仿宋"/>
          <w:b/>
          <w:sz w:val="28"/>
          <w:szCs w:val="28"/>
          <w:highlight w:val="none"/>
          <w:lang w:val="en-US" w:eastAsia="zh-CN"/>
        </w:rPr>
        <w:t>（一）总则</w:t>
      </w:r>
      <w:bookmarkEnd w:id="62"/>
    </w:p>
    <w:p w14:paraId="10345B5A">
      <w:pPr>
        <w:spacing w:line="30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（一）适用范围</w:t>
      </w:r>
    </w:p>
    <w:p w14:paraId="2549C67A">
      <w:pPr>
        <w:spacing w:line="360" w:lineRule="auto"/>
        <w:ind w:left="239" w:leftChars="114" w:right="0" w:firstLine="360" w:firstLineChars="1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本招标文件适用于2025年墨玉县市场援疆消费帮扶项目农产品地铁展厅建设及运营服务的招标、投标、评标、定标、验收、合同履约、付款等行为（法律法规另有规定的，从其规定）。</w:t>
      </w:r>
    </w:p>
    <w:p w14:paraId="1D598E38">
      <w:pPr>
        <w:spacing w:line="300" w:lineRule="auto"/>
        <w:outlineLvl w:val="1"/>
        <w:rPr>
          <w:rFonts w:hint="eastAsia" w:ascii="仿宋" w:hAnsi="仿宋" w:eastAsia="仿宋" w:cs="仿宋"/>
          <w:b/>
          <w:bCs/>
          <w:sz w:val="24"/>
          <w:szCs w:val="24"/>
          <w:highlight w:val="none"/>
          <w:lang w:val="en-US" w:eastAsia="zh-CN"/>
        </w:rPr>
      </w:pPr>
      <w:bookmarkStart w:id="63" w:name="_Toc13192"/>
      <w:bookmarkStart w:id="64" w:name="_Toc21374"/>
      <w:r>
        <w:rPr>
          <w:rFonts w:hint="eastAsia" w:ascii="仿宋" w:hAnsi="仿宋" w:eastAsia="仿宋" w:cs="仿宋"/>
          <w:b/>
          <w:bCs/>
          <w:sz w:val="24"/>
          <w:szCs w:val="24"/>
          <w:highlight w:val="none"/>
          <w:lang w:val="en-US" w:eastAsia="zh-CN"/>
        </w:rPr>
        <w:t>（二）定义</w:t>
      </w:r>
      <w:bookmarkEnd w:id="63"/>
      <w:bookmarkEnd w:id="64"/>
    </w:p>
    <w:p w14:paraId="3E8FE849">
      <w:pPr>
        <w:spacing w:line="300" w:lineRule="auto"/>
        <w:ind w:left="210" w:leftChars="100" w:firstLine="120" w:firstLineChars="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1.招标采购单位系指组织本次招标的代理机构（“招标人”）和采购单位。</w:t>
      </w:r>
    </w:p>
    <w:p w14:paraId="4941DD20">
      <w:pPr>
        <w:spacing w:line="300" w:lineRule="auto"/>
        <w:ind w:left="210" w:leftChars="100" w:firstLine="120" w:firstLineChars="50"/>
        <w:outlineLvl w:val="2"/>
        <w:rPr>
          <w:rFonts w:hint="eastAsia" w:ascii="仿宋" w:hAnsi="仿宋" w:eastAsia="仿宋" w:cs="仿宋"/>
          <w:sz w:val="24"/>
          <w:szCs w:val="24"/>
          <w:highlight w:val="none"/>
          <w:lang w:val="en-US" w:eastAsia="zh-CN"/>
        </w:rPr>
      </w:pPr>
      <w:bookmarkStart w:id="65" w:name="_Toc16199"/>
      <w:r>
        <w:rPr>
          <w:rFonts w:hint="eastAsia" w:ascii="仿宋" w:hAnsi="仿宋" w:eastAsia="仿宋" w:cs="仿宋"/>
          <w:sz w:val="24"/>
          <w:szCs w:val="24"/>
          <w:highlight w:val="none"/>
          <w:lang w:val="en-US" w:eastAsia="zh-CN"/>
        </w:rPr>
        <w:t>2.“投标人”系指向招标方提交投标文件的单位或个人。</w:t>
      </w:r>
      <w:bookmarkEnd w:id="65"/>
    </w:p>
    <w:p w14:paraId="7BCE1773">
      <w:pPr>
        <w:spacing w:line="300" w:lineRule="auto"/>
        <w:ind w:left="210" w:leftChars="100" w:firstLine="120" w:firstLineChars="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3.“产品”系指供方按招标文件规定，须向招标人提供的一切服务及其他有关技术资料和材料。</w:t>
      </w:r>
    </w:p>
    <w:p w14:paraId="6570AABB">
      <w:pPr>
        <w:spacing w:line="300" w:lineRule="auto"/>
        <w:ind w:left="210" w:leftChars="100" w:firstLine="120" w:firstLineChars="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4.“服务”系指招标文件规定投标人须承担的技术协助、校准、培训、技术指导以及其他类似的义务。</w:t>
      </w:r>
    </w:p>
    <w:p w14:paraId="5AFA6A7D">
      <w:pPr>
        <w:spacing w:line="300" w:lineRule="auto"/>
        <w:ind w:left="210" w:leftChars="100" w:firstLine="120" w:firstLineChars="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5.“项目”系指投标人按招标文件规定向招标人提供的产品和服务。</w:t>
      </w:r>
    </w:p>
    <w:p w14:paraId="29A6C056">
      <w:pPr>
        <w:spacing w:line="300" w:lineRule="auto"/>
        <w:ind w:left="210" w:leftChars="100" w:firstLine="120" w:firstLineChars="50"/>
        <w:outlineLvl w:val="2"/>
        <w:rPr>
          <w:rFonts w:hint="eastAsia" w:ascii="仿宋" w:hAnsi="仿宋" w:eastAsia="仿宋" w:cs="仿宋"/>
          <w:sz w:val="24"/>
          <w:szCs w:val="24"/>
          <w:highlight w:val="none"/>
          <w:lang w:val="en-US" w:eastAsia="zh-CN"/>
        </w:rPr>
      </w:pPr>
      <w:bookmarkStart w:id="66" w:name="_Toc20586"/>
      <w:r>
        <w:rPr>
          <w:rFonts w:hint="eastAsia" w:ascii="仿宋" w:hAnsi="仿宋" w:eastAsia="仿宋" w:cs="仿宋"/>
          <w:sz w:val="24"/>
          <w:szCs w:val="24"/>
          <w:highlight w:val="none"/>
          <w:lang w:val="en-US" w:eastAsia="zh-CN"/>
        </w:rPr>
        <w:t>6.“书面形式”包括信函、传真、邮箱等。</w:t>
      </w:r>
      <w:bookmarkEnd w:id="66"/>
    </w:p>
    <w:p w14:paraId="09E16ADA">
      <w:pPr>
        <w:spacing w:line="300" w:lineRule="auto"/>
        <w:outlineLvl w:val="1"/>
        <w:rPr>
          <w:rFonts w:hint="eastAsia" w:ascii="仿宋" w:hAnsi="仿宋" w:eastAsia="仿宋" w:cs="仿宋"/>
          <w:b/>
          <w:bCs/>
          <w:sz w:val="24"/>
          <w:szCs w:val="24"/>
          <w:highlight w:val="none"/>
          <w:lang w:val="en-US" w:eastAsia="zh-CN"/>
        </w:rPr>
      </w:pPr>
      <w:bookmarkStart w:id="67" w:name="_Toc14030"/>
      <w:bookmarkStart w:id="68" w:name="_Toc15840"/>
      <w:r>
        <w:rPr>
          <w:rFonts w:hint="eastAsia" w:ascii="仿宋" w:hAnsi="仿宋" w:eastAsia="仿宋" w:cs="仿宋"/>
          <w:b/>
          <w:bCs/>
          <w:sz w:val="24"/>
          <w:szCs w:val="24"/>
          <w:highlight w:val="none"/>
          <w:lang w:val="en-US" w:eastAsia="zh-CN"/>
        </w:rPr>
        <w:t>（三）招标方式</w:t>
      </w:r>
      <w:bookmarkEnd w:id="67"/>
      <w:bookmarkEnd w:id="68"/>
    </w:p>
    <w:p w14:paraId="1DEF6841">
      <w:pPr>
        <w:spacing w:line="300" w:lineRule="auto"/>
        <w:ind w:left="239" w:leftChars="114" w:firstLine="360" w:firstLineChars="1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本次招标采用公开招标方式进行。</w:t>
      </w:r>
    </w:p>
    <w:p w14:paraId="7D13484A">
      <w:pPr>
        <w:spacing w:line="300" w:lineRule="auto"/>
        <w:outlineLvl w:val="1"/>
        <w:rPr>
          <w:rFonts w:hint="eastAsia" w:ascii="仿宋" w:hAnsi="仿宋" w:eastAsia="仿宋" w:cs="仿宋"/>
          <w:b/>
          <w:bCs/>
          <w:color w:val="auto"/>
          <w:sz w:val="24"/>
          <w:szCs w:val="24"/>
          <w:highlight w:val="none"/>
          <w:lang w:val="en-US" w:eastAsia="zh-CN"/>
        </w:rPr>
      </w:pPr>
      <w:bookmarkStart w:id="69" w:name="_Toc18596"/>
      <w:bookmarkStart w:id="70" w:name="_Toc20843"/>
      <w:r>
        <w:rPr>
          <w:rFonts w:hint="eastAsia" w:ascii="仿宋" w:hAnsi="仿宋" w:eastAsia="仿宋" w:cs="仿宋"/>
          <w:b/>
          <w:bCs/>
          <w:sz w:val="24"/>
          <w:szCs w:val="24"/>
          <w:highlight w:val="none"/>
          <w:lang w:val="en-US" w:eastAsia="zh-CN"/>
        </w:rPr>
        <w:t>（四）</w:t>
      </w:r>
      <w:r>
        <w:rPr>
          <w:rFonts w:hint="eastAsia" w:ascii="仿宋" w:hAnsi="仿宋" w:eastAsia="仿宋" w:cs="仿宋"/>
          <w:b/>
          <w:bCs/>
          <w:color w:val="000000"/>
          <w:sz w:val="24"/>
          <w:szCs w:val="24"/>
          <w:highlight w:val="none"/>
          <w:lang w:val="en-US" w:eastAsia="zh-CN"/>
        </w:rPr>
        <w:t>采购文件获取</w:t>
      </w:r>
      <w:bookmarkEnd w:id="69"/>
      <w:bookmarkEnd w:id="70"/>
    </w:p>
    <w:p w14:paraId="105687A8">
      <w:pPr>
        <w:pStyle w:val="66"/>
        <w:keepNext w:val="0"/>
        <w:keepLines w:val="0"/>
        <w:widowControl/>
        <w:suppressLineNumbers w:val="0"/>
        <w:spacing w:before="75" w:beforeAutospacing="0" w:after="75" w:afterAutospacing="0" w:line="240" w:lineRule="auto"/>
        <w:ind w:left="0" w:leftChars="0" w:right="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i w:val="0"/>
          <w:iCs w:val="0"/>
          <w:caps w:val="0"/>
          <w:color w:val="000000"/>
          <w:spacing w:val="0"/>
          <w:sz w:val="24"/>
          <w:szCs w:val="24"/>
          <w:highlight w:val="none"/>
          <w:lang w:val="en-US" w:eastAsia="zh-CN"/>
        </w:rPr>
        <w:t>供应商登录政采云平台https://www.zcygov.cn/在线申请获取采购文件（进入“项目采购”应用，在获取采购文件菜单中选择项目，申请获取采购文件）</w:t>
      </w:r>
    </w:p>
    <w:p w14:paraId="79EAE303">
      <w:pPr>
        <w:spacing w:line="300" w:lineRule="auto"/>
        <w:outlineLvl w:val="1"/>
        <w:rPr>
          <w:rFonts w:hint="eastAsia" w:ascii="仿宋" w:hAnsi="仿宋" w:eastAsia="仿宋" w:cs="仿宋"/>
          <w:b/>
          <w:bCs/>
          <w:sz w:val="24"/>
          <w:szCs w:val="24"/>
          <w:highlight w:val="none"/>
          <w:lang w:val="en-US" w:eastAsia="zh-CN"/>
        </w:rPr>
      </w:pPr>
      <w:bookmarkStart w:id="71" w:name="_Toc1704"/>
      <w:bookmarkStart w:id="72" w:name="_Toc17293"/>
      <w:r>
        <w:rPr>
          <w:rFonts w:hint="eastAsia" w:ascii="仿宋" w:hAnsi="仿宋" w:eastAsia="仿宋" w:cs="仿宋"/>
          <w:b/>
          <w:bCs/>
          <w:sz w:val="24"/>
          <w:szCs w:val="24"/>
          <w:highlight w:val="none"/>
          <w:lang w:val="en-US" w:eastAsia="zh-CN"/>
        </w:rPr>
        <w:t>（五）投标费用</w:t>
      </w:r>
      <w:bookmarkEnd w:id="71"/>
      <w:bookmarkEnd w:id="72"/>
    </w:p>
    <w:p w14:paraId="7A5BF5B8">
      <w:pPr>
        <w:spacing w:line="30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不论投标结果如何，投标人均应自行承担所有与投标有关的全部费用。</w:t>
      </w:r>
    </w:p>
    <w:p w14:paraId="297826C2">
      <w:pPr>
        <w:spacing w:line="300" w:lineRule="auto"/>
        <w:outlineLvl w:val="1"/>
        <w:rPr>
          <w:rFonts w:hint="eastAsia" w:ascii="仿宋" w:hAnsi="仿宋" w:eastAsia="仿宋" w:cs="仿宋"/>
          <w:b/>
          <w:bCs/>
          <w:sz w:val="24"/>
          <w:szCs w:val="24"/>
          <w:highlight w:val="none"/>
          <w:lang w:val="en-US" w:eastAsia="zh-CN"/>
        </w:rPr>
      </w:pPr>
      <w:bookmarkStart w:id="73" w:name="_Toc22117"/>
      <w:bookmarkStart w:id="74" w:name="_Toc19554"/>
      <w:r>
        <w:rPr>
          <w:rFonts w:hint="eastAsia" w:ascii="仿宋" w:hAnsi="仿宋" w:eastAsia="仿宋" w:cs="仿宋"/>
          <w:b/>
          <w:bCs/>
          <w:sz w:val="24"/>
          <w:szCs w:val="24"/>
          <w:highlight w:val="none"/>
          <w:lang w:val="en-US" w:eastAsia="zh-CN"/>
        </w:rPr>
        <w:t>（六）联合体投标</w:t>
      </w:r>
      <w:bookmarkEnd w:id="73"/>
      <w:bookmarkEnd w:id="74"/>
    </w:p>
    <w:p w14:paraId="06B17A3D">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1联合体各方均应当满足《中华人民共和国政府采购法》第二十二条规定的条件，并在投标文件中提供联合体各方的相关证明材料。</w:t>
      </w:r>
    </w:p>
    <w:p w14:paraId="4B41AB40">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2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71DD8B30">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3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448B2ED2">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4联合体成员存在不良信用记录的，视同联合体存在不良信用记录。</w:t>
      </w:r>
    </w:p>
    <w:p w14:paraId="0BDA6CA5">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74F20E85">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6联合体各方应当共同与采购人签订采购合同，就合同约定的事项对采购人承担连带责任。</w:t>
      </w:r>
    </w:p>
    <w:p w14:paraId="430E82B8">
      <w:pPr>
        <w:spacing w:line="300" w:lineRule="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b/>
          <w:bCs/>
          <w:sz w:val="24"/>
          <w:szCs w:val="24"/>
          <w:highlight w:val="none"/>
          <w:lang w:val="en-US" w:eastAsia="zh-CN"/>
        </w:rPr>
        <w:t>本项目不接受联合体投标。</w:t>
      </w:r>
    </w:p>
    <w:p w14:paraId="5A7A0B96">
      <w:pPr>
        <w:spacing w:line="300" w:lineRule="auto"/>
        <w:outlineLvl w:val="1"/>
        <w:rPr>
          <w:rFonts w:hint="eastAsia" w:ascii="仿宋" w:hAnsi="仿宋" w:eastAsia="仿宋" w:cs="仿宋"/>
          <w:b/>
          <w:bCs/>
          <w:sz w:val="24"/>
          <w:szCs w:val="24"/>
          <w:highlight w:val="none"/>
          <w:lang w:val="en-US" w:eastAsia="zh-CN"/>
        </w:rPr>
      </w:pPr>
      <w:bookmarkStart w:id="75" w:name="_Toc11478"/>
      <w:bookmarkStart w:id="76" w:name="_Toc21389"/>
      <w:r>
        <w:rPr>
          <w:rFonts w:hint="eastAsia" w:ascii="仿宋" w:hAnsi="仿宋" w:eastAsia="仿宋" w:cs="仿宋"/>
          <w:b/>
          <w:bCs/>
          <w:sz w:val="24"/>
          <w:szCs w:val="24"/>
          <w:highlight w:val="none"/>
          <w:lang w:val="en-US" w:eastAsia="zh-CN"/>
        </w:rPr>
        <w:t>（七）转包与分包</w:t>
      </w:r>
      <w:bookmarkEnd w:id="75"/>
      <w:bookmarkEnd w:id="76"/>
    </w:p>
    <w:p w14:paraId="713F1E47">
      <w:pPr>
        <w:spacing w:line="300" w:lineRule="auto"/>
        <w:ind w:left="239" w:leftChars="114" w:firstLine="360" w:firstLineChars="1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1.本项目不允许转包。</w:t>
      </w:r>
    </w:p>
    <w:p w14:paraId="259C75D7">
      <w:pPr>
        <w:spacing w:line="300" w:lineRule="auto"/>
        <w:ind w:left="239" w:leftChars="114" w:firstLine="360" w:firstLineChars="1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2.本项目不可以分包。</w:t>
      </w:r>
    </w:p>
    <w:p w14:paraId="239D4A0C">
      <w:pPr>
        <w:spacing w:line="300" w:lineRule="auto"/>
        <w:ind w:left="239" w:leftChars="114" w:firstLine="360" w:firstLineChars="1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3.投标人应仔细阅读招标文件的所有内容，按照招标文件的要求提交投标文件，并对所提供的全部资料的真实性承担法律责任。</w:t>
      </w:r>
    </w:p>
    <w:p w14:paraId="74389BE4">
      <w:pPr>
        <w:spacing w:line="300" w:lineRule="auto"/>
        <w:ind w:left="239" w:leftChars="114" w:firstLine="360" w:firstLineChars="1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14:paraId="31CFDA48">
      <w:pPr>
        <w:spacing w:line="300" w:lineRule="auto"/>
        <w:outlineLvl w:val="1"/>
        <w:rPr>
          <w:rFonts w:hint="eastAsia" w:ascii="仿宋" w:hAnsi="仿宋" w:eastAsia="仿宋" w:cs="仿宋"/>
          <w:b/>
          <w:bCs/>
          <w:sz w:val="24"/>
          <w:szCs w:val="24"/>
          <w:highlight w:val="none"/>
          <w:lang w:val="en-US" w:eastAsia="zh-CN"/>
        </w:rPr>
      </w:pPr>
      <w:bookmarkStart w:id="77" w:name="_Toc14774"/>
      <w:bookmarkStart w:id="78" w:name="_Toc4294"/>
      <w:r>
        <w:rPr>
          <w:rFonts w:hint="eastAsia" w:ascii="仿宋" w:hAnsi="仿宋" w:eastAsia="仿宋" w:cs="仿宋"/>
          <w:b/>
          <w:bCs/>
          <w:sz w:val="24"/>
          <w:szCs w:val="24"/>
          <w:highlight w:val="none"/>
          <w:lang w:val="en-US" w:eastAsia="zh-CN"/>
        </w:rPr>
        <w:t>（八）质疑和投诉</w:t>
      </w:r>
      <w:bookmarkEnd w:id="77"/>
      <w:bookmarkEnd w:id="78"/>
    </w:p>
    <w:p w14:paraId="2ED3461D">
      <w:pPr>
        <w:spacing w:line="300" w:lineRule="auto"/>
        <w:ind w:left="239" w:leftChars="114" w:firstLine="360" w:firstLineChars="1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认为招标文件、招标过程或中标结果使自己的合法权益受到损害的，应当在知道或者应知其权益受到损害之日起七个工作日内，以书面形式向招标人、招标代理机构提出质疑。投标人对招标采购单位的质疑答复不满意或者招标采购单位未在规定时间内作出答复的，可以在答复期满后十五个工作日内向财政监管部门投诉。</w:t>
      </w:r>
    </w:p>
    <w:p w14:paraId="571E992F">
      <w:pPr>
        <w:spacing w:line="300" w:lineRule="auto"/>
        <w:ind w:left="239" w:leftChars="114" w:firstLine="360" w:firstLineChars="1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23171302">
      <w:pPr>
        <w:spacing w:line="300" w:lineRule="auto"/>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（九）纪律与保密事项</w:t>
      </w:r>
    </w:p>
    <w:p w14:paraId="5017CE3A">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1投标人不得相互串通投标报价，不得妨碍其他投标人的公平竞争，不得损害采购人或其他投标人的合法权益，投标人不得以向采购人、评标委员会成员行贿或者采取其他不正当手段谋取中标。</w:t>
      </w:r>
    </w:p>
    <w:p w14:paraId="5DA71EAA">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2在确定中标供应商之前，投标人不得与采购人就投标价格、投标方案等实质性内容进行谈判，也不得私下接触评标委员会成员。</w:t>
      </w:r>
    </w:p>
    <w:p w14:paraId="7C77434B">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3在确定中标供应商之前，投标人试图在投标文件审查、澄清、比较和评价时对评标委员会、采购人和采购代理机构施加任何影响都可能导致其投标无效。</w:t>
      </w:r>
    </w:p>
    <w:p w14:paraId="7946A51A">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4获得本招标文件者，须履行本项目</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保密义务，不得将因本次项目获得的信息向第三人外传，不得将招标文件用作本次投标以外的任何用途。</w:t>
      </w:r>
    </w:p>
    <w:p w14:paraId="11B2B08A">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5由采购人向投标人提供的图纸、详细资料和所有</w:t>
      </w:r>
      <w:r>
        <w:rPr>
          <w:rFonts w:hint="eastAsia" w:ascii="仿宋" w:hAnsi="仿宋" w:eastAsia="仿宋" w:cs="仿宋"/>
          <w:sz w:val="24"/>
          <w:szCs w:val="24"/>
          <w:highlight w:val="none"/>
          <w:lang w:eastAsia="zh-CN"/>
        </w:rPr>
        <w:t>其他</w:t>
      </w:r>
      <w:r>
        <w:rPr>
          <w:rFonts w:hint="eastAsia" w:ascii="仿宋" w:hAnsi="仿宋" w:eastAsia="仿宋" w:cs="仿宋"/>
          <w:sz w:val="24"/>
          <w:szCs w:val="24"/>
          <w:highlight w:val="none"/>
        </w:rPr>
        <w:t>资料，均为保密资料，</w:t>
      </w:r>
      <w:r>
        <w:rPr>
          <w:rFonts w:hint="eastAsia" w:ascii="仿宋" w:hAnsi="仿宋" w:eastAsia="仿宋" w:cs="仿宋"/>
          <w:sz w:val="24"/>
          <w:szCs w:val="24"/>
          <w:highlight w:val="none"/>
          <w:lang w:eastAsia="zh-CN"/>
        </w:rPr>
        <w:t>仅</w:t>
      </w:r>
      <w:r>
        <w:rPr>
          <w:rFonts w:hint="eastAsia" w:ascii="仿宋" w:hAnsi="仿宋" w:eastAsia="仿宋" w:cs="仿宋"/>
          <w:sz w:val="24"/>
          <w:szCs w:val="24"/>
          <w:highlight w:val="none"/>
        </w:rPr>
        <w:t>用于它所规定的用途。除非得到采购人的同意，不能向任何第三方透露。开标结束后，应采购人要求，投标人应归还所有从采购人处获得的保密资料。</w:t>
      </w:r>
    </w:p>
    <w:p w14:paraId="4ED163AB">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6采购人或采购代理机构有权将供应商提供的所有资料向有关政府部门或评审小组披露。</w:t>
      </w:r>
    </w:p>
    <w:p w14:paraId="1DAF8DC2">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6ACAC2F9">
      <w:pPr>
        <w:keepNext w:val="0"/>
        <w:keepLines w:val="0"/>
        <w:pageBreakBefore w:val="0"/>
        <w:kinsoku/>
        <w:wordWrap/>
        <w:overflowPunct/>
        <w:topLinePunct w:val="0"/>
        <w:autoSpaceDE/>
        <w:autoSpaceDN/>
        <w:bidi w:val="0"/>
        <w:adjustRightInd/>
        <w:snapToGrid/>
        <w:spacing w:line="300" w:lineRule="exact"/>
        <w:ind w:left="0" w:right="0" w:firstLine="562" w:firstLineChars="200"/>
        <w:jc w:val="both"/>
        <w:textAlignment w:val="auto"/>
        <w:rPr>
          <w:rFonts w:hint="eastAsia" w:ascii="仿宋" w:hAnsi="仿宋" w:eastAsia="仿宋" w:cs="仿宋"/>
          <w:b/>
          <w:bCs/>
          <w:color w:val="000000"/>
          <w:sz w:val="28"/>
          <w:szCs w:val="28"/>
          <w:highlight w:val="none"/>
          <w:lang w:val="en-US" w:eastAsia="zh-CN"/>
        </w:rPr>
      </w:pPr>
      <w:bookmarkStart w:id="79" w:name="_Toc521014777"/>
      <w:bookmarkStart w:id="80" w:name="_Toc28270"/>
      <w:bookmarkStart w:id="81" w:name="_Toc30350"/>
      <w:bookmarkStart w:id="82" w:name="_Toc503212209"/>
      <w:bookmarkStart w:id="83" w:name="_Toc32144"/>
    </w:p>
    <w:p w14:paraId="182CEC54">
      <w:pPr>
        <w:pStyle w:val="3"/>
        <w:numPr>
          <w:ilvl w:val="0"/>
          <w:numId w:val="0"/>
        </w:numPr>
        <w:spacing w:line="240" w:lineRule="auto"/>
        <w:ind w:leftChars="-50" w:right="62" w:rightChars="0"/>
        <w:jc w:val="center"/>
        <w:rPr>
          <w:rFonts w:hint="eastAsia" w:ascii="仿宋" w:hAnsi="仿宋" w:eastAsia="仿宋" w:cs="仿宋"/>
          <w:b/>
          <w:bCs/>
          <w:color w:val="000000"/>
          <w:kern w:val="2"/>
          <w:sz w:val="28"/>
          <w:szCs w:val="28"/>
          <w:highlight w:val="none"/>
          <w:lang w:val="en-US" w:eastAsia="zh-CN" w:bidi="ar-SA"/>
        </w:rPr>
      </w:pPr>
      <w:r>
        <w:rPr>
          <w:rFonts w:hint="eastAsia" w:ascii="仿宋" w:hAnsi="仿宋" w:eastAsia="仿宋" w:cs="仿宋"/>
          <w:b/>
          <w:bCs/>
          <w:color w:val="000000"/>
          <w:kern w:val="2"/>
          <w:sz w:val="28"/>
          <w:szCs w:val="28"/>
          <w:highlight w:val="none"/>
          <w:lang w:val="en-US" w:eastAsia="zh-CN" w:bidi="ar-SA"/>
        </w:rPr>
        <w:t>（二）招标文件</w:t>
      </w:r>
      <w:bookmarkEnd w:id="79"/>
      <w:bookmarkEnd w:id="80"/>
      <w:bookmarkEnd w:id="81"/>
      <w:bookmarkEnd w:id="82"/>
      <w:bookmarkEnd w:id="83"/>
    </w:p>
    <w:p w14:paraId="43E9DC0E">
      <w:pPr>
        <w:keepNext w:val="0"/>
        <w:keepLines w:val="0"/>
        <w:pageBreakBefore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eastAsia" w:ascii="仿宋" w:hAnsi="仿宋" w:eastAsia="仿宋" w:cs="仿宋"/>
          <w:b/>
          <w:bCs/>
          <w:sz w:val="24"/>
          <w:szCs w:val="32"/>
          <w:highlight w:val="none"/>
          <w:lang w:val="en-US" w:eastAsia="zh-CN"/>
        </w:rPr>
      </w:pPr>
      <w:r>
        <w:rPr>
          <w:rFonts w:hint="eastAsia" w:ascii="仿宋" w:hAnsi="仿宋" w:eastAsia="仿宋" w:cs="仿宋"/>
          <w:b/>
          <w:bCs/>
          <w:sz w:val="24"/>
          <w:szCs w:val="32"/>
          <w:highlight w:val="none"/>
          <w:lang w:val="en-US" w:eastAsia="zh-CN"/>
        </w:rPr>
        <w:t>（一）招标文件的构成。本招标文件由以下部分组成：</w:t>
      </w:r>
    </w:p>
    <w:p w14:paraId="307FAECD">
      <w:pPr>
        <w:spacing w:line="300" w:lineRule="auto"/>
        <w:ind w:left="210" w:leftChars="100" w:firstLine="120" w:firstLineChars="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第一章 招标公告</w:t>
      </w:r>
    </w:p>
    <w:p w14:paraId="620B662F">
      <w:pPr>
        <w:spacing w:line="300" w:lineRule="auto"/>
        <w:ind w:left="210" w:leftChars="100" w:firstLine="120" w:firstLineChars="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第二章 投标人须知</w:t>
      </w:r>
    </w:p>
    <w:p w14:paraId="6B8B4018">
      <w:pPr>
        <w:spacing w:line="300" w:lineRule="auto"/>
        <w:ind w:left="210" w:leftChars="100" w:firstLine="120" w:firstLineChars="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第三章 资格审查</w:t>
      </w:r>
    </w:p>
    <w:p w14:paraId="102A4095">
      <w:pPr>
        <w:numPr>
          <w:ilvl w:val="0"/>
          <w:numId w:val="6"/>
        </w:numPr>
        <w:spacing w:line="300" w:lineRule="auto"/>
        <w:ind w:left="210" w:leftChars="100" w:firstLine="120" w:firstLineChars="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评标程序、评标方法和评标标准</w:t>
      </w:r>
    </w:p>
    <w:p w14:paraId="0CDDEA7B">
      <w:pPr>
        <w:numPr>
          <w:ilvl w:val="0"/>
          <w:numId w:val="0"/>
        </w:numPr>
        <w:spacing w:line="300" w:lineRule="auto"/>
        <w:ind w:leftChars="150" w:right="62" w:rightChars="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第五章 采购需求</w:t>
      </w:r>
    </w:p>
    <w:p w14:paraId="2E44FC13">
      <w:pPr>
        <w:spacing w:line="300" w:lineRule="auto"/>
        <w:ind w:left="210" w:leftChars="100" w:firstLine="120" w:firstLineChars="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第六章 拟签订的合同文本</w:t>
      </w:r>
    </w:p>
    <w:p w14:paraId="1AF1E5FF">
      <w:pPr>
        <w:spacing w:line="300" w:lineRule="auto"/>
        <w:ind w:left="210" w:leftChars="100" w:firstLine="120" w:firstLineChars="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第七章 投标文件格式</w:t>
      </w:r>
    </w:p>
    <w:p w14:paraId="2C0565AF">
      <w:pPr>
        <w:spacing w:line="300" w:lineRule="auto"/>
        <w:outlineLvl w:val="1"/>
        <w:rPr>
          <w:rFonts w:hint="eastAsia" w:ascii="仿宋" w:hAnsi="仿宋" w:eastAsia="仿宋" w:cs="仿宋"/>
          <w:b/>
          <w:bCs/>
          <w:sz w:val="24"/>
          <w:szCs w:val="32"/>
          <w:highlight w:val="none"/>
          <w:lang w:val="en-US" w:eastAsia="zh-CN"/>
        </w:rPr>
      </w:pPr>
      <w:bookmarkStart w:id="84" w:name="_Toc18044"/>
      <w:bookmarkStart w:id="85" w:name="_Toc12877"/>
      <w:r>
        <w:rPr>
          <w:rFonts w:hint="eastAsia" w:ascii="仿宋" w:hAnsi="仿宋" w:eastAsia="仿宋" w:cs="仿宋"/>
          <w:b/>
          <w:bCs/>
          <w:sz w:val="24"/>
          <w:szCs w:val="32"/>
          <w:highlight w:val="none"/>
          <w:lang w:val="en-US" w:eastAsia="zh-CN"/>
        </w:rPr>
        <w:t>（二）投标人的风险</w:t>
      </w:r>
      <w:bookmarkEnd w:id="84"/>
      <w:bookmarkEnd w:id="85"/>
    </w:p>
    <w:p w14:paraId="78E7D7BA">
      <w:pPr>
        <w:spacing w:line="300" w:lineRule="auto"/>
        <w:ind w:left="210" w:leftChars="100" w:firstLine="360" w:firstLineChars="1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投标人没有按照招标文件要求提供全部资料，或者投标人没有对招标文件在各方面作出实质性响应是投标人的风险，并可能导致其投标为无效标。</w:t>
      </w:r>
    </w:p>
    <w:p w14:paraId="3052B8A6">
      <w:pPr>
        <w:spacing w:line="300" w:lineRule="auto"/>
        <w:outlineLvl w:val="1"/>
        <w:rPr>
          <w:rFonts w:hint="eastAsia" w:ascii="仿宋" w:hAnsi="仿宋" w:eastAsia="仿宋" w:cs="仿宋"/>
          <w:b/>
          <w:bCs/>
          <w:sz w:val="24"/>
          <w:szCs w:val="32"/>
          <w:highlight w:val="none"/>
          <w:lang w:val="en-US" w:eastAsia="zh-CN"/>
        </w:rPr>
      </w:pPr>
      <w:bookmarkStart w:id="86" w:name="_Toc15241"/>
      <w:bookmarkStart w:id="87" w:name="_Toc27766"/>
      <w:r>
        <w:rPr>
          <w:rFonts w:hint="eastAsia" w:ascii="仿宋" w:hAnsi="仿宋" w:eastAsia="仿宋" w:cs="仿宋"/>
          <w:b/>
          <w:bCs/>
          <w:sz w:val="24"/>
          <w:szCs w:val="32"/>
          <w:highlight w:val="none"/>
          <w:lang w:val="en-US" w:eastAsia="zh-CN"/>
        </w:rPr>
        <w:t>（三）招标文件的澄清与修改</w:t>
      </w:r>
      <w:bookmarkEnd w:id="86"/>
      <w:bookmarkEnd w:id="87"/>
      <w:r>
        <w:rPr>
          <w:rFonts w:hint="eastAsia" w:ascii="仿宋" w:hAnsi="仿宋" w:eastAsia="仿宋" w:cs="仿宋"/>
          <w:b/>
          <w:bCs/>
          <w:sz w:val="24"/>
          <w:szCs w:val="32"/>
          <w:highlight w:val="none"/>
          <w:lang w:val="en-US" w:eastAsia="zh-CN"/>
        </w:rPr>
        <w:t xml:space="preserve"> </w:t>
      </w:r>
    </w:p>
    <w:p w14:paraId="2D5F7854">
      <w:pPr>
        <w:spacing w:line="300" w:lineRule="auto"/>
        <w:ind w:left="239" w:leftChars="114" w:firstLine="360" w:firstLineChars="1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1.招标代理机构必须以书面形式答复投标人要求澄清的问题，并将不包含问题来源的答复书面通知所有购买招标文件的投标人；除书面答复以外的其他澄清方式及澄清内容均无效。</w:t>
      </w:r>
    </w:p>
    <w:p w14:paraId="1ECBBE8F">
      <w:pPr>
        <w:spacing w:line="300" w:lineRule="auto"/>
        <w:ind w:left="239" w:leftChars="114" w:firstLine="360" w:firstLineChars="1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2.招标文件澄清、答复、修改、补充的内容为招标文件的组成部分。当招标文件与招标文件的答复、澄清、修改、补充通知就同一内容的表述不一致时，以最后发出的书面文件为准。</w:t>
      </w:r>
    </w:p>
    <w:p w14:paraId="165C1B98">
      <w:pPr>
        <w:spacing w:line="300" w:lineRule="auto"/>
        <w:ind w:left="239" w:leftChars="114" w:firstLine="360" w:firstLineChars="1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3.招标文件的澄清、答复、修改或补充都应该通过本代理机构以法定形式发布，招标人非通过本机构，不得擅自澄清、答复、修改或补充招标文件。</w:t>
      </w:r>
    </w:p>
    <w:p w14:paraId="5FF065AF">
      <w:pPr>
        <w:pStyle w:val="3"/>
        <w:numPr>
          <w:ilvl w:val="0"/>
          <w:numId w:val="0"/>
        </w:numPr>
        <w:spacing w:line="240" w:lineRule="auto"/>
        <w:ind w:leftChars="-50" w:right="62" w:rightChars="0"/>
        <w:jc w:val="center"/>
        <w:rPr>
          <w:rFonts w:hint="eastAsia" w:ascii="仿宋" w:hAnsi="仿宋" w:eastAsia="仿宋" w:cs="仿宋"/>
          <w:b/>
          <w:bCs/>
          <w:color w:val="000000"/>
          <w:kern w:val="2"/>
          <w:sz w:val="28"/>
          <w:szCs w:val="28"/>
          <w:highlight w:val="none"/>
          <w:lang w:val="en-US" w:eastAsia="zh-CN" w:bidi="ar-SA"/>
        </w:rPr>
      </w:pPr>
      <w:bookmarkStart w:id="88" w:name="_Toc12173"/>
      <w:bookmarkStart w:id="89" w:name="_Toc503212210"/>
      <w:bookmarkStart w:id="90" w:name="_Toc521014778"/>
      <w:bookmarkStart w:id="91" w:name="_Toc8746"/>
      <w:bookmarkStart w:id="92" w:name="_Toc765"/>
      <w:bookmarkStart w:id="93" w:name="_Toc27918"/>
      <w:bookmarkStart w:id="94" w:name="_Toc10814"/>
      <w:r>
        <w:rPr>
          <w:rFonts w:hint="eastAsia" w:ascii="仿宋" w:hAnsi="仿宋" w:eastAsia="仿宋" w:cs="仿宋"/>
          <w:b/>
          <w:bCs/>
          <w:color w:val="000000"/>
          <w:kern w:val="2"/>
          <w:sz w:val="28"/>
          <w:szCs w:val="28"/>
          <w:highlight w:val="none"/>
          <w:lang w:val="en-US" w:eastAsia="zh-CN" w:bidi="ar-SA"/>
        </w:rPr>
        <w:t>（三）投标文件的编制</w:t>
      </w:r>
      <w:bookmarkEnd w:id="88"/>
      <w:bookmarkEnd w:id="89"/>
      <w:bookmarkEnd w:id="90"/>
      <w:bookmarkEnd w:id="91"/>
      <w:bookmarkEnd w:id="92"/>
      <w:bookmarkEnd w:id="93"/>
      <w:bookmarkEnd w:id="94"/>
      <w:r>
        <w:rPr>
          <w:rFonts w:hint="eastAsia" w:ascii="仿宋" w:hAnsi="仿宋" w:eastAsia="仿宋" w:cs="仿宋"/>
          <w:b/>
          <w:bCs/>
          <w:color w:val="000000"/>
          <w:kern w:val="2"/>
          <w:sz w:val="28"/>
          <w:szCs w:val="28"/>
          <w:highlight w:val="none"/>
          <w:lang w:val="en-US" w:eastAsia="zh-CN" w:bidi="ar-SA"/>
        </w:rPr>
        <w:t>（格式自拟）</w:t>
      </w:r>
    </w:p>
    <w:p w14:paraId="557CC399">
      <w:pPr>
        <w:spacing w:line="300" w:lineRule="auto"/>
        <w:rPr>
          <w:rFonts w:hint="eastAsia" w:ascii="仿宋" w:hAnsi="仿宋" w:eastAsia="仿宋" w:cs="仿宋"/>
          <w:b/>
          <w:bCs/>
          <w:sz w:val="24"/>
          <w:szCs w:val="32"/>
          <w:highlight w:val="none"/>
        </w:rPr>
      </w:pPr>
      <w:bookmarkStart w:id="95" w:name="_Toc521014779"/>
      <w:bookmarkStart w:id="96" w:name="_Toc503212211"/>
      <w:bookmarkStart w:id="97" w:name="_Toc29977"/>
      <w:bookmarkStart w:id="98" w:name="_Toc23068"/>
      <w:r>
        <w:rPr>
          <w:rFonts w:hint="eastAsia" w:ascii="仿宋" w:hAnsi="仿宋" w:eastAsia="仿宋" w:cs="仿宋"/>
          <w:b/>
          <w:bCs/>
          <w:sz w:val="24"/>
          <w:szCs w:val="32"/>
          <w:highlight w:val="none"/>
        </w:rPr>
        <w:t>投标文件的组成</w:t>
      </w:r>
      <w:bookmarkEnd w:id="95"/>
      <w:bookmarkEnd w:id="96"/>
      <w:bookmarkEnd w:id="97"/>
      <w:bookmarkEnd w:id="98"/>
    </w:p>
    <w:p w14:paraId="201775C8">
      <w:pPr>
        <w:spacing w:line="300" w:lineRule="auto"/>
        <w:ind w:left="239" w:leftChars="114" w:firstLine="360" w:firstLineChars="150"/>
        <w:outlineLvl w:val="2"/>
        <w:rPr>
          <w:rFonts w:hint="eastAsia" w:ascii="仿宋" w:hAnsi="仿宋" w:eastAsia="仿宋" w:cs="仿宋"/>
          <w:sz w:val="24"/>
          <w:szCs w:val="32"/>
          <w:highlight w:val="none"/>
        </w:rPr>
      </w:pPr>
      <w:bookmarkStart w:id="99" w:name="_Toc21340"/>
      <w:r>
        <w:rPr>
          <w:rFonts w:hint="eastAsia" w:ascii="仿宋" w:hAnsi="仿宋" w:eastAsia="仿宋" w:cs="仿宋"/>
          <w:sz w:val="24"/>
          <w:szCs w:val="32"/>
          <w:highlight w:val="none"/>
          <w:lang w:val="en-US" w:eastAsia="zh-CN"/>
        </w:rPr>
        <w:t>1、</w:t>
      </w:r>
      <w:r>
        <w:rPr>
          <w:rFonts w:hint="eastAsia" w:ascii="仿宋" w:hAnsi="仿宋" w:eastAsia="仿宋" w:cs="仿宋"/>
          <w:sz w:val="24"/>
          <w:szCs w:val="32"/>
          <w:highlight w:val="none"/>
        </w:rPr>
        <w:t>投标文件由报价部分</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商务</w:t>
      </w:r>
      <w:r>
        <w:rPr>
          <w:rFonts w:hint="eastAsia" w:ascii="仿宋" w:hAnsi="仿宋" w:eastAsia="仿宋" w:cs="仿宋"/>
          <w:sz w:val="24"/>
          <w:szCs w:val="32"/>
          <w:highlight w:val="none"/>
          <w:lang w:val="en-US" w:eastAsia="zh-CN"/>
        </w:rPr>
        <w:t>部分、</w:t>
      </w:r>
      <w:r>
        <w:rPr>
          <w:rFonts w:hint="eastAsia" w:ascii="仿宋" w:hAnsi="仿宋" w:eastAsia="仿宋" w:cs="仿宋"/>
          <w:sz w:val="24"/>
          <w:szCs w:val="32"/>
          <w:highlight w:val="none"/>
        </w:rPr>
        <w:t>技术部分组成。</w:t>
      </w:r>
      <w:bookmarkEnd w:id="99"/>
    </w:p>
    <w:p w14:paraId="0327D4D9">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2</w:t>
      </w:r>
      <w:r>
        <w:rPr>
          <w:rFonts w:hint="eastAsia" w:ascii="仿宋" w:hAnsi="仿宋" w:eastAsia="仿宋" w:cs="仿宋"/>
          <w:sz w:val="24"/>
          <w:szCs w:val="32"/>
          <w:highlight w:val="none"/>
        </w:rPr>
        <w:t>、投标单位应按招标文件的要求提供招标文件，并保证所有材料的真实性，以确保其投标对招标文件做出实质性的响应。</w:t>
      </w:r>
    </w:p>
    <w:p w14:paraId="7ADC8A38">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3</w:t>
      </w:r>
      <w:r>
        <w:rPr>
          <w:rFonts w:hint="eastAsia" w:ascii="仿宋" w:hAnsi="仿宋" w:eastAsia="仿宋" w:cs="仿宋"/>
          <w:sz w:val="24"/>
          <w:szCs w:val="32"/>
          <w:highlight w:val="none"/>
        </w:rPr>
        <w:t>、招标文件使用的计量单位，应采用国家法定的计量单位。</w:t>
      </w:r>
    </w:p>
    <w:p w14:paraId="329FE653">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4</w:t>
      </w:r>
      <w:r>
        <w:rPr>
          <w:rFonts w:hint="eastAsia" w:ascii="仿宋" w:hAnsi="仿宋" w:eastAsia="仿宋" w:cs="仿宋"/>
          <w:sz w:val="24"/>
          <w:szCs w:val="32"/>
          <w:highlight w:val="none"/>
        </w:rPr>
        <w:t>、投标人所递交的投标文件应包含以下文件：</w:t>
      </w:r>
    </w:p>
    <w:p w14:paraId="2E01DF0C">
      <w:pPr>
        <w:spacing w:line="300" w:lineRule="auto"/>
        <w:rPr>
          <w:rFonts w:hint="eastAsia" w:ascii="仿宋" w:hAnsi="仿宋" w:eastAsia="仿宋" w:cs="仿宋"/>
          <w:b/>
          <w:bCs/>
          <w:sz w:val="24"/>
          <w:szCs w:val="32"/>
          <w:highlight w:val="none"/>
        </w:rPr>
      </w:pPr>
      <w:bookmarkStart w:id="100" w:name="_Toc18015"/>
      <w:bookmarkStart w:id="101" w:name="_Toc24112"/>
      <w:bookmarkStart w:id="102" w:name="_Toc503212212"/>
      <w:bookmarkStart w:id="103" w:name="_Toc14838"/>
      <w:bookmarkStart w:id="104" w:name="_Toc28971"/>
      <w:bookmarkStart w:id="105" w:name="_Toc521014780"/>
      <w:r>
        <w:rPr>
          <w:rFonts w:hint="eastAsia" w:ascii="仿宋" w:hAnsi="仿宋" w:eastAsia="仿宋" w:cs="仿宋"/>
          <w:b/>
          <w:bCs/>
          <w:sz w:val="24"/>
          <w:szCs w:val="32"/>
          <w:highlight w:val="none"/>
        </w:rPr>
        <w:t>报价部分：</w:t>
      </w:r>
    </w:p>
    <w:p w14:paraId="3877AEEB">
      <w:pPr>
        <w:spacing w:line="300" w:lineRule="auto"/>
        <w:ind w:left="239" w:leftChars="114" w:firstLine="360" w:firstLineChars="1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1、投标函；</w:t>
      </w:r>
    </w:p>
    <w:p w14:paraId="491F2D84">
      <w:pPr>
        <w:spacing w:line="300" w:lineRule="auto"/>
        <w:ind w:left="239" w:leftChars="114" w:firstLine="360" w:firstLineChars="1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2、开标一览表；</w:t>
      </w:r>
    </w:p>
    <w:p w14:paraId="7DFD3A4E">
      <w:pPr>
        <w:spacing w:line="30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商务部分：</w:t>
      </w:r>
    </w:p>
    <w:p w14:paraId="10C9A922">
      <w:pPr>
        <w:spacing w:line="300" w:lineRule="auto"/>
        <w:ind w:left="239" w:leftChars="114" w:firstLine="360" w:firstLineChars="150"/>
        <w:rPr>
          <w:rFonts w:hint="eastAsia"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3、投标单位基本情况表</w:t>
      </w:r>
    </w:p>
    <w:p w14:paraId="253CC961">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4、</w:t>
      </w:r>
      <w:r>
        <w:rPr>
          <w:rFonts w:hint="eastAsia" w:ascii="仿宋" w:hAnsi="仿宋" w:eastAsia="仿宋" w:cs="仿宋"/>
          <w:sz w:val="24"/>
          <w:szCs w:val="32"/>
          <w:highlight w:val="none"/>
        </w:rPr>
        <w:t>出具法人营业执照函（格式见附件）；</w:t>
      </w:r>
    </w:p>
    <w:p w14:paraId="4238C89D">
      <w:pPr>
        <w:spacing w:line="300" w:lineRule="auto"/>
        <w:ind w:left="239" w:leftChars="114" w:firstLine="360" w:firstLineChars="150"/>
        <w:outlineLvl w:val="2"/>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5、联合体协议书（如是）</w:t>
      </w:r>
    </w:p>
    <w:p w14:paraId="08805009">
      <w:pPr>
        <w:spacing w:line="300" w:lineRule="auto"/>
        <w:ind w:left="239" w:leftChars="114" w:firstLine="360" w:firstLineChars="150"/>
        <w:outlineLvl w:val="2"/>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6、法定代表人身份证明</w:t>
      </w:r>
    </w:p>
    <w:p w14:paraId="6A8D8398">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7、法定代表人授权委托书</w:t>
      </w:r>
      <w:r>
        <w:rPr>
          <w:rFonts w:hint="eastAsia" w:ascii="仿宋" w:hAnsi="仿宋" w:eastAsia="仿宋" w:cs="仿宋"/>
          <w:sz w:val="24"/>
          <w:szCs w:val="32"/>
          <w:highlight w:val="none"/>
        </w:rPr>
        <w:t>；</w:t>
      </w:r>
    </w:p>
    <w:p w14:paraId="5998F599">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8、项目负责人任命书</w:t>
      </w:r>
      <w:r>
        <w:rPr>
          <w:rFonts w:hint="eastAsia" w:ascii="仿宋" w:hAnsi="仿宋" w:eastAsia="仿宋" w:cs="仿宋"/>
          <w:sz w:val="24"/>
          <w:szCs w:val="32"/>
          <w:highlight w:val="none"/>
        </w:rPr>
        <w:t>；</w:t>
      </w:r>
    </w:p>
    <w:p w14:paraId="7314334D">
      <w:pPr>
        <w:spacing w:line="300" w:lineRule="auto"/>
        <w:ind w:left="239" w:leftChars="114" w:firstLine="360" w:firstLineChars="150"/>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lang w:val="en-US" w:eastAsia="zh-CN"/>
        </w:rPr>
        <w:t>9、投标人资格声明函；</w:t>
      </w:r>
    </w:p>
    <w:p w14:paraId="6C013C10">
      <w:pPr>
        <w:spacing w:line="240" w:lineRule="auto"/>
        <w:ind w:left="239" w:leftChars="114" w:right="0" w:firstLine="360" w:firstLineChars="1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10、信用查询记录；</w:t>
      </w:r>
    </w:p>
    <w:p w14:paraId="4AF46B66">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11、资格证明文件；</w:t>
      </w:r>
    </w:p>
    <w:p w14:paraId="3B167FDF">
      <w:pPr>
        <w:spacing w:line="300" w:lineRule="auto"/>
        <w:ind w:left="239" w:leftChars="114" w:firstLine="360" w:firstLineChars="150"/>
        <w:outlineLvl w:val="2"/>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12、投标保证金说明；</w:t>
      </w:r>
    </w:p>
    <w:p w14:paraId="295418C1">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13、</w:t>
      </w:r>
      <w:r>
        <w:rPr>
          <w:rFonts w:hint="eastAsia" w:ascii="仿宋" w:hAnsi="仿宋" w:eastAsia="仿宋" w:cs="仿宋"/>
          <w:sz w:val="24"/>
          <w:szCs w:val="32"/>
          <w:highlight w:val="none"/>
        </w:rPr>
        <w:t xml:space="preserve">商务偏离表（格式见附件）；  </w:t>
      </w:r>
    </w:p>
    <w:p w14:paraId="299ADBF2">
      <w:pPr>
        <w:spacing w:line="300" w:lineRule="auto"/>
        <w:ind w:left="239" w:leftChars="114" w:firstLine="360" w:firstLineChars="150"/>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lang w:val="en-US" w:eastAsia="zh-CN"/>
        </w:rPr>
        <w:t>14、</w:t>
      </w:r>
      <w:r>
        <w:rPr>
          <w:rFonts w:hint="eastAsia" w:ascii="仿宋" w:hAnsi="仿宋" w:eastAsia="仿宋" w:cs="仿宋"/>
          <w:sz w:val="24"/>
          <w:szCs w:val="32"/>
          <w:highlight w:val="none"/>
          <w:lang w:eastAsia="zh-CN"/>
        </w:rPr>
        <w:t>投标人</w:t>
      </w:r>
      <w:r>
        <w:rPr>
          <w:rFonts w:hint="eastAsia" w:ascii="仿宋" w:hAnsi="仿宋" w:eastAsia="仿宋" w:cs="仿宋"/>
          <w:sz w:val="24"/>
          <w:szCs w:val="32"/>
          <w:highlight w:val="none"/>
        </w:rPr>
        <w:t>反商业贿赂承诺书（格式见附件）；</w:t>
      </w:r>
    </w:p>
    <w:p w14:paraId="486A78BF">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15、无围标、串标等违法违规行为承诺书</w:t>
      </w:r>
      <w:r>
        <w:rPr>
          <w:rFonts w:hint="eastAsia" w:ascii="仿宋" w:hAnsi="仿宋" w:eastAsia="仿宋" w:cs="仿宋"/>
          <w:sz w:val="24"/>
          <w:szCs w:val="32"/>
          <w:highlight w:val="none"/>
        </w:rPr>
        <w:t>（格式见附件）；</w:t>
      </w:r>
    </w:p>
    <w:p w14:paraId="39E06E5F">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16、中小企业声明函、JY企业、残疾人福利性单位及其他相关的充分的证明材料</w:t>
      </w:r>
      <w:r>
        <w:rPr>
          <w:rFonts w:hint="eastAsia" w:ascii="仿宋" w:hAnsi="仿宋" w:eastAsia="仿宋" w:cs="仿宋"/>
          <w:sz w:val="24"/>
          <w:szCs w:val="32"/>
          <w:highlight w:val="none"/>
        </w:rPr>
        <w:t>；</w:t>
      </w:r>
    </w:p>
    <w:p w14:paraId="12FC72A4">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17、虚假应标承担责任声明（统一格式）；</w:t>
      </w:r>
    </w:p>
    <w:p w14:paraId="7D85CA66">
      <w:pPr>
        <w:spacing w:line="300" w:lineRule="auto"/>
        <w:ind w:left="239" w:leftChars="114" w:firstLine="360" w:firstLineChars="1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18、关于对本投标文件中资料真实性的承诺；</w:t>
      </w:r>
    </w:p>
    <w:p w14:paraId="12E26474">
      <w:pPr>
        <w:spacing w:line="300" w:lineRule="auto"/>
        <w:ind w:left="239" w:leftChars="114" w:firstLine="360" w:firstLineChars="1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19、其它材料；</w:t>
      </w:r>
    </w:p>
    <w:p w14:paraId="69AAA234">
      <w:pPr>
        <w:spacing w:line="300" w:lineRule="auto"/>
        <w:ind w:left="239" w:leftChars="114" w:firstLine="360" w:firstLineChars="1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20、主要相关项目业绩一览表</w:t>
      </w:r>
    </w:p>
    <w:p w14:paraId="2CFA9C9A">
      <w:pPr>
        <w:spacing w:line="30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技术部分：</w:t>
      </w:r>
    </w:p>
    <w:p w14:paraId="30D933B9">
      <w:pPr>
        <w:spacing w:line="300" w:lineRule="auto"/>
        <w:ind w:left="239" w:leftChars="114" w:firstLine="360" w:firstLineChars="1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 xml:space="preserve">21、服务项目偏离表 </w:t>
      </w:r>
    </w:p>
    <w:p w14:paraId="747B9ED5">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22、</w:t>
      </w:r>
      <w:r>
        <w:rPr>
          <w:rFonts w:hint="eastAsia" w:ascii="仿宋" w:hAnsi="仿宋" w:eastAsia="仿宋" w:cs="仿宋"/>
          <w:sz w:val="24"/>
          <w:szCs w:val="32"/>
          <w:highlight w:val="none"/>
        </w:rPr>
        <w:t>对本次</w:t>
      </w:r>
      <w:r>
        <w:rPr>
          <w:rFonts w:hint="eastAsia" w:ascii="仿宋" w:hAnsi="仿宋" w:eastAsia="仿宋" w:cs="仿宋"/>
          <w:sz w:val="24"/>
          <w:szCs w:val="32"/>
          <w:highlight w:val="none"/>
          <w:lang w:val="en-US" w:eastAsia="zh-CN"/>
        </w:rPr>
        <w:t>投标项目的技术方案（</w:t>
      </w:r>
      <w:r>
        <w:rPr>
          <w:rFonts w:hint="eastAsia" w:ascii="仿宋" w:hAnsi="仿宋" w:eastAsia="仿宋" w:cs="仿宋"/>
          <w:sz w:val="24"/>
          <w:szCs w:val="32"/>
          <w:highlight w:val="none"/>
        </w:rPr>
        <w:t>投标人视需要自行编写</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w:t>
      </w:r>
    </w:p>
    <w:p w14:paraId="430552F5">
      <w:pPr>
        <w:spacing w:line="300" w:lineRule="auto"/>
        <w:ind w:left="239" w:leftChars="114" w:firstLine="360" w:firstLineChars="1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23、服务承诺书</w:t>
      </w:r>
    </w:p>
    <w:p w14:paraId="320A3646">
      <w:pPr>
        <w:spacing w:line="300" w:lineRule="auto"/>
        <w:ind w:left="239" w:leftChars="114" w:firstLine="360" w:firstLineChars="15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24、</w:t>
      </w:r>
      <w:r>
        <w:rPr>
          <w:rFonts w:hint="eastAsia" w:ascii="仿宋" w:hAnsi="仿宋" w:eastAsia="仿宋" w:cs="仿宋"/>
          <w:sz w:val="24"/>
          <w:szCs w:val="32"/>
          <w:highlight w:val="none"/>
          <w:lang w:eastAsia="zh-CN"/>
        </w:rPr>
        <w:t>其他有利于投标人的资料（如有）</w:t>
      </w:r>
    </w:p>
    <w:p w14:paraId="2382A98E">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rPr>
        <w:t>▲注：投标文件应由法定代表人或授权代表</w:t>
      </w:r>
      <w:r>
        <w:rPr>
          <w:rFonts w:hint="eastAsia" w:ascii="仿宋" w:hAnsi="仿宋" w:eastAsia="仿宋" w:cs="仿宋"/>
          <w:sz w:val="24"/>
          <w:szCs w:val="32"/>
          <w:highlight w:val="none"/>
          <w:lang w:eastAsia="zh-CN"/>
        </w:rPr>
        <w:t>在</w:t>
      </w:r>
      <w:r>
        <w:rPr>
          <w:rFonts w:hint="eastAsia" w:ascii="仿宋" w:hAnsi="仿宋" w:eastAsia="仿宋" w:cs="仿宋"/>
          <w:sz w:val="24"/>
          <w:szCs w:val="32"/>
          <w:highlight w:val="none"/>
        </w:rPr>
        <w:t>规定签章处逐一签署及加盖单位公章</w:t>
      </w:r>
      <w:r>
        <w:rPr>
          <w:rFonts w:hint="eastAsia" w:ascii="仿宋" w:hAnsi="仿宋" w:eastAsia="仿宋" w:cs="仿宋"/>
          <w:sz w:val="24"/>
          <w:szCs w:val="32"/>
          <w:highlight w:val="none"/>
          <w:lang w:eastAsia="zh-CN"/>
        </w:rPr>
        <w:t>（逐页盖章）</w:t>
      </w:r>
      <w:r>
        <w:rPr>
          <w:rFonts w:hint="eastAsia" w:ascii="仿宋" w:hAnsi="仿宋" w:eastAsia="仿宋" w:cs="仿宋"/>
          <w:sz w:val="24"/>
          <w:szCs w:val="32"/>
          <w:highlight w:val="none"/>
        </w:rPr>
        <w:t>。</w:t>
      </w:r>
    </w:p>
    <w:p w14:paraId="0D404AF1">
      <w:pPr>
        <w:spacing w:line="300" w:lineRule="auto"/>
        <w:outlineLvl w:val="1"/>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投标文件的语言及计量</w:t>
      </w:r>
      <w:bookmarkEnd w:id="100"/>
      <w:bookmarkEnd w:id="101"/>
      <w:bookmarkEnd w:id="102"/>
      <w:bookmarkEnd w:id="103"/>
      <w:bookmarkEnd w:id="104"/>
      <w:bookmarkEnd w:id="105"/>
    </w:p>
    <w:p w14:paraId="63889BB0">
      <w:pPr>
        <w:spacing w:line="300" w:lineRule="auto"/>
        <w:ind w:left="239" w:leftChars="114"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▲1.投标文件以及投标方与招标方就有关投标事宜的所有来往函电，均应以中文汉语书写。除签名、盖章、专用名称等特殊情形外，以中文汉语以外的文字表述的投标文件视同未提供。</w:t>
      </w:r>
    </w:p>
    <w:p w14:paraId="48A5585F">
      <w:pPr>
        <w:spacing w:line="300" w:lineRule="auto"/>
        <w:ind w:left="239" w:leftChars="114"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▲2.投标计量单位，招标文件已有明确规定的，使用招标文件规定的计量单位；招标文件没有规定的，应采用中华人民共和国法定计量单位（货币单位：人民币元），否则视同未响应。</w:t>
      </w:r>
    </w:p>
    <w:p w14:paraId="3BBFDB39">
      <w:pPr>
        <w:spacing w:line="300" w:lineRule="auto"/>
        <w:rPr>
          <w:rFonts w:hint="eastAsia" w:ascii="仿宋" w:hAnsi="仿宋" w:eastAsia="仿宋" w:cs="仿宋"/>
          <w:b/>
          <w:bCs/>
          <w:sz w:val="24"/>
          <w:szCs w:val="32"/>
          <w:highlight w:val="none"/>
        </w:rPr>
      </w:pPr>
      <w:bookmarkStart w:id="106" w:name="_Toc503212213"/>
      <w:bookmarkStart w:id="107" w:name="_Toc3970"/>
      <w:bookmarkStart w:id="108" w:name="_Toc6985"/>
      <w:bookmarkStart w:id="109" w:name="_Toc521014781"/>
      <w:r>
        <w:rPr>
          <w:rFonts w:hint="eastAsia" w:ascii="仿宋" w:hAnsi="仿宋" w:eastAsia="仿宋" w:cs="仿宋"/>
          <w:b/>
          <w:bCs/>
          <w:sz w:val="24"/>
          <w:szCs w:val="32"/>
          <w:highlight w:val="none"/>
        </w:rPr>
        <w:t>投标报价</w:t>
      </w:r>
      <w:bookmarkEnd w:id="106"/>
      <w:bookmarkEnd w:id="107"/>
      <w:bookmarkEnd w:id="108"/>
      <w:bookmarkEnd w:id="109"/>
    </w:p>
    <w:p w14:paraId="4AB79787">
      <w:pPr>
        <w:spacing w:line="300" w:lineRule="auto"/>
        <w:ind w:left="239" w:leftChars="114"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▲1 报价应在招标报价表上标明单价和总价。单价和总价要相符。价格不一致时，根据《中华人民共和国财政部令第87号</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政府采购货物和服务招标投标管理办法》第五十九条投标文件报价出现前后不一致的，除招标文件另有规定外，按照下列规定修正：</w:t>
      </w:r>
    </w:p>
    <w:p w14:paraId="06C69D15">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　　（一）投标文件中开标一览表（报价表）内容与投标文件中相应内容不一致的，以开标一览表（报价表）为准；</w:t>
      </w:r>
    </w:p>
    <w:p w14:paraId="1B689794">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　　（二）大写金额和小写金额不一致的，以大写金额为准；</w:t>
      </w:r>
    </w:p>
    <w:p w14:paraId="3AB41C0F">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　　（三）单价金额小数点或者百分比有明显错位的，以开标一览表的总价为准，并修改单价；</w:t>
      </w:r>
    </w:p>
    <w:p w14:paraId="730CFFD8">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　　（四）总价金额与单价汇总金额不一致的，以单价金额计算结果为准。</w:t>
      </w:r>
    </w:p>
    <w:p w14:paraId="4E09045E">
      <w:pPr>
        <w:spacing w:line="300" w:lineRule="auto"/>
        <w:ind w:left="239" w:leftChars="114"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▲2 供应商应在投标报价表中标明其提供的所有</w:t>
      </w:r>
      <w:r>
        <w:rPr>
          <w:rFonts w:hint="eastAsia" w:ascii="仿宋" w:hAnsi="仿宋" w:eastAsia="仿宋" w:cs="仿宋"/>
          <w:sz w:val="24"/>
          <w:szCs w:val="32"/>
          <w:highlight w:val="none"/>
          <w:lang w:val="en-US" w:eastAsia="zh-CN"/>
        </w:rPr>
        <w:t>服务</w:t>
      </w:r>
      <w:r>
        <w:rPr>
          <w:rFonts w:hint="eastAsia" w:ascii="仿宋" w:hAnsi="仿宋" w:eastAsia="仿宋" w:cs="仿宋"/>
          <w:sz w:val="24"/>
          <w:szCs w:val="32"/>
          <w:highlight w:val="none"/>
        </w:rPr>
        <w:t>及其相关工作范围内</w:t>
      </w:r>
      <w:r>
        <w:rPr>
          <w:rFonts w:hint="eastAsia" w:ascii="仿宋" w:hAnsi="仿宋" w:eastAsia="仿宋" w:cs="仿宋"/>
          <w:sz w:val="24"/>
          <w:szCs w:val="32"/>
          <w:highlight w:val="none"/>
          <w:lang w:eastAsia="zh-CN"/>
        </w:rPr>
        <w:t>所有</w:t>
      </w:r>
      <w:r>
        <w:rPr>
          <w:rFonts w:hint="eastAsia" w:ascii="仿宋" w:hAnsi="仿宋" w:eastAsia="仿宋" w:cs="仿宋"/>
          <w:sz w:val="24"/>
          <w:szCs w:val="32"/>
          <w:highlight w:val="none"/>
        </w:rPr>
        <w:t>费用的总价，不接受有任何选择性报价。</w:t>
      </w:r>
    </w:p>
    <w:p w14:paraId="70219DFF">
      <w:pPr>
        <w:spacing w:line="300" w:lineRule="auto"/>
        <w:ind w:left="239" w:leftChars="114"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▲3报价时应对下列几点特别注明：</w:t>
      </w:r>
    </w:p>
    <w:p w14:paraId="6F9021C2">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3.1招标文件中特别要求的</w:t>
      </w:r>
      <w:r>
        <w:rPr>
          <w:rFonts w:hint="eastAsia" w:ascii="仿宋" w:hAnsi="仿宋" w:eastAsia="仿宋" w:cs="仿宋"/>
          <w:sz w:val="24"/>
          <w:szCs w:val="32"/>
          <w:highlight w:val="none"/>
          <w:lang w:val="en-US" w:eastAsia="zh-CN"/>
        </w:rPr>
        <w:t>所提供服务</w:t>
      </w:r>
      <w:r>
        <w:rPr>
          <w:rFonts w:hint="eastAsia" w:ascii="仿宋" w:hAnsi="仿宋" w:eastAsia="仿宋" w:cs="仿宋"/>
          <w:sz w:val="24"/>
          <w:szCs w:val="32"/>
          <w:highlight w:val="none"/>
        </w:rPr>
        <w:t>的</w:t>
      </w:r>
      <w:r>
        <w:rPr>
          <w:rFonts w:hint="eastAsia" w:ascii="仿宋" w:hAnsi="仿宋" w:eastAsia="仿宋" w:cs="仿宋"/>
          <w:sz w:val="24"/>
          <w:szCs w:val="32"/>
          <w:highlight w:val="none"/>
          <w:lang w:val="en-US" w:eastAsia="zh-CN"/>
        </w:rPr>
        <w:t>相关</w:t>
      </w:r>
      <w:r>
        <w:rPr>
          <w:rFonts w:hint="eastAsia" w:ascii="仿宋" w:hAnsi="仿宋" w:eastAsia="仿宋" w:cs="仿宋"/>
          <w:sz w:val="24"/>
          <w:szCs w:val="32"/>
          <w:highlight w:val="none"/>
        </w:rPr>
        <w:t>费用；</w:t>
      </w:r>
    </w:p>
    <w:p w14:paraId="7164DACD">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3.2招标文件中特别要求的</w:t>
      </w:r>
      <w:r>
        <w:rPr>
          <w:rFonts w:hint="eastAsia" w:ascii="仿宋" w:hAnsi="仿宋" w:eastAsia="仿宋" w:cs="仿宋"/>
          <w:sz w:val="24"/>
          <w:szCs w:val="32"/>
          <w:highlight w:val="none"/>
          <w:lang w:val="en-US" w:eastAsia="zh-CN"/>
        </w:rPr>
        <w:t>服务</w:t>
      </w:r>
      <w:r>
        <w:rPr>
          <w:rFonts w:hint="eastAsia" w:ascii="仿宋" w:hAnsi="仿宋" w:eastAsia="仿宋" w:cs="仿宋"/>
          <w:sz w:val="24"/>
          <w:szCs w:val="32"/>
          <w:highlight w:val="none"/>
        </w:rPr>
        <w:t>、验收、税费和相关售后服务等费用</w:t>
      </w:r>
      <w:r>
        <w:rPr>
          <w:rFonts w:hint="eastAsia" w:ascii="仿宋" w:hAnsi="仿宋" w:eastAsia="仿宋" w:cs="仿宋"/>
          <w:sz w:val="24"/>
          <w:szCs w:val="32"/>
          <w:highlight w:val="none"/>
          <w:lang w:eastAsia="zh-CN"/>
        </w:rPr>
        <w:t>及其他</w:t>
      </w:r>
      <w:r>
        <w:rPr>
          <w:rFonts w:hint="eastAsia" w:ascii="仿宋" w:hAnsi="仿宋" w:eastAsia="仿宋" w:cs="仿宋"/>
          <w:sz w:val="24"/>
          <w:szCs w:val="32"/>
          <w:highlight w:val="none"/>
        </w:rPr>
        <w:t>附带服务的全部费用；</w:t>
      </w:r>
    </w:p>
    <w:p w14:paraId="1C193BBF">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3.3国内供货人提供在中华人民共和国</w:t>
      </w:r>
      <w:r>
        <w:rPr>
          <w:rFonts w:hint="eastAsia" w:ascii="仿宋" w:hAnsi="仿宋" w:eastAsia="仿宋" w:cs="仿宋"/>
          <w:sz w:val="24"/>
          <w:szCs w:val="32"/>
          <w:highlight w:val="none"/>
          <w:lang w:val="en-US" w:eastAsia="zh-CN"/>
        </w:rPr>
        <w:t>服务</w:t>
      </w:r>
      <w:r>
        <w:rPr>
          <w:rFonts w:hint="eastAsia" w:ascii="仿宋" w:hAnsi="仿宋" w:eastAsia="仿宋" w:cs="仿宋"/>
          <w:sz w:val="24"/>
          <w:szCs w:val="32"/>
          <w:highlight w:val="none"/>
        </w:rPr>
        <w:t>的，其</w:t>
      </w:r>
      <w:r>
        <w:rPr>
          <w:rFonts w:hint="eastAsia" w:ascii="仿宋" w:hAnsi="仿宋" w:eastAsia="仿宋" w:cs="仿宋"/>
          <w:sz w:val="24"/>
          <w:szCs w:val="32"/>
          <w:highlight w:val="none"/>
          <w:lang w:val="en-US" w:eastAsia="zh-CN"/>
        </w:rPr>
        <w:t>服务</w:t>
      </w:r>
      <w:r>
        <w:rPr>
          <w:rFonts w:hint="eastAsia" w:ascii="仿宋" w:hAnsi="仿宋" w:eastAsia="仿宋" w:cs="仿宋"/>
          <w:sz w:val="24"/>
          <w:szCs w:val="32"/>
          <w:highlight w:val="none"/>
        </w:rPr>
        <w:t>的交货价，包括</w:t>
      </w:r>
      <w:r>
        <w:rPr>
          <w:rFonts w:hint="eastAsia" w:ascii="仿宋" w:hAnsi="仿宋" w:eastAsia="仿宋" w:cs="仿宋"/>
          <w:sz w:val="24"/>
          <w:szCs w:val="32"/>
          <w:highlight w:val="none"/>
          <w:lang w:val="en-US" w:eastAsia="zh-CN"/>
        </w:rPr>
        <w:t>本身服务</w:t>
      </w:r>
      <w:r>
        <w:rPr>
          <w:rFonts w:hint="eastAsia" w:ascii="仿宋" w:hAnsi="仿宋" w:eastAsia="仿宋" w:cs="仿宋"/>
          <w:sz w:val="24"/>
          <w:szCs w:val="32"/>
          <w:highlight w:val="none"/>
        </w:rPr>
        <w:t>、销售税和其他税（其关税和其他税不分别填写，计入货价内即可）。</w:t>
      </w:r>
    </w:p>
    <w:p w14:paraId="21884A7C">
      <w:pPr>
        <w:spacing w:line="300" w:lineRule="auto"/>
        <w:ind w:left="239" w:leftChars="114"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▲4 算术性修正。算术性修正是指对招标响应文件的报价明细进行校核，并对其算术上和运算上的差错给予修正。修正的原则如下：</w:t>
      </w:r>
    </w:p>
    <w:p w14:paraId="648A051D">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4.1 当以数字表示的金额与文字表示的金额有差异时，以文字表示的金额为准；</w:t>
      </w:r>
    </w:p>
    <w:p w14:paraId="412D67D9">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4.2 当单价与数量相乘不等于合价时，以单价计算为准。如果单价有明显的小数点位置差错，应以标出的合价为准，同时对单价予以修正；</w:t>
      </w:r>
    </w:p>
    <w:p w14:paraId="49E7F81B">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4.3 当各明细部分的价格累计不等于合价时，应以各明细的累计计数为准，修正合价。</w:t>
      </w:r>
    </w:p>
    <w:p w14:paraId="52A8F750">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4.4 按以上原则对</w:t>
      </w:r>
      <w:r>
        <w:rPr>
          <w:rFonts w:hint="eastAsia" w:ascii="仿宋" w:hAnsi="仿宋" w:eastAsia="仿宋" w:cs="仿宋"/>
          <w:sz w:val="24"/>
          <w:szCs w:val="32"/>
          <w:highlight w:val="none"/>
          <w:lang w:eastAsia="zh-CN"/>
        </w:rPr>
        <w:t>技术</w:t>
      </w:r>
      <w:r>
        <w:rPr>
          <w:rFonts w:hint="eastAsia" w:ascii="仿宋" w:hAnsi="仿宋" w:eastAsia="仿宋" w:cs="仿宋"/>
          <w:sz w:val="24"/>
          <w:szCs w:val="32"/>
          <w:highlight w:val="none"/>
        </w:rPr>
        <w:t>性差错修正，应取得供应商的同意，并确认修正后最终招标报价。如果供应商拒绝确认，则其招标响应文件将不予以评审并按废标处理，没收其投标担保。</w:t>
      </w:r>
    </w:p>
    <w:p w14:paraId="41603D9B">
      <w:pPr>
        <w:spacing w:line="300" w:lineRule="auto"/>
        <w:ind w:left="239" w:leftChars="114"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w:t>
      </w:r>
      <w:r>
        <w:rPr>
          <w:rFonts w:hint="eastAsia" w:ascii="仿宋" w:hAnsi="仿宋" w:eastAsia="仿宋" w:cs="仿宋"/>
          <w:sz w:val="24"/>
          <w:szCs w:val="32"/>
          <w:highlight w:val="none"/>
          <w:lang w:val="en-US" w:eastAsia="zh-CN"/>
        </w:rPr>
        <w:t xml:space="preserve">5 </w:t>
      </w:r>
      <w:r>
        <w:rPr>
          <w:rFonts w:hint="eastAsia" w:ascii="仿宋" w:hAnsi="仿宋" w:eastAsia="仿宋" w:cs="仿宋"/>
          <w:sz w:val="24"/>
          <w:szCs w:val="32"/>
          <w:highlight w:val="none"/>
        </w:rPr>
        <w:t>投标文件只允许有一个报价，有选择的或有条件的报价将不予接受。</w:t>
      </w:r>
    </w:p>
    <w:p w14:paraId="48243899">
      <w:pPr>
        <w:spacing w:line="300" w:lineRule="auto"/>
        <w:ind w:left="239" w:leftChars="114"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w:t>
      </w:r>
      <w:r>
        <w:rPr>
          <w:rFonts w:hint="eastAsia" w:ascii="仿宋" w:hAnsi="仿宋" w:eastAsia="仿宋" w:cs="仿宋"/>
          <w:sz w:val="24"/>
          <w:szCs w:val="32"/>
          <w:highlight w:val="none"/>
          <w:lang w:val="en-US" w:eastAsia="zh-CN"/>
        </w:rPr>
        <w:t xml:space="preserve">6 </w:t>
      </w:r>
      <w:r>
        <w:rPr>
          <w:rFonts w:hint="eastAsia" w:ascii="仿宋" w:hAnsi="仿宋" w:eastAsia="仿宋" w:cs="仿宋"/>
          <w:sz w:val="24"/>
          <w:szCs w:val="32"/>
          <w:highlight w:val="none"/>
        </w:rPr>
        <w:t>招标代理服务费由中标单位支付，投标单位在报价时请考虑。</w:t>
      </w:r>
    </w:p>
    <w:p w14:paraId="60C417F1">
      <w:pPr>
        <w:spacing w:line="300" w:lineRule="auto"/>
        <w:rPr>
          <w:rFonts w:hint="eastAsia" w:ascii="仿宋" w:hAnsi="仿宋" w:eastAsia="仿宋" w:cs="仿宋"/>
          <w:b/>
          <w:bCs/>
          <w:sz w:val="24"/>
          <w:szCs w:val="32"/>
          <w:highlight w:val="none"/>
        </w:rPr>
      </w:pPr>
      <w:bookmarkStart w:id="110" w:name="_Toc21800"/>
      <w:bookmarkStart w:id="111" w:name="_Toc21211"/>
      <w:bookmarkStart w:id="112" w:name="_Toc521014782"/>
      <w:bookmarkStart w:id="113" w:name="_Toc503212214"/>
      <w:r>
        <w:rPr>
          <w:rFonts w:hint="eastAsia" w:ascii="仿宋" w:hAnsi="仿宋" w:eastAsia="仿宋" w:cs="仿宋"/>
          <w:b/>
          <w:bCs/>
          <w:sz w:val="24"/>
          <w:szCs w:val="32"/>
          <w:highlight w:val="none"/>
        </w:rPr>
        <w:t>投标文件的有效期</w:t>
      </w:r>
      <w:bookmarkEnd w:id="110"/>
      <w:bookmarkEnd w:id="111"/>
      <w:bookmarkEnd w:id="112"/>
      <w:bookmarkEnd w:id="113"/>
    </w:p>
    <w:p w14:paraId="12EA19A7">
      <w:pPr>
        <w:spacing w:line="300" w:lineRule="auto"/>
        <w:ind w:left="239" w:leftChars="114"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▲1.自投标截止日起</w:t>
      </w:r>
      <w:r>
        <w:rPr>
          <w:rFonts w:hint="eastAsia" w:ascii="仿宋" w:hAnsi="仿宋" w:eastAsia="仿宋" w:cs="仿宋"/>
          <w:sz w:val="24"/>
          <w:szCs w:val="32"/>
          <w:highlight w:val="none"/>
          <w:u w:val="single"/>
          <w:lang w:val="en-US" w:eastAsia="zh-CN"/>
        </w:rPr>
        <w:t xml:space="preserve"> </w:t>
      </w:r>
      <w:r>
        <w:rPr>
          <w:rFonts w:hint="eastAsia" w:ascii="仿宋" w:hAnsi="仿宋" w:eastAsia="仿宋" w:cs="仿宋"/>
          <w:sz w:val="24"/>
          <w:szCs w:val="32"/>
          <w:highlight w:val="none"/>
          <w:u w:val="single"/>
        </w:rPr>
        <w:t>90</w:t>
      </w:r>
      <w:r>
        <w:rPr>
          <w:rFonts w:hint="eastAsia" w:ascii="仿宋" w:hAnsi="仿宋" w:eastAsia="仿宋" w:cs="仿宋"/>
          <w:sz w:val="24"/>
          <w:szCs w:val="32"/>
          <w:highlight w:val="none"/>
          <w:u w:val="single"/>
          <w:lang w:val="en-US" w:eastAsia="zh-CN"/>
        </w:rPr>
        <w:t xml:space="preserve"> </w:t>
      </w:r>
      <w:r>
        <w:rPr>
          <w:rFonts w:hint="eastAsia" w:ascii="仿宋" w:hAnsi="仿宋" w:eastAsia="仿宋" w:cs="仿宋"/>
          <w:sz w:val="24"/>
          <w:szCs w:val="32"/>
          <w:highlight w:val="none"/>
        </w:rPr>
        <w:t>天投标文件应保持有效。有效期不足的投标文件将被拒绝。</w:t>
      </w:r>
    </w:p>
    <w:p w14:paraId="1C2CFE0E">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 xml:space="preserve"> </w:t>
      </w:r>
      <w:r>
        <w:rPr>
          <w:rFonts w:hint="eastAsia" w:ascii="仿宋" w:hAnsi="仿宋" w:eastAsia="仿宋" w:cs="仿宋"/>
          <w:sz w:val="24"/>
          <w:szCs w:val="32"/>
          <w:highlight w:val="none"/>
          <w:lang w:val="en-US" w:eastAsia="zh-CN"/>
        </w:rPr>
        <w:t xml:space="preserve">   </w:t>
      </w:r>
      <w:r>
        <w:rPr>
          <w:rFonts w:hint="eastAsia" w:ascii="仿宋" w:hAnsi="仿宋" w:eastAsia="仿宋" w:cs="仿宋"/>
          <w:sz w:val="24"/>
          <w:szCs w:val="32"/>
          <w:highlight w:val="none"/>
        </w:rPr>
        <w:t xml:space="preserve"> 2.在特殊情况下，招标人可与投标人协商延长投标书的有效期，这种要求和答复均以书面形式进行。</w:t>
      </w:r>
    </w:p>
    <w:p w14:paraId="6E365864">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 xml:space="preserve">  </w:t>
      </w:r>
      <w:r>
        <w:rPr>
          <w:rFonts w:hint="eastAsia" w:ascii="仿宋" w:hAnsi="仿宋" w:eastAsia="仿宋" w:cs="仿宋"/>
          <w:sz w:val="24"/>
          <w:szCs w:val="32"/>
          <w:highlight w:val="none"/>
          <w:lang w:val="en-US" w:eastAsia="zh-CN"/>
        </w:rPr>
        <w:t xml:space="preserve">  </w:t>
      </w:r>
      <w:r>
        <w:rPr>
          <w:rFonts w:hint="eastAsia" w:ascii="仿宋" w:hAnsi="仿宋" w:eastAsia="仿宋" w:cs="仿宋"/>
          <w:sz w:val="24"/>
          <w:szCs w:val="32"/>
          <w:highlight w:val="none"/>
        </w:rPr>
        <w:t xml:space="preserve">3.投标人可拒绝接受延期要求而不会导致投标保证金被没收。同意延长有效期的投标人需要相应延长投标保证金的有效期，但不能修改投标文件。 </w:t>
      </w:r>
    </w:p>
    <w:p w14:paraId="0E148D12">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rPr>
        <w:t xml:space="preserve">  </w:t>
      </w:r>
      <w:r>
        <w:rPr>
          <w:rFonts w:hint="eastAsia" w:ascii="仿宋" w:hAnsi="仿宋" w:eastAsia="仿宋" w:cs="仿宋"/>
          <w:sz w:val="24"/>
          <w:szCs w:val="32"/>
          <w:highlight w:val="none"/>
          <w:lang w:val="en-US" w:eastAsia="zh-CN"/>
        </w:rPr>
        <w:t xml:space="preserve">  </w:t>
      </w:r>
      <w:r>
        <w:rPr>
          <w:rFonts w:hint="eastAsia" w:ascii="仿宋" w:hAnsi="仿宋" w:eastAsia="仿宋" w:cs="仿宋"/>
          <w:sz w:val="24"/>
          <w:szCs w:val="32"/>
          <w:highlight w:val="none"/>
        </w:rPr>
        <w:t>4.中标人的投标文件自开标之日起至合同履行完毕止均应保持有效。</w:t>
      </w:r>
    </w:p>
    <w:p w14:paraId="52D750B6">
      <w:pPr>
        <w:spacing w:line="300" w:lineRule="auto"/>
        <w:rPr>
          <w:rFonts w:hint="eastAsia" w:ascii="仿宋" w:hAnsi="仿宋" w:eastAsia="仿宋" w:cs="仿宋"/>
          <w:b/>
          <w:bCs/>
          <w:sz w:val="24"/>
          <w:szCs w:val="32"/>
          <w:highlight w:val="none"/>
        </w:rPr>
      </w:pPr>
      <w:bookmarkStart w:id="114" w:name="_Toc503212215"/>
      <w:bookmarkStart w:id="115" w:name="_Toc521014783"/>
      <w:bookmarkStart w:id="116" w:name="_Toc16117"/>
      <w:bookmarkStart w:id="117" w:name="_Toc22838"/>
      <w:r>
        <w:rPr>
          <w:rFonts w:hint="eastAsia" w:ascii="仿宋" w:hAnsi="仿宋" w:eastAsia="仿宋" w:cs="仿宋"/>
          <w:b/>
          <w:bCs/>
          <w:sz w:val="24"/>
          <w:szCs w:val="32"/>
          <w:highlight w:val="none"/>
        </w:rPr>
        <w:t>投标保证金</w:t>
      </w:r>
      <w:bookmarkEnd w:id="114"/>
      <w:bookmarkEnd w:id="115"/>
      <w:bookmarkEnd w:id="116"/>
      <w:bookmarkEnd w:id="117"/>
    </w:p>
    <w:p w14:paraId="09EE0CC1">
      <w:pPr>
        <w:spacing w:line="300" w:lineRule="auto"/>
        <w:ind w:left="0" w:leftChars="0" w:firstLine="0" w:firstLineChars="0"/>
        <w:rPr>
          <w:rFonts w:hint="eastAsia" w:ascii="仿宋" w:hAnsi="仿宋" w:eastAsia="仿宋" w:cs="仿宋"/>
          <w:sz w:val="24"/>
          <w:szCs w:val="32"/>
          <w:highlight w:val="none"/>
        </w:rPr>
      </w:pPr>
      <w:r>
        <w:rPr>
          <w:rFonts w:hint="eastAsia" w:ascii="仿宋" w:hAnsi="仿宋" w:eastAsia="仿宋" w:cs="仿宋"/>
          <w:sz w:val="24"/>
          <w:szCs w:val="32"/>
          <w:highlight w:val="none"/>
        </w:rPr>
        <w:t>▲1.投标人须按规定提交投标保证金</w:t>
      </w:r>
      <w:r>
        <w:rPr>
          <w:rFonts w:hint="eastAsia" w:ascii="仿宋" w:hAnsi="仿宋" w:eastAsia="仿宋" w:cs="仿宋"/>
          <w:sz w:val="24"/>
          <w:szCs w:val="32"/>
          <w:highlight w:val="none"/>
          <w:lang w:val="en-US" w:eastAsia="zh-CN"/>
        </w:rPr>
        <w:t>或电子保函</w:t>
      </w:r>
      <w:r>
        <w:rPr>
          <w:rFonts w:hint="eastAsia" w:ascii="仿宋" w:hAnsi="仿宋" w:eastAsia="仿宋" w:cs="仿宋"/>
          <w:sz w:val="24"/>
          <w:szCs w:val="32"/>
          <w:highlight w:val="none"/>
        </w:rPr>
        <w:t>。否则，其投标将被拒绝。</w:t>
      </w:r>
    </w:p>
    <w:p w14:paraId="56C520C9">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2.保证金形式：</w:t>
      </w:r>
      <w:r>
        <w:rPr>
          <w:rFonts w:hint="eastAsia" w:ascii="仿宋" w:hAnsi="仿宋" w:eastAsia="仿宋" w:cs="仿宋"/>
          <w:sz w:val="24"/>
          <w:szCs w:val="32"/>
          <w:highlight w:val="none"/>
          <w:lang w:val="en-US" w:eastAsia="zh-CN"/>
        </w:rPr>
        <w:t>转账、汇款</w:t>
      </w:r>
      <w:r>
        <w:rPr>
          <w:rFonts w:hint="eastAsia" w:ascii="仿宋" w:hAnsi="仿宋" w:eastAsia="仿宋" w:cs="仿宋"/>
          <w:sz w:val="24"/>
          <w:szCs w:val="32"/>
          <w:highlight w:val="none"/>
        </w:rPr>
        <w:t>（必须从基本账户转出）</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lang w:val="en-US" w:eastAsia="zh-CN"/>
        </w:rPr>
        <w:t>电子保函</w:t>
      </w:r>
      <w:r>
        <w:rPr>
          <w:rFonts w:hint="eastAsia" w:ascii="仿宋" w:hAnsi="仿宋" w:eastAsia="仿宋" w:cs="仿宋"/>
          <w:sz w:val="24"/>
          <w:szCs w:val="32"/>
          <w:highlight w:val="none"/>
        </w:rPr>
        <w:t xml:space="preserve">。 </w:t>
      </w:r>
    </w:p>
    <w:p w14:paraId="6E9BF03F">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3.未中标人的投标保证金在公示期截止后退还。</w:t>
      </w:r>
    </w:p>
    <w:p w14:paraId="41C1B57D">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4.中标人的投标保证金在中标通知书发出签订正式采购合同，</w:t>
      </w:r>
      <w:r>
        <w:rPr>
          <w:rFonts w:hint="eastAsia" w:ascii="仿宋" w:hAnsi="仿宋" w:eastAsia="仿宋" w:cs="仿宋"/>
          <w:sz w:val="24"/>
          <w:szCs w:val="32"/>
          <w:highlight w:val="none"/>
          <w:lang w:val="en-US" w:eastAsia="zh-CN"/>
        </w:rPr>
        <w:t>需提供一份合同原件及相关材料办理退还投标保证金事宜</w:t>
      </w:r>
      <w:r>
        <w:rPr>
          <w:rFonts w:hint="eastAsia" w:ascii="仿宋" w:hAnsi="仿宋" w:eastAsia="仿宋" w:cs="仿宋"/>
          <w:sz w:val="24"/>
          <w:szCs w:val="32"/>
          <w:highlight w:val="none"/>
        </w:rPr>
        <w:t>。</w:t>
      </w:r>
    </w:p>
    <w:p w14:paraId="7D079A14">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5.保证金不计息。</w:t>
      </w:r>
    </w:p>
    <w:p w14:paraId="3A52C7EE">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6.投标人有下列情形之一的，投标保证金将不予退还：</w:t>
      </w:r>
    </w:p>
    <w:p w14:paraId="7240767C">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（1）投标人在投标有效期内撤回投标文件的；</w:t>
      </w:r>
    </w:p>
    <w:p w14:paraId="4307E5A7">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（2）投标人在投标过程中弄虚作假，提供虚假材料的；</w:t>
      </w:r>
    </w:p>
    <w:p w14:paraId="2F3B02EC">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（3）中标人无正当理由不与招标人签订合同的；</w:t>
      </w:r>
    </w:p>
    <w:p w14:paraId="3064FE2D">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rPr>
        <w:t>（4）其他严重扰乱招投标程序的。</w:t>
      </w:r>
    </w:p>
    <w:p w14:paraId="5581E678">
      <w:pPr>
        <w:spacing w:line="300" w:lineRule="auto"/>
        <w:rPr>
          <w:rFonts w:hint="eastAsia" w:ascii="仿宋" w:hAnsi="仿宋" w:eastAsia="仿宋" w:cs="仿宋"/>
          <w:b/>
          <w:bCs/>
          <w:sz w:val="24"/>
          <w:szCs w:val="32"/>
          <w:highlight w:val="none"/>
        </w:rPr>
      </w:pPr>
      <w:bookmarkStart w:id="118" w:name="_Toc4584"/>
      <w:bookmarkStart w:id="119" w:name="_Toc25982"/>
      <w:bookmarkStart w:id="120" w:name="_Toc503212216"/>
      <w:bookmarkStart w:id="121" w:name="_Toc521014784"/>
      <w:r>
        <w:rPr>
          <w:rFonts w:hint="eastAsia" w:ascii="仿宋" w:hAnsi="仿宋" w:eastAsia="仿宋" w:cs="仿宋"/>
          <w:b/>
          <w:bCs/>
          <w:sz w:val="24"/>
          <w:szCs w:val="32"/>
          <w:highlight w:val="none"/>
        </w:rPr>
        <w:t>投标文件的签署和</w:t>
      </w:r>
      <w:bookmarkEnd w:id="118"/>
      <w:bookmarkEnd w:id="119"/>
      <w:bookmarkEnd w:id="120"/>
      <w:bookmarkEnd w:id="121"/>
      <w:r>
        <w:rPr>
          <w:rFonts w:hint="eastAsia" w:ascii="仿宋" w:hAnsi="仿宋" w:eastAsia="仿宋" w:cs="仿宋"/>
          <w:b/>
          <w:bCs/>
          <w:sz w:val="24"/>
          <w:szCs w:val="32"/>
          <w:highlight w:val="none"/>
          <w:lang w:eastAsia="zh-CN"/>
        </w:rPr>
        <w:t>递交</w:t>
      </w:r>
    </w:p>
    <w:p w14:paraId="7AB90980">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w:t>
      </w:r>
      <w:r>
        <w:rPr>
          <w:rFonts w:hint="eastAsia" w:ascii="仿宋" w:hAnsi="仿宋" w:eastAsia="仿宋" w:cs="仿宋"/>
          <w:sz w:val="24"/>
          <w:szCs w:val="32"/>
          <w:highlight w:val="none"/>
        </w:rPr>
        <w:t>投标人应按本招标文件规定的格式和顺序编制、装订投标文件并标注页码，投标文件内容不完整、编排混乱</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lang w:val="en-US" w:eastAsia="zh-CN"/>
        </w:rPr>
        <w:t>上传不完整</w:t>
      </w:r>
      <w:r>
        <w:rPr>
          <w:rFonts w:hint="eastAsia" w:ascii="仿宋" w:hAnsi="仿宋" w:eastAsia="仿宋" w:cs="仿宋"/>
          <w:sz w:val="24"/>
          <w:szCs w:val="32"/>
          <w:highlight w:val="none"/>
        </w:rPr>
        <w:t>导致投标文件被误读、漏读或者查找不到相关内容的，是投标人的责任。</w:t>
      </w:r>
    </w:p>
    <w:p w14:paraId="35196987">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2.</w:t>
      </w:r>
      <w:r>
        <w:rPr>
          <w:rFonts w:hint="eastAsia" w:ascii="仿宋" w:hAnsi="仿宋" w:eastAsia="仿宋" w:cs="仿宋"/>
          <w:sz w:val="24"/>
          <w:szCs w:val="32"/>
          <w:highlight w:val="none"/>
        </w:rPr>
        <w:t>投标人应于</w:t>
      </w:r>
      <w:r>
        <w:rPr>
          <w:rFonts w:hint="eastAsia" w:ascii="仿宋" w:hAnsi="仿宋" w:eastAsia="仿宋" w:cs="仿宋"/>
          <w:sz w:val="24"/>
          <w:szCs w:val="32"/>
          <w:highlight w:val="none"/>
          <w:lang w:val="en-US" w:eastAsia="zh-CN"/>
        </w:rPr>
        <w:t>2025年 07月24日</w:t>
      </w:r>
      <w:r>
        <w:rPr>
          <w:rFonts w:hint="eastAsia" w:ascii="仿宋" w:hAnsi="仿宋" w:eastAsia="仿宋" w:cs="仿宋"/>
          <w:sz w:val="24"/>
          <w:szCs w:val="32"/>
          <w:highlight w:val="none"/>
        </w:rPr>
        <w:t>1</w:t>
      </w:r>
      <w:r>
        <w:rPr>
          <w:rFonts w:hint="eastAsia" w:ascii="仿宋" w:hAnsi="仿宋" w:eastAsia="仿宋" w:cs="仿宋"/>
          <w:sz w:val="24"/>
          <w:szCs w:val="32"/>
          <w:highlight w:val="none"/>
          <w:lang w:val="en-US" w:eastAsia="zh-CN"/>
        </w:rPr>
        <w:t>1</w:t>
      </w:r>
      <w:r>
        <w:rPr>
          <w:rFonts w:hint="eastAsia" w:ascii="仿宋" w:hAnsi="仿宋" w:eastAsia="仿宋" w:cs="仿宋"/>
          <w:sz w:val="24"/>
          <w:szCs w:val="32"/>
          <w:highlight w:val="none"/>
        </w:rPr>
        <w:t>：00</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lang w:val="en-US" w:eastAsia="zh-CN"/>
        </w:rPr>
        <w:t>北京时间</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前将电子投标文件上传到“</w:t>
      </w:r>
      <w:r>
        <w:rPr>
          <w:rFonts w:hint="eastAsia" w:ascii="仿宋" w:hAnsi="仿宋" w:eastAsia="仿宋" w:cs="仿宋"/>
          <w:sz w:val="24"/>
          <w:szCs w:val="32"/>
          <w:highlight w:val="none"/>
          <w:lang w:eastAsia="zh-CN"/>
        </w:rPr>
        <w:t>新疆政府采购</w:t>
      </w:r>
      <w:r>
        <w:rPr>
          <w:rFonts w:hint="eastAsia" w:ascii="仿宋" w:hAnsi="仿宋" w:eastAsia="仿宋" w:cs="仿宋"/>
          <w:sz w:val="24"/>
          <w:szCs w:val="32"/>
          <w:highlight w:val="none"/>
        </w:rPr>
        <w:t>”</w:t>
      </w:r>
      <w:r>
        <w:rPr>
          <w:rFonts w:hint="eastAsia" w:ascii="仿宋" w:hAnsi="仿宋" w:eastAsia="仿宋" w:cs="仿宋"/>
          <w:sz w:val="24"/>
          <w:szCs w:val="32"/>
          <w:highlight w:val="none"/>
          <w:lang w:val="en-US" w:eastAsia="zh-CN"/>
        </w:rPr>
        <w:t>云</w:t>
      </w:r>
      <w:r>
        <w:rPr>
          <w:rFonts w:hint="eastAsia" w:ascii="仿宋" w:hAnsi="仿宋" w:eastAsia="仿宋" w:cs="仿宋"/>
          <w:sz w:val="24"/>
          <w:szCs w:val="32"/>
          <w:highlight w:val="none"/>
        </w:rPr>
        <w:t>平台。应按照本项目招标文件和</w:t>
      </w:r>
      <w:r>
        <w:rPr>
          <w:rFonts w:hint="eastAsia" w:ascii="仿宋" w:hAnsi="仿宋" w:eastAsia="仿宋" w:cs="仿宋"/>
          <w:sz w:val="24"/>
          <w:szCs w:val="32"/>
          <w:highlight w:val="none"/>
          <w:lang w:eastAsia="zh-CN"/>
        </w:rPr>
        <w:t>新疆政府采购</w:t>
      </w:r>
      <w:r>
        <w:rPr>
          <w:rFonts w:hint="eastAsia" w:ascii="仿宋" w:hAnsi="仿宋" w:eastAsia="仿宋" w:cs="仿宋"/>
          <w:sz w:val="24"/>
          <w:szCs w:val="32"/>
          <w:highlight w:val="none"/>
          <w:lang w:val="en-US" w:eastAsia="zh-CN"/>
        </w:rPr>
        <w:t>云</w:t>
      </w:r>
      <w:r>
        <w:rPr>
          <w:rFonts w:hint="eastAsia" w:ascii="仿宋" w:hAnsi="仿宋" w:eastAsia="仿宋" w:cs="仿宋"/>
          <w:sz w:val="24"/>
          <w:szCs w:val="32"/>
          <w:highlight w:val="none"/>
        </w:rPr>
        <w:t>平台的要求编制、加密传输投标文件。供应商在使用系统进行投标的过程中遇到涉及平台使用的任何问题，可致电</w:t>
      </w:r>
      <w:r>
        <w:rPr>
          <w:rFonts w:hint="eastAsia" w:ascii="仿宋" w:hAnsi="仿宋" w:eastAsia="仿宋" w:cs="仿宋"/>
          <w:sz w:val="24"/>
          <w:szCs w:val="32"/>
          <w:highlight w:val="none"/>
          <w:lang w:eastAsia="zh-CN"/>
        </w:rPr>
        <w:t>新疆政府采购</w:t>
      </w:r>
      <w:r>
        <w:rPr>
          <w:rFonts w:hint="eastAsia" w:ascii="仿宋" w:hAnsi="仿宋" w:eastAsia="仿宋" w:cs="仿宋"/>
          <w:sz w:val="24"/>
          <w:szCs w:val="32"/>
          <w:highlight w:val="none"/>
        </w:rPr>
        <w:t>平台技术支持热线咨询，联系方式：</w:t>
      </w:r>
      <w:r>
        <w:rPr>
          <w:rFonts w:hint="eastAsia" w:ascii="仿宋" w:hAnsi="仿宋" w:eastAsia="仿宋" w:cs="仿宋"/>
          <w:sz w:val="24"/>
          <w:szCs w:val="32"/>
          <w:highlight w:val="none"/>
          <w:lang w:val="en-US" w:eastAsia="zh-CN"/>
        </w:rPr>
        <w:t>95763</w:t>
      </w:r>
      <w:r>
        <w:rPr>
          <w:rFonts w:hint="eastAsia" w:ascii="仿宋" w:hAnsi="仿宋" w:eastAsia="仿宋" w:cs="仿宋"/>
          <w:sz w:val="24"/>
          <w:szCs w:val="32"/>
          <w:highlight w:val="none"/>
        </w:rPr>
        <w:t>。</w:t>
      </w:r>
    </w:p>
    <w:p w14:paraId="3AD69BCA">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3</w:t>
      </w:r>
      <w:r>
        <w:rPr>
          <w:rFonts w:hint="eastAsia" w:ascii="仿宋" w:hAnsi="仿宋" w:eastAsia="仿宋" w:cs="仿宋"/>
          <w:sz w:val="24"/>
          <w:szCs w:val="32"/>
          <w:highlight w:val="none"/>
        </w:rPr>
        <w:t>.投标文件须由投标人在规定位置盖章并由法定代表人或法定代表人的授权委托人签署，投标人应写全称。</w:t>
      </w:r>
    </w:p>
    <w:p w14:paraId="6D3CF5CF">
      <w:pPr>
        <w:spacing w:line="300" w:lineRule="auto"/>
        <w:ind w:left="210" w:leftChars="100" w:firstLine="120" w:firstLineChars="50"/>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4</w:t>
      </w:r>
      <w:r>
        <w:rPr>
          <w:rFonts w:hint="eastAsia" w:ascii="仿宋" w:hAnsi="仿宋" w:eastAsia="仿宋" w:cs="仿宋"/>
          <w:sz w:val="24"/>
          <w:szCs w:val="32"/>
          <w:highlight w:val="none"/>
        </w:rPr>
        <w:t>.投标文件</w:t>
      </w:r>
      <w:r>
        <w:rPr>
          <w:rFonts w:hint="eastAsia" w:ascii="仿宋" w:hAnsi="仿宋" w:eastAsia="仿宋" w:cs="仿宋"/>
          <w:sz w:val="24"/>
          <w:szCs w:val="32"/>
          <w:highlight w:val="none"/>
          <w:lang w:val="en-US" w:eastAsia="zh-CN"/>
        </w:rPr>
        <w:t>应严格响应招标文件要求，有表述</w:t>
      </w:r>
      <w:r>
        <w:rPr>
          <w:rFonts w:hint="eastAsia" w:ascii="仿宋" w:hAnsi="仿宋" w:eastAsia="仿宋" w:cs="仿宋"/>
          <w:sz w:val="24"/>
          <w:szCs w:val="32"/>
          <w:highlight w:val="none"/>
        </w:rPr>
        <w:t>不清所引起的后果由投标人负责。</w:t>
      </w:r>
      <w:bookmarkStart w:id="122" w:name="_Toc9280"/>
      <w:bookmarkStart w:id="123" w:name="_Toc28926"/>
    </w:p>
    <w:p w14:paraId="736EF4D6">
      <w:pPr>
        <w:spacing w:line="300" w:lineRule="auto"/>
        <w:ind w:left="210" w:leftChars="100" w:firstLine="120" w:firstLineChars="50"/>
        <w:rPr>
          <w:rFonts w:hint="eastAsia" w:ascii="仿宋" w:hAnsi="仿宋" w:eastAsia="仿宋" w:cs="仿宋"/>
          <w:b/>
          <w:bCs/>
          <w:sz w:val="24"/>
          <w:szCs w:val="32"/>
          <w:highlight w:val="none"/>
        </w:rPr>
      </w:pPr>
      <w:r>
        <w:rPr>
          <w:rFonts w:hint="eastAsia" w:ascii="仿宋" w:hAnsi="仿宋" w:eastAsia="仿宋" w:cs="仿宋"/>
          <w:b/>
          <w:bCs/>
          <w:sz w:val="24"/>
          <w:szCs w:val="32"/>
          <w:highlight w:val="none"/>
          <w:lang w:val="en-US" w:eastAsia="zh-CN"/>
        </w:rPr>
        <w:t>5</w:t>
      </w:r>
      <w:r>
        <w:rPr>
          <w:rFonts w:hint="eastAsia" w:ascii="仿宋" w:hAnsi="仿宋" w:eastAsia="仿宋" w:cs="仿宋"/>
          <w:b/>
          <w:bCs/>
          <w:sz w:val="24"/>
          <w:szCs w:val="32"/>
          <w:highlight w:val="none"/>
        </w:rPr>
        <w:t xml:space="preserve">、本项目实行网上投标，采用电子投标文件。若供应商参与投标，自行承担投标一切费用。 </w:t>
      </w:r>
    </w:p>
    <w:p w14:paraId="20179DC0">
      <w:pPr>
        <w:spacing w:line="300" w:lineRule="auto"/>
        <w:ind w:left="210" w:leftChars="100" w:firstLine="120" w:firstLineChars="50"/>
        <w:rPr>
          <w:rFonts w:hint="eastAsia" w:ascii="仿宋" w:hAnsi="仿宋" w:eastAsia="仿宋" w:cs="仿宋"/>
          <w:b/>
          <w:bCs/>
          <w:sz w:val="24"/>
          <w:szCs w:val="32"/>
          <w:highlight w:val="none"/>
        </w:rPr>
      </w:pPr>
      <w:r>
        <w:rPr>
          <w:rFonts w:hint="eastAsia" w:ascii="仿宋" w:hAnsi="仿宋" w:eastAsia="仿宋" w:cs="仿宋"/>
          <w:b/>
          <w:bCs/>
          <w:sz w:val="24"/>
          <w:szCs w:val="32"/>
          <w:highlight w:val="none"/>
          <w:lang w:val="en-US" w:eastAsia="zh-CN"/>
        </w:rPr>
        <w:t>6</w:t>
      </w:r>
      <w:r>
        <w:rPr>
          <w:rFonts w:hint="eastAsia" w:ascii="仿宋" w:hAnsi="仿宋" w:eastAsia="仿宋" w:cs="仿宋"/>
          <w:b/>
          <w:bCs/>
          <w:sz w:val="24"/>
          <w:szCs w:val="32"/>
          <w:highlight w:val="none"/>
        </w:rPr>
        <w:t xml:space="preserve">、各供应商应在开标前应确保成为正式注册入库供应商，并完成CA数字证书申领。因未注册入库、未办理CA数字证书等原因造成无法投标或投标失败等后果由供应商自行承担。 </w:t>
      </w:r>
    </w:p>
    <w:p w14:paraId="0A252BF7">
      <w:pPr>
        <w:spacing w:line="300" w:lineRule="auto"/>
        <w:ind w:left="210" w:leftChars="100" w:firstLine="120" w:firstLineChars="50"/>
        <w:rPr>
          <w:rFonts w:hint="eastAsia" w:ascii="仿宋" w:hAnsi="仿宋" w:eastAsia="仿宋" w:cs="仿宋"/>
          <w:b/>
          <w:bCs/>
          <w:sz w:val="24"/>
          <w:szCs w:val="32"/>
          <w:highlight w:val="none"/>
        </w:rPr>
      </w:pPr>
      <w:r>
        <w:rPr>
          <w:rFonts w:hint="eastAsia" w:ascii="仿宋" w:hAnsi="仿宋" w:eastAsia="仿宋" w:cs="仿宋"/>
          <w:b/>
          <w:bCs/>
          <w:sz w:val="24"/>
          <w:szCs w:val="32"/>
          <w:highlight w:val="none"/>
          <w:lang w:val="en-US" w:eastAsia="zh-CN"/>
        </w:rPr>
        <w:t>7</w:t>
      </w:r>
      <w:r>
        <w:rPr>
          <w:rFonts w:hint="eastAsia" w:ascii="仿宋" w:hAnsi="仿宋" w:eastAsia="仿宋" w:cs="仿宋"/>
          <w:b/>
          <w:bCs/>
          <w:sz w:val="24"/>
          <w:szCs w:val="32"/>
          <w:highlight w:val="none"/>
        </w:rPr>
        <w:t>、本项目为电子招投标，投标人需要使用CA加密设备，有意向参与新疆区域电子开评标的供应商，请访问新疆数字证书认证中心官方网站（https://www.xjca.com.cn/）或下载</w:t>
      </w:r>
      <w:r>
        <w:rPr>
          <w:rFonts w:hint="eastAsia" w:ascii="仿宋" w:hAnsi="仿宋" w:eastAsia="仿宋" w:cs="仿宋"/>
          <w:b/>
          <w:bCs/>
          <w:sz w:val="24"/>
          <w:szCs w:val="32"/>
          <w:highlight w:val="none"/>
          <w:lang w:eastAsia="zh-CN"/>
        </w:rPr>
        <w:t>；</w:t>
      </w:r>
      <w:r>
        <w:rPr>
          <w:rFonts w:hint="eastAsia" w:ascii="仿宋" w:hAnsi="仿宋" w:eastAsia="仿宋" w:cs="仿宋"/>
          <w:b/>
          <w:bCs/>
          <w:sz w:val="24"/>
          <w:szCs w:val="32"/>
          <w:highlight w:val="none"/>
        </w:rPr>
        <w:t>“新疆政务通”APP自行进行申领。如需咨询，请联系新疆CA服务热线0991-2819290</w:t>
      </w:r>
    </w:p>
    <w:p w14:paraId="63B3DA33">
      <w:pPr>
        <w:spacing w:line="300" w:lineRule="auto"/>
        <w:ind w:left="210" w:leftChars="100" w:firstLine="120" w:firstLineChars="50"/>
        <w:rPr>
          <w:rFonts w:hint="eastAsia" w:ascii="仿宋" w:hAnsi="仿宋" w:eastAsia="仿宋" w:cs="仿宋"/>
          <w:b/>
          <w:bCs/>
          <w:sz w:val="24"/>
          <w:szCs w:val="32"/>
          <w:highlight w:val="none"/>
        </w:rPr>
      </w:pPr>
      <w:r>
        <w:rPr>
          <w:rFonts w:hint="eastAsia" w:ascii="仿宋" w:hAnsi="仿宋" w:eastAsia="仿宋" w:cs="仿宋"/>
          <w:b/>
          <w:bCs/>
          <w:sz w:val="24"/>
          <w:szCs w:val="32"/>
          <w:highlight w:val="none"/>
          <w:lang w:val="en-US" w:eastAsia="zh-CN"/>
        </w:rPr>
        <w:t>8</w:t>
      </w:r>
      <w:r>
        <w:rPr>
          <w:rFonts w:hint="eastAsia" w:ascii="仿宋" w:hAnsi="仿宋" w:eastAsia="仿宋" w:cs="仿宋"/>
          <w:b/>
          <w:bCs/>
          <w:sz w:val="24"/>
          <w:szCs w:val="32"/>
          <w:highlight w:val="none"/>
        </w:rPr>
        <w:t>、供应商将政采云电子交易客户端下载、安装完成后，可通过账号密码或CA登录客户端进行投标文件制作。在使用政采云投标客户端时，建议使用WIN7及以上操作系统。客户端请至新疆政府采购网（</w:t>
      </w:r>
      <w:r>
        <w:rPr>
          <w:rFonts w:hint="eastAsia" w:ascii="仿宋" w:hAnsi="仿宋" w:eastAsia="仿宋" w:cs="仿宋"/>
          <w:b/>
          <w:bCs/>
          <w:sz w:val="24"/>
          <w:szCs w:val="32"/>
          <w:highlight w:val="none"/>
          <w:lang w:eastAsia="zh-CN"/>
        </w:rPr>
        <w:t>http://www.ccgp-xinjiang.gov.cn/</w:t>
      </w:r>
      <w:r>
        <w:rPr>
          <w:rFonts w:hint="eastAsia" w:ascii="仿宋" w:hAnsi="仿宋" w:eastAsia="仿宋" w:cs="仿宋"/>
          <w:b/>
          <w:bCs/>
          <w:sz w:val="24"/>
          <w:szCs w:val="32"/>
          <w:highlight w:val="none"/>
        </w:rPr>
        <w:t>/）下载专区查看，如有问题可拨打政采云客户服务热线</w:t>
      </w:r>
      <w:r>
        <w:rPr>
          <w:rFonts w:hint="eastAsia" w:ascii="仿宋" w:hAnsi="仿宋" w:eastAsia="仿宋" w:cs="仿宋"/>
          <w:b/>
          <w:bCs/>
          <w:sz w:val="24"/>
          <w:szCs w:val="32"/>
          <w:highlight w:val="none"/>
          <w:lang w:eastAsia="zh-CN"/>
        </w:rPr>
        <w:t>95763</w:t>
      </w:r>
      <w:r>
        <w:rPr>
          <w:rFonts w:hint="eastAsia" w:ascii="仿宋" w:hAnsi="仿宋" w:eastAsia="仿宋" w:cs="仿宋"/>
          <w:b/>
          <w:bCs/>
          <w:sz w:val="24"/>
          <w:szCs w:val="32"/>
          <w:highlight w:val="none"/>
        </w:rPr>
        <w:t>进行咨询。</w:t>
      </w:r>
    </w:p>
    <w:p w14:paraId="3F34B28C">
      <w:pPr>
        <w:spacing w:line="300" w:lineRule="auto"/>
        <w:ind w:left="210" w:leftChars="100" w:firstLine="120" w:firstLineChars="50"/>
        <w:rPr>
          <w:rFonts w:hint="eastAsia" w:ascii="仿宋" w:hAnsi="仿宋" w:eastAsia="仿宋" w:cs="仿宋"/>
          <w:b/>
          <w:bCs/>
          <w:sz w:val="24"/>
          <w:szCs w:val="32"/>
          <w:highlight w:val="none"/>
        </w:rPr>
      </w:pPr>
      <w:r>
        <w:rPr>
          <w:rFonts w:hint="eastAsia" w:ascii="仿宋" w:hAnsi="仿宋" w:eastAsia="仿宋" w:cs="仿宋"/>
          <w:b/>
          <w:bCs/>
          <w:sz w:val="24"/>
          <w:szCs w:val="32"/>
          <w:highlight w:val="none"/>
          <w:lang w:val="en-US" w:eastAsia="zh-CN"/>
        </w:rPr>
        <w:t>9、</w:t>
      </w:r>
      <w:r>
        <w:rPr>
          <w:rFonts w:hint="eastAsia" w:ascii="仿宋" w:hAnsi="仿宋" w:eastAsia="仿宋" w:cs="仿宋"/>
          <w:b/>
          <w:bCs/>
          <w:sz w:val="24"/>
          <w:szCs w:val="32"/>
          <w:highlight w:val="none"/>
          <w:lang w:eastAsia="zh-CN"/>
        </w:rPr>
        <w:t>开标时间后</w:t>
      </w:r>
      <w:r>
        <w:rPr>
          <w:rFonts w:hint="eastAsia" w:ascii="仿宋" w:hAnsi="仿宋" w:eastAsia="仿宋" w:cs="仿宋"/>
          <w:b/>
          <w:bCs/>
          <w:sz w:val="24"/>
          <w:szCs w:val="32"/>
          <w:highlight w:val="none"/>
          <w:lang w:val="en-US" w:eastAsia="zh-CN"/>
        </w:rPr>
        <w:t>30</w:t>
      </w:r>
      <w:r>
        <w:rPr>
          <w:rFonts w:hint="eastAsia" w:ascii="仿宋" w:hAnsi="仿宋" w:eastAsia="仿宋" w:cs="仿宋"/>
          <w:b/>
          <w:bCs/>
          <w:sz w:val="24"/>
          <w:szCs w:val="32"/>
          <w:highlight w:val="none"/>
          <w:lang w:eastAsia="zh-CN"/>
        </w:rPr>
        <w:t>分钟内</w:t>
      </w:r>
      <w:r>
        <w:rPr>
          <w:rFonts w:hint="eastAsia" w:ascii="仿宋" w:hAnsi="仿宋" w:eastAsia="仿宋" w:cs="仿宋"/>
          <w:b/>
          <w:bCs/>
          <w:sz w:val="24"/>
          <w:szCs w:val="32"/>
          <w:highlight w:val="none"/>
        </w:rPr>
        <w:t>供应商可以登录“政采云”平台，用“项目采购</w:t>
      </w:r>
      <w:r>
        <w:rPr>
          <w:rFonts w:hint="eastAsia" w:ascii="仿宋" w:hAnsi="仿宋" w:eastAsia="仿宋" w:cs="仿宋"/>
          <w:b/>
          <w:bCs/>
          <w:sz w:val="24"/>
          <w:szCs w:val="32"/>
          <w:highlight w:val="none"/>
          <w:lang w:eastAsia="zh-CN"/>
        </w:rPr>
        <w:t>－</w:t>
      </w:r>
      <w:r>
        <w:rPr>
          <w:rFonts w:hint="eastAsia" w:ascii="仿宋" w:hAnsi="仿宋" w:eastAsia="仿宋" w:cs="仿宋"/>
          <w:b/>
          <w:bCs/>
          <w:sz w:val="24"/>
          <w:szCs w:val="32"/>
          <w:highlight w:val="none"/>
        </w:rPr>
        <w:t>开标评标”功能进行解密投标文件。若供应商在规定时间内未按时解密的，视为投标文件撤回。</w:t>
      </w:r>
    </w:p>
    <w:p w14:paraId="68B1F931">
      <w:pPr>
        <w:spacing w:line="300" w:lineRule="auto"/>
        <w:ind w:left="210" w:leftChars="100" w:firstLine="120" w:firstLineChars="50"/>
        <w:rPr>
          <w:rFonts w:hint="eastAsia" w:ascii="仿宋" w:hAnsi="仿宋" w:eastAsia="仿宋" w:cs="仿宋"/>
          <w:b/>
          <w:bCs/>
          <w:sz w:val="24"/>
          <w:szCs w:val="32"/>
          <w:highlight w:val="none"/>
        </w:rPr>
      </w:pPr>
      <w:r>
        <w:rPr>
          <w:rFonts w:hint="eastAsia" w:ascii="仿宋" w:hAnsi="仿宋" w:eastAsia="仿宋" w:cs="仿宋"/>
          <w:b/>
          <w:bCs/>
          <w:sz w:val="24"/>
          <w:szCs w:val="32"/>
          <w:highlight w:val="none"/>
          <w:lang w:val="en-US" w:eastAsia="zh-CN"/>
        </w:rPr>
        <w:t>10、</w:t>
      </w:r>
      <w:r>
        <w:rPr>
          <w:rFonts w:hint="eastAsia" w:ascii="仿宋" w:hAnsi="仿宋" w:eastAsia="仿宋" w:cs="仿宋"/>
          <w:b/>
          <w:bCs/>
          <w:sz w:val="24"/>
          <w:szCs w:val="32"/>
          <w:highlight w:val="none"/>
        </w:rPr>
        <w:t>因系统（非投标供应商行为）的原因，造成投标供应商未能在规定的解密时限内解密的，请及时与招标代理机构或与新疆政府采购网投标客户端进行联系。</w:t>
      </w:r>
    </w:p>
    <w:p w14:paraId="6ACA6367">
      <w:pPr>
        <w:spacing w:line="300" w:lineRule="auto"/>
        <w:ind w:left="210" w:leftChars="100" w:firstLine="120" w:firstLineChars="50"/>
        <w:rPr>
          <w:rFonts w:hint="eastAsia" w:ascii="仿宋" w:hAnsi="仿宋" w:eastAsia="仿宋" w:cs="仿宋"/>
          <w:b/>
          <w:bCs/>
          <w:sz w:val="24"/>
          <w:szCs w:val="32"/>
          <w:highlight w:val="none"/>
        </w:rPr>
      </w:pPr>
      <w:r>
        <w:rPr>
          <w:rFonts w:hint="eastAsia" w:ascii="仿宋" w:hAnsi="仿宋" w:eastAsia="仿宋" w:cs="仿宋"/>
          <w:b/>
          <w:bCs/>
          <w:sz w:val="24"/>
          <w:szCs w:val="32"/>
          <w:highlight w:val="none"/>
          <w:lang w:val="en-US" w:eastAsia="zh-CN"/>
        </w:rPr>
        <w:t>11、</w:t>
      </w:r>
      <w:r>
        <w:rPr>
          <w:rFonts w:hint="eastAsia" w:ascii="仿宋" w:hAnsi="仿宋" w:eastAsia="仿宋" w:cs="仿宋"/>
          <w:b/>
          <w:bCs/>
          <w:sz w:val="24"/>
          <w:szCs w:val="32"/>
          <w:highlight w:val="none"/>
        </w:rPr>
        <w:t>投标文件未按规定上传的，视为其自动放弃投标。</w:t>
      </w:r>
    </w:p>
    <w:bookmarkEnd w:id="122"/>
    <w:bookmarkEnd w:id="123"/>
    <w:p w14:paraId="6F718859">
      <w:pPr>
        <w:spacing w:line="300" w:lineRule="auto"/>
        <w:rPr>
          <w:rFonts w:hint="eastAsia" w:ascii="仿宋" w:hAnsi="仿宋" w:eastAsia="仿宋" w:cs="仿宋"/>
          <w:b/>
          <w:bCs/>
          <w:sz w:val="24"/>
          <w:szCs w:val="32"/>
          <w:highlight w:val="none"/>
        </w:rPr>
      </w:pPr>
      <w:bookmarkStart w:id="124" w:name="_Toc521014786"/>
      <w:bookmarkStart w:id="125" w:name="_Toc6355"/>
      <w:bookmarkStart w:id="126" w:name="_Toc503212218"/>
      <w:bookmarkStart w:id="127" w:name="_Toc4197"/>
      <w:r>
        <w:rPr>
          <w:rFonts w:hint="eastAsia" w:ascii="仿宋" w:hAnsi="仿宋" w:eastAsia="仿宋" w:cs="仿宋"/>
          <w:b/>
          <w:bCs/>
          <w:sz w:val="24"/>
          <w:szCs w:val="32"/>
          <w:highlight w:val="none"/>
        </w:rPr>
        <w:t>投标文件的修改、撤回与撤销</w:t>
      </w:r>
    </w:p>
    <w:p w14:paraId="50DABBB2">
      <w:pPr>
        <w:spacing w:line="36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1AE9BE88">
      <w:pPr>
        <w:spacing w:line="30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2投标人在投标截止期后不得修改、撤回投标文件。投标人在投标截止期后修改投标文件的，其投标无效。</w:t>
      </w:r>
    </w:p>
    <w:p w14:paraId="285515A6">
      <w:pPr>
        <w:spacing w:line="300" w:lineRule="auto"/>
        <w:ind w:left="239" w:leftChars="114" w:firstLine="361" w:firstLineChars="15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3若供应商在规定的时间内（“投标人须知前附表”</w:t>
      </w:r>
      <w:r>
        <w:rPr>
          <w:rFonts w:hint="eastAsia" w:ascii="仿宋" w:hAnsi="仿宋" w:eastAsia="仿宋" w:cs="仿宋"/>
          <w:b/>
          <w:bCs/>
          <w:sz w:val="24"/>
          <w:szCs w:val="32"/>
          <w:highlight w:val="none"/>
          <w:lang w:eastAsia="zh-CN"/>
        </w:rPr>
        <w:t>的规定</w:t>
      </w:r>
      <w:r>
        <w:rPr>
          <w:rFonts w:hint="eastAsia" w:ascii="仿宋" w:hAnsi="仿宋" w:eastAsia="仿宋" w:cs="仿宋"/>
          <w:b/>
          <w:bCs/>
          <w:sz w:val="24"/>
          <w:szCs w:val="32"/>
          <w:highlight w:val="none"/>
        </w:rPr>
        <w:t>）未能解密的，也将被视为供应商对其投标文件的撤回。</w:t>
      </w:r>
    </w:p>
    <w:p w14:paraId="295CEAAC">
      <w:pPr>
        <w:spacing w:line="30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投标文件的解密</w:t>
      </w:r>
    </w:p>
    <w:p w14:paraId="19818758">
      <w:pPr>
        <w:spacing w:line="36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到达开标时间后，投标人需携带并使用制作该投标文件的同一数字证书参加开标解密，投标人须在采购代理机构规定的时间内完成投标文件解密，投标人未携带数字证书或其他非系统原因导致的逾期未解</w:t>
      </w:r>
      <w:r>
        <w:rPr>
          <w:rFonts w:hint="eastAsia" w:ascii="仿宋" w:hAnsi="仿宋" w:eastAsia="仿宋" w:cs="仿宋"/>
          <w:sz w:val="24"/>
          <w:szCs w:val="32"/>
          <w:highlight w:val="none"/>
          <w:lang w:eastAsia="zh-CN"/>
        </w:rPr>
        <w:t>密的</w:t>
      </w:r>
      <w:r>
        <w:rPr>
          <w:rFonts w:hint="eastAsia" w:ascii="仿宋" w:hAnsi="仿宋" w:eastAsia="仿宋" w:cs="仿宋"/>
          <w:sz w:val="24"/>
          <w:szCs w:val="32"/>
          <w:highlight w:val="none"/>
        </w:rPr>
        <w:t>投标文件，将作无效投标处理。</w:t>
      </w:r>
    </w:p>
    <w:p w14:paraId="241B1744">
      <w:pPr>
        <w:spacing w:line="30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投标有效期</w:t>
      </w:r>
    </w:p>
    <w:p w14:paraId="36F3C42B">
      <w:pPr>
        <w:spacing w:line="36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1投标有效期内投标人撤销投标文件的，采购人或者采购代理机构可以不退还投标保证金（如有）。采用投标保函方式替代保证金的，采购人或者采购代理机构可以向担保机构索赔保证金。</w:t>
      </w:r>
    </w:p>
    <w:p w14:paraId="2C49FEA8">
      <w:pPr>
        <w:spacing w:line="36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67D16B74">
      <w:pPr>
        <w:spacing w:line="30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投标无效的情形</w:t>
      </w:r>
      <w:bookmarkEnd w:id="124"/>
      <w:bookmarkEnd w:id="125"/>
      <w:bookmarkEnd w:id="126"/>
      <w:bookmarkEnd w:id="127"/>
    </w:p>
    <w:p w14:paraId="27EEFA4C">
      <w:pPr>
        <w:spacing w:line="36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实质上没有响应招标文件要求的投标将被视为无效投标。投标人不得通过修正或</w:t>
      </w:r>
      <w:r>
        <w:rPr>
          <w:rFonts w:hint="eastAsia" w:ascii="仿宋" w:hAnsi="仿宋" w:eastAsia="仿宋" w:cs="仿宋"/>
          <w:sz w:val="24"/>
          <w:szCs w:val="32"/>
          <w:highlight w:val="none"/>
          <w:lang w:eastAsia="zh-CN"/>
        </w:rPr>
        <w:t>撤销</w:t>
      </w:r>
      <w:r>
        <w:rPr>
          <w:rFonts w:hint="eastAsia" w:ascii="仿宋" w:hAnsi="仿宋" w:eastAsia="仿宋" w:cs="仿宋"/>
          <w:sz w:val="24"/>
          <w:szCs w:val="32"/>
          <w:highlight w:val="none"/>
        </w:rPr>
        <w:t>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bookmarkStart w:id="128" w:name="_Toc4280"/>
      <w:bookmarkStart w:id="129" w:name="_Toc13224"/>
    </w:p>
    <w:p w14:paraId="5FA68CFA">
      <w:pPr>
        <w:spacing w:line="36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1投标文件未按照招标文件要求签署、盖章；</w:t>
      </w:r>
    </w:p>
    <w:p w14:paraId="380E2854">
      <w:pPr>
        <w:spacing w:line="36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2不符合招标文件中规定的资格要求；</w:t>
      </w:r>
    </w:p>
    <w:p w14:paraId="4C06B6AC">
      <w:pPr>
        <w:spacing w:line="36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3投标报价超过招标文件中规定的预算金额或最高限价；</w:t>
      </w:r>
    </w:p>
    <w:p w14:paraId="185780A5">
      <w:pPr>
        <w:spacing w:line="36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4投标文件含有采购人不能接受的附加条件；</w:t>
      </w:r>
    </w:p>
    <w:p w14:paraId="0DA0D299">
      <w:pPr>
        <w:spacing w:line="360" w:lineRule="auto"/>
        <w:ind w:left="239" w:leftChars="114" w:firstLine="360" w:firstLineChars="150"/>
        <w:rPr>
          <w:rFonts w:hint="eastAsia" w:ascii="仿宋" w:hAnsi="仿宋" w:eastAsia="仿宋" w:cs="仿宋"/>
          <w:highlight w:val="none"/>
        </w:rPr>
      </w:pPr>
      <w:r>
        <w:rPr>
          <w:rFonts w:hint="eastAsia" w:ascii="仿宋" w:hAnsi="仿宋" w:eastAsia="仿宋" w:cs="仿宋"/>
          <w:sz w:val="24"/>
          <w:szCs w:val="32"/>
          <w:highlight w:val="none"/>
        </w:rPr>
        <w:t>5有关</w:t>
      </w:r>
      <w:r>
        <w:rPr>
          <w:rFonts w:hint="eastAsia" w:ascii="仿宋" w:hAnsi="仿宋" w:eastAsia="仿宋" w:cs="仿宋"/>
          <w:sz w:val="24"/>
          <w:szCs w:val="32"/>
          <w:highlight w:val="none"/>
          <w:lang w:eastAsia="zh-CN"/>
        </w:rPr>
        <w:t>法律法规</w:t>
      </w:r>
      <w:r>
        <w:rPr>
          <w:rFonts w:hint="eastAsia" w:ascii="仿宋" w:hAnsi="仿宋" w:eastAsia="仿宋" w:cs="仿宋"/>
          <w:sz w:val="24"/>
          <w:szCs w:val="32"/>
          <w:highlight w:val="none"/>
        </w:rPr>
        <w:t>和规章及招标文件规定的其他无效情形。</w:t>
      </w:r>
    </w:p>
    <w:p w14:paraId="594F98AA">
      <w:pPr>
        <w:pStyle w:val="3"/>
        <w:numPr>
          <w:ilvl w:val="0"/>
          <w:numId w:val="0"/>
        </w:numPr>
        <w:spacing w:line="240" w:lineRule="auto"/>
        <w:ind w:leftChars="-50" w:right="62" w:rightChars="0"/>
        <w:jc w:val="center"/>
        <w:rPr>
          <w:rFonts w:hint="eastAsia" w:ascii="仿宋" w:hAnsi="仿宋" w:eastAsia="仿宋" w:cs="仿宋"/>
          <w:b/>
          <w:bCs/>
          <w:color w:val="000000"/>
          <w:kern w:val="2"/>
          <w:sz w:val="28"/>
          <w:szCs w:val="28"/>
          <w:highlight w:val="none"/>
          <w:lang w:val="en-US" w:eastAsia="zh-CN" w:bidi="ar-SA"/>
        </w:rPr>
      </w:pPr>
      <w:bookmarkStart w:id="130" w:name="_Toc11270"/>
      <w:bookmarkStart w:id="131" w:name="_Toc521014787"/>
      <w:bookmarkStart w:id="132" w:name="_Toc3022"/>
      <w:bookmarkStart w:id="133" w:name="_Toc31877"/>
      <w:bookmarkStart w:id="134" w:name="_Toc503212219"/>
      <w:r>
        <w:rPr>
          <w:rFonts w:hint="eastAsia" w:ascii="仿宋" w:hAnsi="仿宋" w:eastAsia="仿宋" w:cs="仿宋"/>
          <w:b/>
          <w:bCs/>
          <w:color w:val="000000"/>
          <w:kern w:val="2"/>
          <w:sz w:val="28"/>
          <w:szCs w:val="28"/>
          <w:highlight w:val="none"/>
          <w:lang w:val="en-US" w:eastAsia="zh-CN" w:bidi="ar-SA"/>
        </w:rPr>
        <w:t>（四）开标</w:t>
      </w:r>
      <w:bookmarkEnd w:id="128"/>
      <w:bookmarkEnd w:id="129"/>
      <w:bookmarkEnd w:id="130"/>
      <w:bookmarkEnd w:id="131"/>
      <w:bookmarkEnd w:id="132"/>
      <w:bookmarkEnd w:id="133"/>
      <w:bookmarkEnd w:id="134"/>
    </w:p>
    <w:p w14:paraId="3737F758">
      <w:pPr>
        <w:pStyle w:val="44"/>
        <w:snapToGrid w:val="0"/>
        <w:spacing w:line="360" w:lineRule="auto"/>
        <w:rPr>
          <w:rFonts w:hint="eastAsia" w:ascii="仿宋" w:hAnsi="仿宋" w:eastAsia="仿宋" w:cs="仿宋"/>
          <w:b/>
          <w:bCs/>
          <w:kern w:val="2"/>
          <w:sz w:val="24"/>
          <w:szCs w:val="32"/>
          <w:highlight w:val="none"/>
          <w:lang w:val="en-US" w:eastAsia="zh-CN" w:bidi="ar-SA"/>
        </w:rPr>
      </w:pPr>
      <w:r>
        <w:rPr>
          <w:rFonts w:hint="eastAsia" w:ascii="仿宋" w:hAnsi="仿宋" w:eastAsia="仿宋" w:cs="仿宋"/>
          <w:b/>
          <w:bCs/>
          <w:kern w:val="2"/>
          <w:sz w:val="24"/>
          <w:szCs w:val="32"/>
          <w:highlight w:val="none"/>
          <w:lang w:val="en-US" w:eastAsia="zh-CN" w:bidi="ar-SA"/>
        </w:rPr>
        <w:t>（一）开标准备</w:t>
      </w:r>
    </w:p>
    <w:p w14:paraId="5737C8EC">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招标代理机构将在规定的时间和地点进行开标，投标供应商无需到场，但应按照招标文件要求按时参与网上投标文件解密。（本项目实行网上投标，采用电子投标文件。若供应商参与投标，自行承担投标一切费用；各供应商应在开标前应确保成为新疆政府采购网正式注册入库供应商，并完成CA数字证书申领。因未注册入库、未办理CA数字证书等原因造成无法投标或投标失败等后果由供应商自行承担；供应商将新疆政府采购电子交易客户端下载、安装完成后，可通过账号密码或CA登录客户端进行投标文件制作。在使用新疆政府采购投标客户端时，建议使用WIN7及以上操作系统。客户端请至新疆政府采购网（</w:t>
      </w:r>
      <w:r>
        <w:rPr>
          <w:rFonts w:hint="eastAsia" w:ascii="仿宋" w:hAnsi="仿宋" w:eastAsia="仿宋" w:cs="仿宋"/>
          <w:kern w:val="2"/>
          <w:sz w:val="24"/>
          <w:szCs w:val="32"/>
          <w:highlight w:val="none"/>
          <w:lang w:val="en-US" w:eastAsia="zh-CN" w:bidi="ar-SA"/>
        </w:rPr>
        <w:fldChar w:fldCharType="begin"/>
      </w:r>
      <w:r>
        <w:rPr>
          <w:rFonts w:hint="eastAsia" w:ascii="仿宋" w:hAnsi="仿宋" w:eastAsia="仿宋" w:cs="仿宋"/>
          <w:kern w:val="2"/>
          <w:sz w:val="24"/>
          <w:szCs w:val="32"/>
          <w:highlight w:val="none"/>
          <w:lang w:val="en-US" w:eastAsia="zh-CN" w:bidi="ar-SA"/>
        </w:rPr>
        <w:instrText xml:space="preserve"> HYPERLINK "http://www.ccgp-xinjiang.gov.cn/" </w:instrText>
      </w:r>
      <w:r>
        <w:rPr>
          <w:rFonts w:hint="eastAsia" w:ascii="仿宋" w:hAnsi="仿宋" w:eastAsia="仿宋" w:cs="仿宋"/>
          <w:kern w:val="2"/>
          <w:sz w:val="24"/>
          <w:szCs w:val="32"/>
          <w:highlight w:val="none"/>
          <w:lang w:val="en-US" w:eastAsia="zh-CN" w:bidi="ar-SA"/>
        </w:rPr>
        <w:fldChar w:fldCharType="separate"/>
      </w:r>
      <w:r>
        <w:rPr>
          <w:rFonts w:hint="eastAsia" w:ascii="仿宋" w:hAnsi="仿宋" w:eastAsia="仿宋" w:cs="仿宋"/>
          <w:kern w:val="2"/>
          <w:sz w:val="24"/>
          <w:szCs w:val="32"/>
          <w:highlight w:val="none"/>
          <w:lang w:val="en-US" w:eastAsia="zh-CN" w:bidi="ar-SA"/>
        </w:rPr>
        <w:t>http://www.ccgp-xinjiang.gov.cn/</w:t>
      </w:r>
      <w:r>
        <w:rPr>
          <w:rFonts w:hint="eastAsia" w:ascii="仿宋" w:hAnsi="仿宋" w:eastAsia="仿宋" w:cs="仿宋"/>
          <w:kern w:val="2"/>
          <w:sz w:val="24"/>
          <w:szCs w:val="32"/>
          <w:highlight w:val="none"/>
          <w:lang w:val="en-US" w:eastAsia="zh-CN" w:bidi="ar-SA"/>
        </w:rPr>
        <w:fldChar w:fldCharType="end"/>
      </w:r>
      <w:r>
        <w:rPr>
          <w:rFonts w:hint="eastAsia" w:ascii="仿宋" w:hAnsi="仿宋" w:eastAsia="仿宋" w:cs="仿宋"/>
          <w:kern w:val="2"/>
          <w:sz w:val="24"/>
          <w:szCs w:val="32"/>
          <w:highlight w:val="none"/>
          <w:lang w:val="en-US" w:eastAsia="zh-CN" w:bidi="ar-SA"/>
        </w:rPr>
        <w:t>）下载专区查看，如有问题可拨打新疆政府采购客户服务热线95763进行咨询。）</w:t>
      </w:r>
    </w:p>
    <w:p w14:paraId="58F5DDEB">
      <w:pPr>
        <w:pStyle w:val="44"/>
        <w:snapToGrid w:val="0"/>
        <w:spacing w:line="360" w:lineRule="auto"/>
        <w:outlineLvl w:val="1"/>
        <w:rPr>
          <w:rFonts w:hint="eastAsia" w:ascii="仿宋" w:hAnsi="仿宋" w:eastAsia="仿宋" w:cs="仿宋"/>
          <w:b/>
          <w:bCs/>
          <w:kern w:val="2"/>
          <w:sz w:val="24"/>
          <w:szCs w:val="32"/>
          <w:highlight w:val="none"/>
          <w:lang w:val="en-US" w:eastAsia="zh-CN" w:bidi="ar-SA"/>
        </w:rPr>
      </w:pPr>
      <w:bookmarkStart w:id="135" w:name="_Toc24853"/>
      <w:bookmarkStart w:id="136" w:name="_Toc1875"/>
      <w:r>
        <w:rPr>
          <w:rFonts w:hint="eastAsia" w:ascii="仿宋" w:hAnsi="仿宋" w:eastAsia="仿宋" w:cs="仿宋"/>
          <w:b/>
          <w:bCs/>
          <w:kern w:val="2"/>
          <w:sz w:val="24"/>
          <w:szCs w:val="32"/>
          <w:highlight w:val="none"/>
          <w:lang w:val="en-US" w:eastAsia="zh-CN" w:bidi="ar-SA"/>
        </w:rPr>
        <w:t>（二） 开标程序：</w:t>
      </w:r>
      <w:bookmarkEnd w:id="135"/>
      <w:bookmarkEnd w:id="136"/>
    </w:p>
    <w:p w14:paraId="76EBB4F3">
      <w:pPr>
        <w:spacing w:line="360" w:lineRule="auto"/>
        <w:rPr>
          <w:rFonts w:hint="eastAsia" w:ascii="仿宋" w:hAnsi="仿宋" w:eastAsia="仿宋" w:cs="仿宋"/>
          <w:sz w:val="24"/>
          <w:szCs w:val="32"/>
          <w:highlight w:val="none"/>
        </w:rPr>
      </w:pPr>
      <w:bookmarkStart w:id="137" w:name="_Toc20065"/>
      <w:bookmarkStart w:id="138" w:name="_Toc12263"/>
      <w:bookmarkStart w:id="139" w:name="_Toc3024"/>
      <w:bookmarkStart w:id="140" w:name="_Toc20288"/>
      <w:bookmarkStart w:id="141" w:name="_Toc521014788"/>
      <w:bookmarkStart w:id="142" w:name="_Toc24288"/>
      <w:bookmarkStart w:id="143" w:name="_Toc503212220"/>
      <w:r>
        <w:rPr>
          <w:rFonts w:hint="eastAsia" w:ascii="仿宋" w:hAnsi="仿宋" w:eastAsia="仿宋" w:cs="仿宋"/>
          <w:sz w:val="24"/>
          <w:szCs w:val="32"/>
          <w:highlight w:val="none"/>
        </w:rPr>
        <w:t>1.1 开标程序</w:t>
      </w:r>
    </w:p>
    <w:p w14:paraId="5F1758E4">
      <w:pPr>
        <w:spacing w:line="36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4163A739">
      <w:pPr>
        <w:spacing w:line="36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65DB8DBC">
      <w:pPr>
        <w:spacing w:line="36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5ADEA09F">
      <w:pPr>
        <w:spacing w:line="36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88679A3">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1.2开标异议</w:t>
      </w:r>
    </w:p>
    <w:p w14:paraId="6DC9852C">
      <w:pPr>
        <w:spacing w:line="360" w:lineRule="auto"/>
        <w:ind w:left="239" w:leftChars="114" w:firstLine="360" w:firstLineChars="150"/>
        <w:rPr>
          <w:rFonts w:hint="eastAsia" w:ascii="仿宋" w:hAnsi="仿宋" w:eastAsia="仿宋" w:cs="仿宋"/>
          <w:sz w:val="24"/>
          <w:szCs w:val="32"/>
          <w:highlight w:val="none"/>
        </w:rPr>
      </w:pPr>
      <w:r>
        <w:rPr>
          <w:rFonts w:hint="eastAsia" w:ascii="仿宋" w:hAnsi="仿宋" w:eastAsia="仿宋" w:cs="仿宋"/>
          <w:sz w:val="24"/>
          <w:szCs w:val="32"/>
          <w:highlight w:val="none"/>
        </w:rPr>
        <w:t>投标人代表对开标过程和开标记录有疑义，以及认为采购人、采购代理机构相关工作人员有需要回避的情形的，应当场提出询问或者回避申请。投标人未参加开标的，视同认可开标结果。</w:t>
      </w:r>
    </w:p>
    <w:p w14:paraId="2F8F13B7">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1.3 投标截止时间后，投标人不足须知前附表中约定的有效供应商家数的，不得开标。同时，本次采购活动结束。</w:t>
      </w:r>
    </w:p>
    <w:p w14:paraId="5E86C6B1">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1.4开标时出现下列情况的，视为投标无效处理：</w:t>
      </w:r>
    </w:p>
    <w:p w14:paraId="323DE00E">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（1）经检查数字证书无效的；</w:t>
      </w:r>
    </w:p>
    <w:p w14:paraId="54864E59">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（2）因投标人自身原因，未在规定时间内完成电子投标文件解密的；</w:t>
      </w:r>
    </w:p>
    <w:p w14:paraId="26017F53">
      <w:pPr>
        <w:spacing w:line="360" w:lineRule="auto"/>
        <w:ind w:firstLine="480"/>
        <w:rPr>
          <w:rFonts w:hint="eastAsia" w:ascii="仿宋" w:hAnsi="仿宋" w:eastAsia="仿宋" w:cs="仿宋"/>
          <w:sz w:val="24"/>
          <w:szCs w:val="32"/>
          <w:highlight w:val="none"/>
        </w:rPr>
      </w:pPr>
      <w:r>
        <w:rPr>
          <w:rFonts w:hint="eastAsia" w:ascii="仿宋" w:hAnsi="仿宋" w:eastAsia="仿宋" w:cs="仿宋"/>
          <w:sz w:val="24"/>
          <w:szCs w:val="32"/>
          <w:highlight w:val="none"/>
        </w:rPr>
        <w:t>（3）如需使用备用电子投标文件解密时，在规定的解密时间内无法提供备用电子投标文件或提供的备用电子投标文件与加密的电子投标文件版本不一致（即两份文件不是通过投标客户端同时加密生成的）。</w:t>
      </w:r>
    </w:p>
    <w:p w14:paraId="25C9FE16">
      <w:pPr>
        <w:pStyle w:val="3"/>
        <w:numPr>
          <w:ilvl w:val="0"/>
          <w:numId w:val="0"/>
        </w:numPr>
        <w:spacing w:line="240" w:lineRule="auto"/>
        <w:ind w:leftChars="-50" w:right="62" w:rightChars="0"/>
        <w:jc w:val="center"/>
        <w:rPr>
          <w:rFonts w:hint="eastAsia" w:ascii="仿宋" w:hAnsi="仿宋" w:eastAsia="仿宋" w:cs="仿宋"/>
          <w:b/>
          <w:bCs/>
          <w:color w:val="000000"/>
          <w:kern w:val="2"/>
          <w:sz w:val="28"/>
          <w:szCs w:val="28"/>
          <w:highlight w:val="none"/>
          <w:lang w:val="en-US" w:eastAsia="zh-CN" w:bidi="ar-SA"/>
        </w:rPr>
      </w:pPr>
      <w:r>
        <w:rPr>
          <w:rFonts w:hint="eastAsia" w:ascii="仿宋" w:hAnsi="仿宋" w:eastAsia="仿宋" w:cs="仿宋"/>
          <w:b/>
          <w:bCs/>
          <w:color w:val="000000"/>
          <w:kern w:val="2"/>
          <w:sz w:val="28"/>
          <w:szCs w:val="28"/>
          <w:highlight w:val="none"/>
          <w:lang w:val="en-US" w:eastAsia="zh-CN" w:bidi="ar-SA"/>
        </w:rPr>
        <w:t>（五）评标</w:t>
      </w:r>
      <w:bookmarkEnd w:id="137"/>
      <w:bookmarkEnd w:id="138"/>
      <w:bookmarkEnd w:id="139"/>
      <w:bookmarkEnd w:id="140"/>
      <w:bookmarkEnd w:id="141"/>
      <w:bookmarkEnd w:id="142"/>
      <w:bookmarkEnd w:id="143"/>
    </w:p>
    <w:p w14:paraId="63CEC9A6">
      <w:pPr>
        <w:pStyle w:val="44"/>
        <w:snapToGrid w:val="0"/>
        <w:spacing w:line="360" w:lineRule="auto"/>
        <w:outlineLvl w:val="1"/>
        <w:rPr>
          <w:rFonts w:hint="eastAsia" w:ascii="仿宋" w:hAnsi="仿宋" w:eastAsia="仿宋" w:cs="仿宋"/>
          <w:b/>
          <w:bCs/>
          <w:kern w:val="2"/>
          <w:sz w:val="24"/>
          <w:szCs w:val="32"/>
          <w:highlight w:val="none"/>
          <w:lang w:val="en-US" w:eastAsia="zh-CN" w:bidi="ar-SA"/>
        </w:rPr>
      </w:pPr>
      <w:r>
        <w:rPr>
          <w:rFonts w:hint="eastAsia" w:ascii="仿宋" w:hAnsi="仿宋" w:eastAsia="仿宋" w:cs="仿宋"/>
          <w:b/>
          <w:bCs/>
          <w:kern w:val="2"/>
          <w:sz w:val="24"/>
          <w:szCs w:val="32"/>
          <w:highlight w:val="none"/>
          <w:lang w:val="en-US" w:eastAsia="zh-CN" w:bidi="ar-SA"/>
        </w:rPr>
        <w:t>（一）组建评标委员会</w:t>
      </w:r>
    </w:p>
    <w:p w14:paraId="3CA921F6">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评标委员会或评标小组（以下简称评标委员会）的评标工作由招标单位负责组织，具体评标事务由评标委员会负责，并独立履行其法规规定的职责。</w:t>
      </w:r>
    </w:p>
    <w:p w14:paraId="74499B94">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本项目评标委员会由</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其中评标专家4人，采购人代表1人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kern w:val="2"/>
          <w:sz w:val="24"/>
          <w:szCs w:val="32"/>
          <w:highlight w:val="none"/>
          <w:lang w:val="en-US" w:eastAsia="zh-CN" w:bidi="ar-SA"/>
        </w:rPr>
        <w:t>专家由招标代理机构在开标前48小时在新疆政府采购专家中随机抽取。其中熟悉相关技术方面的专家不得少于成员总数的三分之二。并对投标文件进行审查、评估和比较，并做出授予合同的建议。</w:t>
      </w:r>
    </w:p>
    <w:p w14:paraId="4F1C5EA3">
      <w:pPr>
        <w:pStyle w:val="44"/>
        <w:snapToGrid w:val="0"/>
        <w:spacing w:line="360" w:lineRule="auto"/>
        <w:outlineLvl w:val="1"/>
        <w:rPr>
          <w:rFonts w:hint="eastAsia" w:ascii="仿宋" w:hAnsi="仿宋" w:eastAsia="仿宋" w:cs="仿宋"/>
          <w:b/>
          <w:bCs/>
          <w:kern w:val="2"/>
          <w:sz w:val="24"/>
          <w:szCs w:val="32"/>
          <w:highlight w:val="none"/>
          <w:lang w:val="en-US" w:eastAsia="zh-CN" w:bidi="ar-SA"/>
        </w:rPr>
      </w:pPr>
      <w:bookmarkStart w:id="144" w:name="_Toc26886"/>
      <w:bookmarkStart w:id="145" w:name="_Toc27271"/>
      <w:r>
        <w:rPr>
          <w:rFonts w:hint="eastAsia" w:ascii="仿宋" w:hAnsi="仿宋" w:eastAsia="仿宋" w:cs="仿宋"/>
          <w:b/>
          <w:bCs/>
          <w:kern w:val="2"/>
          <w:sz w:val="24"/>
          <w:szCs w:val="32"/>
          <w:highlight w:val="none"/>
          <w:lang w:val="en-US" w:eastAsia="zh-CN" w:bidi="ar-SA"/>
        </w:rPr>
        <w:t>（二）评标的方式</w:t>
      </w:r>
      <w:bookmarkEnd w:id="144"/>
      <w:bookmarkEnd w:id="145"/>
    </w:p>
    <w:p w14:paraId="2F5E118B">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本项目采用不公开方式评标，评标的依据为《中华人民共和国招标投标法》《中华人民共和国政府采购法》《中华人民共和国财政部令第87号－－政府采购货物和服务招标投标管理办法》及招标文件。</w:t>
      </w:r>
    </w:p>
    <w:p w14:paraId="3B57A0CE">
      <w:pPr>
        <w:spacing w:line="360" w:lineRule="auto"/>
        <w:rPr>
          <w:rFonts w:hint="eastAsia" w:ascii="仿宋" w:hAnsi="仿宋" w:eastAsia="仿宋" w:cs="仿宋"/>
          <w:b/>
          <w:bCs/>
          <w:kern w:val="2"/>
          <w:sz w:val="24"/>
          <w:szCs w:val="32"/>
          <w:highlight w:val="none"/>
          <w:lang w:val="en-US" w:eastAsia="zh-CN" w:bidi="ar-SA"/>
        </w:rPr>
      </w:pPr>
      <w:r>
        <w:rPr>
          <w:rFonts w:hint="eastAsia" w:ascii="仿宋" w:hAnsi="仿宋" w:eastAsia="仿宋" w:cs="仿宋"/>
          <w:b/>
          <w:bCs/>
          <w:kern w:val="2"/>
          <w:sz w:val="24"/>
          <w:szCs w:val="32"/>
          <w:highlight w:val="none"/>
          <w:lang w:val="en-US" w:eastAsia="zh-CN" w:bidi="ar-SA"/>
        </w:rPr>
        <w:t>（三）评标原则</w:t>
      </w:r>
    </w:p>
    <w:p w14:paraId="3E53B97D">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1评标活动遵循公平、公正、科学和择优的原则，以招标文件和投标文件为评标的基本依据，并按照招标文件规定的评标方法和评标标准进行评标。</w:t>
      </w:r>
    </w:p>
    <w:p w14:paraId="78BAC999">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2评标委员会必须公平、公正、客观，不带任何倾向性和启发性；不得向外界透露任何与评标有关的内容；任何单位和个人不得干扰、影响评标的正常进行；评标委员会及有关工作人员不得私下与投标人接触。</w:t>
      </w:r>
    </w:p>
    <w:p w14:paraId="2E52461F">
      <w:pPr>
        <w:pStyle w:val="44"/>
        <w:snapToGrid w:val="0"/>
        <w:spacing w:line="360" w:lineRule="auto"/>
        <w:ind w:left="0" w:leftChars="0" w:firstLine="480" w:firstLineChars="200"/>
        <w:outlineLvl w:val="2"/>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3具体评标事项由评标委员会负责，并按招标文件的规定办法进行评审。</w:t>
      </w:r>
    </w:p>
    <w:p w14:paraId="7FC6CB06">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4合</w:t>
      </w:r>
      <w:r>
        <w:rPr>
          <w:rFonts w:hint="eastAsia" w:ascii="仿宋" w:hAnsi="仿宋" w:eastAsia="仿宋" w:cs="仿宋"/>
          <w:kern w:val="2"/>
          <w:sz w:val="24"/>
          <w:szCs w:val="32"/>
          <w:highlight w:val="none"/>
          <w:lang w:val="en-US" w:eastAsia="zh-CN" w:bidi="ar-SA"/>
        </w:rPr>
        <w:t>格投标人不足须知前附表中约定的有效供应商家数的，不得评标。</w:t>
      </w:r>
    </w:p>
    <w:p w14:paraId="46F9886C">
      <w:pPr>
        <w:spacing w:line="360" w:lineRule="auto"/>
        <w:rPr>
          <w:rFonts w:hint="eastAsia" w:ascii="仿宋" w:hAnsi="仿宋" w:eastAsia="仿宋" w:cs="仿宋"/>
          <w:b/>
          <w:bCs/>
          <w:kern w:val="2"/>
          <w:sz w:val="24"/>
          <w:szCs w:val="32"/>
          <w:highlight w:val="none"/>
          <w:lang w:val="en-US" w:eastAsia="zh-CN" w:bidi="ar-SA"/>
        </w:rPr>
      </w:pPr>
      <w:r>
        <w:rPr>
          <w:rFonts w:hint="eastAsia" w:ascii="仿宋" w:hAnsi="仿宋" w:eastAsia="仿宋" w:cs="仿宋"/>
          <w:b/>
          <w:bCs/>
          <w:kern w:val="2"/>
          <w:sz w:val="24"/>
          <w:szCs w:val="32"/>
          <w:highlight w:val="none"/>
          <w:lang w:val="en-US" w:eastAsia="zh-CN" w:bidi="ar-SA"/>
        </w:rPr>
        <w:t>（四）评标应遵守下列评标纪律：</w:t>
      </w:r>
    </w:p>
    <w:p w14:paraId="0B3DC549">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（1）评标情况不得私自外泄，有关信息由墨玉县众信智诚工程项目管理有限公司统一对外发布。</w:t>
      </w:r>
    </w:p>
    <w:p w14:paraId="117BB741">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（2）对墨玉县众信智诚工程项目管理有限公司或投标人提供的要求保密的资料，不得抄录翻印和外传。</w:t>
      </w:r>
    </w:p>
    <w:p w14:paraId="4C29CEAF">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（3）不得收受投标供应商或有关人员的任何礼物，不得串联鼓动其他人袒护某投标人。若与投标人存在利害关系，则应主动声明并回避。</w:t>
      </w:r>
    </w:p>
    <w:p w14:paraId="1D2CC22A">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（4）全体评委应按照招标文件规定进行评标，一切认定事项应查有实据且不得弄虚作假。</w:t>
      </w:r>
    </w:p>
    <w:p w14:paraId="404EA264">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（5）评标委员会各成员应当独立对每个投标人的投标文件进行评价，并对评价意见承担个人责任。评审过程中，不得发表倾向性言论。</w:t>
      </w:r>
    </w:p>
    <w:p w14:paraId="0E5615D1">
      <w:pPr>
        <w:pStyle w:val="44"/>
        <w:snapToGrid w:val="0"/>
        <w:spacing w:line="360" w:lineRule="auto"/>
        <w:ind w:left="0" w:leftChars="0" w:firstLine="480" w:firstLineChars="200"/>
        <w:outlineLvl w:val="2"/>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※对违反评标纪律的评委，将取消其评委资格，对评标工作造成严重损失者将予以通报批评乃至追究法律责任。</w:t>
      </w:r>
    </w:p>
    <w:p w14:paraId="31A16714">
      <w:pPr>
        <w:pStyle w:val="44"/>
        <w:snapToGrid w:val="0"/>
        <w:spacing w:line="360" w:lineRule="auto"/>
        <w:outlineLvl w:val="1"/>
        <w:rPr>
          <w:rFonts w:hint="eastAsia" w:ascii="仿宋" w:hAnsi="仿宋" w:eastAsia="仿宋" w:cs="仿宋"/>
          <w:b/>
          <w:bCs/>
          <w:kern w:val="2"/>
          <w:sz w:val="24"/>
          <w:szCs w:val="32"/>
          <w:highlight w:val="none"/>
          <w:lang w:val="en-US" w:eastAsia="zh-CN" w:bidi="ar-SA"/>
        </w:rPr>
      </w:pPr>
      <w:bookmarkStart w:id="146" w:name="_Toc4747"/>
      <w:bookmarkStart w:id="147" w:name="_Toc13223"/>
      <w:r>
        <w:rPr>
          <w:rFonts w:hint="eastAsia" w:ascii="仿宋" w:hAnsi="仿宋" w:eastAsia="仿宋" w:cs="仿宋"/>
          <w:b/>
          <w:bCs/>
          <w:kern w:val="2"/>
          <w:sz w:val="24"/>
          <w:szCs w:val="32"/>
          <w:highlight w:val="none"/>
          <w:lang w:val="en-US" w:eastAsia="zh-CN" w:bidi="ar-SA"/>
        </w:rPr>
        <w:t>（五）评标程序</w:t>
      </w:r>
      <w:bookmarkEnd w:id="146"/>
      <w:bookmarkEnd w:id="147"/>
    </w:p>
    <w:p w14:paraId="38BBD94B">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1. 本项目采用</w:t>
      </w:r>
      <w:r>
        <w:rPr>
          <w:rFonts w:hint="eastAsia" w:ascii="仿宋" w:hAnsi="仿宋" w:eastAsia="仿宋" w:cs="仿宋"/>
          <w:sz w:val="24"/>
          <w:szCs w:val="24"/>
          <w:highlight w:val="none"/>
        </w:rPr>
        <w:t>综合评分法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是指投标文件满足招标文件全部实质性要求，且按照评审因素的量化指标评审得分最高的投标人为中标候选人的评标方法。（最低报价不是中标的唯一依据。）</w:t>
      </w:r>
    </w:p>
    <w:p w14:paraId="4359A8D4">
      <w:pPr>
        <w:pStyle w:val="44"/>
        <w:snapToGrid w:val="0"/>
        <w:spacing w:line="360" w:lineRule="auto"/>
        <w:ind w:firstLine="480" w:firstLineChars="200"/>
        <w:outlineLvl w:val="2"/>
        <w:rPr>
          <w:rFonts w:hint="eastAsia" w:ascii="仿宋" w:hAnsi="仿宋" w:eastAsia="仿宋" w:cs="仿宋"/>
          <w:kern w:val="2"/>
          <w:sz w:val="24"/>
          <w:szCs w:val="32"/>
          <w:highlight w:val="none"/>
          <w:lang w:val="en-US" w:eastAsia="zh-CN" w:bidi="ar-SA"/>
        </w:rPr>
      </w:pPr>
      <w:bookmarkStart w:id="148" w:name="_Toc17462"/>
      <w:r>
        <w:rPr>
          <w:rFonts w:hint="eastAsia" w:ascii="仿宋" w:hAnsi="仿宋" w:eastAsia="仿宋" w:cs="仿宋"/>
          <w:kern w:val="2"/>
          <w:sz w:val="24"/>
          <w:szCs w:val="32"/>
          <w:highlight w:val="none"/>
          <w:lang w:val="en-US" w:eastAsia="zh-CN" w:bidi="ar-SA"/>
        </w:rPr>
        <w:t>2. 评标的依据为招标文件和投标文件。</w:t>
      </w:r>
      <w:bookmarkEnd w:id="148"/>
    </w:p>
    <w:p w14:paraId="148EE4F0">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3. 评标过程的保密性。开标后，直到授予投标人合同为止，凡是属于审查、澄清、评价和比较的有关资料以及授标建议等均不得向投标人或其他无关的人员透露。</w:t>
      </w:r>
    </w:p>
    <w:p w14:paraId="57667778">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4. 投标人在评标过程中所进行的试图影响评标结果、有悖于招标规则的活动，可能导致取消其中标资格。</w:t>
      </w:r>
    </w:p>
    <w:p w14:paraId="23E84A40">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5. 与招标文件有重大偏离的投标文件将被拒绝。且此重大偏离在开标后不许修改。</w:t>
      </w:r>
    </w:p>
    <w:p w14:paraId="674C15B4">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6. 根据国家计委等七部委颁发的《评标委员会和评标方法暂行规定》以下为重大偏离：</w:t>
      </w:r>
    </w:p>
    <w:p w14:paraId="12059B14">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（一）投标保证金的缴纳主体与投标人不一致的，没有按照招标文件要求提供投标担保，或者所提供的投标担保有瑕疵的；</w:t>
      </w:r>
    </w:p>
    <w:p w14:paraId="16FEE94D">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（二）投标文件没有投标人法定代表人或其授权代表签字（章）和加盖投标单位公章的；</w:t>
      </w:r>
    </w:p>
    <w:p w14:paraId="5378A700">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（三）投标文件记载的招标项目完成期限超过招标文件规定的完成期限；</w:t>
      </w:r>
    </w:p>
    <w:p w14:paraId="0289D0B8">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（四）明显不符合技术规格和技术标准（技术规格、合同条款有偏离情况的）；</w:t>
      </w:r>
    </w:p>
    <w:p w14:paraId="6ED4A387">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（五）商务条款有偏离情况的；</w:t>
      </w:r>
    </w:p>
    <w:p w14:paraId="516BB484">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（六）投标附有招标人不能接受的条件；</w:t>
      </w:r>
    </w:p>
    <w:p w14:paraId="08BB27EC">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（七）不符合招标文件中规定的其他实质性要求。</w:t>
      </w:r>
    </w:p>
    <w:p w14:paraId="6F23BD6B">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（八） 投标报价不符合招标文件规定的要求。</w:t>
      </w:r>
    </w:p>
    <w:p w14:paraId="4B970A6D">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投标文件有上述情形之一的，视为非实质性响应招标，并按规定作废标处理。招标文件对重大偏差另有规定的，从其规定。</w:t>
      </w:r>
    </w:p>
    <w:p w14:paraId="4839C6AC">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评标委员会应当审查每一投标文件是否对招标文件提出的所有实质性要求和条件作出响应。未能在实质上响应招标的投标，将作废标处理。</w:t>
      </w:r>
    </w:p>
    <w:p w14:paraId="1AACF432">
      <w:pPr>
        <w:pStyle w:val="44"/>
        <w:snapToGrid w:val="0"/>
        <w:spacing w:line="360" w:lineRule="auto"/>
        <w:ind w:firstLine="480" w:firstLineChars="200"/>
        <w:outlineLvl w:val="2"/>
        <w:rPr>
          <w:rFonts w:hint="eastAsia" w:ascii="仿宋" w:hAnsi="仿宋" w:eastAsia="仿宋" w:cs="仿宋"/>
          <w:kern w:val="2"/>
          <w:sz w:val="24"/>
          <w:szCs w:val="32"/>
          <w:highlight w:val="none"/>
          <w:lang w:val="en-US" w:eastAsia="zh-CN" w:bidi="ar-SA"/>
        </w:rPr>
      </w:pPr>
      <w:bookmarkStart w:id="149" w:name="_Toc3963"/>
      <w:r>
        <w:rPr>
          <w:rFonts w:hint="eastAsia" w:ascii="仿宋" w:hAnsi="仿宋" w:eastAsia="仿宋" w:cs="仿宋"/>
          <w:kern w:val="2"/>
          <w:sz w:val="24"/>
          <w:szCs w:val="32"/>
          <w:highlight w:val="none"/>
          <w:lang w:val="en-US" w:eastAsia="zh-CN" w:bidi="ar-SA"/>
        </w:rPr>
        <w:t>7.对投标文件的初步审查和响应性确定</w:t>
      </w:r>
      <w:bookmarkEnd w:id="149"/>
    </w:p>
    <w:p w14:paraId="4F9656D7">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8. 开标后招标人将审查投标文件的完整性、准确性以及保证金提交、文件签署情况。在审查时，（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若投标人拒绝接受上述修正，其投标将可能被拒绝。</w:t>
      </w:r>
    </w:p>
    <w:p w14:paraId="47128E16">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9. 在对投标文件进行详细评估之前，评标委员会将审查每一份投标文件是否对招标文件的要求做出了实质性的响应。实质性响应的投标文件应该是与招标文件的全部条款、条件和技术规格相符，而没有重大偏离。</w:t>
      </w:r>
    </w:p>
    <w:p w14:paraId="7DFDC47D">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10.招标人判断投标文件的响应性是基于投标文件本身而不靠外部证据。</w:t>
      </w:r>
    </w:p>
    <w:p w14:paraId="27114CF2">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11.招标人将拒绝被定为非响应性的投标，投标人不能通过修正或撤销不符之处而使其投标成为响应性投标。</w:t>
      </w:r>
    </w:p>
    <w:p w14:paraId="47C8DFD2">
      <w:pPr>
        <w:pStyle w:val="44"/>
        <w:snapToGrid w:val="0"/>
        <w:spacing w:line="360" w:lineRule="auto"/>
        <w:outlineLvl w:val="1"/>
        <w:rPr>
          <w:rFonts w:hint="eastAsia" w:ascii="仿宋" w:hAnsi="仿宋" w:eastAsia="仿宋" w:cs="仿宋"/>
          <w:b/>
          <w:bCs/>
          <w:kern w:val="2"/>
          <w:sz w:val="24"/>
          <w:szCs w:val="32"/>
          <w:highlight w:val="none"/>
          <w:lang w:val="en-US" w:eastAsia="zh-CN" w:bidi="ar-SA"/>
        </w:rPr>
      </w:pPr>
      <w:bookmarkStart w:id="150" w:name="_Toc13450"/>
      <w:bookmarkStart w:id="151" w:name="_Toc32133"/>
      <w:r>
        <w:rPr>
          <w:rFonts w:hint="eastAsia" w:ascii="仿宋" w:hAnsi="仿宋" w:eastAsia="仿宋" w:cs="仿宋"/>
          <w:b/>
          <w:bCs/>
          <w:kern w:val="2"/>
          <w:sz w:val="24"/>
          <w:szCs w:val="32"/>
          <w:highlight w:val="none"/>
          <w:lang w:val="en-US" w:eastAsia="zh-CN" w:bidi="ar-SA"/>
        </w:rPr>
        <w:t>（六）澄清问题的形式</w:t>
      </w:r>
      <w:bookmarkEnd w:id="150"/>
      <w:bookmarkEnd w:id="151"/>
    </w:p>
    <w:p w14:paraId="5563B742">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08DFBED5">
      <w:pPr>
        <w:pStyle w:val="44"/>
        <w:snapToGrid w:val="0"/>
        <w:spacing w:line="360" w:lineRule="auto"/>
        <w:outlineLvl w:val="1"/>
        <w:rPr>
          <w:rFonts w:hint="eastAsia" w:ascii="仿宋" w:hAnsi="仿宋" w:eastAsia="仿宋" w:cs="仿宋"/>
          <w:b/>
          <w:bCs/>
          <w:kern w:val="2"/>
          <w:sz w:val="24"/>
          <w:szCs w:val="32"/>
          <w:highlight w:val="none"/>
          <w:lang w:val="en-US" w:eastAsia="zh-CN" w:bidi="ar-SA"/>
        </w:rPr>
      </w:pPr>
      <w:bookmarkStart w:id="152" w:name="_Toc30297"/>
      <w:bookmarkStart w:id="153" w:name="_Toc31156"/>
      <w:r>
        <w:rPr>
          <w:rFonts w:hint="eastAsia" w:ascii="仿宋" w:hAnsi="仿宋" w:eastAsia="仿宋" w:cs="仿宋"/>
          <w:b/>
          <w:bCs/>
          <w:kern w:val="2"/>
          <w:sz w:val="24"/>
          <w:szCs w:val="32"/>
          <w:highlight w:val="none"/>
          <w:lang w:val="en-US" w:eastAsia="zh-CN" w:bidi="ar-SA"/>
        </w:rPr>
        <w:t>（七）错误修正</w:t>
      </w:r>
      <w:bookmarkEnd w:id="152"/>
      <w:bookmarkEnd w:id="153"/>
    </w:p>
    <w:p w14:paraId="3CD2A5C1">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投标文件如果出现计算或表达上的错误，修正错误的原则如下：</w:t>
      </w:r>
    </w:p>
    <w:p w14:paraId="638C00F2">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1.投标报价一览表总价与投标报价明细表汇总数不一致的，以投标报价一览表为准；</w:t>
      </w:r>
    </w:p>
    <w:p w14:paraId="2BECA35E">
      <w:pPr>
        <w:pStyle w:val="44"/>
        <w:snapToGrid w:val="0"/>
        <w:spacing w:line="360" w:lineRule="auto"/>
        <w:ind w:firstLine="480" w:firstLineChars="200"/>
        <w:outlineLvl w:val="2"/>
        <w:rPr>
          <w:rFonts w:hint="eastAsia" w:ascii="仿宋" w:hAnsi="仿宋" w:eastAsia="仿宋" w:cs="仿宋"/>
          <w:kern w:val="2"/>
          <w:sz w:val="24"/>
          <w:szCs w:val="32"/>
          <w:highlight w:val="none"/>
          <w:lang w:val="en-US" w:eastAsia="zh-CN" w:bidi="ar-SA"/>
        </w:rPr>
      </w:pPr>
      <w:bookmarkStart w:id="154" w:name="_Toc29280"/>
      <w:r>
        <w:rPr>
          <w:rFonts w:hint="eastAsia" w:ascii="仿宋" w:hAnsi="仿宋" w:eastAsia="仿宋" w:cs="仿宋"/>
          <w:kern w:val="2"/>
          <w:sz w:val="24"/>
          <w:szCs w:val="32"/>
          <w:highlight w:val="none"/>
          <w:lang w:val="en-US" w:eastAsia="zh-CN" w:bidi="ar-SA"/>
        </w:rPr>
        <w:t>2.投标文件的大写金额和小写金额不一致的，以大写金额为准；</w:t>
      </w:r>
      <w:bookmarkEnd w:id="154"/>
    </w:p>
    <w:p w14:paraId="108AC61C">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3.总价金额与按单价汇总金额不一致的，以单价金额计算结果为准；</w:t>
      </w:r>
    </w:p>
    <w:p w14:paraId="480B1AEB">
      <w:pPr>
        <w:pStyle w:val="44"/>
        <w:snapToGrid w:val="0"/>
        <w:spacing w:line="360" w:lineRule="auto"/>
        <w:ind w:firstLine="480" w:firstLineChars="200"/>
        <w:outlineLvl w:val="2"/>
        <w:rPr>
          <w:rFonts w:hint="eastAsia" w:ascii="仿宋" w:hAnsi="仿宋" w:eastAsia="仿宋" w:cs="仿宋"/>
          <w:kern w:val="2"/>
          <w:sz w:val="24"/>
          <w:szCs w:val="32"/>
          <w:highlight w:val="none"/>
          <w:lang w:val="en-US" w:eastAsia="zh-CN" w:bidi="ar-SA"/>
        </w:rPr>
      </w:pPr>
      <w:bookmarkStart w:id="155" w:name="_Toc16465"/>
      <w:r>
        <w:rPr>
          <w:rFonts w:hint="eastAsia" w:ascii="仿宋" w:hAnsi="仿宋" w:eastAsia="仿宋" w:cs="仿宋"/>
          <w:kern w:val="2"/>
          <w:sz w:val="24"/>
          <w:szCs w:val="32"/>
          <w:highlight w:val="none"/>
          <w:lang w:val="en-US" w:eastAsia="zh-CN" w:bidi="ar-SA"/>
        </w:rPr>
        <w:t>4.对不同文字文本投标文件的解释发生异议的，以中文文本为准。</w:t>
      </w:r>
      <w:bookmarkEnd w:id="155"/>
    </w:p>
    <w:p w14:paraId="72CDC1D5">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按上述修正错误的原则及方法调整或修正投标文件的投标报价，投标人同意并签字确认后，调整后的投标报价对投标人具有约束作用。如果投标人不接受修正后的报价，则其投标将作为无效投标处理。</w:t>
      </w:r>
    </w:p>
    <w:p w14:paraId="3CB1631D">
      <w:pPr>
        <w:pStyle w:val="44"/>
        <w:snapToGrid w:val="0"/>
        <w:spacing w:line="360" w:lineRule="auto"/>
        <w:ind w:left="0" w:leftChars="0" w:firstLine="0" w:firstLineChars="0"/>
        <w:outlineLvl w:val="1"/>
        <w:rPr>
          <w:rFonts w:hint="eastAsia" w:ascii="仿宋" w:hAnsi="仿宋" w:eastAsia="仿宋" w:cs="仿宋"/>
          <w:b/>
          <w:bCs/>
          <w:kern w:val="2"/>
          <w:sz w:val="24"/>
          <w:szCs w:val="32"/>
          <w:highlight w:val="none"/>
          <w:lang w:val="en-US" w:eastAsia="zh-CN" w:bidi="ar-SA"/>
        </w:rPr>
      </w:pPr>
      <w:bookmarkStart w:id="156" w:name="_Toc19846"/>
      <w:bookmarkStart w:id="157" w:name="_Toc15699"/>
      <w:r>
        <w:rPr>
          <w:rFonts w:hint="eastAsia" w:ascii="仿宋" w:hAnsi="仿宋" w:eastAsia="仿宋" w:cs="仿宋"/>
          <w:b/>
          <w:bCs/>
          <w:kern w:val="2"/>
          <w:sz w:val="24"/>
          <w:szCs w:val="32"/>
          <w:highlight w:val="none"/>
          <w:lang w:val="en-US" w:eastAsia="zh-CN" w:bidi="ar-SA"/>
        </w:rPr>
        <w:t>（八）</w:t>
      </w:r>
      <w:bookmarkEnd w:id="156"/>
      <w:bookmarkEnd w:id="157"/>
      <w:r>
        <w:rPr>
          <w:rFonts w:hint="eastAsia" w:ascii="仿宋" w:hAnsi="仿宋" w:eastAsia="仿宋" w:cs="仿宋"/>
          <w:b/>
          <w:bCs/>
          <w:kern w:val="2"/>
          <w:sz w:val="24"/>
          <w:szCs w:val="32"/>
          <w:highlight w:val="none"/>
          <w:lang w:val="en-US" w:eastAsia="zh-CN" w:bidi="ar-SA"/>
        </w:rPr>
        <w:t>有下列情形之一的，视为投标人串通投标，其投标无效</w:t>
      </w:r>
    </w:p>
    <w:p w14:paraId="6AE6CF23">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bookmarkStart w:id="158" w:name="_Toc9664"/>
      <w:bookmarkStart w:id="159" w:name="_Toc29743"/>
      <w:r>
        <w:rPr>
          <w:rFonts w:hint="eastAsia" w:ascii="仿宋" w:hAnsi="仿宋" w:eastAsia="仿宋" w:cs="仿宋"/>
          <w:kern w:val="2"/>
          <w:sz w:val="24"/>
          <w:szCs w:val="32"/>
          <w:highlight w:val="none"/>
          <w:lang w:val="en-US" w:eastAsia="zh-CN" w:bidi="ar-SA"/>
        </w:rPr>
        <w:t>1不同投标人的投标文件由同一单位或者个人编制；</w:t>
      </w:r>
    </w:p>
    <w:p w14:paraId="62900862">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2不同投标人委托同一单位或者个人办理投标事宜；</w:t>
      </w:r>
    </w:p>
    <w:p w14:paraId="730A60E3">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3不同投标人的投标文件载明的项目管理成员或者联系人员为同一人；</w:t>
      </w:r>
    </w:p>
    <w:p w14:paraId="4C31D1B1">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4不同投标人的投标文件异常一致或者投标报价呈规律性差异；</w:t>
      </w:r>
    </w:p>
    <w:p w14:paraId="1E566D53">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5不同投标人的投标文件相互混装；</w:t>
      </w:r>
    </w:p>
    <w:p w14:paraId="4CCDFBE7">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6不同投标人的投标保证金或购买电子保函支付款为从同一单位或个人的账户转出；</w:t>
      </w:r>
    </w:p>
    <w:p w14:paraId="64F09F37">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7投标人上传的电子投标文件使用该项目其他投标人的数字证书加密的或加盖该项目的其他投标人的电子印章的。</w:t>
      </w:r>
    </w:p>
    <w:p w14:paraId="73E94D71">
      <w:pPr>
        <w:pStyle w:val="44"/>
        <w:snapToGrid w:val="0"/>
        <w:spacing w:line="360" w:lineRule="auto"/>
        <w:ind w:firstLine="480" w:firstLineChars="20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 xml:space="preserve"> 说明：在评标过程中发现投标人有上述情形的，评标委员会应当认定其投标无效。同时，项目评审时被认定为串通投标的投标人不得参加该合同项下的采购活动。</w:t>
      </w:r>
    </w:p>
    <w:p w14:paraId="64EEA7AC">
      <w:pPr>
        <w:pStyle w:val="44"/>
        <w:snapToGrid w:val="0"/>
        <w:spacing w:line="360" w:lineRule="auto"/>
        <w:ind w:left="0" w:leftChars="0" w:firstLine="0" w:firstLineChars="0"/>
        <w:outlineLvl w:val="1"/>
        <w:rPr>
          <w:rFonts w:hint="eastAsia" w:ascii="仿宋" w:hAnsi="仿宋" w:eastAsia="仿宋" w:cs="仿宋"/>
          <w:b/>
          <w:bCs/>
          <w:kern w:val="2"/>
          <w:sz w:val="24"/>
          <w:szCs w:val="32"/>
          <w:highlight w:val="none"/>
          <w:lang w:val="en-US" w:eastAsia="zh-CN" w:bidi="ar-SA"/>
        </w:rPr>
      </w:pPr>
      <w:r>
        <w:rPr>
          <w:rFonts w:hint="eastAsia" w:ascii="仿宋" w:hAnsi="仿宋" w:eastAsia="仿宋" w:cs="仿宋"/>
          <w:b/>
          <w:bCs/>
          <w:kern w:val="2"/>
          <w:sz w:val="24"/>
          <w:szCs w:val="32"/>
          <w:highlight w:val="none"/>
          <w:lang w:val="en-US" w:eastAsia="zh-CN" w:bidi="ar-SA"/>
        </w:rPr>
        <w:t>（九）评标过程的监控</w:t>
      </w:r>
      <w:bookmarkEnd w:id="158"/>
      <w:bookmarkEnd w:id="159"/>
    </w:p>
    <w:p w14:paraId="20BF0C10">
      <w:pPr>
        <w:pStyle w:val="44"/>
        <w:snapToGrid w:val="0"/>
        <w:spacing w:line="360" w:lineRule="auto"/>
        <w:ind w:firstLine="480" w:firstLineChars="200"/>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4"/>
          <w:szCs w:val="32"/>
          <w:highlight w:val="none"/>
          <w:lang w:val="en-US" w:eastAsia="zh-CN" w:bidi="ar-SA"/>
        </w:rPr>
        <w:t>本项目评标过程实行录像监控、照片记录，且由监标人员进行现场监督，评标过程中所发生的试图影响评标结果的不公正活动，可能导致其投标被拒绝。</w:t>
      </w:r>
    </w:p>
    <w:p w14:paraId="45A64D32">
      <w:pPr>
        <w:pStyle w:val="3"/>
        <w:numPr>
          <w:ilvl w:val="0"/>
          <w:numId w:val="0"/>
        </w:numPr>
        <w:spacing w:line="240" w:lineRule="auto"/>
        <w:ind w:leftChars="-50" w:right="62" w:rightChars="0"/>
        <w:jc w:val="center"/>
        <w:rPr>
          <w:rFonts w:hint="eastAsia" w:ascii="仿宋" w:hAnsi="仿宋" w:eastAsia="仿宋" w:cs="仿宋"/>
          <w:b/>
          <w:bCs/>
          <w:color w:val="000000"/>
          <w:kern w:val="2"/>
          <w:sz w:val="28"/>
          <w:szCs w:val="28"/>
          <w:highlight w:val="none"/>
          <w:lang w:val="en-US" w:eastAsia="zh-CN" w:bidi="ar-SA"/>
        </w:rPr>
      </w:pPr>
      <w:bookmarkStart w:id="160" w:name="_Toc2497"/>
      <w:bookmarkStart w:id="161" w:name="_Toc28372"/>
      <w:bookmarkStart w:id="162" w:name="_Toc21069"/>
      <w:bookmarkStart w:id="163" w:name="_Toc10823"/>
      <w:bookmarkStart w:id="164" w:name="_Toc26644"/>
      <w:bookmarkStart w:id="165" w:name="_Toc503212221"/>
      <w:bookmarkStart w:id="166" w:name="_Toc521014789"/>
      <w:r>
        <w:rPr>
          <w:rFonts w:hint="eastAsia" w:ascii="仿宋" w:hAnsi="仿宋" w:eastAsia="仿宋" w:cs="仿宋"/>
          <w:b/>
          <w:bCs/>
          <w:color w:val="000000"/>
          <w:kern w:val="2"/>
          <w:sz w:val="28"/>
          <w:szCs w:val="28"/>
          <w:highlight w:val="none"/>
          <w:lang w:val="en-US" w:eastAsia="zh-CN" w:bidi="ar-SA"/>
        </w:rPr>
        <w:t>（六）定标</w:t>
      </w:r>
      <w:bookmarkEnd w:id="160"/>
      <w:bookmarkEnd w:id="161"/>
      <w:bookmarkEnd w:id="162"/>
      <w:bookmarkEnd w:id="163"/>
      <w:bookmarkEnd w:id="164"/>
      <w:bookmarkEnd w:id="165"/>
      <w:bookmarkEnd w:id="166"/>
    </w:p>
    <w:p w14:paraId="2066D5F2">
      <w:pPr>
        <w:snapToGrid w:val="0"/>
        <w:spacing w:line="360" w:lineRule="auto"/>
        <w:ind w:left="10" w:leftChars="0" w:hanging="10" w:firstLineChars="0"/>
        <w:rPr>
          <w:rFonts w:hint="eastAsia" w:ascii="仿宋" w:hAnsi="仿宋" w:eastAsia="仿宋" w:cs="仿宋"/>
          <w:kern w:val="2"/>
          <w:sz w:val="24"/>
          <w:szCs w:val="32"/>
          <w:highlight w:val="none"/>
          <w:lang w:val="en-US" w:eastAsia="zh-CN" w:bidi="ar-SA"/>
        </w:rPr>
      </w:pPr>
      <w:r>
        <w:rPr>
          <w:rFonts w:hint="eastAsia" w:ascii="仿宋" w:hAnsi="仿宋" w:eastAsia="仿宋" w:cs="仿宋"/>
          <w:b/>
          <w:bCs/>
          <w:kern w:val="2"/>
          <w:sz w:val="24"/>
          <w:szCs w:val="32"/>
          <w:highlight w:val="none"/>
          <w:lang w:val="en-US" w:eastAsia="zh-CN" w:bidi="ar-SA"/>
        </w:rPr>
        <w:t>确定中标人：</w:t>
      </w:r>
      <w:r>
        <w:rPr>
          <w:rFonts w:hint="eastAsia" w:ascii="仿宋" w:hAnsi="仿宋" w:eastAsia="仿宋" w:cs="仿宋"/>
          <w:kern w:val="2"/>
          <w:sz w:val="24"/>
          <w:szCs w:val="32"/>
          <w:highlight w:val="none"/>
          <w:lang w:val="en-US" w:eastAsia="zh-CN" w:bidi="ar-SA"/>
        </w:rPr>
        <w:t>本项目由招标人根据评标结果排名第一位的候选人为中标人。</w:t>
      </w:r>
    </w:p>
    <w:p w14:paraId="67992196">
      <w:pPr>
        <w:spacing w:line="360" w:lineRule="auto"/>
        <w:ind w:left="10" w:leftChars="0" w:hanging="10" w:firstLineChars="0"/>
        <w:jc w:val="left"/>
        <w:rPr>
          <w:rFonts w:hint="eastAsia" w:ascii="仿宋" w:hAnsi="仿宋" w:eastAsia="仿宋" w:cs="仿宋"/>
          <w:sz w:val="24"/>
          <w:szCs w:val="32"/>
          <w:highlight w:val="none"/>
        </w:rPr>
      </w:pPr>
      <w:r>
        <w:rPr>
          <w:rFonts w:hint="eastAsia" w:ascii="仿宋" w:hAnsi="仿宋" w:eastAsia="仿宋" w:cs="仿宋"/>
          <w:b/>
          <w:bCs/>
          <w:sz w:val="24"/>
          <w:szCs w:val="32"/>
          <w:highlight w:val="none"/>
        </w:rPr>
        <w:t>中标公告：</w:t>
      </w:r>
      <w:r>
        <w:rPr>
          <w:rFonts w:hint="eastAsia" w:ascii="仿宋" w:hAnsi="仿宋" w:eastAsia="仿宋" w:cs="仿宋"/>
          <w:sz w:val="24"/>
          <w:szCs w:val="32"/>
          <w:highlight w:val="none"/>
        </w:rPr>
        <w:t>中标供应商确定之日起2个工作日内，采购人或采购代理机构将在中国政府采购网</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www.ccgp.gov.cn</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、新疆政府采购网</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http://www.ccgp-xinjiang.gov.cn/</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上以公告的形式发布中标结果，中标公告的公告期限为 1个工作日。中标公告同时作为采购代理机构通知除中标供应商外的其他投标人没有中标的书面形式，采购代理机构不再</w:t>
      </w:r>
      <w:r>
        <w:rPr>
          <w:rFonts w:hint="eastAsia" w:ascii="仿宋" w:hAnsi="仿宋" w:eastAsia="仿宋" w:cs="仿宋"/>
          <w:sz w:val="24"/>
          <w:szCs w:val="32"/>
          <w:highlight w:val="none"/>
          <w:lang w:eastAsia="zh-CN"/>
        </w:rPr>
        <w:t>以其他方式</w:t>
      </w:r>
      <w:r>
        <w:rPr>
          <w:rFonts w:hint="eastAsia" w:ascii="仿宋" w:hAnsi="仿宋" w:eastAsia="仿宋" w:cs="仿宋"/>
          <w:sz w:val="24"/>
          <w:szCs w:val="32"/>
          <w:highlight w:val="none"/>
        </w:rPr>
        <w:t>另行通知。</w:t>
      </w:r>
    </w:p>
    <w:p w14:paraId="1957703C">
      <w:pPr>
        <w:spacing w:line="360" w:lineRule="auto"/>
        <w:ind w:left="10" w:leftChars="0" w:hanging="10" w:firstLineChars="0"/>
        <w:jc w:val="left"/>
        <w:rPr>
          <w:rFonts w:hint="eastAsia" w:ascii="仿宋" w:hAnsi="仿宋" w:eastAsia="仿宋" w:cs="仿宋"/>
          <w:sz w:val="24"/>
          <w:szCs w:val="32"/>
          <w:highlight w:val="none"/>
        </w:rPr>
      </w:pPr>
      <w:r>
        <w:rPr>
          <w:rFonts w:hint="eastAsia" w:ascii="仿宋" w:hAnsi="仿宋" w:eastAsia="仿宋" w:cs="仿宋"/>
          <w:b/>
          <w:bCs/>
          <w:sz w:val="24"/>
          <w:szCs w:val="32"/>
          <w:highlight w:val="none"/>
        </w:rPr>
        <w:t>中标通知书：</w:t>
      </w:r>
      <w:r>
        <w:rPr>
          <w:rFonts w:hint="eastAsia" w:ascii="仿宋" w:hAnsi="仿宋" w:eastAsia="仿宋" w:cs="仿宋"/>
          <w:sz w:val="24"/>
          <w:szCs w:val="32"/>
          <w:highlight w:val="none"/>
        </w:rPr>
        <w:t>中标通知书在发布中标公告时，同步发</w:t>
      </w:r>
      <w:r>
        <w:rPr>
          <w:rFonts w:hint="eastAsia" w:ascii="仿宋" w:hAnsi="仿宋" w:eastAsia="仿宋" w:cs="仿宋"/>
          <w:sz w:val="24"/>
          <w:szCs w:val="32"/>
          <w:highlight w:val="none"/>
          <w:lang w:eastAsia="zh-CN"/>
        </w:rPr>
        <w:t>出</w:t>
      </w:r>
      <w:r>
        <w:rPr>
          <w:rFonts w:hint="eastAsia" w:ascii="仿宋" w:hAnsi="仿宋" w:eastAsia="仿宋" w:cs="仿宋"/>
          <w:sz w:val="24"/>
          <w:szCs w:val="32"/>
          <w:highlight w:val="none"/>
        </w:rPr>
        <w:t>中标通知书至中标供应商。中标通知书发出后，采购人不得违法改变中标结果，中标供应商不得放弃中标。中标供应商放弃中标的，应当依法承担相应的法律责任。</w:t>
      </w:r>
    </w:p>
    <w:p w14:paraId="18999906">
      <w:pPr>
        <w:spacing w:line="360" w:lineRule="auto"/>
        <w:ind w:left="10" w:leftChars="0" w:hanging="10" w:firstLineChars="0"/>
        <w:jc w:val="left"/>
        <w:rPr>
          <w:rFonts w:hint="eastAsia" w:ascii="仿宋" w:hAnsi="仿宋" w:eastAsia="仿宋" w:cs="仿宋"/>
          <w:sz w:val="24"/>
          <w:szCs w:val="32"/>
          <w:highlight w:val="none"/>
        </w:rPr>
      </w:pPr>
      <w:r>
        <w:rPr>
          <w:rFonts w:hint="eastAsia" w:ascii="仿宋" w:hAnsi="仿宋" w:eastAsia="仿宋" w:cs="仿宋"/>
          <w:b/>
          <w:bCs/>
          <w:sz w:val="24"/>
          <w:szCs w:val="32"/>
          <w:highlight w:val="none"/>
        </w:rPr>
        <w:t>项目废标处理：</w:t>
      </w:r>
      <w:r>
        <w:rPr>
          <w:rFonts w:hint="eastAsia" w:ascii="仿宋" w:hAnsi="仿宋" w:eastAsia="仿宋" w:cs="仿宋"/>
          <w:sz w:val="24"/>
          <w:szCs w:val="32"/>
          <w:highlight w:val="none"/>
        </w:rPr>
        <w:t>根据《中华人民共和国政府采购法》第三十六条及招标文件的约定，本项目或分包下列情况出现将作废标处理：</w:t>
      </w:r>
    </w:p>
    <w:p w14:paraId="6EB208D4">
      <w:pPr>
        <w:spacing w:line="360" w:lineRule="auto"/>
        <w:ind w:left="10" w:leftChars="0" w:hanging="10" w:firstLineChars="0"/>
        <w:jc w:val="left"/>
        <w:rPr>
          <w:rFonts w:hint="eastAsia" w:ascii="仿宋" w:hAnsi="仿宋" w:eastAsia="仿宋" w:cs="仿宋"/>
          <w:sz w:val="24"/>
          <w:szCs w:val="32"/>
          <w:highlight w:val="none"/>
        </w:rPr>
      </w:pPr>
      <w:r>
        <w:rPr>
          <w:rFonts w:hint="eastAsia" w:ascii="仿宋" w:hAnsi="仿宋" w:eastAsia="仿宋" w:cs="仿宋"/>
          <w:sz w:val="24"/>
          <w:szCs w:val="32"/>
          <w:highlight w:val="none"/>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14:paraId="60E56E02">
      <w:pPr>
        <w:spacing w:line="360" w:lineRule="auto"/>
        <w:ind w:left="10" w:leftChars="0" w:hanging="10" w:firstLineChars="0"/>
        <w:jc w:val="left"/>
        <w:rPr>
          <w:rFonts w:hint="eastAsia" w:ascii="仿宋" w:hAnsi="仿宋" w:eastAsia="仿宋" w:cs="仿宋"/>
          <w:sz w:val="24"/>
          <w:szCs w:val="32"/>
          <w:highlight w:val="none"/>
        </w:rPr>
      </w:pPr>
      <w:r>
        <w:rPr>
          <w:rFonts w:hint="eastAsia" w:ascii="仿宋" w:hAnsi="仿宋" w:eastAsia="仿宋" w:cs="仿宋"/>
          <w:sz w:val="24"/>
          <w:szCs w:val="32"/>
          <w:highlight w:val="none"/>
        </w:rPr>
        <w:t>（2）出现影响采购公正的违法、违规行为的。</w:t>
      </w:r>
    </w:p>
    <w:p w14:paraId="7B4A17CF">
      <w:pPr>
        <w:spacing w:line="360" w:lineRule="auto"/>
        <w:ind w:left="10" w:leftChars="0" w:hanging="10" w:firstLineChars="0"/>
        <w:jc w:val="left"/>
        <w:rPr>
          <w:rFonts w:hint="eastAsia" w:ascii="仿宋" w:hAnsi="仿宋" w:eastAsia="仿宋" w:cs="仿宋"/>
          <w:sz w:val="24"/>
          <w:szCs w:val="32"/>
          <w:highlight w:val="none"/>
        </w:rPr>
      </w:pPr>
      <w:r>
        <w:rPr>
          <w:rFonts w:hint="eastAsia" w:ascii="仿宋" w:hAnsi="仿宋" w:eastAsia="仿宋" w:cs="仿宋"/>
          <w:sz w:val="24"/>
          <w:szCs w:val="32"/>
          <w:highlight w:val="none"/>
        </w:rPr>
        <w:t>（3）投标人的报价均超过了采购预算，采购人不能支付的。</w:t>
      </w:r>
    </w:p>
    <w:p w14:paraId="1679B1AC">
      <w:pPr>
        <w:spacing w:line="360" w:lineRule="auto"/>
        <w:ind w:left="10" w:leftChars="0" w:hanging="10" w:firstLineChars="0"/>
        <w:jc w:val="left"/>
        <w:rPr>
          <w:rFonts w:hint="eastAsia" w:ascii="仿宋" w:hAnsi="仿宋" w:eastAsia="仿宋" w:cs="仿宋"/>
          <w:sz w:val="24"/>
          <w:szCs w:val="32"/>
          <w:highlight w:val="none"/>
        </w:rPr>
      </w:pPr>
      <w:r>
        <w:rPr>
          <w:rFonts w:hint="eastAsia" w:ascii="仿宋" w:hAnsi="仿宋" w:eastAsia="仿宋" w:cs="仿宋"/>
          <w:sz w:val="24"/>
          <w:szCs w:val="32"/>
          <w:highlight w:val="none"/>
        </w:rPr>
        <w:t>（4）因重大变故，采购任务取消的。</w:t>
      </w:r>
    </w:p>
    <w:p w14:paraId="31527D7F">
      <w:pPr>
        <w:spacing w:line="360" w:lineRule="auto"/>
        <w:ind w:left="10" w:leftChars="0" w:hanging="10" w:firstLineChars="0"/>
        <w:jc w:val="left"/>
        <w:rPr>
          <w:rFonts w:hint="eastAsia" w:ascii="仿宋" w:hAnsi="仿宋" w:eastAsia="仿宋" w:cs="仿宋"/>
          <w:sz w:val="24"/>
          <w:szCs w:val="32"/>
          <w:highlight w:val="none"/>
        </w:rPr>
      </w:pPr>
      <w:r>
        <w:rPr>
          <w:rFonts w:hint="eastAsia" w:ascii="仿宋" w:hAnsi="仿宋" w:eastAsia="仿宋" w:cs="仿宋"/>
          <w:sz w:val="24"/>
          <w:szCs w:val="32"/>
          <w:highlight w:val="none"/>
        </w:rPr>
        <w:t>对废标的采购项目，评标委员会应出具采购文件是否存在不合理条款的论证意见。</w:t>
      </w:r>
    </w:p>
    <w:p w14:paraId="58C45182">
      <w:pPr>
        <w:spacing w:line="360" w:lineRule="auto"/>
        <w:ind w:firstLine="480"/>
        <w:jc w:val="left"/>
        <w:rPr>
          <w:rFonts w:hint="eastAsia" w:ascii="仿宋" w:hAnsi="仿宋" w:eastAsia="仿宋" w:cs="仿宋"/>
          <w:sz w:val="24"/>
          <w:szCs w:val="32"/>
          <w:highlight w:val="none"/>
        </w:rPr>
      </w:pPr>
      <w:r>
        <w:rPr>
          <w:rFonts w:hint="eastAsia" w:ascii="仿宋" w:hAnsi="仿宋" w:eastAsia="仿宋" w:cs="仿宋"/>
          <w:b/>
          <w:bCs/>
          <w:sz w:val="24"/>
          <w:szCs w:val="32"/>
          <w:highlight w:val="none"/>
        </w:rPr>
        <w:t>终止公告：</w:t>
      </w:r>
      <w:r>
        <w:rPr>
          <w:rFonts w:hint="eastAsia" w:ascii="仿宋" w:hAnsi="仿宋" w:eastAsia="仿宋" w:cs="仿宋"/>
          <w:sz w:val="24"/>
          <w:szCs w:val="32"/>
          <w:highlight w:val="none"/>
        </w:rPr>
        <w:t>项目废标后，采购人或采购代理机构将在中国政府采购网</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www.ccgp.gov.cn</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、新疆政府采购网</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http://www.ccgp-xinjiang.gov.cn/</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、上发布终止公告，终止公告的公告期限为1个工作日。</w:t>
      </w:r>
    </w:p>
    <w:p w14:paraId="48EB5A78">
      <w:pPr>
        <w:pStyle w:val="3"/>
        <w:numPr>
          <w:ilvl w:val="0"/>
          <w:numId w:val="0"/>
        </w:numPr>
        <w:spacing w:line="240" w:lineRule="auto"/>
        <w:ind w:leftChars="-50" w:right="62" w:rightChars="0"/>
        <w:jc w:val="center"/>
        <w:rPr>
          <w:rFonts w:hint="eastAsia" w:ascii="仿宋" w:hAnsi="仿宋" w:eastAsia="仿宋" w:cs="仿宋"/>
          <w:b/>
          <w:bCs/>
          <w:color w:val="000000"/>
          <w:kern w:val="2"/>
          <w:sz w:val="28"/>
          <w:szCs w:val="28"/>
          <w:highlight w:val="none"/>
          <w:lang w:val="en-US" w:eastAsia="zh-CN" w:bidi="ar-SA"/>
        </w:rPr>
      </w:pPr>
      <w:bookmarkStart w:id="167" w:name="_Toc20345"/>
      <w:bookmarkStart w:id="168" w:name="_Toc11259"/>
      <w:bookmarkStart w:id="169" w:name="_Toc15327"/>
      <w:bookmarkStart w:id="170" w:name="_Toc20063"/>
      <w:bookmarkStart w:id="171" w:name="_Toc521014790"/>
      <w:bookmarkStart w:id="172" w:name="_Toc503212222"/>
      <w:bookmarkStart w:id="173" w:name="_Toc20117"/>
      <w:r>
        <w:rPr>
          <w:rFonts w:hint="eastAsia" w:ascii="仿宋" w:hAnsi="仿宋" w:eastAsia="仿宋" w:cs="仿宋"/>
          <w:b/>
          <w:bCs/>
          <w:color w:val="000000"/>
          <w:kern w:val="2"/>
          <w:sz w:val="28"/>
          <w:szCs w:val="28"/>
          <w:highlight w:val="none"/>
          <w:lang w:val="en-US" w:eastAsia="zh-CN" w:bidi="ar-SA"/>
        </w:rPr>
        <w:t>（七）合同授予</w:t>
      </w:r>
      <w:bookmarkEnd w:id="167"/>
      <w:bookmarkEnd w:id="168"/>
      <w:bookmarkEnd w:id="169"/>
      <w:bookmarkEnd w:id="170"/>
      <w:bookmarkEnd w:id="171"/>
      <w:bookmarkEnd w:id="172"/>
      <w:bookmarkEnd w:id="173"/>
    </w:p>
    <w:p w14:paraId="405AF761">
      <w:p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1.合同签订</w:t>
      </w:r>
    </w:p>
    <w:p w14:paraId="3CA07380">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新疆政府采购网，填报未能依法签订政府采购合同的具体原因、整改措施和预计签订合同时间等信息。</w:t>
      </w:r>
    </w:p>
    <w:p w14:paraId="4F1FD776">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1.2采购人不得提出试用合格等任何不合理的要求作为签订合同的条件，且不得与中标供应商私下订立背离合同实质性内容的协议。</w:t>
      </w:r>
    </w:p>
    <w:p w14:paraId="6F5B1478">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1.3采购人应当自政府采购合同签订之日起2个工作日内，将政府采购合同在省级以上人民政府财政部门指定的媒体上公告，但政府采购合同中涉及国家秘密、商业秘密的内容除外。</w:t>
      </w:r>
    </w:p>
    <w:p w14:paraId="08A12FC2">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1.4采购人应当自政府采购合同签订之日起2个工作日内，登录新疆政府采购网上传政府采购合同扫描版，如实填报政府采购合同的签订时间。依法签订的补充合同，也应在补充合同签订之日起2个工作日内公开并备案采购合同。</w:t>
      </w:r>
    </w:p>
    <w:p w14:paraId="28A21E90">
      <w:p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2.合同的履行</w:t>
      </w:r>
    </w:p>
    <w:p w14:paraId="70922984">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601455C0">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新疆政府采购网上传备案。</w:t>
      </w:r>
    </w:p>
    <w:p w14:paraId="54B2036A">
      <w:pPr>
        <w:spacing w:line="360" w:lineRule="auto"/>
        <w:ind w:left="239" w:leftChars="114"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2.3有融资要求的中标供应商可根据自身情况，在新疆政府采购网上自行选择金融机构及其融资产品，凭政府采购中标通知书或政府采购合同向金融机构提出融资申请。</w:t>
      </w:r>
    </w:p>
    <w:p w14:paraId="4213C65D">
      <w:pPr>
        <w:pStyle w:val="3"/>
        <w:numPr>
          <w:ilvl w:val="0"/>
          <w:numId w:val="0"/>
        </w:numPr>
        <w:spacing w:line="240" w:lineRule="auto"/>
        <w:ind w:leftChars="-50" w:right="62" w:rightChars="0"/>
        <w:jc w:val="center"/>
        <w:rPr>
          <w:rFonts w:hint="eastAsia" w:ascii="仿宋" w:hAnsi="仿宋" w:eastAsia="仿宋" w:cs="仿宋"/>
          <w:b/>
          <w:bCs/>
          <w:color w:val="000000"/>
          <w:kern w:val="2"/>
          <w:sz w:val="28"/>
          <w:szCs w:val="28"/>
          <w:highlight w:val="none"/>
          <w:lang w:val="en-US" w:eastAsia="zh-CN" w:bidi="ar-SA"/>
        </w:rPr>
      </w:pPr>
      <w:bookmarkStart w:id="174" w:name="_Toc17664"/>
      <w:bookmarkStart w:id="175" w:name="_Toc115436070"/>
      <w:bookmarkStart w:id="176" w:name="_Toc18703"/>
      <w:bookmarkStart w:id="177" w:name="_Toc28496"/>
      <w:r>
        <w:rPr>
          <w:rFonts w:hint="eastAsia" w:ascii="仿宋" w:hAnsi="仿宋" w:eastAsia="仿宋" w:cs="仿宋"/>
          <w:b/>
          <w:bCs/>
          <w:color w:val="000000"/>
          <w:kern w:val="2"/>
          <w:sz w:val="28"/>
          <w:szCs w:val="28"/>
          <w:highlight w:val="none"/>
          <w:lang w:val="en-US" w:eastAsia="zh-CN" w:bidi="ar-SA"/>
        </w:rPr>
        <w:t>（八）法律责任</w:t>
      </w:r>
      <w:bookmarkEnd w:id="174"/>
      <w:bookmarkEnd w:id="175"/>
    </w:p>
    <w:p w14:paraId="2B37CCF3">
      <w:pPr>
        <w:shd w:val="clear" w:color="auto" w:fill="auto"/>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法律责任</w:t>
      </w:r>
    </w:p>
    <w:p w14:paraId="7D0091A6">
      <w:pPr>
        <w:pStyle w:val="44"/>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14:paraId="0D709829">
      <w:pPr>
        <w:pStyle w:val="44"/>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（一）提供虚假材料谋取中标的； </w:t>
      </w:r>
    </w:p>
    <w:p w14:paraId="033AF13F">
      <w:pPr>
        <w:pStyle w:val="44"/>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（二）采取不正当手段诋毁、排挤其他投标人的；</w:t>
      </w:r>
    </w:p>
    <w:p w14:paraId="7DC79CEC">
      <w:pPr>
        <w:pStyle w:val="44"/>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（三）与招标人、采购人、其他投标人恶意串通的； </w:t>
      </w:r>
    </w:p>
    <w:p w14:paraId="0BF2314B">
      <w:pPr>
        <w:pStyle w:val="44"/>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（四）向招标人、采购人行贿或者提供其他不正当利益的； </w:t>
      </w:r>
    </w:p>
    <w:p w14:paraId="3AED88A7">
      <w:pPr>
        <w:pStyle w:val="44"/>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（五）在招标过程中与招标人、采购人进行协商谈判、不按照招标文件、投标文件订立合同，或者与采购人另行订立背离合同实质性内容的协议的； </w:t>
      </w:r>
    </w:p>
    <w:p w14:paraId="68704241">
      <w:pPr>
        <w:pStyle w:val="44"/>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（六）拒绝有关部门监督检查或者提供虚假情况的。 </w:t>
      </w:r>
    </w:p>
    <w:p w14:paraId="50B70676">
      <w:pPr>
        <w:pStyle w:val="44"/>
        <w:snapToGrid w:val="0"/>
        <w:spacing w:line="360" w:lineRule="auto"/>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投标人有前款第（一）至（五）项情形之一的，中标无效。 </w:t>
      </w:r>
    </w:p>
    <w:p w14:paraId="1865544E">
      <w:pPr>
        <w:pStyle w:val="44"/>
        <w:snapToGrid w:val="0"/>
        <w:spacing w:line="360" w:lineRule="auto"/>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2.中标人有下列情形之一的，招标人不予退还其交纳的投标保证金；情节严重的，由财政部门将其列入不良行为记录名单，在一至三年内禁止参加政府采购活动，并予以通报：</w:t>
      </w:r>
    </w:p>
    <w:p w14:paraId="37B6AE7E">
      <w:pPr>
        <w:pStyle w:val="44"/>
        <w:snapToGrid w:val="0"/>
        <w:spacing w:line="360" w:lineRule="auto"/>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（一）中标后无正当理由不与采购人签订合同的；</w:t>
      </w:r>
    </w:p>
    <w:p w14:paraId="18E3748A">
      <w:pPr>
        <w:pStyle w:val="44"/>
        <w:snapToGrid w:val="0"/>
        <w:spacing w:line="360" w:lineRule="auto"/>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（二）将中标项目转让给他人，或者在投标文件中未说明，且未经招标人同意，将中标项目分包给他人的；</w:t>
      </w:r>
    </w:p>
    <w:p w14:paraId="17CD3A3C">
      <w:pPr>
        <w:pStyle w:val="44"/>
        <w:snapToGrid w:val="0"/>
        <w:spacing w:line="360" w:lineRule="auto"/>
        <w:ind w:left="210" w:leftChars="100" w:firstLine="360" w:firstLineChars="1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（三）拒绝履行合同义务的。</w:t>
      </w:r>
    </w:p>
    <w:p w14:paraId="3F6DF2F4">
      <w:pPr>
        <w:pStyle w:val="3"/>
        <w:numPr>
          <w:ilvl w:val="0"/>
          <w:numId w:val="0"/>
        </w:numPr>
        <w:spacing w:line="240" w:lineRule="auto"/>
        <w:ind w:leftChars="-50" w:right="62" w:rightChars="0"/>
        <w:jc w:val="center"/>
        <w:rPr>
          <w:rFonts w:hint="eastAsia" w:ascii="仿宋" w:hAnsi="仿宋" w:eastAsia="仿宋" w:cs="仿宋"/>
          <w:b/>
          <w:bCs/>
          <w:color w:val="000000"/>
          <w:kern w:val="2"/>
          <w:sz w:val="28"/>
          <w:szCs w:val="28"/>
          <w:highlight w:val="none"/>
          <w:lang w:val="en-US" w:eastAsia="zh-CN" w:bidi="ar-SA"/>
        </w:rPr>
      </w:pPr>
      <w:bookmarkStart w:id="178" w:name="_Toc5688"/>
      <w:bookmarkStart w:id="179" w:name="_Toc115436071"/>
      <w:r>
        <w:rPr>
          <w:rFonts w:hint="eastAsia" w:ascii="仿宋" w:hAnsi="仿宋" w:eastAsia="仿宋" w:cs="仿宋"/>
          <w:b/>
          <w:bCs/>
          <w:color w:val="000000"/>
          <w:kern w:val="2"/>
          <w:sz w:val="28"/>
          <w:szCs w:val="28"/>
          <w:highlight w:val="none"/>
          <w:lang w:val="en-US" w:eastAsia="zh-CN" w:bidi="ar-SA"/>
        </w:rPr>
        <w:t>（九）特别提示</w:t>
      </w:r>
      <w:bookmarkEnd w:id="176"/>
      <w:bookmarkEnd w:id="177"/>
      <w:bookmarkEnd w:id="178"/>
      <w:bookmarkEnd w:id="179"/>
    </w:p>
    <w:p w14:paraId="4787B53D">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1、投标人应认真研读招标文件，充分考虑招标文件中的技术要求和合同条款后编制投标文件。</w:t>
      </w:r>
    </w:p>
    <w:p w14:paraId="4849AD13">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2、如招标文件中未提供的各类表格样式，投标人可另行设计表格样式，但力求内容完整，表达清晰、准确。</w:t>
      </w:r>
    </w:p>
    <w:p w14:paraId="31B22DA7">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3、本项目实行网上投标，采用电子投标文件。若供应商参与投标，自行承担投标一切费用。 </w:t>
      </w:r>
    </w:p>
    <w:p w14:paraId="774BE4F0">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4、各供应商应在开标前应确保成为正式注册入库供应商，并完成CA数字证书申领。因未注册入库、未办理CA数字证书等原因造成无法投标或投标失败等后果由供应商自行承担。 </w:t>
      </w:r>
    </w:p>
    <w:p w14:paraId="77BEB622">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29B39DFB">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79C3BAF5">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7、本招标文件是根据《中华人民共和国政府采购法》等相关规定编制的，解释权属墨玉县众信智诚工程项目管理有限公司。</w:t>
      </w:r>
    </w:p>
    <w:p w14:paraId="6A7336D1">
      <w:pPr>
        <w:pStyle w:val="3"/>
        <w:numPr>
          <w:ilvl w:val="0"/>
          <w:numId w:val="0"/>
        </w:numPr>
        <w:spacing w:line="240" w:lineRule="auto"/>
        <w:ind w:leftChars="-50" w:right="62" w:rightChars="0"/>
        <w:jc w:val="center"/>
        <w:rPr>
          <w:rFonts w:hint="eastAsia" w:ascii="仿宋" w:hAnsi="仿宋" w:eastAsia="仿宋" w:cs="仿宋"/>
          <w:b/>
          <w:bCs/>
          <w:color w:val="000000"/>
          <w:kern w:val="2"/>
          <w:sz w:val="28"/>
          <w:szCs w:val="28"/>
          <w:highlight w:val="none"/>
          <w:lang w:val="en-US" w:eastAsia="zh-CN" w:bidi="ar-SA"/>
        </w:rPr>
      </w:pPr>
      <w:bookmarkStart w:id="180" w:name="_Toc115436072"/>
      <w:bookmarkStart w:id="181" w:name="_Toc4516"/>
      <w:r>
        <w:rPr>
          <w:rFonts w:hint="eastAsia" w:ascii="仿宋" w:hAnsi="仿宋" w:eastAsia="仿宋" w:cs="仿宋"/>
          <w:b/>
          <w:bCs/>
          <w:color w:val="000000"/>
          <w:kern w:val="2"/>
          <w:sz w:val="28"/>
          <w:szCs w:val="28"/>
          <w:highlight w:val="none"/>
          <w:lang w:val="en-US" w:eastAsia="zh-CN" w:bidi="ar-SA"/>
        </w:rPr>
        <w:t>（十）重新招标和其他方式采购</w:t>
      </w:r>
      <w:bookmarkEnd w:id="180"/>
      <w:bookmarkEnd w:id="181"/>
    </w:p>
    <w:p w14:paraId="2785A464">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1.重新招标</w:t>
      </w:r>
    </w:p>
    <w:p w14:paraId="7F02D5BD">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1.1在招标采购中，出现下列情形之一的，应当在废标后重新招标：</w:t>
      </w:r>
    </w:p>
    <w:p w14:paraId="6780C4C7">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（1）符合专业条件的供应商或者对招标文件做实质响应的供应商不足三家的；</w:t>
      </w:r>
    </w:p>
    <w:p w14:paraId="3C33C4B1">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（2）出现影响采购公正的违法、违规行为的；</w:t>
      </w:r>
    </w:p>
    <w:p w14:paraId="4FA22B63">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（3）投标人的报价均超过了采购预算，采购人不能支付的；</w:t>
      </w:r>
    </w:p>
    <w:p w14:paraId="6105FC14">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（4）因重大变故，采购任务取消的。</w:t>
      </w:r>
    </w:p>
    <w:p w14:paraId="7E646C03">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1.2如果排名第一，二的中标候选人，直至排名第三的中标候选人因不可抗力或自身原因放弃中标结果，本次招标宣布失败。招标人应依法按规定重新组织招标。</w:t>
      </w:r>
    </w:p>
    <w:p w14:paraId="503509E2">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2其他方式采购</w:t>
      </w:r>
    </w:p>
    <w:p w14:paraId="205B53AB">
      <w:pPr>
        <w:shd w:val="clear" w:color="auto" w:fill="auto"/>
        <w:spacing w:line="4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2.1需要采取其他方式采购的，应当在采购活动开始前获得设区的市、自治州以上人民政府采购监督管理部门或者政府有关部门批准。</w:t>
      </w:r>
    </w:p>
    <w:p w14:paraId="1C208757">
      <w:pPr>
        <w:pStyle w:val="3"/>
        <w:numPr>
          <w:ilvl w:val="0"/>
          <w:numId w:val="0"/>
        </w:numPr>
        <w:spacing w:line="240" w:lineRule="auto"/>
        <w:ind w:leftChars="-50" w:right="62" w:rightChars="0"/>
        <w:jc w:val="center"/>
        <w:rPr>
          <w:rFonts w:hint="eastAsia" w:ascii="仿宋" w:hAnsi="仿宋" w:eastAsia="仿宋" w:cs="仿宋"/>
          <w:b/>
          <w:bCs/>
          <w:color w:val="000000"/>
          <w:kern w:val="2"/>
          <w:sz w:val="28"/>
          <w:szCs w:val="28"/>
          <w:highlight w:val="none"/>
          <w:lang w:val="en-US" w:eastAsia="zh-CN" w:bidi="ar-SA"/>
        </w:rPr>
      </w:pPr>
      <w:bookmarkStart w:id="182" w:name="_Toc26775"/>
      <w:bookmarkStart w:id="183" w:name="_Toc115436073"/>
      <w:bookmarkStart w:id="184" w:name="_Toc13351"/>
      <w:bookmarkStart w:id="185" w:name="_Toc2805"/>
      <w:r>
        <w:rPr>
          <w:rFonts w:hint="eastAsia" w:ascii="仿宋" w:hAnsi="仿宋" w:eastAsia="仿宋" w:cs="仿宋"/>
          <w:b/>
          <w:bCs/>
          <w:color w:val="000000"/>
          <w:kern w:val="2"/>
          <w:sz w:val="28"/>
          <w:szCs w:val="28"/>
          <w:highlight w:val="none"/>
          <w:lang w:val="en-US" w:eastAsia="zh-CN" w:bidi="ar-SA"/>
        </w:rPr>
        <w:t>（十一）质疑及答复</w:t>
      </w:r>
      <w:bookmarkEnd w:id="182"/>
      <w:bookmarkEnd w:id="183"/>
      <w:bookmarkEnd w:id="184"/>
      <w:bookmarkEnd w:id="185"/>
      <w:r>
        <w:rPr>
          <w:rFonts w:hint="eastAsia" w:ascii="仿宋" w:hAnsi="仿宋" w:eastAsia="仿宋" w:cs="仿宋"/>
          <w:b/>
          <w:bCs/>
          <w:color w:val="000000"/>
          <w:kern w:val="2"/>
          <w:sz w:val="28"/>
          <w:szCs w:val="28"/>
          <w:highlight w:val="none"/>
          <w:lang w:val="en-US" w:eastAsia="zh-CN" w:bidi="ar-SA"/>
        </w:rPr>
        <w:t>、投诉</w:t>
      </w:r>
    </w:p>
    <w:p w14:paraId="38497C2C">
      <w:pPr>
        <w:shd w:val="clear" w:color="auto" w:fill="auto"/>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、质疑的提出</w:t>
      </w:r>
      <w:r>
        <w:rPr>
          <w:rFonts w:hint="eastAsia" w:ascii="仿宋" w:hAnsi="仿宋" w:eastAsia="仿宋" w:cs="仿宋"/>
          <w:color w:val="auto"/>
          <w:sz w:val="24"/>
          <w:szCs w:val="24"/>
          <w:highlight w:val="none"/>
        </w:rPr>
        <w:tab/>
      </w:r>
    </w:p>
    <w:p w14:paraId="338A7AFE">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本采购文件中所称质疑及答复，是指参加本次采购活动的供应商对政府采购活动中的采购文件、采购过程和中标结果向采购方</w:t>
      </w:r>
      <w:r>
        <w:rPr>
          <w:rFonts w:hint="eastAsia" w:ascii="仿宋" w:hAnsi="仿宋" w:eastAsia="仿宋" w:cs="仿宋"/>
          <w:color w:val="auto"/>
          <w:sz w:val="24"/>
          <w:szCs w:val="24"/>
          <w:highlight w:val="none"/>
          <w:lang w:eastAsia="zh-CN"/>
        </w:rPr>
        <w:t>一次性</w:t>
      </w:r>
      <w:r>
        <w:rPr>
          <w:rFonts w:hint="eastAsia" w:ascii="仿宋" w:hAnsi="仿宋" w:eastAsia="仿宋" w:cs="仿宋"/>
          <w:color w:val="auto"/>
          <w:sz w:val="24"/>
          <w:szCs w:val="24"/>
          <w:highlight w:val="none"/>
        </w:rPr>
        <w:t>提出质疑，采购方答复质疑的行为。</w:t>
      </w:r>
    </w:p>
    <w:p w14:paraId="2EF992B0">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供应商认为采购文件、采购过程和中标结果使自己的权益受到损害的，可以在知道或者应知其权益受到损害之日起 7 个工作日内，以书面形式</w:t>
      </w:r>
      <w:r>
        <w:rPr>
          <w:rFonts w:hint="eastAsia" w:ascii="仿宋" w:hAnsi="仿宋" w:eastAsia="仿宋" w:cs="仿宋"/>
          <w:color w:val="auto"/>
          <w:sz w:val="24"/>
          <w:szCs w:val="24"/>
          <w:highlight w:val="none"/>
          <w:lang w:eastAsia="zh-CN"/>
        </w:rPr>
        <w:t>一次性</w:t>
      </w:r>
      <w:r>
        <w:rPr>
          <w:rFonts w:hint="eastAsia" w:ascii="仿宋" w:hAnsi="仿宋" w:eastAsia="仿宋" w:cs="仿宋"/>
          <w:color w:val="auto"/>
          <w:sz w:val="24"/>
          <w:szCs w:val="24"/>
          <w:highlight w:val="none"/>
        </w:rPr>
        <w:t>向采购方提出质疑。</w:t>
      </w:r>
    </w:p>
    <w:p w14:paraId="4E9C2ACE">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供应商应知其权益受到损害之日，是指：</w:t>
      </w:r>
    </w:p>
    <w:p w14:paraId="0A2A9FCE">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6A5DD81C">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0279A894">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1AA06DCA">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对可以质疑的采购文件提出质疑的，质疑人为参与本项目的报价方或潜在报价方。可质疑的文件为采购公告以及采购文件（包括属于其组成部分的澄清、修改、补充文件和评审标准、合同文本等）。</w:t>
      </w:r>
    </w:p>
    <w:p w14:paraId="2EE1CCB5">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 xml:space="preserve"> 对采购过程和中标结果提出质疑的，质疑人为直接参与本项目的报价方。采购过程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即从采购项目信息公告发布起到中标结果公告止，包括采购文件的发出、提交投标文件、投标文件开启、评审等各个采购程序环节。</w:t>
      </w:r>
    </w:p>
    <w:p w14:paraId="632B4441">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 xml:space="preserve">  提出质疑应当符合下列条件：</w:t>
      </w:r>
    </w:p>
    <w:p w14:paraId="6C34E92D">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65028A02">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0917E4C7">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00EF739E">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w:t>
      </w:r>
      <w:r>
        <w:rPr>
          <w:rFonts w:hint="eastAsia" w:ascii="仿宋" w:hAnsi="仿宋" w:eastAsia="仿宋" w:cs="仿宋"/>
          <w:color w:val="auto"/>
          <w:sz w:val="24"/>
          <w:szCs w:val="24"/>
          <w:highlight w:val="none"/>
          <w:lang w:eastAsia="zh-CN"/>
        </w:rPr>
        <w:t>法律法规</w:t>
      </w:r>
      <w:r>
        <w:rPr>
          <w:rFonts w:hint="eastAsia" w:ascii="仿宋" w:hAnsi="仿宋" w:eastAsia="仿宋" w:cs="仿宋"/>
          <w:color w:val="auto"/>
          <w:sz w:val="24"/>
          <w:szCs w:val="24"/>
          <w:highlight w:val="none"/>
        </w:rPr>
        <w:t>、规章规定的其他条件。</w:t>
      </w:r>
    </w:p>
    <w:p w14:paraId="36E79D58">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 xml:space="preserve"> 提出质疑应当具有明确的请求和提供必要的证明材料。明确的请求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即质疑人在质疑函中提出的，要求采购方对其予以支持的主张。必要的证明材料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即能够证明质疑人的质疑请求成立的必要材料，包括相关证据、依据和其他有关材料。</w:t>
      </w:r>
    </w:p>
    <w:p w14:paraId="5FBA743D">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21699656">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质疑人提出质疑时应当提交质疑函。质疑函包括下列内容：</w:t>
      </w:r>
    </w:p>
    <w:p w14:paraId="3E383DF6">
      <w:pPr>
        <w:shd w:val="clear" w:color="auto" w:fill="auto"/>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03CC455E">
      <w:pPr>
        <w:shd w:val="clear" w:color="auto" w:fill="auto"/>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47D3802B">
      <w:pPr>
        <w:shd w:val="clear" w:color="auto" w:fill="auto"/>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42AC3AE6">
      <w:pPr>
        <w:shd w:val="clear" w:color="auto" w:fill="auto"/>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1C3F3E0F">
      <w:pPr>
        <w:shd w:val="clear" w:color="auto" w:fill="auto"/>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7870B8AD">
      <w:pPr>
        <w:shd w:val="clear" w:color="auto" w:fill="auto"/>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6F3DA337">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 xml:space="preserve">  质疑函采用实名制。质疑人为自然人的应当由本人签字，并附有效身份证明文件；质疑人为法人或者非法人组织的应当由法定代表人或者负责人签字并加盖公章，并附有效身份证明文件。</w:t>
      </w:r>
    </w:p>
    <w:p w14:paraId="6D05ACA3">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333E34FA">
      <w:pPr>
        <w:shd w:val="clear" w:color="auto" w:fill="auto"/>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、质疑的审查和受理</w:t>
      </w:r>
    </w:p>
    <w:p w14:paraId="7D07B94B">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 采购方在收到质疑函后应当及时审查是否符合质疑受理条件，对符合质疑受理条件的，及时予以受理。</w:t>
      </w:r>
    </w:p>
    <w:p w14:paraId="634B1A98">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.2对不符合质疑受理条件的，分别按照下列不同情形予以处理：</w:t>
      </w:r>
    </w:p>
    <w:p w14:paraId="7532B645">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50934503">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61DBD8EA">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239BB93E">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04FDB7F8">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7ED93DEE">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2673D247">
      <w:pPr>
        <w:shd w:val="clear" w:color="auto" w:fill="auto"/>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、质疑的处理和答复</w:t>
      </w:r>
    </w:p>
    <w:p w14:paraId="54598C67">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 按照《政府采购质疑和投诉办法（财政部94号令）》处理及答复质疑。</w:t>
      </w:r>
    </w:p>
    <w:p w14:paraId="6AD23FD1">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采购方受理质疑后，将及时把质疑函发送给被质疑人，并要求其在一定</w:t>
      </w:r>
      <w:r>
        <w:rPr>
          <w:rFonts w:hint="eastAsia" w:ascii="仿宋" w:hAnsi="仿宋" w:eastAsia="仿宋" w:cs="仿宋"/>
          <w:color w:val="auto"/>
          <w:sz w:val="24"/>
          <w:szCs w:val="24"/>
          <w:highlight w:val="none"/>
          <w:lang w:eastAsia="zh-CN"/>
        </w:rPr>
        <w:t>期限内</w:t>
      </w:r>
      <w:r>
        <w:rPr>
          <w:rFonts w:hint="eastAsia" w:ascii="仿宋" w:hAnsi="仿宋" w:eastAsia="仿宋" w:cs="仿宋"/>
          <w:color w:val="auto"/>
          <w:sz w:val="24"/>
          <w:szCs w:val="24"/>
          <w:highlight w:val="none"/>
        </w:rPr>
        <w:t>提交书面答复，同时提供有关证据、依据和相关材料。</w:t>
      </w:r>
    </w:p>
    <w:p w14:paraId="45C40F30">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 对于质疑事项中涉及的问题较多、情况比较复杂的，为了全面查清事实、取得充分的证据，采购方认为有必要时，可以进行调查取证或者组织质证。</w:t>
      </w:r>
    </w:p>
    <w:p w14:paraId="47CD8EC2">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.4对评审过程、中标结果提出质疑的，采购方可以组织原评审委员会协助答复质疑。</w:t>
      </w:r>
    </w:p>
    <w:p w14:paraId="0929BEFF">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.5质疑处理过程中，质疑人书面申请撤回质疑的，将终止质疑处理程序。</w:t>
      </w:r>
    </w:p>
    <w:p w14:paraId="32450369">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.6质疑人拒绝配合采购方依法对质疑进行调查处理的，采购方将按质疑人自动撤回质疑处理；被质疑人拒绝配合采购方依法对质疑进行调查处理的，采购方将视同其认可质疑事项。</w:t>
      </w:r>
    </w:p>
    <w:p w14:paraId="2FE6236E">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 采购方将在正式受理质疑后 7 个工作日内作出答复，但处理质疑需要进行调查取证、组织专家评审、质疑人及被质疑人提交或补正材料等所需时间，不计算在质疑处理期限内。</w:t>
      </w:r>
    </w:p>
    <w:p w14:paraId="5EE5EFFC">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.8 采购方经调查、论证、核实，认定质疑不能成立的，继续开展采购活动；认定质疑成立的，按照以下情况处理：</w:t>
      </w:r>
    </w:p>
    <w:p w14:paraId="79618B5D">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05FD689F">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32794AD1">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.9 采购方将书面答复质疑，质疑答复包括下列内容：</w:t>
      </w:r>
    </w:p>
    <w:p w14:paraId="7986D50B">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（一）质疑人名称；</w:t>
      </w:r>
    </w:p>
    <w:p w14:paraId="54BB31E8">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r>
        <w:rPr>
          <w:rFonts w:hint="eastAsia" w:ascii="仿宋" w:hAnsi="仿宋" w:eastAsia="仿宋" w:cs="仿宋"/>
          <w:color w:val="auto"/>
          <w:sz w:val="24"/>
          <w:szCs w:val="24"/>
          <w:highlight w:val="none"/>
          <w:lang w:eastAsia="zh-CN"/>
        </w:rPr>
        <w:t>；</w:t>
      </w:r>
    </w:p>
    <w:p w14:paraId="078D693D">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2751912A">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（四）告知质疑人依法投诉的权利；</w:t>
      </w:r>
    </w:p>
    <w:p w14:paraId="7B25657C">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（五）质疑答复日期。</w:t>
      </w:r>
    </w:p>
    <w:p w14:paraId="58378EFD">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.10 质疑人有下列行为之一的，属于虚假、恶意质疑，将由采购方建议财政部门将其列入不良行为记录名单，禁止其 1 至 3 年内参加政府采购活动：</w:t>
      </w:r>
    </w:p>
    <w:p w14:paraId="5F19B9F4">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（一）受理后发现投诉不符合法定受理条件；</w:t>
      </w:r>
    </w:p>
    <w:p w14:paraId="673D77AA">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（二）投诉事项缺乏事实依据，投诉事项不成立；</w:t>
      </w:r>
    </w:p>
    <w:p w14:paraId="6442C665">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（三）投诉人捏造事实或者提供虚假材料；</w:t>
      </w:r>
    </w:p>
    <w:p w14:paraId="35083DDC">
      <w:pPr>
        <w:shd w:val="clear" w:color="auto" w:fill="auto"/>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（四）投诉人以非法手段取得证明材料。证据来源的合法性存在明显疑问，投诉人无法证明其取得方式合法的，视为以非法手段取得证明材料。</w:t>
      </w:r>
    </w:p>
    <w:p w14:paraId="562B5FAE">
      <w:pPr>
        <w:bidi w:val="0"/>
        <w:ind w:left="239" w:leftChars="114"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（五）法律法规规定的其他违法情形。</w:t>
      </w:r>
      <w:bookmarkStart w:id="186" w:name="_Toc21178"/>
      <w:bookmarkStart w:id="187" w:name="_Toc110010424"/>
      <w:bookmarkStart w:id="188" w:name="_Toc1224"/>
      <w:r>
        <w:rPr>
          <w:rFonts w:hint="eastAsia" w:ascii="仿宋" w:hAnsi="仿宋" w:eastAsia="仿宋" w:cs="仿宋"/>
          <w:color w:val="auto"/>
          <w:sz w:val="24"/>
          <w:szCs w:val="24"/>
          <w:highlight w:val="none"/>
        </w:rPr>
        <w:br w:type="page"/>
      </w:r>
      <w:r>
        <w:rPr>
          <w:rFonts w:hint="eastAsia" w:ascii="仿宋" w:hAnsi="仿宋" w:eastAsia="仿宋" w:cs="仿宋"/>
          <w:color w:val="auto"/>
          <w:spacing w:val="8"/>
          <w:sz w:val="24"/>
          <w:szCs w:val="24"/>
          <w:highlight w:val="none"/>
        </w:rPr>
        <w:t>附</w:t>
      </w:r>
      <w:r>
        <w:rPr>
          <w:rFonts w:hint="eastAsia" w:ascii="仿宋" w:hAnsi="仿宋" w:eastAsia="仿宋" w:cs="仿宋"/>
          <w:color w:val="auto"/>
          <w:spacing w:val="6"/>
          <w:sz w:val="24"/>
          <w:szCs w:val="24"/>
          <w:highlight w:val="none"/>
        </w:rPr>
        <w:t>件：质疑函范本</w:t>
      </w:r>
      <w:bookmarkEnd w:id="186"/>
      <w:bookmarkEnd w:id="187"/>
      <w:bookmarkEnd w:id="188"/>
    </w:p>
    <w:p w14:paraId="51F80022">
      <w:pPr>
        <w:shd w:val="clear" w:color="auto" w:fill="auto"/>
        <w:spacing w:before="101" w:line="225" w:lineRule="auto"/>
        <w:ind w:left="3656"/>
        <w:jc w:val="center"/>
        <w:rPr>
          <w:rFonts w:hint="eastAsia" w:ascii="仿宋" w:hAnsi="仿宋" w:eastAsia="仿宋" w:cs="仿宋"/>
          <w:color w:val="auto"/>
          <w:sz w:val="24"/>
          <w:szCs w:val="24"/>
          <w:highlight w:val="none"/>
        </w:rPr>
      </w:pPr>
      <w:r>
        <w:rPr>
          <w:rFonts w:hint="eastAsia" w:ascii="仿宋" w:hAnsi="仿宋" w:eastAsia="仿宋" w:cs="仿宋"/>
          <w:color w:val="auto"/>
          <w:spacing w:val="25"/>
          <w:sz w:val="24"/>
          <w:szCs w:val="24"/>
          <w:highlight w:val="none"/>
        </w:rPr>
        <w:t>质</w:t>
      </w:r>
      <w:r>
        <w:rPr>
          <w:rFonts w:hint="eastAsia" w:ascii="仿宋" w:hAnsi="仿宋" w:eastAsia="仿宋" w:cs="仿宋"/>
          <w:color w:val="auto"/>
          <w:spacing w:val="24"/>
          <w:sz w:val="24"/>
          <w:szCs w:val="24"/>
          <w:highlight w:val="none"/>
        </w:rPr>
        <w:t>疑函</w:t>
      </w:r>
    </w:p>
    <w:p w14:paraId="7067A8C6">
      <w:pPr>
        <w:shd w:val="clear" w:color="auto" w:fill="auto"/>
        <w:spacing w:before="237" w:line="468" w:lineRule="exact"/>
        <w:ind w:left="27"/>
        <w:outlineLvl w:val="2"/>
        <w:rPr>
          <w:rFonts w:hint="eastAsia" w:ascii="仿宋" w:hAnsi="仿宋" w:eastAsia="仿宋" w:cs="仿宋"/>
          <w:color w:val="auto"/>
          <w:sz w:val="24"/>
          <w:szCs w:val="24"/>
          <w:highlight w:val="none"/>
        </w:rPr>
      </w:pPr>
      <w:bookmarkStart w:id="189" w:name="_Toc1299"/>
      <w:bookmarkStart w:id="190" w:name="_Toc25739"/>
      <w:bookmarkStart w:id="191" w:name="_Toc110010425"/>
      <w:bookmarkStart w:id="192" w:name="_Toc5896"/>
      <w:r>
        <w:rPr>
          <w:rFonts w:hint="eastAsia" w:ascii="仿宋" w:hAnsi="仿宋" w:eastAsia="仿宋" w:cs="仿宋"/>
          <w:color w:val="auto"/>
          <w:spacing w:val="-2"/>
          <w:position w:val="2"/>
          <w:sz w:val="24"/>
          <w:szCs w:val="24"/>
          <w:highlight w:val="none"/>
        </w:rPr>
        <w:t>一、质</w:t>
      </w:r>
      <w:r>
        <w:rPr>
          <w:rFonts w:hint="eastAsia" w:ascii="仿宋" w:hAnsi="仿宋" w:eastAsia="仿宋" w:cs="仿宋"/>
          <w:color w:val="auto"/>
          <w:spacing w:val="-1"/>
          <w:position w:val="2"/>
          <w:sz w:val="24"/>
          <w:szCs w:val="24"/>
          <w:highlight w:val="none"/>
        </w:rPr>
        <w:t>疑供应商基本信息</w:t>
      </w:r>
      <w:bookmarkEnd w:id="189"/>
      <w:bookmarkEnd w:id="190"/>
      <w:bookmarkEnd w:id="191"/>
      <w:bookmarkEnd w:id="192"/>
    </w:p>
    <w:p w14:paraId="143A2A1D">
      <w:pPr>
        <w:keepNext w:val="0"/>
        <w:keepLines w:val="0"/>
        <w:pageBreakBefore w:val="0"/>
        <w:widowControl w:val="0"/>
        <w:shd w:val="clear" w:color="auto" w:fill="auto"/>
        <w:kinsoku/>
        <w:wordWrap/>
        <w:overflowPunct/>
        <w:topLinePunct w:val="0"/>
        <w:autoSpaceDE/>
        <w:autoSpaceDN/>
        <w:bidi w:val="0"/>
        <w:adjustRightInd/>
        <w:snapToGrid/>
        <w:spacing w:before="77" w:line="240" w:lineRule="auto"/>
        <w:ind w:left="0" w:right="62"/>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w:t>
      </w:r>
      <w:r>
        <w:rPr>
          <w:rFonts w:hint="eastAsia" w:ascii="仿宋" w:hAnsi="仿宋" w:eastAsia="仿宋" w:cs="仿宋"/>
          <w:color w:val="auto"/>
          <w:spacing w:val="-2"/>
          <w:sz w:val="24"/>
          <w:szCs w:val="24"/>
          <w:highlight w:val="none"/>
        </w:rPr>
        <w:t>疑供应商：</w:t>
      </w:r>
      <w:r>
        <w:rPr>
          <w:rFonts w:hint="eastAsia" w:ascii="仿宋" w:hAnsi="仿宋" w:eastAsia="仿宋" w:cs="仿宋"/>
          <w:color w:val="auto"/>
          <w:sz w:val="24"/>
          <w:szCs w:val="24"/>
          <w:highlight w:val="none"/>
          <w:u w:val="dotted"/>
        </w:rPr>
        <w:t xml:space="preserve">                                       </w:t>
      </w:r>
    </w:p>
    <w:p w14:paraId="5212F92B">
      <w:pPr>
        <w:keepNext w:val="0"/>
        <w:keepLines w:val="0"/>
        <w:pageBreakBefore w:val="0"/>
        <w:widowControl w:val="0"/>
        <w:shd w:val="clear" w:color="auto" w:fill="auto"/>
        <w:kinsoku/>
        <w:wordWrap/>
        <w:overflowPunct/>
        <w:topLinePunct w:val="0"/>
        <w:autoSpaceDE/>
        <w:autoSpaceDN/>
        <w:bidi w:val="0"/>
        <w:adjustRightInd/>
        <w:snapToGrid/>
        <w:spacing w:before="212" w:line="240" w:lineRule="auto"/>
        <w:ind w:left="0" w:right="62"/>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14:paraId="0333EE03">
      <w:pPr>
        <w:keepNext w:val="0"/>
        <w:keepLines w:val="0"/>
        <w:pageBreakBefore w:val="0"/>
        <w:widowControl w:val="0"/>
        <w:shd w:val="clear" w:color="auto" w:fill="auto"/>
        <w:kinsoku/>
        <w:wordWrap/>
        <w:overflowPunct/>
        <w:topLinePunct w:val="0"/>
        <w:autoSpaceDE/>
        <w:autoSpaceDN/>
        <w:bidi w:val="0"/>
        <w:adjustRightInd/>
        <w:snapToGrid/>
        <w:spacing w:before="211" w:line="240" w:lineRule="auto"/>
        <w:ind w:left="0" w:right="62"/>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联系人：</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联系电话：</w:t>
      </w:r>
      <w:r>
        <w:rPr>
          <w:rFonts w:hint="eastAsia" w:ascii="仿宋" w:hAnsi="仿宋" w:eastAsia="仿宋" w:cs="仿宋"/>
          <w:color w:val="auto"/>
          <w:sz w:val="24"/>
          <w:szCs w:val="24"/>
          <w:highlight w:val="none"/>
          <w:u w:val="dotted"/>
        </w:rPr>
        <w:t xml:space="preserve">                 </w:t>
      </w:r>
    </w:p>
    <w:p w14:paraId="2F3EA0AD">
      <w:pPr>
        <w:keepNext w:val="0"/>
        <w:keepLines w:val="0"/>
        <w:pageBreakBefore w:val="0"/>
        <w:widowControl w:val="0"/>
        <w:shd w:val="clear" w:color="auto" w:fill="auto"/>
        <w:kinsoku/>
        <w:wordWrap/>
        <w:overflowPunct/>
        <w:topLinePunct w:val="0"/>
        <w:autoSpaceDE/>
        <w:autoSpaceDN/>
        <w:bidi w:val="0"/>
        <w:adjustRightInd/>
        <w:snapToGrid/>
        <w:spacing w:before="205" w:line="240" w:lineRule="auto"/>
        <w:ind w:left="0" w:right="62"/>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授</w:t>
      </w:r>
      <w:r>
        <w:rPr>
          <w:rFonts w:hint="eastAsia" w:ascii="仿宋" w:hAnsi="仿宋" w:eastAsia="仿宋" w:cs="仿宋"/>
          <w:color w:val="auto"/>
          <w:spacing w:val="-2"/>
          <w:sz w:val="24"/>
          <w:szCs w:val="24"/>
          <w:highlight w:val="none"/>
        </w:rPr>
        <w:t>权代表：</w:t>
      </w:r>
      <w:r>
        <w:rPr>
          <w:rFonts w:hint="eastAsia" w:ascii="仿宋" w:hAnsi="仿宋" w:eastAsia="仿宋" w:cs="仿宋"/>
          <w:color w:val="auto"/>
          <w:sz w:val="24"/>
          <w:szCs w:val="24"/>
          <w:highlight w:val="none"/>
          <w:u w:val="dotted"/>
        </w:rPr>
        <w:t xml:space="preserve">                                         </w:t>
      </w:r>
    </w:p>
    <w:p w14:paraId="151A3F47">
      <w:pPr>
        <w:keepNext w:val="0"/>
        <w:keepLines w:val="0"/>
        <w:pageBreakBefore w:val="0"/>
        <w:widowControl w:val="0"/>
        <w:shd w:val="clear" w:color="auto" w:fill="auto"/>
        <w:kinsoku/>
        <w:wordWrap/>
        <w:overflowPunct/>
        <w:topLinePunct w:val="0"/>
        <w:autoSpaceDE/>
        <w:autoSpaceDN/>
        <w:bidi w:val="0"/>
        <w:adjustRightInd/>
        <w:snapToGrid/>
        <w:spacing w:before="214" w:line="240" w:lineRule="auto"/>
        <w:ind w:left="0" w:right="62"/>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联系</w:t>
      </w:r>
      <w:r>
        <w:rPr>
          <w:rFonts w:hint="eastAsia" w:ascii="仿宋" w:hAnsi="仿宋" w:eastAsia="仿宋" w:cs="仿宋"/>
          <w:color w:val="auto"/>
          <w:spacing w:val="-2"/>
          <w:sz w:val="24"/>
          <w:szCs w:val="24"/>
          <w:highlight w:val="none"/>
        </w:rPr>
        <w:t>电话：</w:t>
      </w:r>
      <w:r>
        <w:rPr>
          <w:rFonts w:hint="eastAsia" w:ascii="仿宋" w:hAnsi="仿宋" w:eastAsia="仿宋" w:cs="仿宋"/>
          <w:color w:val="auto"/>
          <w:sz w:val="24"/>
          <w:szCs w:val="24"/>
          <w:highlight w:val="none"/>
          <w:u w:val="dotted"/>
        </w:rPr>
        <w:t xml:space="preserve">                                          </w:t>
      </w:r>
    </w:p>
    <w:p w14:paraId="36BDC319">
      <w:pPr>
        <w:keepNext w:val="0"/>
        <w:keepLines w:val="0"/>
        <w:pageBreakBefore w:val="0"/>
        <w:widowControl w:val="0"/>
        <w:shd w:val="clear" w:color="auto" w:fill="auto"/>
        <w:kinsoku/>
        <w:wordWrap/>
        <w:overflowPunct/>
        <w:topLinePunct w:val="0"/>
        <w:autoSpaceDE/>
        <w:autoSpaceDN/>
        <w:bidi w:val="0"/>
        <w:adjustRightInd/>
        <w:snapToGrid/>
        <w:spacing w:before="208" w:line="240" w:lineRule="auto"/>
        <w:ind w:left="0" w:right="62"/>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14:paraId="39EAEA42">
      <w:pPr>
        <w:shd w:val="clear" w:color="auto" w:fill="auto"/>
        <w:spacing w:before="209" w:line="371" w:lineRule="exact"/>
        <w:ind w:left="27"/>
        <w:outlineLvl w:val="2"/>
        <w:rPr>
          <w:rFonts w:hint="eastAsia" w:ascii="仿宋" w:hAnsi="仿宋" w:eastAsia="仿宋" w:cs="仿宋"/>
          <w:color w:val="auto"/>
          <w:sz w:val="24"/>
          <w:szCs w:val="24"/>
          <w:highlight w:val="none"/>
        </w:rPr>
      </w:pPr>
      <w:bookmarkStart w:id="193" w:name="_Toc1061"/>
      <w:bookmarkStart w:id="194" w:name="_Toc15098"/>
      <w:bookmarkStart w:id="195" w:name="_Toc3585"/>
      <w:bookmarkStart w:id="196" w:name="_Toc110010426"/>
      <w:r>
        <w:rPr>
          <w:rFonts w:hint="eastAsia" w:ascii="仿宋" w:hAnsi="仿宋" w:eastAsia="仿宋" w:cs="仿宋"/>
          <w:color w:val="auto"/>
          <w:spacing w:val="-2"/>
          <w:position w:val="1"/>
          <w:sz w:val="24"/>
          <w:szCs w:val="24"/>
          <w:highlight w:val="none"/>
        </w:rPr>
        <w:t>二、质疑项</w:t>
      </w:r>
      <w:r>
        <w:rPr>
          <w:rFonts w:hint="eastAsia" w:ascii="仿宋" w:hAnsi="仿宋" w:eastAsia="仿宋" w:cs="仿宋"/>
          <w:color w:val="auto"/>
          <w:spacing w:val="-1"/>
          <w:position w:val="1"/>
          <w:sz w:val="24"/>
          <w:szCs w:val="24"/>
          <w:highlight w:val="none"/>
        </w:rPr>
        <w:t>目基本情况</w:t>
      </w:r>
      <w:bookmarkEnd w:id="193"/>
      <w:bookmarkEnd w:id="194"/>
      <w:bookmarkEnd w:id="195"/>
      <w:bookmarkEnd w:id="196"/>
    </w:p>
    <w:p w14:paraId="20BC8B82">
      <w:pPr>
        <w:shd w:val="clear" w:color="auto" w:fill="auto"/>
        <w:spacing w:before="173" w:line="221"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质疑项目</w:t>
      </w:r>
      <w:r>
        <w:rPr>
          <w:rFonts w:hint="eastAsia" w:ascii="仿宋" w:hAnsi="仿宋" w:eastAsia="仿宋" w:cs="仿宋"/>
          <w:color w:val="auto"/>
          <w:spacing w:val="-1"/>
          <w:sz w:val="24"/>
          <w:szCs w:val="24"/>
          <w:highlight w:val="none"/>
        </w:rPr>
        <w:t>的名称：</w:t>
      </w:r>
      <w:r>
        <w:rPr>
          <w:rFonts w:hint="eastAsia" w:ascii="仿宋" w:hAnsi="仿宋" w:eastAsia="仿宋" w:cs="仿宋"/>
          <w:color w:val="auto"/>
          <w:sz w:val="24"/>
          <w:szCs w:val="24"/>
          <w:highlight w:val="none"/>
          <w:u w:val="dotted"/>
        </w:rPr>
        <w:t xml:space="preserve">                                         </w:t>
      </w:r>
    </w:p>
    <w:p w14:paraId="6EC9A4FE">
      <w:pPr>
        <w:shd w:val="clear" w:color="auto" w:fill="auto"/>
        <w:spacing w:before="210" w:line="22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质疑项</w:t>
      </w:r>
      <w:r>
        <w:rPr>
          <w:rFonts w:hint="eastAsia" w:ascii="仿宋" w:hAnsi="仿宋" w:eastAsia="仿宋" w:cs="仿宋"/>
          <w:color w:val="auto"/>
          <w:spacing w:val="-9"/>
          <w:sz w:val="24"/>
          <w:szCs w:val="24"/>
          <w:highlight w:val="none"/>
        </w:rPr>
        <w:t>目</w:t>
      </w:r>
      <w:r>
        <w:rPr>
          <w:rFonts w:hint="eastAsia" w:ascii="仿宋" w:hAnsi="仿宋" w:eastAsia="仿宋" w:cs="仿宋"/>
          <w:color w:val="auto"/>
          <w:spacing w:val="-5"/>
          <w:sz w:val="24"/>
          <w:szCs w:val="24"/>
          <w:highlight w:val="none"/>
        </w:rPr>
        <w:t>的编号：</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5"/>
          <w:sz w:val="24"/>
          <w:szCs w:val="24"/>
          <w:highlight w:val="none"/>
        </w:rPr>
        <w:t>包号：</w:t>
      </w:r>
      <w:r>
        <w:rPr>
          <w:rFonts w:hint="eastAsia" w:ascii="仿宋" w:hAnsi="仿宋" w:eastAsia="仿宋" w:cs="仿宋"/>
          <w:color w:val="auto"/>
          <w:sz w:val="24"/>
          <w:szCs w:val="24"/>
          <w:highlight w:val="none"/>
          <w:u w:val="dotted"/>
        </w:rPr>
        <w:t xml:space="preserve">                    </w:t>
      </w:r>
    </w:p>
    <w:p w14:paraId="322A376B">
      <w:pPr>
        <w:shd w:val="clear" w:color="auto" w:fill="auto"/>
        <w:spacing w:before="212" w:line="219"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z w:val="24"/>
          <w:szCs w:val="24"/>
          <w:highlight w:val="none"/>
          <w:u w:val="dotted"/>
        </w:rPr>
        <w:t xml:space="preserve">                                           </w:t>
      </w:r>
    </w:p>
    <w:p w14:paraId="477686FE">
      <w:pPr>
        <w:shd w:val="clear" w:color="auto" w:fill="auto"/>
        <w:spacing w:before="212" w:line="219"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w:t>
      </w:r>
      <w:r>
        <w:rPr>
          <w:rFonts w:hint="eastAsia" w:ascii="仿宋" w:hAnsi="仿宋" w:eastAsia="仿宋" w:cs="仿宋"/>
          <w:color w:val="auto"/>
          <w:spacing w:val="-1"/>
          <w:sz w:val="24"/>
          <w:szCs w:val="24"/>
          <w:highlight w:val="none"/>
        </w:rPr>
        <w:t>文件获取日期：</w:t>
      </w:r>
      <w:r>
        <w:rPr>
          <w:rFonts w:hint="eastAsia" w:ascii="仿宋" w:hAnsi="仿宋" w:eastAsia="仿宋" w:cs="仿宋"/>
          <w:color w:val="auto"/>
          <w:sz w:val="24"/>
          <w:szCs w:val="24"/>
          <w:highlight w:val="none"/>
          <w:u w:val="dotted"/>
        </w:rPr>
        <w:t xml:space="preserve">                                       </w:t>
      </w:r>
    </w:p>
    <w:p w14:paraId="6BCA7367">
      <w:pPr>
        <w:shd w:val="clear" w:color="auto" w:fill="auto"/>
        <w:spacing w:before="213" w:line="237" w:lineRule="auto"/>
        <w:ind w:left="22"/>
        <w:outlineLvl w:val="2"/>
        <w:rPr>
          <w:rFonts w:hint="eastAsia" w:ascii="仿宋" w:hAnsi="仿宋" w:eastAsia="仿宋" w:cs="仿宋"/>
          <w:color w:val="auto"/>
          <w:sz w:val="24"/>
          <w:szCs w:val="24"/>
          <w:highlight w:val="none"/>
        </w:rPr>
      </w:pPr>
      <w:bookmarkStart w:id="197" w:name="_Toc32569"/>
      <w:bookmarkStart w:id="198" w:name="_Toc110010427"/>
      <w:bookmarkStart w:id="199" w:name="_Toc22496"/>
      <w:bookmarkStart w:id="200" w:name="_Toc14686"/>
      <w:r>
        <w:rPr>
          <w:rFonts w:hint="eastAsia" w:ascii="仿宋" w:hAnsi="仿宋" w:eastAsia="仿宋" w:cs="仿宋"/>
          <w:color w:val="auto"/>
          <w:spacing w:val="-2"/>
          <w:sz w:val="24"/>
          <w:szCs w:val="24"/>
          <w:highlight w:val="none"/>
        </w:rPr>
        <w:t>三</w:t>
      </w:r>
      <w:r>
        <w:rPr>
          <w:rFonts w:hint="eastAsia" w:ascii="仿宋" w:hAnsi="仿宋" w:eastAsia="仿宋" w:cs="仿宋"/>
          <w:color w:val="auto"/>
          <w:spacing w:val="-1"/>
          <w:sz w:val="24"/>
          <w:szCs w:val="24"/>
          <w:highlight w:val="none"/>
        </w:rPr>
        <w:t>、质疑事项具体内容</w:t>
      </w:r>
      <w:bookmarkEnd w:id="197"/>
      <w:bookmarkEnd w:id="198"/>
      <w:bookmarkEnd w:id="199"/>
      <w:bookmarkEnd w:id="200"/>
    </w:p>
    <w:p w14:paraId="43C9A106">
      <w:pPr>
        <w:shd w:val="clear" w:color="auto" w:fill="auto"/>
        <w:spacing w:before="184" w:line="221"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质</w:t>
      </w:r>
      <w:r>
        <w:rPr>
          <w:rFonts w:hint="eastAsia" w:ascii="仿宋" w:hAnsi="仿宋" w:eastAsia="仿宋" w:cs="仿宋"/>
          <w:color w:val="auto"/>
          <w:spacing w:val="-11"/>
          <w:sz w:val="24"/>
          <w:szCs w:val="24"/>
          <w:highlight w:val="none"/>
        </w:rPr>
        <w:t>疑事项 1：</w:t>
      </w:r>
      <w:r>
        <w:rPr>
          <w:rFonts w:hint="eastAsia" w:ascii="仿宋" w:hAnsi="仿宋" w:eastAsia="仿宋" w:cs="仿宋"/>
          <w:color w:val="auto"/>
          <w:sz w:val="24"/>
          <w:szCs w:val="24"/>
          <w:highlight w:val="none"/>
          <w:u w:val="dotted"/>
        </w:rPr>
        <w:t xml:space="preserve">                                             </w:t>
      </w:r>
    </w:p>
    <w:p w14:paraId="251AA5D2">
      <w:pPr>
        <w:shd w:val="clear" w:color="auto" w:fill="auto"/>
        <w:spacing w:before="211" w:line="219"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事</w:t>
      </w:r>
      <w:r>
        <w:rPr>
          <w:rFonts w:hint="eastAsia" w:ascii="仿宋" w:hAnsi="仿宋" w:eastAsia="仿宋" w:cs="仿宋"/>
          <w:color w:val="auto"/>
          <w:spacing w:val="-2"/>
          <w:sz w:val="24"/>
          <w:szCs w:val="24"/>
          <w:highlight w:val="none"/>
        </w:rPr>
        <w:t>实依据：</w:t>
      </w:r>
      <w:r>
        <w:rPr>
          <w:rFonts w:hint="eastAsia" w:ascii="仿宋" w:hAnsi="仿宋" w:eastAsia="仿宋" w:cs="仿宋"/>
          <w:color w:val="auto"/>
          <w:sz w:val="24"/>
          <w:szCs w:val="24"/>
          <w:highlight w:val="none"/>
          <w:u w:val="dotted"/>
        </w:rPr>
        <w:t xml:space="preserve">                                             </w:t>
      </w:r>
    </w:p>
    <w:p w14:paraId="521E113C">
      <w:pPr>
        <w:shd w:val="clear" w:color="auto" w:fill="auto"/>
        <w:spacing w:before="230" w:line="219"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法律</w:t>
      </w:r>
      <w:r>
        <w:rPr>
          <w:rFonts w:hint="eastAsia" w:ascii="仿宋" w:hAnsi="仿宋" w:eastAsia="仿宋" w:cs="仿宋"/>
          <w:color w:val="auto"/>
          <w:spacing w:val="-2"/>
          <w:sz w:val="24"/>
          <w:szCs w:val="24"/>
          <w:highlight w:val="none"/>
        </w:rPr>
        <w:t>依据：</w:t>
      </w:r>
      <w:r>
        <w:rPr>
          <w:rFonts w:hint="eastAsia" w:ascii="仿宋" w:hAnsi="仿宋" w:eastAsia="仿宋" w:cs="仿宋"/>
          <w:color w:val="auto"/>
          <w:sz w:val="24"/>
          <w:szCs w:val="24"/>
          <w:highlight w:val="none"/>
          <w:u w:val="dotted"/>
        </w:rPr>
        <w:t xml:space="preserve">                                             </w:t>
      </w:r>
    </w:p>
    <w:p w14:paraId="011C6E2F">
      <w:pPr>
        <w:shd w:val="clear" w:color="auto" w:fill="auto"/>
        <w:spacing w:before="227" w:line="545" w:lineRule="exact"/>
        <w:ind w:left="506"/>
        <w:rPr>
          <w:rFonts w:hint="eastAsia" w:ascii="仿宋" w:hAnsi="仿宋" w:eastAsia="仿宋" w:cs="仿宋"/>
          <w:color w:val="auto"/>
          <w:sz w:val="24"/>
          <w:szCs w:val="24"/>
          <w:highlight w:val="none"/>
        </w:rPr>
      </w:pPr>
      <w:r>
        <w:rPr>
          <w:rFonts w:hint="eastAsia" w:ascii="仿宋" w:hAnsi="仿宋" w:eastAsia="仿宋" w:cs="仿宋"/>
          <w:color w:val="auto"/>
          <w:spacing w:val="-15"/>
          <w:position w:val="19"/>
          <w:sz w:val="24"/>
          <w:szCs w:val="24"/>
          <w:highlight w:val="none"/>
        </w:rPr>
        <w:t>质</w:t>
      </w:r>
      <w:r>
        <w:rPr>
          <w:rFonts w:hint="eastAsia" w:ascii="仿宋" w:hAnsi="仿宋" w:eastAsia="仿宋" w:cs="仿宋"/>
          <w:color w:val="auto"/>
          <w:spacing w:val="-11"/>
          <w:position w:val="19"/>
          <w:sz w:val="24"/>
          <w:szCs w:val="24"/>
          <w:highlight w:val="none"/>
        </w:rPr>
        <w:t>疑事项 2</w:t>
      </w:r>
    </w:p>
    <w:p w14:paraId="68957C6B">
      <w:pPr>
        <w:shd w:val="clear" w:color="auto" w:fill="auto"/>
        <w:spacing w:line="442" w:lineRule="exact"/>
        <w:ind w:left="522"/>
        <w:rPr>
          <w:rFonts w:hint="eastAsia" w:ascii="仿宋" w:hAnsi="仿宋" w:eastAsia="仿宋" w:cs="仿宋"/>
          <w:sz w:val="24"/>
          <w:szCs w:val="24"/>
          <w:highlight w:val="none"/>
        </w:rPr>
      </w:pPr>
      <w:r>
        <w:rPr>
          <w:rFonts w:hint="eastAsia" w:ascii="仿宋" w:hAnsi="仿宋" w:eastAsia="仿宋" w:cs="仿宋"/>
          <w:color w:val="auto"/>
          <w:position w:val="3"/>
          <w:sz w:val="24"/>
          <w:szCs w:val="24"/>
          <w:highlight w:val="none"/>
        </w:rPr>
        <w:t>签字</w:t>
      </w:r>
      <w:r>
        <w:rPr>
          <w:rFonts w:hint="eastAsia" w:ascii="仿宋" w:hAnsi="仿宋" w:eastAsia="仿宋" w:cs="仿宋"/>
          <w:color w:val="auto"/>
          <w:position w:val="3"/>
          <w:sz w:val="24"/>
          <w:szCs w:val="24"/>
          <w:highlight w:val="none"/>
          <w:lang w:eastAsia="zh-CN"/>
        </w:rPr>
        <w:t>（</w:t>
      </w:r>
      <w:r>
        <w:rPr>
          <w:rFonts w:hint="eastAsia" w:ascii="仿宋" w:hAnsi="仿宋" w:eastAsia="仿宋" w:cs="仿宋"/>
          <w:color w:val="auto"/>
          <w:position w:val="3"/>
          <w:sz w:val="24"/>
          <w:szCs w:val="24"/>
          <w:highlight w:val="none"/>
        </w:rPr>
        <w:t>签章</w:t>
      </w:r>
      <w:r>
        <w:rPr>
          <w:rFonts w:hint="eastAsia" w:ascii="仿宋" w:hAnsi="仿宋" w:eastAsia="仿宋" w:cs="仿宋"/>
          <w:color w:val="auto"/>
          <w:position w:val="3"/>
          <w:sz w:val="24"/>
          <w:szCs w:val="24"/>
          <w:highlight w:val="none"/>
          <w:lang w:eastAsia="zh-CN"/>
        </w:rPr>
        <w:t>）</w:t>
      </w:r>
      <w:r>
        <w:rPr>
          <w:rFonts w:hint="eastAsia" w:ascii="仿宋" w:hAnsi="仿宋" w:eastAsia="仿宋" w:cs="仿宋"/>
          <w:color w:val="auto"/>
          <w:position w:val="3"/>
          <w:sz w:val="24"/>
          <w:szCs w:val="24"/>
          <w:highlight w:val="none"/>
        </w:rPr>
        <w:t>：                          日期：</w:t>
      </w:r>
    </w:p>
    <w:p w14:paraId="2B7BB712">
      <w:pPr>
        <w:shd w:val="clear" w:color="auto" w:fill="auto"/>
        <w:spacing w:before="91" w:line="22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质疑函制</w:t>
      </w:r>
      <w:r>
        <w:rPr>
          <w:rFonts w:hint="eastAsia" w:ascii="仿宋" w:hAnsi="仿宋" w:eastAsia="仿宋" w:cs="仿宋"/>
          <w:color w:val="auto"/>
          <w:spacing w:val="-1"/>
          <w:sz w:val="24"/>
          <w:szCs w:val="24"/>
          <w:highlight w:val="none"/>
        </w:rPr>
        <w:t>作说明：</w:t>
      </w:r>
    </w:p>
    <w:p w14:paraId="06E4095B">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1.供应商提出质疑时，应提交质疑函和必要的证明材料。</w:t>
      </w:r>
    </w:p>
    <w:p w14:paraId="3617507C">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2.质疑供应商若委托代理人进行质疑的，质疑函应按要求列明 “授权代表”的有关内容，并在附件中提交由质疑供应商签署的授权 委托书。授权委托书应载明代理人的姓名或者名称、代理事项、具体 权限、期限和相关事项。</w:t>
      </w:r>
    </w:p>
    <w:p w14:paraId="5AA30395">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3.质疑供应商若对项目的某一分包进行质疑，质疑函中应列明具体分包号。</w:t>
      </w:r>
    </w:p>
    <w:p w14:paraId="19E6F525">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4.质疑函的质疑事项应具体、明确，并有必要的事实依据和法律 依据。</w:t>
      </w:r>
    </w:p>
    <w:p w14:paraId="4B497B14">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5.质疑函的质疑请求应与质疑事项相关。</w:t>
      </w:r>
    </w:p>
    <w:p w14:paraId="0FC47C98">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6.质疑供应商为自然人的，质疑函应由本人签字；质疑供应商为法人或者其他组织的，质疑函应由法定代表人、主要负责人，或者其 授权代表签字或者盖章，并加盖公章。</w:t>
      </w:r>
    </w:p>
    <w:p w14:paraId="7D4B96DB">
      <w:pPr>
        <w:shd w:val="clear" w:color="auto" w:fill="auto"/>
        <w:spacing w:before="101" w:line="224" w:lineRule="auto"/>
        <w:ind w:left="49"/>
        <w:outlineLvl w:val="9"/>
        <w:rPr>
          <w:rFonts w:hint="eastAsia" w:ascii="仿宋" w:hAnsi="仿宋" w:eastAsia="仿宋" w:cs="仿宋"/>
          <w:color w:val="auto"/>
          <w:spacing w:val="8"/>
          <w:sz w:val="21"/>
          <w:szCs w:val="21"/>
          <w:highlight w:val="none"/>
        </w:rPr>
      </w:pPr>
      <w:bookmarkStart w:id="201" w:name="_Toc31259"/>
      <w:bookmarkStart w:id="202" w:name="_Toc22150"/>
      <w:bookmarkStart w:id="203" w:name="_Toc23110"/>
      <w:bookmarkStart w:id="204" w:name="_Toc110010428"/>
    </w:p>
    <w:p w14:paraId="2D59E8FD">
      <w:pPr>
        <w:shd w:val="clear" w:color="auto" w:fill="auto"/>
        <w:spacing w:before="101" w:line="224" w:lineRule="auto"/>
        <w:ind w:left="49"/>
        <w:outlineLvl w:val="2"/>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附</w:t>
      </w:r>
      <w:r>
        <w:rPr>
          <w:rFonts w:hint="eastAsia" w:ascii="仿宋" w:hAnsi="仿宋" w:eastAsia="仿宋" w:cs="仿宋"/>
          <w:color w:val="auto"/>
          <w:spacing w:val="6"/>
          <w:sz w:val="24"/>
          <w:szCs w:val="24"/>
          <w:highlight w:val="none"/>
        </w:rPr>
        <w:t>件：投诉书范本</w:t>
      </w:r>
      <w:bookmarkEnd w:id="201"/>
      <w:bookmarkEnd w:id="202"/>
      <w:bookmarkEnd w:id="203"/>
      <w:bookmarkEnd w:id="204"/>
    </w:p>
    <w:p w14:paraId="460C97D5">
      <w:pPr>
        <w:shd w:val="clear" w:color="auto" w:fill="auto"/>
        <w:spacing w:before="115" w:line="22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4"/>
          <w:sz w:val="24"/>
          <w:szCs w:val="24"/>
          <w:highlight w:val="none"/>
        </w:rPr>
        <w:t>投诉</w:t>
      </w:r>
      <w:r>
        <w:rPr>
          <w:rFonts w:hint="eastAsia" w:ascii="仿宋" w:hAnsi="仿宋" w:eastAsia="仿宋" w:cs="仿宋"/>
          <w:color w:val="auto"/>
          <w:spacing w:val="23"/>
          <w:sz w:val="24"/>
          <w:szCs w:val="24"/>
          <w:highlight w:val="none"/>
        </w:rPr>
        <w:t>书</w:t>
      </w:r>
    </w:p>
    <w:p w14:paraId="35A63249">
      <w:pPr>
        <w:shd w:val="clear" w:color="auto" w:fill="auto"/>
        <w:spacing w:before="265" w:line="434" w:lineRule="exact"/>
        <w:ind w:left="27"/>
        <w:outlineLvl w:val="2"/>
        <w:rPr>
          <w:rFonts w:hint="eastAsia" w:ascii="仿宋" w:hAnsi="仿宋" w:eastAsia="仿宋" w:cs="仿宋"/>
          <w:color w:val="auto"/>
          <w:sz w:val="24"/>
          <w:szCs w:val="24"/>
          <w:highlight w:val="none"/>
        </w:rPr>
      </w:pPr>
      <w:bookmarkStart w:id="205" w:name="_Toc5746"/>
      <w:bookmarkStart w:id="206" w:name="_Toc26371"/>
      <w:bookmarkStart w:id="207" w:name="_Toc110010429"/>
      <w:bookmarkStart w:id="208" w:name="_Toc21592"/>
      <w:r>
        <w:rPr>
          <w:rFonts w:hint="eastAsia" w:ascii="仿宋" w:hAnsi="仿宋" w:eastAsia="仿宋" w:cs="仿宋"/>
          <w:color w:val="auto"/>
          <w:spacing w:val="-2"/>
          <w:position w:val="1"/>
          <w:sz w:val="24"/>
          <w:szCs w:val="24"/>
          <w:highlight w:val="none"/>
        </w:rPr>
        <w:t>一、投诉</w:t>
      </w:r>
      <w:r>
        <w:rPr>
          <w:rFonts w:hint="eastAsia" w:ascii="仿宋" w:hAnsi="仿宋" w:eastAsia="仿宋" w:cs="仿宋"/>
          <w:color w:val="auto"/>
          <w:spacing w:val="-1"/>
          <w:position w:val="1"/>
          <w:sz w:val="24"/>
          <w:szCs w:val="24"/>
          <w:highlight w:val="none"/>
        </w:rPr>
        <w:t>相关主体基本情况</w:t>
      </w:r>
      <w:bookmarkEnd w:id="205"/>
      <w:bookmarkEnd w:id="206"/>
      <w:bookmarkEnd w:id="207"/>
      <w:bookmarkEnd w:id="208"/>
    </w:p>
    <w:p w14:paraId="23FF3EAE">
      <w:pPr>
        <w:shd w:val="clear" w:color="auto" w:fill="auto"/>
        <w:spacing w:before="1" w:line="220"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w:t>
      </w:r>
      <w:r>
        <w:rPr>
          <w:rFonts w:hint="eastAsia" w:ascii="仿宋" w:hAnsi="仿宋" w:eastAsia="仿宋" w:cs="仿宋"/>
          <w:color w:val="auto"/>
          <w:spacing w:val="-3"/>
          <w:sz w:val="24"/>
          <w:szCs w:val="24"/>
          <w:highlight w:val="none"/>
        </w:rPr>
        <w:t>诉人：</w:t>
      </w:r>
      <w:r>
        <w:rPr>
          <w:rFonts w:hint="eastAsia" w:ascii="仿宋" w:hAnsi="仿宋" w:eastAsia="仿宋" w:cs="仿宋"/>
          <w:color w:val="auto"/>
          <w:sz w:val="24"/>
          <w:szCs w:val="24"/>
          <w:highlight w:val="none"/>
          <w:u w:val="dotted"/>
        </w:rPr>
        <w:t xml:space="preserve">                                                 </w:t>
      </w:r>
    </w:p>
    <w:p w14:paraId="60F82796">
      <w:pPr>
        <w:shd w:val="clear" w:color="auto" w:fill="auto"/>
        <w:spacing w:before="102" w:line="22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14:paraId="0F284D64">
      <w:pPr>
        <w:shd w:val="clear" w:color="auto" w:fill="auto"/>
        <w:spacing w:before="101" w:line="220"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法定代</w:t>
      </w:r>
      <w:r>
        <w:rPr>
          <w:rFonts w:hint="eastAsia" w:ascii="仿宋" w:hAnsi="仿宋" w:eastAsia="仿宋" w:cs="仿宋"/>
          <w:color w:val="auto"/>
          <w:spacing w:val="-1"/>
          <w:sz w:val="24"/>
          <w:szCs w:val="24"/>
          <w:highlight w:val="none"/>
        </w:rPr>
        <w:t>表人/主要负责人：</w:t>
      </w:r>
      <w:r>
        <w:rPr>
          <w:rFonts w:hint="eastAsia" w:ascii="仿宋" w:hAnsi="仿宋" w:eastAsia="仿宋" w:cs="仿宋"/>
          <w:color w:val="auto"/>
          <w:sz w:val="24"/>
          <w:szCs w:val="24"/>
          <w:highlight w:val="none"/>
          <w:u w:val="dotted"/>
        </w:rPr>
        <w:t xml:space="preserve">                                  </w:t>
      </w:r>
    </w:p>
    <w:p w14:paraId="3D3167AF">
      <w:pPr>
        <w:shd w:val="clear" w:color="auto" w:fill="auto"/>
        <w:spacing w:before="104" w:line="222" w:lineRule="auto"/>
        <w:ind w:left="50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联系</w:t>
      </w:r>
      <w:r>
        <w:rPr>
          <w:rFonts w:hint="eastAsia" w:ascii="仿宋" w:hAnsi="仿宋" w:eastAsia="仿宋" w:cs="仿宋"/>
          <w:color w:val="auto"/>
          <w:spacing w:val="-2"/>
          <w:sz w:val="24"/>
          <w:szCs w:val="24"/>
          <w:highlight w:val="none"/>
        </w:rPr>
        <w:t>电话：</w:t>
      </w:r>
      <w:r>
        <w:rPr>
          <w:rFonts w:hint="eastAsia" w:ascii="仿宋" w:hAnsi="仿宋" w:eastAsia="仿宋" w:cs="仿宋"/>
          <w:color w:val="auto"/>
          <w:sz w:val="24"/>
          <w:szCs w:val="24"/>
          <w:highlight w:val="none"/>
          <w:u w:val="dotted"/>
        </w:rPr>
        <w:t xml:space="preserve">                                             </w:t>
      </w:r>
    </w:p>
    <w:p w14:paraId="79C8EBF7">
      <w:pPr>
        <w:shd w:val="clear" w:color="auto" w:fill="auto"/>
        <w:spacing w:before="99" w:line="220"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授权代表：</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联系电话：</w:t>
      </w:r>
      <w:r>
        <w:rPr>
          <w:rFonts w:hint="eastAsia" w:ascii="仿宋" w:hAnsi="仿宋" w:eastAsia="仿宋" w:cs="仿宋"/>
          <w:color w:val="auto"/>
          <w:sz w:val="24"/>
          <w:szCs w:val="24"/>
          <w:highlight w:val="none"/>
          <w:u w:val="dotted"/>
        </w:rPr>
        <w:t xml:space="preserve">                </w:t>
      </w:r>
    </w:p>
    <w:p w14:paraId="023EBBA2">
      <w:pPr>
        <w:shd w:val="clear" w:color="auto" w:fill="auto"/>
        <w:spacing w:before="101" w:line="22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14:paraId="1703EB77">
      <w:pPr>
        <w:shd w:val="clear" w:color="auto" w:fill="auto"/>
        <w:spacing w:before="103" w:line="22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被</w:t>
      </w:r>
      <w:r>
        <w:rPr>
          <w:rFonts w:hint="eastAsia" w:ascii="仿宋" w:hAnsi="仿宋" w:eastAsia="仿宋" w:cs="仿宋"/>
          <w:color w:val="auto"/>
          <w:spacing w:val="-11"/>
          <w:sz w:val="24"/>
          <w:szCs w:val="24"/>
          <w:highlight w:val="none"/>
        </w:rPr>
        <w:t>投诉人 1：</w:t>
      </w:r>
    </w:p>
    <w:p w14:paraId="546C8B53">
      <w:pPr>
        <w:shd w:val="clear" w:color="auto" w:fill="auto"/>
        <w:spacing w:before="101" w:line="185"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地址：</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u w:val="dotted"/>
          <w:lang w:val="en-US" w:eastAsia="zh-CN"/>
        </w:rPr>
        <w:t xml:space="preserve"> </w:t>
      </w:r>
      <w:r>
        <w:rPr>
          <w:rFonts w:hint="eastAsia" w:ascii="仿宋" w:hAnsi="仿宋" w:eastAsia="仿宋" w:cs="仿宋"/>
          <w:color w:val="auto"/>
          <w:spacing w:val="-4"/>
          <w:sz w:val="24"/>
          <w:szCs w:val="24"/>
          <w:highlight w:val="none"/>
        </w:rPr>
        <w:t>邮编：</w:t>
      </w:r>
      <w:r>
        <w:rPr>
          <w:rFonts w:hint="eastAsia" w:ascii="仿宋" w:hAnsi="仿宋" w:eastAsia="仿宋" w:cs="仿宋"/>
          <w:color w:val="auto"/>
          <w:sz w:val="24"/>
          <w:szCs w:val="24"/>
          <w:highlight w:val="none"/>
          <w:u w:val="dotted"/>
        </w:rPr>
        <w:t xml:space="preserve">                    </w:t>
      </w:r>
    </w:p>
    <w:p w14:paraId="090A3BDB">
      <w:pPr>
        <w:shd w:val="clear" w:color="auto" w:fill="auto"/>
        <w:spacing w:before="103" w:line="220" w:lineRule="auto"/>
        <w:ind w:left="505"/>
        <w:rPr>
          <w:rFonts w:hint="eastAsia" w:ascii="仿宋" w:hAnsi="仿宋" w:eastAsia="仿宋" w:cs="仿宋"/>
          <w:color w:val="auto"/>
          <w:spacing w:val="-17"/>
          <w:sz w:val="24"/>
          <w:szCs w:val="24"/>
          <w:highlight w:val="none"/>
        </w:rPr>
      </w:pPr>
      <w:r>
        <w:rPr>
          <w:rFonts w:hint="eastAsia" w:ascii="仿宋" w:hAnsi="仿宋" w:eastAsia="仿宋" w:cs="仿宋"/>
          <w:color w:val="auto"/>
          <w:spacing w:val="-17"/>
          <w:sz w:val="24"/>
          <w:szCs w:val="24"/>
          <w:highlight w:val="none"/>
        </w:rPr>
        <w:t>联系人：</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17"/>
          <w:sz w:val="24"/>
          <w:szCs w:val="24"/>
          <w:highlight w:val="none"/>
        </w:rPr>
        <w:t xml:space="preserve">联系电话：                </w:t>
      </w:r>
    </w:p>
    <w:p w14:paraId="16FA467C">
      <w:pPr>
        <w:shd w:val="clear" w:color="auto" w:fill="auto"/>
        <w:spacing w:before="103" w:line="220" w:lineRule="auto"/>
        <w:ind w:left="505"/>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联系人：</w:t>
      </w:r>
      <w:r>
        <w:rPr>
          <w:rFonts w:hint="eastAsia" w:ascii="仿宋" w:hAnsi="仿宋" w:eastAsia="仿宋" w:cs="仿宋"/>
          <w:color w:val="auto"/>
          <w:spacing w:val="-8"/>
          <w:sz w:val="24"/>
          <w:szCs w:val="24"/>
          <w:highlight w:val="none"/>
          <w:u w:val="dotted"/>
        </w:rPr>
        <w:t xml:space="preserve">   </w:t>
      </w:r>
      <w:r>
        <w:rPr>
          <w:rFonts w:hint="eastAsia" w:ascii="仿宋" w:hAnsi="仿宋" w:eastAsia="仿宋" w:cs="仿宋"/>
          <w:color w:val="auto"/>
          <w:spacing w:val="-5"/>
          <w:sz w:val="24"/>
          <w:szCs w:val="24"/>
          <w:highlight w:val="none"/>
          <w:u w:val="dotted"/>
        </w:rPr>
        <w:t xml:space="preserve"> </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17"/>
          <w:sz w:val="24"/>
          <w:szCs w:val="24"/>
          <w:highlight w:val="none"/>
        </w:rPr>
        <w:t xml:space="preserve">联系电话：     </w:t>
      </w:r>
      <w:r>
        <w:rPr>
          <w:rFonts w:hint="eastAsia" w:ascii="仿宋" w:hAnsi="仿宋" w:eastAsia="仿宋" w:cs="仿宋"/>
          <w:color w:val="auto"/>
          <w:sz w:val="24"/>
          <w:szCs w:val="24"/>
          <w:highlight w:val="none"/>
          <w:u w:val="dotted"/>
        </w:rPr>
        <w:t xml:space="preserve">           </w:t>
      </w:r>
    </w:p>
    <w:p w14:paraId="080602AA">
      <w:pPr>
        <w:shd w:val="clear" w:color="auto" w:fill="auto"/>
        <w:spacing w:before="100" w:line="371" w:lineRule="exact"/>
        <w:ind w:left="27"/>
        <w:outlineLvl w:val="2"/>
        <w:rPr>
          <w:rFonts w:hint="eastAsia" w:ascii="仿宋" w:hAnsi="仿宋" w:eastAsia="仿宋" w:cs="仿宋"/>
          <w:color w:val="auto"/>
          <w:sz w:val="24"/>
          <w:szCs w:val="24"/>
          <w:highlight w:val="none"/>
        </w:rPr>
      </w:pPr>
      <w:bookmarkStart w:id="209" w:name="_Toc377"/>
      <w:bookmarkStart w:id="210" w:name="_Toc25199"/>
      <w:bookmarkStart w:id="211" w:name="_Toc110010430"/>
      <w:bookmarkStart w:id="212" w:name="_Toc27620"/>
      <w:r>
        <w:rPr>
          <w:rFonts w:hint="eastAsia" w:ascii="仿宋" w:hAnsi="仿宋" w:eastAsia="仿宋" w:cs="仿宋"/>
          <w:color w:val="auto"/>
          <w:spacing w:val="-2"/>
          <w:position w:val="1"/>
          <w:sz w:val="24"/>
          <w:szCs w:val="24"/>
          <w:highlight w:val="none"/>
        </w:rPr>
        <w:t>二、投诉项目</w:t>
      </w:r>
      <w:r>
        <w:rPr>
          <w:rFonts w:hint="eastAsia" w:ascii="仿宋" w:hAnsi="仿宋" w:eastAsia="仿宋" w:cs="仿宋"/>
          <w:color w:val="auto"/>
          <w:spacing w:val="-1"/>
          <w:position w:val="1"/>
          <w:sz w:val="24"/>
          <w:szCs w:val="24"/>
          <w:highlight w:val="none"/>
        </w:rPr>
        <w:t>基本情况</w:t>
      </w:r>
      <w:bookmarkEnd w:id="209"/>
      <w:bookmarkEnd w:id="210"/>
      <w:bookmarkEnd w:id="211"/>
      <w:bookmarkEnd w:id="212"/>
    </w:p>
    <w:p w14:paraId="13AF31CE">
      <w:pPr>
        <w:shd w:val="clear" w:color="auto" w:fill="auto"/>
        <w:spacing w:before="64" w:line="219"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采购项</w:t>
      </w:r>
      <w:r>
        <w:rPr>
          <w:rFonts w:hint="eastAsia" w:ascii="仿宋" w:hAnsi="仿宋" w:eastAsia="仿宋" w:cs="仿宋"/>
          <w:color w:val="auto"/>
          <w:spacing w:val="-1"/>
          <w:sz w:val="24"/>
          <w:szCs w:val="24"/>
          <w:highlight w:val="none"/>
        </w:rPr>
        <w:t>目名称：</w:t>
      </w:r>
      <w:r>
        <w:rPr>
          <w:rFonts w:hint="eastAsia" w:ascii="仿宋" w:hAnsi="仿宋" w:eastAsia="仿宋" w:cs="仿宋"/>
          <w:color w:val="auto"/>
          <w:sz w:val="24"/>
          <w:szCs w:val="24"/>
          <w:highlight w:val="none"/>
          <w:u w:val="dotted"/>
        </w:rPr>
        <w:t xml:space="preserve">                                           </w:t>
      </w:r>
    </w:p>
    <w:p w14:paraId="0A6B248B">
      <w:pPr>
        <w:shd w:val="clear" w:color="auto" w:fill="auto"/>
        <w:spacing w:before="104" w:line="219"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采购项目</w:t>
      </w:r>
      <w:r>
        <w:rPr>
          <w:rFonts w:hint="eastAsia" w:ascii="仿宋" w:hAnsi="仿宋" w:eastAsia="仿宋" w:cs="仿宋"/>
          <w:color w:val="auto"/>
          <w:spacing w:val="-4"/>
          <w:sz w:val="24"/>
          <w:szCs w:val="24"/>
          <w:highlight w:val="none"/>
        </w:rPr>
        <w:t>编号：</w:t>
      </w:r>
      <w:r>
        <w:rPr>
          <w:rFonts w:hint="eastAsia" w:ascii="仿宋" w:hAnsi="仿宋" w:eastAsia="仿宋" w:cs="仿宋"/>
          <w:color w:val="auto"/>
          <w:spacing w:val="-4"/>
          <w:sz w:val="24"/>
          <w:szCs w:val="24"/>
          <w:highlight w:val="none"/>
          <w:u w:val="dotted"/>
        </w:rPr>
        <w:t xml:space="preserve">                        </w:t>
      </w:r>
      <w:r>
        <w:rPr>
          <w:rFonts w:hint="eastAsia" w:ascii="仿宋" w:hAnsi="仿宋" w:eastAsia="仿宋" w:cs="仿宋"/>
          <w:color w:val="auto"/>
          <w:spacing w:val="-4"/>
          <w:sz w:val="24"/>
          <w:szCs w:val="24"/>
          <w:highlight w:val="none"/>
        </w:rPr>
        <w:t>包号：</w:t>
      </w:r>
      <w:r>
        <w:rPr>
          <w:rFonts w:hint="eastAsia" w:ascii="仿宋" w:hAnsi="仿宋" w:eastAsia="仿宋" w:cs="仿宋"/>
          <w:color w:val="auto"/>
          <w:sz w:val="24"/>
          <w:szCs w:val="24"/>
          <w:highlight w:val="none"/>
          <w:u w:val="dotted"/>
        </w:rPr>
        <w:t xml:space="preserve">              </w:t>
      </w:r>
    </w:p>
    <w:p w14:paraId="22828FE5">
      <w:pPr>
        <w:shd w:val="clear" w:color="auto" w:fill="auto"/>
        <w:spacing w:before="102" w:line="219"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z w:val="24"/>
          <w:szCs w:val="24"/>
          <w:highlight w:val="none"/>
          <w:u w:val="dotted"/>
        </w:rPr>
        <w:t xml:space="preserve">                                           </w:t>
      </w:r>
    </w:p>
    <w:p w14:paraId="42B33C8F">
      <w:pPr>
        <w:shd w:val="clear" w:color="auto" w:fill="auto"/>
        <w:spacing w:before="105" w:line="219"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代理机构名</w:t>
      </w:r>
      <w:r>
        <w:rPr>
          <w:rFonts w:hint="eastAsia" w:ascii="仿宋" w:hAnsi="仿宋" w:eastAsia="仿宋" w:cs="仿宋"/>
          <w:color w:val="auto"/>
          <w:spacing w:val="-1"/>
          <w:sz w:val="24"/>
          <w:szCs w:val="24"/>
          <w:highlight w:val="none"/>
        </w:rPr>
        <w:t>称：</w:t>
      </w:r>
      <w:r>
        <w:rPr>
          <w:rFonts w:hint="eastAsia" w:ascii="仿宋" w:hAnsi="仿宋" w:eastAsia="仿宋" w:cs="仿宋"/>
          <w:color w:val="auto"/>
          <w:sz w:val="24"/>
          <w:szCs w:val="24"/>
          <w:highlight w:val="none"/>
          <w:u w:val="dotted"/>
        </w:rPr>
        <w:t xml:space="preserve">                                           </w:t>
      </w:r>
    </w:p>
    <w:p w14:paraId="7FD00798">
      <w:pPr>
        <w:shd w:val="clear" w:color="auto" w:fill="auto"/>
        <w:spacing w:before="104" w:line="219" w:lineRule="auto"/>
        <w:ind w:left="503"/>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采购文件公告</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7"/>
          <w:sz w:val="24"/>
          <w:szCs w:val="24"/>
          <w:highlight w:val="none"/>
          <w:u w:val="single"/>
        </w:rPr>
        <w:t xml:space="preserve">  是/否 </w:t>
      </w:r>
      <w:r>
        <w:rPr>
          <w:rFonts w:hint="eastAsia" w:ascii="仿宋" w:hAnsi="仿宋" w:eastAsia="仿宋" w:cs="仿宋"/>
          <w:color w:val="auto"/>
          <w:spacing w:val="7"/>
          <w:sz w:val="24"/>
          <w:szCs w:val="24"/>
          <w:highlight w:val="none"/>
        </w:rPr>
        <w:t xml:space="preserve"> 公告期限</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u w:val="dotted"/>
        </w:rPr>
        <w:t xml:space="preserve">                        </w:t>
      </w:r>
    </w:p>
    <w:p w14:paraId="65EF0451">
      <w:pPr>
        <w:shd w:val="clear" w:color="auto" w:fill="auto"/>
        <w:spacing w:before="103" w:line="287" w:lineRule="auto"/>
        <w:ind w:left="22" w:right="12" w:firstLine="48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采购结果公告：</w:t>
      </w:r>
      <w:r>
        <w:rPr>
          <w:rFonts w:hint="eastAsia" w:ascii="仿宋" w:hAnsi="仿宋" w:eastAsia="仿宋" w:cs="仿宋"/>
          <w:color w:val="auto"/>
          <w:spacing w:val="-1"/>
          <w:sz w:val="24"/>
          <w:szCs w:val="24"/>
          <w:highlight w:val="none"/>
          <w:u w:val="single"/>
        </w:rPr>
        <w:t xml:space="preserve">  是/否 </w:t>
      </w:r>
      <w:r>
        <w:rPr>
          <w:rFonts w:hint="eastAsia" w:ascii="仿宋" w:hAnsi="仿宋" w:eastAsia="仿宋" w:cs="仿宋"/>
          <w:color w:val="auto"/>
          <w:spacing w:val="-1"/>
          <w:sz w:val="24"/>
          <w:szCs w:val="24"/>
          <w:highlight w:val="none"/>
        </w:rPr>
        <w:t xml:space="preserve"> 公告期限：</w:t>
      </w:r>
      <w:r>
        <w:rPr>
          <w:rFonts w:hint="eastAsia" w:ascii="仿宋" w:hAnsi="仿宋" w:eastAsia="仿宋" w:cs="仿宋"/>
          <w:color w:val="auto"/>
          <w:spacing w:val="-1"/>
          <w:sz w:val="24"/>
          <w:szCs w:val="24"/>
          <w:highlight w:val="none"/>
          <w:u w:val="dotted"/>
        </w:rPr>
        <w:t xml:space="preserve">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1B4FFB90">
      <w:pPr>
        <w:shd w:val="clear" w:color="auto" w:fill="auto"/>
        <w:spacing w:before="100" w:line="371" w:lineRule="exact"/>
        <w:ind w:left="27" w:right="0" w:firstLine="0"/>
        <w:outlineLvl w:val="2"/>
        <w:rPr>
          <w:rFonts w:hint="eastAsia" w:ascii="仿宋" w:hAnsi="仿宋" w:eastAsia="仿宋" w:cs="仿宋"/>
          <w:color w:val="auto"/>
          <w:spacing w:val="-2"/>
          <w:position w:val="1"/>
          <w:sz w:val="24"/>
          <w:szCs w:val="24"/>
          <w:highlight w:val="none"/>
        </w:rPr>
      </w:pPr>
      <w:r>
        <w:rPr>
          <w:rFonts w:hint="eastAsia" w:ascii="仿宋" w:hAnsi="仿宋" w:eastAsia="仿宋" w:cs="仿宋"/>
          <w:color w:val="auto"/>
          <w:spacing w:val="-2"/>
          <w:position w:val="1"/>
          <w:sz w:val="24"/>
          <w:szCs w:val="24"/>
          <w:highlight w:val="none"/>
        </w:rPr>
        <w:t>三、质疑基本情况</w:t>
      </w:r>
    </w:p>
    <w:p w14:paraId="00755AF1">
      <w:pPr>
        <w:shd w:val="clear" w:color="auto" w:fill="auto"/>
        <w:spacing w:line="24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投</w:t>
      </w:r>
      <w:r>
        <w:rPr>
          <w:rFonts w:hint="eastAsia" w:ascii="仿宋" w:hAnsi="仿宋" w:eastAsia="仿宋" w:cs="仿宋"/>
          <w:color w:val="auto"/>
          <w:spacing w:val="-6"/>
          <w:sz w:val="24"/>
          <w:szCs w:val="24"/>
          <w:highlight w:val="none"/>
        </w:rPr>
        <w:t>诉人于</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u w:val="dotted"/>
        </w:rPr>
        <w:t xml:space="preserve">            </w:t>
      </w:r>
      <w:r>
        <w:rPr>
          <w:rFonts w:hint="eastAsia" w:ascii="仿宋" w:hAnsi="仿宋" w:eastAsia="仿宋" w:cs="仿宋"/>
          <w:color w:val="auto"/>
          <w:spacing w:val="-6"/>
          <w:sz w:val="24"/>
          <w:szCs w:val="24"/>
          <w:highlight w:val="none"/>
        </w:rPr>
        <w:t xml:space="preserve">日 </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4"/>
          <w:sz w:val="24"/>
          <w:szCs w:val="24"/>
          <w:highlight w:val="none"/>
        </w:rPr>
        <w:t>提</w:t>
      </w:r>
      <w:r>
        <w:rPr>
          <w:rFonts w:hint="eastAsia" w:ascii="仿宋" w:hAnsi="仿宋" w:eastAsia="仿宋" w:cs="仿宋"/>
          <w:color w:val="auto"/>
          <w:spacing w:val="-2"/>
          <w:sz w:val="24"/>
          <w:szCs w:val="24"/>
          <w:highlight w:val="none"/>
        </w:rPr>
        <w:t>出质疑，</w:t>
      </w:r>
    </w:p>
    <w:p w14:paraId="1B8C9F4A">
      <w:pPr>
        <w:shd w:val="clear" w:color="auto" w:fill="auto"/>
        <w:spacing w:line="24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w:t>
      </w:r>
      <w:r>
        <w:rPr>
          <w:rFonts w:hint="eastAsia" w:ascii="仿宋" w:hAnsi="仿宋" w:eastAsia="仿宋" w:cs="仿宋"/>
          <w:color w:val="auto"/>
          <w:spacing w:val="-2"/>
          <w:sz w:val="24"/>
          <w:szCs w:val="24"/>
          <w:highlight w:val="none"/>
        </w:rPr>
        <w:t>疑事项为：</w:t>
      </w:r>
      <w:r>
        <w:rPr>
          <w:rFonts w:hint="eastAsia" w:ascii="仿宋" w:hAnsi="仿宋" w:eastAsia="仿宋" w:cs="仿宋"/>
          <w:color w:val="auto"/>
          <w:sz w:val="24"/>
          <w:szCs w:val="24"/>
          <w:highlight w:val="none"/>
          <w:u w:val="dotted"/>
        </w:rPr>
        <w:t xml:space="preserve">                                           </w:t>
      </w:r>
    </w:p>
    <w:p w14:paraId="53235E29">
      <w:pPr>
        <w:shd w:val="clear" w:color="auto" w:fill="auto"/>
        <w:spacing w:line="24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采购人/</w:t>
      </w:r>
      <w:r>
        <w:rPr>
          <w:rFonts w:hint="eastAsia" w:ascii="仿宋" w:hAnsi="仿宋" w:eastAsia="仿宋" w:cs="仿宋"/>
          <w:color w:val="auto"/>
          <w:spacing w:val="-2"/>
          <w:sz w:val="24"/>
          <w:szCs w:val="24"/>
          <w:highlight w:val="none"/>
        </w:rPr>
        <w:t>采购代理机构于</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年</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月</w:t>
      </w:r>
      <w:r>
        <w:rPr>
          <w:rFonts w:hint="eastAsia" w:ascii="仿宋" w:hAnsi="仿宋" w:eastAsia="仿宋" w:cs="仿宋"/>
          <w:color w:val="auto"/>
          <w:spacing w:val="-2"/>
          <w:sz w:val="24"/>
          <w:szCs w:val="24"/>
          <w:highlight w:val="none"/>
          <w:u w:val="dotted"/>
        </w:rPr>
        <w:t xml:space="preserve">      </w:t>
      </w:r>
      <w:r>
        <w:rPr>
          <w:rFonts w:hint="eastAsia" w:ascii="仿宋" w:hAnsi="仿宋" w:eastAsia="仿宋" w:cs="仿宋"/>
          <w:color w:val="auto"/>
          <w:spacing w:val="-2"/>
          <w:sz w:val="24"/>
          <w:szCs w:val="24"/>
          <w:highlight w:val="none"/>
        </w:rPr>
        <w:t xml:space="preserve"> 日，就质疑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事项做出了答复/没有在</w:t>
      </w:r>
      <w:r>
        <w:rPr>
          <w:rFonts w:hint="eastAsia" w:ascii="仿宋" w:hAnsi="仿宋" w:eastAsia="仿宋" w:cs="仿宋"/>
          <w:color w:val="auto"/>
          <w:sz w:val="24"/>
          <w:szCs w:val="24"/>
          <w:highlight w:val="none"/>
        </w:rPr>
        <w:t>法定期限内</w:t>
      </w:r>
      <w:r>
        <w:rPr>
          <w:rFonts w:hint="eastAsia" w:ascii="仿宋" w:hAnsi="仿宋" w:eastAsia="仿宋" w:cs="仿宋"/>
          <w:color w:val="auto"/>
          <w:sz w:val="24"/>
          <w:szCs w:val="24"/>
          <w:highlight w:val="none"/>
          <w:lang w:eastAsia="zh-CN"/>
        </w:rPr>
        <w:t>作出</w:t>
      </w:r>
      <w:r>
        <w:rPr>
          <w:rFonts w:hint="eastAsia" w:ascii="仿宋" w:hAnsi="仿宋" w:eastAsia="仿宋" w:cs="仿宋"/>
          <w:color w:val="auto"/>
          <w:sz w:val="24"/>
          <w:szCs w:val="24"/>
          <w:highlight w:val="none"/>
        </w:rPr>
        <w:t>答复。</w:t>
      </w:r>
    </w:p>
    <w:p w14:paraId="79A66E08">
      <w:pPr>
        <w:shd w:val="clear" w:color="auto" w:fill="auto"/>
        <w:spacing w:before="100" w:line="371" w:lineRule="exact"/>
        <w:ind w:left="27"/>
        <w:outlineLvl w:val="2"/>
        <w:rPr>
          <w:rFonts w:hint="eastAsia" w:ascii="仿宋" w:hAnsi="仿宋" w:eastAsia="仿宋" w:cs="仿宋"/>
          <w:color w:val="auto"/>
          <w:spacing w:val="-2"/>
          <w:position w:val="1"/>
          <w:sz w:val="24"/>
          <w:szCs w:val="24"/>
          <w:highlight w:val="none"/>
        </w:rPr>
      </w:pPr>
      <w:r>
        <w:rPr>
          <w:rFonts w:hint="eastAsia" w:ascii="仿宋" w:hAnsi="仿宋" w:eastAsia="仿宋" w:cs="仿宋"/>
          <w:color w:val="auto"/>
          <w:spacing w:val="-2"/>
          <w:position w:val="1"/>
          <w:sz w:val="24"/>
          <w:szCs w:val="24"/>
          <w:highlight w:val="none"/>
          <w:lang w:val="en-US" w:eastAsia="zh-CN"/>
        </w:rPr>
        <w:t>四</w:t>
      </w:r>
      <w:r>
        <w:rPr>
          <w:rFonts w:hint="eastAsia" w:ascii="仿宋" w:hAnsi="仿宋" w:eastAsia="仿宋" w:cs="仿宋"/>
          <w:color w:val="auto"/>
          <w:spacing w:val="-2"/>
          <w:position w:val="1"/>
          <w:sz w:val="24"/>
          <w:szCs w:val="24"/>
          <w:highlight w:val="none"/>
        </w:rPr>
        <w:t>、投诉事项具体内容</w:t>
      </w:r>
    </w:p>
    <w:p w14:paraId="60B02243">
      <w:pPr>
        <w:shd w:val="clear" w:color="auto" w:fill="auto"/>
        <w:spacing w:before="98" w:line="221" w:lineRule="auto"/>
        <w:ind w:left="508"/>
        <w:rPr>
          <w:rFonts w:hint="eastAsia" w:ascii="仿宋" w:hAnsi="仿宋" w:eastAsia="仿宋" w:cs="仿宋"/>
          <w:color w:val="auto"/>
          <w:sz w:val="24"/>
          <w:szCs w:val="24"/>
          <w:highlight w:val="none"/>
        </w:rPr>
      </w:pPr>
      <w:r>
        <w:rPr>
          <w:rFonts w:hint="eastAsia" w:ascii="仿宋" w:hAnsi="仿宋" w:eastAsia="仿宋" w:cs="仿宋"/>
          <w:color w:val="auto"/>
          <w:spacing w:val="-16"/>
          <w:sz w:val="24"/>
          <w:szCs w:val="24"/>
          <w:highlight w:val="none"/>
        </w:rPr>
        <w:t>投</w:t>
      </w:r>
      <w:r>
        <w:rPr>
          <w:rFonts w:hint="eastAsia" w:ascii="仿宋" w:hAnsi="仿宋" w:eastAsia="仿宋" w:cs="仿宋"/>
          <w:color w:val="auto"/>
          <w:spacing w:val="-10"/>
          <w:sz w:val="24"/>
          <w:szCs w:val="24"/>
          <w:highlight w:val="none"/>
        </w:rPr>
        <w:t>诉事项 1 ：</w:t>
      </w:r>
      <w:r>
        <w:rPr>
          <w:rFonts w:hint="eastAsia" w:ascii="仿宋" w:hAnsi="仿宋" w:eastAsia="仿宋" w:cs="仿宋"/>
          <w:color w:val="auto"/>
          <w:sz w:val="24"/>
          <w:szCs w:val="24"/>
          <w:highlight w:val="none"/>
          <w:u w:val="dotted"/>
        </w:rPr>
        <w:t xml:space="preserve">                                            </w:t>
      </w:r>
    </w:p>
    <w:p w14:paraId="15BBE20A">
      <w:pPr>
        <w:shd w:val="clear" w:color="auto" w:fill="auto"/>
        <w:spacing w:line="24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事</w:t>
      </w:r>
      <w:r>
        <w:rPr>
          <w:rFonts w:hint="eastAsia" w:ascii="仿宋" w:hAnsi="仿宋" w:eastAsia="仿宋" w:cs="仿宋"/>
          <w:color w:val="auto"/>
          <w:spacing w:val="-2"/>
          <w:sz w:val="24"/>
          <w:szCs w:val="24"/>
          <w:highlight w:val="none"/>
        </w:rPr>
        <w:t>实依据：</w:t>
      </w:r>
      <w:r>
        <w:rPr>
          <w:rFonts w:hint="eastAsia" w:ascii="仿宋" w:hAnsi="仿宋" w:eastAsia="仿宋" w:cs="仿宋"/>
          <w:color w:val="auto"/>
          <w:sz w:val="24"/>
          <w:szCs w:val="24"/>
          <w:highlight w:val="none"/>
          <w:u w:val="dotted"/>
        </w:rPr>
        <w:t xml:space="preserve">                                             </w:t>
      </w:r>
    </w:p>
    <w:p w14:paraId="15030D10">
      <w:pPr>
        <w:shd w:val="clear" w:color="auto" w:fill="auto"/>
        <w:tabs>
          <w:tab w:val="left" w:pos="8322"/>
        </w:tabs>
        <w:spacing w:line="24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14:paraId="776871E5">
      <w:pPr>
        <w:shd w:val="clear" w:color="auto" w:fill="auto"/>
        <w:spacing w:line="24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法律</w:t>
      </w:r>
      <w:r>
        <w:rPr>
          <w:rFonts w:hint="eastAsia" w:ascii="仿宋" w:hAnsi="仿宋" w:eastAsia="仿宋" w:cs="仿宋"/>
          <w:color w:val="auto"/>
          <w:spacing w:val="-2"/>
          <w:sz w:val="24"/>
          <w:szCs w:val="24"/>
          <w:highlight w:val="none"/>
        </w:rPr>
        <w:t>依据：</w:t>
      </w:r>
      <w:r>
        <w:rPr>
          <w:rFonts w:hint="eastAsia" w:ascii="仿宋" w:hAnsi="仿宋" w:eastAsia="仿宋" w:cs="仿宋"/>
          <w:color w:val="auto"/>
          <w:sz w:val="24"/>
          <w:szCs w:val="24"/>
          <w:highlight w:val="none"/>
          <w:u w:val="dotted"/>
        </w:rPr>
        <w:t xml:space="preserve">                                             </w:t>
      </w:r>
    </w:p>
    <w:p w14:paraId="76B8CFCC">
      <w:pPr>
        <w:shd w:val="clear" w:color="auto" w:fill="auto"/>
        <w:tabs>
          <w:tab w:val="left" w:pos="8322"/>
        </w:tabs>
        <w:spacing w:line="24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p>
    <w:p w14:paraId="6E2F7044">
      <w:pPr>
        <w:shd w:val="clear" w:color="auto" w:fill="auto"/>
        <w:spacing w:line="24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pacing w:val="-13"/>
          <w:position w:val="11"/>
          <w:sz w:val="24"/>
          <w:szCs w:val="24"/>
          <w:highlight w:val="none"/>
        </w:rPr>
        <w:t>投</w:t>
      </w:r>
      <w:r>
        <w:rPr>
          <w:rFonts w:hint="eastAsia" w:ascii="仿宋" w:hAnsi="仿宋" w:eastAsia="仿宋" w:cs="仿宋"/>
          <w:color w:val="auto"/>
          <w:spacing w:val="-12"/>
          <w:position w:val="11"/>
          <w:sz w:val="24"/>
          <w:szCs w:val="24"/>
          <w:highlight w:val="none"/>
        </w:rPr>
        <w:t>诉事项 2</w:t>
      </w:r>
    </w:p>
    <w:p w14:paraId="173CECF7">
      <w:pPr>
        <w:shd w:val="clear" w:color="auto" w:fill="auto"/>
        <w:spacing w:line="24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w:t>
      </w:r>
    </w:p>
    <w:p w14:paraId="79454360">
      <w:pPr>
        <w:shd w:val="clear" w:color="auto" w:fill="auto"/>
        <w:spacing w:line="240" w:lineRule="auto"/>
        <w:ind w:left="0" w:right="0" w:firstLine="0" w:firstLineChars="0"/>
        <w:rPr>
          <w:rFonts w:hint="eastAsia" w:ascii="仿宋" w:hAnsi="仿宋" w:eastAsia="仿宋" w:cs="仿宋"/>
          <w:color w:val="auto"/>
          <w:spacing w:val="-1"/>
          <w:position w:val="11"/>
          <w:sz w:val="24"/>
          <w:szCs w:val="24"/>
          <w:highlight w:val="none"/>
        </w:rPr>
      </w:pPr>
      <w:r>
        <w:rPr>
          <w:rFonts w:hint="eastAsia" w:ascii="仿宋" w:hAnsi="仿宋" w:eastAsia="仿宋" w:cs="仿宋"/>
          <w:color w:val="auto"/>
          <w:spacing w:val="-2"/>
          <w:position w:val="11"/>
          <w:sz w:val="24"/>
          <w:szCs w:val="24"/>
          <w:highlight w:val="none"/>
        </w:rPr>
        <w:t>签字</w:t>
      </w:r>
      <w:r>
        <w:rPr>
          <w:rFonts w:hint="eastAsia" w:ascii="仿宋" w:hAnsi="仿宋" w:eastAsia="仿宋" w:cs="仿宋"/>
          <w:color w:val="auto"/>
          <w:spacing w:val="-2"/>
          <w:position w:val="11"/>
          <w:sz w:val="24"/>
          <w:szCs w:val="24"/>
          <w:highlight w:val="none"/>
          <w:lang w:eastAsia="zh-CN"/>
        </w:rPr>
        <w:t>（</w:t>
      </w:r>
      <w:r>
        <w:rPr>
          <w:rFonts w:hint="eastAsia" w:ascii="仿宋" w:hAnsi="仿宋" w:eastAsia="仿宋" w:cs="仿宋"/>
          <w:color w:val="auto"/>
          <w:spacing w:val="-2"/>
          <w:position w:val="11"/>
          <w:sz w:val="24"/>
          <w:szCs w:val="24"/>
          <w:highlight w:val="none"/>
        </w:rPr>
        <w:t>签</w:t>
      </w:r>
      <w:r>
        <w:rPr>
          <w:rFonts w:hint="eastAsia" w:ascii="仿宋" w:hAnsi="仿宋" w:eastAsia="仿宋" w:cs="仿宋"/>
          <w:color w:val="auto"/>
          <w:spacing w:val="-1"/>
          <w:position w:val="11"/>
          <w:sz w:val="24"/>
          <w:szCs w:val="24"/>
          <w:highlight w:val="none"/>
        </w:rPr>
        <w:t>章</w:t>
      </w:r>
      <w:r>
        <w:rPr>
          <w:rFonts w:hint="eastAsia" w:ascii="仿宋" w:hAnsi="仿宋" w:eastAsia="仿宋" w:cs="仿宋"/>
          <w:color w:val="auto"/>
          <w:spacing w:val="-1"/>
          <w:position w:val="11"/>
          <w:sz w:val="24"/>
          <w:szCs w:val="24"/>
          <w:highlight w:val="none"/>
          <w:lang w:eastAsia="zh-CN"/>
        </w:rPr>
        <w:t>）</w:t>
      </w:r>
      <w:r>
        <w:rPr>
          <w:rFonts w:hint="eastAsia" w:ascii="仿宋" w:hAnsi="仿宋" w:eastAsia="仿宋" w:cs="仿宋"/>
          <w:color w:val="auto"/>
          <w:spacing w:val="-1"/>
          <w:position w:val="11"/>
          <w:sz w:val="24"/>
          <w:szCs w:val="24"/>
          <w:highlight w:val="none"/>
        </w:rPr>
        <w:t xml:space="preserve">： </w:t>
      </w:r>
    </w:p>
    <w:p w14:paraId="7E05B97D">
      <w:pPr>
        <w:shd w:val="clear" w:color="auto" w:fill="auto"/>
        <w:spacing w:before="56" w:line="437" w:lineRule="exact"/>
        <w:ind w:left="505"/>
        <w:rPr>
          <w:rFonts w:hint="eastAsia" w:ascii="仿宋" w:hAnsi="仿宋" w:eastAsia="仿宋" w:cs="仿宋"/>
          <w:color w:val="auto"/>
          <w:spacing w:val="-1"/>
          <w:position w:val="11"/>
          <w:sz w:val="24"/>
          <w:szCs w:val="24"/>
          <w:highlight w:val="none"/>
        </w:rPr>
      </w:pPr>
      <w:r>
        <w:rPr>
          <w:rFonts w:hint="eastAsia" w:ascii="仿宋" w:hAnsi="仿宋" w:eastAsia="仿宋" w:cs="仿宋"/>
          <w:color w:val="auto"/>
          <w:spacing w:val="-20"/>
          <w:sz w:val="24"/>
          <w:szCs w:val="24"/>
          <w:highlight w:val="none"/>
        </w:rPr>
        <w:t>日</w:t>
      </w:r>
      <w:r>
        <w:rPr>
          <w:rFonts w:hint="eastAsia" w:ascii="仿宋" w:hAnsi="仿宋" w:eastAsia="仿宋" w:cs="仿宋"/>
          <w:color w:val="auto"/>
          <w:spacing w:val="-19"/>
          <w:sz w:val="24"/>
          <w:szCs w:val="24"/>
          <w:highlight w:val="none"/>
        </w:rPr>
        <w:t>期：</w:t>
      </w:r>
      <w:r>
        <w:rPr>
          <w:rFonts w:hint="eastAsia" w:ascii="仿宋" w:hAnsi="仿宋" w:eastAsia="仿宋" w:cs="仿宋"/>
          <w:color w:val="auto"/>
          <w:spacing w:val="-1"/>
          <w:position w:val="11"/>
          <w:sz w:val="24"/>
          <w:szCs w:val="24"/>
          <w:highlight w:val="none"/>
        </w:rPr>
        <w:t xml:space="preserve"> </w:t>
      </w:r>
    </w:p>
    <w:p w14:paraId="0C48788D">
      <w:pPr>
        <w:shd w:val="clear" w:color="auto" w:fill="auto"/>
        <w:spacing w:line="39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pacing w:val="-2"/>
          <w:sz w:val="24"/>
          <w:szCs w:val="24"/>
          <w:highlight w:val="none"/>
        </w:rPr>
        <w:t>投诉书制作说</w:t>
      </w:r>
      <w:r>
        <w:rPr>
          <w:rFonts w:hint="eastAsia" w:ascii="仿宋" w:hAnsi="仿宋" w:eastAsia="仿宋" w:cs="仿宋"/>
          <w:color w:val="auto"/>
          <w:spacing w:val="-1"/>
          <w:sz w:val="24"/>
          <w:szCs w:val="24"/>
          <w:highlight w:val="none"/>
        </w:rPr>
        <w:t>明：</w:t>
      </w:r>
    </w:p>
    <w:p w14:paraId="491D536C">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1.投诉人提起投诉时，应当提交投诉书和必要的证明材料，并按 照被投诉人和与投诉事项有关的供应商数量提供投诉书副本。</w:t>
      </w:r>
    </w:p>
    <w:p w14:paraId="0B5DDD61">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2.投诉人若委托代理人进行投诉的，投诉书应按要求列明“授权 代表”的有关内容，并在附件中提交由投诉人签署的授权委托书。授 权委托书应载明代理人的姓名或者名称、代理事项、具体权限、期限 和相关事项。</w:t>
      </w:r>
    </w:p>
    <w:p w14:paraId="37F9826B">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3.投诉人若对项目的某一分包进行投诉，投诉书中应列明具体分 包号。</w:t>
      </w:r>
    </w:p>
    <w:p w14:paraId="4AB1B7BD">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4.投诉书应简要列明质疑事项，质疑函、质疑答复等作为附件材 料提供。</w:t>
      </w:r>
    </w:p>
    <w:p w14:paraId="4846C2D2">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5.投诉书的投诉事项应具体、明确，并有必要的事实依据和法律 依据。</w:t>
      </w:r>
    </w:p>
    <w:p w14:paraId="0B35B599">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6.投诉书的投诉请求应与投诉事项相关。</w:t>
      </w:r>
    </w:p>
    <w:p w14:paraId="7DCF87AC">
      <w:pPr>
        <w:shd w:val="clear" w:color="auto" w:fill="auto"/>
        <w:spacing w:before="31" w:line="239" w:lineRule="auto"/>
        <w:ind w:left="5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7.投诉人为自然人的，投诉书应由本人签字；投诉人为法人或者 其他组织的，投诉书应当由法定代表人、主要负责人，或者其授权代 表签字或者盖章，并加盖公章。</w:t>
      </w:r>
    </w:p>
    <w:p w14:paraId="3515C855">
      <w:pPr>
        <w:shd w:val="clear" w:color="auto" w:fill="auto"/>
        <w:spacing w:line="460" w:lineRule="exact"/>
        <w:ind w:firstLine="480" w:firstLineChars="200"/>
        <w:rPr>
          <w:rFonts w:hint="eastAsia" w:ascii="仿宋" w:hAnsi="仿宋" w:eastAsia="仿宋" w:cs="仿宋"/>
          <w:color w:val="000000"/>
          <w:kern w:val="0"/>
          <w:sz w:val="22"/>
          <w:szCs w:val="22"/>
          <w:highlight w:val="none"/>
          <w:shd w:val="clear" w:color="auto" w:fill="FFFFFF"/>
        </w:rPr>
      </w:pPr>
      <w:r>
        <w:rPr>
          <w:rFonts w:hint="eastAsia" w:ascii="仿宋" w:hAnsi="仿宋" w:eastAsia="仿宋" w:cs="仿宋"/>
          <w:kern w:val="2"/>
          <w:sz w:val="24"/>
          <w:szCs w:val="32"/>
          <w:highlight w:val="none"/>
          <w:lang w:val="en-US" w:eastAsia="zh-CN" w:bidi="ar-SA"/>
        </w:rPr>
        <w:br w:type="page"/>
      </w:r>
    </w:p>
    <w:p w14:paraId="1737772E">
      <w:pPr>
        <w:spacing w:line="360" w:lineRule="auto"/>
        <w:jc w:val="center"/>
        <w:outlineLvl w:val="0"/>
        <w:rPr>
          <w:rFonts w:hint="eastAsia" w:ascii="仿宋" w:hAnsi="仿宋" w:eastAsia="仿宋" w:cs="仿宋"/>
          <w:b/>
          <w:sz w:val="36"/>
          <w:szCs w:val="36"/>
          <w:highlight w:val="none"/>
        </w:rPr>
      </w:pPr>
      <w:bookmarkStart w:id="213" w:name="_Toc21383"/>
      <w:bookmarkStart w:id="214" w:name="_Toc14765"/>
      <w:bookmarkStart w:id="215" w:name="OLE_LINK52"/>
      <w:bookmarkStart w:id="216" w:name="_Toc17238"/>
      <w:bookmarkStart w:id="217" w:name="_Toc521014791"/>
      <w:bookmarkStart w:id="218" w:name="_Toc23291"/>
      <w:bookmarkStart w:id="219" w:name="_Toc29710"/>
      <w:bookmarkStart w:id="220" w:name="_Toc115436075"/>
      <w:bookmarkStart w:id="221" w:name="_Toc503212223"/>
      <w:bookmarkStart w:id="222" w:name="_Toc24395"/>
      <w:bookmarkStart w:id="223" w:name="_Toc4147"/>
      <w:bookmarkStart w:id="224" w:name="_Toc20110"/>
      <w:bookmarkStart w:id="225" w:name="_Toc115435536"/>
      <w:bookmarkStart w:id="226" w:name="_Toc23028"/>
      <w:bookmarkStart w:id="227" w:name="_Toc6417"/>
      <w:bookmarkStart w:id="228" w:name="_Toc2362"/>
      <w:bookmarkStart w:id="229" w:name="_Toc1354"/>
      <w:r>
        <w:rPr>
          <w:rFonts w:hint="eastAsia" w:ascii="仿宋" w:hAnsi="仿宋" w:eastAsia="仿宋" w:cs="仿宋"/>
          <w:b/>
          <w:sz w:val="36"/>
          <w:szCs w:val="36"/>
          <w:highlight w:val="none"/>
        </w:rPr>
        <w:t>第三章   资格审查</w:t>
      </w:r>
      <w:bookmarkEnd w:id="213"/>
      <w:bookmarkEnd w:id="214"/>
      <w:bookmarkStart w:id="230" w:name="_Toc487900382"/>
    </w:p>
    <w:p w14:paraId="0D892227">
      <w:pPr>
        <w:tabs>
          <w:tab w:val="left" w:pos="360"/>
          <w:tab w:val="left" w:pos="900"/>
        </w:tabs>
        <w:snapToGrid w:val="0"/>
        <w:spacing w:line="360" w:lineRule="auto"/>
        <w:jc w:val="center"/>
        <w:outlineLvl w:val="1"/>
        <w:rPr>
          <w:rFonts w:hint="eastAsia" w:ascii="仿宋" w:hAnsi="仿宋" w:eastAsia="仿宋" w:cs="仿宋"/>
          <w:b/>
          <w:sz w:val="28"/>
          <w:szCs w:val="28"/>
        </w:rPr>
      </w:pPr>
      <w:bookmarkStart w:id="231" w:name="_Toc99301422"/>
      <w:r>
        <w:rPr>
          <w:rFonts w:hint="eastAsia" w:ascii="仿宋" w:hAnsi="仿宋" w:eastAsia="仿宋" w:cs="仿宋"/>
          <w:b/>
          <w:sz w:val="28"/>
          <w:szCs w:val="28"/>
        </w:rPr>
        <w:t>一、资格审查程序</w:t>
      </w:r>
      <w:bookmarkEnd w:id="231"/>
    </w:p>
    <w:p w14:paraId="50D29A16">
      <w:pPr>
        <w:numPr>
          <w:ilvl w:val="0"/>
          <w:numId w:val="7"/>
        </w:numPr>
        <w:tabs>
          <w:tab w:val="left" w:pos="426"/>
          <w:tab w:val="left" w:pos="851"/>
        </w:tabs>
        <w:snapToGrid w:val="0"/>
        <w:spacing w:line="360" w:lineRule="auto"/>
        <w:ind w:left="426" w:hanging="426"/>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开标结束后，采购人或采购代理机构将根据《资格审查要求》中的规定，对投标人进行资格审查，并形成资格审查结果。</w:t>
      </w:r>
    </w:p>
    <w:p w14:paraId="4B71CE63">
      <w:pPr>
        <w:numPr>
          <w:ilvl w:val="0"/>
          <w:numId w:val="7"/>
        </w:numPr>
        <w:tabs>
          <w:tab w:val="left" w:pos="426"/>
          <w:tab w:val="left" w:pos="851"/>
        </w:tabs>
        <w:snapToGrid w:val="0"/>
        <w:spacing w:line="360" w:lineRule="auto"/>
        <w:ind w:left="426" w:hanging="426"/>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《资格审查要求》中对格式有要求的，除招标文件另有规定外，均为“实质性格式”文件。</w:t>
      </w:r>
    </w:p>
    <w:p w14:paraId="5DC11510">
      <w:pPr>
        <w:numPr>
          <w:ilvl w:val="0"/>
          <w:numId w:val="7"/>
        </w:numPr>
        <w:tabs>
          <w:tab w:val="left" w:pos="426"/>
          <w:tab w:val="left" w:pos="851"/>
        </w:tabs>
        <w:snapToGrid w:val="0"/>
        <w:spacing w:line="360" w:lineRule="auto"/>
        <w:ind w:left="426" w:hanging="426"/>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投标人《资格证明文件》有任何一项不符合《资格审查要求》的，资格审查不合格，其</w:t>
      </w:r>
      <w:r>
        <w:rPr>
          <w:rFonts w:hint="eastAsia" w:ascii="仿宋" w:hAnsi="仿宋" w:eastAsia="仿宋" w:cs="仿宋"/>
          <w:b/>
          <w:sz w:val="24"/>
          <w:szCs w:val="24"/>
          <w:highlight w:val="none"/>
        </w:rPr>
        <w:t>投标无效</w:t>
      </w:r>
      <w:r>
        <w:rPr>
          <w:rFonts w:hint="eastAsia" w:ascii="仿宋" w:hAnsi="仿宋" w:eastAsia="仿宋" w:cs="仿宋"/>
          <w:sz w:val="24"/>
          <w:szCs w:val="24"/>
          <w:highlight w:val="none"/>
        </w:rPr>
        <w:t>。</w:t>
      </w:r>
    </w:p>
    <w:p w14:paraId="4CC5C8EE">
      <w:pPr>
        <w:numPr>
          <w:ilvl w:val="0"/>
          <w:numId w:val="7"/>
        </w:numPr>
        <w:tabs>
          <w:tab w:val="left" w:pos="426"/>
          <w:tab w:val="left" w:pos="851"/>
        </w:tabs>
        <w:snapToGrid w:val="0"/>
        <w:spacing w:line="360" w:lineRule="auto"/>
        <w:ind w:left="426" w:hanging="426"/>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资格审查合格的投标人不足3家的，不进行评标。</w:t>
      </w:r>
    </w:p>
    <w:p w14:paraId="49DC8EB4">
      <w:pPr>
        <w:widowControl/>
        <w:jc w:val="left"/>
        <w:rPr>
          <w:rFonts w:hint="eastAsia" w:ascii="仿宋" w:hAnsi="仿宋" w:eastAsia="仿宋" w:cs="仿宋"/>
          <w:sz w:val="24"/>
          <w:szCs w:val="24"/>
          <w:highlight w:val="none"/>
        </w:rPr>
      </w:pPr>
    </w:p>
    <w:p w14:paraId="43E537C3">
      <w:pPr>
        <w:tabs>
          <w:tab w:val="left" w:pos="360"/>
          <w:tab w:val="left" w:pos="900"/>
        </w:tabs>
        <w:snapToGrid w:val="0"/>
        <w:spacing w:line="360" w:lineRule="auto"/>
        <w:jc w:val="center"/>
        <w:outlineLvl w:val="1"/>
        <w:rPr>
          <w:rFonts w:hint="eastAsia" w:ascii="仿宋" w:hAnsi="仿宋" w:eastAsia="仿宋" w:cs="仿宋"/>
          <w:b/>
          <w:sz w:val="28"/>
          <w:szCs w:val="28"/>
        </w:rPr>
      </w:pPr>
      <w:r>
        <w:rPr>
          <w:rFonts w:hint="eastAsia" w:ascii="仿宋" w:hAnsi="仿宋" w:eastAsia="仿宋" w:cs="仿宋"/>
          <w:b/>
          <w:sz w:val="28"/>
          <w:szCs w:val="28"/>
        </w:rPr>
        <w:t>二、资格审查要求</w:t>
      </w:r>
    </w:p>
    <w:tbl>
      <w:tblPr>
        <w:tblStyle w:val="7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2126"/>
        <w:gridCol w:w="6039"/>
        <w:gridCol w:w="893"/>
      </w:tblGrid>
      <w:tr w14:paraId="618CA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noWrap w:val="0"/>
            <w:vAlign w:val="center"/>
          </w:tcPr>
          <w:p w14:paraId="015F2368">
            <w:pPr>
              <w:keepNext w:val="0"/>
              <w:keepLines w:val="0"/>
              <w:suppressLineNumbers w:val="0"/>
              <w:tabs>
                <w:tab w:val="left" w:pos="1080"/>
              </w:tabs>
              <w:snapToGrid w:val="0"/>
              <w:spacing w:before="0" w:beforeAutospacing="0" w:after="0" w:afterAutospacing="0"/>
              <w:jc w:val="center"/>
              <w:rPr>
                <w:rFonts w:hint="eastAsia" w:ascii="仿宋" w:hAnsi="仿宋" w:eastAsia="仿宋" w:cs="仿宋"/>
                <w:b/>
                <w:sz w:val="24"/>
                <w:szCs w:val="24"/>
                <w:highlight w:val="none"/>
              </w:rPr>
            </w:pPr>
            <w:bookmarkStart w:id="232" w:name="_Hlt487972895"/>
            <w:bookmarkEnd w:id="232"/>
            <w:r>
              <w:rPr>
                <w:rFonts w:hint="eastAsia" w:ascii="仿宋" w:hAnsi="仿宋" w:eastAsia="仿宋" w:cs="仿宋"/>
                <w:b/>
                <w:sz w:val="24"/>
                <w:szCs w:val="24"/>
                <w:highlight w:val="none"/>
              </w:rPr>
              <w:t>序号</w:t>
            </w:r>
          </w:p>
        </w:tc>
        <w:tc>
          <w:tcPr>
            <w:tcW w:w="1066" w:type="pct"/>
            <w:noWrap w:val="0"/>
            <w:vAlign w:val="center"/>
          </w:tcPr>
          <w:p w14:paraId="1A38F7CE">
            <w:pPr>
              <w:keepNext w:val="0"/>
              <w:keepLines w:val="0"/>
              <w:suppressLineNumbers w:val="0"/>
              <w:tabs>
                <w:tab w:val="left" w:pos="1080"/>
              </w:tabs>
              <w:snapToGrid w:val="0"/>
              <w:spacing w:before="0" w:beforeAutospacing="0" w:after="0" w:afterAutospacing="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审查因素</w:t>
            </w:r>
          </w:p>
        </w:tc>
        <w:tc>
          <w:tcPr>
            <w:tcW w:w="3030" w:type="pct"/>
            <w:noWrap w:val="0"/>
            <w:vAlign w:val="center"/>
          </w:tcPr>
          <w:p w14:paraId="0DDF1856">
            <w:pPr>
              <w:keepNext w:val="0"/>
              <w:keepLines w:val="0"/>
              <w:suppressLineNumbers w:val="0"/>
              <w:tabs>
                <w:tab w:val="left" w:pos="1080"/>
              </w:tabs>
              <w:snapToGrid w:val="0"/>
              <w:spacing w:before="0" w:beforeAutospacing="0" w:after="0" w:afterAutospacing="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审查内容</w:t>
            </w:r>
          </w:p>
        </w:tc>
        <w:tc>
          <w:tcPr>
            <w:tcW w:w="448" w:type="pct"/>
            <w:noWrap w:val="0"/>
            <w:vAlign w:val="center"/>
          </w:tcPr>
          <w:p w14:paraId="66144351">
            <w:pPr>
              <w:keepNext w:val="0"/>
              <w:keepLines w:val="0"/>
              <w:suppressLineNumbers w:val="0"/>
              <w:tabs>
                <w:tab w:val="left" w:pos="1080"/>
              </w:tabs>
              <w:snapToGrid w:val="0"/>
              <w:spacing w:before="0" w:beforeAutospacing="0" w:after="0" w:afterAutospacing="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格式要求</w:t>
            </w:r>
          </w:p>
        </w:tc>
      </w:tr>
      <w:tr w14:paraId="5ACB5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0E280D02">
            <w:pPr>
              <w:keepNext w:val="0"/>
              <w:keepLines w:val="0"/>
              <w:suppressLineNumbers w:val="0"/>
              <w:tabs>
                <w:tab w:val="left" w:pos="1080"/>
              </w:tabs>
              <w:snapToGrid w:val="0"/>
              <w:spacing w:before="0" w:beforeAutospacing="0" w:after="0" w:afterAutospacing="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066" w:type="pct"/>
            <w:noWrap w:val="0"/>
            <w:vAlign w:val="center"/>
          </w:tcPr>
          <w:p w14:paraId="60A2CCC5">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highlight w:val="none"/>
              </w:rPr>
            </w:pPr>
            <w:bookmarkStart w:id="233" w:name="OLE_LINK71"/>
            <w:r>
              <w:rPr>
                <w:rFonts w:hint="eastAsia" w:ascii="仿宋" w:hAnsi="仿宋" w:eastAsia="仿宋" w:cs="仿宋"/>
                <w:i w:val="0"/>
                <w:iCs w:val="0"/>
                <w:caps w:val="0"/>
                <w:color w:val="000000"/>
                <w:spacing w:val="0"/>
                <w:sz w:val="24"/>
                <w:szCs w:val="24"/>
                <w:highlight w:val="none"/>
                <w:lang w:val="en-US" w:eastAsia="zh-CN"/>
              </w:rPr>
              <w:t>具有独立承担民事责任的能力</w:t>
            </w:r>
            <w:bookmarkEnd w:id="233"/>
          </w:p>
        </w:tc>
        <w:tc>
          <w:tcPr>
            <w:tcW w:w="3030" w:type="pct"/>
            <w:noWrap w:val="0"/>
            <w:vAlign w:val="center"/>
          </w:tcPr>
          <w:p w14:paraId="121237EF">
            <w:pPr>
              <w:pStyle w:val="20"/>
              <w:keepNext w:val="0"/>
              <w:keepLines w:val="0"/>
              <w:pageBreakBefore w:val="0"/>
              <w:numPr>
                <w:ilvl w:val="0"/>
                <w:numId w:val="0"/>
              </w:numPr>
              <w:suppressLineNumbers w:val="0"/>
              <w:kinsoku/>
              <w:wordWrap/>
              <w:overflowPunct w:val="0"/>
              <w:topLinePunct w:val="0"/>
              <w:autoSpaceDE/>
              <w:autoSpaceDN/>
              <w:bidi w:val="0"/>
              <w:adjustRightInd/>
              <w:snapToGrid w:val="0"/>
              <w:spacing w:before="0" w:beforeAutospacing="0" w:after="0" w:afterAutospacing="0" w:line="300" w:lineRule="exact"/>
              <w:ind w:leftChars="0" w:right="62" w:rightChars="0"/>
              <w:textAlignment w:val="auto"/>
              <w:outlineLvl w:val="9"/>
              <w:rPr>
                <w:rFonts w:hint="eastAsia" w:ascii="仿宋" w:hAnsi="仿宋" w:eastAsia="仿宋" w:cs="仿宋"/>
                <w:sz w:val="24"/>
                <w:szCs w:val="24"/>
                <w:highlight w:val="none"/>
              </w:rPr>
            </w:pPr>
            <w:bookmarkStart w:id="234" w:name="OLE_LINK51"/>
            <w:r>
              <w:rPr>
                <w:rFonts w:hint="eastAsia" w:ascii="仿宋" w:hAnsi="仿宋" w:eastAsia="仿宋" w:cs="仿宋"/>
                <w:i w:val="0"/>
                <w:iCs w:val="0"/>
                <w:caps w:val="0"/>
                <w:color w:val="000000"/>
                <w:spacing w:val="0"/>
                <w:sz w:val="24"/>
                <w:szCs w:val="24"/>
                <w:highlight w:val="none"/>
                <w:lang w:val="en-US" w:eastAsia="zh-CN"/>
              </w:rPr>
              <w:t>具有企业法人营业执照（三证合一）、《银行开户许可证》或《基本存款账户信息》</w:t>
            </w:r>
            <w:bookmarkEnd w:id="234"/>
          </w:p>
        </w:tc>
        <w:tc>
          <w:tcPr>
            <w:tcW w:w="448" w:type="pct"/>
            <w:noWrap w:val="0"/>
            <w:vAlign w:val="center"/>
          </w:tcPr>
          <w:p w14:paraId="4B179F66">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highlight w:val="none"/>
              </w:rPr>
            </w:pPr>
          </w:p>
        </w:tc>
      </w:tr>
      <w:tr w14:paraId="76DB3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6C8874D0">
            <w:pPr>
              <w:keepNext w:val="0"/>
              <w:keepLines w:val="0"/>
              <w:suppressLineNumbers w:val="0"/>
              <w:tabs>
                <w:tab w:val="left" w:pos="1080"/>
              </w:tabs>
              <w:snapToGrid w:val="0"/>
              <w:spacing w:before="0" w:beforeAutospacing="0" w:after="0" w:afterAutospacing="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1066" w:type="pct"/>
            <w:noWrap w:val="0"/>
            <w:vAlign w:val="center"/>
          </w:tcPr>
          <w:p w14:paraId="127D167C">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highlight w:val="none"/>
              </w:rPr>
            </w:pPr>
            <w:bookmarkStart w:id="235" w:name="OLE_LINK72"/>
            <w:r>
              <w:rPr>
                <w:rFonts w:hint="eastAsia" w:ascii="仿宋" w:hAnsi="仿宋" w:eastAsia="仿宋" w:cs="仿宋"/>
                <w:sz w:val="24"/>
                <w:szCs w:val="24"/>
                <w:highlight w:val="none"/>
                <w:lang w:val="en-US" w:eastAsia="zh-CN"/>
              </w:rPr>
              <w:t>有依法缴纳税收和社会保障资金的良好记录</w:t>
            </w:r>
            <w:bookmarkEnd w:id="235"/>
          </w:p>
        </w:tc>
        <w:tc>
          <w:tcPr>
            <w:tcW w:w="3030" w:type="pct"/>
            <w:noWrap w:val="0"/>
            <w:vAlign w:val="center"/>
          </w:tcPr>
          <w:p w14:paraId="34F36073">
            <w:pPr>
              <w:pStyle w:val="20"/>
              <w:keepNext w:val="0"/>
              <w:keepLines w:val="0"/>
              <w:pageBreakBefore w:val="0"/>
              <w:suppressLineNumbers w:val="0"/>
              <w:kinsoku/>
              <w:wordWrap/>
              <w:overflowPunct w:val="0"/>
              <w:topLinePunct w:val="0"/>
              <w:autoSpaceDE/>
              <w:autoSpaceDN/>
              <w:bidi w:val="0"/>
              <w:adjustRightInd/>
              <w:snapToGrid w:val="0"/>
              <w:spacing w:before="0" w:beforeAutospacing="0" w:after="0" w:afterAutospacing="0" w:line="300" w:lineRule="exact"/>
              <w:ind w:left="0" w:firstLine="0" w:firstLineChars="0"/>
              <w:textAlignment w:val="auto"/>
              <w:outlineLvl w:val="9"/>
              <w:rPr>
                <w:rFonts w:hint="eastAsia" w:ascii="仿宋" w:hAnsi="仿宋" w:eastAsia="仿宋" w:cs="仿宋"/>
                <w:sz w:val="24"/>
                <w:szCs w:val="24"/>
                <w:highlight w:val="none"/>
              </w:rPr>
            </w:pPr>
            <w:bookmarkStart w:id="236" w:name="OLE_LINK30"/>
            <w:r>
              <w:rPr>
                <w:rFonts w:hint="eastAsia" w:ascii="仿宋" w:hAnsi="仿宋" w:eastAsia="仿宋" w:cs="仿宋"/>
                <w:i w:val="0"/>
                <w:iCs w:val="0"/>
                <w:caps w:val="0"/>
                <w:color w:val="000000"/>
                <w:spacing w:val="0"/>
                <w:sz w:val="24"/>
                <w:szCs w:val="24"/>
                <w:highlight w:val="none"/>
              </w:rPr>
              <w:t>有依法缴纳税收和社会保障资金的良好记录：提供投标截止日前</w:t>
            </w:r>
            <w:r>
              <w:rPr>
                <w:rFonts w:hint="eastAsia" w:ascii="仿宋" w:hAnsi="仿宋" w:eastAsia="仿宋" w:cs="仿宋"/>
                <w:i w:val="0"/>
                <w:iCs w:val="0"/>
                <w:caps w:val="0"/>
                <w:color w:val="000000"/>
                <w:spacing w:val="0"/>
                <w:sz w:val="24"/>
                <w:szCs w:val="24"/>
                <w:highlight w:val="none"/>
                <w:lang w:val="en-US" w:eastAsia="zh-CN"/>
              </w:rPr>
              <w:t>3</w:t>
            </w:r>
            <w:r>
              <w:rPr>
                <w:rFonts w:hint="eastAsia" w:ascii="仿宋" w:hAnsi="仿宋" w:eastAsia="仿宋" w:cs="仿宋"/>
                <w:i w:val="0"/>
                <w:iCs w:val="0"/>
                <w:caps w:val="0"/>
                <w:color w:val="000000"/>
                <w:spacing w:val="0"/>
                <w:sz w:val="24"/>
                <w:szCs w:val="24"/>
                <w:highlight w:val="none"/>
              </w:rPr>
              <w:t>个月</w:t>
            </w:r>
            <w:bookmarkStart w:id="237" w:name="OLE_LINK31"/>
            <w:r>
              <w:rPr>
                <w:rFonts w:hint="eastAsia" w:ascii="仿宋" w:hAnsi="仿宋" w:eastAsia="仿宋" w:cs="仿宋"/>
                <w:i w:val="0"/>
                <w:iCs w:val="0"/>
                <w:caps w:val="0"/>
                <w:color w:val="000000"/>
                <w:spacing w:val="0"/>
                <w:sz w:val="24"/>
                <w:szCs w:val="24"/>
                <w:highlight w:val="none"/>
                <w:lang w:val="en-US" w:eastAsia="zh-CN"/>
              </w:rPr>
              <w:t>内任意1个月</w:t>
            </w:r>
            <w:bookmarkEnd w:id="237"/>
            <w:r>
              <w:rPr>
                <w:rFonts w:hint="eastAsia" w:ascii="仿宋" w:hAnsi="仿宋" w:eastAsia="仿宋" w:cs="仿宋"/>
                <w:i w:val="0"/>
                <w:iCs w:val="0"/>
                <w:caps w:val="0"/>
                <w:color w:val="000000"/>
                <w:spacing w:val="0"/>
                <w:sz w:val="24"/>
                <w:szCs w:val="24"/>
                <w:highlight w:val="none"/>
              </w:rPr>
              <w:t>的缴纳税收的完税证明或税务部门出具的纳税证明，如依法免税的，应提供相应文件证明；提供投标截止日前</w:t>
            </w:r>
            <w:r>
              <w:rPr>
                <w:rFonts w:hint="eastAsia" w:ascii="仿宋" w:hAnsi="仿宋" w:eastAsia="仿宋" w:cs="仿宋"/>
                <w:i w:val="0"/>
                <w:iCs w:val="0"/>
                <w:caps w:val="0"/>
                <w:color w:val="000000"/>
                <w:spacing w:val="0"/>
                <w:sz w:val="24"/>
                <w:szCs w:val="24"/>
                <w:highlight w:val="none"/>
                <w:lang w:val="en-US" w:eastAsia="zh-CN"/>
              </w:rPr>
              <w:t>3</w:t>
            </w:r>
            <w:r>
              <w:rPr>
                <w:rFonts w:hint="eastAsia" w:ascii="仿宋" w:hAnsi="仿宋" w:eastAsia="仿宋" w:cs="仿宋"/>
                <w:i w:val="0"/>
                <w:iCs w:val="0"/>
                <w:caps w:val="0"/>
                <w:color w:val="000000"/>
                <w:spacing w:val="0"/>
                <w:sz w:val="24"/>
                <w:szCs w:val="24"/>
                <w:highlight w:val="none"/>
              </w:rPr>
              <w:t>个月</w:t>
            </w:r>
            <w:r>
              <w:rPr>
                <w:rFonts w:hint="eastAsia" w:ascii="仿宋" w:hAnsi="仿宋" w:eastAsia="仿宋" w:cs="仿宋"/>
                <w:i w:val="0"/>
                <w:iCs w:val="0"/>
                <w:caps w:val="0"/>
                <w:color w:val="000000"/>
                <w:spacing w:val="0"/>
                <w:sz w:val="24"/>
                <w:szCs w:val="24"/>
                <w:highlight w:val="none"/>
                <w:lang w:val="en-US" w:eastAsia="zh-CN"/>
              </w:rPr>
              <w:t>内任意1个月</w:t>
            </w:r>
            <w:r>
              <w:rPr>
                <w:rFonts w:hint="eastAsia" w:ascii="仿宋" w:hAnsi="仿宋" w:eastAsia="仿宋" w:cs="仿宋"/>
                <w:i w:val="0"/>
                <w:iCs w:val="0"/>
                <w:caps w:val="0"/>
                <w:color w:val="000000"/>
                <w:spacing w:val="0"/>
                <w:sz w:val="24"/>
                <w:szCs w:val="24"/>
                <w:highlight w:val="none"/>
              </w:rPr>
              <w:t>的社保证明材料，如依法不需要缴纳社会保障资金的，应提供相应文件证明。</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lang w:val="en-US" w:eastAsia="zh-CN"/>
              </w:rPr>
              <w:t>新成立公司，按实际</w:t>
            </w:r>
            <w:r>
              <w:rPr>
                <w:rFonts w:hint="eastAsia" w:ascii="仿宋" w:hAnsi="仿宋" w:eastAsia="仿宋" w:cs="仿宋"/>
                <w:i w:val="0"/>
                <w:iCs w:val="0"/>
                <w:caps w:val="0"/>
                <w:color w:val="000000"/>
                <w:spacing w:val="0"/>
                <w:sz w:val="24"/>
                <w:szCs w:val="24"/>
                <w:highlight w:val="none"/>
              </w:rPr>
              <w:t>发生提供</w:t>
            </w:r>
            <w:r>
              <w:rPr>
                <w:rFonts w:hint="eastAsia" w:ascii="仿宋" w:hAnsi="仿宋" w:eastAsia="仿宋" w:cs="仿宋"/>
                <w:i w:val="0"/>
                <w:iCs w:val="0"/>
                <w:caps w:val="0"/>
                <w:color w:val="000000"/>
                <w:spacing w:val="0"/>
                <w:sz w:val="24"/>
                <w:szCs w:val="24"/>
                <w:highlight w:val="none"/>
                <w:lang w:eastAsia="zh-CN"/>
              </w:rPr>
              <w:t>）</w:t>
            </w:r>
            <w:bookmarkEnd w:id="236"/>
          </w:p>
        </w:tc>
        <w:tc>
          <w:tcPr>
            <w:tcW w:w="448" w:type="pct"/>
            <w:noWrap w:val="0"/>
            <w:vAlign w:val="center"/>
          </w:tcPr>
          <w:p w14:paraId="125C0E73">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highlight w:val="none"/>
              </w:rPr>
            </w:pPr>
          </w:p>
        </w:tc>
      </w:tr>
      <w:tr w14:paraId="5A18A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2399AA00">
            <w:pPr>
              <w:keepNext w:val="0"/>
              <w:keepLines w:val="0"/>
              <w:suppressLineNumbers w:val="0"/>
              <w:tabs>
                <w:tab w:val="left" w:pos="1080"/>
              </w:tabs>
              <w:snapToGrid w:val="0"/>
              <w:spacing w:before="0" w:beforeAutospacing="0" w:after="0" w:afterAutospacing="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66" w:type="pct"/>
            <w:noWrap w:val="0"/>
            <w:vAlign w:val="center"/>
          </w:tcPr>
          <w:p w14:paraId="1D8D60BF">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highlight w:val="none"/>
                <w:lang w:val="en-US" w:eastAsia="zh-CN"/>
              </w:rPr>
            </w:pPr>
            <w:bookmarkStart w:id="238" w:name="OLE_LINK73"/>
            <w:r>
              <w:rPr>
                <w:rFonts w:hint="eastAsia" w:ascii="仿宋" w:hAnsi="仿宋" w:eastAsia="仿宋" w:cs="仿宋"/>
                <w:sz w:val="24"/>
                <w:szCs w:val="24"/>
                <w:highlight w:val="none"/>
                <w:lang w:val="en-US" w:eastAsia="zh-CN"/>
              </w:rPr>
              <w:t>具有良好的商业信誉和健全的财务会计制度</w:t>
            </w:r>
            <w:bookmarkEnd w:id="238"/>
          </w:p>
        </w:tc>
        <w:tc>
          <w:tcPr>
            <w:tcW w:w="3030" w:type="pct"/>
            <w:noWrap w:val="0"/>
            <w:vAlign w:val="center"/>
          </w:tcPr>
          <w:p w14:paraId="0ED45F0A">
            <w:pPr>
              <w:pStyle w:val="20"/>
              <w:keepNext w:val="0"/>
              <w:keepLines w:val="0"/>
              <w:pageBreakBefore w:val="0"/>
              <w:suppressLineNumbers w:val="0"/>
              <w:kinsoku/>
              <w:wordWrap/>
              <w:overflowPunct w:val="0"/>
              <w:topLinePunct w:val="0"/>
              <w:autoSpaceDE/>
              <w:autoSpaceDN/>
              <w:bidi w:val="0"/>
              <w:adjustRightInd/>
              <w:snapToGrid w:val="0"/>
              <w:spacing w:before="0" w:beforeAutospacing="0" w:after="0" w:afterAutospacing="0" w:line="300" w:lineRule="exact"/>
              <w:ind w:left="0" w:firstLine="0" w:firstLineChars="0"/>
              <w:textAlignment w:val="auto"/>
              <w:outlineLvl w:val="9"/>
              <w:rPr>
                <w:rFonts w:hint="eastAsia" w:ascii="仿宋" w:hAnsi="仿宋" w:eastAsia="仿宋" w:cs="仿宋"/>
                <w:sz w:val="24"/>
                <w:szCs w:val="24"/>
                <w:highlight w:val="none"/>
                <w:lang w:val="en-US" w:eastAsia="zh-CN"/>
              </w:rPr>
            </w:pPr>
            <w:bookmarkStart w:id="239" w:name="OLE_LINK29"/>
            <w:r>
              <w:rPr>
                <w:rFonts w:hint="eastAsia" w:ascii="仿宋" w:hAnsi="仿宋" w:eastAsia="仿宋" w:cs="仿宋"/>
                <w:i w:val="0"/>
                <w:iCs w:val="0"/>
                <w:caps w:val="0"/>
                <w:color w:val="000000"/>
                <w:spacing w:val="0"/>
                <w:sz w:val="24"/>
                <w:szCs w:val="24"/>
                <w:highlight w:val="none"/>
              </w:rPr>
              <w:t>具有良好的商业信誉和健全的财务会计制度：提供202</w:t>
            </w:r>
            <w:r>
              <w:rPr>
                <w:rFonts w:hint="eastAsia" w:ascii="仿宋" w:hAnsi="仿宋" w:eastAsia="仿宋" w:cs="仿宋"/>
                <w:i w:val="0"/>
                <w:iCs w:val="0"/>
                <w:caps w:val="0"/>
                <w:color w:val="000000"/>
                <w:spacing w:val="0"/>
                <w:sz w:val="24"/>
                <w:szCs w:val="24"/>
                <w:highlight w:val="none"/>
                <w:lang w:val="en-US" w:eastAsia="zh-CN"/>
              </w:rPr>
              <w:t>4</w:t>
            </w:r>
            <w:r>
              <w:rPr>
                <w:rFonts w:hint="eastAsia" w:ascii="仿宋" w:hAnsi="仿宋" w:eastAsia="仿宋" w:cs="仿宋"/>
                <w:i w:val="0"/>
                <w:iCs w:val="0"/>
                <w:caps w:val="0"/>
                <w:color w:val="000000"/>
                <w:spacing w:val="0"/>
                <w:sz w:val="24"/>
                <w:szCs w:val="24"/>
                <w:highlight w:val="none"/>
              </w:rPr>
              <w:t>年财务状况报告复印件，供应商是法人的，应提供经审计的财务报告（含第三方审计机构评估的财务报告）（执行《企业会计准则》的，提供资产负债表、利润表、现金流量表、所有者权益变动表及其附注（以下称“四表一注”）；执行《中小企业会计准则》的，提供资产负债表、利润表、现金流量表及其附注（以下称“三表一注”））；供应商是其他组织或者自然人的，应提供经审计的财务报告（含第三方审计机构评估的财务报告）（包括“四表一注”“三表一注”）或者银行出具的资信证明]；如是202</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rPr>
              <w:t>年新成立企业，只需提供从取得营业执照起的基本开户银行出具的资信证明）；</w:t>
            </w:r>
            <w:bookmarkEnd w:id="239"/>
          </w:p>
        </w:tc>
        <w:tc>
          <w:tcPr>
            <w:tcW w:w="448" w:type="pct"/>
            <w:noWrap w:val="0"/>
            <w:vAlign w:val="center"/>
          </w:tcPr>
          <w:p w14:paraId="2D1BA5EF">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highlight w:val="none"/>
              </w:rPr>
            </w:pPr>
          </w:p>
        </w:tc>
      </w:tr>
      <w:tr w14:paraId="793F7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67DD972D">
            <w:pPr>
              <w:keepNext w:val="0"/>
              <w:keepLines w:val="0"/>
              <w:suppressLineNumbers w:val="0"/>
              <w:tabs>
                <w:tab w:val="left" w:pos="1080"/>
              </w:tabs>
              <w:snapToGrid w:val="0"/>
              <w:spacing w:before="0" w:beforeAutospacing="0" w:after="0" w:afterAutospacing="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1066" w:type="pct"/>
            <w:noWrap w:val="0"/>
            <w:vAlign w:val="center"/>
          </w:tcPr>
          <w:p w14:paraId="72E6789C">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highlight w:val="none"/>
              </w:rPr>
            </w:pPr>
            <w:bookmarkStart w:id="240" w:name="OLE_LINK74"/>
            <w:r>
              <w:rPr>
                <w:rFonts w:hint="eastAsia" w:ascii="仿宋" w:hAnsi="仿宋" w:eastAsia="仿宋" w:cs="仿宋"/>
                <w:i w:val="0"/>
                <w:iCs w:val="0"/>
                <w:caps w:val="0"/>
                <w:color w:val="000000"/>
                <w:spacing w:val="0"/>
                <w:sz w:val="24"/>
                <w:szCs w:val="24"/>
                <w:highlight w:val="none"/>
                <w:lang w:val="en-US" w:eastAsia="zh-CN"/>
              </w:rPr>
              <w:t>参加采购活动前3年内，在经营活动中没有重大违法记录</w:t>
            </w:r>
            <w:bookmarkEnd w:id="240"/>
          </w:p>
        </w:tc>
        <w:tc>
          <w:tcPr>
            <w:tcW w:w="3030" w:type="pct"/>
            <w:noWrap w:val="0"/>
            <w:vAlign w:val="center"/>
          </w:tcPr>
          <w:p w14:paraId="7B141772">
            <w:pPr>
              <w:pStyle w:val="20"/>
              <w:keepNext w:val="0"/>
              <w:keepLines w:val="0"/>
              <w:pageBreakBefore w:val="0"/>
              <w:suppressLineNumbers w:val="0"/>
              <w:kinsoku/>
              <w:wordWrap/>
              <w:overflowPunct w:val="0"/>
              <w:topLinePunct w:val="0"/>
              <w:autoSpaceDE/>
              <w:autoSpaceDN/>
              <w:bidi w:val="0"/>
              <w:adjustRightInd/>
              <w:snapToGrid w:val="0"/>
              <w:spacing w:before="0" w:beforeAutospacing="0" w:after="0" w:afterAutospacing="0" w:line="300" w:lineRule="exact"/>
              <w:ind w:left="0" w:firstLine="0" w:firstLineChars="0"/>
              <w:textAlignment w:val="auto"/>
              <w:outlineLvl w:val="9"/>
              <w:rPr>
                <w:rFonts w:hint="eastAsia" w:ascii="仿宋" w:hAnsi="仿宋" w:eastAsia="仿宋" w:cs="仿宋"/>
                <w:sz w:val="24"/>
                <w:szCs w:val="24"/>
                <w:highlight w:val="none"/>
              </w:rPr>
            </w:pPr>
            <w:bookmarkStart w:id="241" w:name="OLE_LINK75"/>
            <w:r>
              <w:rPr>
                <w:rFonts w:hint="eastAsia" w:ascii="仿宋" w:hAnsi="仿宋" w:eastAsia="仿宋" w:cs="仿宋"/>
                <w:sz w:val="24"/>
                <w:szCs w:val="24"/>
                <w:highlight w:val="none"/>
              </w:rPr>
              <w:t>提供参加本次政府采购活动前3年内在经营活动中没有重大违法记录的书面承诺函</w:t>
            </w:r>
            <w:r>
              <w:rPr>
                <w:rFonts w:hint="eastAsia" w:ascii="仿宋" w:hAnsi="仿宋" w:eastAsia="仿宋" w:cs="仿宋"/>
                <w:sz w:val="24"/>
                <w:highlight w:val="none"/>
                <w:lang w:val="zh-CN"/>
              </w:rPr>
              <w:t>并加盖单位公章</w:t>
            </w:r>
            <w:r>
              <w:rPr>
                <w:rFonts w:hint="eastAsia" w:ascii="仿宋" w:hAnsi="仿宋" w:eastAsia="仿宋" w:cs="仿宋"/>
                <w:i w:val="0"/>
                <w:iCs w:val="0"/>
                <w:caps w:val="0"/>
                <w:color w:val="000000"/>
                <w:spacing w:val="0"/>
                <w:sz w:val="24"/>
                <w:szCs w:val="24"/>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bookmarkEnd w:id="241"/>
          </w:p>
        </w:tc>
        <w:tc>
          <w:tcPr>
            <w:tcW w:w="448" w:type="pct"/>
            <w:noWrap w:val="0"/>
            <w:vAlign w:val="center"/>
          </w:tcPr>
          <w:p w14:paraId="6B01635E">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highlight w:val="none"/>
                <w:lang w:val="en-US" w:eastAsia="zh-CN"/>
              </w:rPr>
            </w:pPr>
          </w:p>
        </w:tc>
      </w:tr>
      <w:tr w14:paraId="53786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72010C9E">
            <w:pPr>
              <w:keepNext w:val="0"/>
              <w:keepLines w:val="0"/>
              <w:suppressLineNumbers w:val="0"/>
              <w:tabs>
                <w:tab w:val="left" w:pos="1080"/>
              </w:tabs>
              <w:snapToGrid w:val="0"/>
              <w:spacing w:before="0" w:beforeAutospacing="0" w:after="0" w:afterAutospacing="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066" w:type="pct"/>
            <w:noWrap w:val="0"/>
            <w:vAlign w:val="center"/>
          </w:tcPr>
          <w:p w14:paraId="63D545E5">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i w:val="0"/>
                <w:iCs w:val="0"/>
                <w:caps w:val="0"/>
                <w:color w:val="000000"/>
                <w:spacing w:val="0"/>
                <w:sz w:val="24"/>
                <w:szCs w:val="24"/>
                <w:highlight w:val="none"/>
                <w:lang w:val="en-US" w:eastAsia="zh-CN"/>
              </w:rPr>
            </w:pPr>
            <w:bookmarkStart w:id="242" w:name="OLE_LINK76"/>
            <w:r>
              <w:rPr>
                <w:rFonts w:hint="eastAsia" w:ascii="仿宋" w:hAnsi="仿宋" w:eastAsia="仿宋" w:cs="仿宋"/>
                <w:sz w:val="24"/>
                <w:szCs w:val="24"/>
                <w:highlight w:val="none"/>
              </w:rPr>
              <w:t>投标人信用记录</w:t>
            </w:r>
            <w:bookmarkEnd w:id="242"/>
          </w:p>
        </w:tc>
        <w:tc>
          <w:tcPr>
            <w:tcW w:w="3030" w:type="pct"/>
            <w:noWrap w:val="0"/>
            <w:vAlign w:val="center"/>
          </w:tcPr>
          <w:p w14:paraId="112946C9">
            <w:pPr>
              <w:pStyle w:val="20"/>
              <w:keepNext w:val="0"/>
              <w:keepLines w:val="0"/>
              <w:pageBreakBefore w:val="0"/>
              <w:suppressLineNumbers w:val="0"/>
              <w:kinsoku/>
              <w:wordWrap/>
              <w:overflowPunct w:val="0"/>
              <w:topLinePunct w:val="0"/>
              <w:autoSpaceDE/>
              <w:autoSpaceDN/>
              <w:bidi w:val="0"/>
              <w:adjustRightInd/>
              <w:snapToGrid w:val="0"/>
              <w:spacing w:before="0" w:beforeAutospacing="0" w:after="0" w:afterAutospacing="0" w:line="300" w:lineRule="exact"/>
              <w:ind w:left="0" w:firstLine="0" w:firstLineChars="0"/>
              <w:textAlignment w:val="auto"/>
              <w:outlineLvl w:val="9"/>
              <w:rPr>
                <w:rFonts w:hint="eastAsia" w:ascii="仿宋" w:hAnsi="仿宋" w:eastAsia="仿宋" w:cs="仿宋"/>
                <w:sz w:val="24"/>
                <w:szCs w:val="24"/>
                <w:highlight w:val="none"/>
                <w:lang w:val="en-US" w:eastAsia="zh-CN"/>
              </w:rPr>
            </w:pPr>
            <w:bookmarkStart w:id="243" w:name="OLE_LINK77"/>
            <w:r>
              <w:rPr>
                <w:rFonts w:hint="eastAsia" w:ascii="仿宋" w:hAnsi="仿宋" w:eastAsia="仿宋" w:cs="仿宋"/>
                <w:i w:val="0"/>
                <w:iCs w:val="0"/>
                <w:caps w:val="0"/>
                <w:color w:val="000000"/>
                <w:spacing w:val="0"/>
                <w:sz w:val="24"/>
                <w:szCs w:val="24"/>
                <w:highlight w:val="none"/>
                <w:lang w:val="zh-CN"/>
              </w:rPr>
              <w:t>凡拟参加本次招标项目的投标人，如在“信用中国”网站（ www.creditchina.gov.cn） 被列入失信被执行人、重大税收违法失信主体（</w:t>
            </w:r>
            <w:r>
              <w:rPr>
                <w:rFonts w:hint="eastAsia" w:ascii="仿宋" w:hAnsi="仿宋" w:eastAsia="仿宋" w:cs="仿宋"/>
                <w:i w:val="0"/>
                <w:iCs w:val="0"/>
                <w:caps w:val="0"/>
                <w:color w:val="000000"/>
                <w:spacing w:val="0"/>
                <w:sz w:val="24"/>
                <w:szCs w:val="24"/>
                <w:highlight w:val="none"/>
              </w:rPr>
              <w:t>进入信用中国网站</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信用服务-失信被执行人、重大税收违法失信主体</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rPr>
              <w:t>查询、截图</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lang w:val="zh-CN"/>
              </w:rPr>
              <w:t>、中国政府采购网（http://www.ccgp.gov.cn/search/cr/）严重违法失信行为记录名单的（尚在处罚期内的），将拒绝其参加本次招标活动。</w:t>
            </w:r>
            <w:bookmarkEnd w:id="243"/>
          </w:p>
        </w:tc>
        <w:tc>
          <w:tcPr>
            <w:tcW w:w="448" w:type="pct"/>
            <w:noWrap w:val="0"/>
            <w:vAlign w:val="center"/>
          </w:tcPr>
          <w:p w14:paraId="00A42CFA">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highlight w:val="none"/>
              </w:rPr>
            </w:pPr>
          </w:p>
        </w:tc>
      </w:tr>
      <w:tr w14:paraId="73361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02B42A75">
            <w:pPr>
              <w:keepNext w:val="0"/>
              <w:keepLines w:val="0"/>
              <w:suppressLineNumbers w:val="0"/>
              <w:tabs>
                <w:tab w:val="left" w:pos="1080"/>
              </w:tabs>
              <w:snapToGrid w:val="0"/>
              <w:spacing w:before="0" w:beforeAutospacing="0" w:after="0" w:afterAutospacing="0"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1066" w:type="pct"/>
            <w:noWrap w:val="0"/>
            <w:vAlign w:val="center"/>
          </w:tcPr>
          <w:p w14:paraId="5D1CAD3B">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highlight w:val="none"/>
              </w:rPr>
            </w:pPr>
            <w:bookmarkStart w:id="244" w:name="OLE_LINK78"/>
            <w:r>
              <w:rPr>
                <w:rFonts w:hint="eastAsia" w:ascii="仿宋" w:hAnsi="仿宋" w:eastAsia="仿宋" w:cs="仿宋"/>
                <w:sz w:val="24"/>
                <w:szCs w:val="24"/>
                <w:highlight w:val="none"/>
                <w:lang w:val="en-US" w:eastAsia="zh-CN"/>
              </w:rPr>
              <w:t>存在直接控股、管理关系</w:t>
            </w:r>
            <w:bookmarkEnd w:id="244"/>
          </w:p>
        </w:tc>
        <w:tc>
          <w:tcPr>
            <w:tcW w:w="3030" w:type="pct"/>
            <w:noWrap w:val="0"/>
            <w:vAlign w:val="center"/>
          </w:tcPr>
          <w:p w14:paraId="5A201B3F">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highlight w:val="none"/>
              </w:rPr>
            </w:pPr>
            <w:bookmarkStart w:id="245" w:name="OLE_LINK79"/>
            <w:r>
              <w:rPr>
                <w:rFonts w:hint="eastAsia" w:ascii="仿宋" w:hAnsi="仿宋" w:eastAsia="仿宋" w:cs="仿宋"/>
                <w:i w:val="0"/>
                <w:iCs w:val="0"/>
                <w:caps w:val="0"/>
                <w:color w:val="000000"/>
                <w:spacing w:val="0"/>
                <w:sz w:val="24"/>
                <w:szCs w:val="24"/>
                <w:highlight w:val="none"/>
                <w:lang w:val="en-US" w:eastAsia="zh-CN"/>
              </w:rPr>
              <w:t>企业负责人为同一人或者存在直接控股、管理关系的不同投标人，不得参加同一合同项下的政府采购活动。提供</w:t>
            </w:r>
            <w:r>
              <w:rPr>
                <w:rFonts w:hint="eastAsia" w:ascii="仿宋" w:hAnsi="仿宋" w:eastAsia="仿宋" w:cs="仿宋"/>
                <w:sz w:val="24"/>
                <w:szCs w:val="24"/>
                <w:highlight w:val="none"/>
              </w:rPr>
              <w:t>书面承诺函</w:t>
            </w:r>
            <w:r>
              <w:rPr>
                <w:rFonts w:hint="eastAsia" w:ascii="仿宋" w:hAnsi="仿宋" w:eastAsia="仿宋" w:cs="仿宋"/>
                <w:sz w:val="24"/>
                <w:highlight w:val="none"/>
                <w:lang w:val="zh-CN"/>
              </w:rPr>
              <w:t>并加盖单位公章</w:t>
            </w:r>
            <w:r>
              <w:rPr>
                <w:rFonts w:hint="eastAsia" w:ascii="仿宋" w:hAnsi="仿宋" w:eastAsia="仿宋" w:cs="仿宋"/>
                <w:i w:val="0"/>
                <w:iCs w:val="0"/>
                <w:caps w:val="0"/>
                <w:color w:val="000000"/>
                <w:spacing w:val="0"/>
                <w:sz w:val="24"/>
                <w:szCs w:val="24"/>
                <w:highlight w:val="none"/>
                <w:lang w:val="en-US" w:eastAsia="zh-CN"/>
              </w:rPr>
              <w:t>否则，皆取消投标资格</w:t>
            </w:r>
            <w:bookmarkEnd w:id="245"/>
          </w:p>
        </w:tc>
        <w:tc>
          <w:tcPr>
            <w:tcW w:w="448" w:type="pct"/>
            <w:noWrap w:val="0"/>
            <w:vAlign w:val="center"/>
          </w:tcPr>
          <w:p w14:paraId="6E374866">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highlight w:val="none"/>
              </w:rPr>
            </w:pPr>
          </w:p>
        </w:tc>
      </w:tr>
      <w:tr w14:paraId="48E7E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noWrap w:val="0"/>
            <w:vAlign w:val="center"/>
          </w:tcPr>
          <w:p w14:paraId="7F668001">
            <w:pPr>
              <w:keepNext w:val="0"/>
              <w:keepLines w:val="0"/>
              <w:suppressLineNumbers w:val="0"/>
              <w:tabs>
                <w:tab w:val="left" w:pos="1080"/>
              </w:tabs>
              <w:snapToGrid w:val="0"/>
              <w:spacing w:before="0" w:beforeAutospacing="0" w:after="0" w:afterAutospacing="0" w:line="240" w:lineRule="auto"/>
              <w:jc w:val="center"/>
              <w:rPr>
                <w:rFonts w:hint="eastAsia" w:ascii="仿宋" w:hAnsi="仿宋" w:eastAsia="仿宋" w:cs="仿宋"/>
                <w:sz w:val="24"/>
                <w:szCs w:val="24"/>
                <w:highlight w:val="none"/>
                <w:lang w:val="en-US" w:eastAsia="zh-CN"/>
              </w:rPr>
            </w:pPr>
            <w:bookmarkStart w:id="246" w:name="OLE_LINK38" w:colFirst="0" w:colLast="3"/>
            <w:r>
              <w:rPr>
                <w:rFonts w:hint="eastAsia" w:ascii="仿宋" w:hAnsi="仿宋" w:eastAsia="仿宋" w:cs="仿宋"/>
                <w:sz w:val="24"/>
                <w:szCs w:val="24"/>
                <w:highlight w:val="none"/>
                <w:lang w:val="en-US" w:eastAsia="zh-CN"/>
              </w:rPr>
              <w:t>7</w:t>
            </w:r>
          </w:p>
        </w:tc>
        <w:tc>
          <w:tcPr>
            <w:tcW w:w="1066" w:type="pct"/>
            <w:noWrap w:val="0"/>
            <w:vAlign w:val="center"/>
          </w:tcPr>
          <w:p w14:paraId="72A0602A">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中小企业声明函</w:t>
            </w:r>
          </w:p>
        </w:tc>
        <w:tc>
          <w:tcPr>
            <w:tcW w:w="3030" w:type="pct"/>
            <w:noWrap w:val="0"/>
            <w:vAlign w:val="center"/>
          </w:tcPr>
          <w:p w14:paraId="34C2E0A2">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有效的《中小企业声明函》</w:t>
            </w:r>
          </w:p>
        </w:tc>
        <w:tc>
          <w:tcPr>
            <w:tcW w:w="448" w:type="pct"/>
            <w:noWrap w:val="0"/>
            <w:vAlign w:val="center"/>
          </w:tcPr>
          <w:p w14:paraId="50A734D7">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highlight w:val="none"/>
              </w:rPr>
            </w:pPr>
          </w:p>
        </w:tc>
      </w:tr>
      <w:tr w14:paraId="375BF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1" w:hRule="atLeast"/>
        </w:trPr>
        <w:tc>
          <w:tcPr>
            <w:tcW w:w="454" w:type="pct"/>
            <w:noWrap w:val="0"/>
            <w:vAlign w:val="center"/>
          </w:tcPr>
          <w:p w14:paraId="34E661A7">
            <w:pPr>
              <w:keepNext w:val="0"/>
              <w:keepLines w:val="0"/>
              <w:suppressLineNumbers w:val="0"/>
              <w:tabs>
                <w:tab w:val="left" w:pos="1080"/>
              </w:tabs>
              <w:snapToGrid w:val="0"/>
              <w:spacing w:before="0" w:beforeAutospacing="0" w:after="0" w:afterAutospacing="0"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1066" w:type="pct"/>
            <w:noWrap w:val="0"/>
            <w:vAlign w:val="center"/>
          </w:tcPr>
          <w:p w14:paraId="094DBE4C">
            <w:pPr>
              <w:keepNext w:val="0"/>
              <w:keepLines w:val="0"/>
              <w:suppressLineNumbers w:val="0"/>
              <w:tabs>
                <w:tab w:val="left" w:pos="1080"/>
              </w:tabs>
              <w:snapToGrid w:val="0"/>
              <w:spacing w:before="0" w:beforeAutospacing="0" w:after="0" w:afterAutospacing="0" w:line="240" w:lineRule="auto"/>
              <w:jc w:val="center"/>
              <w:rPr>
                <w:rFonts w:hint="eastAsia" w:ascii="仿宋" w:hAnsi="仿宋" w:eastAsia="仿宋" w:cs="仿宋"/>
                <w:sz w:val="24"/>
                <w:szCs w:val="24"/>
                <w:highlight w:val="none"/>
                <w:lang w:val="en-US" w:eastAsia="zh-CN"/>
              </w:rPr>
            </w:pPr>
            <w:bookmarkStart w:id="247" w:name="OLE_LINK80"/>
            <w:r>
              <w:rPr>
                <w:rFonts w:hint="eastAsia" w:ascii="仿宋" w:hAnsi="仿宋" w:eastAsia="仿宋" w:cs="仿宋"/>
                <w:sz w:val="24"/>
                <w:szCs w:val="24"/>
                <w:highlight w:val="none"/>
                <w:lang w:val="en-US" w:eastAsia="zh-CN"/>
              </w:rPr>
              <w:t>投标保证金</w:t>
            </w:r>
            <w:bookmarkEnd w:id="247"/>
          </w:p>
        </w:tc>
        <w:tc>
          <w:tcPr>
            <w:tcW w:w="3030" w:type="pct"/>
            <w:noWrap w:val="0"/>
            <w:vAlign w:val="center"/>
          </w:tcPr>
          <w:p w14:paraId="16833E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 w:hAnsi="仿宋" w:eastAsia="仿宋" w:cs="仿宋"/>
                <w:i w:val="0"/>
                <w:iCs w:val="0"/>
                <w:caps w:val="0"/>
                <w:color w:val="000000"/>
                <w:spacing w:val="0"/>
                <w:sz w:val="24"/>
                <w:szCs w:val="24"/>
                <w:highlight w:val="none"/>
                <w:lang w:val="en-US" w:eastAsia="zh-CN"/>
              </w:rPr>
            </w:pPr>
            <w:bookmarkStart w:id="248" w:name="OLE_LINK39"/>
            <w:bookmarkStart w:id="249" w:name="OLE_LINK49"/>
            <w:bookmarkStart w:id="250" w:name="OLE_LINK50"/>
            <w:r>
              <w:rPr>
                <w:rFonts w:hint="eastAsia" w:ascii="仿宋" w:hAnsi="仿宋" w:eastAsia="仿宋" w:cs="仿宋"/>
                <w:i w:val="0"/>
                <w:iCs w:val="0"/>
                <w:caps w:val="0"/>
                <w:color w:val="000000"/>
                <w:spacing w:val="0"/>
                <w:kern w:val="2"/>
                <w:sz w:val="24"/>
                <w:szCs w:val="24"/>
                <w:highlight w:val="none"/>
                <w:lang w:val="zh-CN" w:eastAsia="zh-CN" w:bidi="ar-SA"/>
              </w:rPr>
              <w:t>投标保证金的金额：</w:t>
            </w:r>
            <w:bookmarkEnd w:id="248"/>
            <w:r>
              <w:rPr>
                <w:rFonts w:hint="eastAsia" w:ascii="仿宋" w:hAnsi="仿宋" w:eastAsia="仿宋" w:cs="仿宋"/>
                <w:i w:val="0"/>
                <w:iCs w:val="0"/>
                <w:caps w:val="0"/>
                <w:color w:val="000000"/>
                <w:spacing w:val="0"/>
                <w:kern w:val="2"/>
                <w:sz w:val="24"/>
                <w:szCs w:val="24"/>
                <w:highlight w:val="none"/>
                <w:lang w:val="en-US" w:eastAsia="zh-CN" w:bidi="ar-SA"/>
              </w:rPr>
              <w:t>30000.00元（叁万元整）</w:t>
            </w:r>
            <w:bookmarkEnd w:id="249"/>
            <w:bookmarkEnd w:id="250"/>
          </w:p>
        </w:tc>
        <w:tc>
          <w:tcPr>
            <w:tcW w:w="448" w:type="pct"/>
            <w:noWrap w:val="0"/>
            <w:vAlign w:val="center"/>
          </w:tcPr>
          <w:p w14:paraId="2738B1D3">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highlight w:val="none"/>
              </w:rPr>
            </w:pPr>
          </w:p>
        </w:tc>
      </w:tr>
      <w:bookmarkEnd w:id="230"/>
      <w:bookmarkEnd w:id="246"/>
    </w:tbl>
    <w:p w14:paraId="421D2C8B">
      <w:pPr>
        <w:pStyle w:val="8"/>
        <w:jc w:val="center"/>
        <w:rPr>
          <w:rFonts w:hint="eastAsia" w:ascii="仿宋" w:hAnsi="仿宋" w:eastAsia="仿宋" w:cs="仿宋"/>
          <w:b/>
          <w:sz w:val="36"/>
          <w:szCs w:val="36"/>
        </w:rPr>
      </w:pPr>
      <w:r>
        <w:rPr>
          <w:rFonts w:hint="eastAsia" w:ascii="仿宋" w:hAnsi="仿宋" w:eastAsia="仿宋" w:cs="仿宋"/>
          <w:b/>
          <w:sz w:val="36"/>
          <w:szCs w:val="36"/>
          <w:highlight w:val="none"/>
        </w:rPr>
        <w:br w:type="page"/>
      </w:r>
      <w:bookmarkStart w:id="251" w:name="_Toc31125"/>
      <w:bookmarkStart w:id="252" w:name="_Toc10925"/>
      <w:bookmarkStart w:id="253" w:name="_Toc25817"/>
      <w:bookmarkStart w:id="254" w:name="_Toc19387"/>
      <w:r>
        <w:rPr>
          <w:rFonts w:hint="eastAsia" w:ascii="仿宋" w:hAnsi="仿宋" w:eastAsia="仿宋" w:cs="仿宋"/>
          <w:b/>
          <w:sz w:val="36"/>
          <w:szCs w:val="36"/>
        </w:rPr>
        <w:t xml:space="preserve">第四章   </w:t>
      </w:r>
      <w:bookmarkStart w:id="255" w:name="_Hlt164229061"/>
      <w:bookmarkEnd w:id="255"/>
      <w:r>
        <w:rPr>
          <w:rFonts w:hint="eastAsia" w:ascii="仿宋" w:hAnsi="仿宋" w:eastAsia="仿宋" w:cs="仿宋"/>
          <w:b/>
          <w:sz w:val="36"/>
          <w:szCs w:val="36"/>
        </w:rPr>
        <w:t>评标程序、评标方法和评标标准</w:t>
      </w:r>
      <w:bookmarkEnd w:id="251"/>
      <w:bookmarkEnd w:id="252"/>
    </w:p>
    <w:p w14:paraId="38A04447">
      <w:pPr>
        <w:tabs>
          <w:tab w:val="left" w:pos="360"/>
          <w:tab w:val="left" w:pos="900"/>
        </w:tabs>
        <w:snapToGrid w:val="0"/>
        <w:spacing w:line="360" w:lineRule="auto"/>
        <w:jc w:val="center"/>
        <w:outlineLvl w:val="1"/>
        <w:rPr>
          <w:rFonts w:hint="eastAsia" w:ascii="仿宋" w:hAnsi="仿宋" w:eastAsia="仿宋" w:cs="仿宋"/>
          <w:b/>
          <w:sz w:val="28"/>
          <w:szCs w:val="28"/>
        </w:rPr>
      </w:pPr>
      <w:r>
        <w:rPr>
          <w:rFonts w:hint="eastAsia" w:ascii="仿宋" w:hAnsi="仿宋" w:eastAsia="仿宋" w:cs="仿宋"/>
          <w:b/>
          <w:sz w:val="28"/>
          <w:szCs w:val="28"/>
        </w:rPr>
        <w:t>一、评标方法</w:t>
      </w:r>
    </w:p>
    <w:p w14:paraId="73D1A7DA">
      <w:pPr>
        <w:numPr>
          <w:ilvl w:val="0"/>
          <w:numId w:val="8"/>
        </w:numPr>
        <w:tabs>
          <w:tab w:val="left" w:pos="360"/>
        </w:tabs>
        <w:snapToGrid w:val="0"/>
        <w:spacing w:line="360" w:lineRule="auto"/>
        <w:outlineLvl w:val="1"/>
        <w:rPr>
          <w:rFonts w:hint="eastAsia" w:ascii="仿宋" w:hAnsi="仿宋" w:eastAsia="仿宋" w:cs="仿宋"/>
          <w:sz w:val="24"/>
          <w:szCs w:val="24"/>
        </w:rPr>
      </w:pPr>
      <w:bookmarkStart w:id="256" w:name="_Toc164229236"/>
      <w:bookmarkStart w:id="257" w:name="_Toc164608655"/>
      <w:bookmarkStart w:id="258" w:name="_Toc164351635"/>
      <w:bookmarkStart w:id="259" w:name="_Toc226337237"/>
      <w:bookmarkStart w:id="260" w:name="_Toc150774641"/>
      <w:bookmarkStart w:id="261" w:name="_Toc127151742"/>
      <w:bookmarkStart w:id="262" w:name="_Toc226965814"/>
      <w:bookmarkStart w:id="263" w:name="_Toc264969231"/>
      <w:bookmarkStart w:id="264" w:name="_Toc151193855"/>
      <w:bookmarkStart w:id="265" w:name="_Toc151193783"/>
      <w:bookmarkStart w:id="266" w:name="_Toc151193711"/>
      <w:bookmarkStart w:id="267" w:name="_Toc305158883"/>
      <w:bookmarkStart w:id="268" w:name="_Toc142311043"/>
      <w:bookmarkStart w:id="269" w:name="_Toc151193639"/>
      <w:bookmarkStart w:id="270" w:name="_Toc149720834"/>
      <w:bookmarkStart w:id="271" w:name="_Toc150480779"/>
      <w:bookmarkStart w:id="272" w:name="_Toc151190168"/>
      <w:bookmarkStart w:id="273" w:name="_Toc305158809"/>
      <w:bookmarkStart w:id="274" w:name="_Toc150509292"/>
      <w:bookmarkStart w:id="275" w:name="_Toc151193929"/>
      <w:bookmarkStart w:id="276" w:name="_Toc127161455"/>
      <w:bookmarkStart w:id="277" w:name="_Toc150774746"/>
      <w:bookmarkStart w:id="278" w:name="_Toc195842906"/>
      <w:bookmarkStart w:id="279" w:name="_Toc226965731"/>
      <w:bookmarkStart w:id="280" w:name="_Toc265228379"/>
      <w:bookmarkStart w:id="281" w:name="_Toc164229382"/>
      <w:bookmarkStart w:id="282" w:name="_Toc226309785"/>
      <w:bookmarkStart w:id="283" w:name="_Toc127151541"/>
      <w:bookmarkStart w:id="284" w:name="_Toc164608810"/>
      <w:bookmarkStart w:id="285" w:name="_Toc353873941"/>
      <w:bookmarkStart w:id="286" w:name="_Toc353825551"/>
      <w:r>
        <w:rPr>
          <w:rFonts w:hint="eastAsia" w:ascii="仿宋" w:hAnsi="仿宋" w:eastAsia="仿宋" w:cs="仿宋"/>
          <w:sz w:val="24"/>
          <w:szCs w:val="24"/>
        </w:rPr>
        <w:t>投标文件的符合性审查</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2325AAF">
      <w:pPr>
        <w:numPr>
          <w:ilvl w:val="0"/>
          <w:numId w:val="0"/>
        </w:numPr>
        <w:tabs>
          <w:tab w:val="left" w:pos="1080"/>
        </w:tabs>
        <w:snapToGrid w:val="0"/>
        <w:spacing w:line="360" w:lineRule="auto"/>
        <w:ind w:leftChars="-50" w:right="62" w:rightChars="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评标委员会对资格审查合格的投标人的投标文件进行符合性审查，以确定其是否满足招标文件的实质性要求。</w:t>
      </w:r>
      <w:bookmarkStart w:id="287" w:name="_Toc520356167"/>
    </w:p>
    <w:p w14:paraId="2E68FB5E">
      <w:pPr>
        <w:numPr>
          <w:ilvl w:val="0"/>
          <w:numId w:val="0"/>
        </w:numPr>
        <w:tabs>
          <w:tab w:val="left" w:pos="1080"/>
        </w:tabs>
        <w:snapToGrid w:val="0"/>
        <w:spacing w:line="360" w:lineRule="auto"/>
        <w:ind w:leftChars="-50" w:right="62" w:rightChars="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287"/>
      <w:r>
        <w:rPr>
          <w:rFonts w:hint="eastAsia" w:ascii="仿宋" w:hAnsi="仿宋" w:eastAsia="仿宋" w:cs="仿宋"/>
          <w:sz w:val="24"/>
          <w:szCs w:val="24"/>
        </w:rPr>
        <w:t>要求的，</w:t>
      </w:r>
      <w:r>
        <w:rPr>
          <w:rFonts w:hint="eastAsia" w:ascii="仿宋" w:hAnsi="仿宋" w:eastAsia="仿宋" w:cs="仿宋"/>
          <w:b/>
          <w:sz w:val="24"/>
          <w:szCs w:val="24"/>
        </w:rPr>
        <w:t>投标无效</w:t>
      </w:r>
      <w:r>
        <w:rPr>
          <w:rFonts w:hint="eastAsia" w:ascii="仿宋" w:hAnsi="仿宋" w:eastAsia="仿宋" w:cs="仿宋"/>
          <w:sz w:val="24"/>
          <w:szCs w:val="24"/>
        </w:rPr>
        <w:t>。</w:t>
      </w:r>
    </w:p>
    <w:p w14:paraId="1A73FE2D">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sz w:val="24"/>
        </w:rPr>
      </w:pPr>
    </w:p>
    <w:p w14:paraId="5B6BB3DE">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sz w:val="24"/>
        </w:rPr>
      </w:pPr>
      <w:r>
        <w:rPr>
          <w:rFonts w:hint="eastAsia" w:ascii="仿宋" w:hAnsi="仿宋" w:eastAsia="仿宋" w:cs="仿宋"/>
          <w:b/>
          <w:sz w:val="24"/>
        </w:rPr>
        <w:t>符合性审查要求</w:t>
      </w:r>
    </w:p>
    <w:tbl>
      <w:tblPr>
        <w:tblStyle w:val="71"/>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943"/>
        <w:gridCol w:w="7214"/>
      </w:tblGrid>
      <w:tr w14:paraId="3FF2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5" w:type="dxa"/>
            <w:noWrap w:val="0"/>
            <w:vAlign w:val="center"/>
          </w:tcPr>
          <w:p w14:paraId="0D0B3998">
            <w:pPr>
              <w:keepNext w:val="0"/>
              <w:keepLines w:val="0"/>
              <w:widowControl/>
              <w:suppressLineNumbers w:val="0"/>
              <w:spacing w:before="0" w:beforeAutospacing="0" w:after="0" w:afterAutospacing="0"/>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序号</w:t>
            </w:r>
          </w:p>
        </w:tc>
        <w:tc>
          <w:tcPr>
            <w:tcW w:w="1943" w:type="dxa"/>
            <w:noWrap w:val="0"/>
            <w:vAlign w:val="center"/>
          </w:tcPr>
          <w:p w14:paraId="02276A17">
            <w:pPr>
              <w:keepNext w:val="0"/>
              <w:keepLines w:val="0"/>
              <w:widowControl/>
              <w:suppressLineNumbers w:val="0"/>
              <w:spacing w:before="0" w:beforeAutospacing="0" w:after="0" w:afterAutospacing="0"/>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审查因素</w:t>
            </w:r>
          </w:p>
        </w:tc>
        <w:tc>
          <w:tcPr>
            <w:tcW w:w="7214" w:type="dxa"/>
            <w:noWrap w:val="0"/>
            <w:vAlign w:val="center"/>
          </w:tcPr>
          <w:p w14:paraId="17287126">
            <w:pPr>
              <w:keepNext w:val="0"/>
              <w:keepLines w:val="0"/>
              <w:widowControl/>
              <w:suppressLineNumbers w:val="0"/>
              <w:spacing w:before="0" w:beforeAutospacing="0" w:after="0" w:afterAutospacing="0"/>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审查内容</w:t>
            </w:r>
          </w:p>
        </w:tc>
      </w:tr>
      <w:tr w14:paraId="0A99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5" w:type="dxa"/>
            <w:noWrap w:val="0"/>
            <w:vAlign w:val="center"/>
          </w:tcPr>
          <w:p w14:paraId="2026C728">
            <w:pPr>
              <w:keepNext w:val="0"/>
              <w:keepLines w:val="0"/>
              <w:suppressLineNumbers w:val="0"/>
              <w:tabs>
                <w:tab w:val="left" w:pos="1080"/>
              </w:tabs>
              <w:snapToGrid w:val="0"/>
              <w:spacing w:before="0" w:beforeAutospacing="0" w:after="0" w:afterAutospacing="0"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943" w:type="dxa"/>
            <w:noWrap w:val="0"/>
            <w:vAlign w:val="center"/>
          </w:tcPr>
          <w:p w14:paraId="16854EB6">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rPr>
            </w:pPr>
            <w:bookmarkStart w:id="288" w:name="OLE_LINK81"/>
            <w:r>
              <w:rPr>
                <w:rFonts w:hint="eastAsia" w:ascii="仿宋" w:hAnsi="仿宋" w:eastAsia="仿宋" w:cs="仿宋"/>
                <w:sz w:val="24"/>
                <w:szCs w:val="24"/>
              </w:rPr>
              <w:t>投标完整性</w:t>
            </w:r>
            <w:bookmarkEnd w:id="288"/>
          </w:p>
        </w:tc>
        <w:tc>
          <w:tcPr>
            <w:tcW w:w="7214" w:type="dxa"/>
            <w:noWrap w:val="0"/>
            <w:vAlign w:val="center"/>
          </w:tcPr>
          <w:p w14:paraId="7D5878FA">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rPr>
            </w:pPr>
            <w:bookmarkStart w:id="289" w:name="OLE_LINK96"/>
            <w:r>
              <w:rPr>
                <w:rFonts w:hint="eastAsia" w:ascii="仿宋" w:hAnsi="仿宋" w:eastAsia="仿宋" w:cs="仿宋"/>
                <w:sz w:val="24"/>
                <w:szCs w:val="24"/>
                <w:lang w:val="en-US" w:eastAsia="zh-CN"/>
              </w:rPr>
              <w:t>投</w:t>
            </w:r>
            <w:bookmarkStart w:id="290" w:name="OLE_LINK82"/>
            <w:r>
              <w:rPr>
                <w:rFonts w:hint="eastAsia" w:ascii="仿宋" w:hAnsi="仿宋" w:eastAsia="仿宋" w:cs="仿宋"/>
                <w:sz w:val="24"/>
                <w:szCs w:val="24"/>
                <w:lang w:val="en-US" w:eastAsia="zh-CN"/>
              </w:rPr>
              <w:t>标文件是否不齐全或者内容虚假的；</w:t>
            </w:r>
            <w:bookmarkEnd w:id="289"/>
            <w:bookmarkEnd w:id="290"/>
          </w:p>
        </w:tc>
      </w:tr>
      <w:tr w14:paraId="32D9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5" w:type="dxa"/>
            <w:noWrap w:val="0"/>
            <w:vAlign w:val="center"/>
          </w:tcPr>
          <w:p w14:paraId="66A2EA8C">
            <w:pPr>
              <w:keepNext w:val="0"/>
              <w:keepLines w:val="0"/>
              <w:suppressLineNumbers w:val="0"/>
              <w:tabs>
                <w:tab w:val="left" w:pos="1080"/>
              </w:tabs>
              <w:snapToGrid w:val="0"/>
              <w:spacing w:before="0" w:beforeAutospacing="0" w:after="0" w:afterAutospacing="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943" w:type="dxa"/>
            <w:noWrap w:val="0"/>
            <w:vAlign w:val="center"/>
          </w:tcPr>
          <w:p w14:paraId="75B5AC95">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rPr>
            </w:pPr>
            <w:bookmarkStart w:id="291" w:name="OLE_LINK84"/>
            <w:r>
              <w:rPr>
                <w:rFonts w:hint="eastAsia" w:ascii="仿宋" w:hAnsi="仿宋" w:eastAsia="仿宋" w:cs="仿宋"/>
                <w:sz w:val="24"/>
                <w:szCs w:val="24"/>
              </w:rPr>
              <w:t>投标报价</w:t>
            </w:r>
            <w:bookmarkEnd w:id="291"/>
          </w:p>
        </w:tc>
        <w:tc>
          <w:tcPr>
            <w:tcW w:w="7214" w:type="dxa"/>
            <w:noWrap w:val="0"/>
            <w:vAlign w:val="center"/>
          </w:tcPr>
          <w:p w14:paraId="57DF7482">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rPr>
            </w:pPr>
            <w:bookmarkStart w:id="292" w:name="OLE_LINK83"/>
            <w:r>
              <w:rPr>
                <w:rFonts w:hint="eastAsia" w:ascii="仿宋" w:hAnsi="仿宋" w:eastAsia="仿宋" w:cs="仿宋"/>
                <w:sz w:val="24"/>
                <w:szCs w:val="24"/>
              </w:rPr>
              <w:t>投标报价未超过招标文件中规定的项目/采购包预算金额或者项目/采购包最高限价；</w:t>
            </w:r>
            <w:bookmarkEnd w:id="292"/>
          </w:p>
        </w:tc>
      </w:tr>
      <w:tr w14:paraId="006B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5" w:type="dxa"/>
            <w:noWrap w:val="0"/>
            <w:vAlign w:val="center"/>
          </w:tcPr>
          <w:p w14:paraId="6183EF21">
            <w:pPr>
              <w:keepNext w:val="0"/>
              <w:keepLines w:val="0"/>
              <w:suppressLineNumbers w:val="0"/>
              <w:tabs>
                <w:tab w:val="left" w:pos="1080"/>
              </w:tabs>
              <w:snapToGrid w:val="0"/>
              <w:spacing w:before="0" w:beforeAutospacing="0" w:after="0" w:afterAutospacing="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943" w:type="dxa"/>
            <w:noWrap w:val="0"/>
            <w:vAlign w:val="center"/>
          </w:tcPr>
          <w:p w14:paraId="49DC13EE">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rPr>
            </w:pPr>
            <w:bookmarkStart w:id="293" w:name="OLE_LINK85"/>
            <w:r>
              <w:rPr>
                <w:rFonts w:hint="eastAsia" w:ascii="仿宋" w:hAnsi="仿宋" w:eastAsia="仿宋" w:cs="仿宋"/>
                <w:sz w:val="24"/>
                <w:szCs w:val="24"/>
              </w:rPr>
              <w:t>报价唯一性</w:t>
            </w:r>
            <w:bookmarkEnd w:id="293"/>
          </w:p>
        </w:tc>
        <w:tc>
          <w:tcPr>
            <w:tcW w:w="7214" w:type="dxa"/>
            <w:noWrap w:val="0"/>
            <w:vAlign w:val="center"/>
          </w:tcPr>
          <w:p w14:paraId="77088C2C">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rPr>
            </w:pPr>
            <w:bookmarkStart w:id="294" w:name="OLE_LINK97"/>
            <w:r>
              <w:rPr>
                <w:rFonts w:hint="eastAsia" w:ascii="仿宋" w:hAnsi="仿宋" w:eastAsia="仿宋" w:cs="仿宋"/>
                <w:sz w:val="24"/>
                <w:szCs w:val="24"/>
              </w:rPr>
              <w:t>投标文件未出现可选择性或可调整的报价（招标文件另有规定的除外）；</w:t>
            </w:r>
            <w:bookmarkEnd w:id="294"/>
          </w:p>
        </w:tc>
      </w:tr>
      <w:tr w14:paraId="4503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5" w:type="dxa"/>
            <w:noWrap w:val="0"/>
            <w:vAlign w:val="center"/>
          </w:tcPr>
          <w:p w14:paraId="454A31E1">
            <w:pPr>
              <w:keepNext w:val="0"/>
              <w:keepLines w:val="0"/>
              <w:suppressLineNumbers w:val="0"/>
              <w:tabs>
                <w:tab w:val="left" w:pos="1080"/>
              </w:tabs>
              <w:snapToGrid w:val="0"/>
              <w:spacing w:before="0" w:beforeAutospacing="0" w:after="0" w:afterAutospacing="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943" w:type="dxa"/>
            <w:noWrap w:val="0"/>
            <w:vAlign w:val="center"/>
          </w:tcPr>
          <w:p w14:paraId="57275340">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rPr>
            </w:pPr>
            <w:bookmarkStart w:id="295" w:name="OLE_LINK86"/>
            <w:r>
              <w:rPr>
                <w:rFonts w:hint="eastAsia" w:ascii="仿宋" w:hAnsi="仿宋" w:eastAsia="仿宋" w:cs="仿宋"/>
                <w:sz w:val="24"/>
                <w:szCs w:val="24"/>
              </w:rPr>
              <w:t>投标有效期</w:t>
            </w:r>
            <w:bookmarkEnd w:id="295"/>
          </w:p>
        </w:tc>
        <w:tc>
          <w:tcPr>
            <w:tcW w:w="7214" w:type="dxa"/>
            <w:noWrap w:val="0"/>
            <w:vAlign w:val="center"/>
          </w:tcPr>
          <w:p w14:paraId="47FCBE51">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rPr>
            </w:pPr>
            <w:bookmarkStart w:id="296" w:name="OLE_LINK87"/>
            <w:r>
              <w:rPr>
                <w:rFonts w:hint="eastAsia" w:ascii="仿宋" w:hAnsi="仿宋" w:eastAsia="仿宋" w:cs="仿宋"/>
                <w:sz w:val="24"/>
                <w:szCs w:val="24"/>
              </w:rPr>
              <w:t>投标文件中承诺的投标有效期满足招标文件中载明的投标有效期的；</w:t>
            </w:r>
            <w:bookmarkEnd w:id="296"/>
          </w:p>
        </w:tc>
      </w:tr>
      <w:tr w14:paraId="5553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5" w:type="dxa"/>
            <w:noWrap w:val="0"/>
            <w:vAlign w:val="center"/>
          </w:tcPr>
          <w:p w14:paraId="60FD2B20">
            <w:pPr>
              <w:keepNext w:val="0"/>
              <w:keepLines w:val="0"/>
              <w:suppressLineNumbers w:val="0"/>
              <w:tabs>
                <w:tab w:val="left" w:pos="1080"/>
              </w:tabs>
              <w:snapToGrid w:val="0"/>
              <w:spacing w:before="0" w:beforeAutospacing="0" w:after="0" w:afterAutospacing="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943" w:type="dxa"/>
            <w:noWrap w:val="0"/>
            <w:vAlign w:val="center"/>
          </w:tcPr>
          <w:p w14:paraId="4DB23A0D">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rPr>
            </w:pPr>
            <w:bookmarkStart w:id="297" w:name="OLE_LINK88"/>
            <w:r>
              <w:rPr>
                <w:rFonts w:hint="eastAsia" w:ascii="仿宋" w:hAnsi="仿宋" w:eastAsia="仿宋" w:cs="仿宋"/>
                <w:sz w:val="24"/>
                <w:szCs w:val="24"/>
              </w:rPr>
              <w:t>签署、盖章</w:t>
            </w:r>
            <w:bookmarkEnd w:id="297"/>
          </w:p>
        </w:tc>
        <w:tc>
          <w:tcPr>
            <w:tcW w:w="7214" w:type="dxa"/>
            <w:noWrap w:val="0"/>
            <w:vAlign w:val="center"/>
          </w:tcPr>
          <w:p w14:paraId="655433EC">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rPr>
            </w:pPr>
            <w:bookmarkStart w:id="298" w:name="OLE_LINK89"/>
            <w:r>
              <w:rPr>
                <w:rFonts w:hint="eastAsia" w:ascii="仿宋" w:hAnsi="仿宋" w:eastAsia="仿宋" w:cs="仿宋"/>
                <w:sz w:val="24"/>
                <w:szCs w:val="24"/>
              </w:rPr>
              <w:t>按照招标文件要求签署、盖章的；</w:t>
            </w:r>
            <w:bookmarkEnd w:id="298"/>
          </w:p>
        </w:tc>
      </w:tr>
      <w:tr w14:paraId="68B0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5" w:type="dxa"/>
            <w:noWrap w:val="0"/>
            <w:vAlign w:val="center"/>
          </w:tcPr>
          <w:p w14:paraId="04789655">
            <w:pPr>
              <w:keepNext w:val="0"/>
              <w:keepLines w:val="0"/>
              <w:suppressLineNumbers w:val="0"/>
              <w:tabs>
                <w:tab w:val="left" w:pos="1080"/>
              </w:tabs>
              <w:snapToGrid w:val="0"/>
              <w:spacing w:before="0" w:beforeAutospacing="0" w:after="0" w:afterAutospacing="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943" w:type="dxa"/>
            <w:noWrap w:val="0"/>
            <w:vAlign w:val="center"/>
          </w:tcPr>
          <w:p w14:paraId="3CA881B6">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rPr>
            </w:pPr>
            <w:bookmarkStart w:id="299" w:name="OLE_LINK90"/>
            <w:r>
              <w:rPr>
                <w:rFonts w:hint="eastAsia" w:ascii="仿宋" w:hAnsi="仿宋" w:eastAsia="仿宋" w:cs="仿宋"/>
                <w:sz w:val="24"/>
                <w:szCs w:val="24"/>
              </w:rPr>
              <w:t>附加条件</w:t>
            </w:r>
            <w:bookmarkEnd w:id="299"/>
          </w:p>
        </w:tc>
        <w:tc>
          <w:tcPr>
            <w:tcW w:w="7214" w:type="dxa"/>
            <w:noWrap w:val="0"/>
            <w:vAlign w:val="center"/>
          </w:tcPr>
          <w:p w14:paraId="0BDE47E9">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rPr>
            </w:pPr>
            <w:bookmarkStart w:id="300" w:name="OLE_LINK91"/>
            <w:r>
              <w:rPr>
                <w:rFonts w:hint="eastAsia" w:ascii="仿宋" w:hAnsi="仿宋" w:eastAsia="仿宋" w:cs="仿宋"/>
                <w:sz w:val="24"/>
                <w:szCs w:val="24"/>
              </w:rPr>
              <w:t>投标文件未含有采购人不能接受的附加条件的；</w:t>
            </w:r>
            <w:bookmarkEnd w:id="300"/>
          </w:p>
        </w:tc>
      </w:tr>
      <w:tr w14:paraId="5FB6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5" w:type="dxa"/>
            <w:noWrap w:val="0"/>
            <w:vAlign w:val="center"/>
          </w:tcPr>
          <w:p w14:paraId="164D82D8">
            <w:pPr>
              <w:keepNext w:val="0"/>
              <w:keepLines w:val="0"/>
              <w:suppressLineNumbers w:val="0"/>
              <w:tabs>
                <w:tab w:val="left" w:pos="1080"/>
              </w:tabs>
              <w:snapToGrid w:val="0"/>
              <w:spacing w:before="0" w:beforeAutospacing="0" w:after="0" w:afterAutospacing="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943" w:type="dxa"/>
            <w:noWrap w:val="0"/>
            <w:vAlign w:val="center"/>
          </w:tcPr>
          <w:p w14:paraId="5A98DEA2">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rPr>
            </w:pPr>
            <w:bookmarkStart w:id="301" w:name="OLE_LINK92"/>
            <w:r>
              <w:rPr>
                <w:rFonts w:hint="eastAsia" w:ascii="仿宋" w:hAnsi="仿宋" w:eastAsia="仿宋" w:cs="仿宋"/>
                <w:sz w:val="24"/>
                <w:szCs w:val="24"/>
              </w:rPr>
              <w:t>其他无效情形</w:t>
            </w:r>
            <w:bookmarkEnd w:id="301"/>
          </w:p>
        </w:tc>
        <w:tc>
          <w:tcPr>
            <w:tcW w:w="7214" w:type="dxa"/>
            <w:noWrap w:val="0"/>
            <w:vAlign w:val="center"/>
          </w:tcPr>
          <w:p w14:paraId="523E7D6A">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rPr>
            </w:pPr>
            <w:bookmarkStart w:id="302" w:name="OLE_LINK93"/>
            <w:r>
              <w:rPr>
                <w:rFonts w:hint="eastAsia" w:ascii="仿宋" w:hAnsi="仿宋" w:eastAsia="仿宋" w:cs="仿宋"/>
                <w:sz w:val="24"/>
                <w:szCs w:val="24"/>
              </w:rPr>
              <w:t>投标人、投标文件不存在不符合</w:t>
            </w:r>
            <w:r>
              <w:rPr>
                <w:rFonts w:hint="eastAsia" w:ascii="仿宋" w:hAnsi="仿宋" w:eastAsia="仿宋" w:cs="仿宋"/>
                <w:sz w:val="24"/>
                <w:szCs w:val="24"/>
                <w:lang w:eastAsia="zh-CN"/>
              </w:rPr>
              <w:t>法律法规</w:t>
            </w:r>
            <w:r>
              <w:rPr>
                <w:rFonts w:hint="eastAsia" w:ascii="仿宋" w:hAnsi="仿宋" w:eastAsia="仿宋" w:cs="仿宋"/>
                <w:sz w:val="24"/>
                <w:szCs w:val="24"/>
              </w:rPr>
              <w:t>和招标文件规定的其他无效情形。</w:t>
            </w:r>
            <w:bookmarkEnd w:id="302"/>
          </w:p>
        </w:tc>
      </w:tr>
      <w:tr w14:paraId="1C06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5" w:type="dxa"/>
            <w:noWrap w:val="0"/>
            <w:vAlign w:val="center"/>
          </w:tcPr>
          <w:p w14:paraId="02A0F58B">
            <w:pPr>
              <w:keepNext w:val="0"/>
              <w:keepLines w:val="0"/>
              <w:suppressLineNumbers w:val="0"/>
              <w:tabs>
                <w:tab w:val="left" w:pos="1080"/>
              </w:tabs>
              <w:snapToGrid w:val="0"/>
              <w:spacing w:before="0" w:beforeAutospacing="0" w:after="0" w:afterAutospacing="0"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943" w:type="dxa"/>
            <w:noWrap w:val="0"/>
            <w:vAlign w:val="center"/>
          </w:tcPr>
          <w:p w14:paraId="7EE44328">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lang w:val="en-US" w:eastAsia="zh-CN"/>
              </w:rPr>
            </w:pPr>
            <w:bookmarkStart w:id="303" w:name="OLE_LINK94"/>
            <w:r>
              <w:rPr>
                <w:rFonts w:hint="eastAsia" w:ascii="仿宋" w:hAnsi="仿宋" w:eastAsia="仿宋" w:cs="仿宋"/>
                <w:sz w:val="24"/>
                <w:szCs w:val="24"/>
                <w:lang w:val="en-US" w:eastAsia="zh-CN"/>
              </w:rPr>
              <w:t>合同履约期限</w:t>
            </w:r>
            <w:bookmarkEnd w:id="303"/>
          </w:p>
        </w:tc>
        <w:tc>
          <w:tcPr>
            <w:tcW w:w="7214" w:type="dxa"/>
            <w:noWrap w:val="0"/>
            <w:vAlign w:val="center"/>
          </w:tcPr>
          <w:p w14:paraId="7514680E">
            <w:pPr>
              <w:keepNext w:val="0"/>
              <w:keepLines w:val="0"/>
              <w:suppressLineNumbers w:val="0"/>
              <w:tabs>
                <w:tab w:val="left" w:pos="1080"/>
              </w:tabs>
              <w:snapToGrid w:val="0"/>
              <w:spacing w:before="0" w:beforeAutospacing="0" w:after="0" w:afterAutospacing="0" w:line="240" w:lineRule="auto"/>
              <w:rPr>
                <w:rFonts w:hint="eastAsia" w:ascii="仿宋" w:hAnsi="仿宋" w:eastAsia="仿宋" w:cs="仿宋"/>
                <w:sz w:val="24"/>
                <w:szCs w:val="24"/>
              </w:rPr>
            </w:pPr>
            <w:bookmarkStart w:id="304" w:name="OLE_LINK95"/>
            <w:r>
              <w:rPr>
                <w:rFonts w:hint="eastAsia" w:ascii="仿宋" w:hAnsi="仿宋" w:eastAsia="仿宋" w:cs="仿宋"/>
                <w:sz w:val="24"/>
                <w:szCs w:val="24"/>
                <w:lang w:val="en-US" w:eastAsia="zh-CN"/>
              </w:rPr>
              <w:t>合同履约期限是否满足采购文件规定合同履约期限</w:t>
            </w:r>
            <w:bookmarkEnd w:id="304"/>
          </w:p>
        </w:tc>
      </w:tr>
    </w:tbl>
    <w:p w14:paraId="3AF2BAB7">
      <w:pPr>
        <w:numPr>
          <w:ilvl w:val="0"/>
          <w:numId w:val="8"/>
        </w:numPr>
        <w:tabs>
          <w:tab w:val="left" w:pos="360"/>
        </w:tabs>
        <w:snapToGrid w:val="0"/>
        <w:spacing w:line="360" w:lineRule="auto"/>
        <w:outlineLvl w:val="1"/>
        <w:rPr>
          <w:rFonts w:hint="eastAsia" w:ascii="仿宋" w:hAnsi="仿宋" w:eastAsia="仿宋" w:cs="仿宋"/>
          <w:sz w:val="24"/>
          <w:szCs w:val="24"/>
        </w:rPr>
      </w:pPr>
      <w:r>
        <w:rPr>
          <w:rFonts w:hint="eastAsia" w:ascii="仿宋" w:hAnsi="仿宋" w:eastAsia="仿宋" w:cs="仿宋"/>
          <w:sz w:val="24"/>
          <w:szCs w:val="24"/>
        </w:rPr>
        <w:t>投标文件有关事项的澄清或者说明</w:t>
      </w:r>
    </w:p>
    <w:p w14:paraId="1F0822DC">
      <w:pPr>
        <w:numPr>
          <w:ilvl w:val="1"/>
          <w:numId w:val="8"/>
        </w:numPr>
        <w:tabs>
          <w:tab w:val="left" w:pos="1080"/>
        </w:tabs>
        <w:snapToGrid w:val="0"/>
        <w:spacing w:line="360" w:lineRule="auto"/>
        <w:ind w:left="1077" w:hanging="720"/>
        <w:rPr>
          <w:rFonts w:hint="eastAsia" w:ascii="仿宋" w:hAnsi="仿宋" w:eastAsia="仿宋" w:cs="仿宋"/>
          <w:sz w:val="24"/>
          <w:szCs w:val="24"/>
        </w:rPr>
      </w:pPr>
      <w:r>
        <w:rPr>
          <w:rFonts w:hint="eastAsia" w:ascii="仿宋" w:hAnsi="仿宋" w:eastAsia="仿宋" w:cs="仿宋"/>
          <w:sz w:val="24"/>
          <w:szCs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714B8BF4">
      <w:pPr>
        <w:numPr>
          <w:ilvl w:val="1"/>
          <w:numId w:val="8"/>
        </w:numPr>
        <w:tabs>
          <w:tab w:val="left" w:pos="1080"/>
        </w:tabs>
        <w:snapToGrid w:val="0"/>
        <w:spacing w:line="360" w:lineRule="auto"/>
        <w:ind w:left="1077" w:hanging="720"/>
        <w:rPr>
          <w:rFonts w:hint="eastAsia" w:ascii="仿宋" w:hAnsi="仿宋" w:eastAsia="仿宋" w:cs="仿宋"/>
          <w:sz w:val="24"/>
          <w:szCs w:val="24"/>
        </w:rPr>
      </w:pPr>
      <w:r>
        <w:rPr>
          <w:rFonts w:hint="eastAsia" w:ascii="仿宋" w:hAnsi="仿宋" w:eastAsia="仿宋" w:cs="仿宋"/>
          <w:sz w:val="24"/>
          <w:szCs w:val="24"/>
        </w:rPr>
        <w:t>评标委员会认为投标人的报价明显低于其他通过符合性审</w:t>
      </w:r>
      <w:r>
        <w:rPr>
          <w:rFonts w:hint="eastAsia" w:ascii="仿宋" w:hAnsi="仿宋" w:eastAsia="仿宋" w:cs="仿宋"/>
          <w:sz w:val="24"/>
          <w:szCs w:val="24"/>
          <w:lang w:eastAsia="zh-CN"/>
        </w:rPr>
        <w:t>查的</w:t>
      </w:r>
      <w:r>
        <w:rPr>
          <w:rFonts w:hint="eastAsia" w:ascii="仿宋" w:hAnsi="仿宋" w:eastAsia="仿宋" w:cs="仿宋"/>
          <w:sz w:val="24"/>
          <w:szCs w:val="24"/>
        </w:rPr>
        <w:t>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sz w:val="24"/>
          <w:szCs w:val="24"/>
        </w:rPr>
        <w:t>无效投标处理</w:t>
      </w:r>
      <w:r>
        <w:rPr>
          <w:rFonts w:hint="eastAsia" w:ascii="仿宋" w:hAnsi="仿宋" w:eastAsia="仿宋" w:cs="仿宋"/>
          <w:sz w:val="24"/>
          <w:szCs w:val="24"/>
        </w:rPr>
        <w:t>。</w:t>
      </w:r>
    </w:p>
    <w:p w14:paraId="78C85147">
      <w:pPr>
        <w:numPr>
          <w:ilvl w:val="1"/>
          <w:numId w:val="8"/>
        </w:numPr>
        <w:tabs>
          <w:tab w:val="left" w:pos="1080"/>
        </w:tabs>
        <w:snapToGrid w:val="0"/>
        <w:spacing w:line="360" w:lineRule="auto"/>
        <w:ind w:left="1077" w:hanging="720"/>
        <w:rPr>
          <w:rFonts w:hint="eastAsia" w:ascii="仿宋" w:hAnsi="仿宋" w:eastAsia="仿宋" w:cs="仿宋"/>
          <w:sz w:val="24"/>
          <w:szCs w:val="24"/>
        </w:rPr>
      </w:pPr>
      <w:r>
        <w:rPr>
          <w:rFonts w:hint="eastAsia" w:ascii="仿宋" w:hAnsi="仿宋" w:eastAsia="仿宋" w:cs="仿宋"/>
          <w:sz w:val="24"/>
          <w:szCs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sz w:val="24"/>
          <w:szCs w:val="24"/>
        </w:rPr>
        <w:t>投标无效</w:t>
      </w:r>
      <w:r>
        <w:rPr>
          <w:rFonts w:hint="eastAsia" w:ascii="仿宋" w:hAnsi="仿宋" w:eastAsia="仿宋" w:cs="仿宋"/>
          <w:sz w:val="24"/>
          <w:szCs w:val="24"/>
        </w:rPr>
        <w:t>。</w:t>
      </w:r>
    </w:p>
    <w:p w14:paraId="0FE4D5D1">
      <w:pPr>
        <w:numPr>
          <w:ilvl w:val="1"/>
          <w:numId w:val="8"/>
        </w:numPr>
        <w:tabs>
          <w:tab w:val="left" w:pos="1080"/>
        </w:tabs>
        <w:snapToGrid w:val="0"/>
        <w:spacing w:line="360" w:lineRule="auto"/>
        <w:ind w:left="1077" w:hanging="720"/>
        <w:rPr>
          <w:rFonts w:hint="eastAsia" w:ascii="仿宋" w:hAnsi="仿宋" w:eastAsia="仿宋" w:cs="仿宋"/>
          <w:sz w:val="24"/>
          <w:szCs w:val="24"/>
        </w:rPr>
      </w:pPr>
      <w:r>
        <w:rPr>
          <w:rFonts w:hint="eastAsia" w:ascii="仿宋" w:hAnsi="仿宋" w:eastAsia="仿宋" w:cs="仿宋"/>
          <w:sz w:val="24"/>
          <w:szCs w:val="24"/>
        </w:rPr>
        <w:t>投标文件报价出现前后不一致的，按照下列规定修正：</w:t>
      </w:r>
    </w:p>
    <w:p w14:paraId="131020DD">
      <w:pPr>
        <w:numPr>
          <w:ilvl w:val="2"/>
          <w:numId w:val="8"/>
        </w:numPr>
        <w:tabs>
          <w:tab w:val="left" w:pos="1080"/>
          <w:tab w:val="left" w:pos="1589"/>
          <w:tab w:val="left" w:pos="2035"/>
          <w:tab w:val="left" w:pos="2114"/>
        </w:tabs>
        <w:snapToGrid w:val="0"/>
        <w:spacing w:line="360" w:lineRule="auto"/>
        <w:ind w:left="2035"/>
        <w:rPr>
          <w:rFonts w:hint="eastAsia" w:ascii="仿宋" w:hAnsi="仿宋" w:eastAsia="仿宋" w:cs="仿宋"/>
          <w:sz w:val="24"/>
          <w:szCs w:val="24"/>
        </w:rPr>
      </w:pPr>
      <w:r>
        <w:rPr>
          <w:rFonts w:hint="eastAsia" w:ascii="仿宋" w:hAnsi="仿宋" w:eastAsia="仿宋" w:cs="仿宋"/>
          <w:sz w:val="24"/>
          <w:szCs w:val="24"/>
        </w:rPr>
        <w:t>招标文件对于报价修正是否另有规定：</w:t>
      </w:r>
    </w:p>
    <w:p w14:paraId="5BA9F865">
      <w:pPr>
        <w:tabs>
          <w:tab w:val="left" w:pos="1080"/>
          <w:tab w:val="left" w:pos="1589"/>
          <w:tab w:val="left" w:pos="2035"/>
          <w:tab w:val="left" w:pos="2114"/>
        </w:tabs>
        <w:snapToGrid w:val="0"/>
        <w:spacing w:line="360" w:lineRule="auto"/>
        <w:ind w:left="239" w:leftChars="114" w:firstLine="360" w:firstLineChars="150"/>
        <w:rPr>
          <w:rFonts w:hint="eastAsia" w:ascii="仿宋" w:hAnsi="仿宋" w:eastAsia="仿宋" w:cs="仿宋"/>
          <w:sz w:val="24"/>
          <w:szCs w:val="24"/>
          <w:u w:val="single"/>
        </w:rPr>
      </w:pPr>
      <w:r>
        <w:rPr>
          <w:rFonts w:hint="eastAsia" w:ascii="仿宋" w:hAnsi="仿宋" w:eastAsia="仿宋" w:cs="仿宋"/>
          <w:sz w:val="24"/>
          <w:szCs w:val="24"/>
        </w:rPr>
        <w:t>□有，具体规定为：______________</w:t>
      </w:r>
    </w:p>
    <w:p w14:paraId="3FFB8384">
      <w:pPr>
        <w:tabs>
          <w:tab w:val="left" w:pos="1080"/>
          <w:tab w:val="left" w:pos="1589"/>
          <w:tab w:val="left" w:pos="2035"/>
          <w:tab w:val="left" w:pos="2114"/>
        </w:tabs>
        <w:snapToGrid w:val="0"/>
        <w:spacing w:line="360" w:lineRule="auto"/>
        <w:ind w:left="239" w:leftChars="114" w:firstLine="360" w:firstLineChars="15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无，按下述2.4.2-2.4.7项规定修正。</w:t>
      </w:r>
    </w:p>
    <w:p w14:paraId="7A77A7F5">
      <w:pPr>
        <w:numPr>
          <w:ilvl w:val="2"/>
          <w:numId w:val="8"/>
        </w:numPr>
        <w:tabs>
          <w:tab w:val="left" w:pos="2035"/>
          <w:tab w:val="left" w:pos="2114"/>
          <w:tab w:val="left" w:pos="2977"/>
        </w:tabs>
        <w:snapToGrid w:val="0"/>
        <w:spacing w:line="360" w:lineRule="auto"/>
        <w:ind w:left="2035"/>
        <w:rPr>
          <w:rFonts w:hint="eastAsia" w:ascii="仿宋" w:hAnsi="仿宋" w:eastAsia="仿宋" w:cs="仿宋"/>
          <w:color w:val="000000"/>
          <w:sz w:val="24"/>
          <w:szCs w:val="24"/>
        </w:rPr>
      </w:pPr>
      <w:r>
        <w:rPr>
          <w:rFonts w:hint="eastAsia" w:ascii="仿宋" w:hAnsi="仿宋" w:eastAsia="仿宋" w:cs="仿宋"/>
          <w:color w:val="000000"/>
          <w:sz w:val="24"/>
          <w:szCs w:val="24"/>
        </w:rPr>
        <w:t>单独递交的开标一览表（报价表）与投标文件中开标一览表（报价表）内容不一致的，以单独递交的开标一览表（报价表）为准；</w:t>
      </w:r>
    </w:p>
    <w:p w14:paraId="3552DC5A">
      <w:pPr>
        <w:numPr>
          <w:ilvl w:val="2"/>
          <w:numId w:val="8"/>
        </w:numPr>
        <w:tabs>
          <w:tab w:val="left" w:pos="2035"/>
          <w:tab w:val="left" w:pos="2114"/>
          <w:tab w:val="left" w:pos="2977"/>
        </w:tabs>
        <w:snapToGrid w:val="0"/>
        <w:spacing w:line="360" w:lineRule="auto"/>
        <w:ind w:left="2035"/>
        <w:rPr>
          <w:rFonts w:hint="eastAsia" w:ascii="仿宋" w:hAnsi="仿宋" w:eastAsia="仿宋" w:cs="仿宋"/>
          <w:color w:val="000000"/>
          <w:sz w:val="24"/>
          <w:szCs w:val="24"/>
        </w:rPr>
      </w:pPr>
      <w:r>
        <w:rPr>
          <w:rFonts w:hint="eastAsia" w:ascii="仿宋" w:hAnsi="仿宋" w:eastAsia="仿宋" w:cs="仿宋"/>
          <w:color w:val="000000"/>
          <w:sz w:val="24"/>
          <w:szCs w:val="24"/>
        </w:rPr>
        <w:t>投标文件中开标一览表（报价表）内容与投标文件中相应内容不一致的，以开标一览表（报价表）为准；</w:t>
      </w:r>
    </w:p>
    <w:p w14:paraId="6ADD99C4">
      <w:pPr>
        <w:numPr>
          <w:ilvl w:val="2"/>
          <w:numId w:val="8"/>
        </w:numPr>
        <w:tabs>
          <w:tab w:val="left" w:pos="2035"/>
          <w:tab w:val="left" w:pos="2114"/>
          <w:tab w:val="left" w:pos="2977"/>
        </w:tabs>
        <w:snapToGrid w:val="0"/>
        <w:spacing w:line="360" w:lineRule="auto"/>
        <w:ind w:left="2035"/>
        <w:rPr>
          <w:rFonts w:hint="eastAsia" w:ascii="仿宋" w:hAnsi="仿宋" w:eastAsia="仿宋" w:cs="仿宋"/>
          <w:color w:val="000000"/>
          <w:sz w:val="24"/>
          <w:szCs w:val="24"/>
        </w:rPr>
      </w:pPr>
      <w:r>
        <w:rPr>
          <w:rFonts w:hint="eastAsia" w:ascii="仿宋" w:hAnsi="仿宋" w:eastAsia="仿宋" w:cs="仿宋"/>
          <w:color w:val="000000"/>
          <w:sz w:val="24"/>
          <w:szCs w:val="24"/>
        </w:rPr>
        <w:t>大写金额和小写金额不一致的，以大写金额为准；</w:t>
      </w:r>
    </w:p>
    <w:p w14:paraId="7726784B">
      <w:pPr>
        <w:numPr>
          <w:ilvl w:val="2"/>
          <w:numId w:val="8"/>
        </w:numPr>
        <w:tabs>
          <w:tab w:val="left" w:pos="2035"/>
          <w:tab w:val="left" w:pos="2114"/>
          <w:tab w:val="left" w:pos="2977"/>
        </w:tabs>
        <w:snapToGrid w:val="0"/>
        <w:spacing w:line="360" w:lineRule="auto"/>
        <w:ind w:left="2035"/>
        <w:rPr>
          <w:rFonts w:hint="eastAsia" w:ascii="仿宋" w:hAnsi="仿宋" w:eastAsia="仿宋" w:cs="仿宋"/>
          <w:color w:val="000000"/>
          <w:sz w:val="24"/>
          <w:szCs w:val="24"/>
        </w:rPr>
      </w:pPr>
      <w:r>
        <w:rPr>
          <w:rFonts w:hint="eastAsia" w:ascii="仿宋" w:hAnsi="仿宋" w:eastAsia="仿宋" w:cs="仿宋"/>
          <w:color w:val="000000"/>
          <w:sz w:val="24"/>
          <w:szCs w:val="24"/>
        </w:rPr>
        <w:t>单价金额小数点或者百分比有明显错位的，以开标一览表的总价为准，并修改单价；</w:t>
      </w:r>
    </w:p>
    <w:p w14:paraId="5D5392CD">
      <w:pPr>
        <w:numPr>
          <w:ilvl w:val="2"/>
          <w:numId w:val="8"/>
        </w:numPr>
        <w:tabs>
          <w:tab w:val="left" w:pos="2035"/>
          <w:tab w:val="left" w:pos="2114"/>
          <w:tab w:val="left" w:pos="2977"/>
        </w:tabs>
        <w:snapToGrid w:val="0"/>
        <w:spacing w:line="360" w:lineRule="auto"/>
        <w:ind w:left="2035"/>
        <w:rPr>
          <w:rFonts w:hint="eastAsia" w:ascii="仿宋" w:hAnsi="仿宋" w:eastAsia="仿宋" w:cs="仿宋"/>
          <w:color w:val="000000"/>
          <w:sz w:val="24"/>
          <w:szCs w:val="24"/>
        </w:rPr>
      </w:pPr>
      <w:r>
        <w:rPr>
          <w:rFonts w:hint="eastAsia" w:ascii="仿宋" w:hAnsi="仿宋" w:eastAsia="仿宋" w:cs="仿宋"/>
          <w:color w:val="000000"/>
          <w:sz w:val="24"/>
          <w:szCs w:val="24"/>
        </w:rPr>
        <w:t>总价金额与按单价汇总金额不一致的，以单价金额计算结果为准。</w:t>
      </w:r>
    </w:p>
    <w:p w14:paraId="49ABE290">
      <w:pPr>
        <w:numPr>
          <w:ilvl w:val="2"/>
          <w:numId w:val="8"/>
        </w:numPr>
        <w:tabs>
          <w:tab w:val="left" w:pos="1080"/>
          <w:tab w:val="left" w:pos="1589"/>
          <w:tab w:val="left" w:pos="2035"/>
          <w:tab w:val="left" w:pos="2114"/>
        </w:tabs>
        <w:snapToGrid w:val="0"/>
        <w:spacing w:line="360" w:lineRule="auto"/>
        <w:ind w:left="2035"/>
        <w:rPr>
          <w:rFonts w:hint="eastAsia" w:ascii="仿宋" w:hAnsi="仿宋" w:eastAsia="仿宋" w:cs="仿宋"/>
          <w:sz w:val="24"/>
          <w:szCs w:val="24"/>
        </w:rPr>
      </w:pPr>
      <w:r>
        <w:rPr>
          <w:rFonts w:hint="eastAsia" w:ascii="仿宋" w:hAnsi="仿宋" w:eastAsia="仿宋" w:cs="仿宋"/>
          <w:sz w:val="24"/>
          <w:szCs w:val="24"/>
        </w:rPr>
        <w:t>同时出现两种以上不一致的，按照前款规定的顺序修正。修正后的报价经投标人书面确认后产生约束力，投标人不确认的，其</w:t>
      </w:r>
      <w:r>
        <w:rPr>
          <w:rFonts w:hint="eastAsia" w:ascii="仿宋" w:hAnsi="仿宋" w:eastAsia="仿宋" w:cs="仿宋"/>
          <w:b/>
          <w:sz w:val="24"/>
          <w:szCs w:val="24"/>
        </w:rPr>
        <w:t>投标无效</w:t>
      </w:r>
      <w:r>
        <w:rPr>
          <w:rFonts w:hint="eastAsia" w:ascii="仿宋" w:hAnsi="仿宋" w:eastAsia="仿宋" w:cs="仿宋"/>
          <w:sz w:val="24"/>
          <w:szCs w:val="24"/>
        </w:rPr>
        <w:t>。</w:t>
      </w:r>
    </w:p>
    <w:p w14:paraId="163CB739">
      <w:pPr>
        <w:numPr>
          <w:ilvl w:val="1"/>
          <w:numId w:val="8"/>
        </w:numPr>
        <w:tabs>
          <w:tab w:val="left" w:pos="1080"/>
        </w:tabs>
        <w:snapToGrid w:val="0"/>
        <w:spacing w:line="360" w:lineRule="auto"/>
        <w:ind w:left="1077" w:hanging="720"/>
        <w:rPr>
          <w:rFonts w:hint="eastAsia" w:ascii="仿宋" w:hAnsi="仿宋" w:eastAsia="仿宋" w:cs="仿宋"/>
          <w:sz w:val="24"/>
          <w:szCs w:val="24"/>
        </w:rPr>
      </w:pPr>
      <w:r>
        <w:rPr>
          <w:rFonts w:hint="eastAsia" w:ascii="仿宋" w:hAnsi="仿宋" w:eastAsia="仿宋" w:cs="仿宋"/>
          <w:sz w:val="24"/>
          <w:szCs w:val="24"/>
        </w:rPr>
        <w:t>落实政府采购政策的价格调整：只有符合第二章《投标人须知》规定情形的，可以享受中小企业扶持政策，用扣除后的价格参加评审；否则，评标时价格不予扣除。</w:t>
      </w:r>
    </w:p>
    <w:p w14:paraId="24E2FF71">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rPr>
      </w:pPr>
      <w:r>
        <w:rPr>
          <w:rFonts w:hint="eastAsia" w:ascii="仿宋" w:hAnsi="仿宋" w:eastAsia="仿宋" w:cs="仿宋"/>
          <w:sz w:val="24"/>
          <w:szCs w:val="24"/>
        </w:rPr>
        <w:t>对于未预留份额专门面向中小企业采购的采购项目，以及预留份额项目中的非预留部分采购包，对小微企业报价给</w:t>
      </w:r>
      <w:r>
        <w:rPr>
          <w:rFonts w:hint="eastAsia" w:ascii="仿宋" w:hAnsi="仿宋" w:eastAsia="仿宋" w:cs="仿宋"/>
          <w:sz w:val="24"/>
          <w:szCs w:val="24"/>
          <w:highlight w:val="none"/>
        </w:rPr>
        <w:t>予</w:t>
      </w:r>
      <w:r>
        <w:rPr>
          <w:rFonts w:hint="eastAsia" w:ascii="仿宋" w:hAnsi="仿宋" w:eastAsia="仿宋" w:cs="仿宋"/>
          <w:sz w:val="24"/>
          <w:szCs w:val="24"/>
          <w:highlight w:val="none"/>
          <w:u w:val="single"/>
          <w:lang w:val="en-US" w:eastAsia="zh-CN"/>
        </w:rPr>
        <w:t>10</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的</w:t>
      </w:r>
      <w:r>
        <w:rPr>
          <w:rFonts w:hint="eastAsia" w:ascii="仿宋" w:hAnsi="仿宋" w:eastAsia="仿宋" w:cs="仿宋"/>
          <w:sz w:val="24"/>
          <w:szCs w:val="24"/>
        </w:rPr>
        <w:t>扣除，用扣除后的价格参加评审。</w:t>
      </w:r>
    </w:p>
    <w:p w14:paraId="0FF158B2">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rPr>
      </w:pPr>
      <w:r>
        <w:rPr>
          <w:rFonts w:hint="eastAsia" w:ascii="仿宋" w:hAnsi="仿宋" w:eastAsia="仿宋" w:cs="仿宋"/>
          <w:sz w:val="24"/>
          <w:szCs w:val="24"/>
        </w:rPr>
        <w:t>对于未预留份额专门面向中小企业的采购项目，以及预留份额项目中的非预留部分采购包，采购人、采购代理机构应当对符合规定的小微企业报价给予</w:t>
      </w:r>
      <w:r>
        <w:rPr>
          <w:rFonts w:hint="eastAsia" w:ascii="仿宋" w:hAnsi="仿宋" w:eastAsia="仿宋" w:cs="仿宋"/>
          <w:sz w:val="24"/>
          <w:szCs w:val="24"/>
          <w:u w:val="single"/>
        </w:rPr>
        <w:t>10%</w:t>
      </w:r>
      <w:r>
        <w:rPr>
          <w:rFonts w:hint="eastAsia" w:ascii="仿宋" w:hAnsi="仿宋" w:eastAsia="仿宋" w:cs="仿宋"/>
          <w:sz w:val="24"/>
          <w:szCs w:val="24"/>
        </w:rPr>
        <w:t>（工程项目为5%）的扣除，用扣除后的价格参加评审。适用招标投标法的政府采购工程建设项目，采用综合评估法但未采用低价优先法计算价格分的，评标时应当在采用原报价进行评分的基础上增加其价格得分的5%作为其价格分，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sz w:val="24"/>
          <w:szCs w:val="24"/>
          <w:u w:val="single"/>
        </w:rPr>
        <w:t>30%</w:t>
      </w:r>
      <w:r>
        <w:rPr>
          <w:rFonts w:hint="eastAsia" w:ascii="仿宋" w:hAnsi="仿宋" w:eastAsia="仿宋" w:cs="仿宋"/>
          <w:sz w:val="24"/>
          <w:szCs w:val="24"/>
        </w:rPr>
        <w:t>以上的，采购人、采购代理机构应当对联合体或者大中型企业的报价给予6%（工程项目为2%）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4"/>
          <w:szCs w:val="24"/>
          <w:u w:val="single"/>
        </w:rPr>
        <w:t>2%</w:t>
      </w:r>
      <w:r>
        <w:rPr>
          <w:rFonts w:hint="eastAsia" w:ascii="仿宋" w:hAnsi="仿宋" w:eastAsia="仿宋" w:cs="仿宋"/>
          <w:sz w:val="24"/>
          <w:szCs w:val="24"/>
        </w:rPr>
        <w:t>作为其价格分。</w:t>
      </w:r>
    </w:p>
    <w:p w14:paraId="3CC97F97">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rPr>
      </w:pPr>
      <w:r>
        <w:rPr>
          <w:rFonts w:hint="eastAsia" w:ascii="仿宋" w:hAnsi="仿宋" w:eastAsia="仿宋" w:cs="仿宋"/>
          <w:sz w:val="24"/>
          <w:szCs w:val="24"/>
        </w:rPr>
        <w:t>组成联合体或者接受分包的小微企业与联合体内其他企业、分包企业之间存在直接控股、管理关系的，不享受价格扣除优惠政策。</w:t>
      </w:r>
    </w:p>
    <w:p w14:paraId="7D0386DC">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rPr>
      </w:pPr>
      <w:r>
        <w:rPr>
          <w:rFonts w:hint="eastAsia" w:ascii="仿宋" w:hAnsi="仿宋" w:eastAsia="仿宋" w:cs="仿宋"/>
          <w:sz w:val="24"/>
          <w:szCs w:val="24"/>
        </w:rPr>
        <w:t>价格扣除比例对小型企业和微型企业同等对待，不作区分。</w:t>
      </w:r>
    </w:p>
    <w:p w14:paraId="12BE2963">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rPr>
      </w:pPr>
      <w:r>
        <w:rPr>
          <w:rFonts w:hint="eastAsia" w:ascii="仿宋" w:hAnsi="仿宋" w:eastAsia="仿宋" w:cs="仿宋"/>
          <w:color w:val="000000"/>
          <w:sz w:val="24"/>
          <w:szCs w:val="24"/>
        </w:rPr>
        <w:t>中小企业参加政府采购活动，应当按照招标文件给定的格式出具《中小企业声明函》，否则不得享受相关中小企业扶持政策。</w:t>
      </w:r>
    </w:p>
    <w:p w14:paraId="32E84F2F">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JY</w:t>
      </w:r>
      <w:r>
        <w:rPr>
          <w:rFonts w:hint="eastAsia" w:ascii="仿宋" w:hAnsi="仿宋" w:eastAsia="仿宋" w:cs="仿宋"/>
          <w:sz w:val="24"/>
          <w:szCs w:val="24"/>
        </w:rPr>
        <w:t>企业提供了由省级以上</w:t>
      </w:r>
      <w:r>
        <w:rPr>
          <w:rFonts w:hint="eastAsia" w:ascii="仿宋" w:hAnsi="仿宋" w:eastAsia="仿宋" w:cs="仿宋"/>
          <w:sz w:val="24"/>
          <w:szCs w:val="24"/>
          <w:lang w:eastAsia="zh-CN"/>
        </w:rPr>
        <w:t>JY</w:t>
      </w:r>
      <w:r>
        <w:rPr>
          <w:rFonts w:hint="eastAsia" w:ascii="仿宋" w:hAnsi="仿宋" w:eastAsia="仿宋" w:cs="仿宋"/>
          <w:sz w:val="24"/>
          <w:szCs w:val="24"/>
        </w:rPr>
        <w:t>管理局（北京市含教育矫治局）、</w:t>
      </w:r>
      <w:r>
        <w:rPr>
          <w:rFonts w:hint="eastAsia" w:ascii="仿宋" w:hAnsi="仿宋" w:eastAsia="仿宋" w:cs="仿宋"/>
          <w:sz w:val="24"/>
          <w:szCs w:val="24"/>
          <w:lang w:eastAsia="zh-CN"/>
        </w:rPr>
        <w:t>JD</w:t>
      </w:r>
      <w:r>
        <w:rPr>
          <w:rFonts w:hint="eastAsia" w:ascii="仿宋" w:hAnsi="仿宋" w:eastAsia="仿宋" w:cs="仿宋"/>
          <w:sz w:val="24"/>
          <w:szCs w:val="24"/>
        </w:rPr>
        <w:t>管理局（含新疆生产建设兵团）出具的属于</w:t>
      </w:r>
      <w:r>
        <w:rPr>
          <w:rFonts w:hint="eastAsia" w:ascii="仿宋" w:hAnsi="仿宋" w:eastAsia="仿宋" w:cs="仿宋"/>
          <w:sz w:val="24"/>
          <w:szCs w:val="24"/>
          <w:lang w:eastAsia="zh-CN"/>
        </w:rPr>
        <w:t>JY</w:t>
      </w:r>
      <w:r>
        <w:rPr>
          <w:rFonts w:hint="eastAsia" w:ascii="仿宋" w:hAnsi="仿宋" w:eastAsia="仿宋" w:cs="仿宋"/>
          <w:sz w:val="24"/>
          <w:szCs w:val="24"/>
        </w:rPr>
        <w:t>企业的证明文件的，视同小微企业。</w:t>
      </w:r>
    </w:p>
    <w:p w14:paraId="4D4BCC8F">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rPr>
      </w:pPr>
      <w:r>
        <w:rPr>
          <w:rFonts w:hint="eastAsia" w:ascii="仿宋" w:hAnsi="仿宋" w:eastAsia="仿宋" w:cs="仿宋"/>
          <w:sz w:val="24"/>
          <w:szCs w:val="24"/>
        </w:rPr>
        <w:t>残疾人福利性单位按招标文件要求提供了《残疾人福利性单位声明函》（见附件）的，视同小微企业。</w:t>
      </w:r>
    </w:p>
    <w:p w14:paraId="447BAFE0">
      <w:pPr>
        <w:numPr>
          <w:ilvl w:val="2"/>
          <w:numId w:val="8"/>
        </w:numPr>
        <w:tabs>
          <w:tab w:val="left" w:pos="1080"/>
          <w:tab w:val="left" w:pos="1589"/>
          <w:tab w:val="left" w:pos="2014"/>
        </w:tabs>
        <w:snapToGrid w:val="0"/>
        <w:spacing w:line="360" w:lineRule="auto"/>
        <w:ind w:left="2035"/>
        <w:rPr>
          <w:rFonts w:hint="eastAsia" w:ascii="仿宋" w:hAnsi="仿宋" w:eastAsia="仿宋" w:cs="仿宋"/>
          <w:sz w:val="24"/>
          <w:szCs w:val="24"/>
        </w:rPr>
      </w:pPr>
      <w:r>
        <w:rPr>
          <w:rFonts w:hint="eastAsia" w:ascii="仿宋" w:hAnsi="仿宋" w:eastAsia="仿宋" w:cs="仿宋"/>
          <w:sz w:val="24"/>
          <w:szCs w:val="24"/>
        </w:rPr>
        <w:t>若投标人同时属于小型或微型企业、</w:t>
      </w:r>
      <w:r>
        <w:rPr>
          <w:rFonts w:hint="eastAsia" w:ascii="仿宋" w:hAnsi="仿宋" w:eastAsia="仿宋" w:cs="仿宋"/>
          <w:sz w:val="24"/>
          <w:szCs w:val="24"/>
          <w:lang w:eastAsia="zh-CN"/>
        </w:rPr>
        <w:t>JY</w:t>
      </w:r>
      <w:r>
        <w:rPr>
          <w:rFonts w:hint="eastAsia" w:ascii="仿宋" w:hAnsi="仿宋" w:eastAsia="仿宋" w:cs="仿宋"/>
          <w:sz w:val="24"/>
          <w:szCs w:val="24"/>
        </w:rPr>
        <w:t>企业、残疾人福利性单位中的两种及以上，将不重复享受小微企业价格扣减的优惠政策。</w:t>
      </w:r>
    </w:p>
    <w:p w14:paraId="647A9FF9">
      <w:pPr>
        <w:numPr>
          <w:ilvl w:val="0"/>
          <w:numId w:val="8"/>
        </w:numPr>
        <w:tabs>
          <w:tab w:val="left" w:pos="360"/>
        </w:tabs>
        <w:snapToGrid w:val="0"/>
        <w:spacing w:line="360" w:lineRule="auto"/>
        <w:outlineLvl w:val="1"/>
        <w:rPr>
          <w:rFonts w:hint="eastAsia" w:ascii="仿宋" w:hAnsi="仿宋" w:eastAsia="仿宋" w:cs="仿宋"/>
          <w:sz w:val="24"/>
          <w:szCs w:val="24"/>
        </w:rPr>
      </w:pPr>
      <w:r>
        <w:rPr>
          <w:rFonts w:hint="eastAsia" w:ascii="仿宋" w:hAnsi="仿宋" w:eastAsia="仿宋" w:cs="仿宋"/>
          <w:sz w:val="24"/>
          <w:szCs w:val="24"/>
        </w:rPr>
        <w:t>投标文件的比较和评价</w:t>
      </w:r>
      <w:bookmarkEnd w:id="285"/>
      <w:bookmarkEnd w:id="286"/>
    </w:p>
    <w:p w14:paraId="286AB24B">
      <w:pPr>
        <w:numPr>
          <w:ilvl w:val="1"/>
          <w:numId w:val="8"/>
        </w:numPr>
        <w:tabs>
          <w:tab w:val="left" w:pos="1080"/>
        </w:tabs>
        <w:snapToGrid w:val="0"/>
        <w:spacing w:line="360" w:lineRule="auto"/>
        <w:ind w:left="1077" w:hanging="720"/>
        <w:rPr>
          <w:rFonts w:hint="eastAsia" w:ascii="仿宋" w:hAnsi="仿宋" w:eastAsia="仿宋" w:cs="仿宋"/>
          <w:sz w:val="24"/>
          <w:szCs w:val="24"/>
        </w:rPr>
      </w:pPr>
      <w:r>
        <w:rPr>
          <w:rFonts w:hint="eastAsia" w:ascii="仿宋" w:hAnsi="仿宋" w:eastAsia="仿宋" w:cs="仿宋"/>
          <w:sz w:val="24"/>
          <w:szCs w:val="24"/>
        </w:rPr>
        <w:t>评标委员会将按照招标文件中规定的评标方法和标准，对符合性审查合格的投标文件进行商务和技术评估，综合比较与评价；未通过符合性审查的投标文件不得进入比较与评价。</w:t>
      </w:r>
    </w:p>
    <w:p w14:paraId="0967754B">
      <w:pPr>
        <w:numPr>
          <w:ilvl w:val="1"/>
          <w:numId w:val="8"/>
        </w:numPr>
        <w:tabs>
          <w:tab w:val="left" w:pos="1080"/>
        </w:tabs>
        <w:snapToGrid w:val="0"/>
        <w:spacing w:line="360" w:lineRule="auto"/>
        <w:ind w:left="1077" w:hanging="720"/>
        <w:rPr>
          <w:rFonts w:hint="eastAsia" w:ascii="仿宋" w:hAnsi="仿宋" w:eastAsia="仿宋" w:cs="仿宋"/>
          <w:sz w:val="24"/>
          <w:szCs w:val="24"/>
        </w:rPr>
      </w:pPr>
      <w:r>
        <w:rPr>
          <w:rFonts w:hint="eastAsia" w:ascii="仿宋" w:hAnsi="仿宋" w:eastAsia="仿宋" w:cs="仿宋"/>
          <w:sz w:val="24"/>
          <w:szCs w:val="24"/>
        </w:rPr>
        <w:t>评标方法和评标标准</w:t>
      </w:r>
    </w:p>
    <w:p w14:paraId="507B37D8">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rPr>
      </w:pPr>
      <w:r>
        <w:rPr>
          <w:rFonts w:hint="eastAsia" w:ascii="仿宋" w:hAnsi="仿宋" w:eastAsia="仿宋" w:cs="仿宋"/>
          <w:sz w:val="24"/>
          <w:szCs w:val="24"/>
        </w:rPr>
        <w:t>本项目采用的评标方法为：</w:t>
      </w:r>
    </w:p>
    <w:p w14:paraId="325EDD90">
      <w:pPr>
        <w:tabs>
          <w:tab w:val="left" w:pos="900"/>
          <w:tab w:val="left" w:pos="1589"/>
          <w:tab w:val="left" w:pos="1701"/>
        </w:tabs>
        <w:snapToGrid w:val="0"/>
        <w:spacing w:line="360" w:lineRule="auto"/>
        <w:ind w:left="239" w:leftChars="114" w:firstLine="360" w:firstLineChars="15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5090267">
      <w:pPr>
        <w:tabs>
          <w:tab w:val="left" w:pos="900"/>
          <w:tab w:val="left" w:pos="1589"/>
          <w:tab w:val="left" w:pos="1701"/>
        </w:tabs>
        <w:snapToGrid w:val="0"/>
        <w:spacing w:line="360" w:lineRule="auto"/>
        <w:ind w:left="239" w:leftChars="114" w:firstLine="360" w:firstLineChars="15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最低评标价法，指投标文件满足招标文件全部实质性要求，且投标报价最低的投标人为中标候选人的评标方法。</w:t>
      </w:r>
    </w:p>
    <w:p w14:paraId="02620398">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rPr>
      </w:pPr>
      <w:r>
        <w:rPr>
          <w:rFonts w:hint="eastAsia" w:ascii="仿宋" w:hAnsi="仿宋" w:eastAsia="仿宋" w:cs="仿宋"/>
          <w:sz w:val="24"/>
          <w:szCs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仿宋" w:hAnsi="仿宋" w:eastAsia="仿宋" w:cs="仿宋"/>
          <w:b/>
          <w:sz w:val="24"/>
          <w:szCs w:val="24"/>
        </w:rPr>
        <w:t>投标无效</w:t>
      </w:r>
      <w:r>
        <w:rPr>
          <w:rFonts w:hint="eastAsia" w:ascii="仿宋" w:hAnsi="仿宋" w:eastAsia="仿宋" w:cs="仿宋"/>
          <w:sz w:val="24"/>
          <w:szCs w:val="24"/>
        </w:rPr>
        <w:t>。</w:t>
      </w:r>
    </w:p>
    <w:p w14:paraId="27586F6A">
      <w:pPr>
        <w:tabs>
          <w:tab w:val="left" w:pos="1080"/>
          <w:tab w:val="left" w:pos="1589"/>
          <w:tab w:val="left" w:pos="2035"/>
        </w:tabs>
        <w:snapToGrid w:val="0"/>
        <w:spacing w:line="360" w:lineRule="auto"/>
        <w:ind w:left="239" w:leftChars="114" w:firstLine="360" w:firstLineChars="150"/>
        <w:rPr>
          <w:rFonts w:hint="eastAsia" w:ascii="仿宋" w:hAnsi="仿宋" w:eastAsia="仿宋" w:cs="仿宋"/>
          <w:sz w:val="24"/>
          <w:szCs w:val="24"/>
        </w:rPr>
      </w:pPr>
      <w:r>
        <w:rPr>
          <w:rFonts w:hint="eastAsia" w:ascii="仿宋" w:hAnsi="仿宋" w:eastAsia="仿宋" w:cs="仿宋"/>
          <w:sz w:val="24"/>
          <w:szCs w:val="24"/>
        </w:rPr>
        <w:t>□随机抽取</w:t>
      </w:r>
    </w:p>
    <w:p w14:paraId="20961A57">
      <w:pPr>
        <w:tabs>
          <w:tab w:val="left" w:pos="1080"/>
          <w:tab w:val="left" w:pos="1589"/>
          <w:tab w:val="left" w:pos="2035"/>
        </w:tabs>
        <w:snapToGrid w:val="0"/>
        <w:spacing w:line="360" w:lineRule="auto"/>
        <w:ind w:left="239" w:leftChars="114" w:firstLine="360" w:firstLineChars="150"/>
        <w:rPr>
          <w:rFonts w:hint="eastAsia" w:ascii="仿宋" w:hAnsi="仿宋" w:eastAsia="仿宋" w:cs="仿宋"/>
          <w:sz w:val="24"/>
          <w:szCs w:val="24"/>
          <w:u w:val="single"/>
        </w:rPr>
      </w:pPr>
      <w:r>
        <w:rPr>
          <w:rFonts w:hint="eastAsia" w:ascii="仿宋" w:hAnsi="仿宋" w:eastAsia="仿宋" w:cs="仿宋"/>
          <w:sz w:val="24"/>
          <w:szCs w:val="24"/>
        </w:rPr>
        <w:t>□其他方式，具体要求：_____</w:t>
      </w:r>
    </w:p>
    <w:p w14:paraId="5AB09A43">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rPr>
      </w:pPr>
      <w:r>
        <w:rPr>
          <w:rFonts w:hint="eastAsia" w:ascii="仿宋" w:hAnsi="仿宋" w:eastAsia="仿宋" w:cs="仿宋"/>
          <w:sz w:val="24"/>
          <w:szCs w:val="24"/>
        </w:rPr>
        <w:t>非政府强制采购的节能产品或环境标志产品，依据品目清单和认证证书实施政府优先采购。优先采购的具体规定（如涉及）_____。</w:t>
      </w:r>
    </w:p>
    <w:p w14:paraId="31B6E02E">
      <w:pPr>
        <w:numPr>
          <w:ilvl w:val="2"/>
          <w:numId w:val="8"/>
        </w:numPr>
        <w:tabs>
          <w:tab w:val="left" w:pos="1080"/>
          <w:tab w:val="left" w:pos="1589"/>
          <w:tab w:val="left" w:pos="2035"/>
        </w:tabs>
        <w:snapToGrid w:val="0"/>
        <w:spacing w:line="360" w:lineRule="auto"/>
        <w:ind w:left="2035"/>
        <w:rPr>
          <w:rFonts w:hint="eastAsia" w:ascii="仿宋" w:hAnsi="仿宋" w:eastAsia="仿宋" w:cs="仿宋"/>
          <w:sz w:val="24"/>
          <w:szCs w:val="24"/>
        </w:rPr>
      </w:pPr>
      <w:r>
        <w:rPr>
          <w:rFonts w:hint="eastAsia" w:ascii="仿宋" w:hAnsi="仿宋" w:eastAsia="仿宋" w:cs="仿宋"/>
          <w:sz w:val="24"/>
          <w:szCs w:val="24"/>
        </w:rPr>
        <w:t>关于无线局域网认证产品政府采购清单中的产品，优先采购的具体规定（如涉及）_____。</w:t>
      </w:r>
    </w:p>
    <w:p w14:paraId="0979A8C4">
      <w:pPr>
        <w:numPr>
          <w:ilvl w:val="0"/>
          <w:numId w:val="8"/>
        </w:numPr>
        <w:tabs>
          <w:tab w:val="left" w:pos="360"/>
        </w:tabs>
        <w:snapToGrid w:val="0"/>
        <w:spacing w:line="360" w:lineRule="auto"/>
        <w:outlineLvl w:val="1"/>
        <w:rPr>
          <w:rFonts w:hint="eastAsia" w:ascii="仿宋" w:hAnsi="仿宋" w:eastAsia="仿宋" w:cs="仿宋"/>
          <w:sz w:val="24"/>
          <w:szCs w:val="24"/>
        </w:rPr>
      </w:pPr>
      <w:r>
        <w:rPr>
          <w:rFonts w:hint="eastAsia" w:ascii="仿宋" w:hAnsi="仿宋" w:eastAsia="仿宋" w:cs="仿宋"/>
          <w:sz w:val="24"/>
          <w:szCs w:val="24"/>
        </w:rPr>
        <w:t>确定</w:t>
      </w:r>
      <w:bookmarkStart w:id="305" w:name="_Toc226965819"/>
      <w:bookmarkStart w:id="306" w:name="_Toc149720839"/>
      <w:bookmarkStart w:id="307" w:name="_Toc164608815"/>
      <w:bookmarkStart w:id="308" w:name="_Toc151193934"/>
      <w:bookmarkStart w:id="309" w:name="_Toc164608660"/>
      <w:bookmarkStart w:id="310" w:name="_Toc150480784"/>
      <w:bookmarkStart w:id="311" w:name="_Toc151193860"/>
      <w:bookmarkStart w:id="312" w:name="_Toc226965736"/>
      <w:bookmarkStart w:id="313" w:name="_Toc305158814"/>
      <w:bookmarkStart w:id="314" w:name="_Toc305158888"/>
      <w:bookmarkStart w:id="315" w:name="_Toc127151747"/>
      <w:bookmarkStart w:id="316" w:name="_Toc226309790"/>
      <w:bookmarkStart w:id="317" w:name="_Toc520356170"/>
      <w:bookmarkStart w:id="318" w:name="_Toc150774751"/>
      <w:bookmarkStart w:id="319" w:name="_Ref467307010"/>
      <w:bookmarkStart w:id="320" w:name="_Toc164229241"/>
      <w:bookmarkStart w:id="321" w:name="_Toc151193716"/>
      <w:bookmarkStart w:id="322" w:name="_Toc151190173"/>
      <w:bookmarkStart w:id="323" w:name="_Toc226337242"/>
      <w:bookmarkStart w:id="324" w:name="_Toc142311048"/>
      <w:bookmarkStart w:id="325" w:name="_Toc264969236"/>
      <w:bookmarkStart w:id="326" w:name="_Toc127151546"/>
      <w:bookmarkStart w:id="327" w:name="_Toc164351640"/>
      <w:bookmarkStart w:id="328" w:name="_Toc150509297"/>
      <w:bookmarkStart w:id="329" w:name="_Toc151193788"/>
      <w:bookmarkStart w:id="330" w:name="_Toc195842911"/>
      <w:bookmarkStart w:id="331" w:name="_Toc151193644"/>
      <w:bookmarkStart w:id="332" w:name="_Toc150774646"/>
      <w:bookmarkStart w:id="333" w:name="_Toc265228384"/>
      <w:bookmarkStart w:id="334" w:name="_Toc127161460"/>
      <w:bookmarkStart w:id="335" w:name="_Toc164229387"/>
      <w:r>
        <w:rPr>
          <w:rFonts w:hint="eastAsia" w:ascii="仿宋" w:hAnsi="仿宋" w:eastAsia="仿宋" w:cs="仿宋"/>
          <w:sz w:val="24"/>
          <w:szCs w:val="24"/>
        </w:rPr>
        <w:t>中标候选人名单</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E3B3B99">
      <w:pPr>
        <w:numPr>
          <w:ilvl w:val="1"/>
          <w:numId w:val="8"/>
        </w:numPr>
        <w:tabs>
          <w:tab w:val="left" w:pos="1080"/>
        </w:tabs>
        <w:snapToGrid w:val="0"/>
        <w:spacing w:line="360" w:lineRule="auto"/>
        <w:ind w:left="1077" w:hanging="720"/>
        <w:rPr>
          <w:rFonts w:hint="eastAsia" w:ascii="仿宋" w:hAnsi="仿宋" w:eastAsia="仿宋" w:cs="仿宋"/>
          <w:sz w:val="24"/>
          <w:szCs w:val="24"/>
        </w:rPr>
      </w:pPr>
      <w:r>
        <w:rPr>
          <w:rFonts w:hint="eastAsia" w:ascii="仿宋" w:hAnsi="仿宋" w:eastAsia="仿宋" w:cs="仿宋"/>
          <w:sz w:val="24"/>
          <w:szCs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9E6ADCE">
      <w:pPr>
        <w:pStyle w:val="44"/>
        <w:tabs>
          <w:tab w:val="left" w:pos="900"/>
          <w:tab w:val="left" w:pos="2127"/>
        </w:tabs>
        <w:adjustRightInd w:val="0"/>
        <w:snapToGrid w:val="0"/>
        <w:spacing w:line="360" w:lineRule="auto"/>
        <w:ind w:left="239" w:leftChars="114" w:firstLine="360" w:firstLineChars="150"/>
        <w:rPr>
          <w:rFonts w:hint="eastAsia" w:ascii="仿宋" w:hAnsi="仿宋" w:eastAsia="仿宋" w:cs="仿宋"/>
          <w:sz w:val="24"/>
          <w:szCs w:val="24"/>
        </w:rPr>
      </w:pPr>
      <w:r>
        <w:rPr>
          <w:rFonts w:hint="eastAsia" w:ascii="仿宋" w:hAnsi="仿宋" w:eastAsia="仿宋" w:cs="仿宋"/>
          <w:sz w:val="24"/>
          <w:szCs w:val="24"/>
        </w:rPr>
        <w:t>□随机抽取</w:t>
      </w:r>
    </w:p>
    <w:p w14:paraId="2FA6CEEF">
      <w:pPr>
        <w:pStyle w:val="44"/>
        <w:tabs>
          <w:tab w:val="left" w:pos="900"/>
          <w:tab w:val="left" w:pos="2127"/>
        </w:tabs>
        <w:adjustRightInd w:val="0"/>
        <w:snapToGrid w:val="0"/>
        <w:spacing w:line="360" w:lineRule="auto"/>
        <w:ind w:left="239" w:leftChars="114" w:firstLine="360" w:firstLineChars="150"/>
        <w:rPr>
          <w:rFonts w:hint="eastAsia" w:ascii="仿宋" w:hAnsi="仿宋" w:eastAsia="仿宋" w:cs="仿宋"/>
          <w:sz w:val="24"/>
          <w:szCs w:val="24"/>
        </w:rPr>
      </w:pPr>
      <w:r>
        <w:rPr>
          <w:rFonts w:hint="eastAsia" w:ascii="仿宋" w:hAnsi="仿宋" w:eastAsia="仿宋" w:cs="仿宋"/>
          <w:sz w:val="24"/>
          <w:szCs w:val="24"/>
        </w:rPr>
        <w:t>□其他方式，具体要求：_____</w:t>
      </w:r>
    </w:p>
    <w:p w14:paraId="57854603">
      <w:pPr>
        <w:numPr>
          <w:ilvl w:val="1"/>
          <w:numId w:val="8"/>
        </w:numPr>
        <w:tabs>
          <w:tab w:val="left" w:pos="1080"/>
        </w:tabs>
        <w:snapToGrid w:val="0"/>
        <w:spacing w:line="360" w:lineRule="auto"/>
        <w:ind w:left="1077" w:hanging="720"/>
        <w:rPr>
          <w:rFonts w:hint="eastAsia" w:ascii="仿宋" w:hAnsi="仿宋" w:eastAsia="仿宋" w:cs="仿宋"/>
          <w:sz w:val="24"/>
          <w:szCs w:val="24"/>
        </w:rPr>
      </w:pPr>
      <w:r>
        <w:rPr>
          <w:rFonts w:hint="eastAsia" w:ascii="仿宋" w:hAnsi="仿宋" w:eastAsia="仿宋" w:cs="仿宋"/>
          <w:sz w:val="24"/>
          <w:szCs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FC486FA">
      <w:pPr>
        <w:numPr>
          <w:ilvl w:val="1"/>
          <w:numId w:val="8"/>
        </w:numPr>
        <w:tabs>
          <w:tab w:val="left" w:pos="1080"/>
        </w:tabs>
        <w:snapToGrid w:val="0"/>
        <w:spacing w:line="360" w:lineRule="auto"/>
        <w:ind w:left="1077" w:hanging="720"/>
        <w:rPr>
          <w:rFonts w:hint="eastAsia" w:ascii="仿宋" w:hAnsi="仿宋" w:eastAsia="仿宋" w:cs="仿宋"/>
          <w:sz w:val="24"/>
          <w:szCs w:val="24"/>
        </w:rPr>
      </w:pPr>
      <w:r>
        <w:rPr>
          <w:rFonts w:hint="eastAsia" w:ascii="仿宋" w:hAnsi="仿宋" w:eastAsia="仿宋" w:cs="仿宋"/>
          <w:sz w:val="24"/>
          <w:szCs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4035ACD8">
      <w:pPr>
        <w:numPr>
          <w:ilvl w:val="1"/>
          <w:numId w:val="8"/>
        </w:numPr>
        <w:tabs>
          <w:tab w:val="left" w:pos="1080"/>
        </w:tabs>
        <w:snapToGrid w:val="0"/>
        <w:spacing w:line="360" w:lineRule="auto"/>
        <w:ind w:left="1077" w:hanging="720"/>
        <w:rPr>
          <w:rFonts w:hint="eastAsia" w:ascii="仿宋" w:hAnsi="仿宋" w:eastAsia="仿宋" w:cs="仿宋"/>
          <w:sz w:val="24"/>
          <w:szCs w:val="24"/>
        </w:rPr>
      </w:pPr>
      <w:r>
        <w:rPr>
          <w:rFonts w:hint="eastAsia" w:ascii="仿宋" w:hAnsi="仿宋" w:eastAsia="仿宋" w:cs="仿宋"/>
          <w:sz w:val="24"/>
          <w:szCs w:val="24"/>
        </w:rPr>
        <w:t>评标委员会要对评分汇总情况进行复核，特别是对排名第一的、报价最低的、投标或响应文件被认定为无效的情形进行重点复核。</w:t>
      </w:r>
    </w:p>
    <w:p w14:paraId="39A48516">
      <w:pPr>
        <w:numPr>
          <w:ilvl w:val="1"/>
          <w:numId w:val="8"/>
        </w:numPr>
        <w:tabs>
          <w:tab w:val="left" w:pos="1080"/>
        </w:tabs>
        <w:snapToGrid w:val="0"/>
        <w:spacing w:line="360" w:lineRule="auto"/>
        <w:ind w:left="1077" w:hanging="720"/>
        <w:rPr>
          <w:rFonts w:hint="eastAsia" w:ascii="仿宋" w:hAnsi="仿宋" w:eastAsia="仿宋" w:cs="仿宋"/>
          <w:sz w:val="24"/>
          <w:szCs w:val="24"/>
        </w:rPr>
      </w:pPr>
      <w:r>
        <w:rPr>
          <w:rFonts w:hint="eastAsia" w:ascii="仿宋" w:hAnsi="仿宋" w:eastAsia="仿宋" w:cs="仿宋"/>
          <w:sz w:val="24"/>
          <w:szCs w:val="24"/>
        </w:rPr>
        <w:t>评标委员会将根据各投标人的评标排序，依次推荐本项目（各采购包）的中标候选人，起草并签署评标报告。本项目（各采购包）评标委员会共（各）推荐</w:t>
      </w:r>
      <w:r>
        <w:rPr>
          <w:rFonts w:hint="eastAsia" w:ascii="仿宋" w:hAnsi="仿宋" w:eastAsia="仿宋" w:cs="仿宋"/>
          <w:sz w:val="24"/>
          <w:szCs w:val="24"/>
          <w:u w:val="single"/>
          <w:lang w:val="en-US" w:eastAsia="zh-CN"/>
        </w:rPr>
        <w:t>3</w:t>
      </w:r>
      <w:r>
        <w:rPr>
          <w:rFonts w:hint="eastAsia" w:ascii="仿宋" w:hAnsi="仿宋" w:eastAsia="仿宋" w:cs="仿宋"/>
          <w:sz w:val="24"/>
          <w:szCs w:val="24"/>
        </w:rPr>
        <w:t>名中标候选人。</w:t>
      </w:r>
    </w:p>
    <w:p w14:paraId="081B5F6B">
      <w:pPr>
        <w:numPr>
          <w:ilvl w:val="0"/>
          <w:numId w:val="8"/>
        </w:numPr>
        <w:tabs>
          <w:tab w:val="left" w:pos="360"/>
        </w:tabs>
        <w:snapToGrid w:val="0"/>
        <w:spacing w:line="360" w:lineRule="auto"/>
        <w:outlineLvl w:val="1"/>
        <w:rPr>
          <w:rFonts w:hint="eastAsia" w:ascii="仿宋" w:hAnsi="仿宋" w:eastAsia="仿宋" w:cs="仿宋"/>
          <w:sz w:val="24"/>
          <w:szCs w:val="24"/>
        </w:rPr>
      </w:pPr>
      <w:r>
        <w:rPr>
          <w:rFonts w:hint="eastAsia" w:ascii="仿宋" w:hAnsi="仿宋" w:eastAsia="仿宋" w:cs="仿宋"/>
          <w:sz w:val="24"/>
          <w:szCs w:val="24"/>
        </w:rPr>
        <w:t>报告违法行为</w:t>
      </w:r>
    </w:p>
    <w:p w14:paraId="3EE463F0">
      <w:pPr>
        <w:numPr>
          <w:ilvl w:val="1"/>
          <w:numId w:val="8"/>
        </w:numPr>
        <w:tabs>
          <w:tab w:val="left" w:pos="1080"/>
        </w:tabs>
        <w:snapToGrid w:val="0"/>
        <w:spacing w:line="360" w:lineRule="auto"/>
        <w:ind w:left="1077" w:hanging="720"/>
        <w:rPr>
          <w:rFonts w:hint="eastAsia" w:ascii="仿宋" w:hAnsi="仿宋" w:eastAsia="仿宋" w:cs="仿宋"/>
          <w:sz w:val="24"/>
          <w:szCs w:val="24"/>
        </w:rPr>
      </w:pPr>
      <w:r>
        <w:rPr>
          <w:rFonts w:hint="eastAsia" w:ascii="仿宋" w:hAnsi="仿宋" w:eastAsia="仿宋" w:cs="仿宋"/>
          <w:sz w:val="24"/>
          <w:szCs w:val="24"/>
        </w:rPr>
        <w:t>评标委员会在评标过程中发现投标人有行贿、提供虚假材料或者串通等违法行为时，有向采购人、采购代理机构或者有关部门报告的职责。</w:t>
      </w:r>
    </w:p>
    <w:p w14:paraId="3A3287A5">
      <w:pPr>
        <w:tabs>
          <w:tab w:val="left" w:pos="360"/>
          <w:tab w:val="left" w:pos="900"/>
        </w:tabs>
        <w:snapToGrid w:val="0"/>
        <w:spacing w:line="360" w:lineRule="auto"/>
        <w:jc w:val="center"/>
        <w:outlineLvl w:val="1"/>
        <w:rPr>
          <w:rFonts w:hint="eastAsia" w:ascii="仿宋" w:hAnsi="仿宋" w:eastAsia="仿宋" w:cs="仿宋"/>
          <w:b/>
          <w:sz w:val="28"/>
          <w:szCs w:val="28"/>
        </w:rPr>
      </w:pPr>
    </w:p>
    <w:p w14:paraId="56BA572C">
      <w:pPr>
        <w:tabs>
          <w:tab w:val="left" w:pos="360"/>
          <w:tab w:val="left" w:pos="900"/>
        </w:tabs>
        <w:snapToGrid w:val="0"/>
        <w:spacing w:line="360" w:lineRule="auto"/>
        <w:jc w:val="center"/>
        <w:outlineLvl w:val="1"/>
        <w:rPr>
          <w:rFonts w:hint="eastAsia" w:ascii="仿宋" w:hAnsi="仿宋" w:eastAsia="仿宋" w:cs="仿宋"/>
          <w:b/>
          <w:sz w:val="28"/>
          <w:szCs w:val="28"/>
        </w:rPr>
      </w:pPr>
    </w:p>
    <w:p w14:paraId="12E7A845">
      <w:pPr>
        <w:tabs>
          <w:tab w:val="left" w:pos="360"/>
          <w:tab w:val="left" w:pos="900"/>
        </w:tabs>
        <w:snapToGrid w:val="0"/>
        <w:spacing w:line="360" w:lineRule="auto"/>
        <w:jc w:val="center"/>
        <w:outlineLvl w:val="1"/>
        <w:rPr>
          <w:rFonts w:hint="eastAsia" w:ascii="仿宋" w:hAnsi="仿宋" w:eastAsia="仿宋" w:cs="仿宋"/>
          <w:b/>
          <w:sz w:val="28"/>
          <w:szCs w:val="28"/>
        </w:rPr>
      </w:pPr>
    </w:p>
    <w:p w14:paraId="20552F2D">
      <w:pPr>
        <w:tabs>
          <w:tab w:val="left" w:pos="360"/>
          <w:tab w:val="left" w:pos="900"/>
        </w:tabs>
        <w:snapToGrid w:val="0"/>
        <w:spacing w:line="360" w:lineRule="auto"/>
        <w:jc w:val="center"/>
        <w:outlineLvl w:val="1"/>
        <w:rPr>
          <w:rFonts w:hint="eastAsia" w:ascii="仿宋" w:hAnsi="仿宋" w:eastAsia="仿宋" w:cs="仿宋"/>
          <w:b/>
          <w:sz w:val="28"/>
          <w:szCs w:val="28"/>
        </w:rPr>
      </w:pPr>
    </w:p>
    <w:p w14:paraId="0F0B9B61">
      <w:pPr>
        <w:tabs>
          <w:tab w:val="left" w:pos="360"/>
          <w:tab w:val="left" w:pos="900"/>
        </w:tabs>
        <w:snapToGrid w:val="0"/>
        <w:spacing w:line="360" w:lineRule="auto"/>
        <w:jc w:val="center"/>
        <w:outlineLvl w:val="1"/>
        <w:rPr>
          <w:rFonts w:hint="eastAsia" w:ascii="仿宋" w:hAnsi="仿宋" w:eastAsia="仿宋" w:cs="仿宋"/>
          <w:b/>
          <w:sz w:val="28"/>
          <w:szCs w:val="28"/>
        </w:rPr>
      </w:pPr>
      <w:r>
        <w:rPr>
          <w:rFonts w:hint="eastAsia" w:ascii="仿宋" w:hAnsi="仿宋" w:eastAsia="仿宋" w:cs="仿宋"/>
          <w:b/>
          <w:sz w:val="28"/>
          <w:szCs w:val="28"/>
        </w:rPr>
        <w:t>二、评标标准</w:t>
      </w:r>
    </w:p>
    <w:bookmarkEnd w:id="215"/>
    <w:tbl>
      <w:tblPr>
        <w:tblStyle w:val="71"/>
        <w:tblpPr w:leftFromText="180" w:rightFromText="180" w:vertAnchor="text" w:horzAnchor="page" w:tblpX="1352" w:tblpY="198"/>
        <w:tblOverlap w:val="never"/>
        <w:tblW w:w="9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1118"/>
        <w:gridCol w:w="1267"/>
        <w:gridCol w:w="855"/>
        <w:gridCol w:w="5712"/>
      </w:tblGrid>
      <w:tr w14:paraId="6F98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721" w:type="dxa"/>
            <w:noWrap/>
            <w:tcMar>
              <w:top w:w="10" w:type="dxa"/>
              <w:left w:w="10" w:type="dxa"/>
              <w:right w:w="10" w:type="dxa"/>
            </w:tcMar>
            <w:vAlign w:val="center"/>
          </w:tcPr>
          <w:p w14:paraId="4DCE688B">
            <w:pPr>
              <w:keepNext w:val="0"/>
              <w:keepLines w:val="0"/>
              <w:suppressLineNumbers w:val="0"/>
              <w:spacing w:before="0" w:beforeAutospacing="0" w:after="0" w:afterAutospacing="0"/>
              <w:jc w:val="center"/>
              <w:textAlignment w:val="center"/>
              <w:rPr>
                <w:rFonts w:hint="eastAsia" w:ascii="仿宋" w:hAnsi="仿宋" w:eastAsia="仿宋" w:cs="仿宋"/>
                <w:b/>
                <w:sz w:val="24"/>
              </w:rPr>
            </w:pPr>
            <w:r>
              <w:rPr>
                <w:rFonts w:hint="eastAsia" w:ascii="仿宋" w:hAnsi="仿宋" w:eastAsia="仿宋" w:cs="仿宋"/>
                <w:b/>
                <w:sz w:val="24"/>
                <w:lang w:bidi="ar"/>
              </w:rPr>
              <w:t>序号</w:t>
            </w:r>
          </w:p>
        </w:tc>
        <w:tc>
          <w:tcPr>
            <w:tcW w:w="1118" w:type="dxa"/>
            <w:noWrap/>
            <w:tcMar>
              <w:top w:w="10" w:type="dxa"/>
              <w:left w:w="10" w:type="dxa"/>
              <w:right w:w="10" w:type="dxa"/>
            </w:tcMar>
            <w:vAlign w:val="center"/>
          </w:tcPr>
          <w:p w14:paraId="028D6FE5">
            <w:pPr>
              <w:keepNext w:val="0"/>
              <w:keepLines w:val="0"/>
              <w:suppressLineNumbers w:val="0"/>
              <w:spacing w:before="0" w:beforeAutospacing="0" w:after="0" w:afterAutospacing="0"/>
              <w:jc w:val="center"/>
              <w:textAlignment w:val="center"/>
              <w:rPr>
                <w:rFonts w:hint="eastAsia" w:ascii="仿宋" w:hAnsi="仿宋" w:eastAsia="仿宋" w:cs="仿宋"/>
                <w:b/>
                <w:sz w:val="24"/>
              </w:rPr>
            </w:pPr>
            <w:r>
              <w:rPr>
                <w:rFonts w:hint="eastAsia" w:ascii="仿宋" w:hAnsi="仿宋" w:eastAsia="仿宋" w:cs="仿宋"/>
                <w:b/>
                <w:sz w:val="24"/>
                <w:lang w:bidi="ar"/>
              </w:rPr>
              <w:t>评审条款</w:t>
            </w:r>
          </w:p>
        </w:tc>
        <w:tc>
          <w:tcPr>
            <w:tcW w:w="1267" w:type="dxa"/>
            <w:noWrap/>
            <w:tcMar>
              <w:top w:w="10" w:type="dxa"/>
              <w:left w:w="10" w:type="dxa"/>
              <w:right w:w="10" w:type="dxa"/>
            </w:tcMar>
            <w:vAlign w:val="center"/>
          </w:tcPr>
          <w:p w14:paraId="070A5E0A">
            <w:pPr>
              <w:keepNext w:val="0"/>
              <w:keepLines w:val="0"/>
              <w:suppressLineNumbers w:val="0"/>
              <w:spacing w:before="0" w:beforeAutospacing="0" w:after="0" w:afterAutospacing="0"/>
              <w:jc w:val="center"/>
              <w:textAlignment w:val="center"/>
              <w:rPr>
                <w:rFonts w:hint="eastAsia" w:ascii="仿宋" w:hAnsi="仿宋" w:eastAsia="仿宋" w:cs="仿宋"/>
                <w:b/>
                <w:sz w:val="24"/>
              </w:rPr>
            </w:pPr>
            <w:r>
              <w:rPr>
                <w:rFonts w:hint="eastAsia" w:ascii="仿宋" w:hAnsi="仿宋" w:eastAsia="仿宋" w:cs="仿宋"/>
                <w:b/>
                <w:sz w:val="24"/>
                <w:lang w:bidi="ar"/>
              </w:rPr>
              <w:t>评审项</w:t>
            </w:r>
          </w:p>
        </w:tc>
        <w:tc>
          <w:tcPr>
            <w:tcW w:w="855" w:type="dxa"/>
            <w:noWrap/>
            <w:tcMar>
              <w:top w:w="10" w:type="dxa"/>
              <w:left w:w="10" w:type="dxa"/>
              <w:right w:w="10" w:type="dxa"/>
            </w:tcMar>
            <w:vAlign w:val="center"/>
          </w:tcPr>
          <w:p w14:paraId="33C661CE">
            <w:pPr>
              <w:keepNext w:val="0"/>
              <w:keepLines w:val="0"/>
              <w:suppressLineNumbers w:val="0"/>
              <w:spacing w:before="0" w:beforeAutospacing="0" w:after="0" w:afterAutospacing="0"/>
              <w:jc w:val="center"/>
              <w:textAlignment w:val="center"/>
              <w:rPr>
                <w:rFonts w:hint="eastAsia" w:ascii="仿宋" w:hAnsi="仿宋" w:eastAsia="仿宋" w:cs="仿宋"/>
                <w:b/>
                <w:sz w:val="24"/>
              </w:rPr>
            </w:pPr>
            <w:r>
              <w:rPr>
                <w:rFonts w:hint="eastAsia" w:ascii="仿宋" w:hAnsi="仿宋" w:eastAsia="仿宋" w:cs="仿宋"/>
                <w:b/>
                <w:sz w:val="24"/>
                <w:lang w:bidi="ar"/>
              </w:rPr>
              <w:t>分值</w:t>
            </w:r>
          </w:p>
        </w:tc>
        <w:tc>
          <w:tcPr>
            <w:tcW w:w="5712" w:type="dxa"/>
            <w:noWrap/>
            <w:tcMar>
              <w:top w:w="10" w:type="dxa"/>
              <w:left w:w="10" w:type="dxa"/>
              <w:right w:w="10" w:type="dxa"/>
            </w:tcMar>
            <w:vAlign w:val="center"/>
          </w:tcPr>
          <w:p w14:paraId="5CA2E0D6">
            <w:pPr>
              <w:keepNext w:val="0"/>
              <w:keepLines w:val="0"/>
              <w:suppressLineNumbers w:val="0"/>
              <w:spacing w:before="0" w:beforeAutospacing="0" w:after="0" w:afterAutospacing="0"/>
              <w:jc w:val="center"/>
              <w:textAlignment w:val="center"/>
              <w:rPr>
                <w:rFonts w:hint="eastAsia" w:ascii="仿宋" w:hAnsi="仿宋" w:eastAsia="仿宋" w:cs="仿宋"/>
                <w:b/>
                <w:sz w:val="24"/>
              </w:rPr>
            </w:pPr>
            <w:r>
              <w:rPr>
                <w:rFonts w:hint="eastAsia" w:ascii="仿宋" w:hAnsi="仿宋" w:eastAsia="仿宋" w:cs="仿宋"/>
                <w:b/>
                <w:sz w:val="24"/>
                <w:lang w:bidi="ar"/>
              </w:rPr>
              <w:t>评审细则</w:t>
            </w:r>
          </w:p>
        </w:tc>
      </w:tr>
      <w:tr w14:paraId="3BC1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21" w:type="dxa"/>
            <w:noWrap/>
            <w:tcMar>
              <w:top w:w="10" w:type="dxa"/>
              <w:left w:w="10" w:type="dxa"/>
              <w:right w:w="10" w:type="dxa"/>
            </w:tcMar>
            <w:vAlign w:val="center"/>
          </w:tcPr>
          <w:p w14:paraId="3FFBBBE3">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r>
              <w:rPr>
                <w:rFonts w:hint="eastAsia" w:ascii="仿宋" w:hAnsi="仿宋" w:eastAsia="仿宋" w:cs="仿宋"/>
                <w:b/>
                <w:sz w:val="24"/>
                <w:lang w:bidi="ar"/>
              </w:rPr>
              <w:t>1</w:t>
            </w:r>
          </w:p>
        </w:tc>
        <w:tc>
          <w:tcPr>
            <w:tcW w:w="1118" w:type="dxa"/>
            <w:noWrap/>
            <w:tcMar>
              <w:top w:w="10" w:type="dxa"/>
              <w:left w:w="10" w:type="dxa"/>
              <w:right w:w="10" w:type="dxa"/>
            </w:tcMar>
            <w:vAlign w:val="center"/>
          </w:tcPr>
          <w:p w14:paraId="3763CAE8">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r>
              <w:rPr>
                <w:rFonts w:hint="eastAsia" w:ascii="仿宋" w:hAnsi="仿宋" w:eastAsia="仿宋" w:cs="仿宋"/>
                <w:b/>
                <w:sz w:val="24"/>
                <w:lang w:bidi="ar"/>
              </w:rPr>
              <w:t>价格</w:t>
            </w:r>
          </w:p>
          <w:p w14:paraId="0A6BFF26">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r>
              <w:rPr>
                <w:rFonts w:hint="eastAsia" w:ascii="仿宋" w:hAnsi="仿宋" w:eastAsia="仿宋" w:cs="仿宋"/>
                <w:b/>
                <w:sz w:val="24"/>
                <w:lang w:bidi="ar"/>
              </w:rPr>
              <w:t>（</w:t>
            </w:r>
            <w:r>
              <w:rPr>
                <w:rFonts w:hint="eastAsia" w:ascii="仿宋" w:hAnsi="仿宋" w:eastAsia="仿宋" w:cs="仿宋"/>
                <w:b/>
                <w:sz w:val="24"/>
                <w:lang w:val="en-US" w:eastAsia="zh-CN" w:bidi="ar"/>
              </w:rPr>
              <w:t>20分</w:t>
            </w:r>
            <w:r>
              <w:rPr>
                <w:rFonts w:hint="eastAsia" w:ascii="仿宋" w:hAnsi="仿宋" w:eastAsia="仿宋" w:cs="仿宋"/>
                <w:b/>
                <w:sz w:val="24"/>
                <w:lang w:bidi="ar"/>
              </w:rPr>
              <w:t>）</w:t>
            </w:r>
          </w:p>
        </w:tc>
        <w:tc>
          <w:tcPr>
            <w:tcW w:w="1267" w:type="dxa"/>
            <w:noWrap/>
            <w:tcMar>
              <w:top w:w="10" w:type="dxa"/>
              <w:left w:w="10" w:type="dxa"/>
              <w:right w:w="10" w:type="dxa"/>
            </w:tcMar>
            <w:vAlign w:val="center"/>
          </w:tcPr>
          <w:p w14:paraId="6C28189D">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r>
              <w:rPr>
                <w:rFonts w:hint="eastAsia" w:ascii="仿宋" w:hAnsi="仿宋" w:eastAsia="仿宋" w:cs="仿宋"/>
                <w:b/>
                <w:sz w:val="24"/>
                <w:lang w:bidi="ar"/>
              </w:rPr>
              <w:t>价格</w:t>
            </w:r>
          </w:p>
        </w:tc>
        <w:tc>
          <w:tcPr>
            <w:tcW w:w="855" w:type="dxa"/>
            <w:noWrap/>
            <w:tcMar>
              <w:top w:w="10" w:type="dxa"/>
              <w:left w:w="10" w:type="dxa"/>
              <w:right w:w="10" w:type="dxa"/>
            </w:tcMar>
            <w:vAlign w:val="center"/>
          </w:tcPr>
          <w:p w14:paraId="594527A2">
            <w:pPr>
              <w:keepNext w:val="0"/>
              <w:keepLines w:val="0"/>
              <w:suppressLineNumbers w:val="0"/>
              <w:spacing w:before="0" w:beforeAutospacing="0" w:after="0" w:afterAutospacing="0"/>
              <w:jc w:val="center"/>
              <w:textAlignment w:val="center"/>
              <w:rPr>
                <w:rFonts w:hint="eastAsia" w:ascii="仿宋" w:hAnsi="仿宋" w:eastAsia="仿宋" w:cs="仿宋"/>
                <w:b/>
                <w:sz w:val="24"/>
                <w:lang w:val="en-US" w:eastAsia="zh-CN" w:bidi="ar"/>
              </w:rPr>
            </w:pPr>
            <w:r>
              <w:rPr>
                <w:rFonts w:hint="eastAsia" w:ascii="仿宋" w:hAnsi="仿宋" w:eastAsia="仿宋" w:cs="仿宋"/>
                <w:b/>
                <w:sz w:val="24"/>
                <w:lang w:bidi="ar"/>
              </w:rPr>
              <w:t>0-</w:t>
            </w:r>
            <w:r>
              <w:rPr>
                <w:rFonts w:hint="eastAsia" w:ascii="仿宋" w:hAnsi="仿宋" w:eastAsia="仿宋" w:cs="仿宋"/>
                <w:b/>
                <w:sz w:val="24"/>
                <w:lang w:val="en-US" w:eastAsia="zh-CN" w:bidi="ar"/>
              </w:rPr>
              <w:t>20</w:t>
            </w:r>
          </w:p>
        </w:tc>
        <w:tc>
          <w:tcPr>
            <w:tcW w:w="5712" w:type="dxa"/>
            <w:noWrap/>
            <w:tcMar>
              <w:top w:w="10" w:type="dxa"/>
              <w:left w:w="10" w:type="dxa"/>
              <w:right w:w="10" w:type="dxa"/>
            </w:tcMar>
            <w:vAlign w:val="center"/>
          </w:tcPr>
          <w:p w14:paraId="4D0E6192">
            <w:pPr>
              <w:keepNext w:val="0"/>
              <w:keepLines w:val="0"/>
              <w:suppressLineNumbers w:val="0"/>
              <w:spacing w:before="0" w:beforeAutospacing="0" w:after="0" w:afterAutospacing="0" w:line="360" w:lineRule="auto"/>
              <w:jc w:val="left"/>
              <w:textAlignment w:val="center"/>
              <w:rPr>
                <w:rFonts w:hint="eastAsia" w:ascii="仿宋" w:hAnsi="仿宋" w:eastAsia="仿宋" w:cs="仿宋"/>
                <w:b/>
                <w:sz w:val="24"/>
                <w:lang w:eastAsia="zh-CN" w:bidi="ar"/>
              </w:rPr>
            </w:pPr>
            <w:r>
              <w:rPr>
                <w:rStyle w:val="160"/>
                <w:rFonts w:hint="eastAsia" w:ascii="仿宋" w:hAnsi="仿宋" w:eastAsia="仿宋" w:cs="仿宋"/>
                <w:sz w:val="24"/>
                <w:lang w:bidi="ar"/>
              </w:rPr>
              <w:t>价格分采用低价优先法计算，</w:t>
            </w:r>
            <w:r>
              <w:rPr>
                <w:rStyle w:val="156"/>
                <w:rFonts w:hint="eastAsia" w:ascii="仿宋" w:hAnsi="仿宋" w:eastAsia="仿宋" w:cs="仿宋"/>
                <w:sz w:val="24"/>
                <w:lang w:bidi="ar"/>
              </w:rPr>
              <w:t>响应报价得分=（评审基准价/最终响应报价）*</w:t>
            </w:r>
            <w:r>
              <w:rPr>
                <w:rStyle w:val="156"/>
                <w:rFonts w:hint="eastAsia" w:ascii="仿宋" w:hAnsi="仿宋" w:eastAsia="仿宋" w:cs="仿宋"/>
                <w:sz w:val="24"/>
                <w:lang w:val="en-US" w:eastAsia="zh-CN" w:bidi="ar"/>
              </w:rPr>
              <w:t>20</w:t>
            </w:r>
            <w:r>
              <w:rPr>
                <w:rStyle w:val="156"/>
                <w:rFonts w:hint="eastAsia" w:ascii="仿宋" w:hAnsi="仿宋" w:eastAsia="仿宋" w:cs="仿宋"/>
                <w:sz w:val="24"/>
                <w:lang w:bidi="ar"/>
              </w:rPr>
              <w:t>，满足比选文件要求且最终响应报价最低的响应报价为评审基准价</w:t>
            </w:r>
            <w:r>
              <w:rPr>
                <w:rStyle w:val="156"/>
                <w:rFonts w:hint="eastAsia" w:ascii="仿宋" w:hAnsi="仿宋" w:eastAsia="仿宋" w:cs="仿宋"/>
                <w:sz w:val="24"/>
                <w:lang w:eastAsia="zh-CN" w:bidi="ar"/>
              </w:rPr>
              <w:t>。</w:t>
            </w:r>
          </w:p>
        </w:tc>
      </w:tr>
      <w:tr w14:paraId="0D4F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21" w:type="dxa"/>
            <w:vMerge w:val="restart"/>
            <w:noWrap/>
            <w:tcMar>
              <w:top w:w="10" w:type="dxa"/>
              <w:left w:w="10" w:type="dxa"/>
              <w:right w:w="10" w:type="dxa"/>
            </w:tcMar>
            <w:vAlign w:val="center"/>
          </w:tcPr>
          <w:p w14:paraId="17818633">
            <w:pPr>
              <w:keepNext w:val="0"/>
              <w:keepLines w:val="0"/>
              <w:suppressLineNumbers w:val="0"/>
              <w:spacing w:before="0" w:beforeAutospacing="0" w:after="0" w:afterAutospacing="0"/>
              <w:jc w:val="center"/>
              <w:textAlignment w:val="center"/>
              <w:rPr>
                <w:rFonts w:hint="eastAsia" w:ascii="仿宋" w:hAnsi="仿宋" w:eastAsia="仿宋" w:cs="仿宋"/>
                <w:b/>
                <w:sz w:val="24"/>
                <w:lang w:val="en-US" w:eastAsia="zh-CN" w:bidi="ar"/>
              </w:rPr>
            </w:pPr>
            <w:r>
              <w:rPr>
                <w:rFonts w:hint="eastAsia" w:ascii="仿宋" w:hAnsi="仿宋" w:eastAsia="仿宋" w:cs="仿宋"/>
                <w:b/>
                <w:sz w:val="24"/>
                <w:lang w:val="en-US" w:eastAsia="zh-CN" w:bidi="ar"/>
              </w:rPr>
              <w:t>2</w:t>
            </w:r>
          </w:p>
        </w:tc>
        <w:tc>
          <w:tcPr>
            <w:tcW w:w="1118" w:type="dxa"/>
            <w:vMerge w:val="restart"/>
            <w:noWrap/>
            <w:tcMar>
              <w:top w:w="10" w:type="dxa"/>
              <w:left w:w="10" w:type="dxa"/>
              <w:right w:w="10" w:type="dxa"/>
            </w:tcMar>
            <w:vAlign w:val="center"/>
          </w:tcPr>
          <w:p w14:paraId="73172574">
            <w:pPr>
              <w:keepNext w:val="0"/>
              <w:keepLines w:val="0"/>
              <w:suppressLineNumbers w:val="0"/>
              <w:spacing w:before="0" w:beforeAutospacing="0" w:after="0" w:afterAutospacing="0"/>
              <w:jc w:val="center"/>
              <w:textAlignment w:val="center"/>
              <w:rPr>
                <w:rFonts w:hint="eastAsia" w:ascii="仿宋" w:hAnsi="仿宋" w:eastAsia="仿宋" w:cs="仿宋"/>
                <w:b/>
                <w:sz w:val="24"/>
                <w:lang w:val="en-US" w:eastAsia="zh-CN" w:bidi="ar"/>
              </w:rPr>
            </w:pPr>
            <w:r>
              <w:rPr>
                <w:rFonts w:hint="eastAsia" w:ascii="仿宋" w:hAnsi="仿宋" w:eastAsia="仿宋" w:cs="仿宋"/>
                <w:b/>
                <w:sz w:val="24"/>
                <w:lang w:val="en-US" w:eastAsia="zh-CN" w:bidi="ar"/>
              </w:rPr>
              <w:t>商务部分</w:t>
            </w:r>
          </w:p>
          <w:p w14:paraId="1D2349AC">
            <w:pPr>
              <w:keepNext w:val="0"/>
              <w:keepLines w:val="0"/>
              <w:suppressLineNumbers w:val="0"/>
              <w:spacing w:before="0" w:beforeAutospacing="0" w:after="0" w:afterAutospacing="0"/>
              <w:jc w:val="center"/>
              <w:textAlignment w:val="center"/>
              <w:rPr>
                <w:rFonts w:hint="eastAsia" w:ascii="仿宋" w:hAnsi="仿宋" w:eastAsia="仿宋" w:cs="仿宋"/>
                <w:b/>
                <w:sz w:val="24"/>
                <w:lang w:val="en-US" w:eastAsia="zh-CN" w:bidi="ar"/>
              </w:rPr>
            </w:pPr>
            <w:r>
              <w:rPr>
                <w:rFonts w:hint="eastAsia" w:ascii="仿宋" w:hAnsi="仿宋" w:eastAsia="仿宋" w:cs="仿宋"/>
                <w:b/>
                <w:sz w:val="24"/>
                <w:lang w:val="en-US" w:eastAsia="zh-CN" w:bidi="ar"/>
              </w:rPr>
              <w:t>（20分）</w:t>
            </w:r>
          </w:p>
        </w:tc>
        <w:tc>
          <w:tcPr>
            <w:tcW w:w="1267" w:type="dxa"/>
            <w:noWrap/>
            <w:tcMar>
              <w:top w:w="10" w:type="dxa"/>
              <w:left w:w="10" w:type="dxa"/>
              <w:right w:w="10" w:type="dxa"/>
            </w:tcMar>
            <w:vAlign w:val="center"/>
          </w:tcPr>
          <w:p w14:paraId="14E9A348">
            <w:pPr>
              <w:keepNext w:val="0"/>
              <w:keepLines w:val="0"/>
              <w:suppressLineNumbers w:val="0"/>
              <w:spacing w:before="0" w:beforeAutospacing="0" w:after="0" w:afterAutospacing="0"/>
              <w:jc w:val="center"/>
              <w:textAlignment w:val="center"/>
              <w:rPr>
                <w:rFonts w:hint="eastAsia" w:ascii="仿宋" w:hAnsi="仿宋" w:eastAsia="仿宋" w:cs="仿宋"/>
                <w:b/>
                <w:sz w:val="24"/>
                <w:lang w:val="en-US" w:eastAsia="zh-CN" w:bidi="ar"/>
              </w:rPr>
            </w:pPr>
            <w:r>
              <w:rPr>
                <w:rFonts w:hint="eastAsia" w:ascii="仿宋" w:hAnsi="仿宋" w:eastAsia="仿宋" w:cs="仿宋"/>
                <w:b/>
                <w:sz w:val="24"/>
                <w:lang w:val="en-US" w:eastAsia="zh-CN" w:bidi="ar"/>
              </w:rPr>
              <w:t>业绩</w:t>
            </w:r>
          </w:p>
        </w:tc>
        <w:tc>
          <w:tcPr>
            <w:tcW w:w="855" w:type="dxa"/>
            <w:noWrap/>
            <w:tcMar>
              <w:top w:w="10" w:type="dxa"/>
              <w:left w:w="10" w:type="dxa"/>
              <w:right w:w="10" w:type="dxa"/>
            </w:tcMar>
            <w:vAlign w:val="center"/>
          </w:tcPr>
          <w:p w14:paraId="2F393DF1">
            <w:pPr>
              <w:keepNext w:val="0"/>
              <w:keepLines w:val="0"/>
              <w:suppressLineNumbers w:val="0"/>
              <w:spacing w:before="0" w:beforeAutospacing="0" w:after="0" w:afterAutospacing="0"/>
              <w:jc w:val="center"/>
              <w:textAlignment w:val="center"/>
              <w:rPr>
                <w:rFonts w:hint="eastAsia" w:ascii="仿宋" w:hAnsi="仿宋" w:eastAsia="仿宋" w:cs="仿宋"/>
                <w:b/>
                <w:sz w:val="24"/>
                <w:lang w:val="en-US" w:eastAsia="zh-CN" w:bidi="ar"/>
              </w:rPr>
            </w:pPr>
            <w:r>
              <w:rPr>
                <w:rFonts w:hint="eastAsia" w:ascii="仿宋" w:hAnsi="仿宋" w:eastAsia="仿宋" w:cs="仿宋"/>
                <w:b/>
                <w:sz w:val="24"/>
                <w:lang w:val="en-US" w:eastAsia="zh-CN" w:bidi="ar"/>
              </w:rPr>
              <w:t>0-5</w:t>
            </w:r>
          </w:p>
        </w:tc>
        <w:tc>
          <w:tcPr>
            <w:tcW w:w="5712" w:type="dxa"/>
            <w:noWrap/>
            <w:tcMar>
              <w:top w:w="10" w:type="dxa"/>
              <w:left w:w="10" w:type="dxa"/>
              <w:right w:w="10" w:type="dxa"/>
            </w:tcMar>
            <w:vAlign w:val="center"/>
          </w:tcPr>
          <w:p w14:paraId="6DCEA3C7">
            <w:pPr>
              <w:keepNext w:val="0"/>
              <w:keepLines w:val="0"/>
              <w:suppressLineNumbers w:val="0"/>
              <w:spacing w:before="0" w:beforeAutospacing="0" w:after="0" w:afterAutospacing="0" w:line="360" w:lineRule="auto"/>
              <w:jc w:val="left"/>
              <w:textAlignment w:val="center"/>
              <w:rPr>
                <w:rStyle w:val="160"/>
                <w:rFonts w:hint="eastAsia" w:ascii="仿宋" w:hAnsi="仿宋" w:eastAsia="仿宋" w:cs="仿宋"/>
                <w:b/>
                <w:bCs/>
                <w:sz w:val="24"/>
                <w:lang w:bidi="ar"/>
              </w:rPr>
            </w:pPr>
            <w:r>
              <w:rPr>
                <w:rStyle w:val="160"/>
                <w:rFonts w:hint="eastAsia" w:ascii="仿宋" w:hAnsi="仿宋" w:eastAsia="仿宋" w:cs="仿宋"/>
                <w:b w:val="0"/>
                <w:bCs w:val="0"/>
                <w:sz w:val="24"/>
                <w:lang w:bidi="ar"/>
              </w:rPr>
              <w:t>供应商提供近三年（2022年6月-至今）完成的类似业绩，每提供一项得</w:t>
            </w:r>
            <w:r>
              <w:rPr>
                <w:rStyle w:val="160"/>
                <w:rFonts w:hint="eastAsia" w:ascii="仿宋" w:hAnsi="仿宋" w:eastAsia="仿宋" w:cs="仿宋"/>
                <w:b w:val="0"/>
                <w:bCs w:val="0"/>
                <w:sz w:val="24"/>
                <w:lang w:val="en-US" w:eastAsia="zh-CN" w:bidi="ar"/>
              </w:rPr>
              <w:t>2.5</w:t>
            </w:r>
            <w:r>
              <w:rPr>
                <w:rStyle w:val="160"/>
                <w:rFonts w:hint="eastAsia" w:ascii="仿宋" w:hAnsi="仿宋" w:eastAsia="仿宋" w:cs="仿宋"/>
                <w:b w:val="0"/>
                <w:bCs w:val="0"/>
                <w:sz w:val="24"/>
                <w:lang w:bidi="ar"/>
              </w:rPr>
              <w:t>分，满分</w:t>
            </w:r>
            <w:r>
              <w:rPr>
                <w:rStyle w:val="160"/>
                <w:rFonts w:hint="eastAsia" w:ascii="仿宋" w:hAnsi="仿宋" w:eastAsia="仿宋" w:cs="仿宋"/>
                <w:b w:val="0"/>
                <w:bCs w:val="0"/>
                <w:sz w:val="24"/>
                <w:lang w:val="en-US" w:eastAsia="zh-CN" w:bidi="ar"/>
              </w:rPr>
              <w:t>5</w:t>
            </w:r>
            <w:r>
              <w:rPr>
                <w:rStyle w:val="160"/>
                <w:rFonts w:hint="eastAsia" w:ascii="仿宋" w:hAnsi="仿宋" w:eastAsia="仿宋" w:cs="仿宋"/>
                <w:b w:val="0"/>
                <w:bCs w:val="0"/>
                <w:sz w:val="24"/>
                <w:lang w:bidi="ar"/>
              </w:rPr>
              <w:t>分，须提供类似业绩中标/成交通知书或合同原件扫描件。</w:t>
            </w:r>
          </w:p>
        </w:tc>
      </w:tr>
      <w:tr w14:paraId="14EA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21" w:type="dxa"/>
            <w:vMerge w:val="continue"/>
            <w:noWrap/>
            <w:tcMar>
              <w:top w:w="10" w:type="dxa"/>
              <w:left w:w="10" w:type="dxa"/>
              <w:right w:w="10" w:type="dxa"/>
            </w:tcMar>
            <w:vAlign w:val="center"/>
          </w:tcPr>
          <w:p w14:paraId="07B8EEAE">
            <w:pPr>
              <w:keepNext w:val="0"/>
              <w:keepLines w:val="0"/>
              <w:suppressLineNumbers w:val="0"/>
              <w:spacing w:before="0" w:beforeAutospacing="0" w:after="0" w:afterAutospacing="0"/>
              <w:jc w:val="center"/>
              <w:textAlignment w:val="center"/>
              <w:rPr>
                <w:rFonts w:hint="eastAsia" w:ascii="仿宋" w:hAnsi="仿宋" w:eastAsia="仿宋" w:cs="仿宋"/>
                <w:b/>
                <w:sz w:val="24"/>
                <w:lang w:val="en-US" w:eastAsia="zh-CN" w:bidi="ar"/>
              </w:rPr>
            </w:pPr>
          </w:p>
        </w:tc>
        <w:tc>
          <w:tcPr>
            <w:tcW w:w="1118" w:type="dxa"/>
            <w:vMerge w:val="continue"/>
            <w:noWrap/>
            <w:tcMar>
              <w:top w:w="10" w:type="dxa"/>
              <w:left w:w="10" w:type="dxa"/>
              <w:right w:w="10" w:type="dxa"/>
            </w:tcMar>
            <w:vAlign w:val="center"/>
          </w:tcPr>
          <w:p w14:paraId="21C19A33">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p>
        </w:tc>
        <w:tc>
          <w:tcPr>
            <w:tcW w:w="1267" w:type="dxa"/>
            <w:vMerge w:val="restart"/>
            <w:noWrap/>
            <w:tcMar>
              <w:top w:w="10" w:type="dxa"/>
              <w:left w:w="10" w:type="dxa"/>
              <w:right w:w="10" w:type="dxa"/>
            </w:tcMar>
            <w:vAlign w:val="center"/>
          </w:tcPr>
          <w:p w14:paraId="6F53EF32">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r>
              <w:rPr>
                <w:rFonts w:hint="eastAsia" w:ascii="仿宋" w:hAnsi="仿宋" w:eastAsia="仿宋" w:cs="仿宋"/>
                <w:b/>
                <w:bCs/>
                <w:sz w:val="24"/>
              </w:rPr>
              <w:t>人员配备</w:t>
            </w:r>
          </w:p>
        </w:tc>
        <w:tc>
          <w:tcPr>
            <w:tcW w:w="855" w:type="dxa"/>
            <w:noWrap/>
            <w:tcMar>
              <w:top w:w="10" w:type="dxa"/>
              <w:left w:w="10" w:type="dxa"/>
              <w:right w:w="10" w:type="dxa"/>
            </w:tcMar>
            <w:vAlign w:val="center"/>
          </w:tcPr>
          <w:p w14:paraId="0CFD0013">
            <w:pPr>
              <w:keepNext w:val="0"/>
              <w:keepLines w:val="0"/>
              <w:suppressLineNumbers w:val="0"/>
              <w:spacing w:before="0" w:beforeAutospacing="0" w:after="0" w:afterAutospacing="0" w:line="360" w:lineRule="auto"/>
              <w:jc w:val="center"/>
              <w:textAlignment w:val="center"/>
              <w:rPr>
                <w:rStyle w:val="160"/>
                <w:rFonts w:hint="eastAsia" w:ascii="仿宋" w:hAnsi="仿宋" w:eastAsia="仿宋" w:cs="仿宋"/>
                <w:sz w:val="24"/>
                <w:lang w:val="en-US" w:eastAsia="zh-CN" w:bidi="ar"/>
              </w:rPr>
            </w:pPr>
            <w:r>
              <w:rPr>
                <w:rStyle w:val="160"/>
                <w:rFonts w:hint="eastAsia" w:ascii="仿宋" w:hAnsi="仿宋" w:eastAsia="仿宋" w:cs="仿宋"/>
                <w:b/>
                <w:bCs/>
                <w:sz w:val="24"/>
                <w:lang w:val="en-US" w:eastAsia="zh-CN" w:bidi="ar"/>
              </w:rPr>
              <w:t>0-5</w:t>
            </w:r>
          </w:p>
        </w:tc>
        <w:tc>
          <w:tcPr>
            <w:tcW w:w="5712" w:type="dxa"/>
            <w:noWrap/>
            <w:tcMar>
              <w:top w:w="10" w:type="dxa"/>
              <w:left w:w="10" w:type="dxa"/>
              <w:right w:w="10" w:type="dxa"/>
            </w:tcMar>
            <w:vAlign w:val="center"/>
          </w:tcPr>
          <w:p w14:paraId="683F2CF6">
            <w:pPr>
              <w:keepNext w:val="0"/>
              <w:keepLines w:val="0"/>
              <w:suppressLineNumbers w:val="0"/>
              <w:spacing w:before="0" w:beforeAutospacing="0" w:after="0" w:afterAutospacing="0" w:line="360" w:lineRule="auto"/>
              <w:jc w:val="left"/>
              <w:textAlignment w:val="center"/>
              <w:rPr>
                <w:rStyle w:val="160"/>
                <w:rFonts w:hint="default" w:ascii="仿宋" w:hAnsi="仿宋" w:eastAsia="仿宋" w:cs="仿宋"/>
                <w:sz w:val="24"/>
                <w:lang w:val="en-US" w:eastAsia="zh-CN" w:bidi="ar"/>
              </w:rPr>
            </w:pPr>
            <w:r>
              <w:rPr>
                <w:rStyle w:val="160"/>
                <w:rFonts w:hint="eastAsia" w:ascii="仿宋" w:hAnsi="仿宋" w:eastAsia="仿宋" w:cs="仿宋"/>
                <w:sz w:val="24"/>
                <w:lang w:val="en-US" w:eastAsia="zh-CN" w:bidi="ar"/>
              </w:rPr>
              <w:t>项目负责人（1人）要求具有研究生及以上学历且具有丰富的从业经验。备注：同时提供毕业证、学位证、近一个月社保证明；从业经验</w:t>
            </w:r>
            <w:r>
              <w:rPr>
                <w:rStyle w:val="160"/>
                <w:rFonts w:hint="eastAsia" w:ascii="仿宋" w:hAnsi="仿宋" w:eastAsia="仿宋" w:cs="仿宋"/>
                <w:b w:val="0"/>
                <w:bCs w:val="0"/>
                <w:sz w:val="24"/>
                <w:lang w:bidi="ar"/>
              </w:rPr>
              <w:t>须提供</w:t>
            </w:r>
            <w:r>
              <w:rPr>
                <w:rStyle w:val="160"/>
                <w:rFonts w:hint="eastAsia" w:ascii="仿宋" w:hAnsi="仿宋" w:eastAsia="仿宋" w:cs="仿宋"/>
                <w:b w:val="0"/>
                <w:bCs w:val="0"/>
                <w:sz w:val="24"/>
                <w:lang w:val="en-US" w:eastAsia="zh-CN" w:bidi="ar"/>
              </w:rPr>
              <w:t>公司出具的证明或类似项目合同</w:t>
            </w:r>
            <w:r>
              <w:rPr>
                <w:rStyle w:val="160"/>
                <w:rFonts w:hint="eastAsia" w:ascii="仿宋" w:hAnsi="仿宋" w:eastAsia="仿宋" w:cs="仿宋"/>
                <w:b w:val="0"/>
                <w:bCs w:val="0"/>
                <w:sz w:val="24"/>
                <w:lang w:bidi="ar"/>
              </w:rPr>
              <w:t>扫描件</w:t>
            </w:r>
            <w:r>
              <w:rPr>
                <w:rStyle w:val="160"/>
                <w:rFonts w:hint="eastAsia" w:ascii="仿宋" w:hAnsi="仿宋" w:eastAsia="仿宋" w:cs="仿宋"/>
                <w:b w:val="0"/>
                <w:bCs w:val="0"/>
                <w:sz w:val="24"/>
                <w:lang w:val="en-US" w:eastAsia="zh-CN" w:bidi="ar"/>
              </w:rPr>
              <w:t>或类似项目照片均可</w:t>
            </w:r>
            <w:r>
              <w:rPr>
                <w:rStyle w:val="160"/>
                <w:rFonts w:hint="eastAsia" w:ascii="仿宋" w:hAnsi="仿宋" w:eastAsia="仿宋" w:cs="仿宋"/>
                <w:sz w:val="24"/>
                <w:lang w:val="en-US" w:eastAsia="zh-CN" w:bidi="ar"/>
              </w:rPr>
              <w:t>。提供齐全得5分，未提供或未按照此项要求提供不得分</w:t>
            </w:r>
          </w:p>
        </w:tc>
      </w:tr>
      <w:tr w14:paraId="53EF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721" w:type="dxa"/>
            <w:vMerge w:val="continue"/>
            <w:noWrap/>
            <w:tcMar>
              <w:top w:w="10" w:type="dxa"/>
              <w:left w:w="10" w:type="dxa"/>
              <w:right w:w="10" w:type="dxa"/>
            </w:tcMar>
            <w:vAlign w:val="center"/>
          </w:tcPr>
          <w:p w14:paraId="4763A28B">
            <w:pPr>
              <w:keepNext w:val="0"/>
              <w:keepLines w:val="0"/>
              <w:suppressLineNumbers w:val="0"/>
              <w:spacing w:before="0" w:beforeAutospacing="0" w:after="0" w:afterAutospacing="0"/>
              <w:jc w:val="center"/>
              <w:textAlignment w:val="center"/>
              <w:rPr>
                <w:rFonts w:hint="eastAsia" w:ascii="仿宋" w:hAnsi="仿宋" w:eastAsia="仿宋" w:cs="仿宋"/>
                <w:b/>
                <w:sz w:val="24"/>
                <w:lang w:val="en-US" w:eastAsia="zh-CN" w:bidi="ar"/>
              </w:rPr>
            </w:pPr>
          </w:p>
        </w:tc>
        <w:tc>
          <w:tcPr>
            <w:tcW w:w="1118" w:type="dxa"/>
            <w:vMerge w:val="continue"/>
            <w:noWrap/>
            <w:tcMar>
              <w:top w:w="10" w:type="dxa"/>
              <w:left w:w="10" w:type="dxa"/>
              <w:right w:w="10" w:type="dxa"/>
            </w:tcMar>
            <w:vAlign w:val="center"/>
          </w:tcPr>
          <w:p w14:paraId="74DAB8BA">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p>
        </w:tc>
        <w:tc>
          <w:tcPr>
            <w:tcW w:w="1267" w:type="dxa"/>
            <w:vMerge w:val="continue"/>
            <w:noWrap/>
            <w:tcMar>
              <w:top w:w="10" w:type="dxa"/>
              <w:left w:w="10" w:type="dxa"/>
              <w:right w:w="10" w:type="dxa"/>
            </w:tcMar>
            <w:vAlign w:val="center"/>
          </w:tcPr>
          <w:p w14:paraId="5D9F31AC">
            <w:pPr>
              <w:keepNext w:val="0"/>
              <w:keepLines w:val="0"/>
              <w:suppressLineNumbers w:val="0"/>
              <w:spacing w:before="0" w:beforeAutospacing="0" w:after="0" w:afterAutospacing="0"/>
              <w:jc w:val="center"/>
              <w:textAlignment w:val="center"/>
              <w:rPr>
                <w:rFonts w:hint="eastAsia" w:ascii="仿宋" w:hAnsi="仿宋" w:eastAsia="仿宋" w:cs="仿宋"/>
                <w:b/>
                <w:bCs/>
                <w:sz w:val="24"/>
              </w:rPr>
            </w:pPr>
          </w:p>
        </w:tc>
        <w:tc>
          <w:tcPr>
            <w:tcW w:w="855" w:type="dxa"/>
            <w:noWrap/>
            <w:tcMar>
              <w:top w:w="10" w:type="dxa"/>
              <w:left w:w="10" w:type="dxa"/>
              <w:right w:w="10" w:type="dxa"/>
            </w:tcMar>
            <w:vAlign w:val="center"/>
          </w:tcPr>
          <w:p w14:paraId="2BEED8CA">
            <w:pPr>
              <w:keepNext w:val="0"/>
              <w:keepLines w:val="0"/>
              <w:suppressLineNumbers w:val="0"/>
              <w:spacing w:before="0" w:beforeAutospacing="0" w:after="0" w:afterAutospacing="0"/>
              <w:jc w:val="center"/>
              <w:textAlignment w:val="center"/>
              <w:rPr>
                <w:rFonts w:hint="eastAsia" w:ascii="仿宋" w:hAnsi="仿宋" w:eastAsia="仿宋" w:cs="仿宋"/>
                <w:b/>
                <w:bCs/>
                <w:sz w:val="24"/>
                <w:lang w:val="en-US" w:eastAsia="zh-CN" w:bidi="ar"/>
              </w:rPr>
            </w:pPr>
            <w:r>
              <w:rPr>
                <w:rFonts w:hint="eastAsia" w:ascii="仿宋" w:hAnsi="仿宋" w:eastAsia="仿宋" w:cs="仿宋"/>
                <w:b/>
                <w:bCs/>
                <w:sz w:val="24"/>
                <w:lang w:val="en-US" w:eastAsia="zh-CN" w:bidi="ar"/>
              </w:rPr>
              <w:t>0-10</w:t>
            </w:r>
          </w:p>
        </w:tc>
        <w:tc>
          <w:tcPr>
            <w:tcW w:w="5712" w:type="dxa"/>
            <w:noWrap/>
            <w:tcMar>
              <w:top w:w="10" w:type="dxa"/>
              <w:left w:w="10" w:type="dxa"/>
              <w:right w:w="10" w:type="dxa"/>
            </w:tcMar>
            <w:vAlign w:val="center"/>
          </w:tcPr>
          <w:p w14:paraId="7AA39565">
            <w:pPr>
              <w:keepNext w:val="0"/>
              <w:keepLines w:val="0"/>
              <w:suppressLineNumbers w:val="0"/>
              <w:spacing w:before="0" w:beforeAutospacing="0" w:after="0" w:afterAutospacing="0" w:line="360" w:lineRule="auto"/>
              <w:jc w:val="left"/>
              <w:textAlignment w:val="center"/>
              <w:rPr>
                <w:rStyle w:val="160"/>
                <w:rFonts w:hint="eastAsia" w:ascii="仿宋" w:hAnsi="仿宋" w:eastAsia="仿宋" w:cs="仿宋"/>
                <w:sz w:val="24"/>
                <w:lang w:val="en-US" w:eastAsia="zh-CN" w:bidi="ar"/>
              </w:rPr>
            </w:pPr>
            <w:r>
              <w:rPr>
                <w:rStyle w:val="160"/>
                <w:rFonts w:hint="eastAsia" w:ascii="仿宋" w:hAnsi="仿宋" w:eastAsia="仿宋" w:cs="仿宋"/>
                <w:sz w:val="24"/>
                <w:lang w:val="en-US" w:eastAsia="zh-CN" w:bidi="ar"/>
              </w:rPr>
              <w:t>团队人员中(负责人除外)具有本科以上学历，每提供一个人得2分，最高10分。提供学历证复印件加盖公章，不提供不得分。</w:t>
            </w:r>
          </w:p>
        </w:tc>
      </w:tr>
      <w:tr w14:paraId="478B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6" w:hRule="atLeast"/>
        </w:trPr>
        <w:tc>
          <w:tcPr>
            <w:tcW w:w="721" w:type="dxa"/>
            <w:vMerge w:val="restart"/>
            <w:noWrap/>
            <w:tcMar>
              <w:top w:w="10" w:type="dxa"/>
              <w:left w:w="10" w:type="dxa"/>
              <w:right w:w="10" w:type="dxa"/>
            </w:tcMar>
            <w:vAlign w:val="center"/>
          </w:tcPr>
          <w:p w14:paraId="79C74305">
            <w:pPr>
              <w:keepNext w:val="0"/>
              <w:keepLines w:val="0"/>
              <w:suppressLineNumbers w:val="0"/>
              <w:spacing w:before="0" w:beforeAutospacing="0" w:after="0" w:afterAutospacing="0"/>
              <w:jc w:val="center"/>
              <w:textAlignment w:val="center"/>
              <w:rPr>
                <w:rFonts w:hint="eastAsia" w:ascii="仿宋" w:hAnsi="仿宋" w:eastAsia="仿宋" w:cs="仿宋"/>
                <w:b/>
                <w:sz w:val="24"/>
                <w:lang w:val="en-US" w:eastAsia="zh-CN" w:bidi="ar"/>
              </w:rPr>
            </w:pPr>
            <w:r>
              <w:rPr>
                <w:rFonts w:hint="eastAsia" w:ascii="仿宋" w:hAnsi="仿宋" w:eastAsia="仿宋" w:cs="仿宋"/>
                <w:b/>
                <w:sz w:val="24"/>
                <w:lang w:val="en-US" w:eastAsia="zh-CN" w:bidi="ar"/>
              </w:rPr>
              <w:t>3</w:t>
            </w:r>
          </w:p>
        </w:tc>
        <w:tc>
          <w:tcPr>
            <w:tcW w:w="1118" w:type="dxa"/>
            <w:vMerge w:val="restart"/>
            <w:noWrap/>
            <w:tcMar>
              <w:top w:w="10" w:type="dxa"/>
              <w:left w:w="10" w:type="dxa"/>
              <w:right w:w="10" w:type="dxa"/>
            </w:tcMar>
            <w:vAlign w:val="center"/>
          </w:tcPr>
          <w:p w14:paraId="04034007">
            <w:pPr>
              <w:keepNext w:val="0"/>
              <w:keepLines w:val="0"/>
              <w:suppressLineNumbers w:val="0"/>
              <w:spacing w:before="0" w:beforeAutospacing="0" w:after="0" w:afterAutospacing="0"/>
              <w:jc w:val="center"/>
              <w:textAlignment w:val="center"/>
              <w:rPr>
                <w:rFonts w:hint="eastAsia" w:ascii="仿宋" w:hAnsi="仿宋" w:eastAsia="仿宋" w:cs="仿宋"/>
                <w:b w:val="0"/>
                <w:bCs/>
                <w:sz w:val="24"/>
                <w:lang w:bidi="ar"/>
              </w:rPr>
            </w:pPr>
            <w:r>
              <w:rPr>
                <w:rFonts w:hint="eastAsia" w:ascii="仿宋" w:hAnsi="仿宋" w:eastAsia="仿宋" w:cs="仿宋"/>
                <w:b/>
                <w:sz w:val="24"/>
                <w:lang w:bidi="ar"/>
              </w:rPr>
              <w:t>技术部分（</w:t>
            </w:r>
            <w:r>
              <w:rPr>
                <w:rFonts w:hint="eastAsia" w:ascii="仿宋" w:hAnsi="仿宋" w:eastAsia="仿宋" w:cs="仿宋"/>
                <w:b/>
                <w:sz w:val="24"/>
                <w:lang w:val="en-US" w:eastAsia="zh-CN" w:bidi="ar"/>
              </w:rPr>
              <w:t>60分</w:t>
            </w:r>
            <w:r>
              <w:rPr>
                <w:rFonts w:hint="eastAsia" w:ascii="仿宋" w:hAnsi="仿宋" w:eastAsia="仿宋" w:cs="仿宋"/>
                <w:b/>
                <w:sz w:val="24"/>
                <w:lang w:bidi="ar"/>
              </w:rPr>
              <w:t>）</w:t>
            </w:r>
          </w:p>
        </w:tc>
        <w:tc>
          <w:tcPr>
            <w:tcW w:w="1267" w:type="dxa"/>
            <w:noWrap/>
            <w:tcMar>
              <w:top w:w="10" w:type="dxa"/>
              <w:left w:w="10" w:type="dxa"/>
              <w:right w:w="10" w:type="dxa"/>
            </w:tcMar>
            <w:vAlign w:val="center"/>
          </w:tcPr>
          <w:p w14:paraId="5757AD1A">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r>
              <w:rPr>
                <w:rFonts w:hint="eastAsia" w:ascii="仿宋" w:hAnsi="仿宋" w:eastAsia="仿宋" w:cs="仿宋"/>
                <w:b/>
                <w:sz w:val="24"/>
                <w:lang w:val="en-US" w:eastAsia="zh-CN" w:bidi="ar"/>
              </w:rPr>
              <w:t>项目实施方案</w:t>
            </w:r>
          </w:p>
        </w:tc>
        <w:tc>
          <w:tcPr>
            <w:tcW w:w="855" w:type="dxa"/>
            <w:noWrap/>
            <w:tcMar>
              <w:top w:w="10" w:type="dxa"/>
              <w:left w:w="10" w:type="dxa"/>
              <w:right w:w="10" w:type="dxa"/>
            </w:tcMar>
            <w:vAlign w:val="center"/>
          </w:tcPr>
          <w:p w14:paraId="6F95FC37">
            <w:pPr>
              <w:keepNext w:val="0"/>
              <w:keepLines w:val="0"/>
              <w:suppressLineNumbers w:val="0"/>
              <w:spacing w:before="0" w:beforeAutospacing="0" w:after="0" w:afterAutospacing="0"/>
              <w:jc w:val="center"/>
              <w:textAlignment w:val="center"/>
              <w:rPr>
                <w:rFonts w:hint="eastAsia" w:ascii="仿宋" w:hAnsi="仿宋" w:eastAsia="仿宋" w:cs="仿宋"/>
                <w:b/>
                <w:sz w:val="24"/>
                <w:lang w:val="en-US" w:eastAsia="zh-CN" w:bidi="ar"/>
              </w:rPr>
            </w:pPr>
            <w:r>
              <w:rPr>
                <w:rFonts w:hint="eastAsia" w:ascii="仿宋" w:hAnsi="仿宋" w:eastAsia="仿宋" w:cs="仿宋"/>
                <w:b/>
                <w:sz w:val="24"/>
                <w:lang w:val="en-US" w:eastAsia="zh-CN" w:bidi="ar"/>
              </w:rPr>
              <w:t>0-16</w:t>
            </w:r>
          </w:p>
        </w:tc>
        <w:tc>
          <w:tcPr>
            <w:tcW w:w="5712" w:type="dxa"/>
            <w:noWrap/>
            <w:tcMar>
              <w:top w:w="10" w:type="dxa"/>
              <w:left w:w="10" w:type="dxa"/>
              <w:right w:w="10" w:type="dxa"/>
            </w:tcMar>
            <w:vAlign w:val="center"/>
          </w:tcPr>
          <w:p w14:paraId="5088A4B4">
            <w:pPr>
              <w:keepNext w:val="0"/>
              <w:keepLines w:val="0"/>
              <w:suppressLineNumbers w:val="0"/>
              <w:spacing w:before="0" w:beforeAutospacing="0" w:after="0" w:afterAutospacing="0" w:line="360" w:lineRule="auto"/>
              <w:jc w:val="left"/>
              <w:textAlignment w:val="center"/>
              <w:rPr>
                <w:rStyle w:val="160"/>
                <w:rFonts w:hint="eastAsia" w:ascii="仿宋" w:hAnsi="仿宋" w:eastAsia="仿宋" w:cs="仿宋"/>
                <w:sz w:val="24"/>
                <w:lang w:val="en-US" w:eastAsia="zh-CN" w:bidi="ar"/>
              </w:rPr>
            </w:pPr>
            <w:r>
              <w:rPr>
                <w:rStyle w:val="160"/>
                <w:rFonts w:hint="eastAsia" w:ascii="仿宋" w:hAnsi="仿宋" w:eastAsia="仿宋" w:cs="仿宋"/>
                <w:sz w:val="24"/>
                <w:lang w:val="en-US" w:eastAsia="zh-CN" w:bidi="ar"/>
              </w:rPr>
              <w:t>本项评分以投标人提交的项目组织实施方案为依据，从科学性、合理性、规范性和可操作性进行综合评定，</w:t>
            </w:r>
            <w:r>
              <w:rPr>
                <w:rStyle w:val="160"/>
                <w:rFonts w:hint="eastAsia" w:ascii="仿宋" w:hAnsi="仿宋" w:eastAsia="仿宋" w:cs="仿宋"/>
                <w:sz w:val="24"/>
                <w:lang w:val="en-US" w:eastAsia="en-US" w:bidi="ar"/>
              </w:rPr>
              <w:t>总分</w:t>
            </w:r>
            <w:r>
              <w:rPr>
                <w:rStyle w:val="160"/>
                <w:rFonts w:hint="eastAsia" w:ascii="仿宋" w:hAnsi="仿宋" w:eastAsia="仿宋" w:cs="仿宋"/>
                <w:sz w:val="24"/>
                <w:lang w:val="en-US" w:eastAsia="zh-CN" w:bidi="ar"/>
              </w:rPr>
              <w:t>16</w:t>
            </w:r>
            <w:r>
              <w:rPr>
                <w:rStyle w:val="160"/>
                <w:rFonts w:hint="eastAsia" w:ascii="仿宋" w:hAnsi="仿宋" w:eastAsia="仿宋" w:cs="仿宋"/>
                <w:sz w:val="24"/>
                <w:lang w:val="en-US" w:eastAsia="en-US" w:bidi="ar"/>
              </w:rPr>
              <w:t>分，方案需完整涵盖：</w:t>
            </w:r>
            <w:r>
              <w:rPr>
                <w:rStyle w:val="160"/>
                <w:rFonts w:hint="eastAsia" w:ascii="仿宋" w:hAnsi="仿宋" w:eastAsia="仿宋" w:cs="仿宋"/>
                <w:sz w:val="24"/>
                <w:lang w:val="en-US" w:eastAsia="zh-CN" w:bidi="ar"/>
              </w:rPr>
              <w:t>①选址建议；②主题活动规划；③轮值排期表；④建设周期规划。</w:t>
            </w:r>
          </w:p>
          <w:p w14:paraId="54E3F63B">
            <w:pPr>
              <w:keepNext w:val="0"/>
              <w:keepLines w:val="0"/>
              <w:suppressLineNumbers w:val="0"/>
              <w:spacing w:before="0" w:beforeAutospacing="0" w:after="0" w:afterAutospacing="0" w:line="276" w:lineRule="auto"/>
              <w:jc w:val="left"/>
              <w:rPr>
                <w:rStyle w:val="160"/>
                <w:rFonts w:hint="eastAsia" w:ascii="仿宋" w:hAnsi="仿宋" w:eastAsia="仿宋" w:cs="仿宋"/>
                <w:sz w:val="24"/>
                <w:lang w:val="en-US" w:eastAsia="zh-CN" w:bidi="ar"/>
              </w:rPr>
            </w:pPr>
            <w:r>
              <w:rPr>
                <w:rStyle w:val="160"/>
                <w:rFonts w:hint="eastAsia" w:ascii="仿宋" w:hAnsi="仿宋" w:eastAsia="仿宋" w:cs="仿宋"/>
                <w:sz w:val="24"/>
                <w:lang w:val="en-US" w:eastAsia="zh-CN" w:bidi="ar"/>
              </w:rPr>
              <w:t>以上4项内容无缺陷、内容齐全的得16分；每缺少一项方案内容扣4分；每一项方案内容存在缺陷的扣2分；未提供方案的，此项不得分。</w:t>
            </w:r>
          </w:p>
          <w:p w14:paraId="4E8565E9">
            <w:pPr>
              <w:keepNext w:val="0"/>
              <w:keepLines w:val="0"/>
              <w:suppressLineNumbers w:val="0"/>
              <w:spacing w:before="0" w:beforeAutospacing="0" w:after="0" w:afterAutospacing="0" w:line="276" w:lineRule="auto"/>
              <w:jc w:val="left"/>
              <w:rPr>
                <w:rStyle w:val="160"/>
                <w:rFonts w:hint="eastAsia" w:ascii="仿宋" w:hAnsi="仿宋" w:eastAsia="仿宋" w:cs="仿宋"/>
                <w:sz w:val="24"/>
                <w:lang w:bidi="ar"/>
              </w:rPr>
            </w:pPr>
            <w:r>
              <w:rPr>
                <w:rFonts w:hint="eastAsia" w:ascii="仿宋" w:hAnsi="仿宋" w:eastAsia="仿宋" w:cs="仿宋"/>
                <w:sz w:val="24"/>
                <w:szCs w:val="24"/>
              </w:rPr>
              <w:t>(缺陷是指:存在不适用该项目实际情况的情形、内容过于简单、凭空编造、内容前后不一致、前后逻辑错误、地点区域错误、内容缺失、无针对性、</w:t>
            </w:r>
            <w:r>
              <w:rPr>
                <w:rFonts w:hint="eastAsia" w:ascii="仿宋" w:hAnsi="仿宋" w:eastAsia="仿宋" w:cs="仿宋"/>
                <w:sz w:val="24"/>
                <w:szCs w:val="24"/>
                <w:lang w:val="en-US" w:eastAsia="zh-CN"/>
              </w:rPr>
              <w:t>内容</w:t>
            </w:r>
            <w:r>
              <w:rPr>
                <w:rFonts w:hint="eastAsia" w:ascii="仿宋" w:hAnsi="仿宋" w:eastAsia="仿宋" w:cs="仿宋"/>
                <w:sz w:val="24"/>
                <w:szCs w:val="24"/>
              </w:rPr>
              <w:t>简单</w:t>
            </w:r>
            <w:r>
              <w:rPr>
                <w:rFonts w:hint="eastAsia" w:ascii="仿宋" w:hAnsi="仿宋" w:eastAsia="仿宋" w:cs="仿宋"/>
                <w:sz w:val="24"/>
                <w:szCs w:val="24"/>
                <w:lang w:val="en-US" w:eastAsia="zh-CN"/>
              </w:rPr>
              <w:t>不完善</w:t>
            </w:r>
            <w:r>
              <w:rPr>
                <w:rFonts w:hint="eastAsia" w:ascii="仿宋" w:hAnsi="仿宋" w:eastAsia="仿宋" w:cs="仿宋"/>
                <w:sz w:val="24"/>
                <w:szCs w:val="24"/>
              </w:rPr>
              <w:t>等)。</w:t>
            </w:r>
          </w:p>
        </w:tc>
      </w:tr>
      <w:tr w14:paraId="3EEE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 w:hRule="atLeast"/>
        </w:trPr>
        <w:tc>
          <w:tcPr>
            <w:tcW w:w="721" w:type="dxa"/>
            <w:vMerge w:val="continue"/>
            <w:noWrap/>
            <w:tcMar>
              <w:top w:w="10" w:type="dxa"/>
              <w:left w:w="10" w:type="dxa"/>
              <w:right w:w="10" w:type="dxa"/>
            </w:tcMar>
            <w:vAlign w:val="center"/>
          </w:tcPr>
          <w:p w14:paraId="50785491">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p>
        </w:tc>
        <w:tc>
          <w:tcPr>
            <w:tcW w:w="1118" w:type="dxa"/>
            <w:vMerge w:val="continue"/>
            <w:noWrap/>
            <w:tcMar>
              <w:top w:w="10" w:type="dxa"/>
              <w:left w:w="10" w:type="dxa"/>
              <w:right w:w="10" w:type="dxa"/>
            </w:tcMar>
            <w:vAlign w:val="center"/>
          </w:tcPr>
          <w:p w14:paraId="62AC9790">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p>
        </w:tc>
        <w:tc>
          <w:tcPr>
            <w:tcW w:w="1267" w:type="dxa"/>
            <w:noWrap/>
            <w:tcMar>
              <w:top w:w="10" w:type="dxa"/>
              <w:left w:w="10" w:type="dxa"/>
              <w:right w:w="10" w:type="dxa"/>
            </w:tcMar>
            <w:vAlign w:val="center"/>
          </w:tcPr>
          <w:p w14:paraId="123F5D9C">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r>
              <w:rPr>
                <w:rFonts w:hint="eastAsia" w:ascii="仿宋" w:hAnsi="仿宋" w:eastAsia="仿宋" w:cs="仿宋"/>
                <w:b/>
                <w:sz w:val="24"/>
                <w:lang w:bidi="ar"/>
              </w:rPr>
              <w:t>场景设计</w:t>
            </w:r>
          </w:p>
        </w:tc>
        <w:tc>
          <w:tcPr>
            <w:tcW w:w="855" w:type="dxa"/>
            <w:noWrap/>
            <w:tcMar>
              <w:top w:w="10" w:type="dxa"/>
              <w:left w:w="10" w:type="dxa"/>
              <w:right w:w="10" w:type="dxa"/>
            </w:tcMar>
            <w:vAlign w:val="center"/>
          </w:tcPr>
          <w:p w14:paraId="23F6EB89">
            <w:pPr>
              <w:keepNext w:val="0"/>
              <w:keepLines w:val="0"/>
              <w:widowControl/>
              <w:suppressLineNumbers w:val="0"/>
              <w:spacing w:before="0" w:beforeAutospacing="0" w:after="0" w:afterAutospacing="0" w:line="360" w:lineRule="auto"/>
              <w:jc w:val="center"/>
              <w:rPr>
                <w:rStyle w:val="160"/>
                <w:rFonts w:hint="eastAsia" w:ascii="仿宋" w:hAnsi="仿宋" w:eastAsia="仿宋" w:cs="仿宋"/>
                <w:b/>
                <w:bCs/>
                <w:sz w:val="24"/>
                <w:lang w:val="en-US" w:eastAsia="zh-CN" w:bidi="ar"/>
              </w:rPr>
            </w:pPr>
            <w:r>
              <w:rPr>
                <w:rStyle w:val="160"/>
                <w:rFonts w:hint="eastAsia" w:ascii="仿宋" w:hAnsi="仿宋" w:eastAsia="仿宋" w:cs="仿宋"/>
                <w:b/>
                <w:bCs/>
                <w:sz w:val="24"/>
                <w:lang w:val="en-US" w:eastAsia="en-US" w:bidi="ar"/>
              </w:rPr>
              <w:t>0-</w:t>
            </w:r>
            <w:r>
              <w:rPr>
                <w:rStyle w:val="160"/>
                <w:rFonts w:hint="eastAsia" w:ascii="仿宋" w:hAnsi="仿宋" w:eastAsia="仿宋" w:cs="仿宋"/>
                <w:b/>
                <w:bCs/>
                <w:sz w:val="24"/>
                <w:lang w:val="en-US" w:eastAsia="zh-CN" w:bidi="ar"/>
              </w:rPr>
              <w:t>15</w:t>
            </w:r>
          </w:p>
        </w:tc>
        <w:tc>
          <w:tcPr>
            <w:tcW w:w="5712" w:type="dxa"/>
            <w:noWrap/>
            <w:tcMar>
              <w:top w:w="10" w:type="dxa"/>
              <w:left w:w="10" w:type="dxa"/>
              <w:right w:w="10" w:type="dxa"/>
            </w:tcMar>
            <w:vAlign w:val="center"/>
          </w:tcPr>
          <w:p w14:paraId="4D532A40">
            <w:pPr>
              <w:keepNext w:val="0"/>
              <w:keepLines w:val="0"/>
              <w:widowControl/>
              <w:suppressLineNumbers w:val="0"/>
              <w:spacing w:before="0" w:beforeAutospacing="0" w:after="0" w:afterAutospacing="0" w:line="360" w:lineRule="auto"/>
              <w:jc w:val="left"/>
              <w:rPr>
                <w:rStyle w:val="160"/>
                <w:rFonts w:hint="eastAsia" w:ascii="仿宋" w:hAnsi="仿宋" w:eastAsia="仿宋" w:cs="仿宋"/>
                <w:sz w:val="24"/>
                <w:lang w:val="en-US" w:eastAsia="zh-CN" w:bidi="ar"/>
              </w:rPr>
            </w:pPr>
            <w:r>
              <w:rPr>
                <w:rStyle w:val="160"/>
                <w:rFonts w:hint="eastAsia" w:ascii="仿宋" w:hAnsi="仿宋" w:eastAsia="仿宋" w:cs="仿宋"/>
                <w:sz w:val="24"/>
                <w:lang w:val="en-US" w:eastAsia="en-US" w:bidi="ar"/>
              </w:rPr>
              <w:t>本项评分针对供应商依据项目采购需求提交的</w:t>
            </w:r>
            <w:r>
              <w:rPr>
                <w:rStyle w:val="160"/>
                <w:rFonts w:hint="eastAsia" w:ascii="仿宋" w:hAnsi="仿宋" w:eastAsia="仿宋" w:cs="仿宋"/>
                <w:sz w:val="24"/>
                <w:lang w:val="en-US" w:eastAsia="zh-CN" w:bidi="ar"/>
              </w:rPr>
              <w:t>地铁客厅</w:t>
            </w:r>
            <w:r>
              <w:rPr>
                <w:rStyle w:val="160"/>
                <w:rFonts w:hint="eastAsia" w:ascii="仿宋" w:hAnsi="仿宋" w:eastAsia="仿宋" w:cs="仿宋"/>
                <w:sz w:val="24"/>
                <w:lang w:val="en-US" w:eastAsia="en-US" w:bidi="ar"/>
              </w:rPr>
              <w:t>设计方案及效果图，总分</w:t>
            </w:r>
            <w:r>
              <w:rPr>
                <w:rStyle w:val="160"/>
                <w:rFonts w:hint="eastAsia" w:ascii="仿宋" w:hAnsi="仿宋" w:eastAsia="仿宋" w:cs="仿宋"/>
                <w:sz w:val="24"/>
                <w:lang w:val="en-US" w:eastAsia="zh-CN" w:bidi="ar"/>
              </w:rPr>
              <w:t>15</w:t>
            </w:r>
            <w:r>
              <w:rPr>
                <w:rStyle w:val="160"/>
                <w:rFonts w:hint="eastAsia" w:ascii="仿宋" w:hAnsi="仿宋" w:eastAsia="仿宋" w:cs="仿宋"/>
                <w:sz w:val="24"/>
                <w:lang w:val="en-US" w:eastAsia="en-US" w:bidi="ar"/>
              </w:rPr>
              <w:t>分，依据方案完整性与适配性进行评定。方案需深度契合项目实际需求，完整覆盖核心设计要素</w:t>
            </w:r>
            <w:r>
              <w:rPr>
                <w:rStyle w:val="160"/>
                <w:rFonts w:hint="eastAsia" w:ascii="仿宋" w:hAnsi="仿宋" w:eastAsia="仿宋" w:cs="仿宋"/>
                <w:sz w:val="24"/>
                <w:lang w:val="en-US" w:eastAsia="zh-CN" w:bidi="ar"/>
              </w:rPr>
              <w:t>：</w:t>
            </w:r>
            <w:r>
              <w:rPr>
                <w:rStyle w:val="160"/>
                <w:rFonts w:hint="eastAsia" w:ascii="仿宋" w:hAnsi="仿宋" w:eastAsia="仿宋" w:cs="仿宋"/>
                <w:sz w:val="24"/>
                <w:lang w:val="en-US" w:eastAsia="en-US" w:bidi="ar"/>
              </w:rPr>
              <w:t>①方案主题</w:t>
            </w:r>
            <w:r>
              <w:rPr>
                <w:rStyle w:val="160"/>
                <w:rFonts w:hint="eastAsia" w:ascii="仿宋" w:hAnsi="仿宋" w:eastAsia="仿宋" w:cs="仿宋"/>
                <w:sz w:val="24"/>
                <w:lang w:val="en-US" w:eastAsia="zh-CN" w:bidi="ar"/>
              </w:rPr>
              <w:t>；</w:t>
            </w:r>
            <w:r>
              <w:rPr>
                <w:rStyle w:val="160"/>
                <w:rFonts w:hint="eastAsia" w:ascii="仿宋" w:hAnsi="仿宋" w:eastAsia="仿宋" w:cs="仿宋"/>
                <w:sz w:val="24"/>
                <w:lang w:val="en-US" w:eastAsia="en-US" w:bidi="ar"/>
              </w:rPr>
              <w:t>②设计思路</w:t>
            </w:r>
            <w:r>
              <w:rPr>
                <w:rStyle w:val="160"/>
                <w:rFonts w:hint="eastAsia" w:ascii="仿宋" w:hAnsi="仿宋" w:eastAsia="仿宋" w:cs="仿宋"/>
                <w:sz w:val="24"/>
                <w:lang w:val="en-US" w:eastAsia="zh-CN" w:bidi="ar"/>
              </w:rPr>
              <w:t>；</w:t>
            </w:r>
            <w:r>
              <w:rPr>
                <w:rStyle w:val="160"/>
                <w:rFonts w:hint="eastAsia" w:ascii="仿宋" w:hAnsi="仿宋" w:eastAsia="仿宋" w:cs="仿宋"/>
                <w:sz w:val="24"/>
                <w:lang w:val="en-US" w:eastAsia="en-US" w:bidi="ar"/>
              </w:rPr>
              <w:t>③场地布局</w:t>
            </w:r>
            <w:r>
              <w:rPr>
                <w:rStyle w:val="160"/>
                <w:rFonts w:hint="eastAsia" w:ascii="仿宋" w:hAnsi="仿宋" w:eastAsia="仿宋" w:cs="仿宋"/>
                <w:sz w:val="24"/>
                <w:lang w:val="en-US" w:eastAsia="zh-CN" w:bidi="ar"/>
              </w:rPr>
              <w:t>；</w:t>
            </w:r>
            <w:r>
              <w:rPr>
                <w:rStyle w:val="160"/>
                <w:rFonts w:hint="eastAsia" w:ascii="仿宋" w:hAnsi="仿宋" w:eastAsia="仿宋" w:cs="仿宋"/>
                <w:sz w:val="24"/>
                <w:lang w:val="en-US" w:eastAsia="en-US" w:bidi="ar"/>
              </w:rPr>
              <w:t>④</w:t>
            </w:r>
            <w:r>
              <w:rPr>
                <w:rStyle w:val="160"/>
                <w:rFonts w:hint="eastAsia" w:ascii="仿宋" w:hAnsi="仿宋" w:eastAsia="仿宋" w:cs="仿宋"/>
                <w:sz w:val="24"/>
                <w:lang w:val="en-US" w:eastAsia="zh-CN" w:bidi="ar"/>
              </w:rPr>
              <w:t>功能规划；</w:t>
            </w:r>
            <w:r>
              <w:rPr>
                <w:rStyle w:val="160"/>
                <w:rFonts w:hint="eastAsia" w:ascii="仿宋" w:hAnsi="仿宋" w:eastAsia="仿宋" w:cs="仿宋"/>
                <w:sz w:val="24"/>
                <w:lang w:val="en-US" w:eastAsia="en-US" w:bidi="ar"/>
              </w:rPr>
              <w:t>⑤</w:t>
            </w:r>
            <w:r>
              <w:rPr>
                <w:rStyle w:val="160"/>
                <w:rFonts w:hint="eastAsia" w:ascii="仿宋" w:hAnsi="仿宋" w:eastAsia="仿宋" w:cs="仿宋"/>
                <w:sz w:val="24"/>
                <w:lang w:val="en-US" w:eastAsia="zh-CN" w:bidi="ar"/>
              </w:rPr>
              <w:t>设计效果图。</w:t>
            </w:r>
          </w:p>
          <w:p w14:paraId="19CA2D2A">
            <w:pPr>
              <w:keepNext w:val="0"/>
              <w:keepLines w:val="0"/>
              <w:suppressLineNumbers w:val="0"/>
              <w:spacing w:before="0" w:beforeAutospacing="0" w:after="0" w:afterAutospacing="0" w:line="276" w:lineRule="auto"/>
              <w:jc w:val="left"/>
              <w:rPr>
                <w:rStyle w:val="160"/>
                <w:rFonts w:hint="eastAsia" w:ascii="仿宋" w:hAnsi="仿宋" w:eastAsia="仿宋" w:cs="仿宋"/>
                <w:sz w:val="24"/>
                <w:lang w:val="en-US" w:eastAsia="zh-CN" w:bidi="ar"/>
              </w:rPr>
            </w:pPr>
            <w:r>
              <w:rPr>
                <w:rStyle w:val="160"/>
                <w:rFonts w:hint="eastAsia" w:ascii="仿宋" w:hAnsi="仿宋" w:eastAsia="仿宋" w:cs="仿宋"/>
                <w:sz w:val="24"/>
                <w:lang w:val="en-US" w:eastAsia="zh-CN" w:bidi="ar"/>
              </w:rPr>
              <w:t>以上5项内容无缺陷、内容齐全的得15分；每缺少一项方案内容扣3分；每一项方案内容存在缺陷的扣2分；未提供方案的，此项不得分。</w:t>
            </w:r>
          </w:p>
          <w:p w14:paraId="0E209935">
            <w:pPr>
              <w:keepNext w:val="0"/>
              <w:keepLines w:val="0"/>
              <w:suppressLineNumbers w:val="0"/>
              <w:spacing w:before="0" w:beforeAutospacing="0" w:after="0" w:afterAutospacing="0" w:line="276" w:lineRule="auto"/>
              <w:jc w:val="left"/>
              <w:rPr>
                <w:rStyle w:val="160"/>
                <w:rFonts w:hint="eastAsia" w:ascii="仿宋" w:hAnsi="仿宋" w:eastAsia="仿宋" w:cs="仿宋"/>
                <w:sz w:val="24"/>
                <w:lang w:val="en-US" w:eastAsia="en-US" w:bidi="ar"/>
              </w:rPr>
            </w:pPr>
            <w:r>
              <w:rPr>
                <w:rFonts w:hint="eastAsia" w:ascii="仿宋" w:hAnsi="仿宋" w:eastAsia="仿宋" w:cs="仿宋"/>
                <w:sz w:val="24"/>
                <w:szCs w:val="24"/>
              </w:rPr>
              <w:t>(缺陷是指:存在不适用该项目实际情况的情形、内容过于简单、凭空编造、内容前后不一致、前后逻辑错误、地点区域错误、内容缺失、无针对性、</w:t>
            </w:r>
            <w:r>
              <w:rPr>
                <w:rFonts w:hint="eastAsia" w:ascii="仿宋" w:hAnsi="仿宋" w:eastAsia="仿宋" w:cs="仿宋"/>
                <w:sz w:val="24"/>
                <w:szCs w:val="24"/>
                <w:lang w:val="en-US" w:eastAsia="zh-CN"/>
              </w:rPr>
              <w:t>内容</w:t>
            </w:r>
            <w:r>
              <w:rPr>
                <w:rFonts w:hint="eastAsia" w:ascii="仿宋" w:hAnsi="仿宋" w:eastAsia="仿宋" w:cs="仿宋"/>
                <w:sz w:val="24"/>
                <w:szCs w:val="24"/>
              </w:rPr>
              <w:t>简单</w:t>
            </w:r>
            <w:r>
              <w:rPr>
                <w:rFonts w:hint="eastAsia" w:ascii="仿宋" w:hAnsi="仿宋" w:eastAsia="仿宋" w:cs="仿宋"/>
                <w:sz w:val="24"/>
                <w:szCs w:val="24"/>
                <w:lang w:val="en-US" w:eastAsia="zh-CN"/>
              </w:rPr>
              <w:t>不完善</w:t>
            </w:r>
            <w:r>
              <w:rPr>
                <w:rFonts w:hint="eastAsia" w:ascii="仿宋" w:hAnsi="仿宋" w:eastAsia="仿宋" w:cs="仿宋"/>
                <w:sz w:val="24"/>
                <w:szCs w:val="24"/>
              </w:rPr>
              <w:t>等)。</w:t>
            </w:r>
          </w:p>
        </w:tc>
      </w:tr>
      <w:tr w14:paraId="7399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3" w:hRule="atLeast"/>
        </w:trPr>
        <w:tc>
          <w:tcPr>
            <w:tcW w:w="721" w:type="dxa"/>
            <w:vMerge w:val="continue"/>
            <w:noWrap/>
            <w:tcMar>
              <w:top w:w="10" w:type="dxa"/>
              <w:left w:w="10" w:type="dxa"/>
              <w:right w:w="10" w:type="dxa"/>
            </w:tcMar>
            <w:vAlign w:val="center"/>
          </w:tcPr>
          <w:p w14:paraId="5E7726A6">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p>
        </w:tc>
        <w:tc>
          <w:tcPr>
            <w:tcW w:w="1118" w:type="dxa"/>
            <w:vMerge w:val="continue"/>
            <w:noWrap/>
            <w:tcMar>
              <w:top w:w="10" w:type="dxa"/>
              <w:left w:w="10" w:type="dxa"/>
              <w:right w:w="10" w:type="dxa"/>
            </w:tcMar>
            <w:vAlign w:val="center"/>
          </w:tcPr>
          <w:p w14:paraId="1C1292B6">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p>
        </w:tc>
        <w:tc>
          <w:tcPr>
            <w:tcW w:w="1267" w:type="dxa"/>
            <w:noWrap/>
            <w:tcMar>
              <w:top w:w="10" w:type="dxa"/>
              <w:left w:w="10" w:type="dxa"/>
              <w:right w:w="10" w:type="dxa"/>
            </w:tcMar>
            <w:vAlign w:val="center"/>
          </w:tcPr>
          <w:p w14:paraId="0F9312E2">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r>
              <w:rPr>
                <w:rFonts w:hint="eastAsia" w:ascii="仿宋" w:hAnsi="仿宋" w:eastAsia="仿宋" w:cs="仿宋"/>
                <w:b/>
                <w:sz w:val="24"/>
                <w:lang w:bidi="ar"/>
              </w:rPr>
              <w:t>商贸运营方案</w:t>
            </w:r>
          </w:p>
        </w:tc>
        <w:tc>
          <w:tcPr>
            <w:tcW w:w="855" w:type="dxa"/>
            <w:noWrap/>
            <w:tcMar>
              <w:top w:w="10" w:type="dxa"/>
              <w:left w:w="10" w:type="dxa"/>
              <w:right w:w="10" w:type="dxa"/>
            </w:tcMar>
            <w:vAlign w:val="center"/>
          </w:tcPr>
          <w:p w14:paraId="18481583">
            <w:pPr>
              <w:keepNext w:val="0"/>
              <w:keepLines w:val="0"/>
              <w:suppressLineNumbers w:val="0"/>
              <w:spacing w:before="0" w:beforeAutospacing="0" w:after="0" w:afterAutospacing="0"/>
              <w:jc w:val="center"/>
              <w:textAlignment w:val="center"/>
              <w:rPr>
                <w:rStyle w:val="160"/>
                <w:rFonts w:hint="eastAsia" w:ascii="仿宋" w:hAnsi="仿宋" w:eastAsia="仿宋" w:cs="仿宋"/>
                <w:sz w:val="24"/>
                <w:lang w:val="en-US" w:eastAsia="zh-CN" w:bidi="ar"/>
              </w:rPr>
            </w:pPr>
            <w:r>
              <w:rPr>
                <w:rStyle w:val="160"/>
                <w:rFonts w:hint="eastAsia" w:ascii="仿宋" w:hAnsi="仿宋" w:eastAsia="仿宋" w:cs="仿宋"/>
                <w:b/>
                <w:bCs/>
                <w:sz w:val="24"/>
                <w:lang w:val="en-US" w:eastAsia="en-US" w:bidi="ar"/>
              </w:rPr>
              <w:t>0-</w:t>
            </w:r>
            <w:r>
              <w:rPr>
                <w:rStyle w:val="160"/>
                <w:rFonts w:hint="eastAsia" w:ascii="仿宋" w:hAnsi="仿宋" w:eastAsia="仿宋" w:cs="仿宋"/>
                <w:b/>
                <w:bCs/>
                <w:sz w:val="24"/>
                <w:lang w:val="en-US" w:eastAsia="zh-CN" w:bidi="ar"/>
              </w:rPr>
              <w:t>9</w:t>
            </w:r>
          </w:p>
        </w:tc>
        <w:tc>
          <w:tcPr>
            <w:tcW w:w="5712" w:type="dxa"/>
            <w:noWrap/>
            <w:tcMar>
              <w:top w:w="10" w:type="dxa"/>
              <w:left w:w="10" w:type="dxa"/>
              <w:right w:w="10" w:type="dxa"/>
            </w:tcMar>
            <w:vAlign w:val="center"/>
          </w:tcPr>
          <w:p w14:paraId="33EFB471">
            <w:pPr>
              <w:keepNext w:val="0"/>
              <w:keepLines w:val="0"/>
              <w:widowControl/>
              <w:suppressLineNumbers w:val="0"/>
              <w:spacing w:before="0" w:beforeAutospacing="0" w:after="0" w:afterAutospacing="0" w:line="360" w:lineRule="auto"/>
              <w:jc w:val="left"/>
              <w:rPr>
                <w:rStyle w:val="160"/>
                <w:rFonts w:hint="eastAsia" w:ascii="仿宋" w:hAnsi="仿宋" w:eastAsia="仿宋" w:cs="仿宋"/>
                <w:sz w:val="24"/>
                <w:lang w:val="en-US" w:eastAsia="zh-CN" w:bidi="ar"/>
              </w:rPr>
            </w:pPr>
            <w:r>
              <w:rPr>
                <w:rStyle w:val="160"/>
                <w:rFonts w:hint="eastAsia" w:ascii="仿宋" w:hAnsi="仿宋" w:eastAsia="仿宋" w:cs="仿宋"/>
                <w:sz w:val="24"/>
                <w:lang w:bidi="ar"/>
              </w:rPr>
              <w:t>运营方案需包括：①地方特产运营思路</w:t>
            </w:r>
            <w:r>
              <w:rPr>
                <w:rStyle w:val="160"/>
                <w:rFonts w:hint="eastAsia" w:ascii="仿宋" w:hAnsi="仿宋" w:eastAsia="仿宋" w:cs="仿宋"/>
                <w:sz w:val="24"/>
                <w:lang w:eastAsia="zh-CN" w:bidi="ar"/>
              </w:rPr>
              <w:t>；</w:t>
            </w:r>
            <w:r>
              <w:rPr>
                <w:rStyle w:val="160"/>
                <w:rFonts w:hint="eastAsia" w:ascii="仿宋" w:hAnsi="仿宋" w:eastAsia="仿宋" w:cs="仿宋"/>
                <w:sz w:val="24"/>
                <w:lang w:bidi="ar"/>
              </w:rPr>
              <w:t>②销售渠道拓展思路</w:t>
            </w:r>
            <w:r>
              <w:rPr>
                <w:rStyle w:val="160"/>
                <w:rFonts w:hint="eastAsia" w:ascii="仿宋" w:hAnsi="仿宋" w:eastAsia="仿宋" w:cs="仿宋"/>
                <w:sz w:val="24"/>
                <w:lang w:eastAsia="zh-CN" w:bidi="ar"/>
              </w:rPr>
              <w:t>；</w:t>
            </w:r>
            <w:r>
              <w:rPr>
                <w:rStyle w:val="160"/>
                <w:rFonts w:hint="eastAsia" w:ascii="仿宋" w:hAnsi="仿宋" w:eastAsia="仿宋" w:cs="仿宋"/>
                <w:sz w:val="24"/>
                <w:lang w:bidi="ar"/>
              </w:rPr>
              <w:t>③产品包装运营方案</w:t>
            </w:r>
            <w:r>
              <w:rPr>
                <w:rStyle w:val="160"/>
                <w:rFonts w:hint="eastAsia" w:ascii="仿宋" w:hAnsi="仿宋" w:eastAsia="仿宋" w:cs="仿宋"/>
                <w:sz w:val="24"/>
                <w:lang w:eastAsia="zh-CN" w:bidi="ar"/>
              </w:rPr>
              <w:t>。</w:t>
            </w:r>
          </w:p>
          <w:p w14:paraId="6F4F21AF">
            <w:pPr>
              <w:keepNext w:val="0"/>
              <w:keepLines w:val="0"/>
              <w:widowControl/>
              <w:suppressLineNumbers w:val="0"/>
              <w:spacing w:before="0" w:beforeAutospacing="0" w:after="0" w:afterAutospacing="0" w:line="360" w:lineRule="auto"/>
              <w:jc w:val="left"/>
              <w:rPr>
                <w:rStyle w:val="160"/>
                <w:rFonts w:hint="eastAsia" w:ascii="仿宋" w:hAnsi="仿宋" w:eastAsia="仿宋" w:cs="仿宋"/>
                <w:sz w:val="24"/>
                <w:lang w:bidi="ar"/>
              </w:rPr>
            </w:pPr>
            <w:r>
              <w:rPr>
                <w:rStyle w:val="160"/>
                <w:rFonts w:hint="eastAsia" w:ascii="仿宋" w:hAnsi="仿宋" w:eastAsia="仿宋" w:cs="仿宋"/>
                <w:sz w:val="24"/>
                <w:lang w:val="en-US" w:eastAsia="zh-CN" w:bidi="ar"/>
              </w:rPr>
              <w:t>以上3</w:t>
            </w:r>
            <w:r>
              <w:rPr>
                <w:rStyle w:val="160"/>
                <w:rFonts w:hint="eastAsia" w:ascii="仿宋" w:hAnsi="仿宋" w:eastAsia="仿宋" w:cs="仿宋"/>
                <w:sz w:val="24"/>
                <w:lang w:bidi="ar"/>
              </w:rPr>
              <w:t>项内容无缺陷、内容齐全的得</w:t>
            </w:r>
            <w:r>
              <w:rPr>
                <w:rStyle w:val="160"/>
                <w:rFonts w:hint="eastAsia" w:ascii="仿宋" w:hAnsi="仿宋" w:eastAsia="仿宋" w:cs="仿宋"/>
                <w:sz w:val="24"/>
                <w:lang w:val="en-US" w:eastAsia="zh-CN" w:bidi="ar"/>
              </w:rPr>
              <w:t>9</w:t>
            </w:r>
            <w:r>
              <w:rPr>
                <w:rStyle w:val="160"/>
                <w:rFonts w:hint="eastAsia" w:ascii="仿宋" w:hAnsi="仿宋" w:eastAsia="仿宋" w:cs="仿宋"/>
                <w:sz w:val="24"/>
                <w:lang w:bidi="ar"/>
              </w:rPr>
              <w:t>分；每缺少一项方案内容扣</w:t>
            </w:r>
            <w:r>
              <w:rPr>
                <w:rStyle w:val="160"/>
                <w:rFonts w:hint="eastAsia" w:ascii="仿宋" w:hAnsi="仿宋" w:eastAsia="仿宋" w:cs="仿宋"/>
                <w:sz w:val="24"/>
                <w:lang w:val="en-US" w:eastAsia="zh-CN" w:bidi="ar"/>
              </w:rPr>
              <w:t>3</w:t>
            </w:r>
            <w:r>
              <w:rPr>
                <w:rStyle w:val="160"/>
                <w:rFonts w:hint="eastAsia" w:ascii="仿宋" w:hAnsi="仿宋" w:eastAsia="仿宋" w:cs="仿宋"/>
                <w:sz w:val="24"/>
                <w:lang w:bidi="ar"/>
              </w:rPr>
              <w:t>分；每一项方案内容存在缺陷的扣2分；未提供方案的，此项不得分。</w:t>
            </w:r>
          </w:p>
          <w:p w14:paraId="2BF31664">
            <w:pPr>
              <w:keepNext w:val="0"/>
              <w:keepLines w:val="0"/>
              <w:suppressLineNumbers w:val="0"/>
              <w:spacing w:before="0" w:beforeAutospacing="0" w:after="0" w:afterAutospacing="0" w:line="276" w:lineRule="auto"/>
              <w:jc w:val="left"/>
              <w:rPr>
                <w:rStyle w:val="160"/>
                <w:rFonts w:hint="eastAsia" w:ascii="仿宋" w:hAnsi="仿宋" w:eastAsia="仿宋" w:cs="仿宋"/>
                <w:sz w:val="24"/>
                <w:lang w:bidi="ar"/>
              </w:rPr>
            </w:pPr>
            <w:r>
              <w:rPr>
                <w:rFonts w:hint="eastAsia" w:ascii="仿宋" w:hAnsi="仿宋" w:eastAsia="仿宋" w:cs="仿宋"/>
                <w:sz w:val="24"/>
                <w:szCs w:val="24"/>
              </w:rPr>
              <w:t>(缺陷是指:存在不适用该项目实际情况的情形、内容过于简单、凭空编造、内容前后不一致、前后逻辑错误、地点区域错误、内容缺失、无针对性、</w:t>
            </w:r>
            <w:r>
              <w:rPr>
                <w:rFonts w:hint="eastAsia" w:ascii="仿宋" w:hAnsi="仿宋" w:eastAsia="仿宋" w:cs="仿宋"/>
                <w:sz w:val="24"/>
                <w:szCs w:val="24"/>
                <w:lang w:val="en-US" w:eastAsia="zh-CN"/>
              </w:rPr>
              <w:t>内容</w:t>
            </w:r>
            <w:r>
              <w:rPr>
                <w:rFonts w:hint="eastAsia" w:ascii="仿宋" w:hAnsi="仿宋" w:eastAsia="仿宋" w:cs="仿宋"/>
                <w:sz w:val="24"/>
                <w:szCs w:val="24"/>
              </w:rPr>
              <w:t>简单</w:t>
            </w:r>
            <w:r>
              <w:rPr>
                <w:rFonts w:hint="eastAsia" w:ascii="仿宋" w:hAnsi="仿宋" w:eastAsia="仿宋" w:cs="仿宋"/>
                <w:sz w:val="24"/>
                <w:szCs w:val="24"/>
                <w:lang w:val="en-US" w:eastAsia="zh-CN"/>
              </w:rPr>
              <w:t>不完善</w:t>
            </w:r>
            <w:r>
              <w:rPr>
                <w:rFonts w:hint="eastAsia" w:ascii="仿宋" w:hAnsi="仿宋" w:eastAsia="仿宋" w:cs="仿宋"/>
                <w:sz w:val="24"/>
                <w:szCs w:val="24"/>
              </w:rPr>
              <w:t>等)。</w:t>
            </w:r>
          </w:p>
        </w:tc>
      </w:tr>
      <w:tr w14:paraId="716C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721" w:type="dxa"/>
            <w:vMerge w:val="continue"/>
            <w:noWrap/>
            <w:tcMar>
              <w:top w:w="10" w:type="dxa"/>
              <w:left w:w="10" w:type="dxa"/>
              <w:right w:w="10" w:type="dxa"/>
            </w:tcMar>
            <w:vAlign w:val="center"/>
          </w:tcPr>
          <w:p w14:paraId="6A33EB57">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p>
        </w:tc>
        <w:tc>
          <w:tcPr>
            <w:tcW w:w="1118" w:type="dxa"/>
            <w:vMerge w:val="continue"/>
            <w:noWrap/>
            <w:tcMar>
              <w:top w:w="10" w:type="dxa"/>
              <w:left w:w="10" w:type="dxa"/>
              <w:right w:w="10" w:type="dxa"/>
            </w:tcMar>
            <w:vAlign w:val="center"/>
          </w:tcPr>
          <w:p w14:paraId="64D85B22">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p>
        </w:tc>
        <w:tc>
          <w:tcPr>
            <w:tcW w:w="1267" w:type="dxa"/>
            <w:shd w:val="clear" w:color="auto" w:fill="auto"/>
            <w:noWrap/>
            <w:tcMar>
              <w:top w:w="10" w:type="dxa"/>
              <w:left w:w="10" w:type="dxa"/>
              <w:right w:w="10" w:type="dxa"/>
            </w:tcMar>
            <w:vAlign w:val="center"/>
          </w:tcPr>
          <w:p w14:paraId="5B2D0682">
            <w:pPr>
              <w:keepNext w:val="0"/>
              <w:keepLines w:val="0"/>
              <w:suppressLineNumbers w:val="0"/>
              <w:spacing w:before="0" w:beforeAutospacing="0" w:after="0" w:afterAutospacing="0"/>
              <w:ind w:left="120" w:leftChars="0" w:right="62" w:rightChars="0" w:hanging="120" w:hangingChars="50"/>
              <w:jc w:val="center"/>
              <w:textAlignment w:val="center"/>
              <w:rPr>
                <w:rFonts w:hint="eastAsia" w:ascii="仿宋" w:hAnsi="仿宋" w:eastAsia="仿宋" w:cs="仿宋"/>
                <w:b/>
                <w:kern w:val="2"/>
                <w:sz w:val="24"/>
                <w:szCs w:val="24"/>
                <w:lang w:val="en-US" w:eastAsia="zh-CN" w:bidi="ar"/>
              </w:rPr>
            </w:pPr>
            <w:r>
              <w:rPr>
                <w:rFonts w:hint="eastAsia" w:ascii="仿宋" w:hAnsi="仿宋" w:eastAsia="仿宋" w:cs="仿宋"/>
                <w:b/>
                <w:sz w:val="24"/>
                <w:lang w:bidi="ar"/>
              </w:rPr>
              <w:t>基础运营保障方案及承诺</w:t>
            </w:r>
          </w:p>
        </w:tc>
        <w:tc>
          <w:tcPr>
            <w:tcW w:w="855" w:type="dxa"/>
            <w:noWrap/>
            <w:tcMar>
              <w:top w:w="10" w:type="dxa"/>
              <w:left w:w="10" w:type="dxa"/>
              <w:right w:w="10" w:type="dxa"/>
            </w:tcMar>
            <w:vAlign w:val="center"/>
          </w:tcPr>
          <w:p w14:paraId="695F9D4A">
            <w:pPr>
              <w:keepNext w:val="0"/>
              <w:keepLines w:val="0"/>
              <w:suppressLineNumbers w:val="0"/>
              <w:spacing w:before="0" w:beforeAutospacing="0" w:after="0" w:afterAutospacing="0"/>
              <w:jc w:val="center"/>
              <w:textAlignment w:val="center"/>
              <w:rPr>
                <w:rFonts w:hint="eastAsia" w:ascii="仿宋" w:hAnsi="仿宋" w:eastAsia="仿宋" w:cs="仿宋"/>
                <w:b/>
                <w:sz w:val="24"/>
                <w:lang w:val="en-US" w:eastAsia="zh-CN" w:bidi="ar"/>
              </w:rPr>
            </w:pPr>
            <w:r>
              <w:rPr>
                <w:rFonts w:hint="eastAsia" w:ascii="仿宋" w:hAnsi="仿宋" w:eastAsia="仿宋" w:cs="仿宋"/>
                <w:b/>
                <w:sz w:val="24"/>
                <w:lang w:bidi="ar"/>
              </w:rPr>
              <w:t>0-</w:t>
            </w:r>
            <w:r>
              <w:rPr>
                <w:rFonts w:hint="eastAsia" w:ascii="仿宋" w:hAnsi="仿宋" w:eastAsia="仿宋" w:cs="仿宋"/>
                <w:b/>
                <w:sz w:val="24"/>
                <w:lang w:val="en-US" w:eastAsia="zh-CN" w:bidi="ar"/>
              </w:rPr>
              <w:t>10</w:t>
            </w:r>
          </w:p>
        </w:tc>
        <w:tc>
          <w:tcPr>
            <w:tcW w:w="5712" w:type="dxa"/>
            <w:noWrap/>
            <w:tcMar>
              <w:top w:w="10" w:type="dxa"/>
              <w:left w:w="10" w:type="dxa"/>
              <w:right w:w="10" w:type="dxa"/>
            </w:tcMar>
            <w:vAlign w:val="center"/>
          </w:tcPr>
          <w:p w14:paraId="008605D3">
            <w:pPr>
              <w:keepNext w:val="0"/>
              <w:keepLines w:val="0"/>
              <w:suppressLineNumbers w:val="0"/>
              <w:spacing w:before="0" w:beforeAutospacing="0" w:after="0" w:afterAutospacing="0" w:line="360" w:lineRule="auto"/>
              <w:jc w:val="left"/>
              <w:textAlignment w:val="center"/>
              <w:rPr>
                <w:rStyle w:val="160"/>
                <w:rFonts w:hint="eastAsia" w:ascii="仿宋" w:hAnsi="仿宋" w:eastAsia="仿宋" w:cs="仿宋"/>
                <w:sz w:val="24"/>
                <w:lang w:eastAsia="zh-CN" w:bidi="ar"/>
              </w:rPr>
            </w:pPr>
            <w:r>
              <w:rPr>
                <w:rStyle w:val="160"/>
                <w:rFonts w:hint="eastAsia" w:ascii="仿宋" w:hAnsi="仿宋" w:eastAsia="仿宋" w:cs="仿宋"/>
                <w:sz w:val="24"/>
                <w:lang w:bidi="ar"/>
              </w:rPr>
              <w:t>本项评分针对供应商依据项目采购需求提交的基础运营保障方案及承诺，从制度完善性、措施有效性、风险防控等维度全面评估其安全与质量把控能力。①岗位分工及指责划分方案</w:t>
            </w:r>
            <w:r>
              <w:rPr>
                <w:rStyle w:val="160"/>
                <w:rFonts w:hint="eastAsia" w:ascii="仿宋" w:hAnsi="仿宋" w:eastAsia="仿宋" w:cs="仿宋"/>
                <w:sz w:val="24"/>
                <w:lang w:eastAsia="zh-CN" w:bidi="ar"/>
              </w:rPr>
              <w:t>；</w:t>
            </w:r>
            <w:r>
              <w:rPr>
                <w:rStyle w:val="160"/>
                <w:rFonts w:hint="eastAsia" w:ascii="仿宋" w:hAnsi="仿宋" w:eastAsia="仿宋" w:cs="仿宋"/>
                <w:sz w:val="24"/>
                <w:lang w:bidi="ar"/>
              </w:rPr>
              <w:t>②人员培训方案</w:t>
            </w:r>
            <w:r>
              <w:rPr>
                <w:rStyle w:val="160"/>
                <w:rFonts w:hint="eastAsia" w:ascii="仿宋" w:hAnsi="仿宋" w:eastAsia="仿宋" w:cs="仿宋"/>
                <w:sz w:val="24"/>
                <w:lang w:eastAsia="zh-CN" w:bidi="ar"/>
              </w:rPr>
              <w:t>；</w:t>
            </w:r>
            <w:r>
              <w:rPr>
                <w:rStyle w:val="160"/>
                <w:rFonts w:hint="eastAsia" w:ascii="仿宋" w:hAnsi="仿宋" w:eastAsia="仿宋" w:cs="仿宋"/>
                <w:sz w:val="24"/>
                <w:lang w:bidi="ar"/>
              </w:rPr>
              <w:t>③现场服务质量承诺</w:t>
            </w:r>
            <w:r>
              <w:rPr>
                <w:rStyle w:val="160"/>
                <w:rFonts w:hint="eastAsia" w:ascii="仿宋" w:hAnsi="仿宋" w:eastAsia="仿宋" w:cs="仿宋"/>
                <w:sz w:val="24"/>
                <w:lang w:eastAsia="zh-CN" w:bidi="ar"/>
              </w:rPr>
              <w:t>；</w:t>
            </w:r>
            <w:r>
              <w:rPr>
                <w:rStyle w:val="160"/>
                <w:rFonts w:hint="eastAsia" w:ascii="仿宋" w:hAnsi="仿宋" w:eastAsia="仿宋" w:cs="仿宋"/>
                <w:sz w:val="24"/>
                <w:lang w:bidi="ar"/>
              </w:rPr>
              <w:t>④消防管理措施</w:t>
            </w:r>
            <w:r>
              <w:rPr>
                <w:rStyle w:val="160"/>
                <w:rFonts w:hint="eastAsia" w:ascii="仿宋" w:hAnsi="仿宋" w:eastAsia="仿宋" w:cs="仿宋"/>
                <w:sz w:val="24"/>
                <w:lang w:eastAsia="zh-CN" w:bidi="ar"/>
              </w:rPr>
              <w:t>；</w:t>
            </w:r>
            <w:r>
              <w:rPr>
                <w:rStyle w:val="160"/>
                <w:rFonts w:hint="eastAsia" w:ascii="仿宋" w:hAnsi="仿宋" w:eastAsia="仿宋" w:cs="仿宋"/>
                <w:sz w:val="24"/>
                <w:lang w:bidi="ar"/>
              </w:rPr>
              <w:t>⑤表演活动安全组织方案</w:t>
            </w:r>
            <w:r>
              <w:rPr>
                <w:rStyle w:val="160"/>
                <w:rFonts w:hint="eastAsia" w:ascii="仿宋" w:hAnsi="仿宋" w:eastAsia="仿宋" w:cs="仿宋"/>
                <w:sz w:val="24"/>
                <w:lang w:eastAsia="zh-CN" w:bidi="ar"/>
              </w:rPr>
              <w:t>。</w:t>
            </w:r>
          </w:p>
          <w:p w14:paraId="70E33257">
            <w:pPr>
              <w:keepNext w:val="0"/>
              <w:keepLines w:val="0"/>
              <w:suppressLineNumbers w:val="0"/>
              <w:spacing w:before="0" w:beforeAutospacing="0" w:after="0" w:afterAutospacing="0" w:line="276" w:lineRule="auto"/>
              <w:jc w:val="left"/>
              <w:rPr>
                <w:rFonts w:hint="eastAsia" w:ascii="仿宋" w:hAnsi="仿宋" w:eastAsia="仿宋" w:cs="仿宋"/>
                <w:kern w:val="0"/>
                <w:sz w:val="24"/>
                <w:lang w:eastAsia="zh-CN"/>
              </w:rPr>
            </w:pPr>
            <w:r>
              <w:rPr>
                <w:rStyle w:val="160"/>
                <w:rFonts w:hint="eastAsia" w:ascii="仿宋" w:hAnsi="仿宋" w:eastAsia="仿宋" w:cs="仿宋"/>
                <w:sz w:val="24"/>
                <w:lang w:bidi="ar"/>
              </w:rPr>
              <w:t>以上</w:t>
            </w:r>
            <w:r>
              <w:rPr>
                <w:rStyle w:val="160"/>
                <w:rFonts w:hint="eastAsia" w:ascii="仿宋" w:hAnsi="仿宋" w:eastAsia="仿宋" w:cs="仿宋"/>
                <w:sz w:val="24"/>
                <w:lang w:val="en-US" w:eastAsia="zh-CN" w:bidi="ar"/>
              </w:rPr>
              <w:t>5</w:t>
            </w:r>
            <w:r>
              <w:rPr>
                <w:rStyle w:val="160"/>
                <w:rFonts w:hint="eastAsia" w:ascii="仿宋" w:hAnsi="仿宋" w:eastAsia="仿宋" w:cs="仿宋"/>
                <w:sz w:val="24"/>
                <w:lang w:bidi="ar"/>
              </w:rPr>
              <w:t>项内容无缺陷且齐全可得满分10分；每缺失一项扣2分，每存在一处缺陷扣1分；未提交相关方案则不得分。</w:t>
            </w:r>
            <w:r>
              <w:rPr>
                <w:rFonts w:hint="eastAsia" w:ascii="仿宋" w:hAnsi="仿宋" w:eastAsia="仿宋" w:cs="仿宋"/>
                <w:sz w:val="24"/>
              </w:rPr>
              <w:t>(缺陷是指:存在不适用该项目实际情况的情形、内容过于简单、凭空编造、内容前后不一致、前后逻辑错误、地点区域错误、内容缺失、无针对性、内容简单不完善等)。</w:t>
            </w:r>
          </w:p>
        </w:tc>
      </w:tr>
      <w:tr w14:paraId="1F04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rPr>
        <w:tc>
          <w:tcPr>
            <w:tcW w:w="721" w:type="dxa"/>
            <w:vMerge w:val="continue"/>
            <w:noWrap/>
            <w:tcMar>
              <w:top w:w="10" w:type="dxa"/>
              <w:left w:w="10" w:type="dxa"/>
              <w:right w:w="10" w:type="dxa"/>
            </w:tcMar>
            <w:vAlign w:val="center"/>
          </w:tcPr>
          <w:p w14:paraId="028FEB3D">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p>
        </w:tc>
        <w:tc>
          <w:tcPr>
            <w:tcW w:w="1118" w:type="dxa"/>
            <w:vMerge w:val="continue"/>
            <w:noWrap/>
            <w:tcMar>
              <w:top w:w="10" w:type="dxa"/>
              <w:left w:w="10" w:type="dxa"/>
              <w:right w:w="10" w:type="dxa"/>
            </w:tcMar>
            <w:vAlign w:val="center"/>
          </w:tcPr>
          <w:p w14:paraId="664045FF">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p>
        </w:tc>
        <w:tc>
          <w:tcPr>
            <w:tcW w:w="1267" w:type="dxa"/>
            <w:noWrap/>
            <w:tcMar>
              <w:top w:w="10" w:type="dxa"/>
              <w:left w:w="10" w:type="dxa"/>
              <w:right w:w="10" w:type="dxa"/>
            </w:tcMar>
            <w:vAlign w:val="center"/>
          </w:tcPr>
          <w:p w14:paraId="4ACA2260">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r>
              <w:rPr>
                <w:rFonts w:hint="eastAsia" w:ascii="仿宋" w:hAnsi="仿宋" w:eastAsia="仿宋" w:cs="仿宋"/>
                <w:b/>
                <w:sz w:val="24"/>
                <w:lang w:bidi="ar"/>
              </w:rPr>
              <w:t>应急预案</w:t>
            </w:r>
          </w:p>
          <w:p w14:paraId="4795AC71">
            <w:pPr>
              <w:keepNext w:val="0"/>
              <w:keepLines w:val="0"/>
              <w:suppressLineNumbers w:val="0"/>
              <w:spacing w:before="0" w:beforeAutospacing="0" w:after="0" w:afterAutospacing="0"/>
              <w:jc w:val="center"/>
              <w:textAlignment w:val="center"/>
              <w:rPr>
                <w:rFonts w:hint="eastAsia" w:ascii="仿宋" w:hAnsi="仿宋" w:eastAsia="仿宋" w:cs="仿宋"/>
                <w:b/>
                <w:sz w:val="24"/>
                <w:lang w:bidi="ar"/>
              </w:rPr>
            </w:pPr>
          </w:p>
        </w:tc>
        <w:tc>
          <w:tcPr>
            <w:tcW w:w="855" w:type="dxa"/>
            <w:noWrap/>
            <w:tcMar>
              <w:top w:w="10" w:type="dxa"/>
              <w:left w:w="10" w:type="dxa"/>
              <w:right w:w="10" w:type="dxa"/>
            </w:tcMar>
            <w:vAlign w:val="center"/>
          </w:tcPr>
          <w:p w14:paraId="540556A6">
            <w:pPr>
              <w:keepNext w:val="0"/>
              <w:keepLines w:val="0"/>
              <w:suppressLineNumbers w:val="0"/>
              <w:spacing w:before="0" w:beforeAutospacing="0" w:after="0" w:afterAutospacing="0"/>
              <w:jc w:val="center"/>
              <w:textAlignment w:val="center"/>
              <w:rPr>
                <w:rFonts w:hint="eastAsia" w:ascii="仿宋" w:hAnsi="仿宋" w:eastAsia="仿宋" w:cs="仿宋"/>
                <w:b/>
                <w:sz w:val="24"/>
                <w:lang w:val="en-US" w:eastAsia="zh-CN" w:bidi="ar"/>
              </w:rPr>
            </w:pPr>
            <w:r>
              <w:rPr>
                <w:rFonts w:hint="eastAsia" w:ascii="仿宋" w:hAnsi="仿宋" w:eastAsia="仿宋" w:cs="仿宋"/>
                <w:b/>
                <w:sz w:val="24"/>
                <w:lang w:bidi="ar"/>
              </w:rPr>
              <w:t>0-</w:t>
            </w:r>
            <w:r>
              <w:rPr>
                <w:rFonts w:hint="eastAsia" w:ascii="仿宋" w:hAnsi="仿宋" w:eastAsia="仿宋" w:cs="仿宋"/>
                <w:b/>
                <w:sz w:val="24"/>
                <w:lang w:val="en-US" w:eastAsia="zh-CN" w:bidi="ar"/>
              </w:rPr>
              <w:t>10</w:t>
            </w:r>
          </w:p>
        </w:tc>
        <w:tc>
          <w:tcPr>
            <w:tcW w:w="5712" w:type="dxa"/>
            <w:noWrap/>
            <w:tcMar>
              <w:top w:w="10" w:type="dxa"/>
              <w:left w:w="10" w:type="dxa"/>
              <w:right w:w="10" w:type="dxa"/>
            </w:tcMar>
            <w:vAlign w:val="center"/>
          </w:tcPr>
          <w:p w14:paraId="66B89522">
            <w:pPr>
              <w:keepNext w:val="0"/>
              <w:keepLines w:val="0"/>
              <w:widowControl/>
              <w:suppressLineNumbers w:val="0"/>
              <w:spacing w:before="0" w:beforeAutospacing="0" w:after="0" w:afterAutospacing="0" w:line="360" w:lineRule="auto"/>
              <w:jc w:val="left"/>
              <w:rPr>
                <w:rStyle w:val="160"/>
                <w:rFonts w:hint="eastAsia" w:ascii="仿宋" w:hAnsi="仿宋" w:eastAsia="仿宋" w:cs="仿宋"/>
                <w:sz w:val="24"/>
                <w:lang w:val="en-US" w:eastAsia="zh-CN" w:bidi="ar"/>
              </w:rPr>
            </w:pPr>
            <w:r>
              <w:rPr>
                <w:rStyle w:val="160"/>
                <w:rFonts w:hint="eastAsia" w:ascii="仿宋" w:hAnsi="仿宋" w:eastAsia="仿宋" w:cs="仿宋"/>
                <w:sz w:val="24"/>
                <w:lang w:val="en-US" w:eastAsia="zh-CN" w:bidi="ar"/>
              </w:rPr>
              <w:t>应急方案包括但不限于①突发应急情况分析及应急措施；②突发情况的人员调配；③业务紧急操作；④应急事故发生处理流程和紧急联系人等方面；⑤应急设备配置等进行综合评审。</w:t>
            </w:r>
          </w:p>
          <w:p w14:paraId="267C216B">
            <w:pPr>
              <w:keepNext w:val="0"/>
              <w:keepLines w:val="0"/>
              <w:suppressLineNumbers w:val="0"/>
              <w:spacing w:before="0" w:beforeAutospacing="0" w:after="0" w:afterAutospacing="0" w:line="276" w:lineRule="auto"/>
              <w:jc w:val="left"/>
              <w:rPr>
                <w:rFonts w:hint="eastAsia" w:ascii="仿宋" w:hAnsi="仿宋" w:eastAsia="仿宋" w:cs="仿宋"/>
                <w:kern w:val="0"/>
                <w:sz w:val="24"/>
              </w:rPr>
            </w:pPr>
            <w:r>
              <w:rPr>
                <w:rStyle w:val="160"/>
                <w:rFonts w:hint="eastAsia" w:ascii="仿宋" w:hAnsi="仿宋" w:eastAsia="仿宋" w:cs="仿宋"/>
                <w:sz w:val="24"/>
                <w:lang w:val="en-US" w:eastAsia="zh-CN" w:bidi="ar"/>
              </w:rPr>
              <w:t>以上5项内容无缺陷、内容齐全的得10分；每缺少一项方案内容扣2分；每一项方案内容存在缺陷的扣1分；未提供方案的，此项不得分。</w:t>
            </w:r>
            <w:r>
              <w:rPr>
                <w:rFonts w:hint="eastAsia" w:ascii="仿宋" w:hAnsi="仿宋" w:eastAsia="仿宋" w:cs="仿宋"/>
                <w:sz w:val="24"/>
                <w:szCs w:val="24"/>
              </w:rPr>
              <w:t>(缺陷是指:存在不适用该项目实际情况的情形、内容过于简单、凭空编造、内容前后不一致、前后逻辑错误、地点区域错误、内容缺失、无针对性、</w:t>
            </w:r>
            <w:r>
              <w:rPr>
                <w:rFonts w:hint="eastAsia" w:ascii="仿宋" w:hAnsi="仿宋" w:eastAsia="仿宋" w:cs="仿宋"/>
                <w:sz w:val="24"/>
                <w:szCs w:val="24"/>
                <w:lang w:val="en-US" w:eastAsia="zh-CN"/>
              </w:rPr>
              <w:t>内容</w:t>
            </w:r>
            <w:r>
              <w:rPr>
                <w:rFonts w:hint="eastAsia" w:ascii="仿宋" w:hAnsi="仿宋" w:eastAsia="仿宋" w:cs="仿宋"/>
                <w:sz w:val="24"/>
                <w:szCs w:val="24"/>
              </w:rPr>
              <w:t>简单</w:t>
            </w:r>
            <w:r>
              <w:rPr>
                <w:rFonts w:hint="eastAsia" w:ascii="仿宋" w:hAnsi="仿宋" w:eastAsia="仿宋" w:cs="仿宋"/>
                <w:sz w:val="24"/>
                <w:szCs w:val="24"/>
                <w:lang w:val="en-US" w:eastAsia="zh-CN"/>
              </w:rPr>
              <w:t>不完善</w:t>
            </w:r>
            <w:r>
              <w:rPr>
                <w:rFonts w:hint="eastAsia" w:ascii="仿宋" w:hAnsi="仿宋" w:eastAsia="仿宋" w:cs="仿宋"/>
                <w:sz w:val="24"/>
                <w:szCs w:val="24"/>
              </w:rPr>
              <w:t>等)。</w:t>
            </w:r>
          </w:p>
        </w:tc>
      </w:tr>
    </w:tbl>
    <w:p w14:paraId="55D32DEB">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336" w:name="OLE_LINK34"/>
      <w:r>
        <w:rPr>
          <w:rFonts w:hint="eastAsia" w:ascii="仿宋" w:hAnsi="仿宋" w:eastAsia="仿宋" w:cs="仿宋"/>
          <w:b/>
          <w:sz w:val="36"/>
          <w:szCs w:val="36"/>
          <w:highlight w:val="none"/>
        </w:rPr>
        <w:t>第五章   采购需求</w:t>
      </w:r>
      <w:bookmarkEnd w:id="253"/>
      <w:bookmarkEnd w:id="254"/>
    </w:p>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336"/>
    <w:p w14:paraId="2464278A">
      <w:pPr>
        <w:rPr>
          <w:rFonts w:hint="eastAsia" w:ascii="仿宋" w:hAnsi="仿宋" w:eastAsia="仿宋" w:cs="仿宋"/>
          <w:sz w:val="24"/>
          <w:szCs w:val="24"/>
        </w:rPr>
      </w:pPr>
      <w:bookmarkStart w:id="337" w:name="_Toc2874"/>
      <w:bookmarkStart w:id="338" w:name="_Toc29382"/>
      <w:bookmarkStart w:id="339" w:name="_Toc27969"/>
      <w:r>
        <w:rPr>
          <w:rFonts w:hint="eastAsia" w:ascii="仿宋" w:hAnsi="仿宋" w:eastAsia="仿宋" w:cs="仿宋"/>
          <w:sz w:val="24"/>
          <w:szCs w:val="24"/>
        </w:rPr>
        <w:t>一、项目概况</w:t>
      </w:r>
    </w:p>
    <w:p w14:paraId="5C5C8FED">
      <w:pPr>
        <w:ind w:firstLine="480" w:firstLineChars="200"/>
        <w:rPr>
          <w:rFonts w:hint="eastAsia" w:ascii="仿宋" w:hAnsi="仿宋" w:eastAsia="仿宋" w:cs="仿宋"/>
          <w:sz w:val="24"/>
          <w:szCs w:val="24"/>
        </w:rPr>
      </w:pPr>
      <w:r>
        <w:rPr>
          <w:rFonts w:hint="eastAsia" w:ascii="仿宋" w:hAnsi="仿宋" w:eastAsia="仿宋" w:cs="仿宋"/>
          <w:sz w:val="24"/>
          <w:szCs w:val="24"/>
        </w:rPr>
        <w:t>为深入贯彻习近平总书记在第三次中央新疆工作座谈会上所做出的指示精神，牢牢扭住新疆工作总目标，依法治疆、团结稳疆、文化润疆、富民兴疆、长期建疆，健全完善防止返贫监测和帮扶制度机制，接续推进全面脱贫与乡村振兴有机衔接，着重增强内生发展动力和发展活力，确保脱贫后能发展、可持续。对此，北京援疆和田指挥部批示同意在“十四五”时期，继续通过北京地铁城市客厅项目的建设实施消费帮扶，巩固拓展脱贫攻坚成果。</w:t>
      </w:r>
    </w:p>
    <w:p w14:paraId="5C20043B">
      <w:pPr>
        <w:ind w:firstLine="480" w:firstLineChars="200"/>
        <w:rPr>
          <w:rFonts w:hint="eastAsia" w:ascii="仿宋" w:hAnsi="仿宋" w:eastAsia="仿宋" w:cs="仿宋"/>
          <w:sz w:val="24"/>
          <w:szCs w:val="24"/>
        </w:rPr>
      </w:pPr>
      <w:r>
        <w:rPr>
          <w:rFonts w:hint="eastAsia" w:ascii="仿宋" w:hAnsi="仿宋" w:eastAsia="仿宋" w:cs="仿宋"/>
          <w:sz w:val="24"/>
          <w:szCs w:val="24"/>
        </w:rPr>
        <w:t>本项目旨在借助北京地铁承载首都人民通勤交通的高客流量资源特点，创新打造和田地区在京展示窗口。藉此深入开展产业援疆，打造援疆创新模式，加速产业升级促进就业。借助北京地铁高人流城市平台的优势特点，计划在北京地铁站建设城市客厅，实现对和田地区高质量发展风貌的综合性展示。</w:t>
      </w:r>
    </w:p>
    <w:p w14:paraId="3B3D6F97">
      <w:pPr>
        <w:ind w:firstLine="480" w:firstLineChars="200"/>
        <w:rPr>
          <w:rFonts w:hint="eastAsia" w:ascii="仿宋" w:hAnsi="仿宋" w:eastAsia="仿宋" w:cs="仿宋"/>
          <w:sz w:val="24"/>
          <w:szCs w:val="24"/>
        </w:rPr>
      </w:pPr>
      <w:r>
        <w:rPr>
          <w:rFonts w:hint="eastAsia" w:ascii="仿宋" w:hAnsi="仿宋" w:eastAsia="仿宋" w:cs="仿宋"/>
          <w:sz w:val="24"/>
          <w:szCs w:val="24"/>
        </w:rPr>
        <w:t>通过窗口的建设，打造高价值宣传平台，彰显具有鲜明市场辨识度的和田优选产品、文旅品牌，实现“地方品牌+产品品牌+文旅品牌”全方位宣传推广的重要目标。</w:t>
      </w:r>
    </w:p>
    <w:p w14:paraId="509E0A49">
      <w:pPr>
        <w:rPr>
          <w:rFonts w:hint="eastAsia" w:ascii="仿宋" w:hAnsi="仿宋" w:eastAsia="仿宋" w:cs="仿宋"/>
          <w:sz w:val="24"/>
          <w:szCs w:val="24"/>
        </w:rPr>
      </w:pPr>
      <w:r>
        <w:rPr>
          <w:rFonts w:hint="eastAsia" w:ascii="仿宋" w:hAnsi="仿宋" w:eastAsia="仿宋" w:cs="仿宋"/>
          <w:sz w:val="24"/>
          <w:szCs w:val="24"/>
        </w:rPr>
        <w:t>二、服务内容</w:t>
      </w:r>
    </w:p>
    <w:p w14:paraId="20C263A6">
      <w:pPr>
        <w:ind w:firstLine="480" w:firstLineChars="200"/>
        <w:rPr>
          <w:rFonts w:hint="eastAsia" w:ascii="仿宋" w:hAnsi="仿宋" w:eastAsia="仿宋" w:cs="仿宋"/>
          <w:sz w:val="24"/>
          <w:szCs w:val="24"/>
        </w:rPr>
      </w:pPr>
      <w:r>
        <w:rPr>
          <w:rFonts w:hint="eastAsia" w:ascii="仿宋" w:hAnsi="仿宋" w:eastAsia="仿宋" w:cs="仿宋"/>
          <w:sz w:val="24"/>
          <w:szCs w:val="24"/>
        </w:rPr>
        <w:t>（一）整体策划服务</w:t>
      </w:r>
    </w:p>
    <w:p w14:paraId="0C4742C4">
      <w:pPr>
        <w:ind w:firstLine="480" w:firstLineChars="200"/>
        <w:rPr>
          <w:rFonts w:hint="eastAsia" w:ascii="仿宋" w:hAnsi="仿宋" w:eastAsia="仿宋" w:cs="仿宋"/>
          <w:sz w:val="24"/>
          <w:szCs w:val="24"/>
        </w:rPr>
      </w:pPr>
      <w:r>
        <w:rPr>
          <w:rFonts w:hint="eastAsia" w:ascii="仿宋" w:hAnsi="仿宋" w:eastAsia="仿宋" w:cs="仿宋"/>
          <w:sz w:val="24"/>
          <w:szCs w:val="24"/>
        </w:rPr>
        <w:t>基于北京地铁所提供的站厅层商业可用区域，进行和田地区城市客厅的商业布局规划、运营机制编写、商贸模式策划、经营性活动规划、民俗及非遗路演等。通过整体策划，为和田地区北京地铁城市客厅建立一套完善的运营准则机制，在确保项目顺利运营的情况下，助力和田地区品牌和优质农特产品的影响力提升。</w:t>
      </w:r>
    </w:p>
    <w:p w14:paraId="25BA7058">
      <w:pPr>
        <w:ind w:firstLine="480" w:firstLineChars="200"/>
        <w:rPr>
          <w:rFonts w:hint="eastAsia" w:ascii="仿宋" w:hAnsi="仿宋" w:eastAsia="仿宋" w:cs="仿宋"/>
          <w:sz w:val="24"/>
          <w:szCs w:val="24"/>
        </w:rPr>
      </w:pPr>
      <w:r>
        <w:rPr>
          <w:rFonts w:hint="eastAsia" w:ascii="仿宋" w:hAnsi="仿宋" w:eastAsia="仿宋" w:cs="仿宋"/>
          <w:sz w:val="24"/>
          <w:szCs w:val="24"/>
        </w:rPr>
        <w:t>根据本项目需求，提供不少于3处的北京地铁站场地推荐，面积需求约为50平方米。并根据场地实际情况，提供该站点日常平均流量测算。针对每处推荐场地，提供详细的建议思路和优势分析，在不少于3处的备选场地中，着重给出主推场地的选择分析理由，共项目进行详细参考。</w:t>
      </w:r>
    </w:p>
    <w:p w14:paraId="34E4033A">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（三）匹配运营需求的场景设计和实施方案</w:t>
      </w:r>
    </w:p>
    <w:p w14:paraId="2190A0E0">
      <w:pPr>
        <w:ind w:firstLine="480" w:firstLineChars="200"/>
        <w:rPr>
          <w:rFonts w:hint="eastAsia" w:ascii="仿宋" w:hAnsi="仿宋" w:eastAsia="仿宋" w:cs="仿宋"/>
          <w:sz w:val="24"/>
          <w:szCs w:val="24"/>
        </w:rPr>
      </w:pPr>
      <w:r>
        <w:rPr>
          <w:rFonts w:hint="eastAsia" w:ascii="仿宋" w:hAnsi="仿宋" w:eastAsia="仿宋" w:cs="仿宋"/>
          <w:sz w:val="24"/>
          <w:szCs w:val="24"/>
        </w:rPr>
        <w:t>围绕打造和田地区宣传新窗口与</w:t>
      </w:r>
      <w:r>
        <w:rPr>
          <w:rFonts w:hint="eastAsia" w:ascii="仿宋" w:hAnsi="仿宋" w:eastAsia="仿宋" w:cs="仿宋"/>
          <w:sz w:val="24"/>
          <w:szCs w:val="24"/>
          <w:lang w:val="en-US" w:eastAsia="zh-CN"/>
        </w:rPr>
        <w:t>运营</w:t>
      </w:r>
      <w:r>
        <w:rPr>
          <w:rFonts w:hint="eastAsia" w:ascii="仿宋" w:hAnsi="仿宋" w:eastAsia="仿宋" w:cs="仿宋"/>
          <w:sz w:val="24"/>
          <w:szCs w:val="24"/>
        </w:rPr>
        <w:t>载体的双重目标，结合项目需求，提供兼具可执行性与和田地方民俗特色的</w:t>
      </w:r>
      <w:r>
        <w:rPr>
          <w:rFonts w:hint="eastAsia" w:ascii="仿宋" w:hAnsi="仿宋" w:eastAsia="仿宋" w:cs="仿宋"/>
          <w:sz w:val="24"/>
          <w:szCs w:val="24"/>
          <w:lang w:val="en-US" w:eastAsia="zh-CN"/>
        </w:rPr>
        <w:t>地铁会客厅场景设计</w:t>
      </w:r>
      <w:r>
        <w:rPr>
          <w:rFonts w:hint="eastAsia" w:ascii="仿宋" w:hAnsi="仿宋" w:eastAsia="仿宋" w:cs="仿宋"/>
          <w:sz w:val="24"/>
          <w:szCs w:val="24"/>
        </w:rPr>
        <w:t>。设计需深度融合</w:t>
      </w:r>
      <w:r>
        <w:rPr>
          <w:rFonts w:hint="eastAsia" w:ascii="仿宋" w:hAnsi="仿宋" w:eastAsia="仿宋" w:cs="仿宋"/>
          <w:sz w:val="24"/>
          <w:szCs w:val="24"/>
          <w:lang w:val="en-US" w:eastAsia="zh-CN"/>
        </w:rPr>
        <w:t>运营</w:t>
      </w:r>
      <w:r>
        <w:rPr>
          <w:rFonts w:hint="eastAsia" w:ascii="仿宋" w:hAnsi="仿宋" w:eastAsia="仿宋" w:cs="仿宋"/>
          <w:sz w:val="24"/>
          <w:szCs w:val="24"/>
        </w:rPr>
        <w:t>理念，从空间规划、功能分区等方面为后续运营预留接口，实现宣传与</w:t>
      </w:r>
      <w:r>
        <w:rPr>
          <w:rFonts w:hint="eastAsia" w:ascii="仿宋" w:hAnsi="仿宋" w:eastAsia="仿宋" w:cs="仿宋"/>
          <w:sz w:val="24"/>
          <w:szCs w:val="24"/>
          <w:lang w:val="en-US" w:eastAsia="zh-CN"/>
        </w:rPr>
        <w:t>运营</w:t>
      </w:r>
      <w:r>
        <w:rPr>
          <w:rFonts w:hint="eastAsia" w:ascii="仿宋" w:hAnsi="仿宋" w:eastAsia="仿宋" w:cs="仿宋"/>
          <w:sz w:val="24"/>
          <w:szCs w:val="24"/>
        </w:rPr>
        <w:t>的有机结合。同时，配套制定切实可行的项目施工保障方案和进度控制方案，在保障施工质量与安全的前提下，合理把控工期，确保搭建成果能高效投入</w:t>
      </w:r>
      <w:r>
        <w:rPr>
          <w:rFonts w:hint="eastAsia" w:ascii="仿宋" w:hAnsi="仿宋" w:eastAsia="仿宋" w:cs="仿宋"/>
          <w:sz w:val="24"/>
          <w:szCs w:val="24"/>
          <w:lang w:val="en-US" w:eastAsia="zh-CN"/>
        </w:rPr>
        <w:t>运营</w:t>
      </w:r>
      <w:r>
        <w:rPr>
          <w:rFonts w:hint="eastAsia" w:ascii="仿宋" w:hAnsi="仿宋" w:eastAsia="仿宋" w:cs="仿宋"/>
          <w:sz w:val="24"/>
          <w:szCs w:val="24"/>
        </w:rPr>
        <w:t>使用，充分发挥地铁城市客厅的宣传与</w:t>
      </w:r>
      <w:r>
        <w:rPr>
          <w:rFonts w:hint="eastAsia" w:ascii="仿宋" w:hAnsi="仿宋" w:eastAsia="仿宋" w:cs="仿宋"/>
          <w:sz w:val="24"/>
          <w:szCs w:val="24"/>
          <w:lang w:val="en-US" w:eastAsia="zh-CN"/>
        </w:rPr>
        <w:t>运营</w:t>
      </w:r>
      <w:r>
        <w:rPr>
          <w:rFonts w:hint="eastAsia" w:ascii="仿宋" w:hAnsi="仿宋" w:eastAsia="仿宋" w:cs="仿宋"/>
          <w:sz w:val="24"/>
          <w:szCs w:val="24"/>
        </w:rPr>
        <w:t>价值。</w:t>
      </w:r>
    </w:p>
    <w:p w14:paraId="68ACD47F">
      <w:pPr>
        <w:ind w:firstLine="480" w:firstLineChars="200"/>
        <w:rPr>
          <w:rFonts w:hint="eastAsia" w:ascii="仿宋" w:hAnsi="仿宋" w:eastAsia="仿宋" w:cs="仿宋"/>
          <w:sz w:val="24"/>
          <w:szCs w:val="24"/>
        </w:rPr>
      </w:pPr>
      <w:r>
        <w:rPr>
          <w:rFonts w:hint="eastAsia" w:ascii="仿宋" w:hAnsi="仿宋" w:eastAsia="仿宋" w:cs="仿宋"/>
          <w:sz w:val="24"/>
          <w:szCs w:val="24"/>
        </w:rPr>
        <w:t>（三）日常商贸运营</w:t>
      </w:r>
    </w:p>
    <w:p w14:paraId="765E2ECD">
      <w:pPr>
        <w:ind w:firstLine="480" w:firstLineChars="200"/>
        <w:rPr>
          <w:rFonts w:hint="eastAsia" w:ascii="仿宋" w:hAnsi="仿宋" w:eastAsia="仿宋" w:cs="仿宋"/>
          <w:sz w:val="24"/>
          <w:szCs w:val="24"/>
        </w:rPr>
      </w:pPr>
      <w:r>
        <w:rPr>
          <w:rFonts w:hint="eastAsia" w:ascii="仿宋" w:hAnsi="仿宋" w:eastAsia="仿宋" w:cs="仿宋"/>
          <w:sz w:val="24"/>
          <w:szCs w:val="24"/>
        </w:rPr>
        <w:t>以北京地铁城市客厅为基础，完成一年期商业运营服务，提供销售人员、维护人员、策划人员等北京地区团队支持。根据城市客厅月度营销主题，进行宣传物料的编制、执行方案的合理优化、进销存辅助、落地路演活动的执行与协助等日常运营方向工作。</w:t>
      </w:r>
    </w:p>
    <w:p w14:paraId="3AC50173">
      <w:pPr>
        <w:ind w:firstLine="480" w:firstLineChars="200"/>
        <w:rPr>
          <w:rFonts w:hint="eastAsia" w:ascii="仿宋" w:hAnsi="仿宋" w:eastAsia="仿宋" w:cs="仿宋"/>
          <w:sz w:val="24"/>
          <w:szCs w:val="24"/>
        </w:rPr>
      </w:pPr>
      <w:r>
        <w:rPr>
          <w:rFonts w:hint="eastAsia" w:ascii="仿宋" w:hAnsi="仿宋" w:eastAsia="仿宋" w:cs="仿宋"/>
          <w:sz w:val="24"/>
          <w:szCs w:val="24"/>
        </w:rPr>
        <w:t>（四）和田地区品牌商贸策略提供</w:t>
      </w:r>
    </w:p>
    <w:p w14:paraId="150C54F1">
      <w:pPr>
        <w:ind w:firstLine="480" w:firstLineChars="200"/>
        <w:rPr>
          <w:rFonts w:hint="eastAsia" w:ascii="仿宋" w:hAnsi="仿宋" w:eastAsia="仿宋" w:cs="仿宋"/>
          <w:sz w:val="24"/>
          <w:szCs w:val="24"/>
        </w:rPr>
      </w:pPr>
      <w:r>
        <w:rPr>
          <w:rFonts w:hint="eastAsia" w:ascii="仿宋" w:hAnsi="仿宋" w:eastAsia="仿宋" w:cs="仿宋"/>
          <w:sz w:val="24"/>
          <w:szCs w:val="24"/>
        </w:rPr>
        <w:t>基于和田地区北京地铁城市客厅的商贸运营目标，结合当前和田地区农特产品供销生态和产能现状，以及国内主流市场消费者需求变化趋势，为和田地区统一品牌商贸发展和销售渠道建设提供策略建议，并通过北京地铁城市客厅的日常运营进行实践及修正。</w:t>
      </w:r>
    </w:p>
    <w:p w14:paraId="5FDC600A">
      <w:pPr>
        <w:spacing w:line="360" w:lineRule="auto"/>
        <w:jc w:val="center"/>
        <w:outlineLvl w:val="0"/>
        <w:rPr>
          <w:rFonts w:hint="eastAsia" w:ascii="仿宋" w:hAnsi="仿宋" w:eastAsia="仿宋" w:cs="仿宋"/>
          <w:b/>
          <w:sz w:val="36"/>
          <w:szCs w:val="36"/>
          <w:highlight w:val="none"/>
          <w:lang w:val="en-US" w:eastAsia="zh-CN"/>
        </w:rPr>
      </w:pPr>
      <w:r>
        <w:rPr>
          <w:rFonts w:hint="eastAsia" w:ascii="仿宋" w:hAnsi="仿宋" w:eastAsia="仿宋" w:cs="仿宋"/>
          <w:b/>
          <w:kern w:val="2"/>
          <w:sz w:val="28"/>
          <w:szCs w:val="28"/>
          <w:highlight w:val="none"/>
          <w:lang w:val="en-US" w:eastAsia="zh-CN" w:bidi="ar-SA"/>
        </w:rPr>
        <w:br w:type="page"/>
      </w:r>
      <w:r>
        <w:rPr>
          <w:rFonts w:hint="eastAsia" w:ascii="仿宋" w:hAnsi="仿宋" w:eastAsia="仿宋" w:cs="仿宋"/>
          <w:b/>
          <w:sz w:val="36"/>
          <w:szCs w:val="36"/>
          <w:highlight w:val="none"/>
          <w:lang w:val="en-US" w:eastAsia="zh-CN"/>
        </w:rPr>
        <w:t xml:space="preserve">第六章  </w:t>
      </w:r>
      <w:bookmarkEnd w:id="337"/>
      <w:r>
        <w:rPr>
          <w:rFonts w:hint="eastAsia" w:ascii="仿宋" w:hAnsi="仿宋" w:eastAsia="仿宋" w:cs="仿宋"/>
          <w:b/>
          <w:sz w:val="36"/>
          <w:szCs w:val="36"/>
          <w:highlight w:val="none"/>
          <w:lang w:val="en-US" w:eastAsia="zh-CN"/>
        </w:rPr>
        <w:t>拟签订的合同文本</w:t>
      </w:r>
      <w:bookmarkEnd w:id="338"/>
      <w:bookmarkEnd w:id="339"/>
    </w:p>
    <w:p w14:paraId="560DFD30">
      <w:pPr>
        <w:snapToGrid w:val="0"/>
        <w:spacing w:line="360" w:lineRule="auto"/>
        <w:ind w:left="0" w:leftChars="0" w:firstLine="0" w:firstLineChars="0"/>
        <w:jc w:val="center"/>
        <w:rPr>
          <w:rFonts w:hint="eastAsia" w:ascii="仿宋" w:hAnsi="仿宋" w:eastAsia="仿宋" w:cs="仿宋"/>
          <w:b/>
          <w:color w:val="000000"/>
          <w:sz w:val="24"/>
          <w:szCs w:val="24"/>
          <w:highlight w:val="none"/>
        </w:rPr>
      </w:pPr>
    </w:p>
    <w:p w14:paraId="0BB2CE1F">
      <w:pPr>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合同编号：</w:t>
      </w:r>
      <w:r>
        <w:rPr>
          <w:rFonts w:hint="eastAsia" w:ascii="仿宋" w:hAnsi="仿宋" w:eastAsia="仿宋" w:cs="仿宋"/>
          <w:sz w:val="24"/>
          <w:szCs w:val="24"/>
          <w:highlight w:val="none"/>
          <w:u w:val="single"/>
        </w:rPr>
        <w:t xml:space="preserve">           </w:t>
      </w:r>
    </w:p>
    <w:p w14:paraId="1D4BBD91">
      <w:pPr>
        <w:spacing w:line="480" w:lineRule="auto"/>
        <w:jc w:val="center"/>
        <w:rPr>
          <w:rFonts w:hint="eastAsia" w:ascii="仿宋" w:hAnsi="仿宋" w:eastAsia="仿宋" w:cs="仿宋"/>
          <w:b/>
          <w:sz w:val="24"/>
          <w:szCs w:val="24"/>
          <w:highlight w:val="none"/>
        </w:rPr>
      </w:pPr>
    </w:p>
    <w:p w14:paraId="4436CD14">
      <w:pPr>
        <w:spacing w:line="480" w:lineRule="auto"/>
        <w:jc w:val="center"/>
        <w:rPr>
          <w:rFonts w:hint="eastAsia" w:ascii="仿宋" w:hAnsi="仿宋" w:eastAsia="仿宋" w:cs="仿宋"/>
          <w:b/>
          <w:sz w:val="24"/>
          <w:szCs w:val="24"/>
          <w:highlight w:val="none"/>
        </w:rPr>
      </w:pPr>
    </w:p>
    <w:p w14:paraId="6554B230">
      <w:pPr>
        <w:spacing w:line="480" w:lineRule="auto"/>
        <w:jc w:val="center"/>
        <w:rPr>
          <w:rFonts w:hint="eastAsia" w:ascii="仿宋" w:hAnsi="仿宋" w:eastAsia="仿宋" w:cs="仿宋"/>
          <w:b/>
          <w:sz w:val="24"/>
          <w:szCs w:val="24"/>
          <w:highlight w:val="none"/>
        </w:rPr>
      </w:pPr>
    </w:p>
    <w:p w14:paraId="03873746">
      <w:pPr>
        <w:spacing w:line="48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政府采购合同参考范本</w:t>
      </w:r>
    </w:p>
    <w:p w14:paraId="38F5E820">
      <w:pPr>
        <w:spacing w:line="48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（服务类）</w:t>
      </w:r>
    </w:p>
    <w:p w14:paraId="4105251C">
      <w:pPr>
        <w:pStyle w:val="171"/>
        <w:ind w:firstLine="0"/>
        <w:rPr>
          <w:rFonts w:hint="eastAsia" w:ascii="仿宋" w:hAnsi="仿宋" w:eastAsia="仿宋" w:cs="仿宋"/>
          <w:sz w:val="24"/>
          <w:szCs w:val="24"/>
          <w:highlight w:val="none"/>
        </w:rPr>
      </w:pPr>
    </w:p>
    <w:p w14:paraId="17B59198">
      <w:pPr>
        <w:pStyle w:val="171"/>
        <w:ind w:firstLine="0"/>
        <w:rPr>
          <w:rFonts w:hint="eastAsia" w:ascii="仿宋" w:hAnsi="仿宋" w:eastAsia="仿宋" w:cs="仿宋"/>
          <w:sz w:val="24"/>
          <w:szCs w:val="24"/>
          <w:highlight w:val="none"/>
        </w:rPr>
      </w:pPr>
    </w:p>
    <w:p w14:paraId="25612F79">
      <w:pPr>
        <w:pStyle w:val="171"/>
        <w:ind w:firstLine="0"/>
        <w:rPr>
          <w:rFonts w:hint="eastAsia" w:ascii="仿宋" w:hAnsi="仿宋" w:eastAsia="仿宋" w:cs="仿宋"/>
          <w:sz w:val="24"/>
          <w:szCs w:val="24"/>
          <w:highlight w:val="none"/>
        </w:rPr>
      </w:pPr>
    </w:p>
    <w:p w14:paraId="32E1B6AB">
      <w:pPr>
        <w:pStyle w:val="171"/>
        <w:ind w:firstLine="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第一部分 合同书</w:t>
      </w:r>
    </w:p>
    <w:p w14:paraId="0A0238F9">
      <w:pPr>
        <w:pStyle w:val="171"/>
        <w:ind w:firstLine="0"/>
        <w:rPr>
          <w:rFonts w:hint="eastAsia" w:ascii="仿宋" w:hAnsi="仿宋" w:eastAsia="仿宋" w:cs="仿宋"/>
          <w:sz w:val="24"/>
          <w:szCs w:val="24"/>
          <w:highlight w:val="none"/>
        </w:rPr>
      </w:pPr>
    </w:p>
    <w:p w14:paraId="76B5F89A">
      <w:pPr>
        <w:pStyle w:val="171"/>
        <w:ind w:firstLine="0"/>
        <w:rPr>
          <w:rFonts w:hint="eastAsia" w:ascii="仿宋" w:hAnsi="仿宋" w:eastAsia="仿宋" w:cs="仿宋"/>
          <w:sz w:val="24"/>
          <w:szCs w:val="24"/>
          <w:highlight w:val="none"/>
        </w:rPr>
      </w:pPr>
    </w:p>
    <w:p w14:paraId="401C2006">
      <w:pPr>
        <w:spacing w:before="120" w:line="22" w:lineRule="atLeast"/>
        <w:rPr>
          <w:rFonts w:hint="eastAsia" w:ascii="仿宋" w:hAnsi="仿宋" w:eastAsia="仿宋" w:cs="仿宋"/>
          <w:sz w:val="24"/>
          <w:szCs w:val="24"/>
          <w:highlight w:val="none"/>
        </w:rPr>
      </w:pPr>
    </w:p>
    <w:p w14:paraId="6E964B0F">
      <w:pPr>
        <w:spacing w:before="120" w:line="22" w:lineRule="atLeast"/>
        <w:ind w:left="96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rPr>
        <w:t xml:space="preserve">                                   </w:t>
      </w:r>
    </w:p>
    <w:p w14:paraId="66CBCB67">
      <w:pPr>
        <w:pStyle w:val="187"/>
        <w:spacing w:before="120" w:line="22" w:lineRule="atLeast"/>
        <w:rPr>
          <w:rFonts w:hint="eastAsia" w:ascii="仿宋" w:hAnsi="仿宋" w:eastAsia="仿宋" w:cs="仿宋"/>
          <w:sz w:val="24"/>
          <w:szCs w:val="24"/>
          <w:highlight w:val="none"/>
        </w:rPr>
      </w:pPr>
    </w:p>
    <w:p w14:paraId="42004679">
      <w:pPr>
        <w:pStyle w:val="187"/>
        <w:spacing w:before="120" w:line="22" w:lineRule="atLeast"/>
        <w:rPr>
          <w:rFonts w:hint="eastAsia" w:ascii="仿宋" w:hAnsi="仿宋" w:eastAsia="仿宋" w:cs="仿宋"/>
          <w:sz w:val="24"/>
          <w:szCs w:val="24"/>
          <w:highlight w:val="none"/>
        </w:rPr>
      </w:pPr>
    </w:p>
    <w:p w14:paraId="0D655533">
      <w:pPr>
        <w:rPr>
          <w:rFonts w:hint="eastAsia" w:ascii="仿宋" w:hAnsi="仿宋" w:eastAsia="仿宋" w:cs="仿宋"/>
          <w:sz w:val="24"/>
          <w:szCs w:val="24"/>
          <w:highlight w:val="none"/>
        </w:rPr>
      </w:pPr>
    </w:p>
    <w:p w14:paraId="4D7DDA3C">
      <w:pPr>
        <w:spacing w:before="120" w:line="22" w:lineRule="atLeast"/>
        <w:ind w:left="96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u w:val="single"/>
        </w:rPr>
        <w:t xml:space="preserve">                                       </w:t>
      </w:r>
    </w:p>
    <w:p w14:paraId="3BB9C6A5">
      <w:pPr>
        <w:spacing w:before="120" w:line="22" w:lineRule="atLeast"/>
        <w:rPr>
          <w:rFonts w:hint="eastAsia" w:ascii="仿宋" w:hAnsi="仿宋" w:eastAsia="仿宋" w:cs="仿宋"/>
          <w:sz w:val="24"/>
          <w:szCs w:val="24"/>
          <w:highlight w:val="none"/>
        </w:rPr>
      </w:pPr>
    </w:p>
    <w:p w14:paraId="4AD68513">
      <w:pPr>
        <w:spacing w:before="120" w:line="22" w:lineRule="atLeast"/>
        <w:ind w:left="96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乙方：</w:t>
      </w:r>
      <w:r>
        <w:rPr>
          <w:rFonts w:hint="eastAsia" w:ascii="仿宋" w:hAnsi="仿宋" w:eastAsia="仿宋" w:cs="仿宋"/>
          <w:sz w:val="24"/>
          <w:szCs w:val="24"/>
          <w:highlight w:val="none"/>
          <w:u w:val="single"/>
        </w:rPr>
        <w:t xml:space="preserve">                                       </w:t>
      </w:r>
    </w:p>
    <w:p w14:paraId="7A5A4BA1">
      <w:pPr>
        <w:spacing w:before="120" w:line="22" w:lineRule="atLeast"/>
        <w:rPr>
          <w:rFonts w:hint="eastAsia" w:ascii="仿宋" w:hAnsi="仿宋" w:eastAsia="仿宋" w:cs="仿宋"/>
          <w:sz w:val="24"/>
          <w:szCs w:val="24"/>
          <w:highlight w:val="none"/>
        </w:rPr>
      </w:pPr>
    </w:p>
    <w:p w14:paraId="2C15CC19">
      <w:pPr>
        <w:spacing w:before="120" w:line="22" w:lineRule="atLeast"/>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签订地：</w:t>
      </w:r>
      <w:r>
        <w:rPr>
          <w:rFonts w:hint="eastAsia" w:ascii="仿宋" w:hAnsi="仿宋" w:eastAsia="仿宋" w:cs="仿宋"/>
          <w:sz w:val="24"/>
          <w:szCs w:val="24"/>
          <w:highlight w:val="none"/>
          <w:u w:val="single"/>
        </w:rPr>
        <w:t xml:space="preserve">                                     </w:t>
      </w:r>
    </w:p>
    <w:p w14:paraId="36215163">
      <w:pPr>
        <w:spacing w:before="120" w:line="22" w:lineRule="atLeast"/>
        <w:rPr>
          <w:rFonts w:hint="eastAsia" w:ascii="仿宋" w:hAnsi="仿宋" w:eastAsia="仿宋" w:cs="仿宋"/>
          <w:sz w:val="24"/>
          <w:szCs w:val="24"/>
          <w:highlight w:val="none"/>
        </w:rPr>
      </w:pPr>
    </w:p>
    <w:p w14:paraId="2A0D7EBA">
      <w:pPr>
        <w:spacing w:before="120" w:line="22" w:lineRule="atLeast"/>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签订日期：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11391689">
      <w:pPr>
        <w:autoSpaceDE w:val="0"/>
        <w:autoSpaceDN w:val="0"/>
        <w:adjustRightInd w:val="0"/>
        <w:spacing w:line="600" w:lineRule="exact"/>
        <w:ind w:firstLine="640"/>
        <w:jc w:val="center"/>
        <w:rPr>
          <w:rFonts w:hint="eastAsia" w:ascii="仿宋" w:hAnsi="仿宋" w:eastAsia="仿宋" w:cs="仿宋"/>
          <w:sz w:val="24"/>
          <w:szCs w:val="24"/>
          <w:highlight w:val="none"/>
        </w:rPr>
        <w:sectPr>
          <w:headerReference r:id="rId5" w:type="default"/>
          <w:footerReference r:id="rId6" w:type="default"/>
          <w:type w:val="continuous"/>
          <w:pgSz w:w="11907" w:h="16840"/>
          <w:pgMar w:top="1440" w:right="1080" w:bottom="1440" w:left="1080" w:header="851" w:footer="851" w:gutter="0"/>
          <w:pgNumType w:start="1"/>
          <w:cols w:space="720" w:num="1"/>
          <w:docGrid w:linePitch="462" w:charSpace="0"/>
        </w:sectPr>
      </w:pPr>
    </w:p>
    <w:p w14:paraId="41CD2043">
      <w:pPr>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（采购人名称）   </w:t>
      </w:r>
      <w:r>
        <w:rPr>
          <w:rFonts w:hint="eastAsia" w:ascii="仿宋" w:hAnsi="仿宋" w:eastAsia="仿宋" w:cs="仿宋"/>
          <w:sz w:val="24"/>
          <w:szCs w:val="24"/>
          <w:highlight w:val="none"/>
        </w:rPr>
        <w:t>以</w:t>
      </w:r>
      <w:r>
        <w:rPr>
          <w:rFonts w:hint="eastAsia" w:ascii="仿宋" w:hAnsi="仿宋" w:eastAsia="仿宋" w:cs="仿宋"/>
          <w:sz w:val="24"/>
          <w:szCs w:val="24"/>
          <w:highlight w:val="none"/>
          <w:u w:val="single"/>
        </w:rPr>
        <w:t xml:space="preserve">   （政府采购方式）  </w:t>
      </w:r>
      <w:r>
        <w:rPr>
          <w:rFonts w:hint="eastAsia" w:ascii="仿宋" w:hAnsi="仿宋" w:eastAsia="仿宋" w:cs="仿宋"/>
          <w:sz w:val="24"/>
          <w:szCs w:val="24"/>
          <w:highlight w:val="none"/>
        </w:rPr>
        <w:t>对</w:t>
      </w:r>
      <w:r>
        <w:rPr>
          <w:rFonts w:hint="eastAsia" w:ascii="仿宋" w:hAnsi="仿宋" w:eastAsia="仿宋" w:cs="仿宋"/>
          <w:sz w:val="24"/>
          <w:szCs w:val="24"/>
          <w:highlight w:val="none"/>
          <w:u w:val="single"/>
        </w:rPr>
        <w:t xml:space="preserve">   （同前页项目名称）   </w:t>
      </w:r>
      <w:r>
        <w:rPr>
          <w:rFonts w:hint="eastAsia" w:ascii="仿宋" w:hAnsi="仿宋" w:eastAsia="仿宋" w:cs="仿宋"/>
          <w:sz w:val="24"/>
          <w:szCs w:val="24"/>
          <w:highlight w:val="none"/>
        </w:rPr>
        <w:t>项目进行了采购。经</w:t>
      </w:r>
      <w:r>
        <w:rPr>
          <w:rFonts w:hint="eastAsia" w:ascii="仿宋" w:hAnsi="仿宋" w:eastAsia="仿宋" w:cs="仿宋"/>
          <w:sz w:val="24"/>
          <w:szCs w:val="24"/>
          <w:highlight w:val="none"/>
          <w:u w:val="single"/>
        </w:rPr>
        <w:t xml:space="preserve">   （相关评定主体名称）   </w:t>
      </w:r>
      <w:r>
        <w:rPr>
          <w:rFonts w:hint="eastAsia" w:ascii="仿宋" w:hAnsi="仿宋" w:eastAsia="仿宋" w:cs="仿宋"/>
          <w:sz w:val="24"/>
          <w:szCs w:val="24"/>
          <w:highlight w:val="none"/>
        </w:rPr>
        <w:t>评定，</w:t>
      </w:r>
      <w:r>
        <w:rPr>
          <w:rFonts w:hint="eastAsia" w:ascii="仿宋" w:hAnsi="仿宋" w:eastAsia="仿宋" w:cs="仿宋"/>
          <w:sz w:val="24"/>
          <w:szCs w:val="24"/>
          <w:highlight w:val="none"/>
          <w:u w:val="single"/>
        </w:rPr>
        <w:t xml:space="preserve">   （中标供应商名称） </w:t>
      </w:r>
      <w:r>
        <w:rPr>
          <w:rFonts w:hint="eastAsia" w:ascii="仿宋" w:hAnsi="仿宋" w:eastAsia="仿宋" w:cs="仿宋"/>
          <w:sz w:val="24"/>
          <w:szCs w:val="24"/>
          <w:highlight w:val="none"/>
        </w:rPr>
        <w:t>为该项目中标供应商。现于中标通知书发出之日起三十日内，按照采购文件确定的事项签订本合同。</w:t>
      </w:r>
    </w:p>
    <w:p w14:paraId="71679F24">
      <w:pPr>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根据《中华人民共和国</w:t>
      </w:r>
      <w:r>
        <w:rPr>
          <w:rFonts w:hint="eastAsia" w:ascii="仿宋" w:hAnsi="仿宋" w:eastAsia="仿宋" w:cs="仿宋"/>
          <w:sz w:val="24"/>
          <w:szCs w:val="24"/>
          <w:highlight w:val="none"/>
          <w:lang w:val="en-US" w:eastAsia="zh-CN"/>
        </w:rPr>
        <w:t>民法典》《</w:t>
      </w:r>
      <w:r>
        <w:rPr>
          <w:rFonts w:hint="eastAsia" w:ascii="仿宋" w:hAnsi="仿宋" w:eastAsia="仿宋" w:cs="仿宋"/>
          <w:sz w:val="24"/>
          <w:szCs w:val="24"/>
          <w:highlight w:val="none"/>
          <w:lang w:val="zh-CN"/>
        </w:rPr>
        <w:t>中华人民共和国政府采购法》等相关法律法规之规定，按照平等、自愿、公平和诚实信用的原则，经</w:t>
      </w:r>
      <w:r>
        <w:rPr>
          <w:rFonts w:hint="eastAsia" w:ascii="仿宋" w:hAnsi="仿宋" w:eastAsia="仿宋" w:cs="仿宋"/>
          <w:sz w:val="24"/>
          <w:szCs w:val="24"/>
          <w:highlight w:val="none"/>
          <w:u w:val="single"/>
        </w:rPr>
        <w:t xml:space="preserve">   （采购人名称）   </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lang w:val="zh-CN"/>
        </w:rPr>
        <w:t>以下简称：甲方）和</w:t>
      </w:r>
      <w:r>
        <w:rPr>
          <w:rFonts w:hint="eastAsia" w:ascii="仿宋" w:hAnsi="仿宋" w:eastAsia="仿宋" w:cs="仿宋"/>
          <w:sz w:val="24"/>
          <w:szCs w:val="24"/>
          <w:highlight w:val="none"/>
          <w:u w:val="single"/>
        </w:rPr>
        <w:t xml:space="preserve">   （中标供应商名称）   </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lang w:val="zh-CN"/>
        </w:rPr>
        <w:t>以下简称：乙方）协商一致，约定以下合同</w:t>
      </w:r>
      <w:r>
        <w:rPr>
          <w:rFonts w:hint="eastAsia" w:ascii="仿宋" w:hAnsi="仿宋" w:eastAsia="仿宋" w:cs="仿宋"/>
          <w:sz w:val="24"/>
          <w:szCs w:val="24"/>
          <w:highlight w:val="none"/>
        </w:rPr>
        <w:t>条款，以兹共同遵守、全面履行。</w:t>
      </w:r>
    </w:p>
    <w:p w14:paraId="017FDBAD">
      <w:pPr>
        <w:spacing w:line="560" w:lineRule="exact"/>
        <w:ind w:firstLine="482" w:firstLineChars="200"/>
        <w:outlineLvl w:val="9"/>
        <w:rPr>
          <w:rFonts w:hint="eastAsia" w:ascii="仿宋" w:hAnsi="仿宋" w:eastAsia="仿宋" w:cs="仿宋"/>
          <w:sz w:val="24"/>
          <w:szCs w:val="24"/>
          <w:highlight w:val="none"/>
        </w:rPr>
      </w:pPr>
      <w:bookmarkStart w:id="340" w:name="_Toc22967"/>
      <w:bookmarkStart w:id="341" w:name="_Toc15367"/>
      <w:bookmarkStart w:id="342" w:name="_Toc20421"/>
      <w:bookmarkStart w:id="343" w:name="_Toc19273"/>
      <w:bookmarkStart w:id="344" w:name="_Toc28855"/>
      <w:r>
        <w:rPr>
          <w:rFonts w:hint="eastAsia" w:ascii="仿宋" w:hAnsi="仿宋" w:eastAsia="仿宋" w:cs="仿宋"/>
          <w:b/>
          <w:sz w:val="24"/>
          <w:szCs w:val="24"/>
          <w:highlight w:val="none"/>
        </w:rPr>
        <w:t>1.1 合同组成部分</w:t>
      </w:r>
      <w:bookmarkEnd w:id="340"/>
      <w:bookmarkEnd w:id="341"/>
      <w:bookmarkEnd w:id="342"/>
      <w:bookmarkEnd w:id="343"/>
      <w:bookmarkEnd w:id="344"/>
    </w:p>
    <w:p w14:paraId="661484E4">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仿宋" w:hAnsi="仿宋" w:eastAsia="仿宋" w:cs="仿宋"/>
          <w:sz w:val="24"/>
          <w:szCs w:val="24"/>
          <w:highlight w:val="none"/>
          <w:lang w:eastAsia="zh-CN"/>
        </w:rPr>
        <w:t>份文件</w:t>
      </w:r>
      <w:r>
        <w:rPr>
          <w:rFonts w:hint="eastAsia" w:ascii="仿宋" w:hAnsi="仿宋" w:eastAsia="仿宋" w:cs="仿宋"/>
          <w:sz w:val="24"/>
          <w:szCs w:val="24"/>
          <w:highlight w:val="none"/>
        </w:rPr>
        <w:t>的优先适用顺序如下：</w:t>
      </w:r>
    </w:p>
    <w:p w14:paraId="0EA50FD2">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1.1.1 本合同及其补充合同、变更协议；</w:t>
      </w:r>
    </w:p>
    <w:p w14:paraId="4B28965B">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1.1.2 中标通知书；</w:t>
      </w:r>
    </w:p>
    <w:p w14:paraId="1502C397">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1.1.3 投标文件（含澄清或者说明文件）；</w:t>
      </w:r>
    </w:p>
    <w:p w14:paraId="3125077A">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1.1.4 招标文件（含澄清或者修改文件）；</w:t>
      </w:r>
    </w:p>
    <w:p w14:paraId="64E821EC">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1.1.5 其他相关采购文件。</w:t>
      </w:r>
    </w:p>
    <w:p w14:paraId="4353F5E8">
      <w:pPr>
        <w:spacing w:line="560" w:lineRule="exact"/>
        <w:ind w:firstLine="482" w:firstLineChars="200"/>
        <w:outlineLvl w:val="9"/>
        <w:rPr>
          <w:rFonts w:hint="eastAsia" w:ascii="仿宋" w:hAnsi="仿宋" w:eastAsia="仿宋" w:cs="仿宋"/>
          <w:b/>
          <w:sz w:val="24"/>
          <w:szCs w:val="24"/>
          <w:highlight w:val="none"/>
        </w:rPr>
      </w:pPr>
      <w:bookmarkStart w:id="345" w:name="_Toc22185"/>
      <w:bookmarkStart w:id="346" w:name="_Toc6773"/>
      <w:bookmarkStart w:id="347" w:name="_Toc2918"/>
      <w:bookmarkStart w:id="348" w:name="_Toc6311"/>
      <w:bookmarkStart w:id="349" w:name="_Toc18585"/>
      <w:r>
        <w:rPr>
          <w:rFonts w:hint="eastAsia" w:ascii="仿宋" w:hAnsi="仿宋" w:eastAsia="仿宋" w:cs="仿宋"/>
          <w:b/>
          <w:sz w:val="24"/>
          <w:szCs w:val="24"/>
          <w:highlight w:val="none"/>
        </w:rPr>
        <w:t>1.2 标的</w:t>
      </w:r>
      <w:bookmarkEnd w:id="345"/>
      <w:bookmarkEnd w:id="346"/>
      <w:bookmarkEnd w:id="347"/>
      <w:bookmarkEnd w:id="348"/>
      <w:bookmarkEnd w:id="349"/>
    </w:p>
    <w:p w14:paraId="4177AA46">
      <w:pPr>
        <w:spacing w:line="560" w:lineRule="exact"/>
        <w:ind w:firstLine="480" w:firstLineChars="200"/>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1.2.1 标的名称：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11667733">
      <w:pPr>
        <w:spacing w:line="560" w:lineRule="exact"/>
        <w:ind w:firstLine="480" w:firstLineChars="200"/>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1.2.2 标的数量：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F85C92B">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1.2.3 标的质量：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37E4A583">
      <w:pPr>
        <w:spacing w:line="560" w:lineRule="exact"/>
        <w:ind w:firstLine="482" w:firstLineChars="200"/>
        <w:outlineLvl w:val="9"/>
        <w:rPr>
          <w:rFonts w:hint="eastAsia" w:ascii="仿宋" w:hAnsi="仿宋" w:eastAsia="仿宋" w:cs="仿宋"/>
          <w:b/>
          <w:sz w:val="24"/>
          <w:szCs w:val="24"/>
          <w:highlight w:val="none"/>
        </w:rPr>
      </w:pPr>
      <w:bookmarkStart w:id="350" w:name="_Toc13918"/>
      <w:bookmarkStart w:id="351" w:name="_Toc4929"/>
      <w:bookmarkStart w:id="352" w:name="_Toc1386"/>
      <w:bookmarkStart w:id="353" w:name="_Toc21124"/>
      <w:bookmarkStart w:id="354" w:name="_Toc5635"/>
      <w:r>
        <w:rPr>
          <w:rFonts w:hint="eastAsia" w:ascii="仿宋" w:hAnsi="仿宋" w:eastAsia="仿宋" w:cs="仿宋"/>
          <w:b/>
          <w:sz w:val="24"/>
          <w:szCs w:val="24"/>
          <w:highlight w:val="none"/>
        </w:rPr>
        <w:t>1.3 价款</w:t>
      </w:r>
      <w:bookmarkEnd w:id="350"/>
      <w:bookmarkEnd w:id="351"/>
      <w:bookmarkEnd w:id="352"/>
      <w:bookmarkEnd w:id="353"/>
      <w:bookmarkEnd w:id="354"/>
    </w:p>
    <w:p w14:paraId="0B3B40AF">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本合同总价为：￥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元人民币）。</w:t>
      </w:r>
    </w:p>
    <w:p w14:paraId="2BD517C1">
      <w:pPr>
        <w:spacing w:line="560" w:lineRule="exact"/>
        <w:ind w:firstLine="480" w:firstLineChars="200"/>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分项价格：</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3708"/>
      </w:tblGrid>
      <w:tr w14:paraId="3FD4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E8197A7">
            <w:pPr>
              <w:pStyle w:val="188"/>
              <w:keepNext w:val="0"/>
              <w:keepLines w:val="0"/>
              <w:suppressLineNumbers w:val="0"/>
              <w:spacing w:before="0" w:beforeAutospacing="0" w:after="0" w:afterAutospacing="0" w:line="560" w:lineRule="exact"/>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3402" w:type="dxa"/>
            <w:noWrap w:val="0"/>
            <w:vAlign w:val="center"/>
          </w:tcPr>
          <w:p w14:paraId="329A0C9E">
            <w:pPr>
              <w:pStyle w:val="188"/>
              <w:keepNext w:val="0"/>
              <w:keepLines w:val="0"/>
              <w:suppressLineNumbers w:val="0"/>
              <w:spacing w:before="0" w:beforeAutospacing="0" w:after="0" w:afterAutospacing="0" w:line="560" w:lineRule="exact"/>
              <w:ind w:firstLine="200"/>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分项名称</w:t>
            </w:r>
          </w:p>
        </w:tc>
        <w:tc>
          <w:tcPr>
            <w:tcW w:w="3708" w:type="dxa"/>
            <w:noWrap w:val="0"/>
            <w:vAlign w:val="center"/>
          </w:tcPr>
          <w:p w14:paraId="4B0318AD">
            <w:pPr>
              <w:pStyle w:val="188"/>
              <w:keepNext w:val="0"/>
              <w:keepLines w:val="0"/>
              <w:suppressLineNumbers w:val="0"/>
              <w:spacing w:before="0" w:beforeAutospacing="0" w:after="0" w:afterAutospacing="0" w:line="560" w:lineRule="exact"/>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分项价格</w:t>
            </w:r>
          </w:p>
        </w:tc>
      </w:tr>
      <w:tr w14:paraId="3C51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85BD6D2">
            <w:pPr>
              <w:pStyle w:val="188"/>
              <w:keepNext w:val="0"/>
              <w:keepLines w:val="0"/>
              <w:suppressLineNumbers w:val="0"/>
              <w:spacing w:before="0" w:beforeAutospacing="0" w:after="0" w:afterAutospacing="0" w:line="560" w:lineRule="exact"/>
              <w:ind w:firstLine="200"/>
              <w:jc w:val="center"/>
              <w:outlineLvl w:val="9"/>
              <w:rPr>
                <w:rFonts w:hint="eastAsia" w:ascii="仿宋" w:hAnsi="仿宋" w:eastAsia="仿宋" w:cs="仿宋"/>
                <w:color w:val="000000"/>
                <w:sz w:val="24"/>
                <w:szCs w:val="24"/>
                <w:highlight w:val="none"/>
              </w:rPr>
            </w:pPr>
          </w:p>
        </w:tc>
        <w:tc>
          <w:tcPr>
            <w:tcW w:w="3402" w:type="dxa"/>
            <w:noWrap w:val="0"/>
            <w:vAlign w:val="center"/>
          </w:tcPr>
          <w:p w14:paraId="67C4893B">
            <w:pPr>
              <w:pStyle w:val="188"/>
              <w:keepNext w:val="0"/>
              <w:keepLines w:val="0"/>
              <w:suppressLineNumbers w:val="0"/>
              <w:spacing w:before="0" w:beforeAutospacing="0" w:after="0" w:afterAutospacing="0" w:line="560" w:lineRule="exact"/>
              <w:ind w:firstLine="200"/>
              <w:jc w:val="center"/>
              <w:outlineLvl w:val="9"/>
              <w:rPr>
                <w:rFonts w:hint="eastAsia" w:ascii="仿宋" w:hAnsi="仿宋" w:eastAsia="仿宋" w:cs="仿宋"/>
                <w:color w:val="000000"/>
                <w:sz w:val="24"/>
                <w:szCs w:val="24"/>
                <w:highlight w:val="none"/>
              </w:rPr>
            </w:pPr>
          </w:p>
        </w:tc>
        <w:tc>
          <w:tcPr>
            <w:tcW w:w="3708" w:type="dxa"/>
            <w:noWrap w:val="0"/>
            <w:vAlign w:val="center"/>
          </w:tcPr>
          <w:p w14:paraId="21F4A1AE">
            <w:pPr>
              <w:pStyle w:val="188"/>
              <w:keepNext w:val="0"/>
              <w:keepLines w:val="0"/>
              <w:suppressLineNumbers w:val="0"/>
              <w:spacing w:before="0" w:beforeAutospacing="0" w:after="0" w:afterAutospacing="0" w:line="560" w:lineRule="exact"/>
              <w:ind w:firstLine="200"/>
              <w:jc w:val="center"/>
              <w:outlineLvl w:val="9"/>
              <w:rPr>
                <w:rFonts w:hint="eastAsia" w:ascii="仿宋" w:hAnsi="仿宋" w:eastAsia="仿宋" w:cs="仿宋"/>
                <w:color w:val="000000"/>
                <w:sz w:val="24"/>
                <w:szCs w:val="24"/>
                <w:highlight w:val="none"/>
              </w:rPr>
            </w:pPr>
          </w:p>
        </w:tc>
      </w:tr>
      <w:tr w14:paraId="4B8F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F1E89AB">
            <w:pPr>
              <w:pStyle w:val="188"/>
              <w:keepNext w:val="0"/>
              <w:keepLines w:val="0"/>
              <w:suppressLineNumbers w:val="0"/>
              <w:spacing w:before="0" w:beforeAutospacing="0" w:after="0" w:afterAutospacing="0" w:line="560" w:lineRule="exact"/>
              <w:ind w:firstLine="200"/>
              <w:jc w:val="center"/>
              <w:outlineLvl w:val="9"/>
              <w:rPr>
                <w:rFonts w:hint="eastAsia" w:ascii="仿宋" w:hAnsi="仿宋" w:eastAsia="仿宋" w:cs="仿宋"/>
                <w:color w:val="000000"/>
                <w:sz w:val="24"/>
                <w:szCs w:val="24"/>
                <w:highlight w:val="none"/>
              </w:rPr>
            </w:pPr>
          </w:p>
        </w:tc>
        <w:tc>
          <w:tcPr>
            <w:tcW w:w="3402" w:type="dxa"/>
            <w:noWrap w:val="0"/>
            <w:vAlign w:val="center"/>
          </w:tcPr>
          <w:p w14:paraId="37FA2FCE">
            <w:pPr>
              <w:pStyle w:val="188"/>
              <w:keepNext w:val="0"/>
              <w:keepLines w:val="0"/>
              <w:suppressLineNumbers w:val="0"/>
              <w:spacing w:before="0" w:beforeAutospacing="0" w:after="0" w:afterAutospacing="0" w:line="560" w:lineRule="exact"/>
              <w:ind w:firstLine="200"/>
              <w:jc w:val="center"/>
              <w:outlineLvl w:val="9"/>
              <w:rPr>
                <w:rFonts w:hint="eastAsia" w:ascii="仿宋" w:hAnsi="仿宋" w:eastAsia="仿宋" w:cs="仿宋"/>
                <w:color w:val="000000"/>
                <w:sz w:val="24"/>
                <w:szCs w:val="24"/>
                <w:highlight w:val="none"/>
              </w:rPr>
            </w:pPr>
          </w:p>
        </w:tc>
        <w:tc>
          <w:tcPr>
            <w:tcW w:w="3708" w:type="dxa"/>
            <w:noWrap w:val="0"/>
            <w:vAlign w:val="center"/>
          </w:tcPr>
          <w:p w14:paraId="0021AF4D">
            <w:pPr>
              <w:pStyle w:val="188"/>
              <w:keepNext w:val="0"/>
              <w:keepLines w:val="0"/>
              <w:suppressLineNumbers w:val="0"/>
              <w:spacing w:before="0" w:beforeAutospacing="0" w:after="0" w:afterAutospacing="0" w:line="560" w:lineRule="exact"/>
              <w:ind w:firstLine="200"/>
              <w:jc w:val="center"/>
              <w:outlineLvl w:val="9"/>
              <w:rPr>
                <w:rFonts w:hint="eastAsia" w:ascii="仿宋" w:hAnsi="仿宋" w:eastAsia="仿宋" w:cs="仿宋"/>
                <w:color w:val="000000"/>
                <w:sz w:val="24"/>
                <w:szCs w:val="24"/>
                <w:highlight w:val="none"/>
              </w:rPr>
            </w:pPr>
          </w:p>
        </w:tc>
      </w:tr>
      <w:tr w14:paraId="3F68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801B481">
            <w:pPr>
              <w:pStyle w:val="188"/>
              <w:keepNext w:val="0"/>
              <w:keepLines w:val="0"/>
              <w:suppressLineNumbers w:val="0"/>
              <w:spacing w:before="0" w:beforeAutospacing="0" w:after="0" w:afterAutospacing="0" w:line="560" w:lineRule="exact"/>
              <w:ind w:firstLine="200"/>
              <w:jc w:val="center"/>
              <w:outlineLvl w:val="9"/>
              <w:rPr>
                <w:rFonts w:hint="eastAsia" w:ascii="仿宋" w:hAnsi="仿宋" w:eastAsia="仿宋" w:cs="仿宋"/>
                <w:color w:val="000000"/>
                <w:sz w:val="24"/>
                <w:szCs w:val="24"/>
                <w:highlight w:val="none"/>
              </w:rPr>
            </w:pPr>
          </w:p>
        </w:tc>
        <w:tc>
          <w:tcPr>
            <w:tcW w:w="3402" w:type="dxa"/>
            <w:noWrap w:val="0"/>
            <w:vAlign w:val="center"/>
          </w:tcPr>
          <w:p w14:paraId="393411D4">
            <w:pPr>
              <w:pStyle w:val="188"/>
              <w:keepNext w:val="0"/>
              <w:keepLines w:val="0"/>
              <w:suppressLineNumbers w:val="0"/>
              <w:spacing w:before="0" w:beforeAutospacing="0" w:after="0" w:afterAutospacing="0" w:line="560" w:lineRule="exact"/>
              <w:ind w:firstLine="200"/>
              <w:jc w:val="center"/>
              <w:outlineLvl w:val="9"/>
              <w:rPr>
                <w:rFonts w:hint="eastAsia" w:ascii="仿宋" w:hAnsi="仿宋" w:eastAsia="仿宋" w:cs="仿宋"/>
                <w:color w:val="000000"/>
                <w:sz w:val="24"/>
                <w:szCs w:val="24"/>
                <w:highlight w:val="none"/>
              </w:rPr>
            </w:pPr>
          </w:p>
        </w:tc>
        <w:tc>
          <w:tcPr>
            <w:tcW w:w="3708" w:type="dxa"/>
            <w:noWrap w:val="0"/>
            <w:vAlign w:val="center"/>
          </w:tcPr>
          <w:p w14:paraId="6BAB0397">
            <w:pPr>
              <w:pStyle w:val="188"/>
              <w:keepNext w:val="0"/>
              <w:keepLines w:val="0"/>
              <w:suppressLineNumbers w:val="0"/>
              <w:spacing w:before="0" w:beforeAutospacing="0" w:after="0" w:afterAutospacing="0" w:line="560" w:lineRule="exact"/>
              <w:ind w:firstLine="200"/>
              <w:jc w:val="center"/>
              <w:outlineLvl w:val="9"/>
              <w:rPr>
                <w:rFonts w:hint="eastAsia" w:ascii="仿宋" w:hAnsi="仿宋" w:eastAsia="仿宋" w:cs="仿宋"/>
                <w:color w:val="000000"/>
                <w:sz w:val="24"/>
                <w:szCs w:val="24"/>
                <w:highlight w:val="none"/>
              </w:rPr>
            </w:pPr>
          </w:p>
        </w:tc>
      </w:tr>
      <w:tr w14:paraId="000E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81B124C">
            <w:pPr>
              <w:pStyle w:val="188"/>
              <w:keepNext w:val="0"/>
              <w:keepLines w:val="0"/>
              <w:suppressLineNumbers w:val="0"/>
              <w:spacing w:before="0" w:beforeAutospacing="0" w:after="0" w:afterAutospacing="0" w:line="560" w:lineRule="exact"/>
              <w:ind w:firstLine="200"/>
              <w:jc w:val="center"/>
              <w:outlineLvl w:val="9"/>
              <w:rPr>
                <w:rFonts w:hint="eastAsia" w:ascii="仿宋" w:hAnsi="仿宋" w:eastAsia="仿宋" w:cs="仿宋"/>
                <w:color w:val="000000"/>
                <w:sz w:val="24"/>
                <w:szCs w:val="24"/>
                <w:highlight w:val="none"/>
              </w:rPr>
            </w:pPr>
          </w:p>
        </w:tc>
        <w:tc>
          <w:tcPr>
            <w:tcW w:w="3402" w:type="dxa"/>
            <w:noWrap w:val="0"/>
            <w:vAlign w:val="center"/>
          </w:tcPr>
          <w:p w14:paraId="5F2E5B5B">
            <w:pPr>
              <w:pStyle w:val="188"/>
              <w:keepNext w:val="0"/>
              <w:keepLines w:val="0"/>
              <w:suppressLineNumbers w:val="0"/>
              <w:spacing w:before="0" w:beforeAutospacing="0" w:after="0" w:afterAutospacing="0" w:line="560" w:lineRule="exact"/>
              <w:ind w:firstLine="200"/>
              <w:jc w:val="center"/>
              <w:outlineLvl w:val="9"/>
              <w:rPr>
                <w:rFonts w:hint="eastAsia" w:ascii="仿宋" w:hAnsi="仿宋" w:eastAsia="仿宋" w:cs="仿宋"/>
                <w:color w:val="000000"/>
                <w:sz w:val="24"/>
                <w:szCs w:val="24"/>
                <w:highlight w:val="none"/>
              </w:rPr>
            </w:pPr>
          </w:p>
        </w:tc>
        <w:tc>
          <w:tcPr>
            <w:tcW w:w="3708" w:type="dxa"/>
            <w:noWrap w:val="0"/>
            <w:vAlign w:val="center"/>
          </w:tcPr>
          <w:p w14:paraId="541CD583">
            <w:pPr>
              <w:pStyle w:val="188"/>
              <w:keepNext w:val="0"/>
              <w:keepLines w:val="0"/>
              <w:suppressLineNumbers w:val="0"/>
              <w:spacing w:before="0" w:beforeAutospacing="0" w:after="0" w:afterAutospacing="0" w:line="560" w:lineRule="exact"/>
              <w:ind w:firstLine="200"/>
              <w:jc w:val="center"/>
              <w:outlineLvl w:val="9"/>
              <w:rPr>
                <w:rFonts w:hint="eastAsia" w:ascii="仿宋" w:hAnsi="仿宋" w:eastAsia="仿宋" w:cs="仿宋"/>
                <w:color w:val="000000"/>
                <w:sz w:val="24"/>
                <w:szCs w:val="24"/>
                <w:highlight w:val="none"/>
              </w:rPr>
            </w:pPr>
          </w:p>
        </w:tc>
      </w:tr>
      <w:tr w14:paraId="7BF8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4B6BD1D4">
            <w:pPr>
              <w:pStyle w:val="188"/>
              <w:keepNext w:val="0"/>
              <w:keepLines w:val="0"/>
              <w:suppressLineNumbers w:val="0"/>
              <w:spacing w:before="0" w:beforeAutospacing="0" w:after="0" w:afterAutospacing="0" w:line="560" w:lineRule="exact"/>
              <w:ind w:firstLine="200"/>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总价</w:t>
            </w:r>
          </w:p>
        </w:tc>
        <w:tc>
          <w:tcPr>
            <w:tcW w:w="3708" w:type="dxa"/>
            <w:noWrap w:val="0"/>
            <w:vAlign w:val="center"/>
          </w:tcPr>
          <w:p w14:paraId="6EF3F621">
            <w:pPr>
              <w:pStyle w:val="188"/>
              <w:keepNext w:val="0"/>
              <w:keepLines w:val="0"/>
              <w:suppressLineNumbers w:val="0"/>
              <w:spacing w:before="0" w:beforeAutospacing="0" w:after="0" w:afterAutospacing="0" w:line="560" w:lineRule="exact"/>
              <w:ind w:firstLine="200"/>
              <w:jc w:val="center"/>
              <w:outlineLvl w:val="9"/>
              <w:rPr>
                <w:rFonts w:hint="eastAsia" w:ascii="仿宋" w:hAnsi="仿宋" w:eastAsia="仿宋" w:cs="仿宋"/>
                <w:color w:val="000000"/>
                <w:sz w:val="24"/>
                <w:szCs w:val="24"/>
                <w:highlight w:val="none"/>
              </w:rPr>
            </w:pPr>
          </w:p>
        </w:tc>
      </w:tr>
    </w:tbl>
    <w:p w14:paraId="649FD0D6">
      <w:pPr>
        <w:spacing w:line="560" w:lineRule="exact"/>
        <w:ind w:firstLine="482" w:firstLineChars="200"/>
        <w:outlineLvl w:val="9"/>
        <w:rPr>
          <w:rFonts w:hint="eastAsia" w:ascii="仿宋" w:hAnsi="仿宋" w:eastAsia="仿宋" w:cs="仿宋"/>
          <w:b/>
          <w:sz w:val="24"/>
          <w:szCs w:val="24"/>
          <w:highlight w:val="none"/>
        </w:rPr>
      </w:pPr>
      <w:bookmarkStart w:id="355" w:name="_Toc14993"/>
      <w:bookmarkStart w:id="356" w:name="_Toc26916"/>
      <w:bookmarkStart w:id="357" w:name="_Toc30506"/>
      <w:bookmarkStart w:id="358" w:name="_Toc30158"/>
      <w:bookmarkStart w:id="359" w:name="_Toc3654"/>
      <w:r>
        <w:rPr>
          <w:rFonts w:hint="eastAsia" w:ascii="仿宋" w:hAnsi="仿宋" w:eastAsia="仿宋" w:cs="仿宋"/>
          <w:b/>
          <w:sz w:val="24"/>
          <w:szCs w:val="24"/>
          <w:highlight w:val="none"/>
        </w:rPr>
        <w:t>1.4 付款方式和发票开具方式</w:t>
      </w:r>
      <w:bookmarkEnd w:id="355"/>
      <w:bookmarkEnd w:id="356"/>
      <w:bookmarkEnd w:id="357"/>
      <w:bookmarkEnd w:id="358"/>
      <w:bookmarkEnd w:id="359"/>
    </w:p>
    <w:p w14:paraId="63BC0FF2">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1.4.1付款方式：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505F6C8D">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1.4.2 发票开具方式：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8096B51">
      <w:pPr>
        <w:spacing w:line="560" w:lineRule="exact"/>
        <w:ind w:firstLine="482" w:firstLineChars="200"/>
        <w:outlineLvl w:val="9"/>
        <w:rPr>
          <w:rFonts w:hint="eastAsia" w:ascii="仿宋" w:hAnsi="仿宋" w:eastAsia="仿宋" w:cs="仿宋"/>
          <w:b/>
          <w:sz w:val="24"/>
          <w:szCs w:val="24"/>
          <w:highlight w:val="none"/>
        </w:rPr>
      </w:pPr>
      <w:bookmarkStart w:id="360" w:name="_Toc8772"/>
      <w:bookmarkStart w:id="361" w:name="_Toc11108"/>
      <w:bookmarkStart w:id="362" w:name="_Toc4760"/>
      <w:bookmarkStart w:id="363" w:name="_Toc31421"/>
      <w:bookmarkStart w:id="364" w:name="_Toc3625"/>
      <w:r>
        <w:rPr>
          <w:rFonts w:hint="eastAsia" w:ascii="仿宋" w:hAnsi="仿宋" w:eastAsia="仿宋" w:cs="仿宋"/>
          <w:b/>
          <w:sz w:val="24"/>
          <w:szCs w:val="24"/>
          <w:highlight w:val="none"/>
        </w:rPr>
        <w:t>1.5 履行期限、地点和方式</w:t>
      </w:r>
      <w:bookmarkEnd w:id="360"/>
      <w:bookmarkEnd w:id="361"/>
      <w:bookmarkEnd w:id="362"/>
      <w:bookmarkEnd w:id="363"/>
      <w:bookmarkEnd w:id="364"/>
    </w:p>
    <w:p w14:paraId="6972A38A">
      <w:pPr>
        <w:spacing w:line="560" w:lineRule="exact"/>
        <w:ind w:firstLine="480" w:firstLineChars="200"/>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1.5.1 履行期限：</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7542538F">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1.5.2 履行地点：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7E27EDE7">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1.5.3 履行方式：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381E5A21">
      <w:pPr>
        <w:spacing w:line="560" w:lineRule="exact"/>
        <w:ind w:firstLine="482" w:firstLineChars="200"/>
        <w:outlineLvl w:val="9"/>
        <w:rPr>
          <w:rFonts w:hint="eastAsia" w:ascii="仿宋" w:hAnsi="仿宋" w:eastAsia="仿宋" w:cs="仿宋"/>
          <w:sz w:val="24"/>
          <w:szCs w:val="24"/>
          <w:highlight w:val="none"/>
          <w:u w:val="single"/>
        </w:rPr>
      </w:pPr>
      <w:bookmarkStart w:id="365" w:name="_Toc8586"/>
      <w:bookmarkStart w:id="366" w:name="_Toc24662"/>
      <w:bookmarkStart w:id="367" w:name="_Toc5698"/>
      <w:bookmarkStart w:id="368" w:name="_Toc2375"/>
      <w:bookmarkStart w:id="369" w:name="_Toc3079"/>
      <w:r>
        <w:rPr>
          <w:rFonts w:hint="eastAsia" w:ascii="仿宋" w:hAnsi="仿宋" w:eastAsia="仿宋" w:cs="仿宋"/>
          <w:b/>
          <w:sz w:val="24"/>
          <w:szCs w:val="24"/>
          <w:highlight w:val="none"/>
        </w:rPr>
        <w:t>1.6 违约责任</w:t>
      </w:r>
      <w:bookmarkEnd w:id="365"/>
      <w:bookmarkEnd w:id="366"/>
      <w:bookmarkEnd w:id="367"/>
      <w:bookmarkEnd w:id="368"/>
      <w:bookmarkEnd w:id="369"/>
    </w:p>
    <w:p w14:paraId="297FA6B4">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%计算，最高限额为本合同总价的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%；迟延履行的违约金计算数额达到前述最高限额之日起，甲方有权在要求乙方支付违约金的同时，书面通知乙方解除本合同；</w:t>
      </w:r>
    </w:p>
    <w:p w14:paraId="0EB0119D">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%计算，最高限额为本合同总价的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%；迟延付款的违约金计算数额达到前述最高限额之日起，乙方有权在要求甲方支付违约金的同时，书面通知甲方解除本合同；</w:t>
      </w:r>
    </w:p>
    <w:p w14:paraId="2379414B">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D888EDC">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789586E">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1A854E8">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2F74361F">
      <w:pPr>
        <w:spacing w:line="560" w:lineRule="exact"/>
        <w:ind w:firstLine="482" w:firstLineChars="200"/>
        <w:outlineLvl w:val="9"/>
        <w:rPr>
          <w:rFonts w:hint="eastAsia" w:ascii="仿宋" w:hAnsi="仿宋" w:eastAsia="仿宋" w:cs="仿宋"/>
          <w:b/>
          <w:sz w:val="24"/>
          <w:szCs w:val="24"/>
          <w:highlight w:val="none"/>
        </w:rPr>
      </w:pPr>
      <w:bookmarkStart w:id="370" w:name="_Toc18683"/>
      <w:bookmarkStart w:id="371" w:name="_Toc32454"/>
      <w:bookmarkStart w:id="372" w:name="_Toc26807"/>
      <w:bookmarkStart w:id="373" w:name="_Toc30329"/>
      <w:bookmarkStart w:id="374" w:name="_Toc9497"/>
      <w:r>
        <w:rPr>
          <w:rFonts w:hint="eastAsia" w:ascii="仿宋" w:hAnsi="仿宋" w:eastAsia="仿宋" w:cs="仿宋"/>
          <w:b/>
          <w:sz w:val="24"/>
          <w:szCs w:val="24"/>
          <w:highlight w:val="none"/>
        </w:rPr>
        <w:t>1.7 合同争议的解决</w:t>
      </w:r>
      <w:bookmarkEnd w:id="370"/>
      <w:bookmarkEnd w:id="371"/>
      <w:bookmarkEnd w:id="372"/>
      <w:bookmarkEnd w:id="373"/>
      <w:bookmarkEnd w:id="374"/>
    </w:p>
    <w:p w14:paraId="05619D93">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种方式解决：</w:t>
      </w:r>
    </w:p>
    <w:p w14:paraId="78A6EEC6">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1.7.1 将争议提交</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仲裁委员会依申请仲裁时其现行有效的仲裁规则裁决；</w:t>
      </w:r>
    </w:p>
    <w:p w14:paraId="0084D1BD">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1.7.2 向</w:t>
      </w:r>
      <w:r>
        <w:rPr>
          <w:rFonts w:hint="eastAsia" w:ascii="仿宋" w:hAnsi="仿宋" w:eastAsia="仿宋" w:cs="仿宋"/>
          <w:sz w:val="24"/>
          <w:szCs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szCs w:val="24"/>
          <w:highlight w:val="none"/>
        </w:rPr>
        <w:t>人民法院起诉。</w:t>
      </w:r>
    </w:p>
    <w:p w14:paraId="59E42229">
      <w:pPr>
        <w:spacing w:line="560" w:lineRule="exact"/>
        <w:ind w:firstLine="482" w:firstLineChars="200"/>
        <w:outlineLvl w:val="9"/>
        <w:rPr>
          <w:rFonts w:hint="eastAsia" w:ascii="仿宋" w:hAnsi="仿宋" w:eastAsia="仿宋" w:cs="仿宋"/>
          <w:b/>
          <w:sz w:val="24"/>
          <w:szCs w:val="24"/>
          <w:highlight w:val="none"/>
        </w:rPr>
      </w:pPr>
      <w:bookmarkStart w:id="375" w:name="_Toc23784"/>
      <w:bookmarkStart w:id="376" w:name="_Toc16417"/>
      <w:bookmarkStart w:id="377" w:name="_Toc15827"/>
      <w:bookmarkStart w:id="378" w:name="_Toc26227"/>
      <w:bookmarkStart w:id="379" w:name="_Toc12273"/>
      <w:r>
        <w:rPr>
          <w:rFonts w:hint="eastAsia" w:ascii="仿宋" w:hAnsi="仿宋" w:eastAsia="仿宋" w:cs="仿宋"/>
          <w:b/>
          <w:sz w:val="24"/>
          <w:szCs w:val="24"/>
          <w:highlight w:val="none"/>
        </w:rPr>
        <w:t>1.8 合同生效</w:t>
      </w:r>
      <w:bookmarkEnd w:id="375"/>
      <w:bookmarkEnd w:id="376"/>
      <w:bookmarkEnd w:id="377"/>
      <w:bookmarkEnd w:id="378"/>
      <w:bookmarkEnd w:id="379"/>
    </w:p>
    <w:p w14:paraId="2F715879">
      <w:pPr>
        <w:spacing w:line="560" w:lineRule="exact"/>
        <w:ind w:firstLine="480" w:firstLineChars="200"/>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本合同自双方当事人盖章或者签字时生效。</w:t>
      </w:r>
    </w:p>
    <w:p w14:paraId="0D2D777C">
      <w:pPr>
        <w:autoSpaceDE w:val="0"/>
        <w:autoSpaceDN w:val="0"/>
        <w:adjustRightInd w:val="0"/>
        <w:spacing w:line="560" w:lineRule="exact"/>
        <w:outlineLvl w:val="9"/>
        <w:rPr>
          <w:rFonts w:hint="eastAsia" w:ascii="仿宋" w:hAnsi="仿宋" w:eastAsia="仿宋" w:cs="仿宋"/>
          <w:sz w:val="24"/>
          <w:szCs w:val="24"/>
          <w:highlight w:val="none"/>
          <w:lang w:val="zh-CN"/>
        </w:rPr>
      </w:pPr>
    </w:p>
    <w:p w14:paraId="5622626D">
      <w:pPr>
        <w:autoSpaceDE w:val="0"/>
        <w:autoSpaceDN w:val="0"/>
        <w:adjustRightInd w:val="0"/>
        <w:spacing w:line="560" w:lineRule="exact"/>
        <w:outlineLvl w:val="9"/>
        <w:rPr>
          <w:rFonts w:hint="eastAsia" w:ascii="仿宋" w:hAnsi="仿宋" w:eastAsia="仿宋" w:cs="仿宋"/>
          <w:sz w:val="24"/>
          <w:szCs w:val="24"/>
          <w:highlight w:val="none"/>
          <w:lang w:val="zh-CN"/>
        </w:rPr>
      </w:pPr>
    </w:p>
    <w:p w14:paraId="69C016D1">
      <w:pPr>
        <w:autoSpaceDE w:val="0"/>
        <w:autoSpaceDN w:val="0"/>
        <w:adjustRightInd w:val="0"/>
        <w:spacing w:line="560" w:lineRule="exact"/>
        <w:outlineLvl w:val="9"/>
        <w:rPr>
          <w:rFonts w:hint="eastAsia" w:ascii="仿宋" w:hAnsi="仿宋" w:eastAsia="仿宋" w:cs="仿宋"/>
          <w:sz w:val="24"/>
          <w:szCs w:val="24"/>
          <w:highlight w:val="none"/>
          <w:lang w:val="zh-CN"/>
        </w:rPr>
      </w:pPr>
    </w:p>
    <w:p w14:paraId="17E62931">
      <w:pPr>
        <w:autoSpaceDE w:val="0"/>
        <w:autoSpaceDN w:val="0"/>
        <w:adjustRightInd w:val="0"/>
        <w:spacing w:line="560" w:lineRule="exact"/>
        <w:outlineLvl w:val="9"/>
        <w:rPr>
          <w:rFonts w:hint="eastAsia" w:ascii="仿宋" w:hAnsi="仿宋" w:eastAsia="仿宋" w:cs="仿宋"/>
          <w:sz w:val="24"/>
          <w:szCs w:val="24"/>
          <w:highlight w:val="none"/>
          <w:lang w:val="zh-CN"/>
        </w:rPr>
      </w:pPr>
      <w:r>
        <w:rPr>
          <w:rFonts w:hint="eastAsia" w:ascii="仿宋" w:hAnsi="仿宋" w:eastAsia="仿宋" w:cs="仿宋"/>
          <w:b/>
          <w:sz w:val="24"/>
          <w:szCs w:val="24"/>
          <w:highlight w:val="none"/>
          <w:lang w:val="zh-CN"/>
        </w:rPr>
        <w:t>甲方</w:t>
      </w:r>
      <w:r>
        <w:rPr>
          <w:rFonts w:hint="eastAsia" w:ascii="仿宋" w:hAnsi="仿宋" w:eastAsia="仿宋" w:cs="仿宋"/>
          <w:sz w:val="24"/>
          <w:szCs w:val="24"/>
          <w:highlight w:val="none"/>
          <w:lang w:val="zh-CN"/>
        </w:rPr>
        <w:t xml:space="preserve">：                             </w:t>
      </w:r>
      <w:r>
        <w:rPr>
          <w:rFonts w:hint="eastAsia" w:ascii="仿宋" w:hAnsi="仿宋" w:eastAsia="仿宋" w:cs="仿宋"/>
          <w:b/>
          <w:sz w:val="24"/>
          <w:szCs w:val="24"/>
          <w:highlight w:val="none"/>
          <w:lang w:val="zh-CN"/>
        </w:rPr>
        <w:t xml:space="preserve">      乙方</w:t>
      </w:r>
      <w:r>
        <w:rPr>
          <w:rFonts w:hint="eastAsia" w:ascii="仿宋" w:hAnsi="仿宋" w:eastAsia="仿宋" w:cs="仿宋"/>
          <w:sz w:val="24"/>
          <w:szCs w:val="24"/>
          <w:highlight w:val="none"/>
          <w:lang w:val="zh-CN"/>
        </w:rPr>
        <w:t>：</w:t>
      </w:r>
    </w:p>
    <w:p w14:paraId="2BEE9CA8">
      <w:pPr>
        <w:autoSpaceDE w:val="0"/>
        <w:autoSpaceDN w:val="0"/>
        <w:adjustRightInd w:val="0"/>
        <w:spacing w:line="560" w:lineRule="exact"/>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统一社会信用代码：                        统一社会信用代码或身份证号码：</w:t>
      </w:r>
    </w:p>
    <w:p w14:paraId="085FAFD9">
      <w:pPr>
        <w:autoSpaceDE w:val="0"/>
        <w:autoSpaceDN w:val="0"/>
        <w:adjustRightInd w:val="0"/>
        <w:spacing w:line="560" w:lineRule="exact"/>
        <w:outlineLvl w:val="9"/>
        <w:rPr>
          <w:rFonts w:hint="eastAsia" w:ascii="仿宋" w:hAnsi="仿宋" w:eastAsia="仿宋" w:cs="仿宋"/>
          <w:sz w:val="24"/>
          <w:szCs w:val="24"/>
          <w:highlight w:val="none"/>
          <w:lang w:val="zh-CN"/>
        </w:rPr>
      </w:pPr>
    </w:p>
    <w:p w14:paraId="05B44013">
      <w:pPr>
        <w:autoSpaceDE w:val="0"/>
        <w:autoSpaceDN w:val="0"/>
        <w:adjustRightInd w:val="0"/>
        <w:spacing w:line="560" w:lineRule="exact"/>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住所：                                   住所：</w:t>
      </w:r>
    </w:p>
    <w:p w14:paraId="2BE41260">
      <w:pPr>
        <w:autoSpaceDE w:val="0"/>
        <w:autoSpaceDN w:val="0"/>
        <w:adjustRightInd w:val="0"/>
        <w:spacing w:line="560" w:lineRule="exact"/>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法定代表人或                             法定代表人</w:t>
      </w:r>
    </w:p>
    <w:p w14:paraId="58F32439">
      <w:pPr>
        <w:autoSpaceDE w:val="0"/>
        <w:autoSpaceDN w:val="0"/>
        <w:adjustRightInd w:val="0"/>
        <w:spacing w:line="560" w:lineRule="exact"/>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授权代表（签字）：                        或授权代表（签字）： </w:t>
      </w:r>
    </w:p>
    <w:p w14:paraId="71223A41">
      <w:pPr>
        <w:autoSpaceDE w:val="0"/>
        <w:autoSpaceDN w:val="0"/>
        <w:adjustRightInd w:val="0"/>
        <w:spacing w:line="560" w:lineRule="exact"/>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联系人：                                 联系人：</w:t>
      </w:r>
    </w:p>
    <w:p w14:paraId="25EE2C44">
      <w:pPr>
        <w:autoSpaceDE w:val="0"/>
        <w:autoSpaceDN w:val="0"/>
        <w:adjustRightInd w:val="0"/>
        <w:spacing w:line="560" w:lineRule="exact"/>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约定送达地址：                           约定送达地址：</w:t>
      </w:r>
    </w:p>
    <w:p w14:paraId="3E9A3511">
      <w:pPr>
        <w:autoSpaceDE w:val="0"/>
        <w:autoSpaceDN w:val="0"/>
        <w:adjustRightInd w:val="0"/>
        <w:spacing w:line="560" w:lineRule="exact"/>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邮政编码：                               邮政编码：</w:t>
      </w:r>
    </w:p>
    <w:p w14:paraId="14665322">
      <w:pPr>
        <w:autoSpaceDE w:val="0"/>
        <w:autoSpaceDN w:val="0"/>
        <w:adjustRightInd w:val="0"/>
        <w:spacing w:line="560" w:lineRule="exact"/>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电话：                                    电话： </w:t>
      </w:r>
    </w:p>
    <w:p w14:paraId="70F69EC6">
      <w:pPr>
        <w:autoSpaceDE w:val="0"/>
        <w:autoSpaceDN w:val="0"/>
        <w:adjustRightInd w:val="0"/>
        <w:spacing w:line="560" w:lineRule="exact"/>
        <w:outlineLvl w:val="9"/>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传真：                                    传真：</w:t>
      </w:r>
    </w:p>
    <w:p w14:paraId="71C065A7">
      <w:pPr>
        <w:autoSpaceDE w:val="0"/>
        <w:autoSpaceDN w:val="0"/>
        <w:adjustRightInd w:val="0"/>
        <w:spacing w:line="5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电子邮箱：                               电子邮箱：</w:t>
      </w:r>
    </w:p>
    <w:p w14:paraId="7CB1C3AE">
      <w:pPr>
        <w:autoSpaceDE w:val="0"/>
        <w:autoSpaceDN w:val="0"/>
        <w:adjustRightInd w:val="0"/>
        <w:spacing w:line="5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开户银行：                               开户银行： </w:t>
      </w:r>
    </w:p>
    <w:p w14:paraId="46B8E8BF">
      <w:pPr>
        <w:autoSpaceDE w:val="0"/>
        <w:autoSpaceDN w:val="0"/>
        <w:adjustRightInd w:val="0"/>
        <w:spacing w:line="5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开户名称：                               开户名称： </w:t>
      </w:r>
    </w:p>
    <w:p w14:paraId="5CF7EA17">
      <w:pPr>
        <w:autoSpaceDE w:val="0"/>
        <w:autoSpaceDN w:val="0"/>
        <w:adjustRightInd w:val="0"/>
        <w:spacing w:line="560" w:lineRule="exac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开户账号：</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开户账号：</w:t>
      </w:r>
    </w:p>
    <w:p w14:paraId="2976CB8A">
      <w:pPr>
        <w:pStyle w:val="171"/>
        <w:spacing w:line="560" w:lineRule="exact"/>
        <w:ind w:firstLine="200"/>
        <w:jc w:val="center"/>
        <w:outlineLvl w:val="9"/>
        <w:rPr>
          <w:rFonts w:hint="eastAsia" w:ascii="仿宋" w:hAnsi="仿宋" w:eastAsia="仿宋" w:cs="仿宋"/>
          <w:b/>
          <w:sz w:val="24"/>
          <w:szCs w:val="24"/>
          <w:highlight w:val="none"/>
        </w:rPr>
      </w:pPr>
      <w:bookmarkStart w:id="380" w:name="_Toc331685783"/>
      <w:r>
        <w:rPr>
          <w:rFonts w:hint="eastAsia" w:ascii="仿宋" w:hAnsi="仿宋" w:eastAsia="仿宋" w:cs="仿宋"/>
          <w:b/>
          <w:sz w:val="24"/>
          <w:szCs w:val="24"/>
          <w:highlight w:val="none"/>
        </w:rPr>
        <w:br w:type="page"/>
      </w:r>
      <w:r>
        <w:rPr>
          <w:rFonts w:hint="eastAsia" w:ascii="仿宋" w:hAnsi="仿宋" w:eastAsia="仿宋" w:cs="仿宋"/>
          <w:b/>
          <w:sz w:val="24"/>
          <w:szCs w:val="24"/>
          <w:highlight w:val="none"/>
        </w:rPr>
        <w:t>第二部分 合同一般条款</w:t>
      </w:r>
      <w:bookmarkEnd w:id="380"/>
    </w:p>
    <w:p w14:paraId="7796F9A9">
      <w:pPr>
        <w:spacing w:line="560" w:lineRule="exact"/>
        <w:ind w:firstLine="482" w:firstLineChars="200"/>
        <w:outlineLvl w:val="9"/>
        <w:rPr>
          <w:rFonts w:hint="eastAsia" w:ascii="仿宋" w:hAnsi="仿宋" w:eastAsia="仿宋" w:cs="仿宋"/>
          <w:b/>
          <w:sz w:val="24"/>
          <w:szCs w:val="24"/>
          <w:highlight w:val="none"/>
        </w:rPr>
      </w:pPr>
      <w:bookmarkStart w:id="381" w:name="_Ref467379205"/>
      <w:bookmarkStart w:id="382" w:name="_Ref467379214"/>
      <w:bookmarkStart w:id="383" w:name="_Ref467378463"/>
      <w:bookmarkStart w:id="384" w:name="_Toc14021"/>
      <w:bookmarkStart w:id="385" w:name="_Toc5228"/>
      <w:bookmarkStart w:id="386" w:name="_Toc31297"/>
      <w:bookmarkStart w:id="387" w:name="_Toc19680"/>
      <w:bookmarkStart w:id="388" w:name="_Ref467379109"/>
      <w:bookmarkStart w:id="389" w:name="_Ref467378404"/>
      <w:bookmarkStart w:id="390" w:name="_Toc279701240"/>
      <w:bookmarkStart w:id="391" w:name="_Ref467378499"/>
      <w:bookmarkStart w:id="392" w:name="_Ref467379195"/>
      <w:bookmarkStart w:id="393" w:name="_Ref467379225"/>
      <w:bookmarkStart w:id="394" w:name="_Toc25079"/>
      <w:bookmarkStart w:id="395" w:name="_Ref467379094"/>
      <w:bookmarkStart w:id="396" w:name="_Ref467379101"/>
      <w:bookmarkStart w:id="397" w:name="_Toc259093669"/>
      <w:bookmarkStart w:id="398" w:name="_Toc487900349"/>
      <w:r>
        <w:rPr>
          <w:rFonts w:hint="eastAsia" w:ascii="仿宋" w:hAnsi="仿宋" w:eastAsia="仿宋" w:cs="仿宋"/>
          <w:b/>
          <w:sz w:val="24"/>
          <w:szCs w:val="24"/>
          <w:highlight w:val="none"/>
        </w:rPr>
        <w:t>2.1 定义</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4244642C">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本合同中的下列词语应按以下内容进行解释：</w:t>
      </w:r>
    </w:p>
    <w:p w14:paraId="37C6AAC9">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2.1.1 “合同”系指采购人和中标供应商签订的载明双方当事人所达成的协议，并包括所有的附件、附录和构成合同的其他文件。</w:t>
      </w:r>
    </w:p>
    <w:p w14:paraId="06439D3E">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2.1.2 “合同价”系指根据合同约定，中标供应商在完全履行合同义务后，采购人应支付给中标供应商的价格。</w:t>
      </w:r>
    </w:p>
    <w:p w14:paraId="17899F31">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2.1.3 “服务”系指中标供应商根据合同约定应向采购人履行的除货物和工程以外的其他政府采购对象，包括采购人自身需要的服务和向社会公众提供的公共服务。</w:t>
      </w:r>
    </w:p>
    <w:p w14:paraId="0363DE19">
      <w:pPr>
        <w:spacing w:line="560" w:lineRule="exact"/>
        <w:ind w:firstLine="480" w:firstLineChars="200"/>
        <w:outlineLvl w:val="9"/>
        <w:rPr>
          <w:rFonts w:hint="eastAsia" w:ascii="仿宋" w:hAnsi="仿宋" w:eastAsia="仿宋" w:cs="仿宋"/>
          <w:sz w:val="24"/>
          <w:szCs w:val="24"/>
          <w:highlight w:val="none"/>
        </w:rPr>
      </w:pPr>
      <w:bookmarkStart w:id="399" w:name="_Ref467378840"/>
      <w:r>
        <w:rPr>
          <w:rFonts w:hint="eastAsia" w:ascii="仿宋" w:hAnsi="仿宋" w:eastAsia="仿宋" w:cs="仿宋"/>
          <w:sz w:val="24"/>
          <w:szCs w:val="24"/>
          <w:highlight w:val="none"/>
        </w:rPr>
        <w:t>2.1.4 “甲方”系指与中标供应商签署合同的采购人</w:t>
      </w:r>
      <w:bookmarkEnd w:id="399"/>
      <w:r>
        <w:rPr>
          <w:rFonts w:hint="eastAsia" w:ascii="仿宋" w:hAnsi="仿宋" w:eastAsia="仿宋" w:cs="仿宋"/>
          <w:sz w:val="24"/>
          <w:szCs w:val="24"/>
          <w:highlight w:val="none"/>
        </w:rPr>
        <w:t>；采购人委托采购代理机构代表其与乙方签订合同的，采购人的授权委托书作为合同附件。</w:t>
      </w:r>
    </w:p>
    <w:p w14:paraId="26EB6346">
      <w:pPr>
        <w:spacing w:line="560" w:lineRule="exact"/>
        <w:ind w:firstLine="480" w:firstLineChars="200"/>
        <w:outlineLvl w:val="9"/>
        <w:rPr>
          <w:rFonts w:hint="eastAsia" w:ascii="仿宋" w:hAnsi="仿宋" w:eastAsia="仿宋" w:cs="仿宋"/>
          <w:sz w:val="24"/>
          <w:szCs w:val="24"/>
          <w:highlight w:val="none"/>
        </w:rPr>
      </w:pPr>
      <w:bookmarkStart w:id="400" w:name="_Ref467379400"/>
      <w:r>
        <w:rPr>
          <w:rFonts w:hint="eastAsia" w:ascii="仿宋" w:hAnsi="仿宋" w:eastAsia="仿宋" w:cs="仿宋"/>
          <w:sz w:val="24"/>
          <w:szCs w:val="24"/>
          <w:highlight w:val="none"/>
        </w:rPr>
        <w:t>2.1.5 “乙方”系指根据合同约定提供服务的中标供应商</w:t>
      </w:r>
      <w:bookmarkEnd w:id="400"/>
      <w:r>
        <w:rPr>
          <w:rFonts w:hint="eastAsia" w:ascii="仿宋" w:hAnsi="仿宋" w:eastAsia="仿宋" w:cs="仿宋"/>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2CC1739">
      <w:pPr>
        <w:spacing w:line="560" w:lineRule="exact"/>
        <w:ind w:firstLine="480" w:firstLineChars="200"/>
        <w:outlineLvl w:val="9"/>
        <w:rPr>
          <w:rFonts w:hint="eastAsia" w:ascii="仿宋" w:hAnsi="仿宋" w:eastAsia="仿宋" w:cs="仿宋"/>
          <w:sz w:val="24"/>
          <w:szCs w:val="24"/>
          <w:highlight w:val="none"/>
        </w:rPr>
      </w:pPr>
      <w:bookmarkStart w:id="401" w:name="_Ref467379436"/>
      <w:r>
        <w:rPr>
          <w:rFonts w:hint="eastAsia" w:ascii="仿宋" w:hAnsi="仿宋" w:eastAsia="仿宋" w:cs="仿宋"/>
          <w:sz w:val="24"/>
          <w:szCs w:val="24"/>
          <w:highlight w:val="none"/>
        </w:rPr>
        <w:t>2.1.6 “现场”系指合同约定提供服务的地点。</w:t>
      </w:r>
      <w:bookmarkEnd w:id="401"/>
    </w:p>
    <w:p w14:paraId="7D7E418F">
      <w:pPr>
        <w:spacing w:line="560" w:lineRule="exact"/>
        <w:ind w:firstLine="482" w:firstLineChars="200"/>
        <w:outlineLvl w:val="9"/>
        <w:rPr>
          <w:rFonts w:hint="eastAsia" w:ascii="仿宋" w:hAnsi="仿宋" w:eastAsia="仿宋" w:cs="仿宋"/>
          <w:b/>
          <w:sz w:val="24"/>
          <w:szCs w:val="24"/>
          <w:highlight w:val="none"/>
        </w:rPr>
      </w:pPr>
      <w:bookmarkStart w:id="402" w:name="_Toc487900350"/>
      <w:bookmarkStart w:id="403" w:name="_Toc19539"/>
      <w:bookmarkStart w:id="404" w:name="_Toc31402"/>
      <w:bookmarkStart w:id="405" w:name="_Toc3769"/>
      <w:bookmarkStart w:id="406" w:name="_Toc23289"/>
      <w:bookmarkStart w:id="407" w:name="_Toc279701241"/>
      <w:bookmarkStart w:id="408" w:name="_Toc16752"/>
      <w:bookmarkStart w:id="409" w:name="_Toc259093670"/>
      <w:r>
        <w:rPr>
          <w:rFonts w:hint="eastAsia" w:ascii="仿宋" w:hAnsi="仿宋" w:eastAsia="仿宋" w:cs="仿宋"/>
          <w:b/>
          <w:sz w:val="24"/>
          <w:szCs w:val="24"/>
          <w:highlight w:val="none"/>
        </w:rPr>
        <w:t>2.2 技术规范</w:t>
      </w:r>
      <w:bookmarkEnd w:id="402"/>
      <w:bookmarkEnd w:id="403"/>
      <w:bookmarkEnd w:id="404"/>
      <w:bookmarkEnd w:id="405"/>
      <w:bookmarkEnd w:id="406"/>
      <w:bookmarkEnd w:id="407"/>
      <w:bookmarkEnd w:id="408"/>
      <w:bookmarkEnd w:id="409"/>
    </w:p>
    <w:p w14:paraId="5DF7E96F">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服务所应遵守的技术规范应与采购文件规定的技术规范和技术规范附件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如果有的话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及其技术规范偏差表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如果被甲方接受的话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相一致；如果采购文件中没有技术规范的相应说明，那么应以国家有关部门最新颁布的相应标准和规范为准。</w:t>
      </w:r>
    </w:p>
    <w:p w14:paraId="38F05B7F">
      <w:pPr>
        <w:spacing w:line="560" w:lineRule="exact"/>
        <w:ind w:firstLine="482" w:firstLineChars="200"/>
        <w:outlineLvl w:val="9"/>
        <w:rPr>
          <w:rFonts w:hint="eastAsia" w:ascii="仿宋" w:hAnsi="仿宋" w:eastAsia="仿宋" w:cs="仿宋"/>
          <w:b/>
          <w:sz w:val="24"/>
          <w:szCs w:val="24"/>
          <w:highlight w:val="none"/>
        </w:rPr>
      </w:pPr>
      <w:bookmarkStart w:id="410" w:name="_Toc4133"/>
      <w:bookmarkStart w:id="411" w:name="_Toc279701242"/>
      <w:bookmarkStart w:id="412" w:name="_Toc9161"/>
      <w:bookmarkStart w:id="413" w:name="_Toc13673"/>
      <w:bookmarkStart w:id="414" w:name="_Toc27945"/>
      <w:bookmarkStart w:id="415" w:name="_Toc259093671"/>
      <w:bookmarkStart w:id="416" w:name="_Toc12412"/>
      <w:bookmarkStart w:id="417" w:name="_Toc487900351"/>
      <w:r>
        <w:rPr>
          <w:rFonts w:hint="eastAsia" w:ascii="仿宋" w:hAnsi="仿宋" w:eastAsia="仿宋" w:cs="仿宋"/>
          <w:b/>
          <w:sz w:val="24"/>
          <w:szCs w:val="24"/>
          <w:highlight w:val="none"/>
        </w:rPr>
        <w:t>2.3 知识产权</w:t>
      </w:r>
      <w:bookmarkEnd w:id="410"/>
      <w:bookmarkEnd w:id="411"/>
      <w:bookmarkEnd w:id="412"/>
      <w:bookmarkEnd w:id="413"/>
      <w:bookmarkEnd w:id="414"/>
      <w:bookmarkEnd w:id="415"/>
      <w:bookmarkEnd w:id="416"/>
      <w:bookmarkEnd w:id="417"/>
    </w:p>
    <w:p w14:paraId="07A16F3D">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61ABC2B3">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2.3.2 合同涉及技术成果的归属和收益的分成办法的，详见</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w:t>
      </w:r>
    </w:p>
    <w:p w14:paraId="4CED9B05">
      <w:pPr>
        <w:spacing w:line="560" w:lineRule="exact"/>
        <w:ind w:firstLine="482" w:firstLineChars="20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2.4 履约检查和问题反馈</w:t>
      </w:r>
    </w:p>
    <w:p w14:paraId="24382823">
      <w:pPr>
        <w:spacing w:line="560" w:lineRule="exact"/>
        <w:ind w:firstLine="480" w:firstLineChars="200"/>
        <w:outlineLvl w:val="9"/>
        <w:rPr>
          <w:rFonts w:hint="eastAsia" w:ascii="仿宋" w:hAnsi="仿宋" w:eastAsia="仿宋" w:cs="仿宋"/>
          <w:sz w:val="24"/>
          <w:szCs w:val="24"/>
          <w:highlight w:val="none"/>
        </w:rPr>
      </w:pPr>
      <w:bookmarkStart w:id="418" w:name="_Ref467379657"/>
      <w:r>
        <w:rPr>
          <w:rFonts w:hint="eastAsia" w:ascii="仿宋" w:hAnsi="仿宋" w:eastAsia="仿宋" w:cs="仿宋"/>
          <w:sz w:val="24"/>
          <w:szCs w:val="24"/>
          <w:highlight w:val="none"/>
        </w:rPr>
        <w:t>2.4.1</w:t>
      </w:r>
      <w:bookmarkEnd w:id="418"/>
      <w:bookmarkStart w:id="419" w:name="_Toc186431854"/>
      <w:bookmarkStart w:id="420" w:name="_Ref467379793"/>
      <w:bookmarkStart w:id="421" w:name="_Ref467379807"/>
      <w:bookmarkStart w:id="422" w:name="_Toc259093676"/>
      <w:bookmarkStart w:id="423" w:name="_Toc487900357"/>
      <w:bookmarkStart w:id="424" w:name="_Toc279701247"/>
      <w:r>
        <w:rPr>
          <w:rFonts w:hint="eastAsia" w:ascii="仿宋" w:hAnsi="仿宋" w:eastAsia="仿宋" w:cs="仿宋"/>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4E5DFFB4">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2.4.2 合同履行期间，甲方有权将履行过程中出现的问题反馈给乙方，双方当事人应以书面形式约定需要完善和改进的内容</w:t>
      </w:r>
      <w:bookmarkEnd w:id="419"/>
      <w:bookmarkStart w:id="425" w:name="_Toc186431855"/>
      <w:r>
        <w:rPr>
          <w:rFonts w:hint="eastAsia" w:ascii="仿宋" w:hAnsi="仿宋" w:eastAsia="仿宋" w:cs="仿宋"/>
          <w:sz w:val="24"/>
          <w:szCs w:val="24"/>
          <w:highlight w:val="none"/>
        </w:rPr>
        <w:t>。</w:t>
      </w:r>
    </w:p>
    <w:bookmarkEnd w:id="425"/>
    <w:p w14:paraId="4B8A0A3E">
      <w:pPr>
        <w:spacing w:line="560" w:lineRule="exact"/>
        <w:ind w:firstLine="482" w:firstLineChars="200"/>
        <w:outlineLvl w:val="9"/>
        <w:rPr>
          <w:rFonts w:hint="eastAsia" w:ascii="仿宋" w:hAnsi="仿宋" w:eastAsia="仿宋" w:cs="仿宋"/>
          <w:b/>
          <w:sz w:val="24"/>
          <w:szCs w:val="24"/>
          <w:highlight w:val="none"/>
        </w:rPr>
      </w:pPr>
      <w:bookmarkStart w:id="426" w:name="_Toc31233"/>
      <w:bookmarkStart w:id="427" w:name="_Toc22011"/>
      <w:bookmarkStart w:id="428" w:name="_Toc15447"/>
      <w:bookmarkStart w:id="429" w:name="_Toc32670"/>
      <w:bookmarkStart w:id="430" w:name="_Toc26555"/>
      <w:r>
        <w:rPr>
          <w:rFonts w:hint="eastAsia" w:ascii="仿宋" w:hAnsi="仿宋" w:eastAsia="仿宋" w:cs="仿宋"/>
          <w:b/>
          <w:sz w:val="24"/>
          <w:szCs w:val="24"/>
          <w:highlight w:val="none"/>
        </w:rPr>
        <w:t>2.5 结算方式和付款条件</w:t>
      </w:r>
      <w:bookmarkEnd w:id="420"/>
      <w:bookmarkEnd w:id="421"/>
      <w:bookmarkEnd w:id="422"/>
      <w:bookmarkEnd w:id="423"/>
      <w:bookmarkEnd w:id="424"/>
      <w:bookmarkEnd w:id="426"/>
      <w:bookmarkEnd w:id="427"/>
      <w:bookmarkEnd w:id="428"/>
      <w:bookmarkEnd w:id="429"/>
      <w:bookmarkEnd w:id="430"/>
    </w:p>
    <w:p w14:paraId="3EF944C6">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详见</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w:t>
      </w:r>
    </w:p>
    <w:p w14:paraId="275C3AEC">
      <w:pPr>
        <w:spacing w:line="560" w:lineRule="exact"/>
        <w:ind w:firstLine="482" w:firstLineChars="200"/>
        <w:outlineLvl w:val="9"/>
        <w:rPr>
          <w:rFonts w:hint="eastAsia" w:ascii="仿宋" w:hAnsi="仿宋" w:eastAsia="仿宋" w:cs="仿宋"/>
          <w:b/>
          <w:sz w:val="24"/>
          <w:szCs w:val="24"/>
          <w:highlight w:val="none"/>
        </w:rPr>
      </w:pPr>
      <w:bookmarkStart w:id="431" w:name="_Toc259093677"/>
      <w:bookmarkStart w:id="432" w:name="_Toc279701248"/>
      <w:bookmarkStart w:id="433" w:name="_Toc487900358"/>
      <w:bookmarkStart w:id="434" w:name="_Ref467379852"/>
      <w:bookmarkStart w:id="435" w:name="_Ref467379863"/>
      <w:bookmarkStart w:id="436" w:name="_Ref467379923"/>
      <w:bookmarkStart w:id="437" w:name="_Toc16163"/>
      <w:bookmarkStart w:id="438" w:name="_Toc13467"/>
      <w:bookmarkStart w:id="439" w:name="_Toc13154"/>
      <w:bookmarkStart w:id="440" w:name="_Toc30507"/>
      <w:bookmarkStart w:id="441" w:name="_Toc18990"/>
      <w:r>
        <w:rPr>
          <w:rFonts w:hint="eastAsia" w:ascii="仿宋" w:hAnsi="仿宋" w:eastAsia="仿宋" w:cs="仿宋"/>
          <w:b/>
          <w:sz w:val="24"/>
          <w:szCs w:val="24"/>
          <w:highlight w:val="none"/>
        </w:rPr>
        <w:t>2.6 技术资料</w:t>
      </w:r>
      <w:bookmarkEnd w:id="431"/>
      <w:bookmarkEnd w:id="432"/>
      <w:bookmarkEnd w:id="433"/>
      <w:bookmarkEnd w:id="434"/>
      <w:bookmarkEnd w:id="435"/>
      <w:bookmarkEnd w:id="436"/>
      <w:r>
        <w:rPr>
          <w:rFonts w:hint="eastAsia" w:ascii="仿宋" w:hAnsi="仿宋" w:eastAsia="仿宋" w:cs="仿宋"/>
          <w:b/>
          <w:sz w:val="24"/>
          <w:szCs w:val="24"/>
          <w:highlight w:val="none"/>
        </w:rPr>
        <w:t>和保密义务</w:t>
      </w:r>
      <w:bookmarkEnd w:id="437"/>
      <w:bookmarkEnd w:id="438"/>
      <w:bookmarkEnd w:id="439"/>
      <w:bookmarkEnd w:id="440"/>
      <w:bookmarkEnd w:id="441"/>
    </w:p>
    <w:p w14:paraId="6A377767">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2.6.1 乙方有权依据合同约定和项目需要，向甲方了解有关情况，调阅有关资料等，甲方应予积极配合；</w:t>
      </w:r>
    </w:p>
    <w:p w14:paraId="09313313">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2.6.2 乙方有义务妥善保管和保护由甲方提供的前款信息和资料等；</w:t>
      </w:r>
    </w:p>
    <w:p w14:paraId="20882973">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325BE59">
      <w:pPr>
        <w:spacing w:line="560" w:lineRule="exact"/>
        <w:ind w:firstLine="482" w:firstLineChars="200"/>
        <w:outlineLvl w:val="9"/>
        <w:rPr>
          <w:rFonts w:hint="eastAsia" w:ascii="仿宋" w:hAnsi="仿宋" w:eastAsia="仿宋" w:cs="仿宋"/>
          <w:b/>
          <w:sz w:val="24"/>
          <w:szCs w:val="24"/>
          <w:highlight w:val="none"/>
        </w:rPr>
      </w:pPr>
      <w:bookmarkStart w:id="442" w:name="_Toc19069"/>
      <w:bookmarkStart w:id="443" w:name="_Toc279701252"/>
      <w:bookmarkStart w:id="444" w:name="_Toc259093681"/>
      <w:bookmarkStart w:id="445" w:name="_Toc487900362"/>
      <w:r>
        <w:rPr>
          <w:rFonts w:hint="eastAsia" w:ascii="仿宋" w:hAnsi="仿宋" w:eastAsia="仿宋" w:cs="仿宋"/>
          <w:b/>
          <w:sz w:val="24"/>
          <w:szCs w:val="24"/>
          <w:highlight w:val="none"/>
        </w:rPr>
        <w:t>2.7 质量保证</w:t>
      </w:r>
      <w:bookmarkEnd w:id="442"/>
    </w:p>
    <w:p w14:paraId="60B32D8D">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2.7.1 乙方应建立和完善履行合同的内部质量保证体系，并提供相关内部规章制度给甲方，以便甲方进行监督检查；</w:t>
      </w:r>
    </w:p>
    <w:p w14:paraId="4959C5E5">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2.7.2 乙方应保证履行合同的人员数量和素质、软件和硬件设备的配置、场地、环境和设施等满足全面履行合同的要求，并应接受甲方的监督检查。</w:t>
      </w:r>
    </w:p>
    <w:p w14:paraId="7305B31E">
      <w:pPr>
        <w:spacing w:line="560" w:lineRule="exact"/>
        <w:ind w:firstLine="482" w:firstLineChars="200"/>
        <w:outlineLvl w:val="9"/>
        <w:rPr>
          <w:rFonts w:hint="eastAsia" w:ascii="仿宋" w:hAnsi="仿宋" w:eastAsia="仿宋" w:cs="仿宋"/>
          <w:b/>
          <w:sz w:val="24"/>
          <w:szCs w:val="24"/>
          <w:highlight w:val="none"/>
        </w:rPr>
      </w:pPr>
      <w:bookmarkStart w:id="446" w:name="_Toc22267"/>
      <w:r>
        <w:rPr>
          <w:rFonts w:hint="eastAsia" w:ascii="仿宋" w:hAnsi="仿宋" w:eastAsia="仿宋" w:cs="仿宋"/>
          <w:b/>
          <w:sz w:val="24"/>
          <w:szCs w:val="24"/>
          <w:highlight w:val="none"/>
        </w:rPr>
        <w:t>2.8 延迟</w:t>
      </w:r>
      <w:bookmarkEnd w:id="443"/>
      <w:bookmarkEnd w:id="444"/>
      <w:bookmarkEnd w:id="445"/>
      <w:r>
        <w:rPr>
          <w:rFonts w:hint="eastAsia" w:ascii="仿宋" w:hAnsi="仿宋" w:eastAsia="仿宋" w:cs="仿宋"/>
          <w:b/>
          <w:sz w:val="24"/>
          <w:szCs w:val="24"/>
          <w:highlight w:val="none"/>
        </w:rPr>
        <w:t>履行</w:t>
      </w:r>
      <w:bookmarkEnd w:id="446"/>
    </w:p>
    <w:p w14:paraId="24740FF0">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216F91E">
      <w:pPr>
        <w:spacing w:line="560" w:lineRule="exact"/>
        <w:ind w:firstLine="482" w:firstLineChars="200"/>
        <w:outlineLvl w:val="9"/>
        <w:rPr>
          <w:rFonts w:hint="eastAsia" w:ascii="仿宋" w:hAnsi="仿宋" w:eastAsia="仿宋" w:cs="仿宋"/>
          <w:b/>
          <w:sz w:val="24"/>
          <w:szCs w:val="24"/>
          <w:highlight w:val="none"/>
        </w:rPr>
      </w:pPr>
      <w:bookmarkStart w:id="447" w:name="_Toc10611"/>
      <w:bookmarkStart w:id="448" w:name="_Toc259093683"/>
      <w:bookmarkStart w:id="449" w:name="_Toc487900364"/>
      <w:bookmarkStart w:id="450" w:name="_Ref467378121"/>
      <w:bookmarkStart w:id="451" w:name="_Toc279701254"/>
      <w:r>
        <w:rPr>
          <w:rFonts w:hint="eastAsia" w:ascii="仿宋" w:hAnsi="仿宋" w:eastAsia="仿宋" w:cs="仿宋"/>
          <w:b/>
          <w:sz w:val="24"/>
          <w:szCs w:val="24"/>
          <w:highlight w:val="none"/>
        </w:rPr>
        <w:t>2.9 合同变更</w:t>
      </w:r>
      <w:bookmarkEnd w:id="447"/>
    </w:p>
    <w:p w14:paraId="1D6C5EB7">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1346F927">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2.9.2 合同继续履行将损害国家利益和社会公共利益的，双方当事人应当以书面形式变更合同。有过错的一方应当承担赔偿责任，双方当事人都有过错的，各自承担相应的责任。</w:t>
      </w:r>
      <w:bookmarkStart w:id="452" w:name="_Toc279701259"/>
      <w:bookmarkStart w:id="453" w:name="_Toc259093688"/>
      <w:bookmarkStart w:id="454" w:name="_Toc487900369"/>
    </w:p>
    <w:p w14:paraId="5AD432A9">
      <w:pPr>
        <w:spacing w:line="560" w:lineRule="exact"/>
        <w:ind w:firstLine="482" w:firstLineChars="200"/>
        <w:outlineLvl w:val="9"/>
        <w:rPr>
          <w:rFonts w:hint="eastAsia" w:ascii="仿宋" w:hAnsi="仿宋" w:eastAsia="仿宋" w:cs="仿宋"/>
          <w:b/>
          <w:sz w:val="24"/>
          <w:szCs w:val="24"/>
          <w:highlight w:val="none"/>
        </w:rPr>
      </w:pPr>
      <w:bookmarkStart w:id="455" w:name="_Toc10663"/>
      <w:bookmarkStart w:id="456" w:name="_Toc21830"/>
      <w:bookmarkStart w:id="457" w:name="_Toc42"/>
      <w:bookmarkStart w:id="458" w:name="_Toc26689"/>
      <w:bookmarkStart w:id="459" w:name="_Toc23368"/>
      <w:r>
        <w:rPr>
          <w:rFonts w:hint="eastAsia" w:ascii="仿宋" w:hAnsi="仿宋" w:eastAsia="仿宋" w:cs="仿宋"/>
          <w:b/>
          <w:sz w:val="24"/>
          <w:szCs w:val="24"/>
          <w:highlight w:val="none"/>
        </w:rPr>
        <w:t>2.10 合同转让</w:t>
      </w:r>
      <w:bookmarkEnd w:id="452"/>
      <w:bookmarkEnd w:id="453"/>
      <w:bookmarkEnd w:id="454"/>
      <w:r>
        <w:rPr>
          <w:rFonts w:hint="eastAsia" w:ascii="仿宋" w:hAnsi="仿宋" w:eastAsia="仿宋" w:cs="仿宋"/>
          <w:b/>
          <w:sz w:val="24"/>
          <w:szCs w:val="24"/>
          <w:highlight w:val="none"/>
        </w:rPr>
        <w:t>和分包</w:t>
      </w:r>
      <w:bookmarkEnd w:id="455"/>
      <w:bookmarkEnd w:id="456"/>
      <w:bookmarkEnd w:id="457"/>
      <w:bookmarkEnd w:id="458"/>
      <w:bookmarkEnd w:id="459"/>
    </w:p>
    <w:p w14:paraId="1A69488D">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669281B">
      <w:pPr>
        <w:spacing w:line="560" w:lineRule="exact"/>
        <w:ind w:firstLine="482" w:firstLineChars="200"/>
        <w:outlineLvl w:val="9"/>
        <w:rPr>
          <w:rFonts w:hint="eastAsia" w:ascii="仿宋" w:hAnsi="仿宋" w:eastAsia="仿宋" w:cs="仿宋"/>
          <w:b/>
          <w:sz w:val="24"/>
          <w:szCs w:val="24"/>
          <w:highlight w:val="none"/>
        </w:rPr>
      </w:pPr>
      <w:bookmarkStart w:id="460" w:name="_Toc4720"/>
      <w:bookmarkStart w:id="461" w:name="_Toc25571"/>
      <w:bookmarkStart w:id="462" w:name="_Toc14371"/>
      <w:bookmarkStart w:id="463" w:name="_Toc32494"/>
      <w:bookmarkStart w:id="464" w:name="_Toc26633"/>
      <w:r>
        <w:rPr>
          <w:rFonts w:hint="eastAsia" w:ascii="仿宋" w:hAnsi="仿宋" w:eastAsia="仿宋" w:cs="仿宋"/>
          <w:b/>
          <w:sz w:val="24"/>
          <w:szCs w:val="24"/>
          <w:highlight w:val="none"/>
        </w:rPr>
        <w:t>2.11 不可抗力</w:t>
      </w:r>
      <w:bookmarkEnd w:id="460"/>
      <w:bookmarkEnd w:id="461"/>
      <w:bookmarkEnd w:id="462"/>
      <w:bookmarkEnd w:id="463"/>
      <w:bookmarkEnd w:id="464"/>
    </w:p>
    <w:p w14:paraId="25AAB7E9">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2.11.1如果任何一方遭遇法律规定的不可抗力，致使合同履行受阻时，履行合同的期限应予延长，延长的期限应相当于不可抗力所影响的时间；</w:t>
      </w:r>
    </w:p>
    <w:p w14:paraId="7BB25FCA">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2.11.2 因不可抗力致使不能实现合同目的的，当事人可以解除合同；</w:t>
      </w:r>
    </w:p>
    <w:p w14:paraId="73BD3096">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2.11.3 因不可抗力致使合同有变更必要的，双方当事人应在</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约定时间内以书面形式变更合同；</w:t>
      </w:r>
    </w:p>
    <w:p w14:paraId="7A88D60D">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2.11.4受不可抗力影响的一方在不可抗力发生后，应在</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约定时间内以书面形式通知对方当事人，并在</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约定时间内，将有关部门出具的证明文件送达对方当事人。</w:t>
      </w:r>
    </w:p>
    <w:p w14:paraId="5B77C294">
      <w:pPr>
        <w:spacing w:line="560" w:lineRule="exact"/>
        <w:ind w:firstLine="482" w:firstLineChars="200"/>
        <w:outlineLvl w:val="9"/>
        <w:rPr>
          <w:rFonts w:hint="eastAsia" w:ascii="仿宋" w:hAnsi="仿宋" w:eastAsia="仿宋" w:cs="仿宋"/>
          <w:b/>
          <w:sz w:val="24"/>
          <w:szCs w:val="24"/>
          <w:highlight w:val="none"/>
        </w:rPr>
      </w:pPr>
      <w:bookmarkStart w:id="465" w:name="_Toc14115"/>
      <w:bookmarkStart w:id="466" w:name="_Toc3638"/>
      <w:bookmarkStart w:id="467" w:name="_Toc487900365"/>
      <w:bookmarkStart w:id="468" w:name="_Toc259093684"/>
      <w:bookmarkStart w:id="469" w:name="_Toc23854"/>
      <w:bookmarkStart w:id="470" w:name="_Toc25783"/>
      <w:bookmarkStart w:id="471" w:name="_Toc24465"/>
      <w:bookmarkStart w:id="472" w:name="_Toc279701255"/>
      <w:r>
        <w:rPr>
          <w:rFonts w:hint="eastAsia" w:ascii="仿宋" w:hAnsi="仿宋" w:eastAsia="仿宋" w:cs="仿宋"/>
          <w:b/>
          <w:sz w:val="24"/>
          <w:szCs w:val="24"/>
          <w:highlight w:val="none"/>
        </w:rPr>
        <w:t>2.12 税费</w:t>
      </w:r>
      <w:bookmarkEnd w:id="465"/>
      <w:bookmarkEnd w:id="466"/>
      <w:bookmarkEnd w:id="467"/>
      <w:bookmarkEnd w:id="468"/>
      <w:bookmarkEnd w:id="469"/>
      <w:bookmarkEnd w:id="470"/>
      <w:bookmarkEnd w:id="471"/>
      <w:bookmarkEnd w:id="472"/>
    </w:p>
    <w:p w14:paraId="71B1488F">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与合同有关的一切税费，均按照中华人民共和国法律的相关规定缴纳。</w:t>
      </w:r>
    </w:p>
    <w:p w14:paraId="15CA3933">
      <w:pPr>
        <w:spacing w:line="560" w:lineRule="exact"/>
        <w:ind w:firstLine="482" w:firstLineChars="200"/>
        <w:outlineLvl w:val="9"/>
        <w:rPr>
          <w:rFonts w:hint="eastAsia" w:ascii="仿宋" w:hAnsi="仿宋" w:eastAsia="仿宋" w:cs="仿宋"/>
          <w:b/>
          <w:sz w:val="24"/>
          <w:szCs w:val="24"/>
          <w:highlight w:val="none"/>
        </w:rPr>
      </w:pPr>
      <w:bookmarkStart w:id="473" w:name="_Toc259093687"/>
      <w:bookmarkStart w:id="474" w:name="_Toc487900368"/>
      <w:bookmarkStart w:id="475" w:name="_Toc26883"/>
      <w:bookmarkStart w:id="476" w:name="_Toc279701258"/>
      <w:bookmarkStart w:id="477" w:name="_Toc14814"/>
      <w:bookmarkStart w:id="478" w:name="_Toc7315"/>
      <w:bookmarkStart w:id="479" w:name="_Toc30105"/>
      <w:bookmarkStart w:id="480" w:name="_Toc25525"/>
      <w:r>
        <w:rPr>
          <w:rFonts w:hint="eastAsia" w:ascii="仿宋" w:hAnsi="仿宋" w:eastAsia="仿宋" w:cs="仿宋"/>
          <w:b/>
          <w:sz w:val="24"/>
          <w:szCs w:val="24"/>
          <w:highlight w:val="none"/>
        </w:rPr>
        <w:t>2.13 乙方破产</w:t>
      </w:r>
      <w:bookmarkEnd w:id="473"/>
      <w:bookmarkEnd w:id="474"/>
      <w:bookmarkEnd w:id="475"/>
      <w:bookmarkEnd w:id="476"/>
      <w:bookmarkEnd w:id="477"/>
      <w:bookmarkEnd w:id="478"/>
      <w:bookmarkEnd w:id="479"/>
      <w:bookmarkEnd w:id="480"/>
    </w:p>
    <w:p w14:paraId="00C4A59D">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E431D95">
      <w:pPr>
        <w:spacing w:line="560" w:lineRule="exact"/>
        <w:ind w:firstLine="482" w:firstLineChars="200"/>
        <w:outlineLvl w:val="9"/>
        <w:rPr>
          <w:rFonts w:hint="eastAsia" w:ascii="仿宋" w:hAnsi="仿宋" w:eastAsia="仿宋" w:cs="仿宋"/>
          <w:b/>
          <w:sz w:val="24"/>
          <w:szCs w:val="24"/>
          <w:highlight w:val="none"/>
        </w:rPr>
      </w:pPr>
      <w:bookmarkStart w:id="481" w:name="_Toc23323"/>
      <w:bookmarkStart w:id="482" w:name="_Toc1123"/>
      <w:bookmarkStart w:id="483" w:name="_Toc2016"/>
      <w:r>
        <w:rPr>
          <w:rFonts w:hint="eastAsia" w:ascii="仿宋" w:hAnsi="仿宋" w:eastAsia="仿宋" w:cs="仿宋"/>
          <w:b/>
          <w:sz w:val="24"/>
          <w:szCs w:val="24"/>
          <w:highlight w:val="none"/>
        </w:rPr>
        <w:t>2.14 合同中止、终止</w:t>
      </w:r>
      <w:bookmarkEnd w:id="481"/>
      <w:bookmarkEnd w:id="482"/>
      <w:bookmarkEnd w:id="483"/>
    </w:p>
    <w:p w14:paraId="6712729A">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2.14.1 双方当事人不得擅自中止或者终止合同；</w:t>
      </w:r>
    </w:p>
    <w:p w14:paraId="695A25AA">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2FA80DE8">
      <w:pPr>
        <w:spacing w:line="560" w:lineRule="exact"/>
        <w:ind w:firstLine="482" w:firstLineChars="200"/>
        <w:outlineLvl w:val="9"/>
        <w:rPr>
          <w:rFonts w:hint="eastAsia" w:ascii="仿宋" w:hAnsi="仿宋" w:eastAsia="仿宋" w:cs="仿宋"/>
          <w:b/>
          <w:sz w:val="24"/>
          <w:szCs w:val="24"/>
          <w:highlight w:val="none"/>
        </w:rPr>
      </w:pPr>
      <w:bookmarkStart w:id="484" w:name="_Toc14525"/>
      <w:bookmarkStart w:id="485" w:name="_Toc1969"/>
      <w:bookmarkStart w:id="486" w:name="_Toc17363"/>
      <w:r>
        <w:rPr>
          <w:rFonts w:hint="eastAsia" w:ascii="仿宋" w:hAnsi="仿宋" w:eastAsia="仿宋" w:cs="仿宋"/>
          <w:b/>
          <w:sz w:val="24"/>
          <w:szCs w:val="24"/>
          <w:highlight w:val="none"/>
        </w:rPr>
        <w:t>2.15 检验和验收</w:t>
      </w:r>
      <w:bookmarkEnd w:id="484"/>
      <w:bookmarkEnd w:id="485"/>
      <w:bookmarkEnd w:id="486"/>
    </w:p>
    <w:p w14:paraId="22F6F7BF">
      <w:pPr>
        <w:tabs>
          <w:tab w:val="left" w:pos="360"/>
          <w:tab w:val="left" w:pos="540"/>
          <w:tab w:val="left" w:pos="1080"/>
        </w:tabs>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2.15.1 乙方按照</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的约定，定期提交服务报告，甲方按照</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的约定进行定期验收；</w:t>
      </w:r>
    </w:p>
    <w:p w14:paraId="5F082977">
      <w:pPr>
        <w:tabs>
          <w:tab w:val="left" w:pos="360"/>
          <w:tab w:val="left" w:pos="540"/>
          <w:tab w:val="left" w:pos="1080"/>
        </w:tabs>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3444F66">
      <w:pPr>
        <w:tabs>
          <w:tab w:val="left" w:pos="360"/>
          <w:tab w:val="left" w:pos="540"/>
          <w:tab w:val="left" w:pos="1080"/>
        </w:tabs>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2.15.3 检验和验收标准、程序等具体内容以及前述验收书的效力详见</w:t>
      </w:r>
      <w:r>
        <w:rPr>
          <w:rFonts w:hint="eastAsia" w:ascii="仿宋" w:hAnsi="仿宋" w:eastAsia="仿宋" w:cs="仿宋"/>
          <w:b/>
          <w:i/>
          <w:sz w:val="24"/>
          <w:szCs w:val="24"/>
          <w:highlight w:val="none"/>
          <w:u w:val="single"/>
        </w:rPr>
        <w:t>合同专用条款</w:t>
      </w:r>
      <w:r>
        <w:rPr>
          <w:rFonts w:hint="eastAsia" w:ascii="仿宋" w:hAnsi="仿宋" w:eastAsia="仿宋" w:cs="仿宋"/>
          <w:i/>
          <w:sz w:val="24"/>
          <w:szCs w:val="24"/>
          <w:highlight w:val="none"/>
        </w:rPr>
        <w:t>。</w:t>
      </w:r>
    </w:p>
    <w:bookmarkEnd w:id="448"/>
    <w:bookmarkEnd w:id="449"/>
    <w:bookmarkEnd w:id="450"/>
    <w:bookmarkEnd w:id="451"/>
    <w:p w14:paraId="370D7103">
      <w:pPr>
        <w:spacing w:line="560" w:lineRule="exact"/>
        <w:ind w:firstLine="482" w:firstLineChars="200"/>
        <w:outlineLvl w:val="9"/>
        <w:rPr>
          <w:rFonts w:hint="eastAsia" w:ascii="仿宋" w:hAnsi="仿宋" w:eastAsia="仿宋" w:cs="仿宋"/>
          <w:b/>
          <w:sz w:val="24"/>
          <w:szCs w:val="24"/>
          <w:highlight w:val="none"/>
        </w:rPr>
      </w:pPr>
      <w:bookmarkStart w:id="487" w:name="_Toc279701261"/>
      <w:bookmarkStart w:id="488" w:name="_Toc487900371"/>
      <w:bookmarkStart w:id="489" w:name="_Toc259093690"/>
      <w:bookmarkStart w:id="490" w:name="_Toc9808"/>
      <w:bookmarkStart w:id="491" w:name="_Toc25198"/>
      <w:bookmarkStart w:id="492" w:name="_Toc2308"/>
      <w:bookmarkStart w:id="493" w:name="_Toc12666"/>
      <w:bookmarkStart w:id="494" w:name="_Toc31892"/>
      <w:r>
        <w:rPr>
          <w:rFonts w:hint="eastAsia" w:ascii="仿宋" w:hAnsi="仿宋" w:eastAsia="仿宋" w:cs="仿宋"/>
          <w:b/>
          <w:sz w:val="24"/>
          <w:szCs w:val="24"/>
          <w:highlight w:val="none"/>
        </w:rPr>
        <w:t>2.16 通知</w:t>
      </w:r>
      <w:bookmarkEnd w:id="487"/>
      <w:bookmarkEnd w:id="488"/>
      <w:bookmarkEnd w:id="489"/>
      <w:r>
        <w:rPr>
          <w:rFonts w:hint="eastAsia" w:ascii="仿宋" w:hAnsi="仿宋" w:eastAsia="仿宋" w:cs="仿宋"/>
          <w:b/>
          <w:sz w:val="24"/>
          <w:szCs w:val="24"/>
          <w:highlight w:val="none"/>
        </w:rPr>
        <w:t>和送达</w:t>
      </w:r>
      <w:bookmarkEnd w:id="490"/>
      <w:bookmarkEnd w:id="491"/>
      <w:bookmarkEnd w:id="492"/>
      <w:bookmarkEnd w:id="493"/>
      <w:bookmarkEnd w:id="494"/>
    </w:p>
    <w:p w14:paraId="7B0856FD">
      <w:pPr>
        <w:spacing w:line="560" w:lineRule="exact"/>
        <w:ind w:firstLine="480" w:firstLineChars="200"/>
        <w:outlineLvl w:val="9"/>
        <w:rPr>
          <w:rFonts w:hint="eastAsia" w:ascii="仿宋" w:hAnsi="仿宋" w:eastAsia="仿宋" w:cs="仿宋"/>
          <w:sz w:val="24"/>
          <w:szCs w:val="24"/>
          <w:highlight w:val="none"/>
        </w:rPr>
      </w:pPr>
      <w:bookmarkStart w:id="495" w:name="_Toc29220"/>
      <w:bookmarkStart w:id="496" w:name="_Toc7073"/>
      <w:bookmarkStart w:id="497" w:name="_Toc487900372"/>
      <w:bookmarkStart w:id="498" w:name="_Toc279701262"/>
      <w:bookmarkStart w:id="499" w:name="_Toc259093691"/>
      <w:r>
        <w:rPr>
          <w:rFonts w:hint="eastAsia" w:ascii="仿宋" w:hAnsi="仿宋" w:eastAsia="仿宋" w:cs="仿宋"/>
          <w:sz w:val="24"/>
          <w:szCs w:val="24"/>
          <w:highlight w:val="none"/>
        </w:rPr>
        <w:t>2.16.1 任何一方因履行合同而以合同第一部分尾部所列明的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发出的所有通知、文件、材料，均视为已向对方当事人送达；任何一方变更上述送达方式或者地址的，应于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个工作日内书面通知对方当事人，在对方当事人收到有关变更通知之前，变更前的约定送达方式或者地址仍视为有效。</w:t>
      </w:r>
      <w:bookmarkEnd w:id="495"/>
      <w:bookmarkEnd w:id="496"/>
    </w:p>
    <w:p w14:paraId="26CE8877">
      <w:pPr>
        <w:spacing w:line="560" w:lineRule="exact"/>
        <w:ind w:firstLine="480" w:firstLineChars="200"/>
        <w:outlineLvl w:val="9"/>
        <w:rPr>
          <w:rFonts w:hint="eastAsia" w:ascii="仿宋" w:hAnsi="仿宋" w:eastAsia="仿宋" w:cs="仿宋"/>
          <w:sz w:val="24"/>
          <w:szCs w:val="24"/>
          <w:highlight w:val="none"/>
        </w:rPr>
      </w:pPr>
      <w:bookmarkStart w:id="500" w:name="_Toc18401"/>
      <w:bookmarkStart w:id="501" w:name="_Toc27674"/>
      <w:r>
        <w:rPr>
          <w:rFonts w:hint="eastAsia" w:ascii="仿宋" w:hAnsi="仿宋" w:eastAsia="仿宋" w:cs="仿宋"/>
          <w:sz w:val="24"/>
          <w:szCs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bookmarkEnd w:id="497"/>
    <w:bookmarkEnd w:id="498"/>
    <w:bookmarkEnd w:id="499"/>
    <w:p w14:paraId="1C56F4B0">
      <w:pPr>
        <w:spacing w:line="560" w:lineRule="exact"/>
        <w:ind w:firstLine="482" w:firstLineChars="200"/>
        <w:outlineLvl w:val="9"/>
        <w:rPr>
          <w:rFonts w:hint="eastAsia" w:ascii="仿宋" w:hAnsi="仿宋" w:eastAsia="仿宋" w:cs="仿宋"/>
          <w:b/>
          <w:sz w:val="24"/>
          <w:szCs w:val="24"/>
          <w:highlight w:val="none"/>
        </w:rPr>
      </w:pPr>
      <w:bookmarkStart w:id="502" w:name="_Toc12254"/>
      <w:bookmarkStart w:id="503" w:name="_Toc487900373"/>
      <w:bookmarkStart w:id="504" w:name="_Toc27644"/>
      <w:bookmarkStart w:id="505" w:name="_Toc259093692"/>
      <w:bookmarkStart w:id="506" w:name="_Toc20808"/>
      <w:bookmarkStart w:id="507" w:name="_Toc279701263"/>
      <w:bookmarkStart w:id="508" w:name="_Toc5063"/>
      <w:bookmarkStart w:id="509" w:name="_Toc28906"/>
      <w:r>
        <w:rPr>
          <w:rFonts w:hint="eastAsia" w:ascii="仿宋" w:hAnsi="仿宋" w:eastAsia="仿宋" w:cs="仿宋"/>
          <w:b/>
          <w:sz w:val="24"/>
          <w:szCs w:val="24"/>
          <w:highlight w:val="none"/>
        </w:rPr>
        <w:t>2.17 合同使用的文字和适用的法律</w:t>
      </w:r>
      <w:bookmarkEnd w:id="502"/>
      <w:bookmarkEnd w:id="503"/>
      <w:bookmarkEnd w:id="504"/>
      <w:bookmarkEnd w:id="505"/>
      <w:bookmarkEnd w:id="506"/>
      <w:bookmarkEnd w:id="507"/>
      <w:bookmarkEnd w:id="508"/>
      <w:bookmarkEnd w:id="509"/>
    </w:p>
    <w:p w14:paraId="249799B4">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2.17.1 合同使用汉语</w:t>
      </w:r>
      <w:r>
        <w:rPr>
          <w:rFonts w:hint="eastAsia" w:ascii="仿宋" w:hAnsi="仿宋" w:eastAsia="仿宋" w:cs="仿宋"/>
          <w:sz w:val="24"/>
          <w:szCs w:val="24"/>
          <w:highlight w:val="none"/>
          <w:lang w:eastAsia="zh-CN"/>
        </w:rPr>
        <w:t>书写</w:t>
      </w:r>
      <w:r>
        <w:rPr>
          <w:rFonts w:hint="eastAsia" w:ascii="仿宋" w:hAnsi="仿宋" w:eastAsia="仿宋" w:cs="仿宋"/>
          <w:sz w:val="24"/>
          <w:szCs w:val="24"/>
          <w:highlight w:val="none"/>
        </w:rPr>
        <w:t>、变更和解释；</w:t>
      </w:r>
    </w:p>
    <w:p w14:paraId="323400A1">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2.17.2 合同适用中华人民共和国法律。</w:t>
      </w:r>
    </w:p>
    <w:p w14:paraId="6F8B1420">
      <w:pPr>
        <w:spacing w:line="560" w:lineRule="exact"/>
        <w:ind w:firstLine="482" w:firstLineChars="200"/>
        <w:outlineLvl w:val="9"/>
        <w:rPr>
          <w:rFonts w:hint="eastAsia" w:ascii="仿宋" w:hAnsi="仿宋" w:eastAsia="仿宋" w:cs="仿宋"/>
          <w:b/>
          <w:sz w:val="24"/>
          <w:szCs w:val="24"/>
          <w:highlight w:val="none"/>
        </w:rPr>
      </w:pPr>
      <w:bookmarkStart w:id="510" w:name="_Toc27403"/>
      <w:bookmarkStart w:id="511" w:name="_Toc30096"/>
      <w:bookmarkStart w:id="512" w:name="_Toc22266"/>
      <w:bookmarkStart w:id="513" w:name="_Toc259093693"/>
      <w:bookmarkStart w:id="514" w:name="_Toc1492"/>
      <w:bookmarkStart w:id="515" w:name="_Toc27127"/>
      <w:bookmarkStart w:id="516" w:name="_Toc279701264"/>
      <w:bookmarkStart w:id="517" w:name="_Toc487900374"/>
      <w:r>
        <w:rPr>
          <w:rFonts w:hint="eastAsia" w:ascii="仿宋" w:hAnsi="仿宋" w:eastAsia="仿宋" w:cs="仿宋"/>
          <w:b/>
          <w:sz w:val="24"/>
          <w:szCs w:val="24"/>
          <w:highlight w:val="none"/>
        </w:rPr>
        <w:t>2.18 履约保证金</w:t>
      </w:r>
      <w:bookmarkEnd w:id="510"/>
      <w:bookmarkEnd w:id="511"/>
      <w:bookmarkEnd w:id="512"/>
      <w:bookmarkEnd w:id="513"/>
      <w:bookmarkEnd w:id="514"/>
      <w:bookmarkEnd w:id="515"/>
      <w:bookmarkEnd w:id="516"/>
    </w:p>
    <w:p w14:paraId="348A8119">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2.18.1 采购文件要求乙方提交履约保证金的，乙方应按</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约定的方式，以支票、汇票、本票或者金融机构、担保机构出具的保函等非现金形式，提交不超过合同价10%的履约保证金；</w:t>
      </w:r>
    </w:p>
    <w:p w14:paraId="499000A1">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2.18.2 履约保证金在</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约定期间内不予退还或者应完全有效，前述约定期间届满之日起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个工作日内，甲方应将履约保证金退还乙方；</w:t>
      </w:r>
    </w:p>
    <w:p w14:paraId="25A0D370">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17"/>
    <w:p w14:paraId="52F3FA54">
      <w:pPr>
        <w:spacing w:line="560" w:lineRule="exact"/>
        <w:ind w:firstLine="482" w:firstLineChars="200"/>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2.19 合同份数</w:t>
      </w:r>
    </w:p>
    <w:p w14:paraId="372DF797">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合同份数按</w:t>
      </w:r>
      <w:r>
        <w:rPr>
          <w:rFonts w:hint="eastAsia" w:ascii="仿宋" w:hAnsi="仿宋" w:eastAsia="仿宋" w:cs="仿宋"/>
          <w:b/>
          <w:i/>
          <w:sz w:val="24"/>
          <w:szCs w:val="24"/>
          <w:highlight w:val="none"/>
          <w:u w:val="single"/>
        </w:rPr>
        <w:t>合同专用条款</w:t>
      </w:r>
      <w:r>
        <w:rPr>
          <w:rFonts w:hint="eastAsia" w:ascii="仿宋" w:hAnsi="仿宋" w:eastAsia="仿宋" w:cs="仿宋"/>
          <w:sz w:val="24"/>
          <w:szCs w:val="24"/>
          <w:highlight w:val="none"/>
        </w:rPr>
        <w:t>规定，每份均具有同等法律效力。</w:t>
      </w:r>
    </w:p>
    <w:p w14:paraId="1EDF94DD">
      <w:pPr>
        <w:pStyle w:val="171"/>
        <w:spacing w:line="560" w:lineRule="exact"/>
        <w:ind w:firstLine="0"/>
        <w:jc w:val="center"/>
        <w:outlineLvl w:val="9"/>
        <w:rPr>
          <w:rFonts w:hint="eastAsia" w:ascii="仿宋" w:hAnsi="仿宋" w:eastAsia="仿宋" w:cs="仿宋"/>
          <w:b/>
          <w:sz w:val="24"/>
          <w:szCs w:val="24"/>
          <w:highlight w:val="none"/>
        </w:rPr>
      </w:pPr>
      <w:bookmarkStart w:id="518" w:name="_Toc331685784"/>
      <w:r>
        <w:rPr>
          <w:rFonts w:hint="eastAsia" w:ascii="仿宋" w:hAnsi="仿宋" w:eastAsia="仿宋" w:cs="仿宋"/>
          <w:b/>
          <w:sz w:val="24"/>
          <w:szCs w:val="24"/>
          <w:highlight w:val="none"/>
        </w:rPr>
        <w:t>第三部分  合同专用条款</w:t>
      </w:r>
      <w:bookmarkEnd w:id="518"/>
    </w:p>
    <w:p w14:paraId="36AA7098">
      <w:pPr>
        <w:spacing w:line="560" w:lineRule="exact"/>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752"/>
      </w:tblGrid>
      <w:tr w14:paraId="423E3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0C834598">
            <w:pPr>
              <w:keepNext w:val="0"/>
              <w:keepLines w:val="0"/>
              <w:suppressLineNumbers w:val="0"/>
              <w:spacing w:before="0" w:beforeAutospacing="0" w:after="0" w:afterAutospacing="0" w:line="560" w:lineRule="exact"/>
              <w:jc w:val="center"/>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条款号</w:t>
            </w:r>
          </w:p>
        </w:tc>
        <w:tc>
          <w:tcPr>
            <w:tcW w:w="8752" w:type="dxa"/>
            <w:noWrap w:val="0"/>
            <w:vAlign w:val="center"/>
          </w:tcPr>
          <w:p w14:paraId="312C6E47">
            <w:pPr>
              <w:keepNext w:val="0"/>
              <w:keepLines w:val="0"/>
              <w:suppressLineNumbers w:val="0"/>
              <w:spacing w:before="0" w:beforeAutospacing="0" w:after="0" w:afterAutospacing="0" w:line="560" w:lineRule="exact"/>
              <w:jc w:val="center"/>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t>约定内容</w:t>
            </w:r>
          </w:p>
        </w:tc>
      </w:tr>
      <w:tr w14:paraId="35CBE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713AE28B">
            <w:pPr>
              <w:keepNext w:val="0"/>
              <w:keepLines w:val="0"/>
              <w:suppressLineNumbers w:val="0"/>
              <w:spacing w:before="0" w:beforeAutospacing="0" w:after="0" w:afterAutospacing="0" w:line="560" w:lineRule="exact"/>
              <w:outlineLvl w:val="9"/>
              <w:rPr>
                <w:rFonts w:hint="eastAsia" w:ascii="仿宋" w:hAnsi="仿宋" w:eastAsia="仿宋" w:cs="仿宋"/>
                <w:sz w:val="24"/>
                <w:szCs w:val="24"/>
                <w:highlight w:val="none"/>
              </w:rPr>
            </w:pPr>
          </w:p>
        </w:tc>
        <w:tc>
          <w:tcPr>
            <w:tcW w:w="8752" w:type="dxa"/>
            <w:noWrap w:val="0"/>
            <w:vAlign w:val="center"/>
          </w:tcPr>
          <w:p w14:paraId="06FDFCB3">
            <w:pPr>
              <w:keepNext w:val="0"/>
              <w:keepLines w:val="0"/>
              <w:suppressLineNumbers w:val="0"/>
              <w:spacing w:before="0" w:beforeAutospacing="0" w:after="0" w:afterAutospacing="0" w:line="560" w:lineRule="exact"/>
              <w:outlineLvl w:val="9"/>
              <w:rPr>
                <w:rFonts w:hint="eastAsia" w:ascii="仿宋" w:hAnsi="仿宋" w:eastAsia="仿宋" w:cs="仿宋"/>
                <w:sz w:val="24"/>
                <w:szCs w:val="24"/>
                <w:highlight w:val="none"/>
              </w:rPr>
            </w:pPr>
          </w:p>
        </w:tc>
      </w:tr>
      <w:tr w14:paraId="7BE8F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246C9D9">
            <w:pPr>
              <w:keepNext w:val="0"/>
              <w:keepLines w:val="0"/>
              <w:suppressLineNumbers w:val="0"/>
              <w:spacing w:before="0" w:beforeAutospacing="0" w:after="0" w:afterAutospacing="0" w:line="560" w:lineRule="exact"/>
              <w:outlineLvl w:val="9"/>
              <w:rPr>
                <w:rFonts w:hint="eastAsia" w:ascii="仿宋" w:hAnsi="仿宋" w:eastAsia="仿宋" w:cs="仿宋"/>
                <w:sz w:val="24"/>
                <w:szCs w:val="24"/>
                <w:highlight w:val="none"/>
              </w:rPr>
            </w:pPr>
          </w:p>
        </w:tc>
        <w:tc>
          <w:tcPr>
            <w:tcW w:w="8752" w:type="dxa"/>
            <w:noWrap w:val="0"/>
            <w:vAlign w:val="center"/>
          </w:tcPr>
          <w:p w14:paraId="5C38F538">
            <w:pPr>
              <w:keepNext w:val="0"/>
              <w:keepLines w:val="0"/>
              <w:suppressLineNumbers w:val="0"/>
              <w:spacing w:before="0" w:beforeAutospacing="0" w:after="0" w:afterAutospacing="0" w:line="560" w:lineRule="exact"/>
              <w:outlineLvl w:val="9"/>
              <w:rPr>
                <w:rFonts w:hint="eastAsia" w:ascii="仿宋" w:hAnsi="仿宋" w:eastAsia="仿宋" w:cs="仿宋"/>
                <w:sz w:val="24"/>
                <w:szCs w:val="24"/>
                <w:highlight w:val="none"/>
              </w:rPr>
            </w:pPr>
          </w:p>
        </w:tc>
      </w:tr>
      <w:tr w14:paraId="0FAF5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54C99AE">
            <w:pPr>
              <w:keepNext w:val="0"/>
              <w:keepLines w:val="0"/>
              <w:suppressLineNumbers w:val="0"/>
              <w:spacing w:before="0" w:beforeAutospacing="0" w:after="0" w:afterAutospacing="0" w:line="560" w:lineRule="exact"/>
              <w:outlineLvl w:val="9"/>
              <w:rPr>
                <w:rFonts w:hint="eastAsia" w:ascii="仿宋" w:hAnsi="仿宋" w:eastAsia="仿宋" w:cs="仿宋"/>
                <w:sz w:val="24"/>
                <w:szCs w:val="24"/>
                <w:highlight w:val="none"/>
              </w:rPr>
            </w:pPr>
          </w:p>
        </w:tc>
        <w:tc>
          <w:tcPr>
            <w:tcW w:w="8752" w:type="dxa"/>
            <w:noWrap w:val="0"/>
            <w:vAlign w:val="center"/>
          </w:tcPr>
          <w:p w14:paraId="7F46A117">
            <w:pPr>
              <w:keepNext w:val="0"/>
              <w:keepLines w:val="0"/>
              <w:suppressLineNumbers w:val="0"/>
              <w:spacing w:before="0" w:beforeAutospacing="0" w:after="0" w:afterAutospacing="0" w:line="560" w:lineRule="exact"/>
              <w:outlineLvl w:val="9"/>
              <w:rPr>
                <w:rFonts w:hint="eastAsia" w:ascii="仿宋" w:hAnsi="仿宋" w:eastAsia="仿宋" w:cs="仿宋"/>
                <w:sz w:val="24"/>
                <w:szCs w:val="24"/>
                <w:highlight w:val="none"/>
              </w:rPr>
            </w:pPr>
          </w:p>
        </w:tc>
      </w:tr>
      <w:tr w14:paraId="6349C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5B6A85B">
            <w:pPr>
              <w:keepNext w:val="0"/>
              <w:keepLines w:val="0"/>
              <w:suppressLineNumbers w:val="0"/>
              <w:spacing w:before="0" w:beforeAutospacing="0" w:after="0" w:afterAutospacing="0" w:line="560" w:lineRule="exact"/>
              <w:outlineLvl w:val="9"/>
              <w:rPr>
                <w:rFonts w:hint="eastAsia" w:ascii="仿宋" w:hAnsi="仿宋" w:eastAsia="仿宋" w:cs="仿宋"/>
                <w:sz w:val="24"/>
                <w:szCs w:val="24"/>
                <w:highlight w:val="none"/>
              </w:rPr>
            </w:pPr>
          </w:p>
        </w:tc>
        <w:tc>
          <w:tcPr>
            <w:tcW w:w="8752" w:type="dxa"/>
            <w:noWrap w:val="0"/>
            <w:vAlign w:val="center"/>
          </w:tcPr>
          <w:p w14:paraId="380B3A3C">
            <w:pPr>
              <w:keepNext w:val="0"/>
              <w:keepLines w:val="0"/>
              <w:suppressLineNumbers w:val="0"/>
              <w:spacing w:before="0" w:beforeAutospacing="0" w:after="0" w:afterAutospacing="0" w:line="560" w:lineRule="exact"/>
              <w:outlineLvl w:val="9"/>
              <w:rPr>
                <w:rFonts w:hint="eastAsia" w:ascii="仿宋" w:hAnsi="仿宋" w:eastAsia="仿宋" w:cs="仿宋"/>
                <w:sz w:val="24"/>
                <w:szCs w:val="24"/>
                <w:highlight w:val="none"/>
              </w:rPr>
            </w:pPr>
          </w:p>
        </w:tc>
      </w:tr>
      <w:tr w14:paraId="49157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4115E57">
            <w:pPr>
              <w:keepNext w:val="0"/>
              <w:keepLines w:val="0"/>
              <w:suppressLineNumbers w:val="0"/>
              <w:spacing w:before="0" w:beforeAutospacing="0" w:after="0" w:afterAutospacing="0" w:line="560" w:lineRule="exact"/>
              <w:outlineLvl w:val="9"/>
              <w:rPr>
                <w:rFonts w:hint="eastAsia" w:ascii="仿宋" w:hAnsi="仿宋" w:eastAsia="仿宋" w:cs="仿宋"/>
                <w:sz w:val="24"/>
                <w:szCs w:val="24"/>
                <w:highlight w:val="none"/>
              </w:rPr>
            </w:pPr>
          </w:p>
        </w:tc>
        <w:tc>
          <w:tcPr>
            <w:tcW w:w="8752" w:type="dxa"/>
            <w:noWrap w:val="0"/>
            <w:vAlign w:val="center"/>
          </w:tcPr>
          <w:p w14:paraId="12299F39">
            <w:pPr>
              <w:keepNext w:val="0"/>
              <w:keepLines w:val="0"/>
              <w:suppressLineNumbers w:val="0"/>
              <w:spacing w:before="0" w:beforeAutospacing="0" w:after="0" w:afterAutospacing="0" w:line="560" w:lineRule="exact"/>
              <w:outlineLvl w:val="9"/>
              <w:rPr>
                <w:rFonts w:hint="eastAsia" w:ascii="仿宋" w:hAnsi="仿宋" w:eastAsia="仿宋" w:cs="仿宋"/>
                <w:sz w:val="24"/>
                <w:szCs w:val="24"/>
                <w:highlight w:val="none"/>
                <w:u w:val="single"/>
              </w:rPr>
            </w:pPr>
          </w:p>
        </w:tc>
      </w:tr>
    </w:tbl>
    <w:p w14:paraId="1142872C">
      <w:pPr>
        <w:spacing w:line="360" w:lineRule="auto"/>
        <w:ind w:firstLine="482" w:firstLineChars="200"/>
        <w:jc w:val="center"/>
        <w:outlineLvl w:val="0"/>
        <w:rPr>
          <w:rFonts w:hint="eastAsia" w:ascii="仿宋" w:hAnsi="仿宋" w:eastAsia="仿宋" w:cs="仿宋"/>
          <w:b/>
          <w:sz w:val="36"/>
          <w:szCs w:val="36"/>
          <w:highlight w:val="none"/>
        </w:rPr>
      </w:pPr>
      <w:r>
        <w:rPr>
          <w:rFonts w:hint="eastAsia" w:ascii="仿宋" w:hAnsi="仿宋" w:eastAsia="仿宋" w:cs="仿宋"/>
          <w:b/>
          <w:sz w:val="24"/>
          <w:szCs w:val="24"/>
          <w:highlight w:val="none"/>
        </w:rPr>
        <w:br w:type="page"/>
      </w:r>
      <w:bookmarkStart w:id="519" w:name="_Toc25342"/>
      <w:bookmarkStart w:id="520" w:name="_Toc9510643"/>
      <w:bookmarkStart w:id="521" w:name="_Toc6125"/>
      <w:bookmarkStart w:id="522" w:name="_Toc19415"/>
      <w:bookmarkStart w:id="523" w:name="_Toc21010"/>
      <w:bookmarkStart w:id="524" w:name="_Toc11035"/>
      <w:r>
        <w:rPr>
          <w:rFonts w:hint="eastAsia" w:ascii="仿宋" w:hAnsi="仿宋" w:eastAsia="仿宋" w:cs="仿宋"/>
          <w:b/>
          <w:kern w:val="2"/>
          <w:sz w:val="36"/>
          <w:szCs w:val="36"/>
          <w:highlight w:val="none"/>
          <w:lang w:val="en-US" w:eastAsia="zh-CN" w:bidi="ar-SA"/>
        </w:rPr>
        <w:t>第七章　投标文件格式</w:t>
      </w:r>
      <w:bookmarkEnd w:id="519"/>
      <w:bookmarkEnd w:id="520"/>
      <w:bookmarkEnd w:id="521"/>
      <w:bookmarkEnd w:id="522"/>
      <w:bookmarkEnd w:id="523"/>
      <w:bookmarkEnd w:id="524"/>
    </w:p>
    <w:p w14:paraId="0B32EA6C">
      <w:pPr>
        <w:adjustRightInd w:val="0"/>
        <w:spacing w:line="360" w:lineRule="auto"/>
        <w:rPr>
          <w:rFonts w:hint="eastAsia" w:ascii="仿宋" w:hAnsi="仿宋" w:eastAsia="仿宋" w:cs="仿宋"/>
          <w:szCs w:val="24"/>
          <w:highlight w:val="none"/>
        </w:rPr>
      </w:pPr>
    </w:p>
    <w:p w14:paraId="439462DD">
      <w:pPr>
        <w:spacing w:line="560" w:lineRule="exact"/>
        <w:ind w:firstLine="480" w:firstLineChars="200"/>
        <w:outlineLvl w:val="1"/>
        <w:rPr>
          <w:rFonts w:hint="eastAsia" w:ascii="仿宋" w:hAnsi="仿宋" w:eastAsia="仿宋" w:cs="仿宋"/>
          <w:kern w:val="2"/>
          <w:sz w:val="24"/>
          <w:szCs w:val="24"/>
          <w:highlight w:val="none"/>
          <w:lang w:val="en-US" w:eastAsia="zh-CN" w:bidi="ar-SA"/>
        </w:rPr>
      </w:pPr>
      <w:bookmarkStart w:id="525" w:name="_Toc23594"/>
      <w:r>
        <w:rPr>
          <w:rFonts w:hint="eastAsia" w:ascii="仿宋" w:hAnsi="仿宋" w:eastAsia="仿宋" w:cs="仿宋"/>
          <w:kern w:val="2"/>
          <w:sz w:val="24"/>
          <w:szCs w:val="24"/>
          <w:highlight w:val="none"/>
          <w:lang w:val="en-US" w:eastAsia="zh-CN" w:bidi="ar-SA"/>
        </w:rPr>
        <w:t>一、投标人提交投标文件须知：</w:t>
      </w:r>
      <w:bookmarkEnd w:id="525"/>
    </w:p>
    <w:p w14:paraId="70360CA9">
      <w:pPr>
        <w:spacing w:line="5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1、投标人应严格按照以下顺序填写和提交下述规定的全部格式文件以及其他有关资料，混乱的编排导致投标文件被误读或评标小组查找不到有效文件是投标人的风险。</w:t>
      </w:r>
    </w:p>
    <w:p w14:paraId="7AF34D35">
      <w:pPr>
        <w:spacing w:line="560" w:lineRule="exact"/>
        <w:ind w:firstLine="480" w:firstLineChars="200"/>
        <w:outlineLvl w:val="2"/>
        <w:rPr>
          <w:rFonts w:hint="eastAsia" w:ascii="仿宋" w:hAnsi="仿宋" w:eastAsia="仿宋" w:cs="仿宋"/>
          <w:kern w:val="2"/>
          <w:sz w:val="24"/>
          <w:szCs w:val="24"/>
          <w:highlight w:val="none"/>
          <w:lang w:val="en-US" w:eastAsia="zh-CN" w:bidi="ar-SA"/>
        </w:rPr>
      </w:pPr>
      <w:bookmarkStart w:id="526" w:name="_Toc23205"/>
      <w:r>
        <w:rPr>
          <w:rFonts w:hint="eastAsia" w:ascii="仿宋" w:hAnsi="仿宋" w:eastAsia="仿宋" w:cs="仿宋"/>
          <w:kern w:val="2"/>
          <w:sz w:val="24"/>
          <w:szCs w:val="24"/>
          <w:highlight w:val="none"/>
          <w:lang w:val="en-US" w:eastAsia="zh-CN" w:bidi="ar-SA"/>
        </w:rPr>
        <w:t>2、所附表格中要求回答的全部问题和/或信息都必须正面回答。</w:t>
      </w:r>
      <w:bookmarkEnd w:id="526"/>
    </w:p>
    <w:p w14:paraId="3882873E">
      <w:pPr>
        <w:spacing w:line="5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3、本声明书的签字人应保证全部声明和问题的回答是真实的和准确的。</w:t>
      </w:r>
    </w:p>
    <w:p w14:paraId="3155C02C">
      <w:pPr>
        <w:spacing w:line="5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4、评标委员会将应用投标人提交的资料根据自己的判断和考虑决定投标人履行合同的合格性及能力。</w:t>
      </w:r>
    </w:p>
    <w:p w14:paraId="7F019374">
      <w:pPr>
        <w:spacing w:line="560" w:lineRule="exact"/>
        <w:ind w:firstLine="480" w:firstLineChars="200"/>
        <w:outlineLvl w:val="2"/>
        <w:rPr>
          <w:rFonts w:hint="eastAsia" w:ascii="仿宋" w:hAnsi="仿宋" w:eastAsia="仿宋" w:cs="仿宋"/>
          <w:kern w:val="2"/>
          <w:sz w:val="24"/>
          <w:szCs w:val="24"/>
          <w:highlight w:val="none"/>
          <w:lang w:val="en-US" w:eastAsia="zh-CN" w:bidi="ar-SA"/>
        </w:rPr>
      </w:pPr>
      <w:bookmarkStart w:id="527" w:name="_Toc8067"/>
      <w:r>
        <w:rPr>
          <w:rFonts w:hint="eastAsia" w:ascii="仿宋" w:hAnsi="仿宋" w:eastAsia="仿宋" w:cs="仿宋"/>
          <w:kern w:val="2"/>
          <w:sz w:val="24"/>
          <w:szCs w:val="24"/>
          <w:highlight w:val="none"/>
          <w:lang w:val="en-US" w:eastAsia="zh-CN" w:bidi="ar-SA"/>
        </w:rPr>
        <w:t>5、投标人提交的材料将在一定期限内被保密保存，但不退还。</w:t>
      </w:r>
      <w:bookmarkEnd w:id="527"/>
    </w:p>
    <w:p w14:paraId="06397951">
      <w:pPr>
        <w:spacing w:line="560" w:lineRule="exact"/>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6、全部文件应按投标人须知中规定的语言和份数提交。投标文件组成漏项或未按规定的格式编制，内容不全或内容字迹模糊辨认不清的情况，将有可能被评标小组认定为投标无效。</w:t>
      </w:r>
    </w:p>
    <w:p w14:paraId="3550012A">
      <w:pPr>
        <w:adjustRightInd w:val="0"/>
        <w:snapToGrid w:val="0"/>
        <w:spacing w:before="50" w:after="50"/>
        <w:rPr>
          <w:rFonts w:hint="eastAsia" w:ascii="仿宋" w:hAnsi="仿宋" w:eastAsia="仿宋" w:cs="仿宋"/>
          <w:sz w:val="32"/>
          <w:highlight w:val="none"/>
        </w:rPr>
      </w:pPr>
    </w:p>
    <w:p w14:paraId="366BF0BA">
      <w:pPr>
        <w:spacing w:line="360" w:lineRule="auto"/>
        <w:jc w:val="center"/>
        <w:outlineLvl w:val="9"/>
        <w:rPr>
          <w:rFonts w:hint="eastAsia" w:ascii="仿宋" w:hAnsi="仿宋" w:eastAsia="仿宋" w:cs="仿宋"/>
          <w:sz w:val="48"/>
          <w:szCs w:val="48"/>
          <w:highlight w:val="none"/>
        </w:rPr>
      </w:pPr>
      <w:r>
        <w:rPr>
          <w:rFonts w:hint="eastAsia" w:ascii="仿宋" w:hAnsi="仿宋" w:eastAsia="仿宋" w:cs="仿宋"/>
          <w:sz w:val="32"/>
          <w:highlight w:val="none"/>
        </w:rPr>
        <w:br w:type="page"/>
      </w:r>
      <w:bookmarkStart w:id="528" w:name="_Toc23960"/>
      <w:bookmarkStart w:id="529" w:name="_Toc17130"/>
      <w:bookmarkStart w:id="530" w:name="_Toc2253"/>
      <w:r>
        <w:rPr>
          <w:rFonts w:hint="eastAsia" w:ascii="仿宋" w:hAnsi="仿宋" w:eastAsia="仿宋" w:cs="仿宋"/>
          <w:sz w:val="48"/>
          <w:szCs w:val="48"/>
          <w:highlight w:val="none"/>
          <w:lang w:eastAsia="zh-CN"/>
        </w:rPr>
        <w:t>（</w:t>
      </w:r>
      <w:r>
        <w:rPr>
          <w:rFonts w:hint="eastAsia" w:ascii="仿宋" w:hAnsi="仿宋" w:eastAsia="仿宋" w:cs="仿宋"/>
          <w:sz w:val="48"/>
          <w:szCs w:val="48"/>
          <w:highlight w:val="none"/>
        </w:rPr>
        <w:t>项目</w:t>
      </w:r>
      <w:r>
        <w:rPr>
          <w:rFonts w:hint="eastAsia" w:ascii="仿宋" w:hAnsi="仿宋" w:eastAsia="仿宋" w:cs="仿宋"/>
          <w:sz w:val="48"/>
          <w:szCs w:val="48"/>
          <w:highlight w:val="none"/>
          <w:lang w:eastAsia="zh-CN"/>
        </w:rPr>
        <w:t>、标段</w:t>
      </w:r>
      <w:r>
        <w:rPr>
          <w:rFonts w:hint="eastAsia" w:ascii="仿宋" w:hAnsi="仿宋" w:eastAsia="仿宋" w:cs="仿宋"/>
          <w:sz w:val="48"/>
          <w:szCs w:val="48"/>
          <w:highlight w:val="none"/>
        </w:rPr>
        <w:t>名称</w:t>
      </w:r>
      <w:r>
        <w:rPr>
          <w:rFonts w:hint="eastAsia" w:ascii="仿宋" w:hAnsi="仿宋" w:eastAsia="仿宋" w:cs="仿宋"/>
          <w:sz w:val="48"/>
          <w:szCs w:val="48"/>
          <w:highlight w:val="none"/>
          <w:lang w:eastAsia="zh-CN"/>
        </w:rPr>
        <w:t>）</w:t>
      </w:r>
      <w:r>
        <w:rPr>
          <w:rFonts w:hint="eastAsia" w:ascii="仿宋" w:hAnsi="仿宋" w:eastAsia="仿宋" w:cs="仿宋"/>
          <w:sz w:val="48"/>
          <w:szCs w:val="48"/>
          <w:highlight w:val="none"/>
        </w:rPr>
        <w:t>项目</w:t>
      </w:r>
      <w:bookmarkEnd w:id="528"/>
      <w:bookmarkEnd w:id="529"/>
      <w:bookmarkEnd w:id="530"/>
    </w:p>
    <w:p w14:paraId="363B0BE5">
      <w:pPr>
        <w:spacing w:line="360" w:lineRule="auto"/>
        <w:jc w:val="center"/>
        <w:outlineLvl w:val="9"/>
        <w:rPr>
          <w:rFonts w:hint="eastAsia" w:ascii="仿宋" w:hAnsi="仿宋" w:eastAsia="仿宋" w:cs="仿宋"/>
          <w:sz w:val="32"/>
          <w:highlight w:val="none"/>
        </w:rPr>
      </w:pPr>
    </w:p>
    <w:p w14:paraId="04E673EB">
      <w:pPr>
        <w:spacing w:line="360" w:lineRule="auto"/>
        <w:jc w:val="center"/>
        <w:outlineLvl w:val="9"/>
        <w:rPr>
          <w:rFonts w:hint="eastAsia" w:ascii="仿宋" w:hAnsi="仿宋" w:eastAsia="仿宋" w:cs="仿宋"/>
          <w:sz w:val="32"/>
          <w:highlight w:val="none"/>
        </w:rPr>
      </w:pPr>
      <w:bookmarkStart w:id="531" w:name="_Toc24951"/>
      <w:r>
        <w:rPr>
          <w:rFonts w:hint="eastAsia" w:ascii="仿宋" w:hAnsi="仿宋" w:eastAsia="仿宋" w:cs="仿宋"/>
          <w:sz w:val="32"/>
          <w:highlight w:val="none"/>
        </w:rPr>
        <w:t>项目编号：</w:t>
      </w:r>
      <w:bookmarkEnd w:id="531"/>
    </w:p>
    <w:p w14:paraId="5606F4BC">
      <w:pPr>
        <w:spacing w:line="560" w:lineRule="exact"/>
        <w:ind w:firstLine="883" w:firstLineChars="200"/>
        <w:jc w:val="center"/>
        <w:rPr>
          <w:rFonts w:hint="eastAsia" w:ascii="仿宋" w:hAnsi="仿宋" w:eastAsia="仿宋" w:cs="仿宋"/>
          <w:b/>
          <w:bCs/>
          <w:kern w:val="2"/>
          <w:sz w:val="44"/>
          <w:szCs w:val="52"/>
          <w:highlight w:val="none"/>
          <w:lang w:val="en-US" w:eastAsia="zh-CN" w:bidi="ar-SA"/>
        </w:rPr>
      </w:pPr>
    </w:p>
    <w:p w14:paraId="20A9BF11">
      <w:pPr>
        <w:spacing w:line="360" w:lineRule="auto"/>
        <w:jc w:val="center"/>
        <w:outlineLvl w:val="9"/>
        <w:rPr>
          <w:rFonts w:hint="eastAsia" w:ascii="仿宋" w:hAnsi="仿宋" w:eastAsia="仿宋" w:cs="仿宋"/>
          <w:b/>
          <w:bCs/>
          <w:sz w:val="72"/>
          <w:szCs w:val="72"/>
          <w:highlight w:val="none"/>
          <w:lang w:val="en-US" w:eastAsia="zh-CN"/>
        </w:rPr>
      </w:pPr>
      <w:r>
        <w:rPr>
          <w:rFonts w:hint="eastAsia" w:ascii="仿宋" w:hAnsi="仿宋" w:eastAsia="仿宋" w:cs="仿宋"/>
          <w:b/>
          <w:bCs/>
          <w:sz w:val="72"/>
          <w:szCs w:val="72"/>
          <w:highlight w:val="none"/>
          <w:lang w:val="en-US" w:eastAsia="zh-CN"/>
        </w:rPr>
        <w:t>投</w:t>
      </w:r>
    </w:p>
    <w:p w14:paraId="7C24687B">
      <w:pPr>
        <w:spacing w:line="360" w:lineRule="auto"/>
        <w:jc w:val="center"/>
        <w:outlineLvl w:val="9"/>
        <w:rPr>
          <w:rFonts w:hint="eastAsia" w:ascii="仿宋" w:hAnsi="仿宋" w:eastAsia="仿宋" w:cs="仿宋"/>
          <w:b/>
          <w:bCs/>
          <w:sz w:val="72"/>
          <w:szCs w:val="72"/>
          <w:highlight w:val="none"/>
          <w:lang w:val="en-US" w:eastAsia="zh-CN"/>
        </w:rPr>
      </w:pPr>
      <w:r>
        <w:rPr>
          <w:rFonts w:hint="eastAsia" w:ascii="仿宋" w:hAnsi="仿宋" w:eastAsia="仿宋" w:cs="仿宋"/>
          <w:b/>
          <w:bCs/>
          <w:sz w:val="72"/>
          <w:szCs w:val="72"/>
          <w:highlight w:val="none"/>
          <w:lang w:val="en-US" w:eastAsia="zh-CN"/>
        </w:rPr>
        <w:t>标</w:t>
      </w:r>
    </w:p>
    <w:p w14:paraId="5805B177">
      <w:pPr>
        <w:spacing w:line="360" w:lineRule="auto"/>
        <w:jc w:val="center"/>
        <w:outlineLvl w:val="9"/>
        <w:rPr>
          <w:rFonts w:hint="eastAsia" w:ascii="仿宋" w:hAnsi="仿宋" w:eastAsia="仿宋" w:cs="仿宋"/>
          <w:b/>
          <w:bCs/>
          <w:sz w:val="72"/>
          <w:szCs w:val="72"/>
          <w:highlight w:val="none"/>
          <w:lang w:val="en-US" w:eastAsia="zh-CN"/>
        </w:rPr>
      </w:pPr>
      <w:r>
        <w:rPr>
          <w:rFonts w:hint="eastAsia" w:ascii="仿宋" w:hAnsi="仿宋" w:eastAsia="仿宋" w:cs="仿宋"/>
          <w:b/>
          <w:bCs/>
          <w:sz w:val="72"/>
          <w:szCs w:val="72"/>
          <w:highlight w:val="none"/>
          <w:lang w:val="en-US" w:eastAsia="zh-CN"/>
        </w:rPr>
        <w:t>文</w:t>
      </w:r>
    </w:p>
    <w:p w14:paraId="08F0E385">
      <w:pPr>
        <w:spacing w:line="360" w:lineRule="auto"/>
        <w:jc w:val="center"/>
        <w:outlineLvl w:val="9"/>
        <w:rPr>
          <w:rFonts w:hint="eastAsia" w:ascii="仿宋" w:hAnsi="仿宋" w:eastAsia="仿宋" w:cs="仿宋"/>
          <w:b/>
          <w:bCs/>
          <w:kern w:val="2"/>
          <w:sz w:val="72"/>
          <w:szCs w:val="72"/>
          <w:highlight w:val="none"/>
          <w:lang w:val="en-US" w:eastAsia="zh-CN" w:bidi="ar-SA"/>
        </w:rPr>
      </w:pPr>
      <w:r>
        <w:rPr>
          <w:rFonts w:hint="eastAsia" w:ascii="仿宋" w:hAnsi="仿宋" w:eastAsia="仿宋" w:cs="仿宋"/>
          <w:b/>
          <w:bCs/>
          <w:sz w:val="72"/>
          <w:szCs w:val="72"/>
          <w:highlight w:val="none"/>
          <w:lang w:val="en-US" w:eastAsia="zh-CN"/>
        </w:rPr>
        <w:t>件</w:t>
      </w:r>
    </w:p>
    <w:p w14:paraId="29BA193E">
      <w:pPr>
        <w:spacing w:line="560" w:lineRule="exact"/>
        <w:ind w:firstLine="560" w:firstLineChars="200"/>
        <w:rPr>
          <w:rFonts w:hint="eastAsia" w:ascii="仿宋" w:hAnsi="仿宋" w:eastAsia="仿宋" w:cs="仿宋"/>
          <w:kern w:val="2"/>
          <w:sz w:val="28"/>
          <w:szCs w:val="36"/>
          <w:highlight w:val="none"/>
          <w:lang w:val="en-US" w:eastAsia="zh-CN" w:bidi="ar-SA"/>
        </w:rPr>
      </w:pPr>
    </w:p>
    <w:p w14:paraId="4E775411">
      <w:pPr>
        <w:spacing w:line="560" w:lineRule="exact"/>
        <w:ind w:firstLine="560" w:firstLineChars="200"/>
        <w:rPr>
          <w:rFonts w:hint="eastAsia" w:ascii="仿宋" w:hAnsi="仿宋" w:eastAsia="仿宋" w:cs="仿宋"/>
          <w:kern w:val="2"/>
          <w:sz w:val="28"/>
          <w:szCs w:val="36"/>
          <w:highlight w:val="none"/>
          <w:lang w:val="en-US" w:eastAsia="zh-CN" w:bidi="ar-SA"/>
        </w:rPr>
      </w:pPr>
      <w:r>
        <w:rPr>
          <w:rFonts w:hint="eastAsia" w:ascii="仿宋" w:hAnsi="仿宋" w:eastAsia="仿宋" w:cs="仿宋"/>
          <w:kern w:val="2"/>
          <w:sz w:val="28"/>
          <w:szCs w:val="36"/>
          <w:highlight w:val="none"/>
          <w:lang w:val="en-US" w:eastAsia="zh-CN" w:bidi="ar-SA"/>
        </w:rPr>
        <w:t>投标单位名称：</w:t>
      </w:r>
      <w:r>
        <w:rPr>
          <w:rFonts w:hint="eastAsia" w:ascii="仿宋" w:hAnsi="仿宋" w:eastAsia="仿宋" w:cs="仿宋"/>
          <w:kern w:val="2"/>
          <w:sz w:val="28"/>
          <w:szCs w:val="36"/>
          <w:highlight w:val="none"/>
          <w:u w:val="single"/>
          <w:lang w:val="en-US" w:eastAsia="zh-CN" w:bidi="ar-SA"/>
        </w:rPr>
        <w:t xml:space="preserve">                                  </w:t>
      </w:r>
      <w:r>
        <w:rPr>
          <w:rFonts w:hint="eastAsia" w:ascii="仿宋" w:hAnsi="仿宋" w:eastAsia="仿宋" w:cs="仿宋"/>
          <w:kern w:val="2"/>
          <w:sz w:val="28"/>
          <w:szCs w:val="36"/>
          <w:highlight w:val="none"/>
          <w:lang w:val="en-US" w:eastAsia="zh-CN" w:bidi="ar-SA"/>
        </w:rPr>
        <w:t>（加盖单位公章）</w:t>
      </w:r>
    </w:p>
    <w:p w14:paraId="4E9E36F4">
      <w:pPr>
        <w:spacing w:line="560" w:lineRule="exact"/>
        <w:ind w:firstLine="560" w:firstLineChars="200"/>
        <w:rPr>
          <w:rFonts w:hint="eastAsia" w:ascii="仿宋" w:hAnsi="仿宋" w:eastAsia="仿宋" w:cs="仿宋"/>
          <w:kern w:val="2"/>
          <w:sz w:val="28"/>
          <w:szCs w:val="36"/>
          <w:highlight w:val="none"/>
          <w:lang w:val="en-US" w:eastAsia="zh-CN" w:bidi="ar-SA"/>
        </w:rPr>
      </w:pPr>
      <w:r>
        <w:rPr>
          <w:rFonts w:hint="eastAsia" w:ascii="仿宋" w:hAnsi="仿宋" w:eastAsia="仿宋" w:cs="仿宋"/>
          <w:kern w:val="2"/>
          <w:sz w:val="28"/>
          <w:szCs w:val="36"/>
          <w:highlight w:val="none"/>
          <w:lang w:val="en-US" w:eastAsia="zh-CN" w:bidi="ar-SA"/>
        </w:rPr>
        <w:t>投标单位地址：</w:t>
      </w:r>
      <w:r>
        <w:rPr>
          <w:rFonts w:hint="eastAsia" w:ascii="仿宋" w:hAnsi="仿宋" w:eastAsia="仿宋" w:cs="仿宋"/>
          <w:kern w:val="2"/>
          <w:sz w:val="28"/>
          <w:szCs w:val="36"/>
          <w:highlight w:val="none"/>
          <w:u w:val="single"/>
          <w:lang w:val="en-US" w:eastAsia="zh-CN" w:bidi="ar-SA"/>
        </w:rPr>
        <w:t xml:space="preserve">                                  </w:t>
      </w:r>
    </w:p>
    <w:p w14:paraId="75ED42A6">
      <w:pPr>
        <w:spacing w:line="560" w:lineRule="exact"/>
        <w:ind w:firstLine="560" w:firstLineChars="200"/>
        <w:rPr>
          <w:rFonts w:hint="eastAsia" w:ascii="仿宋" w:hAnsi="仿宋" w:eastAsia="仿宋" w:cs="仿宋"/>
          <w:kern w:val="2"/>
          <w:sz w:val="28"/>
          <w:szCs w:val="36"/>
          <w:highlight w:val="none"/>
          <w:lang w:val="en-US" w:eastAsia="zh-CN" w:bidi="ar-SA"/>
        </w:rPr>
      </w:pPr>
      <w:r>
        <w:rPr>
          <w:rFonts w:hint="eastAsia" w:ascii="仿宋" w:hAnsi="仿宋" w:eastAsia="仿宋" w:cs="仿宋"/>
          <w:kern w:val="2"/>
          <w:sz w:val="28"/>
          <w:szCs w:val="36"/>
          <w:highlight w:val="none"/>
          <w:lang w:val="en-US" w:eastAsia="zh-CN" w:bidi="ar-SA"/>
        </w:rPr>
        <w:t>法人或法人授权代表（签字或盖章）：</w:t>
      </w:r>
      <w:r>
        <w:rPr>
          <w:rFonts w:hint="eastAsia" w:ascii="仿宋" w:hAnsi="仿宋" w:eastAsia="仿宋" w:cs="仿宋"/>
          <w:kern w:val="2"/>
          <w:sz w:val="28"/>
          <w:szCs w:val="36"/>
          <w:highlight w:val="none"/>
          <w:u w:val="single"/>
          <w:lang w:val="en-US" w:eastAsia="zh-CN" w:bidi="ar-SA"/>
        </w:rPr>
        <w:t xml:space="preserve">                        </w:t>
      </w:r>
    </w:p>
    <w:p w14:paraId="3AC27760">
      <w:pPr>
        <w:spacing w:line="560" w:lineRule="exact"/>
        <w:ind w:firstLine="560" w:firstLineChars="200"/>
        <w:rPr>
          <w:rFonts w:hint="eastAsia" w:ascii="仿宋" w:hAnsi="仿宋" w:eastAsia="仿宋" w:cs="仿宋"/>
          <w:kern w:val="2"/>
          <w:sz w:val="28"/>
          <w:szCs w:val="36"/>
          <w:highlight w:val="none"/>
          <w:lang w:val="en-US" w:eastAsia="zh-CN" w:bidi="ar-SA"/>
        </w:rPr>
      </w:pPr>
      <w:r>
        <w:rPr>
          <w:rFonts w:hint="eastAsia" w:ascii="仿宋" w:hAnsi="仿宋" w:eastAsia="仿宋" w:cs="仿宋"/>
          <w:kern w:val="2"/>
          <w:sz w:val="28"/>
          <w:szCs w:val="36"/>
          <w:highlight w:val="none"/>
          <w:lang w:val="en-US" w:eastAsia="zh-CN" w:bidi="ar-SA"/>
        </w:rPr>
        <w:t>投标单位联系电话：</w:t>
      </w:r>
      <w:r>
        <w:rPr>
          <w:rFonts w:hint="eastAsia" w:ascii="仿宋" w:hAnsi="仿宋" w:eastAsia="仿宋" w:cs="仿宋"/>
          <w:kern w:val="2"/>
          <w:sz w:val="28"/>
          <w:szCs w:val="36"/>
          <w:highlight w:val="none"/>
          <w:u w:val="single"/>
          <w:lang w:val="en-US" w:eastAsia="zh-CN" w:bidi="ar-SA"/>
        </w:rPr>
        <w:t xml:space="preserve">                              </w:t>
      </w:r>
    </w:p>
    <w:p w14:paraId="66FD60BA">
      <w:pPr>
        <w:spacing w:line="560" w:lineRule="exact"/>
        <w:ind w:firstLine="420" w:firstLineChars="200"/>
        <w:rPr>
          <w:rFonts w:hint="eastAsia" w:ascii="仿宋" w:hAnsi="仿宋" w:eastAsia="仿宋" w:cs="仿宋"/>
          <w:kern w:val="2"/>
          <w:sz w:val="21"/>
          <w:szCs w:val="24"/>
          <w:highlight w:val="none"/>
          <w:lang w:val="en-US" w:eastAsia="zh-CN" w:bidi="ar-SA"/>
        </w:rPr>
      </w:pPr>
    </w:p>
    <w:p w14:paraId="658BD0F2">
      <w:pPr>
        <w:spacing w:line="560" w:lineRule="exact"/>
        <w:ind w:firstLine="560" w:firstLineChars="200"/>
        <w:jc w:val="center"/>
        <w:rPr>
          <w:rFonts w:hint="eastAsia" w:ascii="仿宋" w:hAnsi="仿宋" w:eastAsia="仿宋" w:cs="仿宋"/>
          <w:kern w:val="2"/>
          <w:sz w:val="28"/>
          <w:szCs w:val="36"/>
          <w:highlight w:val="none"/>
          <w:lang w:val="en-US" w:eastAsia="zh-CN" w:bidi="ar-SA"/>
        </w:rPr>
      </w:pPr>
      <w:bookmarkStart w:id="532" w:name="_Toc1683"/>
      <w:r>
        <w:rPr>
          <w:rFonts w:hint="eastAsia" w:ascii="仿宋" w:hAnsi="仿宋" w:eastAsia="仿宋" w:cs="仿宋"/>
          <w:kern w:val="2"/>
          <w:sz w:val="28"/>
          <w:szCs w:val="36"/>
          <w:highlight w:val="none"/>
          <w:u w:val="single"/>
          <w:lang w:val="en-US" w:eastAsia="zh-CN" w:bidi="ar-SA"/>
        </w:rPr>
        <w:t xml:space="preserve">    </w:t>
      </w:r>
      <w:r>
        <w:rPr>
          <w:rFonts w:hint="eastAsia" w:ascii="仿宋" w:hAnsi="仿宋" w:eastAsia="仿宋" w:cs="仿宋"/>
          <w:kern w:val="2"/>
          <w:sz w:val="28"/>
          <w:szCs w:val="36"/>
          <w:highlight w:val="none"/>
          <w:lang w:val="en-US" w:eastAsia="zh-CN" w:bidi="ar-SA"/>
        </w:rPr>
        <w:t>年</w:t>
      </w:r>
      <w:r>
        <w:rPr>
          <w:rFonts w:hint="eastAsia" w:ascii="仿宋" w:hAnsi="仿宋" w:eastAsia="仿宋" w:cs="仿宋"/>
          <w:kern w:val="2"/>
          <w:sz w:val="28"/>
          <w:szCs w:val="36"/>
          <w:highlight w:val="none"/>
          <w:u w:val="single"/>
          <w:lang w:val="en-US" w:eastAsia="zh-CN" w:bidi="ar-SA"/>
        </w:rPr>
        <w:t xml:space="preserve">   </w:t>
      </w:r>
      <w:r>
        <w:rPr>
          <w:rFonts w:hint="eastAsia" w:ascii="仿宋" w:hAnsi="仿宋" w:eastAsia="仿宋" w:cs="仿宋"/>
          <w:kern w:val="2"/>
          <w:sz w:val="28"/>
          <w:szCs w:val="36"/>
          <w:highlight w:val="none"/>
          <w:lang w:val="en-US" w:eastAsia="zh-CN" w:bidi="ar-SA"/>
        </w:rPr>
        <w:t>月</w:t>
      </w:r>
      <w:r>
        <w:rPr>
          <w:rFonts w:hint="eastAsia" w:ascii="仿宋" w:hAnsi="仿宋" w:eastAsia="仿宋" w:cs="仿宋"/>
          <w:kern w:val="2"/>
          <w:sz w:val="28"/>
          <w:szCs w:val="36"/>
          <w:highlight w:val="none"/>
          <w:u w:val="single"/>
          <w:lang w:val="en-US" w:eastAsia="zh-CN" w:bidi="ar-SA"/>
        </w:rPr>
        <w:t xml:space="preserve">   </w:t>
      </w:r>
      <w:r>
        <w:rPr>
          <w:rFonts w:hint="eastAsia" w:ascii="仿宋" w:hAnsi="仿宋" w:eastAsia="仿宋" w:cs="仿宋"/>
          <w:kern w:val="2"/>
          <w:sz w:val="28"/>
          <w:szCs w:val="36"/>
          <w:highlight w:val="none"/>
          <w:lang w:val="en-US" w:eastAsia="zh-CN" w:bidi="ar-SA"/>
        </w:rPr>
        <w:t>日</w:t>
      </w:r>
      <w:bookmarkEnd w:id="532"/>
    </w:p>
    <w:p w14:paraId="30C2F730">
      <w:pPr>
        <w:spacing w:line="560" w:lineRule="exact"/>
        <w:ind w:firstLine="560" w:firstLineChars="200"/>
        <w:jc w:val="center"/>
        <w:rPr>
          <w:rFonts w:hint="eastAsia" w:ascii="仿宋" w:hAnsi="仿宋" w:eastAsia="仿宋" w:cs="仿宋"/>
          <w:kern w:val="2"/>
          <w:sz w:val="28"/>
          <w:szCs w:val="36"/>
          <w:highlight w:val="none"/>
          <w:lang w:val="en-US" w:eastAsia="zh-CN" w:bidi="ar-SA"/>
        </w:rPr>
      </w:pPr>
    </w:p>
    <w:p w14:paraId="664B1E7E">
      <w:pPr>
        <w:spacing w:line="560" w:lineRule="exact"/>
        <w:ind w:firstLine="560" w:firstLineChars="200"/>
        <w:jc w:val="center"/>
        <w:rPr>
          <w:rFonts w:hint="eastAsia" w:ascii="仿宋" w:hAnsi="仿宋" w:eastAsia="仿宋" w:cs="仿宋"/>
          <w:kern w:val="2"/>
          <w:sz w:val="28"/>
          <w:szCs w:val="36"/>
          <w:highlight w:val="none"/>
          <w:lang w:val="en-US" w:eastAsia="zh-CN" w:bidi="ar-SA"/>
        </w:rPr>
      </w:pPr>
    </w:p>
    <w:p w14:paraId="63FB479F">
      <w:pPr>
        <w:widowControl/>
        <w:spacing w:line="240" w:lineRule="auto"/>
        <w:jc w:val="center"/>
        <w:outlineLvl w:val="9"/>
        <w:rPr>
          <w:rFonts w:hint="eastAsia" w:ascii="仿宋" w:hAnsi="仿宋" w:eastAsia="仿宋" w:cs="仿宋"/>
          <w:b/>
          <w:sz w:val="24"/>
          <w:szCs w:val="24"/>
          <w:highlight w:val="none"/>
        </w:rPr>
      </w:pPr>
    </w:p>
    <w:p w14:paraId="6845F2D8">
      <w:pPr>
        <w:jc w:val="center"/>
        <w:rPr>
          <w:rFonts w:hint="eastAsia" w:ascii="仿宋" w:hAnsi="仿宋" w:eastAsia="仿宋" w:cs="仿宋"/>
          <w:b/>
          <w:bCs/>
          <w:color w:val="000000"/>
          <w:sz w:val="32"/>
          <w:szCs w:val="44"/>
          <w:highlight w:val="none"/>
          <w:lang w:val="en-US" w:eastAsia="zh-CN"/>
        </w:rPr>
      </w:pPr>
      <w:r>
        <w:rPr>
          <w:rFonts w:hint="eastAsia" w:ascii="仿宋" w:hAnsi="仿宋" w:eastAsia="仿宋" w:cs="仿宋"/>
          <w:b/>
          <w:bCs/>
          <w:color w:val="000000"/>
          <w:sz w:val="32"/>
          <w:szCs w:val="44"/>
          <w:highlight w:val="none"/>
          <w:lang w:val="en-US" w:eastAsia="zh-CN"/>
        </w:rPr>
        <w:t>目  录</w:t>
      </w:r>
    </w:p>
    <w:p w14:paraId="34D56BD8">
      <w:pPr>
        <w:spacing w:line="30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报价部分：</w:t>
      </w:r>
    </w:p>
    <w:p w14:paraId="7A2177B8">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1、投标函；</w:t>
      </w:r>
    </w:p>
    <w:p w14:paraId="549C31BE">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2、开标一览表；</w:t>
      </w:r>
    </w:p>
    <w:p w14:paraId="3275E20A">
      <w:pPr>
        <w:spacing w:line="30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商务部分：</w:t>
      </w:r>
    </w:p>
    <w:p w14:paraId="6B45E250">
      <w:pPr>
        <w:spacing w:line="300" w:lineRule="auto"/>
        <w:rPr>
          <w:rFonts w:hint="eastAsia"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3、投标单位基本情况表</w:t>
      </w:r>
    </w:p>
    <w:p w14:paraId="0876FD51">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4、</w:t>
      </w:r>
      <w:r>
        <w:rPr>
          <w:rFonts w:hint="eastAsia" w:ascii="仿宋" w:hAnsi="仿宋" w:eastAsia="仿宋" w:cs="仿宋"/>
          <w:sz w:val="24"/>
          <w:szCs w:val="32"/>
          <w:highlight w:val="none"/>
        </w:rPr>
        <w:t>出具法人营业执照函（格式见附件）；</w:t>
      </w:r>
    </w:p>
    <w:p w14:paraId="60090035">
      <w:pPr>
        <w:spacing w:line="300" w:lineRule="auto"/>
        <w:outlineLvl w:val="2"/>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5、联合体协议书（如是）</w:t>
      </w:r>
    </w:p>
    <w:p w14:paraId="2617BE80">
      <w:pPr>
        <w:spacing w:line="300" w:lineRule="auto"/>
        <w:outlineLvl w:val="2"/>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6、法定代表人身份证明</w:t>
      </w:r>
    </w:p>
    <w:p w14:paraId="428A3018">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7、法定代表人授权委托书</w:t>
      </w:r>
      <w:r>
        <w:rPr>
          <w:rFonts w:hint="eastAsia" w:ascii="仿宋" w:hAnsi="仿宋" w:eastAsia="仿宋" w:cs="仿宋"/>
          <w:sz w:val="24"/>
          <w:szCs w:val="32"/>
          <w:highlight w:val="none"/>
        </w:rPr>
        <w:t>；</w:t>
      </w:r>
    </w:p>
    <w:p w14:paraId="5CA60457">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8、项目负责人任命书</w:t>
      </w:r>
      <w:r>
        <w:rPr>
          <w:rFonts w:hint="eastAsia" w:ascii="仿宋" w:hAnsi="仿宋" w:eastAsia="仿宋" w:cs="仿宋"/>
          <w:sz w:val="24"/>
          <w:szCs w:val="32"/>
          <w:highlight w:val="none"/>
        </w:rPr>
        <w:t>；</w:t>
      </w:r>
    </w:p>
    <w:p w14:paraId="33AF6607">
      <w:pPr>
        <w:spacing w:line="300" w:lineRule="auto"/>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lang w:val="en-US" w:eastAsia="zh-CN"/>
        </w:rPr>
        <w:t>9、投标人资格声明函；</w:t>
      </w:r>
    </w:p>
    <w:p w14:paraId="325D553A">
      <w:pPr>
        <w:spacing w:line="240" w:lineRule="auto"/>
        <w:ind w:left="0" w:right="0" w:firstLine="0" w:firstLineChars="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10、信用查询记录；</w:t>
      </w:r>
    </w:p>
    <w:p w14:paraId="65FEA8C1">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11、资格证明文件；</w:t>
      </w:r>
    </w:p>
    <w:p w14:paraId="128DE5D6">
      <w:pPr>
        <w:spacing w:line="300" w:lineRule="auto"/>
        <w:outlineLvl w:val="2"/>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12、 投标保证金说明；</w:t>
      </w:r>
    </w:p>
    <w:p w14:paraId="084D3CDB">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13、</w:t>
      </w:r>
      <w:r>
        <w:rPr>
          <w:rFonts w:hint="eastAsia" w:ascii="仿宋" w:hAnsi="仿宋" w:eastAsia="仿宋" w:cs="仿宋"/>
          <w:sz w:val="24"/>
          <w:szCs w:val="32"/>
          <w:highlight w:val="none"/>
        </w:rPr>
        <w:t xml:space="preserve">商务偏离表（格式见附件）；  </w:t>
      </w:r>
    </w:p>
    <w:p w14:paraId="3C311729">
      <w:pPr>
        <w:spacing w:line="300" w:lineRule="auto"/>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lang w:val="en-US" w:eastAsia="zh-CN"/>
        </w:rPr>
        <w:t>14、</w:t>
      </w:r>
      <w:r>
        <w:rPr>
          <w:rFonts w:hint="eastAsia" w:ascii="仿宋" w:hAnsi="仿宋" w:eastAsia="仿宋" w:cs="仿宋"/>
          <w:sz w:val="24"/>
          <w:szCs w:val="32"/>
          <w:highlight w:val="none"/>
          <w:lang w:eastAsia="zh-CN"/>
        </w:rPr>
        <w:t>投标人</w:t>
      </w:r>
      <w:r>
        <w:rPr>
          <w:rFonts w:hint="eastAsia" w:ascii="仿宋" w:hAnsi="仿宋" w:eastAsia="仿宋" w:cs="仿宋"/>
          <w:sz w:val="24"/>
          <w:szCs w:val="32"/>
          <w:highlight w:val="none"/>
        </w:rPr>
        <w:t>反商业贿赂承诺书（格式见附件）；</w:t>
      </w:r>
    </w:p>
    <w:p w14:paraId="73CAF153">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15、无围标、串标等违法违规行为承诺书</w:t>
      </w:r>
      <w:r>
        <w:rPr>
          <w:rFonts w:hint="eastAsia" w:ascii="仿宋" w:hAnsi="仿宋" w:eastAsia="仿宋" w:cs="仿宋"/>
          <w:sz w:val="24"/>
          <w:szCs w:val="32"/>
          <w:highlight w:val="none"/>
        </w:rPr>
        <w:t>（格式见附件）；</w:t>
      </w:r>
    </w:p>
    <w:p w14:paraId="4286E2BF">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16、中小企业声明函、JY企业、残疾人福利性单位及其他相关的充分的证明材料</w:t>
      </w:r>
      <w:r>
        <w:rPr>
          <w:rFonts w:hint="eastAsia" w:ascii="仿宋" w:hAnsi="仿宋" w:eastAsia="仿宋" w:cs="仿宋"/>
          <w:sz w:val="24"/>
          <w:szCs w:val="32"/>
          <w:highlight w:val="none"/>
        </w:rPr>
        <w:t>；</w:t>
      </w:r>
    </w:p>
    <w:p w14:paraId="5A485BB0">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17、虚假应标承担责任声明（统一格式）；</w:t>
      </w:r>
    </w:p>
    <w:p w14:paraId="08EB986B">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18、关于对本投标文件中资料真实性的承诺；</w:t>
      </w:r>
    </w:p>
    <w:p w14:paraId="657CAE59">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19、其它材料；</w:t>
      </w:r>
    </w:p>
    <w:p w14:paraId="525CD0EE">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20、主要相关项目业绩一览表</w:t>
      </w:r>
    </w:p>
    <w:p w14:paraId="658BCC28">
      <w:pPr>
        <w:spacing w:line="300" w:lineRule="auto"/>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技术部分：</w:t>
      </w:r>
    </w:p>
    <w:p w14:paraId="3CA8D9EB">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 xml:space="preserve">21、服务项目偏离表 </w:t>
      </w:r>
    </w:p>
    <w:p w14:paraId="58E1F2AD">
      <w:pPr>
        <w:spacing w:line="300" w:lineRule="auto"/>
        <w:rPr>
          <w:rFonts w:hint="eastAsia" w:ascii="仿宋" w:hAnsi="仿宋" w:eastAsia="仿宋" w:cs="仿宋"/>
          <w:sz w:val="24"/>
          <w:szCs w:val="32"/>
          <w:highlight w:val="none"/>
        </w:rPr>
      </w:pPr>
      <w:r>
        <w:rPr>
          <w:rFonts w:hint="eastAsia" w:ascii="仿宋" w:hAnsi="仿宋" w:eastAsia="仿宋" w:cs="仿宋"/>
          <w:sz w:val="24"/>
          <w:szCs w:val="32"/>
          <w:highlight w:val="none"/>
          <w:lang w:val="en-US" w:eastAsia="zh-CN"/>
        </w:rPr>
        <w:t>22、</w:t>
      </w:r>
      <w:r>
        <w:rPr>
          <w:rFonts w:hint="eastAsia" w:ascii="仿宋" w:hAnsi="仿宋" w:eastAsia="仿宋" w:cs="仿宋"/>
          <w:sz w:val="24"/>
          <w:szCs w:val="32"/>
          <w:highlight w:val="none"/>
        </w:rPr>
        <w:t>对本次</w:t>
      </w:r>
      <w:r>
        <w:rPr>
          <w:rFonts w:hint="eastAsia" w:ascii="仿宋" w:hAnsi="仿宋" w:eastAsia="仿宋" w:cs="仿宋"/>
          <w:sz w:val="24"/>
          <w:szCs w:val="32"/>
          <w:highlight w:val="none"/>
          <w:lang w:val="en-US" w:eastAsia="zh-CN"/>
        </w:rPr>
        <w:t>投标项目的技术方案（</w:t>
      </w:r>
      <w:r>
        <w:rPr>
          <w:rFonts w:hint="eastAsia" w:ascii="仿宋" w:hAnsi="仿宋" w:eastAsia="仿宋" w:cs="仿宋"/>
          <w:sz w:val="24"/>
          <w:szCs w:val="32"/>
          <w:highlight w:val="none"/>
        </w:rPr>
        <w:t>投标人视需要自行编写</w:t>
      </w:r>
      <w:r>
        <w:rPr>
          <w:rFonts w:hint="eastAsia" w:ascii="仿宋" w:hAnsi="仿宋" w:eastAsia="仿宋" w:cs="仿宋"/>
          <w:sz w:val="24"/>
          <w:szCs w:val="32"/>
          <w:highlight w:val="none"/>
          <w:lang w:eastAsia="zh-CN"/>
        </w:rPr>
        <w:t>）</w:t>
      </w:r>
      <w:r>
        <w:rPr>
          <w:rFonts w:hint="eastAsia" w:ascii="仿宋" w:hAnsi="仿宋" w:eastAsia="仿宋" w:cs="仿宋"/>
          <w:sz w:val="24"/>
          <w:szCs w:val="32"/>
          <w:highlight w:val="none"/>
        </w:rPr>
        <w:t>；</w:t>
      </w:r>
    </w:p>
    <w:p w14:paraId="69DAA0CD">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23、服务承诺书</w:t>
      </w:r>
    </w:p>
    <w:p w14:paraId="5E8A4C7D">
      <w:pPr>
        <w:spacing w:line="300" w:lineRule="auto"/>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24、</w:t>
      </w:r>
      <w:r>
        <w:rPr>
          <w:rFonts w:hint="eastAsia" w:ascii="仿宋" w:hAnsi="仿宋" w:eastAsia="仿宋" w:cs="仿宋"/>
          <w:sz w:val="24"/>
          <w:szCs w:val="32"/>
          <w:highlight w:val="none"/>
          <w:lang w:eastAsia="zh-CN"/>
        </w:rPr>
        <w:t>其他有利于投标人的资料（如有）</w:t>
      </w:r>
    </w:p>
    <w:p w14:paraId="3D9E8712">
      <w:pPr>
        <w:numPr>
          <w:ilvl w:val="0"/>
          <w:numId w:val="0"/>
        </w:numPr>
        <w:spacing w:line="440" w:lineRule="exact"/>
        <w:jc w:val="both"/>
        <w:rPr>
          <w:rFonts w:hint="eastAsia" w:ascii="仿宋" w:hAnsi="仿宋" w:eastAsia="仿宋" w:cs="仿宋"/>
          <w:b/>
          <w:color w:val="000000"/>
          <w:sz w:val="28"/>
          <w:szCs w:val="24"/>
          <w:highlight w:val="none"/>
          <w:lang w:val="en-US" w:eastAsia="zh-CN"/>
        </w:rPr>
      </w:pPr>
      <w:r>
        <w:rPr>
          <w:rFonts w:hint="eastAsia" w:ascii="仿宋" w:hAnsi="仿宋" w:eastAsia="仿宋" w:cs="仿宋"/>
          <w:b/>
          <w:color w:val="000000"/>
          <w:sz w:val="28"/>
          <w:szCs w:val="24"/>
          <w:highlight w:val="none"/>
          <w:lang w:val="en-US" w:eastAsia="zh-CN"/>
        </w:rPr>
        <w:br w:type="page"/>
      </w:r>
      <w:r>
        <w:rPr>
          <w:rFonts w:hint="eastAsia" w:ascii="仿宋" w:hAnsi="仿宋" w:eastAsia="仿宋" w:cs="仿宋"/>
          <w:b/>
          <w:color w:val="000000"/>
          <w:sz w:val="28"/>
          <w:szCs w:val="24"/>
          <w:highlight w:val="none"/>
          <w:lang w:val="en-US" w:eastAsia="zh-CN"/>
        </w:rPr>
        <w:t>附件一</w:t>
      </w:r>
    </w:p>
    <w:p w14:paraId="291D7458">
      <w:pPr>
        <w:numPr>
          <w:ilvl w:val="0"/>
          <w:numId w:val="0"/>
        </w:numPr>
        <w:spacing w:line="440" w:lineRule="exact"/>
        <w:jc w:val="center"/>
        <w:rPr>
          <w:rFonts w:hint="eastAsia" w:ascii="仿宋" w:hAnsi="仿宋" w:eastAsia="仿宋" w:cs="仿宋"/>
          <w:b/>
          <w:color w:val="000000"/>
          <w:sz w:val="32"/>
          <w:szCs w:val="28"/>
          <w:highlight w:val="none"/>
          <w:lang w:eastAsia="zh-CN"/>
        </w:rPr>
      </w:pPr>
      <w:r>
        <w:rPr>
          <w:rFonts w:hint="eastAsia" w:ascii="仿宋" w:hAnsi="仿宋" w:eastAsia="仿宋" w:cs="仿宋"/>
          <w:b/>
          <w:color w:val="000000"/>
          <w:sz w:val="32"/>
          <w:szCs w:val="28"/>
          <w:highlight w:val="none"/>
        </w:rPr>
        <w:t>投标</w:t>
      </w:r>
      <w:r>
        <w:rPr>
          <w:rFonts w:hint="eastAsia" w:ascii="仿宋" w:hAnsi="仿宋" w:eastAsia="仿宋" w:cs="仿宋"/>
          <w:b/>
          <w:color w:val="000000"/>
          <w:sz w:val="32"/>
          <w:szCs w:val="28"/>
          <w:highlight w:val="none"/>
          <w:lang w:eastAsia="zh-CN"/>
        </w:rPr>
        <w:t>函</w:t>
      </w:r>
    </w:p>
    <w:p w14:paraId="2E761A9E">
      <w:pPr>
        <w:pStyle w:val="174"/>
        <w:numPr>
          <w:ilvl w:val="0"/>
          <w:numId w:val="0"/>
        </w:numPr>
        <w:rPr>
          <w:rFonts w:hint="eastAsia" w:ascii="仿宋" w:hAnsi="仿宋" w:eastAsia="仿宋" w:cs="仿宋"/>
          <w:highlight w:val="none"/>
        </w:rPr>
      </w:pPr>
    </w:p>
    <w:p w14:paraId="0D0E650C">
      <w:pPr>
        <w:adjustRightInd w:val="0"/>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lang w:val="en-US" w:eastAsia="zh-CN"/>
        </w:rPr>
        <w:t>采购人名称</w:t>
      </w:r>
      <w:r>
        <w:rPr>
          <w:rFonts w:hint="eastAsia" w:ascii="仿宋" w:hAnsi="仿宋" w:eastAsia="仿宋" w:cs="仿宋"/>
          <w:color w:val="000000"/>
          <w:sz w:val="24"/>
          <w:szCs w:val="24"/>
          <w:highlight w:val="none"/>
        </w:rPr>
        <w:t>：</w:t>
      </w:r>
    </w:p>
    <w:p w14:paraId="463AAE43">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我们收到你们的</w:t>
      </w:r>
      <w:r>
        <w:rPr>
          <w:rFonts w:hint="eastAsia" w:ascii="仿宋" w:hAnsi="仿宋" w:eastAsia="仿宋" w:cs="仿宋"/>
          <w:color w:val="000000"/>
          <w:sz w:val="24"/>
          <w:szCs w:val="24"/>
          <w:highlight w:val="none"/>
          <w:u w:val="single"/>
        </w:rPr>
        <w:t xml:space="preserve">     （项目名称）     （项目编号：  号）</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文件，经认真研究，我们决定参加本次</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活动。</w:t>
      </w:r>
    </w:p>
    <w:p w14:paraId="3529D4C8">
      <w:pPr>
        <w:numPr>
          <w:ilvl w:val="0"/>
          <w:numId w:val="9"/>
        </w:numPr>
        <w:adjustRightInd w:val="0"/>
        <w:snapToGrid w:val="0"/>
        <w:spacing w:line="360" w:lineRule="auto"/>
        <w:ind w:firstLine="480" w:firstLineChars="200"/>
        <w:outlineLvl w:val="2"/>
        <w:rPr>
          <w:rFonts w:hint="eastAsia" w:ascii="仿宋" w:hAnsi="仿宋" w:eastAsia="仿宋" w:cs="仿宋"/>
          <w:color w:val="000000"/>
          <w:sz w:val="24"/>
          <w:szCs w:val="24"/>
          <w:highlight w:val="none"/>
        </w:rPr>
      </w:pPr>
      <w:bookmarkStart w:id="533" w:name="_Toc15514"/>
      <w:r>
        <w:rPr>
          <w:rFonts w:hint="eastAsia" w:ascii="仿宋" w:hAnsi="仿宋" w:eastAsia="仿宋" w:cs="仿宋"/>
          <w:color w:val="000000"/>
          <w:sz w:val="24"/>
          <w:szCs w:val="24"/>
          <w:highlight w:val="none"/>
        </w:rPr>
        <w:t>按照</w:t>
      </w:r>
      <w:r>
        <w:rPr>
          <w:rFonts w:hint="eastAsia" w:ascii="仿宋" w:hAnsi="仿宋" w:eastAsia="仿宋" w:cs="仿宋"/>
          <w:color w:val="000000"/>
          <w:sz w:val="24"/>
          <w:szCs w:val="24"/>
          <w:highlight w:val="none"/>
          <w:lang w:eastAsia="zh-CN"/>
        </w:rPr>
        <w:t>招标文件</w:t>
      </w:r>
      <w:r>
        <w:rPr>
          <w:rFonts w:hint="eastAsia" w:ascii="仿宋" w:hAnsi="仿宋" w:eastAsia="仿宋" w:cs="仿宋"/>
          <w:color w:val="000000"/>
          <w:sz w:val="24"/>
          <w:szCs w:val="24"/>
          <w:highlight w:val="none"/>
        </w:rPr>
        <w:t>中的一切要求，提供招标的相关服务。</w:t>
      </w:r>
      <w:bookmarkEnd w:id="533"/>
    </w:p>
    <w:p w14:paraId="5BB084AA">
      <w:pPr>
        <w:numPr>
          <w:ilvl w:val="0"/>
          <w:numId w:val="0"/>
        </w:num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color w:val="000000"/>
          <w:sz w:val="24"/>
          <w:szCs w:val="24"/>
          <w:highlight w:val="none"/>
          <w:lang w:val="en-US" w:eastAsia="zh-CN"/>
        </w:rPr>
        <w:t>小写：</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元</w:t>
      </w:r>
    </w:p>
    <w:p w14:paraId="4AAAFA3C">
      <w:p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大写：</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 xml:space="preserve"> 。</w:t>
      </w:r>
    </w:p>
    <w:p w14:paraId="1BD24236">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2、如果我们的投标文件被接受，我们将履行</w:t>
      </w:r>
      <w:r>
        <w:rPr>
          <w:rFonts w:hint="eastAsia" w:ascii="仿宋" w:hAnsi="仿宋" w:eastAsia="仿宋" w:cs="仿宋"/>
          <w:color w:val="000000"/>
          <w:sz w:val="24"/>
          <w:szCs w:val="24"/>
          <w:highlight w:val="none"/>
          <w:lang w:eastAsia="zh-CN"/>
        </w:rPr>
        <w:t>招标文件</w:t>
      </w:r>
      <w:r>
        <w:rPr>
          <w:rFonts w:hint="eastAsia" w:ascii="仿宋" w:hAnsi="仿宋" w:eastAsia="仿宋" w:cs="仿宋"/>
          <w:color w:val="000000"/>
          <w:sz w:val="24"/>
          <w:szCs w:val="24"/>
          <w:highlight w:val="none"/>
        </w:rPr>
        <w:t>中规定的每一项义务和要求，按期、按质、按量完成</w:t>
      </w:r>
      <w:r>
        <w:rPr>
          <w:rFonts w:hint="eastAsia" w:ascii="仿宋" w:hAnsi="仿宋" w:eastAsia="仿宋" w:cs="仿宋"/>
          <w:color w:val="000000"/>
          <w:sz w:val="24"/>
          <w:szCs w:val="24"/>
          <w:highlight w:val="none"/>
          <w:lang w:val="en-US" w:eastAsia="zh-CN"/>
        </w:rPr>
        <w:t>本次服务</w:t>
      </w:r>
      <w:r>
        <w:rPr>
          <w:rFonts w:hint="eastAsia" w:ascii="仿宋" w:hAnsi="仿宋" w:eastAsia="仿宋" w:cs="仿宋"/>
          <w:color w:val="000000"/>
          <w:sz w:val="24"/>
          <w:szCs w:val="24"/>
          <w:highlight w:val="none"/>
        </w:rPr>
        <w:t>。</w:t>
      </w:r>
    </w:p>
    <w:p w14:paraId="6BA30744">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3、我们同意按</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文件的规定，本投标文件的有效期为开标后</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天。</w:t>
      </w:r>
    </w:p>
    <w:p w14:paraId="7B4F4736">
      <w:pPr>
        <w:adjustRightInd w:val="0"/>
        <w:snapToGrid w:val="0"/>
        <w:spacing w:line="360" w:lineRule="auto"/>
        <w:ind w:firstLine="480" w:firstLineChars="200"/>
        <w:outlineLvl w:val="2"/>
        <w:rPr>
          <w:rFonts w:hint="eastAsia" w:ascii="仿宋" w:hAnsi="仿宋" w:eastAsia="仿宋" w:cs="仿宋"/>
          <w:color w:val="000000"/>
          <w:sz w:val="24"/>
          <w:szCs w:val="24"/>
          <w:highlight w:val="none"/>
        </w:rPr>
      </w:pPr>
      <w:bookmarkStart w:id="534" w:name="_Toc29996"/>
      <w:r>
        <w:rPr>
          <w:rFonts w:hint="eastAsia" w:ascii="仿宋" w:hAnsi="仿宋" w:eastAsia="仿宋" w:cs="仿宋"/>
          <w:color w:val="000000"/>
          <w:sz w:val="24"/>
          <w:szCs w:val="24"/>
          <w:highlight w:val="none"/>
        </w:rPr>
        <w:t>4、我们愿意提供招标人在</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文件中要求的所有资料。</w:t>
      </w:r>
      <w:bookmarkEnd w:id="534"/>
    </w:p>
    <w:p w14:paraId="1EC3743A">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5、我们认为你们有选择或拒绝任何投标者中标的权力。我们理解，最低报价不是中标的唯一条件。</w:t>
      </w:r>
    </w:p>
    <w:p w14:paraId="033ADB27">
      <w:pPr>
        <w:adjustRightInd w:val="0"/>
        <w:snapToGrid w:val="0"/>
        <w:spacing w:line="360" w:lineRule="auto"/>
        <w:ind w:firstLine="480" w:firstLineChars="200"/>
        <w:outlineLvl w:val="2"/>
        <w:rPr>
          <w:rFonts w:hint="eastAsia" w:ascii="仿宋" w:hAnsi="仿宋" w:eastAsia="仿宋" w:cs="仿宋"/>
          <w:color w:val="000000"/>
          <w:sz w:val="24"/>
          <w:szCs w:val="24"/>
          <w:highlight w:val="none"/>
        </w:rPr>
      </w:pPr>
      <w:bookmarkStart w:id="535" w:name="_Toc19169"/>
      <w:r>
        <w:rPr>
          <w:rFonts w:hint="eastAsia" w:ascii="仿宋" w:hAnsi="仿宋" w:eastAsia="仿宋" w:cs="仿宋"/>
          <w:color w:val="000000"/>
          <w:sz w:val="24"/>
          <w:szCs w:val="24"/>
          <w:highlight w:val="none"/>
        </w:rPr>
        <w:t>6、我们愿按合同法履行自己的全部责任。</w:t>
      </w:r>
      <w:bookmarkEnd w:id="535"/>
    </w:p>
    <w:p w14:paraId="48F8E8B2">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7、我们愿意遵守国家有关规定和</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文件中规定的收费标准，承付中标服务费。</w:t>
      </w:r>
    </w:p>
    <w:p w14:paraId="2E66EC17">
      <w:pPr>
        <w:adjustRightInd w:val="0"/>
        <w:snapToGrid w:val="0"/>
        <w:spacing w:line="360" w:lineRule="auto"/>
        <w:ind w:firstLine="480" w:firstLineChars="200"/>
        <w:outlineLvl w:val="2"/>
        <w:rPr>
          <w:rFonts w:hint="eastAsia" w:ascii="仿宋" w:hAnsi="仿宋" w:eastAsia="仿宋" w:cs="仿宋"/>
          <w:color w:val="000000"/>
          <w:sz w:val="24"/>
          <w:szCs w:val="24"/>
          <w:highlight w:val="none"/>
        </w:rPr>
      </w:pPr>
      <w:bookmarkStart w:id="536" w:name="_Toc17525"/>
      <w:r>
        <w:rPr>
          <w:rFonts w:hint="eastAsia" w:ascii="仿宋" w:hAnsi="仿宋" w:eastAsia="仿宋" w:cs="仿宋"/>
          <w:color w:val="000000"/>
          <w:sz w:val="24"/>
          <w:szCs w:val="24"/>
          <w:highlight w:val="none"/>
        </w:rPr>
        <w:t>8、该项投标在开标后的全过程中保持有效，不</w:t>
      </w:r>
      <w:r>
        <w:rPr>
          <w:rFonts w:hint="eastAsia" w:ascii="仿宋" w:hAnsi="仿宋" w:eastAsia="仿宋" w:cs="仿宋"/>
          <w:color w:val="000000"/>
          <w:sz w:val="24"/>
          <w:szCs w:val="24"/>
          <w:highlight w:val="none"/>
          <w:lang w:eastAsia="zh-CN"/>
        </w:rPr>
        <w:t>做</w:t>
      </w:r>
      <w:r>
        <w:rPr>
          <w:rFonts w:hint="eastAsia" w:ascii="仿宋" w:hAnsi="仿宋" w:eastAsia="仿宋" w:cs="仿宋"/>
          <w:color w:val="000000"/>
          <w:sz w:val="24"/>
          <w:szCs w:val="24"/>
          <w:highlight w:val="none"/>
        </w:rPr>
        <w:t>任何更改和变动。</w:t>
      </w:r>
      <w:bookmarkEnd w:id="536"/>
    </w:p>
    <w:p w14:paraId="1B3DED84">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9、我们同意按</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文件规定，交纳</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元的投标保证金。</w:t>
      </w:r>
    </w:p>
    <w:p w14:paraId="2E4EDF0A">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10、其它说明。</w:t>
      </w:r>
    </w:p>
    <w:p w14:paraId="741414B4">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11、所有有关本标书的函电，请按下列地址联系：</w:t>
      </w:r>
    </w:p>
    <w:p w14:paraId="0AD44DAA">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w:t>
      </w:r>
    </w:p>
    <w:p w14:paraId="61F7C681">
      <w:pPr>
        <w:adjustRightInd w:val="0"/>
        <w:snapToGrid w:val="0"/>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color w:val="000000"/>
          <w:sz w:val="24"/>
          <w:szCs w:val="24"/>
          <w:highlight w:val="none"/>
        </w:rPr>
        <w:t>联系人：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w:t>
      </w:r>
    </w:p>
    <w:p w14:paraId="6B8E5FC7">
      <w:pPr>
        <w:adjustRightInd w:val="0"/>
        <w:snapToGrid w:val="0"/>
        <w:spacing w:line="360" w:lineRule="auto"/>
        <w:ind w:firstLine="480" w:firstLineChars="200"/>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电话：</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w:t>
      </w:r>
    </w:p>
    <w:p w14:paraId="77F6CD73">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传真：</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w:t>
      </w:r>
    </w:p>
    <w:p w14:paraId="49838E22">
      <w:pPr>
        <w:adjustRightInd w:val="0"/>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邮政编码：</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 xml:space="preserve"> </w:t>
      </w:r>
    </w:p>
    <w:p w14:paraId="16C07D80">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637EAE57">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04461038">
      <w:pPr>
        <w:spacing w:before="182" w:line="220" w:lineRule="auto"/>
        <w:ind w:left="5741"/>
        <w:rPr>
          <w:rFonts w:hint="eastAsia" w:ascii="仿宋" w:hAnsi="仿宋" w:eastAsia="仿宋" w:cs="仿宋"/>
          <w:sz w:val="24"/>
          <w:szCs w:val="24"/>
          <w:highlight w:val="none"/>
        </w:rPr>
        <w:sectPr>
          <w:headerReference r:id="rId7" w:type="default"/>
          <w:footerReference r:id="rId8" w:type="default"/>
          <w:type w:val="continuous"/>
          <w:pgSz w:w="11906" w:h="16839"/>
          <w:pgMar w:top="1440" w:right="1080" w:bottom="1440" w:left="1080" w:header="0" w:footer="986" w:gutter="0"/>
          <w:pgNumType w:fmt="decimal"/>
          <w:cols w:space="720" w:num="1"/>
          <w:rtlGutter w:val="0"/>
          <w:docGrid w:linePitch="1" w:charSpace="0"/>
        </w:sect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6825F802">
      <w:pPr>
        <w:numPr>
          <w:ilvl w:val="0"/>
          <w:numId w:val="0"/>
        </w:numPr>
        <w:spacing w:line="440" w:lineRule="exact"/>
        <w:jc w:val="both"/>
        <w:rPr>
          <w:rFonts w:hint="eastAsia" w:ascii="仿宋" w:hAnsi="仿宋" w:eastAsia="仿宋" w:cs="仿宋"/>
          <w:b/>
          <w:color w:val="000000"/>
          <w:sz w:val="28"/>
          <w:szCs w:val="24"/>
          <w:highlight w:val="none"/>
          <w:lang w:val="en-US" w:eastAsia="zh-CN"/>
        </w:rPr>
      </w:pPr>
      <w:r>
        <w:rPr>
          <w:rFonts w:hint="eastAsia" w:ascii="仿宋" w:hAnsi="仿宋" w:eastAsia="仿宋" w:cs="仿宋"/>
          <w:b/>
          <w:color w:val="000000"/>
          <w:sz w:val="28"/>
          <w:szCs w:val="24"/>
          <w:highlight w:val="none"/>
          <w:lang w:val="en-US" w:eastAsia="zh-CN"/>
        </w:rPr>
        <w:t>附件二</w:t>
      </w:r>
    </w:p>
    <w:p w14:paraId="52B5D46D">
      <w:pPr>
        <w:numPr>
          <w:ilvl w:val="0"/>
          <w:numId w:val="0"/>
        </w:numPr>
        <w:spacing w:line="440" w:lineRule="exact"/>
        <w:jc w:val="center"/>
        <w:rPr>
          <w:rFonts w:hint="eastAsia" w:ascii="仿宋" w:hAnsi="仿宋" w:eastAsia="仿宋" w:cs="仿宋"/>
          <w:b/>
          <w:color w:val="000000"/>
          <w:sz w:val="32"/>
          <w:szCs w:val="28"/>
          <w:highlight w:val="none"/>
        </w:rPr>
      </w:pPr>
      <w:r>
        <w:rPr>
          <w:rFonts w:hint="eastAsia" w:ascii="仿宋" w:hAnsi="仿宋" w:eastAsia="仿宋" w:cs="仿宋"/>
          <w:b/>
          <w:color w:val="000000"/>
          <w:sz w:val="32"/>
          <w:szCs w:val="28"/>
          <w:highlight w:val="none"/>
        </w:rPr>
        <w:t>开标一览表</w:t>
      </w:r>
    </w:p>
    <w:p w14:paraId="279E2CC8">
      <w:pPr>
        <w:spacing w:line="100" w:lineRule="exact"/>
        <w:rPr>
          <w:rFonts w:hint="eastAsia" w:ascii="仿宋" w:hAnsi="仿宋" w:eastAsia="仿宋" w:cs="仿宋"/>
          <w:highlight w:val="none"/>
        </w:rPr>
      </w:pPr>
    </w:p>
    <w:tbl>
      <w:tblPr>
        <w:tblStyle w:val="71"/>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0806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6513CCE2">
            <w:pPr>
              <w:keepNext w:val="0"/>
              <w:keepLines w:val="0"/>
              <w:suppressLineNumbers w:val="0"/>
              <w:shd w:val="clear" w:color="auto" w:fill="auto"/>
              <w:spacing w:before="0" w:beforeAutospacing="0" w:after="0" w:afterAutospacing="0"/>
              <w:jc w:val="center"/>
              <w:rPr>
                <w:rFonts w:hint="eastAsia" w:ascii="仿宋" w:hAnsi="仿宋" w:eastAsia="仿宋" w:cs="仿宋"/>
                <w:color w:val="auto"/>
                <w:sz w:val="24"/>
                <w:szCs w:val="24"/>
                <w:highlight w:val="none"/>
              </w:rPr>
            </w:pPr>
            <w:bookmarkStart w:id="537" w:name="OLE_LINK107"/>
            <w:r>
              <w:rPr>
                <w:rFonts w:hint="eastAsia" w:ascii="仿宋" w:hAnsi="仿宋" w:eastAsia="仿宋" w:cs="仿宋"/>
                <w:color w:val="auto"/>
                <w:sz w:val="24"/>
                <w:szCs w:val="24"/>
                <w:highlight w:val="none"/>
              </w:rPr>
              <w:t>项目名称</w:t>
            </w:r>
            <w:bookmarkEnd w:id="537"/>
          </w:p>
        </w:tc>
        <w:tc>
          <w:tcPr>
            <w:tcW w:w="6185" w:type="dxa"/>
            <w:noWrap w:val="0"/>
            <w:vAlign w:val="center"/>
          </w:tcPr>
          <w:p w14:paraId="57E15966">
            <w:pPr>
              <w:keepNext w:val="0"/>
              <w:keepLines w:val="0"/>
              <w:suppressLineNumbers w:val="0"/>
              <w:shd w:val="clear" w:color="auto" w:fill="auto"/>
              <w:spacing w:before="0" w:beforeAutospacing="0" w:after="0" w:afterAutospacing="0"/>
              <w:rPr>
                <w:rFonts w:hint="eastAsia" w:ascii="仿宋" w:hAnsi="仿宋" w:eastAsia="仿宋" w:cs="仿宋"/>
                <w:color w:val="auto"/>
                <w:sz w:val="24"/>
                <w:szCs w:val="24"/>
                <w:highlight w:val="none"/>
              </w:rPr>
            </w:pPr>
          </w:p>
        </w:tc>
      </w:tr>
      <w:tr w14:paraId="006A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64DA56C3">
            <w:pPr>
              <w:keepNext w:val="0"/>
              <w:keepLines w:val="0"/>
              <w:suppressLineNumbers w:val="0"/>
              <w:shd w:val="clear" w:color="auto" w:fill="auto"/>
              <w:spacing w:before="0" w:beforeAutospacing="0" w:after="0" w:afterAutospacing="0"/>
              <w:jc w:val="center"/>
              <w:rPr>
                <w:rFonts w:hint="eastAsia" w:ascii="仿宋" w:hAnsi="仿宋" w:eastAsia="仿宋" w:cs="仿宋"/>
                <w:color w:val="auto"/>
                <w:sz w:val="24"/>
                <w:szCs w:val="24"/>
                <w:highlight w:val="none"/>
                <w:lang w:val="en-US" w:eastAsia="zh-CN"/>
              </w:rPr>
            </w:pPr>
            <w:bookmarkStart w:id="538" w:name="OLE_LINK108"/>
            <w:r>
              <w:rPr>
                <w:rFonts w:hint="eastAsia" w:ascii="仿宋" w:hAnsi="仿宋" w:eastAsia="仿宋" w:cs="仿宋"/>
                <w:color w:val="auto"/>
                <w:sz w:val="24"/>
                <w:szCs w:val="24"/>
                <w:highlight w:val="none"/>
                <w:lang w:val="en-US" w:eastAsia="zh-CN"/>
              </w:rPr>
              <w:t>项目编号</w:t>
            </w:r>
            <w:bookmarkEnd w:id="538"/>
          </w:p>
        </w:tc>
        <w:tc>
          <w:tcPr>
            <w:tcW w:w="6185" w:type="dxa"/>
            <w:noWrap w:val="0"/>
            <w:vAlign w:val="center"/>
          </w:tcPr>
          <w:p w14:paraId="3B655524">
            <w:pPr>
              <w:keepNext w:val="0"/>
              <w:keepLines w:val="0"/>
              <w:suppressLineNumbers w:val="0"/>
              <w:shd w:val="clear" w:color="auto" w:fill="auto"/>
              <w:spacing w:before="0" w:beforeAutospacing="0" w:after="0" w:afterAutospacing="0"/>
              <w:rPr>
                <w:rFonts w:hint="eastAsia" w:ascii="仿宋" w:hAnsi="仿宋" w:eastAsia="仿宋" w:cs="仿宋"/>
                <w:color w:val="auto"/>
                <w:sz w:val="24"/>
                <w:szCs w:val="24"/>
                <w:highlight w:val="none"/>
              </w:rPr>
            </w:pPr>
          </w:p>
        </w:tc>
      </w:tr>
      <w:tr w14:paraId="4F50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7DAA753D">
            <w:pPr>
              <w:keepNext w:val="0"/>
              <w:keepLines w:val="0"/>
              <w:suppressLineNumbers w:val="0"/>
              <w:shd w:val="clear" w:color="auto" w:fill="auto"/>
              <w:spacing w:before="0" w:beforeAutospacing="0" w:after="0" w:afterAutospacing="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合同履行期限</w:t>
            </w:r>
          </w:p>
        </w:tc>
        <w:tc>
          <w:tcPr>
            <w:tcW w:w="6185" w:type="dxa"/>
            <w:noWrap w:val="0"/>
            <w:vAlign w:val="center"/>
          </w:tcPr>
          <w:p w14:paraId="784E8BEB">
            <w:pPr>
              <w:keepNext w:val="0"/>
              <w:keepLines w:val="0"/>
              <w:suppressLineNumbers w:val="0"/>
              <w:shd w:val="clear" w:color="auto" w:fill="auto"/>
              <w:spacing w:before="0" w:beforeAutospacing="0" w:after="0" w:afterAutospacing="0"/>
              <w:jc w:val="center"/>
              <w:rPr>
                <w:rFonts w:hint="eastAsia" w:ascii="仿宋" w:hAnsi="仿宋" w:eastAsia="仿宋" w:cs="仿宋"/>
                <w:color w:val="auto"/>
                <w:sz w:val="24"/>
                <w:szCs w:val="24"/>
                <w:highlight w:val="none"/>
              </w:rPr>
            </w:pPr>
          </w:p>
        </w:tc>
      </w:tr>
      <w:tr w14:paraId="34D6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1A2429F4">
            <w:pPr>
              <w:keepNext w:val="0"/>
              <w:keepLines w:val="0"/>
              <w:suppressLineNumbers w:val="0"/>
              <w:shd w:val="clear" w:color="auto" w:fill="auto"/>
              <w:spacing w:before="0" w:beforeAutospacing="0" w:after="0" w:afterAutospacing="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185" w:type="dxa"/>
            <w:noWrap w:val="0"/>
            <w:vAlign w:val="center"/>
          </w:tcPr>
          <w:p w14:paraId="2F02DF65">
            <w:pPr>
              <w:keepNext w:val="0"/>
              <w:keepLines w:val="0"/>
              <w:suppressLineNumbers w:val="0"/>
              <w:shd w:val="clear" w:color="auto" w:fill="auto"/>
              <w:spacing w:before="0" w:beforeAutospacing="0" w:after="0" w:afterAutospacing="0"/>
              <w:jc w:val="center"/>
              <w:rPr>
                <w:rFonts w:hint="eastAsia" w:ascii="仿宋" w:hAnsi="仿宋" w:eastAsia="仿宋" w:cs="仿宋"/>
                <w:color w:val="auto"/>
                <w:sz w:val="24"/>
                <w:szCs w:val="24"/>
                <w:highlight w:val="none"/>
                <w:lang w:val="en-US" w:eastAsia="zh-CN"/>
              </w:rPr>
            </w:pPr>
          </w:p>
        </w:tc>
      </w:tr>
      <w:tr w14:paraId="7142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6BBE50C5">
            <w:pPr>
              <w:keepNext w:val="0"/>
              <w:keepLines w:val="0"/>
              <w:suppressLineNumbers w:val="0"/>
              <w:shd w:val="clear" w:color="auto" w:fill="auto"/>
              <w:spacing w:before="0" w:beforeAutospacing="0" w:after="0" w:afterAutospacing="0"/>
              <w:jc w:val="center"/>
              <w:rPr>
                <w:rFonts w:hint="eastAsia" w:ascii="仿宋" w:hAnsi="仿宋" w:eastAsia="仿宋" w:cs="仿宋"/>
                <w:color w:val="auto"/>
                <w:sz w:val="24"/>
                <w:szCs w:val="24"/>
                <w:highlight w:val="none"/>
                <w:lang w:val="en-US" w:eastAsia="zh-CN"/>
              </w:rPr>
            </w:pPr>
            <w:bookmarkStart w:id="539" w:name="OLE_LINK109"/>
            <w:r>
              <w:rPr>
                <w:rFonts w:hint="eastAsia" w:ascii="仿宋" w:hAnsi="仿宋" w:eastAsia="仿宋" w:cs="仿宋"/>
                <w:color w:val="auto"/>
                <w:sz w:val="24"/>
                <w:szCs w:val="24"/>
                <w:highlight w:val="none"/>
                <w:lang w:val="en-US" w:eastAsia="zh-CN"/>
              </w:rPr>
              <w:t>质量标准</w:t>
            </w:r>
            <w:bookmarkEnd w:id="539"/>
          </w:p>
        </w:tc>
        <w:tc>
          <w:tcPr>
            <w:tcW w:w="6185" w:type="dxa"/>
            <w:noWrap w:val="0"/>
            <w:vAlign w:val="center"/>
          </w:tcPr>
          <w:p w14:paraId="5DF95AA2">
            <w:pPr>
              <w:keepNext w:val="0"/>
              <w:keepLines w:val="0"/>
              <w:suppressLineNumbers w:val="0"/>
              <w:shd w:val="clear" w:color="auto" w:fill="auto"/>
              <w:spacing w:before="0" w:beforeAutospacing="0" w:after="0" w:afterAutospacing="0"/>
              <w:jc w:val="center"/>
              <w:rPr>
                <w:rFonts w:hint="eastAsia" w:ascii="仿宋" w:hAnsi="仿宋" w:eastAsia="仿宋" w:cs="仿宋"/>
                <w:color w:val="auto"/>
                <w:sz w:val="24"/>
                <w:szCs w:val="24"/>
                <w:highlight w:val="none"/>
                <w:lang w:val="en-US" w:eastAsia="zh-CN"/>
              </w:rPr>
            </w:pPr>
          </w:p>
        </w:tc>
      </w:tr>
      <w:tr w14:paraId="4F86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492031C8">
            <w:pPr>
              <w:keepNext w:val="0"/>
              <w:keepLines w:val="0"/>
              <w:suppressLineNumbers w:val="0"/>
              <w:shd w:val="clear" w:color="auto" w:fill="auto"/>
              <w:spacing w:before="0" w:beforeAutospacing="0" w:after="0" w:afterAutospacing="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报价</w:t>
            </w:r>
          </w:p>
          <w:p w14:paraId="54DE25B3">
            <w:pPr>
              <w:keepNext w:val="0"/>
              <w:keepLines w:val="0"/>
              <w:suppressLineNumbers w:val="0"/>
              <w:shd w:val="clear" w:color="auto" w:fill="auto"/>
              <w:spacing w:before="0" w:beforeAutospacing="0" w:after="0" w:afterAutospacing="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w:t>
            </w:r>
          </w:p>
        </w:tc>
        <w:tc>
          <w:tcPr>
            <w:tcW w:w="974" w:type="dxa"/>
            <w:tcBorders>
              <w:top w:val="single" w:color="auto" w:sz="4" w:space="0"/>
              <w:bottom w:val="single" w:color="auto" w:sz="4" w:space="0"/>
            </w:tcBorders>
            <w:noWrap w:val="0"/>
            <w:vAlign w:val="center"/>
          </w:tcPr>
          <w:p w14:paraId="40642368">
            <w:pPr>
              <w:keepNext w:val="0"/>
              <w:keepLines w:val="0"/>
              <w:widowControl/>
              <w:suppressLineNumbers w:val="0"/>
              <w:shd w:val="clear" w:color="auto" w:fill="auto"/>
              <w:spacing w:before="0" w:beforeAutospacing="0" w:after="0" w:afterAutospacing="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c>
          <w:tcPr>
            <w:tcW w:w="6185" w:type="dxa"/>
            <w:noWrap w:val="0"/>
            <w:vAlign w:val="center"/>
          </w:tcPr>
          <w:p w14:paraId="091509E7">
            <w:pPr>
              <w:keepNext w:val="0"/>
              <w:keepLines w:val="0"/>
              <w:suppressLineNumbers w:val="0"/>
              <w:shd w:val="clear" w:color="auto" w:fill="auto"/>
              <w:spacing w:before="0" w:beforeAutospacing="0" w:after="0" w:afterAutospacing="0"/>
              <w:jc w:val="center"/>
              <w:rPr>
                <w:rFonts w:hint="eastAsia" w:ascii="仿宋" w:hAnsi="仿宋" w:eastAsia="仿宋" w:cs="仿宋"/>
                <w:color w:val="auto"/>
                <w:sz w:val="24"/>
                <w:szCs w:val="24"/>
                <w:highlight w:val="none"/>
              </w:rPr>
            </w:pPr>
          </w:p>
        </w:tc>
      </w:tr>
      <w:tr w14:paraId="3E9A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1ACD5F19">
            <w:pPr>
              <w:keepNext w:val="0"/>
              <w:keepLines w:val="0"/>
              <w:suppressLineNumbers w:val="0"/>
              <w:shd w:val="clear" w:color="auto" w:fill="auto"/>
              <w:spacing w:before="0" w:beforeAutospacing="0" w:after="0" w:afterAutospacing="0"/>
              <w:jc w:val="center"/>
              <w:rPr>
                <w:rFonts w:hint="eastAsia" w:ascii="仿宋" w:hAnsi="仿宋" w:eastAsia="仿宋" w:cs="仿宋"/>
                <w:color w:val="auto"/>
                <w:sz w:val="24"/>
                <w:szCs w:val="24"/>
                <w:highlight w:val="none"/>
              </w:rPr>
            </w:pPr>
          </w:p>
        </w:tc>
        <w:tc>
          <w:tcPr>
            <w:tcW w:w="974" w:type="dxa"/>
            <w:tcBorders>
              <w:top w:val="single" w:color="auto" w:sz="4" w:space="0"/>
              <w:bottom w:val="single" w:color="auto" w:sz="4" w:space="0"/>
            </w:tcBorders>
            <w:noWrap w:val="0"/>
            <w:vAlign w:val="center"/>
          </w:tcPr>
          <w:p w14:paraId="5DDACE88">
            <w:pPr>
              <w:keepNext w:val="0"/>
              <w:keepLines w:val="0"/>
              <w:widowControl/>
              <w:suppressLineNumbers w:val="0"/>
              <w:shd w:val="clear" w:color="auto" w:fill="auto"/>
              <w:spacing w:before="0" w:beforeAutospacing="0" w:after="0" w:afterAutospacing="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大写</w:t>
            </w:r>
          </w:p>
        </w:tc>
        <w:tc>
          <w:tcPr>
            <w:tcW w:w="6185" w:type="dxa"/>
            <w:noWrap w:val="0"/>
            <w:vAlign w:val="center"/>
          </w:tcPr>
          <w:p w14:paraId="281B4B19">
            <w:pPr>
              <w:keepNext w:val="0"/>
              <w:keepLines w:val="0"/>
              <w:suppressLineNumbers w:val="0"/>
              <w:shd w:val="clear" w:color="auto" w:fill="auto"/>
              <w:spacing w:before="0" w:beforeAutospacing="0" w:after="0" w:afterAutospacing="0"/>
              <w:jc w:val="center"/>
              <w:rPr>
                <w:rFonts w:hint="eastAsia" w:ascii="仿宋" w:hAnsi="仿宋" w:eastAsia="仿宋" w:cs="仿宋"/>
                <w:color w:val="auto"/>
                <w:sz w:val="24"/>
                <w:szCs w:val="24"/>
                <w:highlight w:val="none"/>
              </w:rPr>
            </w:pPr>
          </w:p>
        </w:tc>
      </w:tr>
    </w:tbl>
    <w:p w14:paraId="2F59740D">
      <w:pPr>
        <w:adjustRightInd w:val="0"/>
        <w:snapToGrid w:val="0"/>
        <w:spacing w:line="360" w:lineRule="auto"/>
        <w:ind w:firstLine="480" w:firstLineChars="200"/>
        <w:rPr>
          <w:rFonts w:hint="eastAsia" w:ascii="仿宋" w:hAnsi="仿宋" w:eastAsia="仿宋" w:cs="仿宋"/>
          <w:color w:val="000000"/>
          <w:sz w:val="24"/>
          <w:szCs w:val="24"/>
          <w:highlight w:val="none"/>
        </w:rPr>
      </w:pPr>
    </w:p>
    <w:p w14:paraId="2FFAF930">
      <w:pPr>
        <w:spacing w:line="360" w:lineRule="auto"/>
        <w:rPr>
          <w:rFonts w:hint="eastAsia" w:ascii="仿宋" w:hAnsi="仿宋" w:eastAsia="仿宋" w:cs="仿宋"/>
          <w:b w:val="0"/>
          <w:bCs w:val="0"/>
          <w:color w:val="auto"/>
          <w:sz w:val="24"/>
          <w:highlight w:val="none"/>
        </w:rPr>
      </w:pPr>
      <w:r>
        <w:rPr>
          <w:rFonts w:hint="eastAsia" w:ascii="仿宋" w:hAnsi="仿宋" w:eastAsia="仿宋" w:cs="仿宋"/>
          <w:color w:val="000000"/>
          <w:sz w:val="24"/>
          <w:szCs w:val="24"/>
          <w:highlight w:val="none"/>
        </w:rPr>
        <w:t>注：</w:t>
      </w:r>
      <w:r>
        <w:rPr>
          <w:rFonts w:hint="eastAsia" w:ascii="仿宋" w:hAnsi="仿宋" w:eastAsia="仿宋" w:cs="仿宋"/>
          <w:b w:val="0"/>
          <w:bCs w:val="0"/>
          <w:color w:val="000000"/>
          <w:sz w:val="24"/>
          <w:szCs w:val="24"/>
          <w:highlight w:val="none"/>
        </w:rPr>
        <w:t xml:space="preserve"> </w:t>
      </w:r>
      <w:r>
        <w:rPr>
          <w:rFonts w:hint="eastAsia" w:ascii="仿宋" w:hAnsi="仿宋" w:eastAsia="仿宋" w:cs="仿宋"/>
          <w:b w:val="0"/>
          <w:bCs w:val="0"/>
          <w:color w:val="auto"/>
          <w:sz w:val="24"/>
          <w:highlight w:val="none"/>
        </w:rPr>
        <w:t>1.开标一览表中报价为符合采购文件要求的项目总报价（包括但不限于完成本招标文件规定的全部工作内容和要求的总费用包括人工费、</w:t>
      </w:r>
      <w:r>
        <w:rPr>
          <w:rFonts w:hint="eastAsia" w:ascii="仿宋" w:hAnsi="仿宋" w:eastAsia="仿宋" w:cs="仿宋"/>
          <w:b w:val="0"/>
          <w:bCs w:val="0"/>
          <w:color w:val="auto"/>
          <w:sz w:val="24"/>
          <w:highlight w:val="none"/>
          <w:lang w:val="en-US" w:eastAsia="zh-CN"/>
        </w:rPr>
        <w:t>往返交通费、食宿餐饮费、现场氛围营造费用、场地租用费用、设备灯光租用费用、节目编排、演员化妆费用</w:t>
      </w:r>
      <w:r>
        <w:rPr>
          <w:rFonts w:hint="eastAsia" w:ascii="仿宋" w:hAnsi="仿宋" w:eastAsia="仿宋" w:cs="仿宋"/>
          <w:b w:val="0"/>
          <w:bCs w:val="0"/>
          <w:color w:val="auto"/>
          <w:sz w:val="24"/>
          <w:highlight w:val="none"/>
        </w:rPr>
        <w:t>涉及不可预见等完成本项目的其它费用和政策性文件规定及合同包含的所有风险、责任及招标代理服务费等各项应有费用。）</w:t>
      </w:r>
    </w:p>
    <w:p w14:paraId="68409F7D">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▲2.不提供此表格的将视为没有实质性响应采购文件。</w:t>
      </w:r>
    </w:p>
    <w:p w14:paraId="32AEF604">
      <w:pPr>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、任何有选择或有条件的投标总价或表中某一包填写多个报价，均将导致投标被拒绝；</w:t>
      </w:r>
    </w:p>
    <w:p w14:paraId="18D66A63">
      <w:pPr>
        <w:adjustRightInd w:val="0"/>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供应商的报价应包含税金及本次招标内容所必需的全部费用。</w:t>
      </w:r>
    </w:p>
    <w:p w14:paraId="2D5D8052">
      <w:pPr>
        <w:spacing w:line="360" w:lineRule="auto"/>
        <w:ind w:left="210" w:leftChars="10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、大写标注：壹、贰、叁、肆、伍、陆、柒、捌、玖、拾、佰、仟、万、亿。</w:t>
      </w:r>
    </w:p>
    <w:p w14:paraId="28B29F12">
      <w:pPr>
        <w:adjustRightInd w:val="0"/>
        <w:snapToGrid w:val="0"/>
        <w:spacing w:line="360" w:lineRule="auto"/>
        <w:ind w:firstLine="480" w:firstLineChars="200"/>
        <w:rPr>
          <w:rFonts w:hint="eastAsia" w:ascii="仿宋" w:hAnsi="仿宋" w:eastAsia="仿宋" w:cs="仿宋"/>
          <w:color w:val="000000"/>
          <w:sz w:val="24"/>
          <w:szCs w:val="24"/>
          <w:highlight w:val="none"/>
        </w:rPr>
      </w:pPr>
    </w:p>
    <w:p w14:paraId="601BC011">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3579A2A9">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15D715EC">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06123692">
      <w:pPr>
        <w:spacing w:before="182" w:line="220" w:lineRule="auto"/>
        <w:ind w:left="5741"/>
        <w:rPr>
          <w:rFonts w:hint="eastAsia" w:ascii="仿宋" w:hAnsi="仿宋" w:eastAsia="仿宋" w:cs="仿宋"/>
          <w:spacing w:val="-29"/>
          <w:sz w:val="24"/>
          <w:szCs w:val="24"/>
          <w:highlight w:val="none"/>
        </w:rPr>
      </w:pPr>
    </w:p>
    <w:p w14:paraId="1845E719">
      <w:pPr>
        <w:pStyle w:val="91"/>
        <w:rPr>
          <w:rFonts w:hint="eastAsia" w:ascii="仿宋" w:hAnsi="仿宋" w:eastAsia="仿宋" w:cs="仿宋"/>
          <w:highlight w:val="none"/>
          <w:lang w:eastAsia="zh-CN"/>
        </w:rPr>
        <w:sectPr>
          <w:headerReference r:id="rId9" w:type="default"/>
          <w:footerReference r:id="rId10" w:type="default"/>
          <w:type w:val="continuous"/>
          <w:pgSz w:w="11905" w:h="16838"/>
          <w:pgMar w:top="1440" w:right="1080" w:bottom="1440" w:left="1080" w:header="567" w:footer="454" w:gutter="0"/>
          <w:pgNumType w:fmt="decimal"/>
          <w:cols w:space="720" w:num="1"/>
          <w:rtlGutter w:val="0"/>
          <w:docGrid w:type="lines" w:linePitch="317" w:charSpace="0"/>
        </w:sectPr>
      </w:pPr>
    </w:p>
    <w:p w14:paraId="269D1C9A">
      <w:pPr>
        <w:pStyle w:val="3"/>
        <w:jc w:val="center"/>
        <w:rPr>
          <w:rFonts w:hint="eastAsia" w:ascii="仿宋" w:hAnsi="仿宋" w:eastAsia="仿宋" w:cs="仿宋"/>
          <w:color w:val="auto"/>
          <w:highlight w:val="none"/>
        </w:rPr>
      </w:pPr>
      <w:bookmarkStart w:id="540" w:name="_Toc24331_WPSOffice_Level2"/>
      <w:bookmarkStart w:id="541" w:name="_Toc30859_WPSOffice_Level2"/>
      <w:r>
        <w:rPr>
          <w:rFonts w:hint="eastAsia" w:ascii="仿宋" w:hAnsi="仿宋" w:eastAsia="仿宋" w:cs="仿宋"/>
          <w:color w:val="auto"/>
          <w:highlight w:val="none"/>
        </w:rPr>
        <w:t>报价明细表</w:t>
      </w:r>
      <w:bookmarkEnd w:id="540"/>
      <w:bookmarkEnd w:id="541"/>
    </w:p>
    <w:p w14:paraId="59F44B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28E059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                                                       单位：元</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585"/>
        <w:gridCol w:w="2357"/>
        <w:gridCol w:w="1336"/>
        <w:gridCol w:w="1529"/>
      </w:tblGrid>
      <w:tr w14:paraId="1718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7F54315F">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85" w:type="dxa"/>
            <w:tcBorders>
              <w:top w:val="single" w:color="auto" w:sz="4" w:space="0"/>
              <w:left w:val="single" w:color="auto" w:sz="4" w:space="0"/>
              <w:bottom w:val="single" w:color="auto" w:sz="4" w:space="0"/>
              <w:right w:val="single" w:color="auto" w:sz="4" w:space="0"/>
            </w:tcBorders>
            <w:noWrap w:val="0"/>
            <w:vAlign w:val="center"/>
          </w:tcPr>
          <w:p w14:paraId="5431D0BF">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服务名称（服务费用）</w:t>
            </w:r>
          </w:p>
        </w:tc>
        <w:tc>
          <w:tcPr>
            <w:tcW w:w="2357" w:type="dxa"/>
            <w:tcBorders>
              <w:top w:val="single" w:color="auto" w:sz="4" w:space="0"/>
              <w:left w:val="single" w:color="auto" w:sz="4" w:space="0"/>
              <w:bottom w:val="single" w:color="auto" w:sz="4" w:space="0"/>
              <w:right w:val="single" w:color="auto" w:sz="4" w:space="0"/>
            </w:tcBorders>
            <w:noWrap w:val="0"/>
            <w:vAlign w:val="center"/>
          </w:tcPr>
          <w:p w14:paraId="474846A3">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 量</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7041BDB">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投标价</w:t>
            </w:r>
          </w:p>
        </w:tc>
        <w:tc>
          <w:tcPr>
            <w:tcW w:w="1529" w:type="dxa"/>
            <w:tcBorders>
              <w:top w:val="single" w:color="auto" w:sz="4" w:space="0"/>
              <w:left w:val="single" w:color="auto" w:sz="4" w:space="0"/>
              <w:bottom w:val="single" w:color="auto" w:sz="4" w:space="0"/>
              <w:right w:val="single" w:color="auto" w:sz="4" w:space="0"/>
            </w:tcBorders>
            <w:noWrap w:val="0"/>
            <w:vAlign w:val="center"/>
          </w:tcPr>
          <w:p w14:paraId="0CA8F268">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 价</w:t>
            </w:r>
          </w:p>
        </w:tc>
      </w:tr>
      <w:tr w14:paraId="1A06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20C19742">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85" w:type="dxa"/>
            <w:tcBorders>
              <w:top w:val="single" w:color="auto" w:sz="4" w:space="0"/>
              <w:left w:val="single" w:color="auto" w:sz="4" w:space="0"/>
              <w:bottom w:val="single" w:color="auto" w:sz="4" w:space="0"/>
              <w:right w:val="single" w:color="auto" w:sz="4" w:space="0"/>
            </w:tcBorders>
            <w:noWrap w:val="0"/>
            <w:vAlign w:val="center"/>
          </w:tcPr>
          <w:p w14:paraId="17051931">
            <w:pPr>
              <w:keepNext w:val="0"/>
              <w:keepLines w:val="0"/>
              <w:suppressLineNumbers w:val="0"/>
              <w:spacing w:before="0" w:beforeAutospacing="0" w:after="0" w:afterAutospacing="0" w:line="360" w:lineRule="auto"/>
              <w:jc w:val="both"/>
              <w:rPr>
                <w:rFonts w:hint="eastAsia" w:ascii="仿宋" w:hAnsi="仿宋" w:eastAsia="仿宋" w:cs="仿宋"/>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14:paraId="56A53EFC">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AB889DA">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5270FE57">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r>
      <w:tr w14:paraId="6E09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14553076">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3585" w:type="dxa"/>
            <w:tcBorders>
              <w:top w:val="single" w:color="auto" w:sz="4" w:space="0"/>
              <w:left w:val="single" w:color="auto" w:sz="4" w:space="0"/>
              <w:bottom w:val="single" w:color="auto" w:sz="4" w:space="0"/>
              <w:right w:val="single" w:color="auto" w:sz="4" w:space="0"/>
            </w:tcBorders>
            <w:noWrap w:val="0"/>
            <w:vAlign w:val="center"/>
          </w:tcPr>
          <w:p w14:paraId="2E791FDE">
            <w:pPr>
              <w:keepNext w:val="0"/>
              <w:keepLines w:val="0"/>
              <w:suppressLineNumbers w:val="0"/>
              <w:spacing w:before="0" w:beforeAutospacing="0" w:after="0" w:afterAutospacing="0" w:line="360" w:lineRule="auto"/>
              <w:jc w:val="center"/>
              <w:rPr>
                <w:rFonts w:hint="eastAsia" w:ascii="仿宋" w:hAnsi="仿宋" w:eastAsia="仿宋" w:cs="仿宋"/>
                <w:color w:val="auto"/>
                <w:kern w:val="0"/>
                <w:sz w:val="21"/>
                <w:szCs w:val="21"/>
                <w:highlight w:val="none"/>
                <w:lang w:val="en-US" w:eastAsia="zh-CN"/>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14:paraId="34F4F9A5">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6D187FF">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672EE44D">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r>
      <w:tr w14:paraId="7485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23CF36E7">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3585" w:type="dxa"/>
            <w:tcBorders>
              <w:top w:val="single" w:color="auto" w:sz="4" w:space="0"/>
              <w:left w:val="single" w:color="auto" w:sz="4" w:space="0"/>
              <w:bottom w:val="single" w:color="auto" w:sz="4" w:space="0"/>
              <w:right w:val="single" w:color="auto" w:sz="4" w:space="0"/>
            </w:tcBorders>
            <w:noWrap w:val="0"/>
            <w:vAlign w:val="center"/>
          </w:tcPr>
          <w:p w14:paraId="49205F98">
            <w:pPr>
              <w:keepNext w:val="0"/>
              <w:keepLines w:val="0"/>
              <w:suppressLineNumbers w:val="0"/>
              <w:spacing w:before="0" w:beforeAutospacing="0" w:after="0" w:afterAutospacing="0" w:line="360" w:lineRule="auto"/>
              <w:jc w:val="both"/>
              <w:rPr>
                <w:rFonts w:hint="eastAsia" w:ascii="仿宋" w:hAnsi="仿宋" w:eastAsia="仿宋" w:cs="仿宋"/>
                <w:color w:val="auto"/>
                <w:kern w:val="0"/>
                <w:sz w:val="21"/>
                <w:szCs w:val="21"/>
                <w:highlight w:val="none"/>
                <w:lang w:val="en-US" w:eastAsia="zh-CN"/>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14:paraId="04A7B0ED">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0A2E730">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0AE84528">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r>
      <w:tr w14:paraId="3B7C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30A1D38F">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3585" w:type="dxa"/>
            <w:tcBorders>
              <w:top w:val="single" w:color="auto" w:sz="4" w:space="0"/>
              <w:left w:val="single" w:color="auto" w:sz="4" w:space="0"/>
              <w:bottom w:val="single" w:color="auto" w:sz="4" w:space="0"/>
              <w:right w:val="single" w:color="auto" w:sz="4" w:space="0"/>
            </w:tcBorders>
            <w:noWrap w:val="0"/>
            <w:vAlign w:val="center"/>
          </w:tcPr>
          <w:p w14:paraId="16A0CF03">
            <w:pPr>
              <w:keepNext w:val="0"/>
              <w:keepLines w:val="0"/>
              <w:suppressLineNumbers w:val="0"/>
              <w:spacing w:before="0" w:beforeAutospacing="0" w:after="0" w:afterAutospacing="0" w:line="360" w:lineRule="auto"/>
              <w:jc w:val="both"/>
              <w:rPr>
                <w:rFonts w:hint="eastAsia" w:ascii="仿宋" w:hAnsi="仿宋" w:eastAsia="仿宋" w:cs="仿宋"/>
                <w:i w:val="0"/>
                <w:color w:val="auto"/>
                <w:kern w:val="0"/>
                <w:sz w:val="24"/>
                <w:szCs w:val="24"/>
                <w:highlight w:val="none"/>
                <w:u w:val="none"/>
                <w:lang w:val="en-US" w:eastAsia="zh-CN" w:bidi="ar"/>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14:paraId="0A2D6691">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4A8F015">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427B8E30">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r>
      <w:tr w14:paraId="3D17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1EBF040C">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lang w:val="en-US" w:eastAsia="zh-CN"/>
              </w:rPr>
            </w:pPr>
          </w:p>
        </w:tc>
        <w:tc>
          <w:tcPr>
            <w:tcW w:w="3585" w:type="dxa"/>
            <w:tcBorders>
              <w:top w:val="single" w:color="auto" w:sz="4" w:space="0"/>
              <w:left w:val="single" w:color="auto" w:sz="4" w:space="0"/>
              <w:bottom w:val="single" w:color="auto" w:sz="4" w:space="0"/>
              <w:right w:val="single" w:color="auto" w:sz="4" w:space="0"/>
            </w:tcBorders>
            <w:noWrap w:val="0"/>
            <w:vAlign w:val="center"/>
          </w:tcPr>
          <w:p w14:paraId="1961630E">
            <w:pPr>
              <w:keepNext w:val="0"/>
              <w:keepLines w:val="0"/>
              <w:suppressLineNumbers w:val="0"/>
              <w:spacing w:before="0" w:beforeAutospacing="0" w:after="0" w:afterAutospacing="0" w:line="360" w:lineRule="auto"/>
              <w:jc w:val="both"/>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w:t>
            </w:r>
          </w:p>
        </w:tc>
        <w:tc>
          <w:tcPr>
            <w:tcW w:w="2357" w:type="dxa"/>
            <w:tcBorders>
              <w:top w:val="single" w:color="auto" w:sz="4" w:space="0"/>
              <w:left w:val="single" w:color="auto" w:sz="4" w:space="0"/>
              <w:bottom w:val="single" w:color="auto" w:sz="4" w:space="0"/>
              <w:right w:val="single" w:color="auto" w:sz="4" w:space="0"/>
            </w:tcBorders>
            <w:noWrap w:val="0"/>
            <w:vAlign w:val="center"/>
          </w:tcPr>
          <w:p w14:paraId="31B095CD">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95BFF0B">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37792C79">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r>
      <w:tr w14:paraId="7A29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7A18E9E6">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3585" w:type="dxa"/>
            <w:tcBorders>
              <w:top w:val="single" w:color="auto" w:sz="4" w:space="0"/>
              <w:left w:val="single" w:color="auto" w:sz="4" w:space="0"/>
              <w:bottom w:val="single" w:color="auto" w:sz="4" w:space="0"/>
              <w:right w:val="single" w:color="auto" w:sz="4" w:space="0"/>
            </w:tcBorders>
            <w:noWrap w:val="0"/>
            <w:vAlign w:val="center"/>
          </w:tcPr>
          <w:p w14:paraId="2A988559">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其他费用</w:t>
            </w:r>
          </w:p>
        </w:tc>
        <w:tc>
          <w:tcPr>
            <w:tcW w:w="2357" w:type="dxa"/>
            <w:tcBorders>
              <w:top w:val="single" w:color="auto" w:sz="4" w:space="0"/>
              <w:left w:val="single" w:color="auto" w:sz="4" w:space="0"/>
              <w:bottom w:val="single" w:color="auto" w:sz="4" w:space="0"/>
              <w:right w:val="single" w:color="auto" w:sz="4" w:space="0"/>
            </w:tcBorders>
            <w:noWrap w:val="0"/>
            <w:vAlign w:val="center"/>
          </w:tcPr>
          <w:p w14:paraId="53B5DFB1">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5482FAB">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1D47B48A">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r>
      <w:tr w14:paraId="47E2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53EC5062">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3585" w:type="dxa"/>
            <w:tcBorders>
              <w:top w:val="single" w:color="auto" w:sz="4" w:space="0"/>
              <w:left w:val="single" w:color="auto" w:sz="4" w:space="0"/>
              <w:bottom w:val="single" w:color="auto" w:sz="4" w:space="0"/>
              <w:right w:val="single" w:color="auto" w:sz="4" w:space="0"/>
            </w:tcBorders>
            <w:noWrap w:val="0"/>
            <w:vAlign w:val="center"/>
          </w:tcPr>
          <w:p w14:paraId="68CA9A3D">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14:paraId="29EECF62">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2218506">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noWrap w:val="0"/>
            <w:vAlign w:val="center"/>
          </w:tcPr>
          <w:p w14:paraId="2327A850">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p>
        </w:tc>
      </w:tr>
      <w:tr w14:paraId="3880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085DB482">
            <w:pPr>
              <w:keepNext w:val="0"/>
              <w:keepLines w:val="0"/>
              <w:suppressLineNumbers w:val="0"/>
              <w:spacing w:before="0" w:beforeAutospacing="0" w:after="0" w:afterAutospacing="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总计</w:t>
            </w:r>
          </w:p>
        </w:tc>
        <w:tc>
          <w:tcPr>
            <w:tcW w:w="8807" w:type="dxa"/>
            <w:gridSpan w:val="4"/>
            <w:tcBorders>
              <w:top w:val="single" w:color="auto" w:sz="4" w:space="0"/>
              <w:left w:val="single" w:color="auto" w:sz="4" w:space="0"/>
              <w:bottom w:val="single" w:color="auto" w:sz="4" w:space="0"/>
              <w:right w:val="single" w:color="auto" w:sz="4" w:space="0"/>
            </w:tcBorders>
            <w:noWrap w:val="0"/>
            <w:vAlign w:val="center"/>
          </w:tcPr>
          <w:p w14:paraId="0B89F238">
            <w:pPr>
              <w:keepNext w:val="0"/>
              <w:keepLines w:val="0"/>
              <w:suppressLineNumbers w:val="0"/>
              <w:spacing w:before="0" w:beforeAutospacing="0" w:after="0" w:afterAutospacing="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lang w:eastAsia="zh-CN"/>
              </w:rPr>
              <w:t>：</w:t>
            </w:r>
          </w:p>
          <w:p w14:paraId="4948C2E8">
            <w:pPr>
              <w:keepNext w:val="0"/>
              <w:keepLines w:val="0"/>
              <w:suppressLineNumbers w:val="0"/>
              <w:spacing w:before="0" w:beforeAutospacing="0" w:after="0" w:afterAutospacing="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14:paraId="18EEDCFD">
            <w:pPr>
              <w:keepNext w:val="0"/>
              <w:keepLines w:val="0"/>
              <w:suppressLineNumbers w:val="0"/>
              <w:spacing w:before="0" w:beforeAutospacing="0" w:after="0" w:afterAutospacing="0" w:line="360" w:lineRule="auto"/>
              <w:rPr>
                <w:rFonts w:hint="eastAsia" w:ascii="仿宋" w:hAnsi="仿宋" w:eastAsia="仿宋" w:cs="仿宋"/>
                <w:color w:val="auto"/>
                <w:sz w:val="24"/>
                <w:highlight w:val="none"/>
                <w:lang w:val="en-US" w:eastAsia="zh-CN"/>
              </w:rPr>
            </w:pPr>
            <w:r>
              <w:rPr>
                <w:rFonts w:hint="eastAsia" w:ascii="仿宋" w:hAnsi="仿宋" w:eastAsia="仿宋" w:cs="仿宋"/>
                <w:bCs/>
                <w:color w:val="auto"/>
                <w:kern w:val="0"/>
                <w:sz w:val="24"/>
                <w:highlight w:val="none"/>
              </w:rPr>
              <w:t>服务期</w:t>
            </w:r>
            <w:r>
              <w:rPr>
                <w:rFonts w:hint="eastAsia" w:ascii="仿宋" w:hAnsi="仿宋" w:eastAsia="仿宋" w:cs="仿宋"/>
                <w:bCs/>
                <w:color w:val="auto"/>
                <w:kern w:val="0"/>
                <w:sz w:val="24"/>
                <w:highlight w:val="none"/>
                <w:lang w:val="en-US" w:eastAsia="zh-CN"/>
              </w:rPr>
              <w:t>限</w:t>
            </w:r>
            <w:r>
              <w:rPr>
                <w:rFonts w:hint="eastAsia" w:ascii="仿宋" w:hAnsi="仿宋" w:eastAsia="仿宋" w:cs="仿宋"/>
                <w:color w:val="auto"/>
                <w:sz w:val="24"/>
                <w:highlight w:val="none"/>
                <w:lang w:val="en-US" w:eastAsia="zh-CN"/>
              </w:rPr>
              <w:t>：</w:t>
            </w:r>
          </w:p>
        </w:tc>
      </w:tr>
    </w:tbl>
    <w:p w14:paraId="6BA80D5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注：上述报价包含一切由供方承担的费用；</w:t>
      </w:r>
    </w:p>
    <w:p w14:paraId="5BF4282B">
      <w:pPr>
        <w:spacing w:line="360" w:lineRule="auto"/>
        <w:rPr>
          <w:rFonts w:hint="eastAsia" w:ascii="仿宋" w:hAnsi="仿宋" w:eastAsia="仿宋" w:cs="仿宋"/>
          <w:color w:val="auto"/>
          <w:sz w:val="24"/>
          <w:highlight w:val="none"/>
        </w:rPr>
      </w:pPr>
    </w:p>
    <w:p w14:paraId="2C338C7B">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0901D5B1">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5B2FF861">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7A47DFE9">
      <w:pPr>
        <w:pStyle w:val="91"/>
        <w:rPr>
          <w:rFonts w:hint="eastAsia" w:ascii="仿宋" w:hAnsi="仿宋" w:eastAsia="仿宋" w:cs="仿宋"/>
          <w:highlight w:val="none"/>
          <w:lang w:eastAsia="zh-CN"/>
        </w:rPr>
        <w:sectPr>
          <w:pgSz w:w="11905" w:h="16838"/>
          <w:pgMar w:top="1440" w:right="1080" w:bottom="1440" w:left="1080" w:header="567" w:footer="454" w:gutter="0"/>
          <w:pgNumType w:fmt="decimal"/>
          <w:cols w:space="720" w:num="1"/>
          <w:rtlGutter w:val="0"/>
          <w:docGrid w:type="lines" w:linePitch="317" w:charSpace="0"/>
        </w:sectPr>
      </w:pPr>
    </w:p>
    <w:p w14:paraId="244F6BA6">
      <w:pPr>
        <w:numPr>
          <w:ilvl w:val="0"/>
          <w:numId w:val="0"/>
        </w:numPr>
        <w:spacing w:line="440" w:lineRule="exact"/>
        <w:jc w:val="both"/>
        <w:outlineLvl w:val="1"/>
        <w:rPr>
          <w:rFonts w:hint="eastAsia" w:ascii="仿宋" w:hAnsi="仿宋" w:eastAsia="仿宋" w:cs="仿宋"/>
          <w:b/>
          <w:color w:val="000000"/>
          <w:sz w:val="28"/>
          <w:szCs w:val="24"/>
          <w:highlight w:val="none"/>
          <w:lang w:val="en-US" w:eastAsia="zh-CN"/>
        </w:rPr>
      </w:pPr>
      <w:bookmarkStart w:id="542" w:name="_Toc23314"/>
      <w:bookmarkStart w:id="543" w:name="_Toc8739"/>
      <w:r>
        <w:rPr>
          <w:rFonts w:hint="eastAsia" w:ascii="仿宋" w:hAnsi="仿宋" w:eastAsia="仿宋" w:cs="仿宋"/>
          <w:b/>
          <w:color w:val="000000"/>
          <w:sz w:val="28"/>
          <w:szCs w:val="24"/>
          <w:highlight w:val="none"/>
          <w:lang w:val="en-US" w:eastAsia="zh-CN"/>
        </w:rPr>
        <w:t>附件</w:t>
      </w:r>
      <w:bookmarkEnd w:id="542"/>
      <w:bookmarkEnd w:id="543"/>
      <w:r>
        <w:rPr>
          <w:rFonts w:hint="eastAsia" w:ascii="仿宋" w:hAnsi="仿宋" w:eastAsia="仿宋" w:cs="仿宋"/>
          <w:b/>
          <w:color w:val="000000"/>
          <w:sz w:val="28"/>
          <w:szCs w:val="24"/>
          <w:highlight w:val="none"/>
          <w:lang w:val="en-US" w:eastAsia="zh-CN"/>
        </w:rPr>
        <w:t>三</w:t>
      </w:r>
    </w:p>
    <w:p w14:paraId="0DDBDBEA">
      <w:pPr>
        <w:spacing w:before="27" w:line="219" w:lineRule="auto"/>
        <w:ind w:left="3396"/>
        <w:jc w:val="center"/>
        <w:rPr>
          <w:rFonts w:hint="eastAsia" w:ascii="仿宋" w:hAnsi="仿宋" w:eastAsia="仿宋" w:cs="仿宋"/>
          <w:sz w:val="24"/>
          <w:szCs w:val="24"/>
          <w:highlight w:val="none"/>
        </w:rPr>
      </w:pPr>
      <w:r>
        <w:rPr>
          <w:rFonts w:hint="eastAsia" w:ascii="仿宋" w:hAnsi="仿宋" w:eastAsia="仿宋" w:cs="仿宋"/>
          <w:b/>
          <w:bCs/>
          <w:spacing w:val="-1"/>
          <w:sz w:val="28"/>
          <w:szCs w:val="28"/>
          <w:highlight w:val="none"/>
        </w:rPr>
        <w:t>投标单位基本情况表</w:t>
      </w:r>
    </w:p>
    <w:p w14:paraId="7CC0E2E9">
      <w:pPr>
        <w:spacing w:before="156"/>
        <w:rPr>
          <w:rFonts w:hint="eastAsia" w:ascii="仿宋" w:hAnsi="仿宋" w:eastAsia="仿宋" w:cs="仿宋"/>
          <w:highlight w:val="none"/>
        </w:rPr>
      </w:pPr>
    </w:p>
    <w:tbl>
      <w:tblPr>
        <w:tblStyle w:val="175"/>
        <w:tblW w:w="8831" w:type="dxa"/>
        <w:tblInd w:w="2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3"/>
        <w:gridCol w:w="2123"/>
        <w:gridCol w:w="1986"/>
        <w:gridCol w:w="1969"/>
      </w:tblGrid>
      <w:tr w14:paraId="79A5A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753" w:type="dxa"/>
            <w:noWrap w:val="0"/>
            <w:vAlign w:val="top"/>
          </w:tcPr>
          <w:p w14:paraId="15255446">
            <w:pPr>
              <w:pStyle w:val="186"/>
              <w:spacing w:before="179" w:line="229" w:lineRule="auto"/>
              <w:ind w:left="117"/>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投标单位全称</w:t>
            </w:r>
          </w:p>
        </w:tc>
        <w:tc>
          <w:tcPr>
            <w:tcW w:w="6078" w:type="dxa"/>
            <w:gridSpan w:val="3"/>
            <w:noWrap w:val="0"/>
            <w:vAlign w:val="top"/>
          </w:tcPr>
          <w:p w14:paraId="03422428">
            <w:pPr>
              <w:jc w:val="center"/>
              <w:rPr>
                <w:rFonts w:hint="eastAsia" w:ascii="仿宋" w:hAnsi="仿宋" w:eastAsia="仿宋" w:cs="仿宋"/>
                <w:sz w:val="24"/>
                <w:szCs w:val="24"/>
                <w:highlight w:val="none"/>
              </w:rPr>
            </w:pPr>
          </w:p>
        </w:tc>
      </w:tr>
      <w:tr w14:paraId="79F2C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753" w:type="dxa"/>
            <w:noWrap w:val="0"/>
            <w:vAlign w:val="top"/>
          </w:tcPr>
          <w:p w14:paraId="6C3896F2">
            <w:pPr>
              <w:pStyle w:val="186"/>
              <w:spacing w:before="179" w:line="229" w:lineRule="auto"/>
              <w:ind w:left="117"/>
              <w:jc w:val="center"/>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统一社会信用代码</w:t>
            </w:r>
          </w:p>
        </w:tc>
        <w:tc>
          <w:tcPr>
            <w:tcW w:w="6078" w:type="dxa"/>
            <w:gridSpan w:val="3"/>
            <w:noWrap w:val="0"/>
            <w:vAlign w:val="top"/>
          </w:tcPr>
          <w:p w14:paraId="681A15E3">
            <w:pPr>
              <w:jc w:val="center"/>
              <w:rPr>
                <w:rFonts w:hint="eastAsia" w:ascii="仿宋" w:hAnsi="仿宋" w:eastAsia="仿宋" w:cs="仿宋"/>
                <w:sz w:val="24"/>
                <w:szCs w:val="24"/>
                <w:highlight w:val="none"/>
              </w:rPr>
            </w:pPr>
          </w:p>
        </w:tc>
      </w:tr>
      <w:tr w14:paraId="3A9DD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753" w:type="dxa"/>
            <w:noWrap w:val="0"/>
            <w:vAlign w:val="top"/>
          </w:tcPr>
          <w:p w14:paraId="1F955D34">
            <w:pPr>
              <w:pStyle w:val="186"/>
              <w:spacing w:before="171" w:line="228" w:lineRule="auto"/>
              <w:ind w:left="116"/>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主要业务范围</w:t>
            </w:r>
          </w:p>
        </w:tc>
        <w:tc>
          <w:tcPr>
            <w:tcW w:w="6078" w:type="dxa"/>
            <w:gridSpan w:val="3"/>
            <w:noWrap w:val="0"/>
            <w:vAlign w:val="top"/>
          </w:tcPr>
          <w:p w14:paraId="0EE8566E">
            <w:pPr>
              <w:jc w:val="center"/>
              <w:rPr>
                <w:rFonts w:hint="eastAsia" w:ascii="仿宋" w:hAnsi="仿宋" w:eastAsia="仿宋" w:cs="仿宋"/>
                <w:sz w:val="24"/>
                <w:szCs w:val="24"/>
                <w:highlight w:val="none"/>
              </w:rPr>
            </w:pPr>
          </w:p>
        </w:tc>
      </w:tr>
      <w:tr w14:paraId="4979E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753" w:type="dxa"/>
            <w:noWrap w:val="0"/>
            <w:vAlign w:val="top"/>
          </w:tcPr>
          <w:p w14:paraId="69FB2A36">
            <w:pPr>
              <w:pStyle w:val="186"/>
              <w:spacing w:before="182" w:line="228" w:lineRule="auto"/>
              <w:ind w:left="115"/>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法定代表人名称</w:t>
            </w:r>
          </w:p>
        </w:tc>
        <w:tc>
          <w:tcPr>
            <w:tcW w:w="2123" w:type="dxa"/>
            <w:noWrap w:val="0"/>
            <w:vAlign w:val="top"/>
          </w:tcPr>
          <w:p w14:paraId="483918B8">
            <w:pPr>
              <w:jc w:val="center"/>
              <w:rPr>
                <w:rFonts w:hint="eastAsia" w:ascii="仿宋" w:hAnsi="仿宋" w:eastAsia="仿宋" w:cs="仿宋"/>
                <w:sz w:val="24"/>
                <w:szCs w:val="24"/>
                <w:highlight w:val="none"/>
              </w:rPr>
            </w:pPr>
          </w:p>
        </w:tc>
        <w:tc>
          <w:tcPr>
            <w:tcW w:w="1986" w:type="dxa"/>
            <w:noWrap w:val="0"/>
            <w:vAlign w:val="top"/>
          </w:tcPr>
          <w:p w14:paraId="30E7E5E1">
            <w:pPr>
              <w:pStyle w:val="186"/>
              <w:spacing w:before="182" w:line="228" w:lineRule="auto"/>
              <w:ind w:left="1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w:t>
            </w:r>
            <w:r>
              <w:rPr>
                <w:rFonts w:hint="eastAsia" w:ascii="仿宋" w:hAnsi="仿宋" w:eastAsia="仿宋" w:cs="仿宋"/>
                <w:spacing w:val="8"/>
                <w:sz w:val="24"/>
                <w:szCs w:val="24"/>
                <w:highlight w:val="none"/>
              </w:rPr>
              <w:t xml:space="preserve">   </w:t>
            </w:r>
            <w:r>
              <w:rPr>
                <w:rFonts w:hint="eastAsia" w:ascii="仿宋" w:hAnsi="仿宋" w:eastAsia="仿宋" w:cs="仿宋"/>
                <w:sz w:val="24"/>
                <w:szCs w:val="24"/>
                <w:highlight w:val="none"/>
              </w:rPr>
              <w:t>务</w:t>
            </w:r>
          </w:p>
        </w:tc>
        <w:tc>
          <w:tcPr>
            <w:tcW w:w="1969" w:type="dxa"/>
            <w:noWrap w:val="0"/>
            <w:vAlign w:val="top"/>
          </w:tcPr>
          <w:p w14:paraId="21B71CC4">
            <w:pPr>
              <w:jc w:val="center"/>
              <w:rPr>
                <w:rFonts w:hint="eastAsia" w:ascii="仿宋" w:hAnsi="仿宋" w:eastAsia="仿宋" w:cs="仿宋"/>
                <w:sz w:val="24"/>
                <w:szCs w:val="24"/>
                <w:highlight w:val="none"/>
              </w:rPr>
            </w:pPr>
          </w:p>
        </w:tc>
      </w:tr>
      <w:tr w14:paraId="4D59F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753" w:type="dxa"/>
            <w:noWrap w:val="0"/>
            <w:vAlign w:val="top"/>
          </w:tcPr>
          <w:p w14:paraId="0E13D959">
            <w:pPr>
              <w:pStyle w:val="186"/>
              <w:spacing w:before="172" w:line="229" w:lineRule="auto"/>
              <w:ind w:left="117"/>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投标单位地址</w:t>
            </w:r>
          </w:p>
        </w:tc>
        <w:tc>
          <w:tcPr>
            <w:tcW w:w="2123" w:type="dxa"/>
            <w:noWrap w:val="0"/>
            <w:vAlign w:val="top"/>
          </w:tcPr>
          <w:p w14:paraId="5030725E">
            <w:pPr>
              <w:jc w:val="center"/>
              <w:rPr>
                <w:rFonts w:hint="eastAsia" w:ascii="仿宋" w:hAnsi="仿宋" w:eastAsia="仿宋" w:cs="仿宋"/>
                <w:sz w:val="24"/>
                <w:szCs w:val="24"/>
                <w:highlight w:val="none"/>
              </w:rPr>
            </w:pPr>
          </w:p>
        </w:tc>
        <w:tc>
          <w:tcPr>
            <w:tcW w:w="1986" w:type="dxa"/>
            <w:noWrap w:val="0"/>
            <w:vAlign w:val="top"/>
          </w:tcPr>
          <w:p w14:paraId="2FB4E876">
            <w:pPr>
              <w:pStyle w:val="186"/>
              <w:spacing w:before="172" w:line="228" w:lineRule="auto"/>
              <w:ind w:left="128"/>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邮政编码</w:t>
            </w:r>
          </w:p>
        </w:tc>
        <w:tc>
          <w:tcPr>
            <w:tcW w:w="1969" w:type="dxa"/>
            <w:noWrap w:val="0"/>
            <w:vAlign w:val="top"/>
          </w:tcPr>
          <w:p w14:paraId="2D1F370A">
            <w:pPr>
              <w:jc w:val="center"/>
              <w:rPr>
                <w:rFonts w:hint="eastAsia" w:ascii="仿宋" w:hAnsi="仿宋" w:eastAsia="仿宋" w:cs="仿宋"/>
                <w:sz w:val="24"/>
                <w:szCs w:val="24"/>
                <w:highlight w:val="none"/>
              </w:rPr>
            </w:pPr>
          </w:p>
        </w:tc>
      </w:tr>
      <w:tr w14:paraId="4D59A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753" w:type="dxa"/>
            <w:noWrap w:val="0"/>
            <w:vAlign w:val="top"/>
          </w:tcPr>
          <w:p w14:paraId="6E778D41">
            <w:pPr>
              <w:pStyle w:val="186"/>
              <w:spacing w:before="105" w:line="231" w:lineRule="auto"/>
              <w:ind w:left="139"/>
              <w:jc w:val="center"/>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电</w:t>
            </w:r>
            <w:r>
              <w:rPr>
                <w:rFonts w:hint="eastAsia" w:ascii="仿宋" w:hAnsi="仿宋" w:eastAsia="仿宋" w:cs="仿宋"/>
                <w:spacing w:val="6"/>
                <w:sz w:val="24"/>
                <w:szCs w:val="24"/>
                <w:highlight w:val="none"/>
              </w:rPr>
              <w:t xml:space="preserve">      </w:t>
            </w:r>
            <w:r>
              <w:rPr>
                <w:rFonts w:hint="eastAsia" w:ascii="仿宋" w:hAnsi="仿宋" w:eastAsia="仿宋" w:cs="仿宋"/>
                <w:spacing w:val="-12"/>
                <w:sz w:val="24"/>
                <w:szCs w:val="24"/>
                <w:highlight w:val="none"/>
              </w:rPr>
              <w:t>话</w:t>
            </w:r>
          </w:p>
        </w:tc>
        <w:tc>
          <w:tcPr>
            <w:tcW w:w="2123" w:type="dxa"/>
            <w:noWrap w:val="0"/>
            <w:vAlign w:val="top"/>
          </w:tcPr>
          <w:p w14:paraId="258FCBF3">
            <w:pPr>
              <w:jc w:val="center"/>
              <w:rPr>
                <w:rFonts w:hint="eastAsia" w:ascii="仿宋" w:hAnsi="仿宋" w:eastAsia="仿宋" w:cs="仿宋"/>
                <w:sz w:val="24"/>
                <w:szCs w:val="24"/>
                <w:highlight w:val="none"/>
              </w:rPr>
            </w:pPr>
          </w:p>
        </w:tc>
        <w:tc>
          <w:tcPr>
            <w:tcW w:w="1986" w:type="dxa"/>
            <w:noWrap w:val="0"/>
            <w:vAlign w:val="top"/>
          </w:tcPr>
          <w:p w14:paraId="43C7191D">
            <w:pPr>
              <w:pStyle w:val="186"/>
              <w:spacing w:before="105" w:line="228" w:lineRule="auto"/>
              <w:ind w:left="111"/>
              <w:jc w:val="center"/>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传</w:t>
            </w:r>
            <w:r>
              <w:rPr>
                <w:rFonts w:hint="eastAsia" w:ascii="仿宋" w:hAnsi="仿宋" w:eastAsia="仿宋" w:cs="仿宋"/>
                <w:spacing w:val="9"/>
                <w:sz w:val="24"/>
                <w:szCs w:val="24"/>
                <w:highlight w:val="none"/>
              </w:rPr>
              <w:t xml:space="preserve">   </w:t>
            </w:r>
            <w:r>
              <w:rPr>
                <w:rFonts w:hint="eastAsia" w:ascii="仿宋" w:hAnsi="仿宋" w:eastAsia="仿宋" w:cs="仿宋"/>
                <w:spacing w:val="1"/>
                <w:sz w:val="24"/>
                <w:szCs w:val="24"/>
                <w:highlight w:val="none"/>
              </w:rPr>
              <w:t>真</w:t>
            </w:r>
          </w:p>
        </w:tc>
        <w:tc>
          <w:tcPr>
            <w:tcW w:w="1969" w:type="dxa"/>
            <w:noWrap w:val="0"/>
            <w:vAlign w:val="top"/>
          </w:tcPr>
          <w:p w14:paraId="1BED591E">
            <w:pPr>
              <w:jc w:val="center"/>
              <w:rPr>
                <w:rFonts w:hint="eastAsia" w:ascii="仿宋" w:hAnsi="仿宋" w:eastAsia="仿宋" w:cs="仿宋"/>
                <w:sz w:val="24"/>
                <w:szCs w:val="24"/>
                <w:highlight w:val="none"/>
              </w:rPr>
            </w:pPr>
          </w:p>
        </w:tc>
      </w:tr>
      <w:tr w14:paraId="6F1FC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753" w:type="dxa"/>
            <w:noWrap w:val="0"/>
            <w:vAlign w:val="top"/>
          </w:tcPr>
          <w:p w14:paraId="2A7D6E2B">
            <w:pPr>
              <w:pStyle w:val="186"/>
              <w:spacing w:before="173" w:line="228" w:lineRule="auto"/>
              <w:ind w:left="116"/>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现有职工人数</w:t>
            </w:r>
          </w:p>
        </w:tc>
        <w:tc>
          <w:tcPr>
            <w:tcW w:w="2123" w:type="dxa"/>
            <w:noWrap w:val="0"/>
            <w:vAlign w:val="top"/>
          </w:tcPr>
          <w:p w14:paraId="4F6FA117">
            <w:pPr>
              <w:jc w:val="center"/>
              <w:rPr>
                <w:rFonts w:hint="eastAsia" w:ascii="仿宋" w:hAnsi="仿宋" w:eastAsia="仿宋" w:cs="仿宋"/>
                <w:sz w:val="24"/>
                <w:szCs w:val="24"/>
                <w:highlight w:val="none"/>
              </w:rPr>
            </w:pPr>
          </w:p>
        </w:tc>
        <w:tc>
          <w:tcPr>
            <w:tcW w:w="1986" w:type="dxa"/>
            <w:noWrap w:val="0"/>
            <w:vAlign w:val="top"/>
          </w:tcPr>
          <w:p w14:paraId="1B55ACA0">
            <w:pPr>
              <w:pStyle w:val="186"/>
              <w:spacing w:before="173" w:line="228" w:lineRule="auto"/>
              <w:ind w:left="119"/>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公司管理人员</w:t>
            </w:r>
          </w:p>
        </w:tc>
        <w:tc>
          <w:tcPr>
            <w:tcW w:w="1969" w:type="dxa"/>
            <w:noWrap w:val="0"/>
            <w:vAlign w:val="top"/>
          </w:tcPr>
          <w:p w14:paraId="6122DBE0">
            <w:pPr>
              <w:jc w:val="center"/>
              <w:rPr>
                <w:rFonts w:hint="eastAsia" w:ascii="仿宋" w:hAnsi="仿宋" w:eastAsia="仿宋" w:cs="仿宋"/>
                <w:sz w:val="24"/>
                <w:szCs w:val="24"/>
                <w:highlight w:val="none"/>
              </w:rPr>
            </w:pPr>
          </w:p>
        </w:tc>
      </w:tr>
      <w:tr w14:paraId="13EC8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753" w:type="dxa"/>
            <w:noWrap w:val="0"/>
            <w:vAlign w:val="top"/>
          </w:tcPr>
          <w:p w14:paraId="6F9FCE93">
            <w:pPr>
              <w:pStyle w:val="186"/>
              <w:spacing w:before="266" w:line="228" w:lineRule="auto"/>
              <w:ind w:left="116"/>
              <w:jc w:val="center"/>
              <w:rPr>
                <w:rFonts w:hint="eastAsia" w:ascii="仿宋" w:hAnsi="仿宋" w:eastAsia="仿宋" w:cs="仿宋"/>
                <w:sz w:val="24"/>
                <w:szCs w:val="24"/>
                <w:highlight w:val="none"/>
                <w:lang w:eastAsia="zh-CN"/>
              </w:rPr>
            </w:pPr>
            <w:r>
              <w:rPr>
                <w:rFonts w:hint="eastAsia" w:ascii="仿宋" w:hAnsi="仿宋" w:eastAsia="仿宋" w:cs="仿宋"/>
                <w:spacing w:val="7"/>
                <w:sz w:val="24"/>
                <w:szCs w:val="24"/>
                <w:highlight w:val="none"/>
                <w:lang w:val="en-US" w:eastAsia="zh-CN"/>
              </w:rPr>
              <w:t>高级工程师</w:t>
            </w:r>
          </w:p>
        </w:tc>
        <w:tc>
          <w:tcPr>
            <w:tcW w:w="6078" w:type="dxa"/>
            <w:gridSpan w:val="3"/>
            <w:noWrap w:val="0"/>
            <w:vAlign w:val="top"/>
          </w:tcPr>
          <w:p w14:paraId="4AC5A1C1">
            <w:pPr>
              <w:pStyle w:val="186"/>
              <w:spacing w:before="266" w:line="228" w:lineRule="auto"/>
              <w:ind w:left="113"/>
              <w:jc w:val="center"/>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lang w:val="en-US" w:eastAsia="zh-CN"/>
              </w:rPr>
              <w:t>人</w:t>
            </w:r>
          </w:p>
        </w:tc>
      </w:tr>
      <w:tr w14:paraId="6D813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2753" w:type="dxa"/>
            <w:noWrap w:val="0"/>
            <w:vAlign w:val="top"/>
          </w:tcPr>
          <w:p w14:paraId="0899BB9F">
            <w:pPr>
              <w:pStyle w:val="186"/>
              <w:spacing w:before="280" w:line="228" w:lineRule="auto"/>
              <w:ind w:left="115"/>
              <w:jc w:val="center"/>
              <w:rPr>
                <w:rFonts w:hint="eastAsia" w:ascii="仿宋" w:hAnsi="仿宋" w:eastAsia="仿宋" w:cs="仿宋"/>
                <w:sz w:val="24"/>
                <w:szCs w:val="24"/>
                <w:highlight w:val="none"/>
                <w:lang w:eastAsia="zh-CN"/>
              </w:rPr>
            </w:pPr>
            <w:r>
              <w:rPr>
                <w:rFonts w:hint="eastAsia" w:ascii="仿宋" w:hAnsi="仿宋" w:eastAsia="仿宋" w:cs="仿宋"/>
                <w:spacing w:val="8"/>
                <w:sz w:val="24"/>
                <w:szCs w:val="24"/>
                <w:highlight w:val="none"/>
                <w:lang w:val="en-US" w:eastAsia="zh-CN"/>
              </w:rPr>
              <w:t>工程师</w:t>
            </w:r>
          </w:p>
        </w:tc>
        <w:tc>
          <w:tcPr>
            <w:tcW w:w="6078" w:type="dxa"/>
            <w:gridSpan w:val="3"/>
            <w:noWrap w:val="0"/>
            <w:vAlign w:val="top"/>
          </w:tcPr>
          <w:p w14:paraId="20F902A5">
            <w:pPr>
              <w:pStyle w:val="186"/>
              <w:spacing w:before="280" w:line="228" w:lineRule="auto"/>
              <w:ind w:left="113"/>
              <w:jc w:val="center"/>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lang w:val="en-US" w:eastAsia="zh-CN"/>
              </w:rPr>
              <w:t>人</w:t>
            </w:r>
          </w:p>
        </w:tc>
      </w:tr>
      <w:tr w14:paraId="46DE3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2753" w:type="dxa"/>
            <w:noWrap w:val="0"/>
            <w:vAlign w:val="top"/>
          </w:tcPr>
          <w:p w14:paraId="2F37DF92">
            <w:pPr>
              <w:pStyle w:val="186"/>
              <w:spacing w:before="280" w:line="228" w:lineRule="auto"/>
              <w:ind w:left="115"/>
              <w:jc w:val="center"/>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助理工程师</w:t>
            </w:r>
          </w:p>
        </w:tc>
        <w:tc>
          <w:tcPr>
            <w:tcW w:w="6078" w:type="dxa"/>
            <w:gridSpan w:val="3"/>
            <w:noWrap w:val="0"/>
            <w:vAlign w:val="top"/>
          </w:tcPr>
          <w:p w14:paraId="0F358157">
            <w:pPr>
              <w:pStyle w:val="186"/>
              <w:spacing w:before="280" w:line="228" w:lineRule="auto"/>
              <w:ind w:left="113"/>
              <w:jc w:val="center"/>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人</w:t>
            </w:r>
          </w:p>
        </w:tc>
      </w:tr>
      <w:tr w14:paraId="60ABB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8831" w:type="dxa"/>
            <w:gridSpan w:val="4"/>
            <w:noWrap w:val="0"/>
            <w:vAlign w:val="top"/>
          </w:tcPr>
          <w:p w14:paraId="147E8A2D">
            <w:pPr>
              <w:pStyle w:val="186"/>
              <w:spacing w:before="55" w:line="228" w:lineRule="auto"/>
              <w:ind w:left="116"/>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单位组织机构简介：</w:t>
            </w:r>
          </w:p>
          <w:p w14:paraId="280D645A">
            <w:pPr>
              <w:pStyle w:val="186"/>
              <w:spacing w:before="65" w:line="312" w:lineRule="exact"/>
              <w:ind w:left="124"/>
              <w:rPr>
                <w:rFonts w:hint="eastAsia" w:ascii="仿宋" w:hAnsi="仿宋" w:eastAsia="仿宋" w:cs="仿宋"/>
                <w:sz w:val="24"/>
                <w:szCs w:val="24"/>
                <w:highlight w:val="none"/>
              </w:rPr>
            </w:pPr>
            <w:r>
              <w:rPr>
                <w:rFonts w:hint="eastAsia" w:ascii="仿宋" w:hAnsi="仿宋" w:eastAsia="仿宋" w:cs="仿宋"/>
                <w:spacing w:val="7"/>
                <w:position w:val="7"/>
                <w:sz w:val="24"/>
                <w:szCs w:val="24"/>
                <w:highlight w:val="none"/>
              </w:rPr>
              <w:t>（部室划分、各部室人数）</w:t>
            </w:r>
          </w:p>
          <w:p w14:paraId="100A6439">
            <w:pPr>
              <w:pStyle w:val="186"/>
              <w:spacing w:line="227" w:lineRule="auto"/>
              <w:ind w:left="118"/>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企业组织机构框图附后</w:t>
            </w:r>
          </w:p>
        </w:tc>
      </w:tr>
    </w:tbl>
    <w:p w14:paraId="06AA30CF">
      <w:pPr>
        <w:pStyle w:val="8"/>
        <w:spacing w:line="329" w:lineRule="auto"/>
        <w:ind w:left="0" w:leftChars="0" w:firstLine="0" w:firstLineChars="0"/>
        <w:rPr>
          <w:rFonts w:hint="eastAsia" w:ascii="仿宋" w:hAnsi="仿宋" w:eastAsia="仿宋" w:cs="仿宋"/>
          <w:sz w:val="21"/>
          <w:szCs w:val="21"/>
          <w:highlight w:val="none"/>
        </w:rPr>
      </w:pPr>
    </w:p>
    <w:p w14:paraId="7109C2CB">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67CAFEB0">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24FC0053">
      <w:pPr>
        <w:spacing w:before="182" w:line="220" w:lineRule="auto"/>
        <w:ind w:left="5741"/>
        <w:rPr>
          <w:rFonts w:hint="eastAsia" w:ascii="仿宋" w:hAnsi="仿宋" w:eastAsia="仿宋" w:cs="仿宋"/>
          <w:sz w:val="24"/>
          <w:szCs w:val="24"/>
          <w:highlight w:val="none"/>
        </w:rPr>
        <w:sectPr>
          <w:headerReference r:id="rId11" w:type="default"/>
          <w:footerReference r:id="rId12" w:type="default"/>
          <w:type w:val="continuous"/>
          <w:pgSz w:w="11906" w:h="16839"/>
          <w:pgMar w:top="1440" w:right="1080" w:bottom="1440" w:left="1080" w:header="0" w:footer="986" w:gutter="0"/>
          <w:pgNumType w:fmt="decimal"/>
          <w:cols w:space="720" w:num="1"/>
          <w:rtlGutter w:val="0"/>
          <w:docGrid w:linePitch="0" w:charSpace="0"/>
        </w:sect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2EC544E7">
      <w:pPr>
        <w:pStyle w:val="8"/>
        <w:tabs>
          <w:tab w:val="left" w:pos="5822"/>
        </w:tabs>
        <w:spacing w:after="0" w:line="240" w:lineRule="auto"/>
        <w:ind w:left="0" w:leftChars="0" w:right="0" w:firstLine="0" w:firstLineChars="0"/>
        <w:rPr>
          <w:rFonts w:hint="eastAsia" w:ascii="仿宋" w:hAnsi="仿宋" w:eastAsia="仿宋" w:cs="仿宋"/>
          <w:b/>
          <w:bCs/>
          <w:highlight w:val="none"/>
          <w:lang w:eastAsia="zh-CN"/>
        </w:rPr>
      </w:pPr>
      <w:r>
        <w:rPr>
          <w:rFonts w:hint="eastAsia" w:ascii="仿宋" w:hAnsi="仿宋" w:eastAsia="仿宋" w:cs="仿宋"/>
          <w:b/>
          <w:bCs/>
          <w:highlight w:val="none"/>
          <w:lang w:eastAsia="zh-CN"/>
        </w:rPr>
        <w:tab/>
      </w:r>
    </w:p>
    <w:p w14:paraId="0E500A1E">
      <w:pPr>
        <w:spacing w:before="78" w:line="219" w:lineRule="auto"/>
        <w:ind w:left="3379"/>
        <w:jc w:val="center"/>
        <w:rPr>
          <w:rFonts w:hint="eastAsia" w:ascii="仿宋" w:hAnsi="仿宋" w:eastAsia="仿宋" w:cs="仿宋"/>
          <w:b/>
          <w:bCs/>
          <w:sz w:val="28"/>
          <w:szCs w:val="28"/>
          <w:highlight w:val="none"/>
        </w:rPr>
      </w:pPr>
      <w:r>
        <w:rPr>
          <w:rFonts w:hint="eastAsia" w:ascii="仿宋" w:hAnsi="仿宋" w:eastAsia="仿宋" w:cs="仿宋"/>
          <w:b/>
          <w:bCs/>
          <w:spacing w:val="-14"/>
          <w:sz w:val="28"/>
          <w:szCs w:val="28"/>
          <w:highlight w:val="none"/>
        </w:rPr>
        <w:t>拟投入人员一览表</w:t>
      </w:r>
    </w:p>
    <w:p w14:paraId="548F1212">
      <w:pPr>
        <w:pStyle w:val="8"/>
        <w:spacing w:line="243" w:lineRule="auto"/>
        <w:rPr>
          <w:rFonts w:hint="eastAsia" w:ascii="仿宋" w:hAnsi="仿宋" w:eastAsia="仿宋" w:cs="仿宋"/>
          <w:highlight w:val="none"/>
        </w:rPr>
      </w:pPr>
    </w:p>
    <w:p w14:paraId="22DCF6F3">
      <w:pPr>
        <w:pStyle w:val="8"/>
        <w:spacing w:line="244" w:lineRule="auto"/>
        <w:rPr>
          <w:rFonts w:hint="eastAsia" w:ascii="仿宋" w:hAnsi="仿宋" w:eastAsia="仿宋" w:cs="仿宋"/>
          <w:highlight w:val="none"/>
        </w:rPr>
      </w:pPr>
    </w:p>
    <w:p w14:paraId="4E1D2E8F">
      <w:pPr>
        <w:spacing w:before="78" w:line="221" w:lineRule="auto"/>
        <w:ind w:left="236"/>
        <w:rPr>
          <w:rFonts w:hint="eastAsia" w:ascii="仿宋" w:hAnsi="仿宋" w:eastAsia="仿宋" w:cs="仿宋"/>
          <w:sz w:val="24"/>
          <w:szCs w:val="24"/>
          <w:highlight w:val="none"/>
        </w:rPr>
      </w:pPr>
      <w:r>
        <w:rPr>
          <w:rFonts w:hint="eastAsia" w:ascii="仿宋" w:hAnsi="仿宋" w:eastAsia="仿宋" w:cs="仿宋"/>
          <w:spacing w:val="-20"/>
          <w:sz w:val="24"/>
          <w:szCs w:val="24"/>
          <w:highlight w:val="none"/>
        </w:rPr>
        <w:t>项目名称：</w:t>
      </w:r>
      <w:r>
        <w:rPr>
          <w:rFonts w:hint="eastAsia" w:ascii="仿宋" w:hAnsi="仿宋" w:eastAsia="仿宋" w:cs="仿宋"/>
          <w:sz w:val="24"/>
          <w:szCs w:val="24"/>
          <w:highlight w:val="none"/>
          <w:u w:val="single" w:color="auto"/>
        </w:rPr>
        <w:t xml:space="preserve">                </w:t>
      </w:r>
    </w:p>
    <w:p w14:paraId="500A54C8">
      <w:pPr>
        <w:spacing w:before="281" w:line="220" w:lineRule="auto"/>
        <w:ind w:left="236"/>
        <w:rPr>
          <w:rFonts w:hint="eastAsia" w:ascii="仿宋" w:hAnsi="仿宋" w:eastAsia="仿宋" w:cs="仿宋"/>
          <w:sz w:val="24"/>
          <w:szCs w:val="24"/>
          <w:highlight w:val="none"/>
        </w:rPr>
      </w:pPr>
      <w:r>
        <w:rPr>
          <w:rFonts w:hint="eastAsia" w:ascii="仿宋" w:hAnsi="仿宋" w:eastAsia="仿宋" w:cs="仿宋"/>
          <w:spacing w:val="-20"/>
          <w:sz w:val="24"/>
          <w:szCs w:val="24"/>
          <w:highlight w:val="none"/>
        </w:rPr>
        <w:t>项目编号：</w:t>
      </w:r>
      <w:r>
        <w:rPr>
          <w:rFonts w:hint="eastAsia" w:ascii="仿宋" w:hAnsi="仿宋" w:eastAsia="仿宋" w:cs="仿宋"/>
          <w:sz w:val="24"/>
          <w:szCs w:val="24"/>
          <w:highlight w:val="none"/>
          <w:u w:val="single" w:color="auto"/>
        </w:rPr>
        <w:t xml:space="preserve">                </w:t>
      </w:r>
    </w:p>
    <w:p w14:paraId="69BD5438">
      <w:pPr>
        <w:spacing w:line="119" w:lineRule="exact"/>
        <w:rPr>
          <w:rFonts w:hint="eastAsia" w:ascii="仿宋" w:hAnsi="仿宋" w:eastAsia="仿宋" w:cs="仿宋"/>
          <w:sz w:val="24"/>
          <w:szCs w:val="24"/>
          <w:highlight w:val="none"/>
        </w:rPr>
      </w:pPr>
    </w:p>
    <w:tbl>
      <w:tblPr>
        <w:tblStyle w:val="175"/>
        <w:tblW w:w="97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2"/>
        <w:gridCol w:w="1234"/>
        <w:gridCol w:w="1234"/>
        <w:gridCol w:w="1234"/>
        <w:gridCol w:w="1234"/>
        <w:gridCol w:w="1234"/>
        <w:gridCol w:w="1234"/>
        <w:gridCol w:w="1234"/>
      </w:tblGrid>
      <w:tr w14:paraId="6405B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92" w:type="dxa"/>
            <w:noWrap w:val="0"/>
            <w:vAlign w:val="top"/>
          </w:tcPr>
          <w:p w14:paraId="4CC7055C">
            <w:pPr>
              <w:pStyle w:val="186"/>
              <w:spacing w:before="163" w:line="230" w:lineRule="auto"/>
              <w:ind w:left="40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234" w:type="dxa"/>
            <w:noWrap w:val="0"/>
            <w:vAlign w:val="top"/>
          </w:tcPr>
          <w:p w14:paraId="495F5136">
            <w:pPr>
              <w:pStyle w:val="186"/>
              <w:spacing w:before="164" w:line="228" w:lineRule="auto"/>
              <w:ind w:left="39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1234" w:type="dxa"/>
            <w:noWrap w:val="0"/>
            <w:vAlign w:val="top"/>
          </w:tcPr>
          <w:p w14:paraId="2E598539">
            <w:pPr>
              <w:pStyle w:val="186"/>
              <w:spacing w:before="164" w:line="229" w:lineRule="auto"/>
              <w:ind w:left="39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性别</w:t>
            </w:r>
          </w:p>
        </w:tc>
        <w:tc>
          <w:tcPr>
            <w:tcW w:w="1234" w:type="dxa"/>
            <w:noWrap w:val="0"/>
            <w:vAlign w:val="top"/>
          </w:tcPr>
          <w:p w14:paraId="1B49F609">
            <w:pPr>
              <w:pStyle w:val="186"/>
              <w:spacing w:before="164" w:line="228" w:lineRule="auto"/>
              <w:ind w:left="39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年龄</w:t>
            </w:r>
          </w:p>
        </w:tc>
        <w:tc>
          <w:tcPr>
            <w:tcW w:w="1234" w:type="dxa"/>
            <w:noWrap w:val="0"/>
            <w:vAlign w:val="top"/>
          </w:tcPr>
          <w:p w14:paraId="5A70FCB9">
            <w:pPr>
              <w:pStyle w:val="186"/>
              <w:spacing w:before="164" w:line="228" w:lineRule="auto"/>
              <w:ind w:left="15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从业年限</w:t>
            </w:r>
          </w:p>
        </w:tc>
        <w:tc>
          <w:tcPr>
            <w:tcW w:w="1234" w:type="dxa"/>
            <w:noWrap w:val="0"/>
            <w:vAlign w:val="top"/>
          </w:tcPr>
          <w:p w14:paraId="7B2B8399">
            <w:pPr>
              <w:pStyle w:val="186"/>
              <w:spacing w:before="163" w:line="228" w:lineRule="auto"/>
              <w:ind w:left="155"/>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资格证书</w:t>
            </w:r>
          </w:p>
        </w:tc>
        <w:tc>
          <w:tcPr>
            <w:tcW w:w="1234" w:type="dxa"/>
            <w:noWrap w:val="0"/>
            <w:vAlign w:val="top"/>
          </w:tcPr>
          <w:p w14:paraId="00A40AF8">
            <w:pPr>
              <w:pStyle w:val="186"/>
              <w:spacing w:before="163" w:line="228" w:lineRule="auto"/>
              <w:ind w:left="147"/>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拟任职务</w:t>
            </w:r>
          </w:p>
        </w:tc>
        <w:tc>
          <w:tcPr>
            <w:tcW w:w="1234" w:type="dxa"/>
            <w:noWrap w:val="0"/>
            <w:vAlign w:val="top"/>
          </w:tcPr>
          <w:p w14:paraId="7BE03BA5">
            <w:pPr>
              <w:pStyle w:val="186"/>
              <w:spacing w:before="163" w:line="230" w:lineRule="auto"/>
              <w:ind w:left="401"/>
              <w:jc w:val="center"/>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备注</w:t>
            </w:r>
          </w:p>
        </w:tc>
      </w:tr>
      <w:tr w14:paraId="061AE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92" w:type="dxa"/>
            <w:noWrap w:val="0"/>
            <w:vAlign w:val="top"/>
          </w:tcPr>
          <w:p w14:paraId="7BF4F1AE">
            <w:pPr>
              <w:pStyle w:val="186"/>
              <w:spacing w:before="202" w:line="184" w:lineRule="auto"/>
              <w:ind w:left="51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34" w:type="dxa"/>
            <w:noWrap w:val="0"/>
            <w:vAlign w:val="top"/>
          </w:tcPr>
          <w:p w14:paraId="398A33C6">
            <w:pPr>
              <w:jc w:val="center"/>
              <w:rPr>
                <w:rFonts w:hint="eastAsia" w:ascii="仿宋" w:hAnsi="仿宋" w:eastAsia="仿宋" w:cs="仿宋"/>
                <w:sz w:val="24"/>
                <w:szCs w:val="24"/>
                <w:highlight w:val="none"/>
              </w:rPr>
            </w:pPr>
          </w:p>
        </w:tc>
        <w:tc>
          <w:tcPr>
            <w:tcW w:w="1234" w:type="dxa"/>
            <w:noWrap w:val="0"/>
            <w:vAlign w:val="top"/>
          </w:tcPr>
          <w:p w14:paraId="2AEA8AF9">
            <w:pPr>
              <w:jc w:val="center"/>
              <w:rPr>
                <w:rFonts w:hint="eastAsia" w:ascii="仿宋" w:hAnsi="仿宋" w:eastAsia="仿宋" w:cs="仿宋"/>
                <w:sz w:val="24"/>
                <w:szCs w:val="24"/>
                <w:highlight w:val="none"/>
              </w:rPr>
            </w:pPr>
          </w:p>
        </w:tc>
        <w:tc>
          <w:tcPr>
            <w:tcW w:w="1234" w:type="dxa"/>
            <w:noWrap w:val="0"/>
            <w:vAlign w:val="top"/>
          </w:tcPr>
          <w:p w14:paraId="7AB58909">
            <w:pPr>
              <w:jc w:val="center"/>
              <w:rPr>
                <w:rFonts w:hint="eastAsia" w:ascii="仿宋" w:hAnsi="仿宋" w:eastAsia="仿宋" w:cs="仿宋"/>
                <w:sz w:val="24"/>
                <w:szCs w:val="24"/>
                <w:highlight w:val="none"/>
              </w:rPr>
            </w:pPr>
          </w:p>
        </w:tc>
        <w:tc>
          <w:tcPr>
            <w:tcW w:w="1234" w:type="dxa"/>
            <w:noWrap w:val="0"/>
            <w:vAlign w:val="top"/>
          </w:tcPr>
          <w:p w14:paraId="2F15FC9C">
            <w:pPr>
              <w:jc w:val="center"/>
              <w:rPr>
                <w:rFonts w:hint="eastAsia" w:ascii="仿宋" w:hAnsi="仿宋" w:eastAsia="仿宋" w:cs="仿宋"/>
                <w:sz w:val="24"/>
                <w:szCs w:val="24"/>
                <w:highlight w:val="none"/>
              </w:rPr>
            </w:pPr>
          </w:p>
        </w:tc>
        <w:tc>
          <w:tcPr>
            <w:tcW w:w="1234" w:type="dxa"/>
            <w:noWrap w:val="0"/>
            <w:vAlign w:val="top"/>
          </w:tcPr>
          <w:p w14:paraId="7989A884">
            <w:pPr>
              <w:jc w:val="center"/>
              <w:rPr>
                <w:rFonts w:hint="eastAsia" w:ascii="仿宋" w:hAnsi="仿宋" w:eastAsia="仿宋" w:cs="仿宋"/>
                <w:sz w:val="24"/>
                <w:szCs w:val="24"/>
                <w:highlight w:val="none"/>
              </w:rPr>
            </w:pPr>
          </w:p>
        </w:tc>
        <w:tc>
          <w:tcPr>
            <w:tcW w:w="1234" w:type="dxa"/>
            <w:noWrap w:val="0"/>
            <w:vAlign w:val="top"/>
          </w:tcPr>
          <w:p w14:paraId="60D9862C">
            <w:pPr>
              <w:jc w:val="center"/>
              <w:rPr>
                <w:rFonts w:hint="eastAsia" w:ascii="仿宋" w:hAnsi="仿宋" w:eastAsia="仿宋" w:cs="仿宋"/>
                <w:sz w:val="24"/>
                <w:szCs w:val="24"/>
                <w:highlight w:val="none"/>
              </w:rPr>
            </w:pPr>
          </w:p>
        </w:tc>
        <w:tc>
          <w:tcPr>
            <w:tcW w:w="1234" w:type="dxa"/>
            <w:noWrap w:val="0"/>
            <w:vAlign w:val="top"/>
          </w:tcPr>
          <w:p w14:paraId="16796DE9">
            <w:pPr>
              <w:jc w:val="center"/>
              <w:rPr>
                <w:rFonts w:hint="eastAsia" w:ascii="仿宋" w:hAnsi="仿宋" w:eastAsia="仿宋" w:cs="仿宋"/>
                <w:sz w:val="24"/>
                <w:szCs w:val="24"/>
                <w:highlight w:val="none"/>
              </w:rPr>
            </w:pPr>
          </w:p>
        </w:tc>
      </w:tr>
      <w:tr w14:paraId="642CE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92" w:type="dxa"/>
            <w:noWrap w:val="0"/>
            <w:vAlign w:val="top"/>
          </w:tcPr>
          <w:p w14:paraId="7B9C03A7">
            <w:pPr>
              <w:pStyle w:val="186"/>
              <w:spacing w:before="205" w:line="183" w:lineRule="auto"/>
              <w:ind w:left="499"/>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234" w:type="dxa"/>
            <w:noWrap w:val="0"/>
            <w:vAlign w:val="top"/>
          </w:tcPr>
          <w:p w14:paraId="1E752B1D">
            <w:pPr>
              <w:jc w:val="center"/>
              <w:rPr>
                <w:rFonts w:hint="eastAsia" w:ascii="仿宋" w:hAnsi="仿宋" w:eastAsia="仿宋" w:cs="仿宋"/>
                <w:sz w:val="24"/>
                <w:szCs w:val="24"/>
                <w:highlight w:val="none"/>
              </w:rPr>
            </w:pPr>
          </w:p>
        </w:tc>
        <w:tc>
          <w:tcPr>
            <w:tcW w:w="1234" w:type="dxa"/>
            <w:noWrap w:val="0"/>
            <w:vAlign w:val="top"/>
          </w:tcPr>
          <w:p w14:paraId="1997109B">
            <w:pPr>
              <w:jc w:val="center"/>
              <w:rPr>
                <w:rFonts w:hint="eastAsia" w:ascii="仿宋" w:hAnsi="仿宋" w:eastAsia="仿宋" w:cs="仿宋"/>
                <w:sz w:val="24"/>
                <w:szCs w:val="24"/>
                <w:highlight w:val="none"/>
              </w:rPr>
            </w:pPr>
          </w:p>
        </w:tc>
        <w:tc>
          <w:tcPr>
            <w:tcW w:w="1234" w:type="dxa"/>
            <w:noWrap w:val="0"/>
            <w:vAlign w:val="top"/>
          </w:tcPr>
          <w:p w14:paraId="4914D60A">
            <w:pPr>
              <w:jc w:val="center"/>
              <w:rPr>
                <w:rFonts w:hint="eastAsia" w:ascii="仿宋" w:hAnsi="仿宋" w:eastAsia="仿宋" w:cs="仿宋"/>
                <w:sz w:val="24"/>
                <w:szCs w:val="24"/>
                <w:highlight w:val="none"/>
              </w:rPr>
            </w:pPr>
          </w:p>
        </w:tc>
        <w:tc>
          <w:tcPr>
            <w:tcW w:w="1234" w:type="dxa"/>
            <w:noWrap w:val="0"/>
            <w:vAlign w:val="top"/>
          </w:tcPr>
          <w:p w14:paraId="67EF175E">
            <w:pPr>
              <w:jc w:val="center"/>
              <w:rPr>
                <w:rFonts w:hint="eastAsia" w:ascii="仿宋" w:hAnsi="仿宋" w:eastAsia="仿宋" w:cs="仿宋"/>
                <w:sz w:val="24"/>
                <w:szCs w:val="24"/>
                <w:highlight w:val="none"/>
              </w:rPr>
            </w:pPr>
          </w:p>
        </w:tc>
        <w:tc>
          <w:tcPr>
            <w:tcW w:w="1234" w:type="dxa"/>
            <w:noWrap w:val="0"/>
            <w:vAlign w:val="top"/>
          </w:tcPr>
          <w:p w14:paraId="681D55D4">
            <w:pPr>
              <w:jc w:val="center"/>
              <w:rPr>
                <w:rFonts w:hint="eastAsia" w:ascii="仿宋" w:hAnsi="仿宋" w:eastAsia="仿宋" w:cs="仿宋"/>
                <w:sz w:val="24"/>
                <w:szCs w:val="24"/>
                <w:highlight w:val="none"/>
              </w:rPr>
            </w:pPr>
          </w:p>
        </w:tc>
        <w:tc>
          <w:tcPr>
            <w:tcW w:w="1234" w:type="dxa"/>
            <w:noWrap w:val="0"/>
            <w:vAlign w:val="top"/>
          </w:tcPr>
          <w:p w14:paraId="1C29EB5D">
            <w:pPr>
              <w:jc w:val="center"/>
              <w:rPr>
                <w:rFonts w:hint="eastAsia" w:ascii="仿宋" w:hAnsi="仿宋" w:eastAsia="仿宋" w:cs="仿宋"/>
                <w:sz w:val="24"/>
                <w:szCs w:val="24"/>
                <w:highlight w:val="none"/>
              </w:rPr>
            </w:pPr>
          </w:p>
        </w:tc>
        <w:tc>
          <w:tcPr>
            <w:tcW w:w="1234" w:type="dxa"/>
            <w:noWrap w:val="0"/>
            <w:vAlign w:val="top"/>
          </w:tcPr>
          <w:p w14:paraId="13F0181A">
            <w:pPr>
              <w:jc w:val="center"/>
              <w:rPr>
                <w:rFonts w:hint="eastAsia" w:ascii="仿宋" w:hAnsi="仿宋" w:eastAsia="仿宋" w:cs="仿宋"/>
                <w:sz w:val="24"/>
                <w:szCs w:val="24"/>
                <w:highlight w:val="none"/>
              </w:rPr>
            </w:pPr>
          </w:p>
        </w:tc>
      </w:tr>
      <w:tr w14:paraId="3679D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92" w:type="dxa"/>
            <w:noWrap w:val="0"/>
            <w:vAlign w:val="top"/>
          </w:tcPr>
          <w:p w14:paraId="5B10533F">
            <w:pPr>
              <w:pStyle w:val="186"/>
              <w:spacing w:before="207" w:line="183" w:lineRule="auto"/>
              <w:ind w:left="50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234" w:type="dxa"/>
            <w:noWrap w:val="0"/>
            <w:vAlign w:val="top"/>
          </w:tcPr>
          <w:p w14:paraId="05991C1D">
            <w:pPr>
              <w:jc w:val="center"/>
              <w:rPr>
                <w:rFonts w:hint="eastAsia" w:ascii="仿宋" w:hAnsi="仿宋" w:eastAsia="仿宋" w:cs="仿宋"/>
                <w:sz w:val="24"/>
                <w:szCs w:val="24"/>
                <w:highlight w:val="none"/>
              </w:rPr>
            </w:pPr>
          </w:p>
        </w:tc>
        <w:tc>
          <w:tcPr>
            <w:tcW w:w="1234" w:type="dxa"/>
            <w:noWrap w:val="0"/>
            <w:vAlign w:val="top"/>
          </w:tcPr>
          <w:p w14:paraId="72BBBF20">
            <w:pPr>
              <w:jc w:val="center"/>
              <w:rPr>
                <w:rFonts w:hint="eastAsia" w:ascii="仿宋" w:hAnsi="仿宋" w:eastAsia="仿宋" w:cs="仿宋"/>
                <w:sz w:val="24"/>
                <w:szCs w:val="24"/>
                <w:highlight w:val="none"/>
              </w:rPr>
            </w:pPr>
          </w:p>
        </w:tc>
        <w:tc>
          <w:tcPr>
            <w:tcW w:w="1234" w:type="dxa"/>
            <w:noWrap w:val="0"/>
            <w:vAlign w:val="top"/>
          </w:tcPr>
          <w:p w14:paraId="6CA17D58">
            <w:pPr>
              <w:jc w:val="center"/>
              <w:rPr>
                <w:rFonts w:hint="eastAsia" w:ascii="仿宋" w:hAnsi="仿宋" w:eastAsia="仿宋" w:cs="仿宋"/>
                <w:sz w:val="24"/>
                <w:szCs w:val="24"/>
                <w:highlight w:val="none"/>
              </w:rPr>
            </w:pPr>
          </w:p>
        </w:tc>
        <w:tc>
          <w:tcPr>
            <w:tcW w:w="1234" w:type="dxa"/>
            <w:noWrap w:val="0"/>
            <w:vAlign w:val="top"/>
          </w:tcPr>
          <w:p w14:paraId="43660EF0">
            <w:pPr>
              <w:jc w:val="center"/>
              <w:rPr>
                <w:rFonts w:hint="eastAsia" w:ascii="仿宋" w:hAnsi="仿宋" w:eastAsia="仿宋" w:cs="仿宋"/>
                <w:sz w:val="24"/>
                <w:szCs w:val="24"/>
                <w:highlight w:val="none"/>
              </w:rPr>
            </w:pPr>
          </w:p>
        </w:tc>
        <w:tc>
          <w:tcPr>
            <w:tcW w:w="1234" w:type="dxa"/>
            <w:noWrap w:val="0"/>
            <w:vAlign w:val="top"/>
          </w:tcPr>
          <w:p w14:paraId="0D6C055B">
            <w:pPr>
              <w:jc w:val="center"/>
              <w:rPr>
                <w:rFonts w:hint="eastAsia" w:ascii="仿宋" w:hAnsi="仿宋" w:eastAsia="仿宋" w:cs="仿宋"/>
                <w:sz w:val="24"/>
                <w:szCs w:val="24"/>
                <w:highlight w:val="none"/>
              </w:rPr>
            </w:pPr>
          </w:p>
        </w:tc>
        <w:tc>
          <w:tcPr>
            <w:tcW w:w="1234" w:type="dxa"/>
            <w:noWrap w:val="0"/>
            <w:vAlign w:val="top"/>
          </w:tcPr>
          <w:p w14:paraId="403E8D35">
            <w:pPr>
              <w:jc w:val="center"/>
              <w:rPr>
                <w:rFonts w:hint="eastAsia" w:ascii="仿宋" w:hAnsi="仿宋" w:eastAsia="仿宋" w:cs="仿宋"/>
                <w:sz w:val="24"/>
                <w:szCs w:val="24"/>
                <w:highlight w:val="none"/>
              </w:rPr>
            </w:pPr>
          </w:p>
        </w:tc>
        <w:tc>
          <w:tcPr>
            <w:tcW w:w="1234" w:type="dxa"/>
            <w:noWrap w:val="0"/>
            <w:vAlign w:val="top"/>
          </w:tcPr>
          <w:p w14:paraId="2A107D70">
            <w:pPr>
              <w:jc w:val="center"/>
              <w:rPr>
                <w:rFonts w:hint="eastAsia" w:ascii="仿宋" w:hAnsi="仿宋" w:eastAsia="仿宋" w:cs="仿宋"/>
                <w:sz w:val="24"/>
                <w:szCs w:val="24"/>
                <w:highlight w:val="none"/>
              </w:rPr>
            </w:pPr>
          </w:p>
        </w:tc>
      </w:tr>
      <w:tr w14:paraId="4E0C4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92" w:type="dxa"/>
            <w:noWrap w:val="0"/>
            <w:vAlign w:val="top"/>
          </w:tcPr>
          <w:p w14:paraId="20BD4B67">
            <w:pPr>
              <w:pStyle w:val="186"/>
              <w:spacing w:before="206" w:line="183" w:lineRule="auto"/>
              <w:ind w:left="495"/>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234" w:type="dxa"/>
            <w:noWrap w:val="0"/>
            <w:vAlign w:val="top"/>
          </w:tcPr>
          <w:p w14:paraId="5AF7D0CD">
            <w:pPr>
              <w:jc w:val="center"/>
              <w:rPr>
                <w:rFonts w:hint="eastAsia" w:ascii="仿宋" w:hAnsi="仿宋" w:eastAsia="仿宋" w:cs="仿宋"/>
                <w:sz w:val="24"/>
                <w:szCs w:val="24"/>
                <w:highlight w:val="none"/>
              </w:rPr>
            </w:pPr>
          </w:p>
        </w:tc>
        <w:tc>
          <w:tcPr>
            <w:tcW w:w="1234" w:type="dxa"/>
            <w:noWrap w:val="0"/>
            <w:vAlign w:val="top"/>
          </w:tcPr>
          <w:p w14:paraId="11FCED31">
            <w:pPr>
              <w:jc w:val="center"/>
              <w:rPr>
                <w:rFonts w:hint="eastAsia" w:ascii="仿宋" w:hAnsi="仿宋" w:eastAsia="仿宋" w:cs="仿宋"/>
                <w:sz w:val="24"/>
                <w:szCs w:val="24"/>
                <w:highlight w:val="none"/>
              </w:rPr>
            </w:pPr>
          </w:p>
        </w:tc>
        <w:tc>
          <w:tcPr>
            <w:tcW w:w="1234" w:type="dxa"/>
            <w:noWrap w:val="0"/>
            <w:vAlign w:val="top"/>
          </w:tcPr>
          <w:p w14:paraId="7E6A1385">
            <w:pPr>
              <w:jc w:val="center"/>
              <w:rPr>
                <w:rFonts w:hint="eastAsia" w:ascii="仿宋" w:hAnsi="仿宋" w:eastAsia="仿宋" w:cs="仿宋"/>
                <w:sz w:val="24"/>
                <w:szCs w:val="24"/>
                <w:highlight w:val="none"/>
              </w:rPr>
            </w:pPr>
          </w:p>
        </w:tc>
        <w:tc>
          <w:tcPr>
            <w:tcW w:w="1234" w:type="dxa"/>
            <w:noWrap w:val="0"/>
            <w:vAlign w:val="top"/>
          </w:tcPr>
          <w:p w14:paraId="20CE2C21">
            <w:pPr>
              <w:jc w:val="center"/>
              <w:rPr>
                <w:rFonts w:hint="eastAsia" w:ascii="仿宋" w:hAnsi="仿宋" w:eastAsia="仿宋" w:cs="仿宋"/>
                <w:sz w:val="24"/>
                <w:szCs w:val="24"/>
                <w:highlight w:val="none"/>
              </w:rPr>
            </w:pPr>
          </w:p>
        </w:tc>
        <w:tc>
          <w:tcPr>
            <w:tcW w:w="1234" w:type="dxa"/>
            <w:noWrap w:val="0"/>
            <w:vAlign w:val="top"/>
          </w:tcPr>
          <w:p w14:paraId="5537992F">
            <w:pPr>
              <w:jc w:val="center"/>
              <w:rPr>
                <w:rFonts w:hint="eastAsia" w:ascii="仿宋" w:hAnsi="仿宋" w:eastAsia="仿宋" w:cs="仿宋"/>
                <w:sz w:val="24"/>
                <w:szCs w:val="24"/>
                <w:highlight w:val="none"/>
              </w:rPr>
            </w:pPr>
          </w:p>
        </w:tc>
        <w:tc>
          <w:tcPr>
            <w:tcW w:w="1234" w:type="dxa"/>
            <w:noWrap w:val="0"/>
            <w:vAlign w:val="top"/>
          </w:tcPr>
          <w:p w14:paraId="1A688AC9">
            <w:pPr>
              <w:jc w:val="center"/>
              <w:rPr>
                <w:rFonts w:hint="eastAsia" w:ascii="仿宋" w:hAnsi="仿宋" w:eastAsia="仿宋" w:cs="仿宋"/>
                <w:sz w:val="24"/>
                <w:szCs w:val="24"/>
                <w:highlight w:val="none"/>
              </w:rPr>
            </w:pPr>
          </w:p>
        </w:tc>
        <w:tc>
          <w:tcPr>
            <w:tcW w:w="1234" w:type="dxa"/>
            <w:noWrap w:val="0"/>
            <w:vAlign w:val="top"/>
          </w:tcPr>
          <w:p w14:paraId="24307084">
            <w:pPr>
              <w:jc w:val="center"/>
              <w:rPr>
                <w:rFonts w:hint="eastAsia" w:ascii="仿宋" w:hAnsi="仿宋" w:eastAsia="仿宋" w:cs="仿宋"/>
                <w:sz w:val="24"/>
                <w:szCs w:val="24"/>
                <w:highlight w:val="none"/>
              </w:rPr>
            </w:pPr>
          </w:p>
        </w:tc>
      </w:tr>
      <w:tr w14:paraId="07E5E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92" w:type="dxa"/>
            <w:noWrap w:val="0"/>
            <w:vAlign w:val="top"/>
          </w:tcPr>
          <w:p w14:paraId="291E28D0">
            <w:pPr>
              <w:pStyle w:val="186"/>
              <w:spacing w:before="209" w:line="182" w:lineRule="auto"/>
              <w:ind w:left="50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234" w:type="dxa"/>
            <w:noWrap w:val="0"/>
            <w:vAlign w:val="top"/>
          </w:tcPr>
          <w:p w14:paraId="4B2CAA24">
            <w:pPr>
              <w:jc w:val="center"/>
              <w:rPr>
                <w:rFonts w:hint="eastAsia" w:ascii="仿宋" w:hAnsi="仿宋" w:eastAsia="仿宋" w:cs="仿宋"/>
                <w:sz w:val="24"/>
                <w:szCs w:val="24"/>
                <w:highlight w:val="none"/>
              </w:rPr>
            </w:pPr>
          </w:p>
        </w:tc>
        <w:tc>
          <w:tcPr>
            <w:tcW w:w="1234" w:type="dxa"/>
            <w:noWrap w:val="0"/>
            <w:vAlign w:val="top"/>
          </w:tcPr>
          <w:p w14:paraId="62CAD5F0">
            <w:pPr>
              <w:jc w:val="center"/>
              <w:rPr>
                <w:rFonts w:hint="eastAsia" w:ascii="仿宋" w:hAnsi="仿宋" w:eastAsia="仿宋" w:cs="仿宋"/>
                <w:sz w:val="24"/>
                <w:szCs w:val="24"/>
                <w:highlight w:val="none"/>
              </w:rPr>
            </w:pPr>
          </w:p>
        </w:tc>
        <w:tc>
          <w:tcPr>
            <w:tcW w:w="1234" w:type="dxa"/>
            <w:noWrap w:val="0"/>
            <w:vAlign w:val="top"/>
          </w:tcPr>
          <w:p w14:paraId="05281F4A">
            <w:pPr>
              <w:jc w:val="center"/>
              <w:rPr>
                <w:rFonts w:hint="eastAsia" w:ascii="仿宋" w:hAnsi="仿宋" w:eastAsia="仿宋" w:cs="仿宋"/>
                <w:sz w:val="24"/>
                <w:szCs w:val="24"/>
                <w:highlight w:val="none"/>
              </w:rPr>
            </w:pPr>
          </w:p>
        </w:tc>
        <w:tc>
          <w:tcPr>
            <w:tcW w:w="1234" w:type="dxa"/>
            <w:noWrap w:val="0"/>
            <w:vAlign w:val="top"/>
          </w:tcPr>
          <w:p w14:paraId="52937B06">
            <w:pPr>
              <w:jc w:val="center"/>
              <w:rPr>
                <w:rFonts w:hint="eastAsia" w:ascii="仿宋" w:hAnsi="仿宋" w:eastAsia="仿宋" w:cs="仿宋"/>
                <w:sz w:val="24"/>
                <w:szCs w:val="24"/>
                <w:highlight w:val="none"/>
              </w:rPr>
            </w:pPr>
          </w:p>
        </w:tc>
        <w:tc>
          <w:tcPr>
            <w:tcW w:w="1234" w:type="dxa"/>
            <w:noWrap w:val="0"/>
            <w:vAlign w:val="top"/>
          </w:tcPr>
          <w:p w14:paraId="7CF37B91">
            <w:pPr>
              <w:jc w:val="center"/>
              <w:rPr>
                <w:rFonts w:hint="eastAsia" w:ascii="仿宋" w:hAnsi="仿宋" w:eastAsia="仿宋" w:cs="仿宋"/>
                <w:sz w:val="24"/>
                <w:szCs w:val="24"/>
                <w:highlight w:val="none"/>
              </w:rPr>
            </w:pPr>
          </w:p>
        </w:tc>
        <w:tc>
          <w:tcPr>
            <w:tcW w:w="1234" w:type="dxa"/>
            <w:noWrap w:val="0"/>
            <w:vAlign w:val="top"/>
          </w:tcPr>
          <w:p w14:paraId="53BEDD78">
            <w:pPr>
              <w:jc w:val="center"/>
              <w:rPr>
                <w:rFonts w:hint="eastAsia" w:ascii="仿宋" w:hAnsi="仿宋" w:eastAsia="仿宋" w:cs="仿宋"/>
                <w:sz w:val="24"/>
                <w:szCs w:val="24"/>
                <w:highlight w:val="none"/>
              </w:rPr>
            </w:pPr>
          </w:p>
        </w:tc>
        <w:tc>
          <w:tcPr>
            <w:tcW w:w="1234" w:type="dxa"/>
            <w:noWrap w:val="0"/>
            <w:vAlign w:val="top"/>
          </w:tcPr>
          <w:p w14:paraId="4FDD6F53">
            <w:pPr>
              <w:jc w:val="center"/>
              <w:rPr>
                <w:rFonts w:hint="eastAsia" w:ascii="仿宋" w:hAnsi="仿宋" w:eastAsia="仿宋" w:cs="仿宋"/>
                <w:sz w:val="24"/>
                <w:szCs w:val="24"/>
                <w:highlight w:val="none"/>
              </w:rPr>
            </w:pPr>
          </w:p>
        </w:tc>
      </w:tr>
      <w:tr w14:paraId="368D5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92" w:type="dxa"/>
            <w:noWrap w:val="0"/>
            <w:vAlign w:val="top"/>
          </w:tcPr>
          <w:p w14:paraId="087BE345">
            <w:pPr>
              <w:pStyle w:val="186"/>
              <w:spacing w:before="209" w:line="183" w:lineRule="auto"/>
              <w:ind w:left="49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234" w:type="dxa"/>
            <w:noWrap w:val="0"/>
            <w:vAlign w:val="top"/>
          </w:tcPr>
          <w:p w14:paraId="40D51D8D">
            <w:pPr>
              <w:jc w:val="center"/>
              <w:rPr>
                <w:rFonts w:hint="eastAsia" w:ascii="仿宋" w:hAnsi="仿宋" w:eastAsia="仿宋" w:cs="仿宋"/>
                <w:sz w:val="24"/>
                <w:szCs w:val="24"/>
                <w:highlight w:val="none"/>
              </w:rPr>
            </w:pPr>
          </w:p>
        </w:tc>
        <w:tc>
          <w:tcPr>
            <w:tcW w:w="1234" w:type="dxa"/>
            <w:noWrap w:val="0"/>
            <w:vAlign w:val="top"/>
          </w:tcPr>
          <w:p w14:paraId="3EEB5808">
            <w:pPr>
              <w:jc w:val="center"/>
              <w:rPr>
                <w:rFonts w:hint="eastAsia" w:ascii="仿宋" w:hAnsi="仿宋" w:eastAsia="仿宋" w:cs="仿宋"/>
                <w:sz w:val="24"/>
                <w:szCs w:val="24"/>
                <w:highlight w:val="none"/>
              </w:rPr>
            </w:pPr>
          </w:p>
        </w:tc>
        <w:tc>
          <w:tcPr>
            <w:tcW w:w="1234" w:type="dxa"/>
            <w:noWrap w:val="0"/>
            <w:vAlign w:val="top"/>
          </w:tcPr>
          <w:p w14:paraId="46238F10">
            <w:pPr>
              <w:jc w:val="center"/>
              <w:rPr>
                <w:rFonts w:hint="eastAsia" w:ascii="仿宋" w:hAnsi="仿宋" w:eastAsia="仿宋" w:cs="仿宋"/>
                <w:sz w:val="24"/>
                <w:szCs w:val="24"/>
                <w:highlight w:val="none"/>
              </w:rPr>
            </w:pPr>
          </w:p>
        </w:tc>
        <w:tc>
          <w:tcPr>
            <w:tcW w:w="1234" w:type="dxa"/>
            <w:noWrap w:val="0"/>
            <w:vAlign w:val="top"/>
          </w:tcPr>
          <w:p w14:paraId="560B4A94">
            <w:pPr>
              <w:jc w:val="center"/>
              <w:rPr>
                <w:rFonts w:hint="eastAsia" w:ascii="仿宋" w:hAnsi="仿宋" w:eastAsia="仿宋" w:cs="仿宋"/>
                <w:sz w:val="24"/>
                <w:szCs w:val="24"/>
                <w:highlight w:val="none"/>
              </w:rPr>
            </w:pPr>
          </w:p>
        </w:tc>
        <w:tc>
          <w:tcPr>
            <w:tcW w:w="1234" w:type="dxa"/>
            <w:noWrap w:val="0"/>
            <w:vAlign w:val="top"/>
          </w:tcPr>
          <w:p w14:paraId="1CB5111F">
            <w:pPr>
              <w:jc w:val="center"/>
              <w:rPr>
                <w:rFonts w:hint="eastAsia" w:ascii="仿宋" w:hAnsi="仿宋" w:eastAsia="仿宋" w:cs="仿宋"/>
                <w:sz w:val="24"/>
                <w:szCs w:val="24"/>
                <w:highlight w:val="none"/>
              </w:rPr>
            </w:pPr>
          </w:p>
        </w:tc>
        <w:tc>
          <w:tcPr>
            <w:tcW w:w="1234" w:type="dxa"/>
            <w:noWrap w:val="0"/>
            <w:vAlign w:val="top"/>
          </w:tcPr>
          <w:p w14:paraId="1BB4C134">
            <w:pPr>
              <w:jc w:val="center"/>
              <w:rPr>
                <w:rFonts w:hint="eastAsia" w:ascii="仿宋" w:hAnsi="仿宋" w:eastAsia="仿宋" w:cs="仿宋"/>
                <w:sz w:val="24"/>
                <w:szCs w:val="24"/>
                <w:highlight w:val="none"/>
              </w:rPr>
            </w:pPr>
          </w:p>
        </w:tc>
        <w:tc>
          <w:tcPr>
            <w:tcW w:w="1234" w:type="dxa"/>
            <w:noWrap w:val="0"/>
            <w:vAlign w:val="top"/>
          </w:tcPr>
          <w:p w14:paraId="5EC3C1EF">
            <w:pPr>
              <w:jc w:val="center"/>
              <w:rPr>
                <w:rFonts w:hint="eastAsia" w:ascii="仿宋" w:hAnsi="仿宋" w:eastAsia="仿宋" w:cs="仿宋"/>
                <w:sz w:val="24"/>
                <w:szCs w:val="24"/>
                <w:highlight w:val="none"/>
              </w:rPr>
            </w:pPr>
          </w:p>
        </w:tc>
      </w:tr>
      <w:tr w14:paraId="71EC0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092" w:type="dxa"/>
            <w:noWrap w:val="0"/>
            <w:vAlign w:val="top"/>
          </w:tcPr>
          <w:p w14:paraId="700A1569">
            <w:pPr>
              <w:pStyle w:val="186"/>
              <w:spacing w:before="170" w:line="378" w:lineRule="exact"/>
              <w:ind w:left="344"/>
              <w:jc w:val="center"/>
              <w:rPr>
                <w:rFonts w:hint="eastAsia" w:ascii="仿宋" w:hAnsi="仿宋" w:eastAsia="仿宋" w:cs="仿宋"/>
                <w:sz w:val="24"/>
                <w:szCs w:val="24"/>
                <w:highlight w:val="none"/>
              </w:rPr>
            </w:pPr>
            <w:r>
              <w:rPr>
                <w:rFonts w:hint="eastAsia" w:ascii="仿宋" w:hAnsi="仿宋" w:eastAsia="仿宋" w:cs="仿宋"/>
                <w:spacing w:val="-13"/>
                <w:position w:val="3"/>
                <w:sz w:val="24"/>
                <w:szCs w:val="24"/>
                <w:highlight w:val="none"/>
              </w:rPr>
              <w:t>……</w:t>
            </w:r>
          </w:p>
        </w:tc>
        <w:tc>
          <w:tcPr>
            <w:tcW w:w="1234" w:type="dxa"/>
            <w:noWrap w:val="0"/>
            <w:vAlign w:val="top"/>
          </w:tcPr>
          <w:p w14:paraId="3199AEB6">
            <w:pPr>
              <w:jc w:val="center"/>
              <w:rPr>
                <w:rFonts w:hint="eastAsia" w:ascii="仿宋" w:hAnsi="仿宋" w:eastAsia="仿宋" w:cs="仿宋"/>
                <w:sz w:val="24"/>
                <w:szCs w:val="24"/>
                <w:highlight w:val="none"/>
              </w:rPr>
            </w:pPr>
          </w:p>
        </w:tc>
        <w:tc>
          <w:tcPr>
            <w:tcW w:w="1234" w:type="dxa"/>
            <w:noWrap w:val="0"/>
            <w:vAlign w:val="top"/>
          </w:tcPr>
          <w:p w14:paraId="1A8CC924">
            <w:pPr>
              <w:jc w:val="center"/>
              <w:rPr>
                <w:rFonts w:hint="eastAsia" w:ascii="仿宋" w:hAnsi="仿宋" w:eastAsia="仿宋" w:cs="仿宋"/>
                <w:sz w:val="24"/>
                <w:szCs w:val="24"/>
                <w:highlight w:val="none"/>
              </w:rPr>
            </w:pPr>
          </w:p>
        </w:tc>
        <w:tc>
          <w:tcPr>
            <w:tcW w:w="1234" w:type="dxa"/>
            <w:noWrap w:val="0"/>
            <w:vAlign w:val="top"/>
          </w:tcPr>
          <w:p w14:paraId="3341A9DB">
            <w:pPr>
              <w:jc w:val="center"/>
              <w:rPr>
                <w:rFonts w:hint="eastAsia" w:ascii="仿宋" w:hAnsi="仿宋" w:eastAsia="仿宋" w:cs="仿宋"/>
                <w:sz w:val="24"/>
                <w:szCs w:val="24"/>
                <w:highlight w:val="none"/>
              </w:rPr>
            </w:pPr>
          </w:p>
        </w:tc>
        <w:tc>
          <w:tcPr>
            <w:tcW w:w="1234" w:type="dxa"/>
            <w:noWrap w:val="0"/>
            <w:vAlign w:val="top"/>
          </w:tcPr>
          <w:p w14:paraId="307E5F8D">
            <w:pPr>
              <w:jc w:val="center"/>
              <w:rPr>
                <w:rFonts w:hint="eastAsia" w:ascii="仿宋" w:hAnsi="仿宋" w:eastAsia="仿宋" w:cs="仿宋"/>
                <w:sz w:val="24"/>
                <w:szCs w:val="24"/>
                <w:highlight w:val="none"/>
              </w:rPr>
            </w:pPr>
          </w:p>
        </w:tc>
        <w:tc>
          <w:tcPr>
            <w:tcW w:w="1234" w:type="dxa"/>
            <w:noWrap w:val="0"/>
            <w:vAlign w:val="top"/>
          </w:tcPr>
          <w:p w14:paraId="6608611C">
            <w:pPr>
              <w:jc w:val="center"/>
              <w:rPr>
                <w:rFonts w:hint="eastAsia" w:ascii="仿宋" w:hAnsi="仿宋" w:eastAsia="仿宋" w:cs="仿宋"/>
                <w:sz w:val="24"/>
                <w:szCs w:val="24"/>
                <w:highlight w:val="none"/>
              </w:rPr>
            </w:pPr>
          </w:p>
        </w:tc>
        <w:tc>
          <w:tcPr>
            <w:tcW w:w="1234" w:type="dxa"/>
            <w:noWrap w:val="0"/>
            <w:vAlign w:val="top"/>
          </w:tcPr>
          <w:p w14:paraId="6E8B1965">
            <w:pPr>
              <w:jc w:val="center"/>
              <w:rPr>
                <w:rFonts w:hint="eastAsia" w:ascii="仿宋" w:hAnsi="仿宋" w:eastAsia="仿宋" w:cs="仿宋"/>
                <w:sz w:val="24"/>
                <w:szCs w:val="24"/>
                <w:highlight w:val="none"/>
              </w:rPr>
            </w:pPr>
          </w:p>
        </w:tc>
        <w:tc>
          <w:tcPr>
            <w:tcW w:w="1234" w:type="dxa"/>
            <w:noWrap w:val="0"/>
            <w:vAlign w:val="top"/>
          </w:tcPr>
          <w:p w14:paraId="5AF3ACD9">
            <w:pPr>
              <w:jc w:val="center"/>
              <w:rPr>
                <w:rFonts w:hint="eastAsia" w:ascii="仿宋" w:hAnsi="仿宋" w:eastAsia="仿宋" w:cs="仿宋"/>
                <w:sz w:val="24"/>
                <w:szCs w:val="24"/>
                <w:highlight w:val="none"/>
              </w:rPr>
            </w:pPr>
          </w:p>
        </w:tc>
      </w:tr>
    </w:tbl>
    <w:p w14:paraId="07C942FC">
      <w:pPr>
        <w:pStyle w:val="8"/>
        <w:spacing w:line="396" w:lineRule="auto"/>
        <w:rPr>
          <w:rFonts w:hint="eastAsia" w:ascii="仿宋" w:hAnsi="仿宋" w:eastAsia="仿宋" w:cs="仿宋"/>
          <w:sz w:val="24"/>
          <w:szCs w:val="24"/>
          <w:highlight w:val="none"/>
        </w:rPr>
      </w:pPr>
    </w:p>
    <w:p w14:paraId="6E19DF55">
      <w:pPr>
        <w:spacing w:before="65" w:line="228" w:lineRule="auto"/>
        <w:ind w:left="121"/>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注：投标人根据项目需求后附人员身份证、相关从业资格证等。</w:t>
      </w:r>
    </w:p>
    <w:p w14:paraId="3204EE72">
      <w:pPr>
        <w:pStyle w:val="8"/>
        <w:spacing w:line="257" w:lineRule="auto"/>
        <w:rPr>
          <w:rFonts w:hint="eastAsia" w:ascii="仿宋" w:hAnsi="仿宋" w:eastAsia="仿宋" w:cs="仿宋"/>
          <w:sz w:val="24"/>
          <w:szCs w:val="24"/>
          <w:highlight w:val="none"/>
        </w:rPr>
      </w:pPr>
    </w:p>
    <w:p w14:paraId="2007848F">
      <w:pPr>
        <w:pStyle w:val="8"/>
        <w:spacing w:line="257" w:lineRule="auto"/>
        <w:ind w:left="0" w:leftChars="0" w:firstLine="0" w:firstLineChars="0"/>
        <w:rPr>
          <w:rFonts w:hint="eastAsia" w:ascii="仿宋" w:hAnsi="仿宋" w:eastAsia="仿宋" w:cs="仿宋"/>
          <w:sz w:val="24"/>
          <w:szCs w:val="24"/>
          <w:highlight w:val="none"/>
        </w:rPr>
      </w:pPr>
    </w:p>
    <w:p w14:paraId="54C6E0EF">
      <w:pPr>
        <w:pStyle w:val="8"/>
        <w:spacing w:line="257" w:lineRule="auto"/>
        <w:rPr>
          <w:rFonts w:hint="eastAsia" w:ascii="仿宋" w:hAnsi="仿宋" w:eastAsia="仿宋" w:cs="仿宋"/>
          <w:sz w:val="24"/>
          <w:szCs w:val="24"/>
          <w:highlight w:val="none"/>
        </w:rPr>
      </w:pPr>
    </w:p>
    <w:p w14:paraId="64992F59">
      <w:pPr>
        <w:pStyle w:val="8"/>
        <w:spacing w:line="257" w:lineRule="auto"/>
        <w:rPr>
          <w:rFonts w:hint="eastAsia" w:ascii="仿宋" w:hAnsi="仿宋" w:eastAsia="仿宋" w:cs="仿宋"/>
          <w:sz w:val="24"/>
          <w:szCs w:val="24"/>
          <w:highlight w:val="none"/>
        </w:rPr>
      </w:pPr>
    </w:p>
    <w:p w14:paraId="1226D234">
      <w:pPr>
        <w:pStyle w:val="8"/>
        <w:spacing w:line="257" w:lineRule="auto"/>
        <w:rPr>
          <w:rFonts w:hint="eastAsia" w:ascii="仿宋" w:hAnsi="仿宋" w:eastAsia="仿宋" w:cs="仿宋"/>
          <w:sz w:val="24"/>
          <w:szCs w:val="24"/>
          <w:highlight w:val="none"/>
        </w:rPr>
      </w:pPr>
    </w:p>
    <w:p w14:paraId="13CB5D04">
      <w:pPr>
        <w:spacing w:before="78" w:line="572" w:lineRule="exact"/>
        <w:ind w:right="68"/>
        <w:jc w:val="both"/>
        <w:rPr>
          <w:rFonts w:hint="eastAsia" w:ascii="仿宋" w:hAnsi="仿宋" w:eastAsia="仿宋" w:cs="仿宋"/>
          <w:sz w:val="24"/>
          <w:szCs w:val="24"/>
          <w:highlight w:val="none"/>
        </w:rPr>
      </w:pPr>
      <w:r>
        <w:rPr>
          <w:rFonts w:hint="eastAsia" w:ascii="仿宋" w:hAnsi="仿宋" w:eastAsia="仿宋" w:cs="仿宋"/>
          <w:spacing w:val="-17"/>
          <w:position w:val="25"/>
          <w:sz w:val="24"/>
          <w:szCs w:val="24"/>
          <w:highlight w:val="none"/>
        </w:rPr>
        <w:t>投标人全称（盖公章</w:t>
      </w:r>
      <w:r>
        <w:rPr>
          <w:rFonts w:hint="eastAsia" w:ascii="仿宋" w:hAnsi="仿宋" w:eastAsia="仿宋" w:cs="仿宋"/>
          <w:position w:val="25"/>
          <w:sz w:val="24"/>
          <w:szCs w:val="24"/>
          <w:highlight w:val="none"/>
        </w:rPr>
        <w:t>）：</w:t>
      </w:r>
    </w:p>
    <w:p w14:paraId="79FFB7C2">
      <w:pPr>
        <w:spacing w:line="219" w:lineRule="auto"/>
        <w:ind w:left="4414"/>
        <w:rPr>
          <w:rFonts w:hint="eastAsia" w:ascii="仿宋" w:hAnsi="仿宋" w:eastAsia="仿宋" w:cs="仿宋"/>
          <w:sz w:val="24"/>
          <w:szCs w:val="24"/>
          <w:highlight w:val="none"/>
        </w:rPr>
      </w:pPr>
      <w:r>
        <w:rPr>
          <w:rFonts w:hint="eastAsia" w:ascii="仿宋" w:hAnsi="仿宋" w:eastAsia="仿宋" w:cs="仿宋"/>
          <w:spacing w:val="-17"/>
          <w:sz w:val="24"/>
          <w:szCs w:val="24"/>
          <w:highlight w:val="none"/>
        </w:rPr>
        <w:t>法定代表人或授权代表（签名或盖章</w:t>
      </w:r>
      <w:r>
        <w:rPr>
          <w:rFonts w:hint="eastAsia" w:ascii="仿宋" w:hAnsi="仿宋" w:eastAsia="仿宋" w:cs="仿宋"/>
          <w:spacing w:val="2"/>
          <w:sz w:val="24"/>
          <w:szCs w:val="24"/>
          <w:highlight w:val="none"/>
        </w:rPr>
        <w:t>）：</w:t>
      </w:r>
    </w:p>
    <w:p w14:paraId="6EA7F3CA">
      <w:pPr>
        <w:pStyle w:val="8"/>
        <w:spacing w:line="283" w:lineRule="auto"/>
        <w:rPr>
          <w:rFonts w:hint="eastAsia" w:ascii="仿宋" w:hAnsi="仿宋" w:eastAsia="仿宋" w:cs="仿宋"/>
          <w:sz w:val="24"/>
          <w:szCs w:val="24"/>
          <w:highlight w:val="none"/>
        </w:rPr>
      </w:pPr>
    </w:p>
    <w:p w14:paraId="217A3739">
      <w:pPr>
        <w:spacing w:before="78" w:line="220" w:lineRule="auto"/>
        <w:ind w:right="35"/>
        <w:jc w:val="both"/>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日</w:t>
      </w:r>
      <w:r>
        <w:rPr>
          <w:rFonts w:hint="eastAsia" w:ascii="仿宋" w:hAnsi="仿宋" w:eastAsia="仿宋" w:cs="仿宋"/>
          <w:spacing w:val="27"/>
          <w:sz w:val="24"/>
          <w:szCs w:val="24"/>
          <w:highlight w:val="none"/>
        </w:rPr>
        <w:t xml:space="preserve">   </w:t>
      </w:r>
      <w:r>
        <w:rPr>
          <w:rFonts w:hint="eastAsia" w:ascii="仿宋" w:hAnsi="仿宋" w:eastAsia="仿宋" w:cs="仿宋"/>
          <w:spacing w:val="-18"/>
          <w:sz w:val="24"/>
          <w:szCs w:val="24"/>
          <w:highlight w:val="none"/>
        </w:rPr>
        <w:t>期：</w:t>
      </w:r>
      <w:r>
        <w:rPr>
          <w:rFonts w:hint="eastAsia" w:ascii="仿宋" w:hAnsi="仿宋" w:eastAsia="仿宋" w:cs="仿宋"/>
          <w:spacing w:val="18"/>
          <w:sz w:val="24"/>
          <w:szCs w:val="24"/>
          <w:highlight w:val="none"/>
        </w:rPr>
        <w:t xml:space="preserve">    </w:t>
      </w:r>
      <w:r>
        <w:rPr>
          <w:rFonts w:hint="eastAsia" w:ascii="仿宋" w:hAnsi="仿宋" w:eastAsia="仿宋" w:cs="仿宋"/>
          <w:spacing w:val="-18"/>
          <w:sz w:val="24"/>
          <w:szCs w:val="24"/>
          <w:highlight w:val="none"/>
        </w:rPr>
        <w:t>年</w:t>
      </w:r>
      <w:r>
        <w:rPr>
          <w:rFonts w:hint="eastAsia" w:ascii="仿宋" w:hAnsi="仿宋" w:eastAsia="仿宋" w:cs="仿宋"/>
          <w:spacing w:val="46"/>
          <w:sz w:val="24"/>
          <w:szCs w:val="24"/>
          <w:highlight w:val="none"/>
        </w:rPr>
        <w:t xml:space="preserve">  </w:t>
      </w:r>
      <w:r>
        <w:rPr>
          <w:rFonts w:hint="eastAsia" w:ascii="仿宋" w:hAnsi="仿宋" w:eastAsia="仿宋" w:cs="仿宋"/>
          <w:spacing w:val="-18"/>
          <w:sz w:val="24"/>
          <w:szCs w:val="24"/>
          <w:highlight w:val="none"/>
        </w:rPr>
        <w:t>月</w:t>
      </w:r>
      <w:r>
        <w:rPr>
          <w:rFonts w:hint="eastAsia" w:ascii="仿宋" w:hAnsi="仿宋" w:eastAsia="仿宋" w:cs="仿宋"/>
          <w:spacing w:val="3"/>
          <w:sz w:val="24"/>
          <w:szCs w:val="24"/>
          <w:highlight w:val="none"/>
        </w:rPr>
        <w:t xml:space="preserve">   </w:t>
      </w:r>
      <w:r>
        <w:rPr>
          <w:rFonts w:hint="eastAsia" w:ascii="仿宋" w:hAnsi="仿宋" w:eastAsia="仿宋" w:cs="仿宋"/>
          <w:spacing w:val="-18"/>
          <w:sz w:val="24"/>
          <w:szCs w:val="24"/>
          <w:highlight w:val="none"/>
        </w:rPr>
        <w:t>日</w:t>
      </w:r>
    </w:p>
    <w:p w14:paraId="02211F65">
      <w:pPr>
        <w:spacing w:line="220" w:lineRule="auto"/>
        <w:rPr>
          <w:rFonts w:hint="eastAsia" w:ascii="仿宋" w:hAnsi="仿宋" w:eastAsia="仿宋" w:cs="仿宋"/>
          <w:sz w:val="24"/>
          <w:szCs w:val="24"/>
          <w:highlight w:val="none"/>
        </w:rPr>
        <w:sectPr>
          <w:headerReference r:id="rId13" w:type="default"/>
          <w:footerReference r:id="rId14" w:type="default"/>
          <w:pgSz w:w="11906" w:h="16839"/>
          <w:pgMar w:top="1440" w:right="1080" w:bottom="1440" w:left="1080" w:header="878" w:footer="987" w:gutter="0"/>
          <w:pgNumType w:fmt="decimal"/>
          <w:cols w:space="720" w:num="1"/>
        </w:sectPr>
      </w:pPr>
    </w:p>
    <w:p w14:paraId="55B50A8D">
      <w:pPr>
        <w:pStyle w:val="8"/>
        <w:spacing w:line="408" w:lineRule="auto"/>
        <w:rPr>
          <w:rFonts w:hint="eastAsia" w:ascii="仿宋" w:hAnsi="仿宋" w:eastAsia="仿宋" w:cs="仿宋"/>
          <w:highlight w:val="none"/>
        </w:rPr>
      </w:pPr>
    </w:p>
    <w:p w14:paraId="50B77C53">
      <w:pPr>
        <w:spacing w:before="78" w:line="219" w:lineRule="auto"/>
        <w:ind w:left="2930"/>
        <w:jc w:val="center"/>
        <w:rPr>
          <w:rFonts w:hint="eastAsia" w:ascii="仿宋" w:hAnsi="仿宋" w:eastAsia="仿宋" w:cs="仿宋"/>
          <w:b/>
          <w:bCs/>
          <w:sz w:val="28"/>
          <w:szCs w:val="28"/>
          <w:highlight w:val="none"/>
        </w:rPr>
      </w:pPr>
      <w:r>
        <w:rPr>
          <w:rFonts w:hint="eastAsia" w:ascii="仿宋" w:hAnsi="仿宋" w:eastAsia="仿宋" w:cs="仿宋"/>
          <w:b/>
          <w:bCs/>
          <w:spacing w:val="-14"/>
          <w:sz w:val="28"/>
          <w:szCs w:val="28"/>
          <w:highlight w:val="none"/>
        </w:rPr>
        <w:t>拟投入主要人员简历表</w:t>
      </w:r>
    </w:p>
    <w:p w14:paraId="5B224E47">
      <w:pPr>
        <w:spacing w:before="236"/>
        <w:rPr>
          <w:rFonts w:hint="eastAsia" w:ascii="仿宋" w:hAnsi="仿宋" w:eastAsia="仿宋" w:cs="仿宋"/>
          <w:highlight w:val="none"/>
        </w:rPr>
      </w:pPr>
    </w:p>
    <w:tbl>
      <w:tblPr>
        <w:tblStyle w:val="175"/>
        <w:tblW w:w="97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4"/>
        <w:gridCol w:w="192"/>
        <w:gridCol w:w="921"/>
        <w:gridCol w:w="983"/>
        <w:gridCol w:w="20"/>
        <w:gridCol w:w="803"/>
        <w:gridCol w:w="343"/>
        <w:gridCol w:w="1274"/>
        <w:gridCol w:w="3633"/>
      </w:tblGrid>
      <w:tr w14:paraId="56994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736" w:type="dxa"/>
            <w:gridSpan w:val="2"/>
            <w:noWrap w:val="0"/>
            <w:vAlign w:val="top"/>
          </w:tcPr>
          <w:p w14:paraId="31F376CD">
            <w:pPr>
              <w:spacing w:line="260" w:lineRule="auto"/>
              <w:jc w:val="center"/>
              <w:rPr>
                <w:rFonts w:hint="eastAsia" w:ascii="仿宋" w:hAnsi="仿宋" w:eastAsia="仿宋" w:cs="仿宋"/>
                <w:sz w:val="24"/>
                <w:szCs w:val="24"/>
                <w:highlight w:val="none"/>
              </w:rPr>
            </w:pPr>
          </w:p>
          <w:p w14:paraId="3CA15192">
            <w:pPr>
              <w:pStyle w:val="186"/>
              <w:spacing w:before="65" w:line="228" w:lineRule="auto"/>
              <w:ind w:left="58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w:t>
            </w:r>
            <w:r>
              <w:rPr>
                <w:rFonts w:hint="eastAsia" w:ascii="仿宋" w:hAnsi="仿宋" w:eastAsia="仿宋" w:cs="仿宋"/>
                <w:spacing w:val="88"/>
                <w:sz w:val="24"/>
                <w:szCs w:val="24"/>
                <w:highlight w:val="none"/>
              </w:rPr>
              <w:t xml:space="preserve"> </w:t>
            </w:r>
            <w:r>
              <w:rPr>
                <w:rFonts w:hint="eastAsia" w:ascii="仿宋" w:hAnsi="仿宋" w:eastAsia="仿宋" w:cs="仿宋"/>
                <w:sz w:val="24"/>
                <w:szCs w:val="24"/>
                <w:highlight w:val="none"/>
              </w:rPr>
              <w:t>名</w:t>
            </w:r>
          </w:p>
        </w:tc>
        <w:tc>
          <w:tcPr>
            <w:tcW w:w="921" w:type="dxa"/>
            <w:noWrap w:val="0"/>
            <w:vAlign w:val="top"/>
          </w:tcPr>
          <w:p w14:paraId="24FBFDC9">
            <w:pPr>
              <w:jc w:val="center"/>
              <w:rPr>
                <w:rFonts w:hint="eastAsia" w:ascii="仿宋" w:hAnsi="仿宋" w:eastAsia="仿宋" w:cs="仿宋"/>
                <w:sz w:val="24"/>
                <w:szCs w:val="24"/>
                <w:highlight w:val="none"/>
              </w:rPr>
            </w:pPr>
          </w:p>
        </w:tc>
        <w:tc>
          <w:tcPr>
            <w:tcW w:w="983" w:type="dxa"/>
            <w:noWrap w:val="0"/>
            <w:vAlign w:val="top"/>
          </w:tcPr>
          <w:p w14:paraId="2EC841E8">
            <w:pPr>
              <w:spacing w:line="260" w:lineRule="auto"/>
              <w:jc w:val="center"/>
              <w:rPr>
                <w:rFonts w:hint="eastAsia" w:ascii="仿宋" w:hAnsi="仿宋" w:eastAsia="仿宋" w:cs="仿宋"/>
                <w:sz w:val="24"/>
                <w:szCs w:val="24"/>
                <w:highlight w:val="none"/>
              </w:rPr>
            </w:pPr>
          </w:p>
          <w:p w14:paraId="642F4800">
            <w:pPr>
              <w:pStyle w:val="186"/>
              <w:spacing w:before="65" w:line="229" w:lineRule="auto"/>
              <w:ind w:left="313"/>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性别</w:t>
            </w:r>
          </w:p>
        </w:tc>
        <w:tc>
          <w:tcPr>
            <w:tcW w:w="823" w:type="dxa"/>
            <w:gridSpan w:val="2"/>
            <w:noWrap w:val="0"/>
            <w:vAlign w:val="top"/>
          </w:tcPr>
          <w:p w14:paraId="3FA4693E">
            <w:pPr>
              <w:jc w:val="center"/>
              <w:rPr>
                <w:rFonts w:hint="eastAsia" w:ascii="仿宋" w:hAnsi="仿宋" w:eastAsia="仿宋" w:cs="仿宋"/>
                <w:sz w:val="24"/>
                <w:szCs w:val="24"/>
                <w:highlight w:val="none"/>
              </w:rPr>
            </w:pPr>
          </w:p>
        </w:tc>
        <w:tc>
          <w:tcPr>
            <w:tcW w:w="1617" w:type="dxa"/>
            <w:gridSpan w:val="2"/>
            <w:noWrap w:val="0"/>
            <w:vAlign w:val="top"/>
          </w:tcPr>
          <w:p w14:paraId="65B4138E">
            <w:pPr>
              <w:spacing w:line="260" w:lineRule="auto"/>
              <w:jc w:val="center"/>
              <w:rPr>
                <w:rFonts w:hint="eastAsia" w:ascii="仿宋" w:hAnsi="仿宋" w:eastAsia="仿宋" w:cs="仿宋"/>
                <w:sz w:val="24"/>
                <w:szCs w:val="24"/>
                <w:highlight w:val="none"/>
              </w:rPr>
            </w:pPr>
          </w:p>
          <w:p w14:paraId="5A71CE33">
            <w:pPr>
              <w:pStyle w:val="186"/>
              <w:spacing w:before="65" w:line="229" w:lineRule="auto"/>
              <w:ind w:left="238"/>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出生日期</w:t>
            </w:r>
          </w:p>
        </w:tc>
        <w:tc>
          <w:tcPr>
            <w:tcW w:w="3633" w:type="dxa"/>
            <w:noWrap w:val="0"/>
            <w:vAlign w:val="top"/>
          </w:tcPr>
          <w:p w14:paraId="01E56E14">
            <w:pPr>
              <w:spacing w:line="260" w:lineRule="auto"/>
              <w:jc w:val="center"/>
              <w:rPr>
                <w:rFonts w:hint="eastAsia" w:ascii="仿宋" w:hAnsi="仿宋" w:eastAsia="仿宋" w:cs="仿宋"/>
                <w:sz w:val="24"/>
                <w:szCs w:val="24"/>
                <w:highlight w:val="none"/>
              </w:rPr>
            </w:pPr>
          </w:p>
          <w:p w14:paraId="7EEB92E1">
            <w:pPr>
              <w:pStyle w:val="186"/>
              <w:spacing w:before="65" w:line="228" w:lineRule="auto"/>
              <w:ind w:left="904"/>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年</w:t>
            </w:r>
            <w:r>
              <w:rPr>
                <w:rFonts w:hint="eastAsia" w:ascii="仿宋" w:hAnsi="仿宋" w:eastAsia="仿宋" w:cs="仿宋"/>
                <w:spacing w:val="91"/>
                <w:sz w:val="24"/>
                <w:szCs w:val="24"/>
                <w:highlight w:val="none"/>
              </w:rPr>
              <w:t xml:space="preserve"> </w:t>
            </w:r>
            <w:r>
              <w:rPr>
                <w:rFonts w:hint="eastAsia" w:ascii="仿宋" w:hAnsi="仿宋" w:eastAsia="仿宋" w:cs="仿宋"/>
                <w:spacing w:val="-2"/>
                <w:sz w:val="24"/>
                <w:szCs w:val="24"/>
                <w:highlight w:val="none"/>
              </w:rPr>
              <w:t>月</w:t>
            </w:r>
            <w:r>
              <w:rPr>
                <w:rFonts w:hint="eastAsia" w:ascii="仿宋" w:hAnsi="仿宋" w:eastAsia="仿宋" w:cs="仿宋"/>
                <w:spacing w:val="5"/>
                <w:sz w:val="24"/>
                <w:szCs w:val="24"/>
                <w:highlight w:val="none"/>
              </w:rPr>
              <w:t xml:space="preserve">   </w:t>
            </w:r>
            <w:r>
              <w:rPr>
                <w:rFonts w:hint="eastAsia" w:ascii="仿宋" w:hAnsi="仿宋" w:eastAsia="仿宋" w:cs="仿宋"/>
                <w:spacing w:val="-2"/>
                <w:sz w:val="24"/>
                <w:szCs w:val="24"/>
                <w:highlight w:val="none"/>
              </w:rPr>
              <w:t>日</w:t>
            </w:r>
          </w:p>
        </w:tc>
      </w:tr>
      <w:tr w14:paraId="38E06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736" w:type="dxa"/>
            <w:gridSpan w:val="2"/>
            <w:noWrap w:val="0"/>
            <w:vAlign w:val="top"/>
          </w:tcPr>
          <w:p w14:paraId="16AD6A68">
            <w:pPr>
              <w:spacing w:line="254" w:lineRule="auto"/>
              <w:jc w:val="center"/>
              <w:rPr>
                <w:rFonts w:hint="eastAsia" w:ascii="仿宋" w:hAnsi="仿宋" w:eastAsia="仿宋" w:cs="仿宋"/>
                <w:sz w:val="24"/>
                <w:szCs w:val="24"/>
                <w:highlight w:val="none"/>
              </w:rPr>
            </w:pPr>
          </w:p>
          <w:p w14:paraId="05CB6D71">
            <w:pPr>
              <w:pStyle w:val="186"/>
              <w:spacing w:before="65" w:line="228" w:lineRule="auto"/>
              <w:ind w:left="298"/>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毕业院校专业</w:t>
            </w:r>
          </w:p>
        </w:tc>
        <w:tc>
          <w:tcPr>
            <w:tcW w:w="2727" w:type="dxa"/>
            <w:gridSpan w:val="4"/>
            <w:noWrap w:val="0"/>
            <w:vAlign w:val="top"/>
          </w:tcPr>
          <w:p w14:paraId="3D3863C2">
            <w:pPr>
              <w:jc w:val="center"/>
              <w:rPr>
                <w:rFonts w:hint="eastAsia" w:ascii="仿宋" w:hAnsi="仿宋" w:eastAsia="仿宋" w:cs="仿宋"/>
                <w:sz w:val="24"/>
                <w:szCs w:val="24"/>
                <w:highlight w:val="none"/>
              </w:rPr>
            </w:pPr>
          </w:p>
        </w:tc>
        <w:tc>
          <w:tcPr>
            <w:tcW w:w="1617" w:type="dxa"/>
            <w:gridSpan w:val="2"/>
            <w:noWrap w:val="0"/>
            <w:vAlign w:val="top"/>
          </w:tcPr>
          <w:p w14:paraId="2B9E6AF9">
            <w:pPr>
              <w:spacing w:line="254" w:lineRule="auto"/>
              <w:jc w:val="center"/>
              <w:rPr>
                <w:rFonts w:hint="eastAsia" w:ascii="仿宋" w:hAnsi="仿宋" w:eastAsia="仿宋" w:cs="仿宋"/>
                <w:sz w:val="24"/>
                <w:szCs w:val="24"/>
                <w:highlight w:val="none"/>
              </w:rPr>
            </w:pPr>
          </w:p>
          <w:p w14:paraId="45B98575">
            <w:pPr>
              <w:pStyle w:val="186"/>
              <w:spacing w:before="65" w:line="228" w:lineRule="auto"/>
              <w:ind w:left="224"/>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毕业时间</w:t>
            </w:r>
          </w:p>
        </w:tc>
        <w:tc>
          <w:tcPr>
            <w:tcW w:w="3633" w:type="dxa"/>
            <w:noWrap w:val="0"/>
            <w:vAlign w:val="top"/>
          </w:tcPr>
          <w:p w14:paraId="5DA1FB8A">
            <w:pPr>
              <w:spacing w:line="254" w:lineRule="auto"/>
              <w:jc w:val="center"/>
              <w:rPr>
                <w:rFonts w:hint="eastAsia" w:ascii="仿宋" w:hAnsi="仿宋" w:eastAsia="仿宋" w:cs="仿宋"/>
                <w:sz w:val="24"/>
                <w:szCs w:val="24"/>
                <w:highlight w:val="none"/>
              </w:rPr>
            </w:pPr>
          </w:p>
          <w:p w14:paraId="69F7282A">
            <w:pPr>
              <w:pStyle w:val="186"/>
              <w:spacing w:before="65" w:line="228" w:lineRule="auto"/>
              <w:ind w:left="887"/>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年</w:t>
            </w:r>
            <w:r>
              <w:rPr>
                <w:rFonts w:hint="eastAsia" w:ascii="仿宋" w:hAnsi="仿宋" w:eastAsia="仿宋" w:cs="仿宋"/>
                <w:spacing w:val="91"/>
                <w:sz w:val="24"/>
                <w:szCs w:val="24"/>
                <w:highlight w:val="none"/>
              </w:rPr>
              <w:t xml:space="preserve"> </w:t>
            </w:r>
            <w:r>
              <w:rPr>
                <w:rFonts w:hint="eastAsia" w:ascii="仿宋" w:hAnsi="仿宋" w:eastAsia="仿宋" w:cs="仿宋"/>
                <w:spacing w:val="-2"/>
                <w:sz w:val="24"/>
                <w:szCs w:val="24"/>
                <w:highlight w:val="none"/>
              </w:rPr>
              <w:t>月</w:t>
            </w:r>
            <w:r>
              <w:rPr>
                <w:rFonts w:hint="eastAsia" w:ascii="仿宋" w:hAnsi="仿宋" w:eastAsia="仿宋" w:cs="仿宋"/>
                <w:spacing w:val="5"/>
                <w:sz w:val="24"/>
                <w:szCs w:val="24"/>
                <w:highlight w:val="none"/>
              </w:rPr>
              <w:t xml:space="preserve">   </w:t>
            </w:r>
            <w:r>
              <w:rPr>
                <w:rFonts w:hint="eastAsia" w:ascii="仿宋" w:hAnsi="仿宋" w:eastAsia="仿宋" w:cs="仿宋"/>
                <w:spacing w:val="-2"/>
                <w:sz w:val="24"/>
                <w:szCs w:val="24"/>
                <w:highlight w:val="none"/>
              </w:rPr>
              <w:t>日</w:t>
            </w:r>
          </w:p>
        </w:tc>
      </w:tr>
      <w:tr w14:paraId="67951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736" w:type="dxa"/>
            <w:gridSpan w:val="2"/>
            <w:noWrap w:val="0"/>
            <w:vAlign w:val="top"/>
          </w:tcPr>
          <w:p w14:paraId="3D549218">
            <w:pPr>
              <w:spacing w:line="255" w:lineRule="auto"/>
              <w:jc w:val="center"/>
              <w:rPr>
                <w:rFonts w:hint="eastAsia" w:ascii="仿宋" w:hAnsi="仿宋" w:eastAsia="仿宋" w:cs="仿宋"/>
                <w:sz w:val="24"/>
                <w:szCs w:val="24"/>
                <w:highlight w:val="none"/>
              </w:rPr>
            </w:pPr>
          </w:p>
          <w:p w14:paraId="5DD9E664">
            <w:pPr>
              <w:pStyle w:val="186"/>
              <w:spacing w:before="65" w:line="228" w:lineRule="auto"/>
              <w:ind w:left="20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从事本专业时间</w:t>
            </w:r>
          </w:p>
        </w:tc>
        <w:tc>
          <w:tcPr>
            <w:tcW w:w="1924" w:type="dxa"/>
            <w:gridSpan w:val="3"/>
            <w:noWrap w:val="0"/>
            <w:vAlign w:val="top"/>
          </w:tcPr>
          <w:p w14:paraId="42486C02">
            <w:pPr>
              <w:jc w:val="center"/>
              <w:rPr>
                <w:rFonts w:hint="eastAsia" w:ascii="仿宋" w:hAnsi="仿宋" w:eastAsia="仿宋" w:cs="仿宋"/>
                <w:sz w:val="24"/>
                <w:szCs w:val="24"/>
                <w:highlight w:val="none"/>
              </w:rPr>
            </w:pPr>
          </w:p>
        </w:tc>
        <w:tc>
          <w:tcPr>
            <w:tcW w:w="2420" w:type="dxa"/>
            <w:gridSpan w:val="3"/>
            <w:noWrap w:val="0"/>
            <w:vAlign w:val="top"/>
          </w:tcPr>
          <w:p w14:paraId="54649734">
            <w:pPr>
              <w:spacing w:line="256" w:lineRule="auto"/>
              <w:jc w:val="center"/>
              <w:rPr>
                <w:rFonts w:hint="eastAsia" w:ascii="仿宋" w:hAnsi="仿宋" w:eastAsia="仿宋" w:cs="仿宋"/>
                <w:sz w:val="24"/>
                <w:szCs w:val="24"/>
                <w:highlight w:val="none"/>
              </w:rPr>
            </w:pPr>
          </w:p>
          <w:p w14:paraId="79D9377A">
            <w:pPr>
              <w:pStyle w:val="186"/>
              <w:spacing w:before="65" w:line="228" w:lineRule="auto"/>
              <w:ind w:left="239"/>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为申请人服务时间</w:t>
            </w:r>
          </w:p>
        </w:tc>
        <w:tc>
          <w:tcPr>
            <w:tcW w:w="3633" w:type="dxa"/>
            <w:noWrap w:val="0"/>
            <w:vAlign w:val="top"/>
          </w:tcPr>
          <w:p w14:paraId="13CC698E">
            <w:pPr>
              <w:jc w:val="center"/>
              <w:rPr>
                <w:rFonts w:hint="eastAsia" w:ascii="仿宋" w:hAnsi="仿宋" w:eastAsia="仿宋" w:cs="仿宋"/>
                <w:sz w:val="24"/>
                <w:szCs w:val="24"/>
                <w:highlight w:val="none"/>
              </w:rPr>
            </w:pPr>
          </w:p>
        </w:tc>
      </w:tr>
      <w:tr w14:paraId="61052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736" w:type="dxa"/>
            <w:gridSpan w:val="2"/>
            <w:noWrap w:val="0"/>
            <w:vAlign w:val="top"/>
          </w:tcPr>
          <w:p w14:paraId="2FE6216D">
            <w:pPr>
              <w:spacing w:line="257" w:lineRule="auto"/>
              <w:jc w:val="center"/>
              <w:rPr>
                <w:rFonts w:hint="eastAsia" w:ascii="仿宋" w:hAnsi="仿宋" w:eastAsia="仿宋" w:cs="仿宋"/>
                <w:sz w:val="24"/>
                <w:szCs w:val="24"/>
                <w:highlight w:val="none"/>
              </w:rPr>
            </w:pPr>
          </w:p>
          <w:p w14:paraId="08134CD7">
            <w:pPr>
              <w:pStyle w:val="186"/>
              <w:spacing w:before="65" w:line="228" w:lineRule="auto"/>
              <w:ind w:left="488"/>
              <w:jc w:val="center"/>
              <w:rPr>
                <w:rFonts w:hint="eastAsia" w:ascii="仿宋" w:hAnsi="仿宋" w:eastAsia="仿宋" w:cs="仿宋"/>
                <w:sz w:val="24"/>
                <w:szCs w:val="24"/>
                <w:highlight w:val="none"/>
                <w:lang w:val="en-US" w:eastAsia="zh-CN"/>
              </w:rPr>
            </w:pPr>
            <w:r>
              <w:rPr>
                <w:rFonts w:hint="eastAsia" w:ascii="仿宋" w:hAnsi="仿宋" w:eastAsia="仿宋" w:cs="仿宋"/>
                <w:spacing w:val="-4"/>
                <w:sz w:val="24"/>
                <w:szCs w:val="24"/>
                <w:highlight w:val="none"/>
                <w:lang w:val="en-US" w:eastAsia="zh-CN"/>
              </w:rPr>
              <w:t>证书名称</w:t>
            </w:r>
          </w:p>
        </w:tc>
        <w:tc>
          <w:tcPr>
            <w:tcW w:w="1924" w:type="dxa"/>
            <w:gridSpan w:val="3"/>
            <w:noWrap w:val="0"/>
            <w:vAlign w:val="top"/>
          </w:tcPr>
          <w:p w14:paraId="4B6B23EB">
            <w:pPr>
              <w:jc w:val="center"/>
              <w:rPr>
                <w:rFonts w:hint="eastAsia" w:ascii="仿宋" w:hAnsi="仿宋" w:eastAsia="仿宋" w:cs="仿宋"/>
                <w:sz w:val="24"/>
                <w:szCs w:val="24"/>
                <w:highlight w:val="none"/>
              </w:rPr>
            </w:pPr>
          </w:p>
        </w:tc>
        <w:tc>
          <w:tcPr>
            <w:tcW w:w="2420" w:type="dxa"/>
            <w:gridSpan w:val="3"/>
            <w:noWrap w:val="0"/>
            <w:vAlign w:val="top"/>
          </w:tcPr>
          <w:p w14:paraId="6406F7B1">
            <w:pPr>
              <w:spacing w:line="256" w:lineRule="auto"/>
              <w:jc w:val="center"/>
              <w:rPr>
                <w:rFonts w:hint="eastAsia" w:ascii="仿宋" w:hAnsi="仿宋" w:eastAsia="仿宋" w:cs="仿宋"/>
                <w:sz w:val="24"/>
                <w:szCs w:val="24"/>
                <w:highlight w:val="none"/>
              </w:rPr>
            </w:pPr>
          </w:p>
          <w:p w14:paraId="29A7EDB5">
            <w:pPr>
              <w:pStyle w:val="186"/>
              <w:spacing w:before="65" w:line="231" w:lineRule="auto"/>
              <w:ind w:left="623"/>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从业证号</w:t>
            </w:r>
          </w:p>
        </w:tc>
        <w:tc>
          <w:tcPr>
            <w:tcW w:w="3633" w:type="dxa"/>
            <w:noWrap w:val="0"/>
            <w:vAlign w:val="top"/>
          </w:tcPr>
          <w:p w14:paraId="02BD629C">
            <w:pPr>
              <w:jc w:val="center"/>
              <w:rPr>
                <w:rFonts w:hint="eastAsia" w:ascii="仿宋" w:hAnsi="仿宋" w:eastAsia="仿宋" w:cs="仿宋"/>
                <w:sz w:val="24"/>
                <w:szCs w:val="24"/>
                <w:highlight w:val="none"/>
              </w:rPr>
            </w:pPr>
          </w:p>
        </w:tc>
      </w:tr>
      <w:tr w14:paraId="64B5C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3660" w:type="dxa"/>
            <w:gridSpan w:val="5"/>
            <w:noWrap w:val="0"/>
            <w:vAlign w:val="top"/>
          </w:tcPr>
          <w:p w14:paraId="7D0F3C3B">
            <w:pPr>
              <w:spacing w:line="258" w:lineRule="auto"/>
              <w:jc w:val="center"/>
              <w:rPr>
                <w:rFonts w:hint="eastAsia" w:ascii="仿宋" w:hAnsi="仿宋" w:eastAsia="仿宋" w:cs="仿宋"/>
                <w:sz w:val="24"/>
                <w:szCs w:val="24"/>
                <w:highlight w:val="none"/>
              </w:rPr>
            </w:pPr>
          </w:p>
          <w:p w14:paraId="45280BCF">
            <w:pPr>
              <w:pStyle w:val="186"/>
              <w:spacing w:before="65" w:line="228" w:lineRule="auto"/>
              <w:ind w:left="727"/>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在 本</w:t>
            </w:r>
            <w:r>
              <w:rPr>
                <w:rFonts w:hint="eastAsia" w:ascii="仿宋" w:hAnsi="仿宋" w:eastAsia="仿宋" w:cs="仿宋"/>
                <w:spacing w:val="-7"/>
                <w:sz w:val="24"/>
                <w:szCs w:val="24"/>
                <w:highlight w:val="none"/>
              </w:rPr>
              <w:t xml:space="preserve"> </w:t>
            </w:r>
            <w:r>
              <w:rPr>
                <w:rFonts w:hint="eastAsia" w:ascii="仿宋" w:hAnsi="仿宋" w:eastAsia="仿宋" w:cs="仿宋"/>
                <w:spacing w:val="-6"/>
                <w:sz w:val="24"/>
                <w:szCs w:val="24"/>
                <w:highlight w:val="none"/>
              </w:rPr>
              <w:t>项</w:t>
            </w:r>
            <w:r>
              <w:rPr>
                <w:rFonts w:hint="eastAsia" w:ascii="仿宋" w:hAnsi="仿宋" w:eastAsia="仿宋" w:cs="仿宋"/>
                <w:spacing w:val="30"/>
                <w:sz w:val="24"/>
                <w:szCs w:val="24"/>
                <w:highlight w:val="none"/>
              </w:rPr>
              <w:t xml:space="preserve"> </w:t>
            </w:r>
            <w:r>
              <w:rPr>
                <w:rFonts w:hint="eastAsia" w:ascii="仿宋" w:hAnsi="仿宋" w:eastAsia="仿宋" w:cs="仿宋"/>
                <w:spacing w:val="-6"/>
                <w:sz w:val="24"/>
                <w:szCs w:val="24"/>
                <w:highlight w:val="none"/>
              </w:rPr>
              <w:t>目</w:t>
            </w:r>
            <w:r>
              <w:rPr>
                <w:rFonts w:hint="eastAsia" w:ascii="仿宋" w:hAnsi="仿宋" w:eastAsia="仿宋" w:cs="仿宋"/>
                <w:spacing w:val="-11"/>
                <w:sz w:val="24"/>
                <w:szCs w:val="24"/>
                <w:highlight w:val="none"/>
              </w:rPr>
              <w:t xml:space="preserve"> </w:t>
            </w:r>
            <w:r>
              <w:rPr>
                <w:rFonts w:hint="eastAsia" w:ascii="仿宋" w:hAnsi="仿宋" w:eastAsia="仿宋" w:cs="仿宋"/>
                <w:spacing w:val="-6"/>
                <w:sz w:val="24"/>
                <w:szCs w:val="24"/>
                <w:highlight w:val="none"/>
              </w:rPr>
              <w:t>拟</w:t>
            </w:r>
            <w:r>
              <w:rPr>
                <w:rFonts w:hint="eastAsia" w:ascii="仿宋" w:hAnsi="仿宋" w:eastAsia="仿宋" w:cs="仿宋"/>
                <w:spacing w:val="-13"/>
                <w:sz w:val="24"/>
                <w:szCs w:val="24"/>
                <w:highlight w:val="none"/>
              </w:rPr>
              <w:t xml:space="preserve"> </w:t>
            </w:r>
            <w:r>
              <w:rPr>
                <w:rFonts w:hint="eastAsia" w:ascii="仿宋" w:hAnsi="仿宋" w:eastAsia="仿宋" w:cs="仿宋"/>
                <w:spacing w:val="-6"/>
                <w:sz w:val="24"/>
                <w:szCs w:val="24"/>
                <w:highlight w:val="none"/>
              </w:rPr>
              <w:t>任</w:t>
            </w:r>
            <w:r>
              <w:rPr>
                <w:rFonts w:hint="eastAsia" w:ascii="仿宋" w:hAnsi="仿宋" w:eastAsia="仿宋" w:cs="仿宋"/>
                <w:spacing w:val="-10"/>
                <w:sz w:val="24"/>
                <w:szCs w:val="24"/>
                <w:highlight w:val="none"/>
              </w:rPr>
              <w:t xml:space="preserve"> </w:t>
            </w:r>
            <w:r>
              <w:rPr>
                <w:rFonts w:hint="eastAsia" w:ascii="仿宋" w:hAnsi="仿宋" w:eastAsia="仿宋" w:cs="仿宋"/>
                <w:spacing w:val="-6"/>
                <w:sz w:val="24"/>
                <w:szCs w:val="24"/>
                <w:highlight w:val="none"/>
              </w:rPr>
              <w:t>职 务</w:t>
            </w:r>
          </w:p>
        </w:tc>
        <w:tc>
          <w:tcPr>
            <w:tcW w:w="6053" w:type="dxa"/>
            <w:gridSpan w:val="4"/>
            <w:noWrap w:val="0"/>
            <w:vAlign w:val="top"/>
          </w:tcPr>
          <w:p w14:paraId="15309FB4">
            <w:pPr>
              <w:jc w:val="center"/>
              <w:rPr>
                <w:rFonts w:hint="eastAsia" w:ascii="仿宋" w:hAnsi="仿宋" w:eastAsia="仿宋" w:cs="仿宋"/>
                <w:sz w:val="24"/>
                <w:szCs w:val="24"/>
                <w:highlight w:val="none"/>
              </w:rPr>
            </w:pPr>
          </w:p>
        </w:tc>
      </w:tr>
      <w:tr w14:paraId="48490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9713" w:type="dxa"/>
            <w:gridSpan w:val="9"/>
            <w:noWrap w:val="0"/>
            <w:vAlign w:val="top"/>
          </w:tcPr>
          <w:p w14:paraId="1E6B9C2F">
            <w:pPr>
              <w:spacing w:line="257" w:lineRule="auto"/>
              <w:jc w:val="center"/>
              <w:rPr>
                <w:rFonts w:hint="eastAsia" w:ascii="仿宋" w:hAnsi="仿宋" w:eastAsia="仿宋" w:cs="仿宋"/>
                <w:sz w:val="24"/>
                <w:szCs w:val="24"/>
                <w:highlight w:val="none"/>
              </w:rPr>
            </w:pPr>
          </w:p>
          <w:p w14:paraId="1126FF30">
            <w:pPr>
              <w:pStyle w:val="186"/>
              <w:spacing w:before="65" w:line="231" w:lineRule="auto"/>
              <w:ind w:left="3593"/>
              <w:jc w:val="center"/>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主</w:t>
            </w:r>
            <w:r>
              <w:rPr>
                <w:rFonts w:hint="eastAsia" w:ascii="仿宋" w:hAnsi="仿宋" w:eastAsia="仿宋" w:cs="仿宋"/>
                <w:spacing w:val="87"/>
                <w:sz w:val="24"/>
                <w:szCs w:val="24"/>
                <w:highlight w:val="none"/>
              </w:rPr>
              <w:t xml:space="preserve"> </w:t>
            </w:r>
            <w:r>
              <w:rPr>
                <w:rFonts w:hint="eastAsia" w:ascii="仿宋" w:hAnsi="仿宋" w:eastAsia="仿宋" w:cs="仿宋"/>
                <w:spacing w:val="-1"/>
                <w:sz w:val="24"/>
                <w:szCs w:val="24"/>
                <w:highlight w:val="none"/>
              </w:rPr>
              <w:t>要</w:t>
            </w:r>
            <w:r>
              <w:rPr>
                <w:rFonts w:hint="eastAsia" w:ascii="仿宋" w:hAnsi="仿宋" w:eastAsia="仿宋" w:cs="仿宋"/>
                <w:spacing w:val="87"/>
                <w:sz w:val="24"/>
                <w:szCs w:val="24"/>
                <w:highlight w:val="none"/>
              </w:rPr>
              <w:t xml:space="preserve"> </w:t>
            </w:r>
            <w:r>
              <w:rPr>
                <w:rFonts w:hint="eastAsia" w:ascii="仿宋" w:hAnsi="仿宋" w:eastAsia="仿宋" w:cs="仿宋"/>
                <w:spacing w:val="-1"/>
                <w:sz w:val="24"/>
                <w:szCs w:val="24"/>
                <w:highlight w:val="none"/>
              </w:rPr>
              <w:t>经</w:t>
            </w:r>
            <w:r>
              <w:rPr>
                <w:rFonts w:hint="eastAsia" w:ascii="仿宋" w:hAnsi="仿宋" w:eastAsia="仿宋" w:cs="仿宋"/>
                <w:spacing w:val="89"/>
                <w:sz w:val="24"/>
                <w:szCs w:val="24"/>
                <w:highlight w:val="none"/>
              </w:rPr>
              <w:t xml:space="preserve"> </w:t>
            </w:r>
            <w:r>
              <w:rPr>
                <w:rFonts w:hint="eastAsia" w:ascii="仿宋" w:hAnsi="仿宋" w:eastAsia="仿宋" w:cs="仿宋"/>
                <w:spacing w:val="-1"/>
                <w:sz w:val="24"/>
                <w:szCs w:val="24"/>
                <w:highlight w:val="none"/>
              </w:rPr>
              <w:t>历</w:t>
            </w:r>
          </w:p>
        </w:tc>
      </w:tr>
      <w:tr w14:paraId="0397F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544" w:type="dxa"/>
            <w:noWrap w:val="0"/>
            <w:vAlign w:val="top"/>
          </w:tcPr>
          <w:p w14:paraId="4EB3616F">
            <w:pPr>
              <w:spacing w:line="257" w:lineRule="auto"/>
              <w:jc w:val="center"/>
              <w:rPr>
                <w:rFonts w:hint="eastAsia" w:ascii="仿宋" w:hAnsi="仿宋" w:eastAsia="仿宋" w:cs="仿宋"/>
                <w:sz w:val="24"/>
                <w:szCs w:val="24"/>
                <w:highlight w:val="none"/>
              </w:rPr>
            </w:pPr>
          </w:p>
          <w:p w14:paraId="750DCAFF">
            <w:pPr>
              <w:pStyle w:val="186"/>
              <w:spacing w:before="65" w:line="231" w:lineRule="auto"/>
              <w:ind w:left="498"/>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时</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间</w:t>
            </w:r>
          </w:p>
        </w:tc>
        <w:tc>
          <w:tcPr>
            <w:tcW w:w="3262" w:type="dxa"/>
            <w:gridSpan w:val="6"/>
            <w:noWrap w:val="0"/>
            <w:vAlign w:val="top"/>
          </w:tcPr>
          <w:p w14:paraId="6A555D30">
            <w:pPr>
              <w:spacing w:line="258" w:lineRule="auto"/>
              <w:jc w:val="center"/>
              <w:rPr>
                <w:rFonts w:hint="eastAsia" w:ascii="仿宋" w:hAnsi="仿宋" w:eastAsia="仿宋" w:cs="仿宋"/>
                <w:sz w:val="24"/>
                <w:szCs w:val="24"/>
                <w:highlight w:val="none"/>
              </w:rPr>
            </w:pPr>
          </w:p>
          <w:p w14:paraId="356314DC">
            <w:pPr>
              <w:pStyle w:val="186"/>
              <w:spacing w:before="65" w:line="228" w:lineRule="auto"/>
              <w:ind w:left="189"/>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参加过的项目名称及规模</w:t>
            </w:r>
          </w:p>
        </w:tc>
        <w:tc>
          <w:tcPr>
            <w:tcW w:w="4907" w:type="dxa"/>
            <w:gridSpan w:val="2"/>
            <w:noWrap w:val="0"/>
            <w:vAlign w:val="top"/>
          </w:tcPr>
          <w:p w14:paraId="682CEEBB">
            <w:pPr>
              <w:spacing w:line="258" w:lineRule="auto"/>
              <w:jc w:val="center"/>
              <w:rPr>
                <w:rFonts w:hint="eastAsia" w:ascii="仿宋" w:hAnsi="仿宋" w:eastAsia="仿宋" w:cs="仿宋"/>
                <w:sz w:val="24"/>
                <w:szCs w:val="24"/>
                <w:highlight w:val="none"/>
              </w:rPr>
            </w:pPr>
          </w:p>
          <w:p w14:paraId="63BE608F">
            <w:pPr>
              <w:pStyle w:val="186"/>
              <w:spacing w:before="65" w:line="228" w:lineRule="auto"/>
              <w:ind w:left="1285"/>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该项目中任职</w:t>
            </w:r>
          </w:p>
        </w:tc>
      </w:tr>
      <w:tr w14:paraId="25243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544" w:type="dxa"/>
            <w:noWrap w:val="0"/>
            <w:vAlign w:val="top"/>
          </w:tcPr>
          <w:p w14:paraId="3B951DE7">
            <w:pPr>
              <w:jc w:val="center"/>
              <w:rPr>
                <w:rFonts w:hint="eastAsia" w:ascii="仿宋" w:hAnsi="仿宋" w:eastAsia="仿宋" w:cs="仿宋"/>
                <w:sz w:val="24"/>
                <w:szCs w:val="24"/>
                <w:highlight w:val="none"/>
              </w:rPr>
            </w:pPr>
          </w:p>
        </w:tc>
        <w:tc>
          <w:tcPr>
            <w:tcW w:w="3262" w:type="dxa"/>
            <w:gridSpan w:val="6"/>
            <w:noWrap w:val="0"/>
            <w:vAlign w:val="top"/>
          </w:tcPr>
          <w:p w14:paraId="02A845DD">
            <w:pPr>
              <w:jc w:val="center"/>
              <w:rPr>
                <w:rFonts w:hint="eastAsia" w:ascii="仿宋" w:hAnsi="仿宋" w:eastAsia="仿宋" w:cs="仿宋"/>
                <w:sz w:val="24"/>
                <w:szCs w:val="24"/>
                <w:highlight w:val="none"/>
              </w:rPr>
            </w:pPr>
          </w:p>
        </w:tc>
        <w:tc>
          <w:tcPr>
            <w:tcW w:w="4907" w:type="dxa"/>
            <w:gridSpan w:val="2"/>
            <w:noWrap w:val="0"/>
            <w:vAlign w:val="top"/>
          </w:tcPr>
          <w:p w14:paraId="6ED76FA6">
            <w:pPr>
              <w:jc w:val="center"/>
              <w:rPr>
                <w:rFonts w:hint="eastAsia" w:ascii="仿宋" w:hAnsi="仿宋" w:eastAsia="仿宋" w:cs="仿宋"/>
                <w:sz w:val="24"/>
                <w:szCs w:val="24"/>
                <w:highlight w:val="none"/>
              </w:rPr>
            </w:pPr>
          </w:p>
        </w:tc>
      </w:tr>
      <w:tr w14:paraId="73347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544" w:type="dxa"/>
            <w:noWrap w:val="0"/>
            <w:vAlign w:val="top"/>
          </w:tcPr>
          <w:p w14:paraId="24E1D9E7">
            <w:pPr>
              <w:jc w:val="center"/>
              <w:rPr>
                <w:rFonts w:hint="eastAsia" w:ascii="仿宋" w:hAnsi="仿宋" w:eastAsia="仿宋" w:cs="仿宋"/>
                <w:sz w:val="24"/>
                <w:szCs w:val="24"/>
                <w:highlight w:val="none"/>
              </w:rPr>
            </w:pPr>
          </w:p>
        </w:tc>
        <w:tc>
          <w:tcPr>
            <w:tcW w:w="3262" w:type="dxa"/>
            <w:gridSpan w:val="6"/>
            <w:noWrap w:val="0"/>
            <w:vAlign w:val="top"/>
          </w:tcPr>
          <w:p w14:paraId="6B005092">
            <w:pPr>
              <w:jc w:val="center"/>
              <w:rPr>
                <w:rFonts w:hint="eastAsia" w:ascii="仿宋" w:hAnsi="仿宋" w:eastAsia="仿宋" w:cs="仿宋"/>
                <w:sz w:val="24"/>
                <w:szCs w:val="24"/>
                <w:highlight w:val="none"/>
              </w:rPr>
            </w:pPr>
          </w:p>
        </w:tc>
        <w:tc>
          <w:tcPr>
            <w:tcW w:w="4907" w:type="dxa"/>
            <w:gridSpan w:val="2"/>
            <w:noWrap w:val="0"/>
            <w:vAlign w:val="top"/>
          </w:tcPr>
          <w:p w14:paraId="106DAEFE">
            <w:pPr>
              <w:jc w:val="center"/>
              <w:rPr>
                <w:rFonts w:hint="eastAsia" w:ascii="仿宋" w:hAnsi="仿宋" w:eastAsia="仿宋" w:cs="仿宋"/>
                <w:sz w:val="24"/>
                <w:szCs w:val="24"/>
                <w:highlight w:val="none"/>
              </w:rPr>
            </w:pPr>
          </w:p>
        </w:tc>
      </w:tr>
    </w:tbl>
    <w:p w14:paraId="14C10F81">
      <w:pPr>
        <w:pStyle w:val="8"/>
        <w:spacing w:line="372" w:lineRule="auto"/>
        <w:rPr>
          <w:rFonts w:hint="eastAsia" w:ascii="仿宋" w:hAnsi="仿宋" w:eastAsia="仿宋" w:cs="仿宋"/>
          <w:sz w:val="24"/>
          <w:szCs w:val="24"/>
          <w:highlight w:val="none"/>
        </w:rPr>
      </w:pPr>
    </w:p>
    <w:p w14:paraId="425A6629">
      <w:pPr>
        <w:pStyle w:val="8"/>
        <w:spacing w:line="328" w:lineRule="auto"/>
        <w:rPr>
          <w:rFonts w:hint="eastAsia" w:ascii="仿宋" w:hAnsi="仿宋" w:eastAsia="仿宋" w:cs="仿宋"/>
          <w:sz w:val="24"/>
          <w:szCs w:val="24"/>
          <w:highlight w:val="none"/>
        </w:rPr>
      </w:pPr>
    </w:p>
    <w:p w14:paraId="0DCAC66F">
      <w:pPr>
        <w:pStyle w:val="8"/>
        <w:spacing w:line="328" w:lineRule="auto"/>
        <w:rPr>
          <w:rFonts w:hint="eastAsia" w:ascii="仿宋" w:hAnsi="仿宋" w:eastAsia="仿宋" w:cs="仿宋"/>
          <w:sz w:val="24"/>
          <w:szCs w:val="24"/>
          <w:highlight w:val="none"/>
        </w:rPr>
      </w:pPr>
    </w:p>
    <w:p w14:paraId="35B990AC">
      <w:pPr>
        <w:spacing w:before="65" w:line="228" w:lineRule="auto"/>
        <w:ind w:left="121"/>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注：1、供应商需随此表附上</w:t>
      </w:r>
      <w:r>
        <w:rPr>
          <w:rFonts w:hint="eastAsia" w:ascii="仿宋" w:hAnsi="仿宋" w:eastAsia="仿宋" w:cs="仿宋"/>
          <w:spacing w:val="-6"/>
          <w:sz w:val="24"/>
          <w:szCs w:val="24"/>
          <w:highlight w:val="none"/>
          <w:lang w:val="en-US" w:eastAsia="zh-CN"/>
        </w:rPr>
        <w:t>从</w:t>
      </w:r>
      <w:r>
        <w:rPr>
          <w:rFonts w:hint="eastAsia" w:ascii="仿宋" w:hAnsi="仿宋" w:eastAsia="仿宋" w:cs="仿宋"/>
          <w:spacing w:val="-6"/>
          <w:sz w:val="24"/>
          <w:szCs w:val="24"/>
          <w:highlight w:val="none"/>
        </w:rPr>
        <w:t>业资格证书等相关资料的复印件</w:t>
      </w:r>
    </w:p>
    <w:p w14:paraId="31915F24">
      <w:pPr>
        <w:pStyle w:val="8"/>
        <w:spacing w:line="244" w:lineRule="auto"/>
        <w:rPr>
          <w:rFonts w:hint="eastAsia" w:ascii="仿宋" w:hAnsi="仿宋" w:eastAsia="仿宋" w:cs="仿宋"/>
          <w:sz w:val="24"/>
          <w:szCs w:val="24"/>
          <w:highlight w:val="none"/>
        </w:rPr>
      </w:pPr>
    </w:p>
    <w:p w14:paraId="5D60AE10">
      <w:pPr>
        <w:pStyle w:val="8"/>
        <w:spacing w:line="244" w:lineRule="auto"/>
        <w:rPr>
          <w:rFonts w:hint="eastAsia" w:ascii="仿宋" w:hAnsi="仿宋" w:eastAsia="仿宋" w:cs="仿宋"/>
          <w:sz w:val="24"/>
          <w:szCs w:val="24"/>
          <w:highlight w:val="none"/>
        </w:rPr>
      </w:pPr>
    </w:p>
    <w:p w14:paraId="691A6A49">
      <w:pPr>
        <w:spacing w:before="78" w:line="571" w:lineRule="exact"/>
        <w:ind w:right="54"/>
        <w:jc w:val="both"/>
        <w:rPr>
          <w:rFonts w:hint="eastAsia" w:ascii="仿宋" w:hAnsi="仿宋" w:eastAsia="仿宋" w:cs="仿宋"/>
          <w:sz w:val="24"/>
          <w:szCs w:val="24"/>
          <w:highlight w:val="none"/>
        </w:rPr>
      </w:pPr>
      <w:r>
        <w:rPr>
          <w:rFonts w:hint="eastAsia" w:ascii="仿宋" w:hAnsi="仿宋" w:eastAsia="仿宋" w:cs="仿宋"/>
          <w:spacing w:val="-17"/>
          <w:position w:val="25"/>
          <w:sz w:val="24"/>
          <w:szCs w:val="24"/>
          <w:highlight w:val="none"/>
        </w:rPr>
        <w:t>投标人全称（盖公章</w:t>
      </w:r>
      <w:r>
        <w:rPr>
          <w:rFonts w:hint="eastAsia" w:ascii="仿宋" w:hAnsi="仿宋" w:eastAsia="仿宋" w:cs="仿宋"/>
          <w:position w:val="25"/>
          <w:sz w:val="24"/>
          <w:szCs w:val="24"/>
          <w:highlight w:val="none"/>
        </w:rPr>
        <w:t>）：</w:t>
      </w:r>
    </w:p>
    <w:p w14:paraId="74E8BF3C">
      <w:pPr>
        <w:spacing w:line="219" w:lineRule="auto"/>
        <w:ind w:left="4414"/>
        <w:rPr>
          <w:rFonts w:hint="eastAsia" w:ascii="仿宋" w:hAnsi="仿宋" w:eastAsia="仿宋" w:cs="仿宋"/>
          <w:sz w:val="24"/>
          <w:szCs w:val="24"/>
          <w:highlight w:val="none"/>
        </w:rPr>
      </w:pPr>
      <w:r>
        <w:rPr>
          <w:rFonts w:hint="eastAsia" w:ascii="仿宋" w:hAnsi="仿宋" w:eastAsia="仿宋" w:cs="仿宋"/>
          <w:spacing w:val="-17"/>
          <w:sz w:val="24"/>
          <w:szCs w:val="24"/>
          <w:highlight w:val="none"/>
        </w:rPr>
        <w:t>法定代表人或授权代表（签名或盖章</w:t>
      </w:r>
      <w:r>
        <w:rPr>
          <w:rFonts w:hint="eastAsia" w:ascii="仿宋" w:hAnsi="仿宋" w:eastAsia="仿宋" w:cs="仿宋"/>
          <w:spacing w:val="2"/>
          <w:sz w:val="24"/>
          <w:szCs w:val="24"/>
          <w:highlight w:val="none"/>
        </w:rPr>
        <w:t>）：</w:t>
      </w:r>
    </w:p>
    <w:p w14:paraId="7FC19602">
      <w:pPr>
        <w:spacing w:before="284" w:line="220" w:lineRule="auto"/>
        <w:ind w:right="28"/>
        <w:jc w:val="both"/>
        <w:rPr>
          <w:rFonts w:hint="eastAsia" w:ascii="仿宋" w:hAnsi="仿宋" w:eastAsia="仿宋" w:cs="仿宋"/>
          <w:sz w:val="24"/>
          <w:szCs w:val="24"/>
          <w:highlight w:val="none"/>
        </w:rPr>
      </w:pPr>
      <w:r>
        <w:rPr>
          <w:rFonts w:hint="eastAsia" w:ascii="仿宋" w:hAnsi="仿宋" w:eastAsia="仿宋" w:cs="仿宋"/>
          <w:spacing w:val="-18"/>
          <w:sz w:val="24"/>
          <w:szCs w:val="24"/>
          <w:highlight w:val="none"/>
        </w:rPr>
        <w:t>日</w:t>
      </w:r>
      <w:r>
        <w:rPr>
          <w:rFonts w:hint="eastAsia" w:ascii="仿宋" w:hAnsi="仿宋" w:eastAsia="仿宋" w:cs="仿宋"/>
          <w:spacing w:val="27"/>
          <w:sz w:val="24"/>
          <w:szCs w:val="24"/>
          <w:highlight w:val="none"/>
        </w:rPr>
        <w:t xml:space="preserve">   </w:t>
      </w:r>
      <w:r>
        <w:rPr>
          <w:rFonts w:hint="eastAsia" w:ascii="仿宋" w:hAnsi="仿宋" w:eastAsia="仿宋" w:cs="仿宋"/>
          <w:spacing w:val="-18"/>
          <w:sz w:val="24"/>
          <w:szCs w:val="24"/>
          <w:highlight w:val="none"/>
        </w:rPr>
        <w:t>期：</w:t>
      </w:r>
      <w:r>
        <w:rPr>
          <w:rFonts w:hint="eastAsia" w:ascii="仿宋" w:hAnsi="仿宋" w:eastAsia="仿宋" w:cs="仿宋"/>
          <w:spacing w:val="18"/>
          <w:sz w:val="24"/>
          <w:szCs w:val="24"/>
          <w:highlight w:val="none"/>
        </w:rPr>
        <w:t xml:space="preserve">    </w:t>
      </w:r>
      <w:r>
        <w:rPr>
          <w:rFonts w:hint="eastAsia" w:ascii="仿宋" w:hAnsi="仿宋" w:eastAsia="仿宋" w:cs="仿宋"/>
          <w:spacing w:val="-18"/>
          <w:sz w:val="24"/>
          <w:szCs w:val="24"/>
          <w:highlight w:val="none"/>
        </w:rPr>
        <w:t>年</w:t>
      </w:r>
      <w:r>
        <w:rPr>
          <w:rFonts w:hint="eastAsia" w:ascii="仿宋" w:hAnsi="仿宋" w:eastAsia="仿宋" w:cs="仿宋"/>
          <w:spacing w:val="46"/>
          <w:sz w:val="24"/>
          <w:szCs w:val="24"/>
          <w:highlight w:val="none"/>
        </w:rPr>
        <w:t xml:space="preserve">  </w:t>
      </w:r>
      <w:r>
        <w:rPr>
          <w:rFonts w:hint="eastAsia" w:ascii="仿宋" w:hAnsi="仿宋" w:eastAsia="仿宋" w:cs="仿宋"/>
          <w:spacing w:val="-18"/>
          <w:sz w:val="24"/>
          <w:szCs w:val="24"/>
          <w:highlight w:val="none"/>
        </w:rPr>
        <w:t>月</w:t>
      </w:r>
      <w:r>
        <w:rPr>
          <w:rFonts w:hint="eastAsia" w:ascii="仿宋" w:hAnsi="仿宋" w:eastAsia="仿宋" w:cs="仿宋"/>
          <w:spacing w:val="3"/>
          <w:sz w:val="24"/>
          <w:szCs w:val="24"/>
          <w:highlight w:val="none"/>
        </w:rPr>
        <w:t xml:space="preserve">   </w:t>
      </w:r>
      <w:r>
        <w:rPr>
          <w:rFonts w:hint="eastAsia" w:ascii="仿宋" w:hAnsi="仿宋" w:eastAsia="仿宋" w:cs="仿宋"/>
          <w:spacing w:val="-18"/>
          <w:sz w:val="24"/>
          <w:szCs w:val="24"/>
          <w:highlight w:val="none"/>
        </w:rPr>
        <w:t>日</w:t>
      </w:r>
    </w:p>
    <w:p w14:paraId="6F624BA8">
      <w:pPr>
        <w:spacing w:line="220" w:lineRule="auto"/>
        <w:rPr>
          <w:rFonts w:hint="eastAsia" w:ascii="仿宋" w:hAnsi="仿宋" w:eastAsia="仿宋" w:cs="仿宋"/>
          <w:sz w:val="21"/>
          <w:szCs w:val="21"/>
          <w:highlight w:val="none"/>
        </w:rPr>
        <w:sectPr>
          <w:headerReference r:id="rId15" w:type="default"/>
          <w:footerReference r:id="rId16" w:type="default"/>
          <w:pgSz w:w="11906" w:h="16839"/>
          <w:pgMar w:top="1440" w:right="1080" w:bottom="1440" w:left="1080" w:header="878" w:footer="987" w:gutter="0"/>
          <w:pgNumType w:fmt="decimal"/>
          <w:cols w:space="720" w:num="1"/>
        </w:sectPr>
      </w:pPr>
    </w:p>
    <w:p w14:paraId="1B69D081">
      <w:pPr>
        <w:pStyle w:val="37"/>
        <w:spacing w:line="240" w:lineRule="auto"/>
        <w:ind w:left="0" w:leftChars="0" w:firstLine="0" w:firstLineChars="0"/>
        <w:jc w:val="both"/>
        <w:rPr>
          <w:rFonts w:hint="eastAsia" w:ascii="仿宋" w:hAnsi="仿宋" w:eastAsia="仿宋" w:cs="仿宋"/>
          <w:b/>
          <w:color w:val="000000"/>
          <w:sz w:val="32"/>
          <w:szCs w:val="28"/>
          <w:highlight w:val="none"/>
          <w:lang w:val="en-US" w:eastAsia="zh-CN"/>
        </w:rPr>
      </w:pPr>
      <w:r>
        <w:rPr>
          <w:rFonts w:hint="eastAsia" w:ascii="仿宋" w:hAnsi="仿宋" w:eastAsia="仿宋" w:cs="仿宋"/>
          <w:b/>
          <w:color w:val="000000"/>
          <w:sz w:val="28"/>
          <w:szCs w:val="24"/>
          <w:highlight w:val="none"/>
          <w:lang w:val="en-US" w:eastAsia="zh-CN"/>
        </w:rPr>
        <w:t>附件四</w:t>
      </w:r>
    </w:p>
    <w:p w14:paraId="3C567959">
      <w:pPr>
        <w:pStyle w:val="37"/>
        <w:spacing w:line="240" w:lineRule="auto"/>
        <w:ind w:left="0" w:leftChars="0" w:firstLine="0" w:firstLineChars="0"/>
        <w:jc w:val="center"/>
        <w:rPr>
          <w:rFonts w:hint="eastAsia" w:ascii="仿宋" w:hAnsi="仿宋" w:eastAsia="仿宋" w:cs="仿宋"/>
          <w:b/>
          <w:color w:val="000000"/>
          <w:sz w:val="28"/>
          <w:szCs w:val="28"/>
          <w:highlight w:val="none"/>
          <w:lang w:eastAsia="zh-CN"/>
        </w:rPr>
      </w:pPr>
      <w:r>
        <w:rPr>
          <w:rFonts w:hint="eastAsia" w:ascii="仿宋" w:hAnsi="仿宋" w:eastAsia="仿宋" w:cs="仿宋"/>
          <w:b/>
          <w:color w:val="000000"/>
          <w:sz w:val="28"/>
          <w:szCs w:val="28"/>
          <w:highlight w:val="none"/>
        </w:rPr>
        <w:t>出具法人营业执照函</w:t>
      </w:r>
    </w:p>
    <w:p w14:paraId="0FAE831B">
      <w:pPr>
        <w:rPr>
          <w:rFonts w:hint="eastAsia" w:ascii="仿宋" w:hAnsi="仿宋" w:eastAsia="仿宋" w:cs="仿宋"/>
          <w:color w:val="000000"/>
          <w:sz w:val="28"/>
          <w:szCs w:val="28"/>
          <w:highlight w:val="none"/>
        </w:rPr>
      </w:pPr>
    </w:p>
    <w:p w14:paraId="600E0F60">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lang w:val="en-US" w:eastAsia="zh-CN"/>
        </w:rPr>
        <w:t>采购人</w:t>
      </w:r>
      <w:r>
        <w:rPr>
          <w:rFonts w:hint="eastAsia" w:ascii="仿宋" w:hAnsi="仿宋" w:eastAsia="仿宋" w:cs="仿宋"/>
          <w:color w:val="000000"/>
          <w:sz w:val="24"/>
          <w:szCs w:val="24"/>
          <w:highlight w:val="none"/>
        </w:rPr>
        <w:t>：</w:t>
      </w:r>
    </w:p>
    <w:p w14:paraId="17F5CF3A">
      <w:pPr>
        <w:rPr>
          <w:rFonts w:hint="eastAsia" w:ascii="仿宋" w:hAnsi="仿宋" w:eastAsia="仿宋" w:cs="仿宋"/>
          <w:color w:val="000000"/>
          <w:sz w:val="24"/>
          <w:szCs w:val="24"/>
          <w:highlight w:val="none"/>
        </w:rPr>
      </w:pPr>
    </w:p>
    <w:p w14:paraId="39DEB9EA">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现附上由</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（签发机关名称）签发的我方法人营业执照复印件，该执照已经年检，真实有效。</w:t>
      </w:r>
    </w:p>
    <w:p w14:paraId="5A3E10DB">
      <w:pPr>
        <w:ind w:firstLine="852"/>
        <w:rPr>
          <w:rFonts w:hint="eastAsia" w:ascii="仿宋" w:hAnsi="仿宋" w:eastAsia="仿宋" w:cs="仿宋"/>
          <w:color w:val="000000"/>
          <w:sz w:val="24"/>
          <w:szCs w:val="24"/>
          <w:highlight w:val="none"/>
        </w:rPr>
      </w:pPr>
    </w:p>
    <w:p w14:paraId="6C696D2B">
      <w:pPr>
        <w:ind w:firstLine="852"/>
        <w:rPr>
          <w:rFonts w:hint="eastAsia" w:ascii="仿宋" w:hAnsi="仿宋" w:eastAsia="仿宋" w:cs="仿宋"/>
          <w:color w:val="000000"/>
          <w:sz w:val="24"/>
          <w:szCs w:val="24"/>
          <w:highlight w:val="none"/>
        </w:rPr>
      </w:pPr>
    </w:p>
    <w:p w14:paraId="7FCC3763">
      <w:pPr>
        <w:ind w:firstLine="852"/>
        <w:rPr>
          <w:rFonts w:hint="eastAsia" w:ascii="仿宋" w:hAnsi="仿宋" w:eastAsia="仿宋" w:cs="仿宋"/>
          <w:color w:val="000000"/>
          <w:sz w:val="24"/>
          <w:szCs w:val="24"/>
          <w:highlight w:val="none"/>
        </w:rPr>
      </w:pPr>
    </w:p>
    <w:p w14:paraId="42917D01">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04D7DCCA">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31BCD1C9">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235623BB">
      <w:pPr>
        <w:spacing w:before="182" w:line="220" w:lineRule="auto"/>
        <w:ind w:left="5741"/>
        <w:rPr>
          <w:rFonts w:hint="eastAsia" w:ascii="仿宋" w:hAnsi="仿宋" w:eastAsia="仿宋" w:cs="仿宋"/>
          <w:spacing w:val="-29"/>
          <w:sz w:val="24"/>
          <w:szCs w:val="24"/>
          <w:highlight w:val="none"/>
        </w:rPr>
      </w:pPr>
    </w:p>
    <w:p w14:paraId="42DC4C45">
      <w:pPr>
        <w:rPr>
          <w:rFonts w:hint="eastAsia" w:ascii="仿宋" w:hAnsi="仿宋" w:eastAsia="仿宋" w:cs="仿宋"/>
          <w:color w:val="000000"/>
          <w:sz w:val="24"/>
          <w:szCs w:val="24"/>
          <w:highlight w:val="none"/>
        </w:rPr>
      </w:pPr>
    </w:p>
    <w:p w14:paraId="0BC43E5C">
      <w:pPr>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后附：投标单位三合一营业执照复印件</w:t>
      </w:r>
    </w:p>
    <w:p w14:paraId="37D78C83">
      <w:pPr>
        <w:numPr>
          <w:ilvl w:val="0"/>
          <w:numId w:val="0"/>
        </w:numPr>
        <w:spacing w:line="440" w:lineRule="exact"/>
        <w:jc w:val="both"/>
        <w:rPr>
          <w:rFonts w:hint="eastAsia" w:ascii="仿宋" w:hAnsi="仿宋" w:eastAsia="仿宋" w:cs="仿宋"/>
          <w:b/>
          <w:color w:val="000000"/>
          <w:sz w:val="28"/>
          <w:szCs w:val="24"/>
          <w:highlight w:val="none"/>
          <w:lang w:val="en-US" w:eastAsia="zh-CN"/>
        </w:rPr>
      </w:pPr>
      <w:r>
        <w:rPr>
          <w:rFonts w:hint="eastAsia" w:ascii="仿宋" w:hAnsi="仿宋" w:eastAsia="仿宋" w:cs="仿宋"/>
          <w:b/>
          <w:color w:val="000000"/>
          <w:sz w:val="28"/>
          <w:szCs w:val="24"/>
          <w:highlight w:val="none"/>
          <w:lang w:val="en-US" w:eastAsia="zh-CN"/>
        </w:rPr>
        <w:br w:type="page"/>
      </w:r>
      <w:r>
        <w:rPr>
          <w:rFonts w:hint="eastAsia" w:ascii="仿宋" w:hAnsi="仿宋" w:eastAsia="仿宋" w:cs="仿宋"/>
          <w:b/>
          <w:color w:val="000000"/>
          <w:sz w:val="28"/>
          <w:szCs w:val="24"/>
          <w:highlight w:val="none"/>
          <w:lang w:val="en-US" w:eastAsia="zh-CN"/>
        </w:rPr>
        <w:t>附件五</w:t>
      </w:r>
    </w:p>
    <w:p w14:paraId="3E4578C7">
      <w:pPr>
        <w:jc w:val="center"/>
        <w:rPr>
          <w:rFonts w:hint="eastAsia" w:ascii="仿宋" w:hAnsi="仿宋" w:eastAsia="仿宋" w:cs="仿宋"/>
          <w:sz w:val="28"/>
          <w:highlight w:val="none"/>
        </w:rPr>
      </w:pPr>
    </w:p>
    <w:p w14:paraId="3B32308C">
      <w:pPr>
        <w:jc w:val="center"/>
        <w:outlineLvl w:val="2"/>
        <w:rPr>
          <w:rFonts w:hint="eastAsia" w:ascii="仿宋" w:hAnsi="仿宋" w:eastAsia="仿宋" w:cs="仿宋"/>
          <w:b/>
          <w:sz w:val="28"/>
          <w:szCs w:val="28"/>
          <w:highlight w:val="none"/>
          <w:lang w:eastAsia="zh-CN"/>
        </w:rPr>
      </w:pPr>
      <w:bookmarkStart w:id="544" w:name="_Toc25844"/>
      <w:bookmarkStart w:id="545" w:name="_Toc1239"/>
      <w:r>
        <w:rPr>
          <w:rFonts w:hint="eastAsia" w:ascii="仿宋" w:hAnsi="仿宋" w:eastAsia="仿宋" w:cs="仿宋"/>
          <w:b/>
          <w:sz w:val="28"/>
          <w:szCs w:val="28"/>
          <w:highlight w:val="none"/>
        </w:rPr>
        <w:t>联合体协议书</w:t>
      </w:r>
      <w:bookmarkEnd w:id="544"/>
      <w:bookmarkEnd w:id="545"/>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如是</w:t>
      </w:r>
      <w:r>
        <w:rPr>
          <w:rFonts w:hint="eastAsia" w:ascii="仿宋" w:hAnsi="仿宋" w:eastAsia="仿宋" w:cs="仿宋"/>
          <w:b/>
          <w:sz w:val="28"/>
          <w:szCs w:val="28"/>
          <w:highlight w:val="none"/>
          <w:lang w:eastAsia="zh-CN"/>
        </w:rPr>
        <w:t>）</w:t>
      </w:r>
    </w:p>
    <w:p w14:paraId="3C9B1EDF">
      <w:pPr>
        <w:spacing w:line="360" w:lineRule="auto"/>
        <w:ind w:firstLine="4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联合体成员一名称：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5A3F9B7">
      <w:pPr>
        <w:spacing w:line="360" w:lineRule="auto"/>
        <w:ind w:firstLine="4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联合体成员二名称：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BECD0B1">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F8F8CC8">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上述各成员单位经过友好协商，自愿组成联合体，共同参加本项目的投标，现就联合体投标事宜订立如下协议：</w:t>
      </w:r>
    </w:p>
    <w:p w14:paraId="7BE9A633">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（成员单位名称）为联合体牵头人。</w:t>
      </w:r>
    </w:p>
    <w:p w14:paraId="70F42AB9">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2.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中标后，联合体各方共同与采购人签订合同，就本项目对采购人承担连带责任。</w:t>
      </w:r>
    </w:p>
    <w:p w14:paraId="5B62E619">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3.联合体各成员单位内部的职责分工及各方负责内容的合同金额占总合同金额的百分比如下：</w:t>
      </w:r>
    </w:p>
    <w:p w14:paraId="0AE63131">
      <w:pPr>
        <w:spacing w:line="360" w:lineRule="auto"/>
        <w:ind w:firstLine="4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联合体成员一名称：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，承担</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工作，负责内容的合同金额占总合同金额的百分比：</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EEF2EEB">
      <w:pPr>
        <w:spacing w:line="360" w:lineRule="auto"/>
        <w:ind w:firstLine="4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联合体成员二名称：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，承担</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工作，负责内容的合同金额占总合同金额的百分比：</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4C7A9E1">
      <w:pPr>
        <w:spacing w:line="360" w:lineRule="auto"/>
        <w:ind w:firstLine="4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w:t>
      </w:r>
    </w:p>
    <w:p w14:paraId="7F08EF00">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4．投标工作和联合体在中标后项目实施过程中的有关费用按各自承担的工作量分摊。</w:t>
      </w:r>
    </w:p>
    <w:p w14:paraId="6F5CAFE1">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5．联合体中标后，本联合协议是合同的附件，对联合体各成员单位有合同约束力。</w:t>
      </w:r>
    </w:p>
    <w:p w14:paraId="0CD045B4">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6．本协议书自签署之日起生效，联合体未中标或者合同履行完毕后自动失效。</w:t>
      </w:r>
    </w:p>
    <w:p w14:paraId="1F8C65B4">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（公章）</w:t>
      </w:r>
    </w:p>
    <w:p w14:paraId="0A2A94E4">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12F42CE9">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（公章）</w:t>
      </w:r>
    </w:p>
    <w:p w14:paraId="51F568B9">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3E0DB26A">
      <w:pPr>
        <w:spacing w:line="36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17132BC">
      <w:pPr>
        <w:pStyle w:val="37"/>
        <w:spacing w:line="240" w:lineRule="auto"/>
        <w:ind w:left="0" w:leftChars="0" w:firstLine="0" w:firstLineChars="0"/>
        <w:jc w:val="both"/>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bookmarkStart w:id="546" w:name="_Toc1542"/>
    </w:p>
    <w:p w14:paraId="05B1F2CF">
      <w:pPr>
        <w:pStyle w:val="37"/>
        <w:spacing w:line="240" w:lineRule="auto"/>
        <w:ind w:left="0" w:leftChars="0" w:firstLine="0" w:firstLineChars="0"/>
        <w:jc w:val="both"/>
        <w:outlineLvl w:val="2"/>
        <w:rPr>
          <w:rFonts w:hint="eastAsia" w:ascii="仿宋" w:hAnsi="仿宋" w:eastAsia="仿宋" w:cs="仿宋"/>
          <w:b/>
          <w:color w:val="000000"/>
          <w:sz w:val="28"/>
          <w:szCs w:val="24"/>
          <w:highlight w:val="none"/>
          <w:lang w:val="en-US" w:eastAsia="zh-CN"/>
        </w:rPr>
      </w:pPr>
      <w:r>
        <w:rPr>
          <w:rFonts w:hint="eastAsia" w:ascii="仿宋" w:hAnsi="仿宋" w:eastAsia="仿宋" w:cs="仿宋"/>
          <w:color w:val="auto"/>
          <w:sz w:val="24"/>
          <w:highlight w:val="none"/>
        </w:rPr>
        <w:br w:type="page"/>
      </w:r>
      <w:r>
        <w:rPr>
          <w:rFonts w:hint="eastAsia" w:ascii="仿宋" w:hAnsi="仿宋" w:eastAsia="仿宋" w:cs="仿宋"/>
          <w:b/>
          <w:color w:val="000000"/>
          <w:sz w:val="28"/>
          <w:szCs w:val="24"/>
          <w:highlight w:val="none"/>
          <w:lang w:val="en-US" w:eastAsia="zh-CN"/>
        </w:rPr>
        <w:t>附件</w:t>
      </w:r>
      <w:bookmarkEnd w:id="546"/>
      <w:r>
        <w:rPr>
          <w:rFonts w:hint="eastAsia" w:ascii="仿宋" w:hAnsi="仿宋" w:eastAsia="仿宋" w:cs="仿宋"/>
          <w:b/>
          <w:color w:val="000000"/>
          <w:sz w:val="28"/>
          <w:szCs w:val="24"/>
          <w:highlight w:val="none"/>
          <w:lang w:val="en-US" w:eastAsia="zh-CN"/>
        </w:rPr>
        <w:t>六</w:t>
      </w:r>
    </w:p>
    <w:p w14:paraId="1BA9F0A6">
      <w:pPr>
        <w:pStyle w:val="37"/>
        <w:spacing w:line="240" w:lineRule="auto"/>
        <w:ind w:left="0" w:leftChars="0" w:firstLine="0" w:firstLineChars="0"/>
        <w:jc w:val="center"/>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rPr>
        <w:t>法定代表人身份证</w:t>
      </w:r>
      <w:r>
        <w:rPr>
          <w:rFonts w:hint="eastAsia" w:ascii="仿宋" w:hAnsi="仿宋" w:eastAsia="仿宋" w:cs="仿宋"/>
          <w:b/>
          <w:color w:val="000000"/>
          <w:sz w:val="28"/>
          <w:szCs w:val="28"/>
          <w:highlight w:val="none"/>
          <w:lang w:val="en-US" w:eastAsia="zh-CN"/>
        </w:rPr>
        <w:t>明</w:t>
      </w:r>
    </w:p>
    <w:p w14:paraId="09EF2465">
      <w:pPr>
        <w:autoSpaceDE w:val="0"/>
        <w:autoSpaceDN w:val="0"/>
        <w:adjustRightInd w:val="0"/>
        <w:ind w:left="120" w:hanging="120"/>
        <w:rPr>
          <w:rFonts w:hint="eastAsia" w:ascii="仿宋" w:hAnsi="仿宋" w:eastAsia="仿宋" w:cs="仿宋"/>
          <w:sz w:val="24"/>
          <w:highlight w:val="none"/>
          <w:lang w:val="zh-CN"/>
        </w:rPr>
      </w:pPr>
    </w:p>
    <w:p w14:paraId="53C438D8">
      <w:pPr>
        <w:spacing w:line="460" w:lineRule="exact"/>
        <w:ind w:left="120" w:hanging="120"/>
        <w:rPr>
          <w:rFonts w:hint="eastAsia" w:ascii="仿宋" w:hAnsi="仿宋" w:eastAsia="仿宋" w:cs="仿宋"/>
          <w:sz w:val="24"/>
          <w:highlight w:val="none"/>
          <w:u w:val="singl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p>
    <w:p w14:paraId="520EBBB8">
      <w:pPr>
        <w:spacing w:line="460" w:lineRule="exact"/>
        <w:ind w:left="120" w:hanging="12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40EDBC9E">
      <w:pPr>
        <w:spacing w:line="460" w:lineRule="exact"/>
        <w:ind w:left="120" w:hanging="12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职务：</w:t>
      </w:r>
      <w:r>
        <w:rPr>
          <w:rFonts w:hint="eastAsia" w:ascii="仿宋" w:hAnsi="仿宋" w:eastAsia="仿宋" w:cs="仿宋"/>
          <w:sz w:val="24"/>
          <w:highlight w:val="none"/>
          <w:u w:val="single"/>
        </w:rPr>
        <w:t xml:space="preserve">             </w:t>
      </w:r>
    </w:p>
    <w:p w14:paraId="33117439">
      <w:pPr>
        <w:spacing w:line="460" w:lineRule="exact"/>
        <w:ind w:left="120" w:hanging="120"/>
        <w:rPr>
          <w:rFonts w:hint="eastAsia" w:ascii="仿宋" w:hAnsi="仿宋" w:eastAsia="仿宋" w:cs="仿宋"/>
          <w:sz w:val="24"/>
          <w:highlight w:val="none"/>
        </w:rPr>
      </w:pPr>
      <w:r>
        <w:rPr>
          <w:rFonts w:hint="eastAsia" w:ascii="仿宋" w:hAnsi="仿宋" w:eastAsia="仿宋" w:cs="仿宋"/>
          <w:sz w:val="24"/>
          <w:highlight w:val="none"/>
        </w:rPr>
        <w:t xml:space="preserve">系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的法定代表人。</w:t>
      </w:r>
    </w:p>
    <w:p w14:paraId="0B113FA0">
      <w:pPr>
        <w:spacing w:line="460" w:lineRule="exact"/>
        <w:ind w:left="120" w:hanging="120"/>
        <w:rPr>
          <w:rFonts w:hint="eastAsia" w:ascii="仿宋" w:hAnsi="仿宋" w:eastAsia="仿宋" w:cs="仿宋"/>
          <w:sz w:val="24"/>
          <w:highlight w:val="none"/>
        </w:rPr>
      </w:pPr>
    </w:p>
    <w:p w14:paraId="538501F0">
      <w:pPr>
        <w:autoSpaceDE w:val="0"/>
        <w:autoSpaceDN w:val="0"/>
        <w:adjustRightInd w:val="0"/>
        <w:spacing w:line="320" w:lineRule="exact"/>
        <w:ind w:left="0" w:leftChars="0" w:firstLine="0" w:firstLineChars="0"/>
        <w:rPr>
          <w:rFonts w:hint="eastAsia" w:ascii="仿宋" w:hAnsi="仿宋" w:eastAsia="仿宋" w:cs="仿宋"/>
          <w:sz w:val="24"/>
          <w:highlight w:val="none"/>
          <w:lang w:val="zh-CN"/>
        </w:rPr>
      </w:pPr>
    </w:p>
    <w:p w14:paraId="71F30D06">
      <w:pPr>
        <w:autoSpaceDE w:val="0"/>
        <w:autoSpaceDN w:val="0"/>
        <w:adjustRightInd w:val="0"/>
        <w:spacing w:line="320" w:lineRule="exact"/>
        <w:ind w:left="120" w:hanging="120"/>
        <w:rPr>
          <w:rFonts w:hint="eastAsia" w:ascii="仿宋" w:hAnsi="仿宋" w:eastAsia="仿宋" w:cs="仿宋"/>
          <w:sz w:val="24"/>
          <w:highlight w:val="none"/>
          <w:lang w:val="zh-CN"/>
        </w:rPr>
      </w:pPr>
    </w:p>
    <w:p w14:paraId="494A913C">
      <w:pPr>
        <w:autoSpaceDE w:val="0"/>
        <w:autoSpaceDN w:val="0"/>
        <w:adjustRightInd w:val="0"/>
        <w:spacing w:line="320" w:lineRule="exact"/>
        <w:ind w:left="120" w:hanging="120"/>
        <w:rPr>
          <w:rFonts w:hint="eastAsia" w:ascii="仿宋" w:hAnsi="仿宋" w:eastAsia="仿宋" w:cs="仿宋"/>
          <w:sz w:val="24"/>
          <w:highlight w:val="none"/>
          <w:lang w:val="zh-CN"/>
        </w:rPr>
      </w:pPr>
    </w:p>
    <w:p w14:paraId="5DFFB2FD">
      <w:pPr>
        <w:autoSpaceDE w:val="0"/>
        <w:autoSpaceDN w:val="0"/>
        <w:adjustRightInd w:val="0"/>
        <w:spacing w:line="320" w:lineRule="exact"/>
        <w:ind w:left="120" w:hanging="120"/>
        <w:rPr>
          <w:rFonts w:hint="eastAsia" w:ascii="仿宋" w:hAnsi="仿宋" w:eastAsia="仿宋" w:cs="仿宋"/>
          <w:sz w:val="24"/>
          <w:highlight w:val="none"/>
          <w:lang w:val="zh-CN"/>
        </w:rPr>
      </w:pPr>
      <w:r>
        <w:rPr>
          <w:rFonts w:hint="eastAsia" w:ascii="仿宋" w:hAnsi="仿宋" w:eastAsia="仿宋" w:cs="仿宋"/>
          <w:bCs/>
          <w:sz w:val="24"/>
          <w:highlight w:val="none"/>
        </w:rPr>
        <mc:AlternateContent>
          <mc:Choice Requires="wps">
            <w:drawing>
              <wp:anchor distT="0" distB="0" distL="114300" distR="114300" simplePos="0" relativeHeight="251664384" behindDoc="0" locked="0" layoutInCell="1" allowOverlap="1">
                <wp:simplePos x="0" y="0"/>
                <wp:positionH relativeFrom="column">
                  <wp:posOffset>2790825</wp:posOffset>
                </wp:positionH>
                <wp:positionV relativeFrom="paragraph">
                  <wp:posOffset>145415</wp:posOffset>
                </wp:positionV>
                <wp:extent cx="2472690" cy="1263650"/>
                <wp:effectExtent l="4445" t="4445" r="6985" b="12065"/>
                <wp:wrapNone/>
                <wp:docPr id="24" name="文本框 2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5FBE7395">
                            <w:pPr>
                              <w:ind w:left="140" w:hanging="140"/>
                              <w:jc w:val="center"/>
                              <w:rPr>
                                <w:sz w:val="24"/>
                                <w:szCs w:val="24"/>
                              </w:rPr>
                            </w:pPr>
                            <w:r>
                              <w:rPr>
                                <w:rFonts w:hint="eastAsia"/>
                                <w:sz w:val="24"/>
                                <w:szCs w:val="24"/>
                              </w:rPr>
                              <w:t>法人身份证复印件背面</w:t>
                            </w:r>
                          </w:p>
                        </w:txbxContent>
                      </wps:txbx>
                      <wps:bodyPr vert="horz" wrap="square" anchor="t" anchorCtr="0" upright="1"/>
                    </wps:wsp>
                  </a:graphicData>
                </a:graphic>
              </wp:anchor>
            </w:drawing>
          </mc:Choice>
          <mc:Fallback>
            <w:pict>
              <v:shape id="_x0000_s1026" o:spid="_x0000_s1026" o:spt="202" type="#_x0000_t202" style="position:absolute;left:0pt;margin-left:219.75pt;margin-top:11.45pt;height:99.5pt;width:194.7pt;z-index:251664384;mso-width-relative:page;mso-height-relative:page;" fillcolor="#FFFFFF" filled="t" stroked="t" coordsize="21600,21600" o:gfxdata="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ByrmjZAAAACgEAAA8AAAAAAAAAAQAgAAAAIgAAAGRycy9kb3ducmV2&#10;LnhtbFBLAQIUABQAAAAIAIdO4kBasME0NAIAAHoEAAAOAAAAAAAAAAEAIAAAACgBAABkcnMvZTJv&#10;RG9jLnhtbFBLBQYAAAAABgAGAFkBAADOBQAAAAA=&#10;">
                <v:fill on="t" focussize="0,0"/>
                <v:stroke color="#000000" joinstyle="miter" dashstyle="1 1" endcap="round"/>
                <v:imagedata o:title=""/>
                <o:lock v:ext="edit" aspectratio="f"/>
                <v:textbox>
                  <w:txbxContent>
                    <w:p w14:paraId="5FBE7395">
                      <w:pPr>
                        <w:ind w:left="140" w:hanging="140"/>
                        <w:jc w:val="center"/>
                        <w:rPr>
                          <w:sz w:val="24"/>
                          <w:szCs w:val="24"/>
                        </w:rPr>
                      </w:pPr>
                      <w:r>
                        <w:rPr>
                          <w:rFonts w:hint="eastAsia"/>
                          <w:sz w:val="24"/>
                          <w:szCs w:val="24"/>
                        </w:rPr>
                        <w:t>法人身份证复印件背面</w:t>
                      </w:r>
                    </w:p>
                  </w:txbxContent>
                </v:textbox>
              </v:shape>
            </w:pict>
          </mc:Fallback>
        </mc:AlternateContent>
      </w:r>
      <w:r>
        <w:rPr>
          <w:rFonts w:hint="eastAsia" w:ascii="仿宋" w:hAnsi="仿宋" w:eastAsia="仿宋" w:cs="仿宋"/>
          <w:bCs/>
          <w:sz w:val="24"/>
          <w:highlight w:val="none"/>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156210</wp:posOffset>
                </wp:positionV>
                <wp:extent cx="2472690" cy="1263650"/>
                <wp:effectExtent l="4445" t="4445" r="6985" b="12065"/>
                <wp:wrapNone/>
                <wp:docPr id="25" name="文本框 2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795DE606">
                            <w:pPr>
                              <w:ind w:left="140" w:hanging="140"/>
                              <w:jc w:val="center"/>
                              <w:rPr>
                                <w:sz w:val="24"/>
                                <w:szCs w:val="24"/>
                              </w:rPr>
                            </w:pPr>
                            <w:r>
                              <w:rPr>
                                <w:rFonts w:hint="eastAsia"/>
                                <w:sz w:val="24"/>
                                <w:szCs w:val="24"/>
                              </w:rPr>
                              <w:t>法人身份证复印件正面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3.75pt;margin-top:12.3pt;height:99.5pt;width:194.7pt;z-index:251663360;mso-width-relative:page;mso-height-relative:page;" fillcolor="#FFFFFF" filled="t" stroked="t" coordsize="21600,21600" o:gfxdata="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qR5xdoAAAAJAQAADwAAAAAAAAABACAAAAAiAAAAZHJzL2Rvd25yZXYu&#10;eG1sUEsBAhQAFAAAAAgAh07iQIhGdooyAgAAegQAAA4AAAAAAAAAAQAgAAAAKQEAAGRycy9lMm9E&#10;b2MueG1sUEsFBgAAAAAGAAYAWQEAAM0FAAAAAA==&#10;">
                <v:fill on="t" focussize="0,0"/>
                <v:stroke color="#000000" joinstyle="miter" dashstyle="1 1" endcap="round"/>
                <v:imagedata o:title=""/>
                <o:lock v:ext="edit" aspectratio="f"/>
                <v:textbox>
                  <w:txbxContent>
                    <w:p w14:paraId="795DE606">
                      <w:pPr>
                        <w:ind w:left="140" w:hanging="140"/>
                        <w:jc w:val="center"/>
                        <w:rPr>
                          <w:sz w:val="24"/>
                          <w:szCs w:val="24"/>
                        </w:rPr>
                      </w:pPr>
                      <w:r>
                        <w:rPr>
                          <w:rFonts w:hint="eastAsia"/>
                          <w:sz w:val="24"/>
                          <w:szCs w:val="24"/>
                        </w:rPr>
                        <w:t>法人身份证复印件正面</w:t>
                      </w:r>
                    </w:p>
                  </w:txbxContent>
                </v:textbox>
              </v:shape>
            </w:pict>
          </mc:Fallback>
        </mc:AlternateContent>
      </w:r>
    </w:p>
    <w:p w14:paraId="7FBB6F7B">
      <w:pPr>
        <w:autoSpaceDE w:val="0"/>
        <w:autoSpaceDN w:val="0"/>
        <w:adjustRightInd w:val="0"/>
        <w:spacing w:line="320" w:lineRule="exact"/>
        <w:ind w:left="120" w:hanging="120"/>
        <w:rPr>
          <w:rFonts w:hint="eastAsia" w:ascii="仿宋" w:hAnsi="仿宋" w:eastAsia="仿宋" w:cs="仿宋"/>
          <w:sz w:val="24"/>
          <w:highlight w:val="none"/>
          <w:lang w:val="zh-CN"/>
        </w:rPr>
      </w:pPr>
    </w:p>
    <w:p w14:paraId="7FE3CF89">
      <w:pPr>
        <w:autoSpaceDE w:val="0"/>
        <w:autoSpaceDN w:val="0"/>
        <w:adjustRightInd w:val="0"/>
        <w:spacing w:line="320" w:lineRule="exact"/>
        <w:ind w:left="120" w:hanging="120"/>
        <w:rPr>
          <w:rFonts w:hint="eastAsia" w:ascii="仿宋" w:hAnsi="仿宋" w:eastAsia="仿宋" w:cs="仿宋"/>
          <w:sz w:val="24"/>
          <w:highlight w:val="none"/>
          <w:lang w:val="zh-CN"/>
        </w:rPr>
      </w:pPr>
    </w:p>
    <w:p w14:paraId="02A8D117">
      <w:pPr>
        <w:autoSpaceDE w:val="0"/>
        <w:autoSpaceDN w:val="0"/>
        <w:adjustRightInd w:val="0"/>
        <w:spacing w:line="320" w:lineRule="exact"/>
        <w:ind w:left="120" w:hanging="120"/>
        <w:rPr>
          <w:rFonts w:hint="eastAsia" w:ascii="仿宋" w:hAnsi="仿宋" w:eastAsia="仿宋" w:cs="仿宋"/>
          <w:sz w:val="24"/>
          <w:highlight w:val="none"/>
          <w:lang w:val="zh-CN"/>
        </w:rPr>
      </w:pPr>
    </w:p>
    <w:p w14:paraId="28BB25D4">
      <w:pPr>
        <w:autoSpaceDE w:val="0"/>
        <w:autoSpaceDN w:val="0"/>
        <w:adjustRightInd w:val="0"/>
        <w:spacing w:line="320" w:lineRule="exact"/>
        <w:ind w:left="120" w:hanging="120"/>
        <w:rPr>
          <w:rFonts w:hint="eastAsia" w:ascii="仿宋" w:hAnsi="仿宋" w:eastAsia="仿宋" w:cs="仿宋"/>
          <w:sz w:val="24"/>
          <w:highlight w:val="none"/>
          <w:lang w:val="zh-CN"/>
        </w:rPr>
      </w:pPr>
    </w:p>
    <w:p w14:paraId="178A0063">
      <w:pPr>
        <w:autoSpaceDE w:val="0"/>
        <w:autoSpaceDN w:val="0"/>
        <w:adjustRightInd w:val="0"/>
        <w:spacing w:line="320" w:lineRule="exact"/>
        <w:ind w:left="120" w:hanging="120"/>
        <w:rPr>
          <w:rFonts w:hint="eastAsia" w:ascii="仿宋" w:hAnsi="仿宋" w:eastAsia="仿宋" w:cs="仿宋"/>
          <w:sz w:val="24"/>
          <w:highlight w:val="none"/>
          <w:lang w:val="zh-CN"/>
        </w:rPr>
      </w:pPr>
    </w:p>
    <w:p w14:paraId="6AB971FA">
      <w:pPr>
        <w:autoSpaceDE w:val="0"/>
        <w:autoSpaceDN w:val="0"/>
        <w:adjustRightInd w:val="0"/>
        <w:spacing w:line="320" w:lineRule="exact"/>
        <w:ind w:left="120" w:hanging="120"/>
        <w:rPr>
          <w:rFonts w:hint="eastAsia" w:ascii="仿宋" w:hAnsi="仿宋" w:eastAsia="仿宋" w:cs="仿宋"/>
          <w:sz w:val="24"/>
          <w:highlight w:val="none"/>
          <w:lang w:val="zh-CN"/>
        </w:rPr>
      </w:pPr>
    </w:p>
    <w:p w14:paraId="5F1579CC">
      <w:pPr>
        <w:autoSpaceDE w:val="0"/>
        <w:autoSpaceDN w:val="0"/>
        <w:adjustRightInd w:val="0"/>
        <w:spacing w:line="320" w:lineRule="exact"/>
        <w:ind w:left="120" w:hanging="120"/>
        <w:rPr>
          <w:rFonts w:hint="eastAsia" w:ascii="仿宋" w:hAnsi="仿宋" w:eastAsia="仿宋" w:cs="仿宋"/>
          <w:sz w:val="24"/>
          <w:highlight w:val="none"/>
          <w:lang w:val="zh-CN"/>
        </w:rPr>
      </w:pPr>
    </w:p>
    <w:p w14:paraId="663CFE3F">
      <w:pPr>
        <w:autoSpaceDE w:val="0"/>
        <w:autoSpaceDN w:val="0"/>
        <w:adjustRightInd w:val="0"/>
        <w:spacing w:line="320" w:lineRule="exact"/>
        <w:ind w:left="0" w:leftChars="0" w:firstLine="0" w:firstLineChars="0"/>
        <w:rPr>
          <w:rFonts w:hint="eastAsia" w:ascii="仿宋" w:hAnsi="仿宋" w:eastAsia="仿宋" w:cs="仿宋"/>
          <w:sz w:val="24"/>
          <w:highlight w:val="none"/>
          <w:lang w:val="zh-CN"/>
        </w:rPr>
      </w:pPr>
    </w:p>
    <w:p w14:paraId="206295E3">
      <w:pPr>
        <w:autoSpaceDE w:val="0"/>
        <w:autoSpaceDN w:val="0"/>
        <w:adjustRightInd w:val="0"/>
        <w:spacing w:line="320" w:lineRule="exact"/>
        <w:ind w:left="120" w:hanging="120"/>
        <w:rPr>
          <w:rFonts w:hint="eastAsia" w:ascii="仿宋" w:hAnsi="仿宋" w:eastAsia="仿宋" w:cs="仿宋"/>
          <w:sz w:val="24"/>
          <w:highlight w:val="none"/>
          <w:lang w:val="zh-CN"/>
        </w:rPr>
      </w:pPr>
    </w:p>
    <w:p w14:paraId="6C61A4E5">
      <w:pPr>
        <w:autoSpaceDE w:val="0"/>
        <w:autoSpaceDN w:val="0"/>
        <w:adjustRightInd w:val="0"/>
        <w:spacing w:line="320" w:lineRule="exact"/>
        <w:ind w:left="120" w:hanging="120"/>
        <w:rPr>
          <w:rFonts w:hint="eastAsia" w:ascii="仿宋" w:hAnsi="仿宋" w:eastAsia="仿宋" w:cs="仿宋"/>
          <w:sz w:val="24"/>
          <w:highlight w:val="none"/>
          <w:lang w:val="zh-CN"/>
        </w:rPr>
      </w:pPr>
    </w:p>
    <w:p w14:paraId="38D7DB4B">
      <w:pPr>
        <w:pStyle w:val="3"/>
        <w:outlineLvl w:val="9"/>
        <w:rPr>
          <w:rFonts w:hint="eastAsia" w:ascii="仿宋" w:hAnsi="仿宋" w:eastAsia="仿宋" w:cs="仿宋"/>
          <w:sz w:val="24"/>
          <w:highlight w:val="none"/>
          <w:lang w:val="zh-CN"/>
        </w:rPr>
      </w:pPr>
    </w:p>
    <w:p w14:paraId="0521A059">
      <w:pPr>
        <w:rPr>
          <w:rFonts w:hint="eastAsia" w:ascii="仿宋" w:hAnsi="仿宋" w:eastAsia="仿宋" w:cs="仿宋"/>
          <w:highlight w:val="none"/>
          <w:lang w:val="zh-CN"/>
        </w:rPr>
      </w:pPr>
    </w:p>
    <w:p w14:paraId="26D80487">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42F30003">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245446C7">
      <w:pPr>
        <w:spacing w:before="182" w:line="220" w:lineRule="auto"/>
        <w:ind w:left="5741"/>
        <w:rPr>
          <w:rFonts w:hint="eastAsia" w:ascii="仿宋" w:hAnsi="仿宋" w:eastAsia="仿宋" w:cs="仿宋"/>
          <w:sz w:val="24"/>
          <w:szCs w:val="24"/>
          <w:highlight w:val="none"/>
        </w:rPr>
        <w:sectPr>
          <w:headerReference r:id="rId17" w:type="default"/>
          <w:footerReference r:id="rId18" w:type="default"/>
          <w:type w:val="continuous"/>
          <w:pgSz w:w="11906" w:h="16839"/>
          <w:pgMar w:top="1440" w:right="1080" w:bottom="1440" w:left="1080" w:header="0" w:footer="986" w:gutter="0"/>
          <w:pgNumType w:fmt="decimal"/>
          <w:cols w:space="720" w:num="1"/>
          <w:rtlGutter w:val="0"/>
          <w:docGrid w:linePitch="1" w:charSpace="0"/>
        </w:sect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3173C1BA">
      <w:pPr>
        <w:pStyle w:val="37"/>
        <w:spacing w:line="240" w:lineRule="auto"/>
        <w:ind w:left="0" w:leftChars="0" w:firstLine="0" w:firstLineChars="0"/>
        <w:jc w:val="both"/>
        <w:rPr>
          <w:rFonts w:hint="eastAsia" w:ascii="仿宋" w:hAnsi="仿宋" w:eastAsia="仿宋" w:cs="仿宋"/>
          <w:b/>
          <w:color w:val="000000"/>
          <w:sz w:val="28"/>
          <w:szCs w:val="24"/>
          <w:highlight w:val="none"/>
          <w:lang w:val="en-US" w:eastAsia="zh-CN"/>
        </w:rPr>
      </w:pPr>
      <w:r>
        <w:rPr>
          <w:rFonts w:hint="eastAsia" w:ascii="仿宋" w:hAnsi="仿宋" w:eastAsia="仿宋" w:cs="仿宋"/>
          <w:b/>
          <w:color w:val="000000"/>
          <w:sz w:val="28"/>
          <w:szCs w:val="24"/>
          <w:highlight w:val="none"/>
          <w:lang w:val="en-US" w:eastAsia="zh-CN"/>
        </w:rPr>
        <w:t>附件七</w:t>
      </w:r>
    </w:p>
    <w:p w14:paraId="4EFFAC97">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法定代表人授权委托书</w:t>
      </w:r>
    </w:p>
    <w:p w14:paraId="4604C85F">
      <w:pPr>
        <w:pStyle w:val="44"/>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本授权委托书声明：注册于</w:t>
      </w:r>
      <w:r>
        <w:rPr>
          <w:rFonts w:hint="eastAsia" w:ascii="仿宋" w:hAnsi="仿宋" w:eastAsia="仿宋" w:cs="仿宋"/>
          <w:color w:val="000000"/>
          <w:sz w:val="24"/>
          <w:szCs w:val="24"/>
          <w:highlight w:val="none"/>
          <w:u w:val="single"/>
        </w:rPr>
        <w:t xml:space="preserve"> （投标人地址）  </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u w:val="single"/>
        </w:rPr>
        <w:t xml:space="preserve">  （单位名称）    </w:t>
      </w:r>
      <w:r>
        <w:rPr>
          <w:rFonts w:hint="eastAsia" w:ascii="仿宋" w:hAnsi="仿宋" w:eastAsia="仿宋" w:cs="仿宋"/>
          <w:color w:val="000000"/>
          <w:sz w:val="24"/>
          <w:szCs w:val="24"/>
          <w:highlight w:val="none"/>
        </w:rPr>
        <w:t>在下面签名的</w:t>
      </w:r>
      <w:r>
        <w:rPr>
          <w:rFonts w:hint="eastAsia" w:ascii="仿宋" w:hAnsi="仿宋" w:eastAsia="仿宋" w:cs="仿宋"/>
          <w:color w:val="000000"/>
          <w:sz w:val="24"/>
          <w:szCs w:val="24"/>
          <w:highlight w:val="none"/>
          <w:u w:val="single"/>
        </w:rPr>
        <w:t>（法定代表人姓名、职务）</w:t>
      </w:r>
      <w:r>
        <w:rPr>
          <w:rFonts w:hint="eastAsia" w:ascii="仿宋" w:hAnsi="仿宋" w:eastAsia="仿宋" w:cs="仿宋"/>
          <w:color w:val="000000"/>
          <w:sz w:val="24"/>
          <w:szCs w:val="24"/>
          <w:highlight w:val="none"/>
        </w:rPr>
        <w:t>在此授权</w:t>
      </w:r>
      <w:r>
        <w:rPr>
          <w:rFonts w:hint="eastAsia" w:ascii="仿宋" w:hAnsi="仿宋" w:eastAsia="仿宋" w:cs="仿宋"/>
          <w:color w:val="000000"/>
          <w:sz w:val="24"/>
          <w:szCs w:val="24"/>
          <w:highlight w:val="none"/>
          <w:u w:val="single"/>
        </w:rPr>
        <w:t>（被授权人姓名、职务）</w:t>
      </w:r>
      <w:r>
        <w:rPr>
          <w:rFonts w:hint="eastAsia" w:ascii="仿宋" w:hAnsi="仿宋" w:eastAsia="仿宋" w:cs="仿宋"/>
          <w:color w:val="000000"/>
          <w:sz w:val="24"/>
          <w:szCs w:val="24"/>
          <w:highlight w:val="none"/>
        </w:rPr>
        <w:t>作为我公司的合法代理人，就</w:t>
      </w:r>
      <w:r>
        <w:rPr>
          <w:rFonts w:hint="eastAsia" w:ascii="仿宋" w:hAnsi="仿宋" w:eastAsia="仿宋" w:cs="仿宋"/>
          <w:color w:val="000000"/>
          <w:sz w:val="24"/>
          <w:szCs w:val="24"/>
          <w:highlight w:val="none"/>
          <w:u w:val="single"/>
        </w:rPr>
        <w:t>（项目名称、项目编号</w:t>
      </w:r>
      <w:r>
        <w:rPr>
          <w:rFonts w:hint="eastAsia" w:ascii="仿宋" w:hAnsi="仿宋" w:eastAsia="仿宋" w:cs="仿宋"/>
          <w:color w:val="000000"/>
          <w:sz w:val="24"/>
          <w:szCs w:val="24"/>
          <w:highlight w:val="none"/>
        </w:rPr>
        <w:t>）的招投标活动，</w:t>
      </w:r>
      <w:r>
        <w:rPr>
          <w:rFonts w:hint="eastAsia" w:ascii="仿宋" w:hAnsi="仿宋" w:eastAsia="仿宋" w:cs="仿宋"/>
          <w:color w:val="000000"/>
          <w:sz w:val="24"/>
          <w:szCs w:val="24"/>
          <w:highlight w:val="none"/>
          <w:lang w:eastAsia="zh-CN"/>
        </w:rPr>
        <w:t>设计</w:t>
      </w:r>
      <w:r>
        <w:rPr>
          <w:rFonts w:hint="eastAsia" w:ascii="仿宋" w:hAnsi="仿宋" w:eastAsia="仿宋" w:cs="仿宋"/>
          <w:color w:val="000000"/>
          <w:sz w:val="24"/>
          <w:szCs w:val="24"/>
          <w:highlight w:val="none"/>
        </w:rPr>
        <w:t>合同的签订、执行、完成和售后服务，作为投标人代表以我方的名义处理一切与之有关的事务。</w:t>
      </w:r>
    </w:p>
    <w:p w14:paraId="0599E9F5">
      <w:pPr>
        <w:pStyle w:val="44"/>
        <w:spacing w:line="360" w:lineRule="auto"/>
        <w:ind w:firstLine="480" w:firstLineChars="200"/>
        <w:rPr>
          <w:rFonts w:hint="eastAsia" w:ascii="仿宋" w:hAnsi="仿宋" w:eastAsia="仿宋" w:cs="仿宋"/>
          <w:color w:val="000000"/>
          <w:sz w:val="24"/>
          <w:szCs w:val="24"/>
          <w:highlight w:val="none"/>
        </w:rPr>
      </w:pPr>
    </w:p>
    <w:p w14:paraId="4B9A39BB">
      <w:pPr>
        <w:pStyle w:val="44"/>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被授权人（投标人授权代表）无转委托权限。</w:t>
      </w:r>
    </w:p>
    <w:p w14:paraId="681A556F">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本授权书自法定代表人签字（盖个人名章）之日起生效，特此声明。</w:t>
      </w:r>
    </w:p>
    <w:p w14:paraId="2BAA50B4">
      <w:pPr>
        <w:rPr>
          <w:rFonts w:hint="eastAsia" w:ascii="仿宋" w:hAnsi="仿宋" w:eastAsia="仿宋" w:cs="仿宋"/>
          <w:color w:val="auto"/>
          <w:sz w:val="24"/>
          <w:szCs w:val="24"/>
          <w:highlight w:val="none"/>
        </w:rPr>
      </w:pPr>
    </w:p>
    <w:p w14:paraId="4E6A896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需附：法定代表人、被授权人身份证复印件。</w:t>
      </w:r>
    </w:p>
    <w:p w14:paraId="151F19DB">
      <w:pPr>
        <w:pStyle w:val="8"/>
        <w:rPr>
          <w:rFonts w:hint="eastAsia" w:ascii="仿宋" w:hAnsi="仿宋" w:eastAsia="仿宋" w:cs="仿宋"/>
          <w:highlight w:val="none"/>
        </w:rPr>
      </w:pPr>
    </w:p>
    <w:p w14:paraId="621AE0C3">
      <w:pPr>
        <w:rPr>
          <w:rFonts w:hint="eastAsia" w:ascii="仿宋" w:hAnsi="仿宋" w:eastAsia="仿宋" w:cs="仿宋"/>
          <w:color w:val="FF0000"/>
          <w:sz w:val="28"/>
          <w:szCs w:val="28"/>
          <w:highlight w:val="none"/>
        </w:rPr>
      </w:pPr>
      <w:r>
        <w:rPr>
          <w:rFonts w:hint="eastAsia" w:ascii="仿宋" w:hAnsi="仿宋" w:eastAsia="仿宋" w:cs="仿宋"/>
          <w:color w:val="FF0000"/>
          <w:sz w:val="28"/>
          <w:highlight w:val="none"/>
        </w:rPr>
        <mc:AlternateContent>
          <mc:Choice Requires="wps">
            <w:drawing>
              <wp:anchor distT="0" distB="0" distL="114300" distR="114300" simplePos="0" relativeHeight="251660288" behindDoc="0" locked="0" layoutInCell="1" allowOverlap="1">
                <wp:simplePos x="0" y="0"/>
                <wp:positionH relativeFrom="column">
                  <wp:posOffset>2816225</wp:posOffset>
                </wp:positionH>
                <wp:positionV relativeFrom="paragraph">
                  <wp:posOffset>62230</wp:posOffset>
                </wp:positionV>
                <wp:extent cx="2296160" cy="1219835"/>
                <wp:effectExtent l="7620" t="7620" r="12700" b="22225"/>
                <wp:wrapNone/>
                <wp:docPr id="3" name="文本框 3"/>
                <wp:cNvGraphicFramePr/>
                <a:graphic xmlns:a="http://schemas.openxmlformats.org/drawingml/2006/main">
                  <a:graphicData uri="http://schemas.microsoft.com/office/word/2010/wordprocessingShape">
                    <wps:wsp>
                      <wps:cNvSpPr txBox="1"/>
                      <wps:spPr>
                        <a:xfrm>
                          <a:off x="0" y="0"/>
                          <a:ext cx="1991360" cy="1219835"/>
                        </a:xfrm>
                        <a:prstGeom prst="rect">
                          <a:avLst/>
                        </a:prstGeom>
                        <a:noFill/>
                        <a:ln w="15875" cap="flat" cmpd="sng">
                          <a:solidFill>
                            <a:srgbClr val="000000"/>
                          </a:solidFill>
                          <a:prstDash val="solid"/>
                          <a:miter/>
                          <a:headEnd type="none" w="med" len="med"/>
                          <a:tailEnd type="none" w="med" len="med"/>
                        </a:ln>
                        <a:effectLst/>
                      </wps:spPr>
                      <wps:txbx>
                        <w:txbxContent>
                          <w:p w14:paraId="2907D076">
                            <w:pPr>
                              <w:rPr>
                                <w:rFonts w:hint="eastAsia"/>
                                <w:sz w:val="24"/>
                                <w:szCs w:val="32"/>
                              </w:rPr>
                            </w:pPr>
                            <w:r>
                              <w:rPr>
                                <w:rFonts w:hint="eastAsia"/>
                                <w:sz w:val="24"/>
                                <w:szCs w:val="32"/>
                              </w:rPr>
                              <w:t>被授权人身份证复印件正面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221.75pt;margin-top:4.9pt;height:96.05pt;width:180.8pt;z-index:251660288;mso-width-relative:page;mso-height-relative:page;" filled="f" stroked="t" coordsize="21600,21600" o:gfxdata="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ih4SdYAAAAJAQAADwAAAAAAAAABACAAAAAiAAAAZHJzL2Rvd25yZXYueG1sUEsBAhQAFAAA&#10;AAgAh07iQFZgQzUqAgAAUAQAAA4AAAAAAAAAAQAgAAAAJQEAAGRycy9lMm9Eb2MueG1sUEsFBgAA&#10;AAAGAAYAWQEAAMEFAAAAAA==&#10;">
                <v:fill on="f" focussize="0,0"/>
                <v:stroke weight="1.25pt" color="#000000" joinstyle="miter"/>
                <v:imagedata o:title=""/>
                <o:lock v:ext="edit" aspectratio="f"/>
                <v:textbox>
                  <w:txbxContent>
                    <w:p w14:paraId="2907D076">
                      <w:pPr>
                        <w:rPr>
                          <w:rFonts w:hint="eastAsia"/>
                          <w:sz w:val="24"/>
                          <w:szCs w:val="32"/>
                        </w:rPr>
                      </w:pPr>
                      <w:r>
                        <w:rPr>
                          <w:rFonts w:hint="eastAsia"/>
                          <w:sz w:val="24"/>
                          <w:szCs w:val="32"/>
                        </w:rPr>
                        <w:t>被授权人身份证复印件正面</w:t>
                      </w:r>
                    </w:p>
                  </w:txbxContent>
                </v:textbox>
              </v:shape>
            </w:pict>
          </mc:Fallback>
        </mc:AlternateContent>
      </w:r>
      <w:r>
        <w:rPr>
          <w:rFonts w:hint="eastAsia" w:ascii="仿宋" w:hAnsi="仿宋" w:eastAsia="仿宋" w:cs="仿宋"/>
          <w:color w:val="FF0000"/>
          <w:sz w:val="28"/>
          <w:highlight w:val="none"/>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62230</wp:posOffset>
                </wp:positionV>
                <wp:extent cx="2223770" cy="1219835"/>
                <wp:effectExtent l="7620" t="7620" r="8890" b="22225"/>
                <wp:wrapNone/>
                <wp:docPr id="19" name="文本框 19"/>
                <wp:cNvGraphicFramePr/>
                <a:graphic xmlns:a="http://schemas.openxmlformats.org/drawingml/2006/main">
                  <a:graphicData uri="http://schemas.microsoft.com/office/word/2010/wordprocessingShape">
                    <wps:wsp>
                      <wps:cNvSpPr txBox="1"/>
                      <wps:spPr>
                        <a:xfrm>
                          <a:off x="0" y="0"/>
                          <a:ext cx="2023745" cy="1219835"/>
                        </a:xfrm>
                        <a:prstGeom prst="rect">
                          <a:avLst/>
                        </a:prstGeom>
                        <a:noFill/>
                        <a:ln w="15875" cap="flat" cmpd="sng">
                          <a:solidFill>
                            <a:srgbClr val="000000"/>
                          </a:solidFill>
                          <a:prstDash val="solid"/>
                          <a:miter/>
                          <a:headEnd type="none" w="med" len="med"/>
                          <a:tailEnd type="none" w="med" len="med"/>
                        </a:ln>
                        <a:effectLst/>
                      </wps:spPr>
                      <wps:txbx>
                        <w:txbxContent>
                          <w:p w14:paraId="4592C930">
                            <w:pPr>
                              <w:rPr>
                                <w:rFonts w:hint="eastAsia"/>
                                <w:sz w:val="24"/>
                                <w:szCs w:val="24"/>
                              </w:rPr>
                            </w:pPr>
                            <w:r>
                              <w:rPr>
                                <w:rFonts w:hint="eastAsia"/>
                                <w:sz w:val="24"/>
                                <w:szCs w:val="24"/>
                              </w:rPr>
                              <w:t>法定代表人身份证复印件正面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7.55pt;margin-top:4.9pt;height:96.05pt;width:175.1pt;z-index:251659264;mso-width-relative:page;mso-height-relative:page;" filled="f" stroked="t" coordsize="21600,21600" o:gfxdata="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5A43x1AAAAAgBAAAPAAAAAAAAAAEAIAAAACIAAABkcnMvZG93bnJldi54bWxQSwECFAAUAAAA&#10;CACHTuJAZ1/47isCAABSBAAADgAAAAAAAAABACAAAAAjAQAAZHJzL2Uyb0RvYy54bWxQSwUGAAAA&#10;AAYABgBZAQAAwAUAAAAA&#10;">
                <v:fill on="f" focussize="0,0"/>
                <v:stroke weight="1.25pt" color="#000000" joinstyle="miter"/>
                <v:imagedata o:title=""/>
                <o:lock v:ext="edit" aspectratio="f"/>
                <v:textbox>
                  <w:txbxContent>
                    <w:p w14:paraId="4592C930">
                      <w:pPr>
                        <w:rPr>
                          <w:rFonts w:hint="eastAsia"/>
                          <w:sz w:val="24"/>
                          <w:szCs w:val="24"/>
                        </w:rPr>
                      </w:pPr>
                      <w:r>
                        <w:rPr>
                          <w:rFonts w:hint="eastAsia"/>
                          <w:sz w:val="24"/>
                          <w:szCs w:val="24"/>
                        </w:rPr>
                        <w:t>法定代表人身份证复印件正面</w:t>
                      </w:r>
                    </w:p>
                  </w:txbxContent>
                </v:textbox>
              </v:shape>
            </w:pict>
          </mc:Fallback>
        </mc:AlternateContent>
      </w:r>
    </w:p>
    <w:p w14:paraId="11ACE62C">
      <w:pPr>
        <w:rPr>
          <w:rFonts w:hint="eastAsia" w:ascii="仿宋" w:hAnsi="仿宋" w:eastAsia="仿宋" w:cs="仿宋"/>
          <w:color w:val="FF0000"/>
          <w:sz w:val="28"/>
          <w:szCs w:val="28"/>
          <w:highlight w:val="none"/>
        </w:rPr>
      </w:pPr>
    </w:p>
    <w:p w14:paraId="1878D33B">
      <w:pPr>
        <w:rPr>
          <w:rFonts w:hint="eastAsia" w:ascii="仿宋" w:hAnsi="仿宋" w:eastAsia="仿宋" w:cs="仿宋"/>
          <w:color w:val="FF0000"/>
          <w:sz w:val="28"/>
          <w:szCs w:val="28"/>
          <w:highlight w:val="none"/>
        </w:rPr>
      </w:pPr>
    </w:p>
    <w:p w14:paraId="43F5EE03">
      <w:pPr>
        <w:rPr>
          <w:rFonts w:hint="eastAsia" w:ascii="仿宋" w:hAnsi="仿宋" w:eastAsia="仿宋" w:cs="仿宋"/>
          <w:color w:val="FF0000"/>
          <w:sz w:val="28"/>
          <w:szCs w:val="28"/>
          <w:highlight w:val="none"/>
        </w:rPr>
      </w:pPr>
      <w:r>
        <w:rPr>
          <w:rFonts w:hint="eastAsia" w:ascii="仿宋" w:hAnsi="仿宋" w:eastAsia="仿宋" w:cs="仿宋"/>
          <w:color w:val="FF0000"/>
          <w:sz w:val="28"/>
          <w:highlight w:val="none"/>
        </w:rPr>
        <mc:AlternateContent>
          <mc:Choice Requires="wps">
            <w:drawing>
              <wp:anchor distT="0" distB="0" distL="114300" distR="114300" simplePos="0" relativeHeight="251662336" behindDoc="0" locked="0" layoutInCell="1" allowOverlap="1">
                <wp:simplePos x="0" y="0"/>
                <wp:positionH relativeFrom="column">
                  <wp:posOffset>2816225</wp:posOffset>
                </wp:positionH>
                <wp:positionV relativeFrom="paragraph">
                  <wp:posOffset>154940</wp:posOffset>
                </wp:positionV>
                <wp:extent cx="2313940" cy="1219835"/>
                <wp:effectExtent l="7620" t="7620" r="10160" b="22225"/>
                <wp:wrapNone/>
                <wp:docPr id="20" name="文本框 20"/>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a:effectLst/>
                      </wps:spPr>
                      <wps:txbx>
                        <w:txbxContent>
                          <w:p w14:paraId="4CFA5337">
                            <w:pPr>
                              <w:rPr>
                                <w:rFonts w:hint="eastAsia"/>
                                <w:sz w:val="24"/>
                                <w:szCs w:val="32"/>
                              </w:rPr>
                            </w:pPr>
                            <w:r>
                              <w:rPr>
                                <w:rFonts w:hint="eastAsia"/>
                                <w:sz w:val="24"/>
                                <w:szCs w:val="32"/>
                              </w:rPr>
                              <w:t>被授权人身份证复印件背面</w:t>
                            </w:r>
                          </w:p>
                        </w:txbxContent>
                      </wps:txbx>
                      <wps:bodyPr vert="horz" wrap="square" anchor="t" anchorCtr="0" upright="1"/>
                    </wps:wsp>
                  </a:graphicData>
                </a:graphic>
              </wp:anchor>
            </w:drawing>
          </mc:Choice>
          <mc:Fallback>
            <w:pict>
              <v:shape id="_x0000_s1026" o:spid="_x0000_s1026" o:spt="202" type="#_x0000_t202" style="position:absolute;left:0pt;margin-left:221.75pt;margin-top:12.2pt;height:96.05pt;width:182.2pt;z-index:251662336;mso-width-relative:page;mso-height-relative:page;" filled="f" stroked="t" coordsize="21600,21600" o:gfxdata="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jxA6PXAAAACgEAAA8AAAAAAAAAAQAgAAAAIgAAAGRycy9kb3ducmV2LnhtbFBLAQIUABQA&#10;AAAIAIdO4kCVjbUcKgIAAFIEAAAOAAAAAAAAAAEAIAAAACYBAABkcnMvZTJvRG9jLnhtbFBLBQYA&#10;AAAABgAGAFkBAADCBQAAAAA=&#10;">
                <v:fill on="f" focussize="0,0"/>
                <v:stroke weight="1.25pt" color="#000000" joinstyle="miter"/>
                <v:imagedata o:title=""/>
                <o:lock v:ext="edit" aspectratio="f"/>
                <v:textbox>
                  <w:txbxContent>
                    <w:p w14:paraId="4CFA5337">
                      <w:pPr>
                        <w:rPr>
                          <w:rFonts w:hint="eastAsia"/>
                          <w:sz w:val="24"/>
                          <w:szCs w:val="32"/>
                        </w:rPr>
                      </w:pPr>
                      <w:r>
                        <w:rPr>
                          <w:rFonts w:hint="eastAsia"/>
                          <w:sz w:val="24"/>
                          <w:szCs w:val="32"/>
                        </w:rPr>
                        <w:t>被授权人身份证复印件背面</w:t>
                      </w:r>
                    </w:p>
                  </w:txbxContent>
                </v:textbox>
              </v:shape>
            </w:pict>
          </mc:Fallback>
        </mc:AlternateContent>
      </w:r>
      <w:r>
        <w:rPr>
          <w:rFonts w:hint="eastAsia" w:ascii="仿宋" w:hAnsi="仿宋" w:eastAsia="仿宋" w:cs="仿宋"/>
          <w:color w:val="FF0000"/>
          <w:sz w:val="28"/>
          <w:highlight w:val="none"/>
        </w:rPr>
        <mc:AlternateContent>
          <mc:Choice Requires="wps">
            <w:drawing>
              <wp:anchor distT="0" distB="0" distL="114300" distR="114300" simplePos="0" relativeHeight="251661312" behindDoc="0" locked="0" layoutInCell="1" allowOverlap="1">
                <wp:simplePos x="0" y="0"/>
                <wp:positionH relativeFrom="column">
                  <wp:posOffset>95885</wp:posOffset>
                </wp:positionH>
                <wp:positionV relativeFrom="paragraph">
                  <wp:posOffset>154940</wp:posOffset>
                </wp:positionV>
                <wp:extent cx="2257425" cy="1219835"/>
                <wp:effectExtent l="7620" t="7620" r="20955" b="22225"/>
                <wp:wrapNone/>
                <wp:docPr id="21" name="文本框 21"/>
                <wp:cNvGraphicFramePr/>
                <a:graphic xmlns:a="http://schemas.openxmlformats.org/drawingml/2006/main">
                  <a:graphicData uri="http://schemas.microsoft.com/office/word/2010/wordprocessingShape">
                    <wps:wsp>
                      <wps:cNvSpPr txBox="1"/>
                      <wps:spPr>
                        <a:xfrm>
                          <a:off x="0" y="0"/>
                          <a:ext cx="1990725" cy="1219835"/>
                        </a:xfrm>
                        <a:prstGeom prst="rect">
                          <a:avLst/>
                        </a:prstGeom>
                        <a:noFill/>
                        <a:ln w="15875" cap="flat" cmpd="sng">
                          <a:solidFill>
                            <a:srgbClr val="000000"/>
                          </a:solidFill>
                          <a:prstDash val="solid"/>
                          <a:miter/>
                          <a:headEnd type="none" w="med" len="med"/>
                          <a:tailEnd type="none" w="med" len="med"/>
                        </a:ln>
                        <a:effectLst/>
                      </wps:spPr>
                      <wps:txbx>
                        <w:txbxContent>
                          <w:p w14:paraId="62087BD5">
                            <w:pPr>
                              <w:rPr>
                                <w:rFonts w:hint="eastAsia"/>
                                <w:sz w:val="24"/>
                                <w:szCs w:val="32"/>
                              </w:rPr>
                            </w:pPr>
                            <w:r>
                              <w:rPr>
                                <w:rFonts w:hint="eastAsia"/>
                                <w:sz w:val="24"/>
                                <w:szCs w:val="32"/>
                              </w:rPr>
                              <w:t>法定代表人身份证复印件背面</w:t>
                            </w:r>
                          </w:p>
                        </w:txbxContent>
                      </wps:txbx>
                      <wps:bodyPr vert="horz" wrap="square" anchor="t" anchorCtr="0" upright="1"/>
                    </wps:wsp>
                  </a:graphicData>
                </a:graphic>
              </wp:anchor>
            </w:drawing>
          </mc:Choice>
          <mc:Fallback>
            <w:pict>
              <v:shape id="_x0000_s1026" o:spid="_x0000_s1026" o:spt="202" type="#_x0000_t202" style="position:absolute;left:0pt;margin-left:7.55pt;margin-top:12.2pt;height:96.05pt;width:177.75pt;z-index:251661312;mso-width-relative:page;mso-height-relative:page;" filled="f" stroked="t" coordsize="21600,21600" o:gfxdata="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0YeAtUAAAAJAQAADwAAAAAAAAABACAAAAAiAAAAZHJzL2Rvd25yZXYueG1sUEsBAhQAFAAA&#10;AAgAh07iQHLcNMQrAgAAUgQAAA4AAAAAAAAAAQAgAAAAJAEAAGRycy9lMm9Eb2MueG1sUEsFBgAA&#10;AAAGAAYAWQEAAMEFAAAAAA==&#10;">
                <v:fill on="f" focussize="0,0"/>
                <v:stroke weight="1.25pt" color="#000000" joinstyle="miter"/>
                <v:imagedata o:title=""/>
                <o:lock v:ext="edit" aspectratio="f"/>
                <v:textbox>
                  <w:txbxContent>
                    <w:p w14:paraId="62087BD5">
                      <w:pPr>
                        <w:rPr>
                          <w:rFonts w:hint="eastAsia"/>
                          <w:sz w:val="24"/>
                          <w:szCs w:val="32"/>
                        </w:rPr>
                      </w:pPr>
                      <w:r>
                        <w:rPr>
                          <w:rFonts w:hint="eastAsia"/>
                          <w:sz w:val="24"/>
                          <w:szCs w:val="32"/>
                        </w:rPr>
                        <w:t>法定代表人身份证复印件背面</w:t>
                      </w:r>
                    </w:p>
                  </w:txbxContent>
                </v:textbox>
              </v:shape>
            </w:pict>
          </mc:Fallback>
        </mc:AlternateContent>
      </w:r>
    </w:p>
    <w:p w14:paraId="17EA1B0B">
      <w:pPr>
        <w:rPr>
          <w:rFonts w:hint="eastAsia" w:ascii="仿宋" w:hAnsi="仿宋" w:eastAsia="仿宋" w:cs="仿宋"/>
          <w:color w:val="FF0000"/>
          <w:sz w:val="28"/>
          <w:szCs w:val="28"/>
          <w:highlight w:val="none"/>
        </w:rPr>
      </w:pPr>
    </w:p>
    <w:p w14:paraId="215A3A0F">
      <w:pPr>
        <w:jc w:val="center"/>
        <w:rPr>
          <w:rFonts w:hint="eastAsia" w:ascii="仿宋" w:hAnsi="仿宋" w:eastAsia="仿宋" w:cs="仿宋"/>
          <w:b/>
          <w:color w:val="FF0000"/>
          <w:sz w:val="28"/>
          <w:szCs w:val="28"/>
          <w:highlight w:val="none"/>
        </w:rPr>
      </w:pPr>
    </w:p>
    <w:p w14:paraId="5F3F980E">
      <w:pPr>
        <w:jc w:val="center"/>
        <w:rPr>
          <w:rFonts w:hint="eastAsia" w:ascii="仿宋" w:hAnsi="仿宋" w:eastAsia="仿宋" w:cs="仿宋"/>
          <w:b/>
          <w:color w:val="FF0000"/>
          <w:sz w:val="28"/>
          <w:szCs w:val="28"/>
          <w:highlight w:val="none"/>
        </w:rPr>
      </w:pPr>
    </w:p>
    <w:p w14:paraId="7654F453">
      <w:pPr>
        <w:spacing w:line="360" w:lineRule="auto"/>
        <w:rPr>
          <w:rFonts w:hint="eastAsia" w:ascii="仿宋" w:hAnsi="仿宋" w:eastAsia="仿宋" w:cs="仿宋"/>
          <w:color w:val="auto"/>
          <w:sz w:val="24"/>
          <w:szCs w:val="28"/>
          <w:highlight w:val="none"/>
        </w:rPr>
      </w:pPr>
    </w:p>
    <w:p w14:paraId="1680AA93">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2F39E267">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7147781F">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69145452">
      <w:pPr>
        <w:pStyle w:val="20"/>
        <w:numPr>
          <w:ilvl w:val="0"/>
          <w:numId w:val="0"/>
        </w:numPr>
        <w:overflowPunct w:val="0"/>
        <w:snapToGrid w:val="0"/>
        <w:spacing w:line="360" w:lineRule="auto"/>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法定代表人参加的需提供法定代表人证明书，委托代理人参加的需提供法定代表人授权委托书，在公司（</w:t>
      </w:r>
      <w:r>
        <w:rPr>
          <w:rFonts w:hint="eastAsia" w:ascii="仿宋" w:hAnsi="仿宋" w:eastAsia="仿宋" w:cs="仿宋"/>
          <w:b w:val="0"/>
          <w:bCs/>
          <w:color w:val="FF0000"/>
          <w:kern w:val="2"/>
          <w:sz w:val="24"/>
          <w:szCs w:val="22"/>
          <w:highlight w:val="none"/>
          <w:lang w:val="en-US" w:eastAsia="zh-CN" w:bidi="ar-SA"/>
        </w:rPr>
        <w:t>委托公司</w:t>
      </w:r>
      <w:r>
        <w:rPr>
          <w:rFonts w:hint="eastAsia" w:ascii="仿宋" w:hAnsi="仿宋" w:eastAsia="仿宋" w:cs="仿宋"/>
          <w:b w:val="0"/>
          <w:bCs/>
          <w:color w:val="auto"/>
          <w:kern w:val="2"/>
          <w:sz w:val="24"/>
          <w:szCs w:val="22"/>
          <w:highlight w:val="none"/>
          <w:lang w:val="en-US" w:eastAsia="zh-CN" w:bidi="ar-SA"/>
        </w:rPr>
        <w:t>）提供投标截止日前6个月内任意1个月的社保证明材料，如依法不需要缴纳社会保障资金的，应提供相应文件证明；</w:t>
      </w:r>
    </w:p>
    <w:p w14:paraId="18B7042F">
      <w:pPr>
        <w:rPr>
          <w:rFonts w:hint="eastAsia" w:ascii="仿宋" w:hAnsi="仿宋" w:eastAsia="仿宋" w:cs="仿宋"/>
          <w:sz w:val="24"/>
          <w:szCs w:val="32"/>
          <w:highlight w:val="none"/>
          <w:lang w:eastAsia="zh-CN"/>
        </w:rPr>
        <w:sectPr>
          <w:headerReference r:id="rId19" w:type="default"/>
          <w:footerReference r:id="rId20" w:type="default"/>
          <w:type w:val="continuous"/>
          <w:pgSz w:w="11905" w:h="16838"/>
          <w:pgMar w:top="1440" w:right="1080" w:bottom="1440" w:left="1080" w:header="567" w:footer="454" w:gutter="0"/>
          <w:pgNumType w:fmt="decimal"/>
          <w:cols w:space="720" w:num="1"/>
          <w:rtlGutter w:val="0"/>
          <w:docGrid w:type="lines" w:linePitch="317" w:charSpace="0"/>
        </w:sectPr>
      </w:pPr>
    </w:p>
    <w:p w14:paraId="4399272A">
      <w:pPr>
        <w:spacing w:before="78" w:line="219" w:lineRule="auto"/>
        <w:ind w:left="3219"/>
        <w:rPr>
          <w:rFonts w:hint="eastAsia" w:ascii="仿宋" w:hAnsi="仿宋" w:eastAsia="仿宋" w:cs="仿宋"/>
          <w:b/>
          <w:color w:val="000000"/>
          <w:sz w:val="28"/>
          <w:szCs w:val="24"/>
          <w:highlight w:val="none"/>
          <w:lang w:val="en-US" w:eastAsia="zh-CN"/>
        </w:rPr>
      </w:pPr>
      <w:r>
        <w:rPr>
          <w:rFonts w:hint="eastAsia" w:ascii="仿宋" w:hAnsi="仿宋" w:eastAsia="仿宋" w:cs="仿宋"/>
          <w:b/>
          <w:color w:val="000000"/>
          <w:sz w:val="28"/>
          <w:szCs w:val="24"/>
          <w:highlight w:val="none"/>
          <w:lang w:val="en-US" w:eastAsia="zh-CN"/>
        </w:rPr>
        <w:t>附件八</w:t>
      </w:r>
    </w:p>
    <w:p w14:paraId="2FAE4B12">
      <w:pPr>
        <w:spacing w:before="78" w:line="219" w:lineRule="auto"/>
        <w:ind w:left="3219"/>
        <w:jc w:val="center"/>
        <w:rPr>
          <w:rFonts w:hint="eastAsia" w:ascii="仿宋" w:hAnsi="仿宋" w:eastAsia="仿宋" w:cs="仿宋"/>
          <w:b/>
          <w:bCs/>
          <w:sz w:val="28"/>
          <w:szCs w:val="28"/>
          <w:highlight w:val="none"/>
        </w:rPr>
      </w:pPr>
      <w:r>
        <w:rPr>
          <w:rFonts w:hint="eastAsia" w:ascii="仿宋" w:hAnsi="仿宋" w:eastAsia="仿宋" w:cs="仿宋"/>
          <w:b/>
          <w:bCs/>
          <w:spacing w:val="-1"/>
          <w:sz w:val="28"/>
          <w:szCs w:val="28"/>
          <w:highlight w:val="none"/>
        </w:rPr>
        <w:t>项目负责人任命书</w:t>
      </w:r>
    </w:p>
    <w:p w14:paraId="01B2C6DB">
      <w:pPr>
        <w:pStyle w:val="8"/>
        <w:spacing w:line="242" w:lineRule="auto"/>
        <w:rPr>
          <w:rFonts w:hint="eastAsia" w:ascii="仿宋" w:hAnsi="仿宋" w:eastAsia="仿宋" w:cs="仿宋"/>
          <w:highlight w:val="none"/>
        </w:rPr>
      </w:pPr>
    </w:p>
    <w:p w14:paraId="2BE82D34">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单位名称：</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 xml:space="preserve">（单位名称）   </w:t>
      </w:r>
    </w:p>
    <w:p w14:paraId="317280C4">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法人代表</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 xml:space="preserve">（法人代表） </w:t>
      </w:r>
    </w:p>
    <w:p w14:paraId="5DB8B4E1">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p>
    <w:p w14:paraId="38AD26D9">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地     址：</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 xml:space="preserve">（地    址） </w:t>
      </w:r>
    </w:p>
    <w:p w14:paraId="33A2171D">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p>
    <w:p w14:paraId="76ED31E6">
      <w:pPr>
        <w:spacing w:line="240" w:lineRule="auto"/>
        <w:ind w:left="0" w:right="0" w:firstLine="0" w:firstLineChars="0"/>
        <w:jc w:val="left"/>
        <w:rPr>
          <w:rFonts w:hint="eastAsia" w:ascii="仿宋" w:hAnsi="仿宋" w:eastAsia="仿宋" w:cs="仿宋"/>
          <w:color w:val="000000"/>
          <w:kern w:val="2"/>
          <w:sz w:val="24"/>
          <w:szCs w:val="24"/>
          <w:highlight w:val="none"/>
          <w:u w:val="single"/>
          <w:lang w:val="en-US" w:eastAsia="zh-CN" w:bidi="ar-SA"/>
        </w:rPr>
      </w:pPr>
      <w:r>
        <w:rPr>
          <w:rFonts w:hint="eastAsia" w:ascii="仿宋" w:hAnsi="仿宋" w:eastAsia="仿宋" w:cs="仿宋"/>
          <w:color w:val="000000"/>
          <w:kern w:val="2"/>
          <w:sz w:val="24"/>
          <w:szCs w:val="24"/>
          <w:highlight w:val="none"/>
          <w:lang w:val="en-US" w:eastAsia="zh-CN" w:bidi="ar-SA"/>
        </w:rPr>
        <w:t>被任命人：</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性别：</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 xml:space="preserve">  年龄：</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 xml:space="preserve">   职务： </w:t>
      </w:r>
      <w:r>
        <w:rPr>
          <w:rFonts w:hint="eastAsia" w:ascii="仿宋" w:hAnsi="仿宋" w:eastAsia="仿宋" w:cs="仿宋"/>
          <w:color w:val="000000"/>
          <w:kern w:val="2"/>
          <w:sz w:val="24"/>
          <w:szCs w:val="24"/>
          <w:highlight w:val="none"/>
          <w:u w:val="single"/>
          <w:lang w:val="en-US" w:eastAsia="zh-CN" w:bidi="ar-SA"/>
        </w:rPr>
        <w:t xml:space="preserve">       </w:t>
      </w:r>
    </w:p>
    <w:p w14:paraId="03C22D03">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p>
    <w:p w14:paraId="1D1479EF">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工作单位：</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 xml:space="preserve">（工作单位） </w:t>
      </w:r>
    </w:p>
    <w:p w14:paraId="103F3DA3">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地     址：</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 xml:space="preserve">（地    址）  </w:t>
      </w:r>
    </w:p>
    <w:p w14:paraId="2EFF289D">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p>
    <w:p w14:paraId="36AE5963">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我系</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的法定代表人 ，现任命</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 xml:space="preserve"> 为</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项目的项目负责人，负责项目的整体管理及与采购人之间的沟通等相关事宜。</w:t>
      </w:r>
    </w:p>
    <w:p w14:paraId="080E3383">
      <w:pPr>
        <w:spacing w:line="240" w:lineRule="auto"/>
        <w:ind w:left="0" w:right="0" w:firstLine="0" w:firstLineChars="0"/>
        <w:jc w:val="left"/>
        <w:rPr>
          <w:rFonts w:hint="eastAsia" w:ascii="仿宋" w:hAnsi="仿宋" w:eastAsia="仿宋" w:cs="仿宋"/>
          <w:color w:val="000000"/>
          <w:kern w:val="2"/>
          <w:sz w:val="24"/>
          <w:szCs w:val="24"/>
          <w:highlight w:val="none"/>
          <w:lang w:val="en-US" w:eastAsia="zh-CN" w:bidi="ar-SA"/>
        </w:rPr>
      </w:pPr>
    </w:p>
    <w:p w14:paraId="34C27E88">
      <w:pPr>
        <w:pStyle w:val="8"/>
        <w:spacing w:after="0" w:line="240" w:lineRule="auto"/>
        <w:ind w:left="0" w:right="0" w:firstLine="0" w:firstLineChars="0"/>
        <w:jc w:val="left"/>
        <w:rPr>
          <w:rFonts w:hint="eastAsia" w:ascii="仿宋" w:hAnsi="仿宋" w:eastAsia="仿宋" w:cs="仿宋"/>
          <w:sz w:val="24"/>
          <w:szCs w:val="24"/>
          <w:highlight w:val="none"/>
        </w:rPr>
      </w:pPr>
    </w:p>
    <w:p w14:paraId="4B09A354">
      <w:pPr>
        <w:spacing w:line="240" w:lineRule="auto"/>
        <w:ind w:left="0" w:right="0" w:firstLine="0" w:firstLineChars="0"/>
        <w:jc w:val="left"/>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后附人员身份证复印件。</w:t>
      </w:r>
    </w:p>
    <w:p w14:paraId="7B8E49D0">
      <w:pPr>
        <w:pStyle w:val="8"/>
        <w:spacing w:after="0" w:line="240" w:lineRule="auto"/>
        <w:ind w:left="0" w:right="0" w:firstLine="0" w:firstLineChars="0"/>
        <w:jc w:val="left"/>
        <w:rPr>
          <w:rFonts w:hint="eastAsia" w:ascii="仿宋" w:hAnsi="仿宋" w:eastAsia="仿宋" w:cs="仿宋"/>
          <w:sz w:val="24"/>
          <w:szCs w:val="24"/>
          <w:highlight w:val="none"/>
        </w:rPr>
      </w:pPr>
    </w:p>
    <w:p w14:paraId="592AB822">
      <w:pPr>
        <w:pStyle w:val="8"/>
        <w:spacing w:after="0" w:line="240" w:lineRule="auto"/>
        <w:ind w:left="0" w:right="0" w:firstLine="0" w:firstLineChars="0"/>
        <w:jc w:val="left"/>
        <w:rPr>
          <w:rFonts w:hint="eastAsia" w:ascii="仿宋" w:hAnsi="仿宋" w:eastAsia="仿宋" w:cs="仿宋"/>
          <w:sz w:val="24"/>
          <w:szCs w:val="24"/>
          <w:highlight w:val="none"/>
        </w:rPr>
      </w:pPr>
    </w:p>
    <w:p w14:paraId="7112E689">
      <w:pPr>
        <w:pStyle w:val="8"/>
        <w:spacing w:after="0" w:line="240" w:lineRule="auto"/>
        <w:ind w:left="0" w:right="0" w:firstLine="0" w:firstLineChars="0"/>
        <w:jc w:val="left"/>
        <w:rPr>
          <w:rFonts w:hint="eastAsia" w:ascii="仿宋" w:hAnsi="仿宋" w:eastAsia="仿宋" w:cs="仿宋"/>
          <w:sz w:val="24"/>
          <w:szCs w:val="24"/>
          <w:highlight w:val="none"/>
        </w:rPr>
      </w:pPr>
    </w:p>
    <w:p w14:paraId="6433B96A">
      <w:pPr>
        <w:pStyle w:val="8"/>
        <w:spacing w:after="0" w:line="240" w:lineRule="auto"/>
        <w:ind w:left="0" w:right="0" w:firstLine="0" w:firstLineChars="0"/>
        <w:jc w:val="left"/>
        <w:rPr>
          <w:rFonts w:hint="eastAsia" w:ascii="仿宋" w:hAnsi="仿宋" w:eastAsia="仿宋" w:cs="仿宋"/>
          <w:sz w:val="24"/>
          <w:szCs w:val="24"/>
          <w:highlight w:val="none"/>
        </w:rPr>
      </w:pPr>
    </w:p>
    <w:p w14:paraId="1D2CFBE9">
      <w:pPr>
        <w:spacing w:line="240" w:lineRule="auto"/>
        <w:ind w:left="0" w:right="0" w:firstLine="0" w:firstLineChars="0"/>
        <w:jc w:val="left"/>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投标人名称（公章</w:t>
      </w:r>
      <w:r>
        <w:rPr>
          <w:rFonts w:hint="eastAsia" w:ascii="仿宋" w:hAnsi="仿宋" w:eastAsia="仿宋" w:cs="仿宋"/>
          <w:spacing w:val="-3"/>
          <w:sz w:val="24"/>
          <w:szCs w:val="24"/>
          <w:highlight w:val="none"/>
        </w:rPr>
        <w:t>）：</w:t>
      </w:r>
    </w:p>
    <w:p w14:paraId="57485072">
      <w:pPr>
        <w:spacing w:line="240" w:lineRule="auto"/>
        <w:ind w:left="0" w:right="0" w:firstLine="0" w:firstLineChars="0"/>
        <w:jc w:val="left"/>
        <w:rPr>
          <w:rFonts w:hint="eastAsia" w:ascii="仿宋" w:hAnsi="仿宋" w:eastAsia="仿宋" w:cs="仿宋"/>
          <w:sz w:val="24"/>
          <w:szCs w:val="24"/>
          <w:highlight w:val="none"/>
        </w:rPr>
      </w:pPr>
      <w:r>
        <w:rPr>
          <w:rFonts w:hint="eastAsia" w:ascii="仿宋" w:hAnsi="仿宋" w:eastAsia="仿宋" w:cs="仿宋"/>
          <w:spacing w:val="-6"/>
          <w:position w:val="25"/>
          <w:sz w:val="24"/>
          <w:szCs w:val="24"/>
          <w:highlight w:val="none"/>
        </w:rPr>
        <w:t>法定代表人（签字或盖章</w:t>
      </w:r>
      <w:r>
        <w:rPr>
          <w:rFonts w:hint="eastAsia" w:ascii="仿宋" w:hAnsi="仿宋" w:eastAsia="仿宋" w:cs="仿宋"/>
          <w:spacing w:val="-1"/>
          <w:position w:val="25"/>
          <w:sz w:val="24"/>
          <w:szCs w:val="24"/>
          <w:highlight w:val="none"/>
        </w:rPr>
        <w:t>）：</w:t>
      </w:r>
    </w:p>
    <w:p w14:paraId="5F49CCC7">
      <w:pPr>
        <w:spacing w:line="240" w:lineRule="auto"/>
        <w:ind w:left="0" w:right="0" w:firstLine="0" w:firstLineChars="0"/>
        <w:jc w:val="left"/>
        <w:rPr>
          <w:rFonts w:hint="eastAsia" w:ascii="仿宋" w:hAnsi="仿宋" w:eastAsia="仿宋" w:cs="仿宋"/>
          <w:sz w:val="24"/>
          <w:szCs w:val="24"/>
          <w:highlight w:val="none"/>
        </w:rPr>
      </w:pPr>
      <w:r>
        <w:rPr>
          <w:rFonts w:hint="eastAsia" w:ascii="仿宋" w:hAnsi="仿宋" w:eastAsia="仿宋" w:cs="仿宋"/>
          <w:spacing w:val="-30"/>
          <w:sz w:val="24"/>
          <w:szCs w:val="24"/>
          <w:highlight w:val="none"/>
        </w:rPr>
        <w:t>日期：</w:t>
      </w:r>
      <w:r>
        <w:rPr>
          <w:rFonts w:hint="eastAsia" w:ascii="仿宋" w:hAnsi="仿宋" w:eastAsia="仿宋" w:cs="仿宋"/>
          <w:spacing w:val="37"/>
          <w:sz w:val="24"/>
          <w:szCs w:val="24"/>
          <w:highlight w:val="none"/>
        </w:rPr>
        <w:t xml:space="preserve">   </w:t>
      </w:r>
      <w:r>
        <w:rPr>
          <w:rFonts w:hint="eastAsia" w:ascii="仿宋" w:hAnsi="仿宋" w:eastAsia="仿宋" w:cs="仿宋"/>
          <w:spacing w:val="-30"/>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30"/>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30"/>
          <w:sz w:val="24"/>
          <w:szCs w:val="24"/>
          <w:highlight w:val="none"/>
        </w:rPr>
        <w:t>日</w:t>
      </w:r>
    </w:p>
    <w:p w14:paraId="0179436E">
      <w:pPr>
        <w:pStyle w:val="37"/>
        <w:spacing w:line="240" w:lineRule="auto"/>
        <w:ind w:left="0" w:leftChars="0" w:firstLine="0" w:firstLineChars="0"/>
        <w:jc w:val="left"/>
        <w:rPr>
          <w:rFonts w:hint="eastAsia" w:ascii="仿宋" w:hAnsi="仿宋" w:eastAsia="仿宋" w:cs="仿宋"/>
          <w:b/>
          <w:color w:val="000000"/>
          <w:sz w:val="24"/>
          <w:szCs w:val="24"/>
          <w:highlight w:val="none"/>
          <w:lang w:val="en-US" w:eastAsia="zh-CN"/>
        </w:rPr>
        <w:sectPr>
          <w:type w:val="continuous"/>
          <w:pgSz w:w="11905" w:h="16838"/>
          <w:pgMar w:top="1440" w:right="1080" w:bottom="1440" w:left="1080" w:header="567" w:footer="454" w:gutter="0"/>
          <w:pgNumType w:fmt="decimal"/>
          <w:cols w:space="720" w:num="1"/>
          <w:rtlGutter w:val="0"/>
          <w:docGrid w:type="lines" w:linePitch="317" w:charSpace="0"/>
        </w:sectPr>
      </w:pPr>
    </w:p>
    <w:p w14:paraId="4AEBF509">
      <w:pPr>
        <w:pStyle w:val="37"/>
        <w:spacing w:line="240" w:lineRule="auto"/>
        <w:ind w:left="0" w:leftChars="0" w:firstLine="0" w:firstLineChars="0"/>
        <w:jc w:val="both"/>
        <w:rPr>
          <w:rFonts w:hint="eastAsia" w:ascii="仿宋" w:hAnsi="仿宋" w:eastAsia="仿宋" w:cs="仿宋"/>
          <w:b/>
          <w:color w:val="000000"/>
          <w:sz w:val="28"/>
          <w:szCs w:val="24"/>
          <w:highlight w:val="none"/>
          <w:lang w:val="en-US" w:eastAsia="zh-CN"/>
        </w:rPr>
      </w:pPr>
      <w:r>
        <w:rPr>
          <w:rFonts w:hint="eastAsia" w:ascii="仿宋" w:hAnsi="仿宋" w:eastAsia="仿宋" w:cs="仿宋"/>
          <w:b/>
          <w:color w:val="000000"/>
          <w:sz w:val="28"/>
          <w:szCs w:val="24"/>
          <w:highlight w:val="none"/>
          <w:lang w:val="en-US" w:eastAsia="zh-CN"/>
        </w:rPr>
        <w:t>附件九</w:t>
      </w:r>
    </w:p>
    <w:p w14:paraId="5C243EE8">
      <w:pPr>
        <w:pStyle w:val="37"/>
        <w:spacing w:line="240" w:lineRule="auto"/>
        <w:ind w:left="0" w:leftChars="0" w:firstLine="0" w:firstLineChars="0"/>
        <w:jc w:val="center"/>
        <w:rPr>
          <w:rFonts w:hint="eastAsia" w:ascii="仿宋" w:hAnsi="仿宋" w:eastAsia="仿宋" w:cs="仿宋"/>
          <w:b/>
          <w:bCs w:val="0"/>
          <w:color w:val="000000"/>
          <w:sz w:val="28"/>
          <w:szCs w:val="24"/>
          <w:highlight w:val="none"/>
          <w:lang w:val="en-US" w:eastAsia="zh-CN"/>
        </w:rPr>
      </w:pPr>
      <w:r>
        <w:rPr>
          <w:rFonts w:hint="eastAsia" w:ascii="仿宋" w:hAnsi="仿宋" w:eastAsia="仿宋" w:cs="仿宋"/>
          <w:b/>
          <w:bCs w:val="0"/>
          <w:color w:val="000000"/>
          <w:sz w:val="28"/>
          <w:szCs w:val="24"/>
          <w:highlight w:val="none"/>
          <w:lang w:val="en-US" w:eastAsia="zh-CN"/>
        </w:rPr>
        <w:t>投标人资格声明函</w:t>
      </w:r>
    </w:p>
    <w:p w14:paraId="75EBB75F">
      <w:pPr>
        <w:pStyle w:val="37"/>
        <w:spacing w:line="240" w:lineRule="auto"/>
        <w:ind w:left="0" w:leftChars="0" w:firstLine="480" w:firstLineChars="200"/>
        <w:jc w:val="both"/>
        <w:rPr>
          <w:rFonts w:hint="eastAsia" w:ascii="仿宋" w:hAnsi="仿宋" w:eastAsia="仿宋" w:cs="仿宋"/>
          <w:b w:val="0"/>
          <w:bCs/>
          <w:color w:val="000000"/>
          <w:sz w:val="24"/>
          <w:szCs w:val="24"/>
          <w:highlight w:val="none"/>
          <w:lang w:val="en-US" w:eastAsia="zh-CN"/>
        </w:rPr>
      </w:pPr>
    </w:p>
    <w:p w14:paraId="79503DDE">
      <w:pPr>
        <w:pStyle w:val="37"/>
        <w:spacing w:line="240" w:lineRule="auto"/>
        <w:ind w:left="0" w:leftChars="0" w:firstLine="480" w:firstLineChars="200"/>
        <w:jc w:val="both"/>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我公司</w:t>
      </w:r>
      <w:r>
        <w:rPr>
          <w:rFonts w:hint="eastAsia" w:ascii="仿宋" w:hAnsi="仿宋" w:eastAsia="仿宋" w:cs="仿宋"/>
          <w:b w:val="0"/>
          <w:bCs/>
          <w:color w:val="000000"/>
          <w:sz w:val="24"/>
          <w:szCs w:val="24"/>
          <w:highlight w:val="none"/>
          <w:u w:val="single"/>
          <w:lang w:val="en-US" w:eastAsia="zh-CN"/>
        </w:rPr>
        <w:t xml:space="preserve"> （供应商全称） </w:t>
      </w:r>
      <w:r>
        <w:rPr>
          <w:rFonts w:hint="eastAsia" w:ascii="仿宋" w:hAnsi="仿宋" w:eastAsia="仿宋" w:cs="仿宋"/>
          <w:b w:val="0"/>
          <w:bCs/>
          <w:color w:val="000000"/>
          <w:sz w:val="24"/>
          <w:szCs w:val="24"/>
          <w:highlight w:val="none"/>
          <w:lang w:val="en-US" w:eastAsia="zh-CN"/>
        </w:rPr>
        <w:t>收到</w:t>
      </w:r>
      <w:r>
        <w:rPr>
          <w:rFonts w:hint="eastAsia" w:ascii="仿宋" w:hAnsi="仿宋" w:eastAsia="仿宋" w:cs="仿宋"/>
          <w:b w:val="0"/>
          <w:bCs/>
          <w:color w:val="000000"/>
          <w:sz w:val="24"/>
          <w:szCs w:val="24"/>
          <w:highlight w:val="none"/>
          <w:u w:val="single"/>
          <w:lang w:val="en-US" w:eastAsia="zh-CN"/>
        </w:rPr>
        <w:t xml:space="preserve">                 </w:t>
      </w:r>
      <w:r>
        <w:rPr>
          <w:rFonts w:hint="eastAsia" w:ascii="仿宋" w:hAnsi="仿宋" w:eastAsia="仿宋" w:cs="仿宋"/>
          <w:b w:val="0"/>
          <w:bCs/>
          <w:color w:val="000000"/>
          <w:sz w:val="24"/>
          <w:szCs w:val="24"/>
          <w:highlight w:val="none"/>
          <w:lang w:val="en-US" w:eastAsia="zh-CN"/>
        </w:rPr>
        <w:t>项目（项目编号：</w:t>
      </w:r>
      <w:r>
        <w:rPr>
          <w:rFonts w:hint="eastAsia" w:ascii="仿宋" w:hAnsi="仿宋" w:eastAsia="仿宋" w:cs="仿宋"/>
          <w:b w:val="0"/>
          <w:bCs/>
          <w:color w:val="000000"/>
          <w:sz w:val="24"/>
          <w:szCs w:val="24"/>
          <w:highlight w:val="none"/>
          <w:u w:val="single"/>
          <w:lang w:val="en-US" w:eastAsia="zh-CN"/>
        </w:rPr>
        <w:t xml:space="preserve">      </w:t>
      </w:r>
      <w:r>
        <w:rPr>
          <w:rFonts w:hint="eastAsia" w:ascii="仿宋" w:hAnsi="仿宋" w:eastAsia="仿宋" w:cs="仿宋"/>
          <w:b w:val="0"/>
          <w:bCs/>
          <w:color w:val="000000"/>
          <w:sz w:val="24"/>
          <w:szCs w:val="24"/>
          <w:highlight w:val="none"/>
          <w:lang w:val="en-US" w:eastAsia="zh-CN"/>
        </w:rPr>
        <w:t>、标段号：</w:t>
      </w:r>
      <w:r>
        <w:rPr>
          <w:rFonts w:hint="eastAsia" w:ascii="仿宋" w:hAnsi="仿宋" w:eastAsia="仿宋" w:cs="仿宋"/>
          <w:b w:val="0"/>
          <w:bCs/>
          <w:color w:val="000000"/>
          <w:sz w:val="24"/>
          <w:szCs w:val="24"/>
          <w:highlight w:val="none"/>
          <w:u w:val="single"/>
          <w:lang w:val="en-US" w:eastAsia="zh-CN"/>
        </w:rPr>
        <w:t xml:space="preserve">        </w:t>
      </w:r>
      <w:r>
        <w:rPr>
          <w:rFonts w:hint="eastAsia" w:ascii="仿宋" w:hAnsi="仿宋" w:eastAsia="仿宋" w:cs="仿宋"/>
          <w:b w:val="0"/>
          <w:bCs/>
          <w:color w:val="000000"/>
          <w:sz w:val="24"/>
          <w:szCs w:val="24"/>
          <w:highlight w:val="none"/>
          <w:lang w:val="en-US" w:eastAsia="zh-CN"/>
        </w:rPr>
        <w:t>、标段名称：</w:t>
      </w:r>
      <w:r>
        <w:rPr>
          <w:rFonts w:hint="eastAsia" w:ascii="仿宋" w:hAnsi="仿宋" w:eastAsia="仿宋" w:cs="仿宋"/>
          <w:b w:val="0"/>
          <w:bCs/>
          <w:color w:val="000000"/>
          <w:sz w:val="24"/>
          <w:szCs w:val="24"/>
          <w:highlight w:val="none"/>
          <w:u w:val="single"/>
          <w:lang w:val="en-US" w:eastAsia="zh-CN"/>
        </w:rPr>
        <w:t xml:space="preserve">                 </w:t>
      </w:r>
      <w:r>
        <w:rPr>
          <w:rFonts w:hint="eastAsia" w:ascii="仿宋" w:hAnsi="仿宋" w:eastAsia="仿宋" w:cs="仿宋"/>
          <w:b w:val="0"/>
          <w:bCs/>
          <w:color w:val="000000"/>
          <w:sz w:val="24"/>
          <w:szCs w:val="24"/>
          <w:highlight w:val="none"/>
          <w:lang w:val="en-US" w:eastAsia="zh-CN"/>
        </w:rPr>
        <w:t xml:space="preserve"> ）的招标文件后，在完全理解该项目采购技术要求和商务条款的基础上，决定参加此次投标活动。我方保证具备履行合同所必需的服务和专业技术能力，并承诺如下：</w:t>
      </w:r>
    </w:p>
    <w:p w14:paraId="6B35BC57">
      <w:pPr>
        <w:topLinePunct/>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1、具有独立承担民事责任的能力；</w:t>
      </w:r>
    </w:p>
    <w:p w14:paraId="571AF0AC">
      <w:pPr>
        <w:topLinePunct/>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2、具有良好的商业信誉和健全的财务会计制度；</w:t>
      </w:r>
    </w:p>
    <w:p w14:paraId="17812B86">
      <w:pPr>
        <w:topLinePunct/>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3、具有履行合同所必需的货物和专业技术能力；</w:t>
      </w:r>
    </w:p>
    <w:p w14:paraId="1057F1DA">
      <w:pPr>
        <w:topLinePunct/>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4、有依法缴纳税收和社会保障资金的良好记录；</w:t>
      </w:r>
    </w:p>
    <w:p w14:paraId="7AE9BDC2">
      <w:pPr>
        <w:topLinePunct/>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5、参加政府采购活动前三年内，在经营活动中没有重大违法记录；</w:t>
      </w:r>
    </w:p>
    <w:p w14:paraId="578A0FCA">
      <w:pPr>
        <w:topLinePunct/>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6、法律、行政法规规定的其他条件；</w:t>
      </w:r>
    </w:p>
    <w:p w14:paraId="2FA58733">
      <w:pPr>
        <w:topLinePunct/>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14:paraId="0675ECE6">
      <w:pPr>
        <w:pStyle w:val="37"/>
        <w:spacing w:line="240" w:lineRule="auto"/>
        <w:ind w:left="0" w:leftChars="0" w:firstLine="480" w:firstLineChars="200"/>
        <w:jc w:val="both"/>
        <w:rPr>
          <w:rFonts w:hint="eastAsia" w:ascii="仿宋" w:hAnsi="仿宋" w:eastAsia="仿宋" w:cs="仿宋"/>
          <w:b w:val="0"/>
          <w:bCs/>
          <w:color w:val="000000"/>
          <w:sz w:val="24"/>
          <w:szCs w:val="24"/>
          <w:highlight w:val="none"/>
          <w:lang w:val="en-US" w:eastAsia="zh-CN"/>
        </w:rPr>
      </w:pPr>
    </w:p>
    <w:p w14:paraId="7A119849">
      <w:pPr>
        <w:pStyle w:val="37"/>
        <w:spacing w:line="240" w:lineRule="auto"/>
        <w:ind w:left="0" w:leftChars="0" w:firstLine="480" w:firstLineChars="200"/>
        <w:jc w:val="both"/>
        <w:rPr>
          <w:rFonts w:hint="eastAsia" w:ascii="仿宋" w:hAnsi="仿宋" w:eastAsia="仿宋" w:cs="仿宋"/>
          <w:b w:val="0"/>
          <w:bCs/>
          <w:color w:val="000000"/>
          <w:sz w:val="24"/>
          <w:szCs w:val="24"/>
          <w:highlight w:val="none"/>
          <w:lang w:val="en-US" w:eastAsia="zh-CN"/>
        </w:rPr>
      </w:pPr>
    </w:p>
    <w:p w14:paraId="7EB35887">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4F0D1CF7">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27C3684D">
      <w:pPr>
        <w:spacing w:before="182" w:line="220" w:lineRule="auto"/>
        <w:ind w:left="5741"/>
        <w:rPr>
          <w:rFonts w:hint="eastAsia" w:ascii="仿宋" w:hAnsi="仿宋" w:eastAsia="仿宋" w:cs="仿宋"/>
          <w:sz w:val="24"/>
          <w:szCs w:val="24"/>
          <w:highlight w:val="none"/>
        </w:rPr>
        <w:sectPr>
          <w:headerReference r:id="rId21" w:type="default"/>
          <w:footerReference r:id="rId22" w:type="default"/>
          <w:pgSz w:w="11906" w:h="16839"/>
          <w:pgMar w:top="1440" w:right="1080" w:bottom="1440" w:left="1080" w:header="0" w:footer="986" w:gutter="0"/>
          <w:pgNumType w:fmt="decimal"/>
          <w:cols w:space="720" w:num="1"/>
          <w:rtlGutter w:val="0"/>
          <w:docGrid w:linePitch="1" w:charSpace="0"/>
        </w:sect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327806B3">
      <w:pPr>
        <w:pStyle w:val="20"/>
        <w:numPr>
          <w:ilvl w:val="0"/>
          <w:numId w:val="0"/>
        </w:numPr>
        <w:overflowPunct w:val="0"/>
        <w:snapToGrid w:val="0"/>
        <w:spacing w:line="360" w:lineRule="auto"/>
        <w:jc w:val="both"/>
        <w:rPr>
          <w:rFonts w:hint="eastAsia" w:ascii="仿宋" w:hAnsi="仿宋" w:eastAsia="仿宋" w:cs="仿宋"/>
          <w:b/>
          <w:bCs w:val="0"/>
          <w:color w:val="auto"/>
          <w:kern w:val="2"/>
          <w:sz w:val="32"/>
          <w:szCs w:val="28"/>
          <w:highlight w:val="none"/>
          <w:lang w:val="en-US" w:eastAsia="zh-CN" w:bidi="ar-SA"/>
        </w:rPr>
      </w:pPr>
      <w:r>
        <w:rPr>
          <w:rFonts w:hint="eastAsia" w:ascii="仿宋" w:hAnsi="仿宋" w:eastAsia="仿宋" w:cs="仿宋"/>
          <w:b/>
          <w:color w:val="000000"/>
          <w:kern w:val="2"/>
          <w:sz w:val="28"/>
          <w:szCs w:val="24"/>
          <w:highlight w:val="none"/>
          <w:lang w:val="en-US" w:eastAsia="zh-CN" w:bidi="ar-SA"/>
        </w:rPr>
        <w:t>附件十</w:t>
      </w:r>
    </w:p>
    <w:p w14:paraId="6F1C4943">
      <w:pPr>
        <w:pStyle w:val="20"/>
        <w:numPr>
          <w:ilvl w:val="0"/>
          <w:numId w:val="0"/>
        </w:numPr>
        <w:overflowPunct w:val="0"/>
        <w:snapToGrid w:val="0"/>
        <w:spacing w:line="360" w:lineRule="auto"/>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信用查询记录</w:t>
      </w:r>
    </w:p>
    <w:p w14:paraId="1C5F0F08">
      <w:pPr>
        <w:pStyle w:val="20"/>
        <w:numPr>
          <w:ilvl w:val="0"/>
          <w:numId w:val="0"/>
        </w:numPr>
        <w:overflowPunct w:val="0"/>
        <w:snapToGrid w:val="0"/>
        <w:spacing w:line="360" w:lineRule="auto"/>
        <w:jc w:val="center"/>
        <w:rPr>
          <w:rFonts w:hint="eastAsia" w:ascii="仿宋" w:hAnsi="仿宋" w:eastAsia="仿宋" w:cs="仿宋"/>
          <w:b w:val="0"/>
          <w:bCs/>
          <w:color w:val="auto"/>
          <w:kern w:val="2"/>
          <w:sz w:val="21"/>
          <w:szCs w:val="20"/>
          <w:highlight w:val="none"/>
          <w:lang w:val="en-US" w:eastAsia="zh-CN" w:bidi="ar-SA"/>
        </w:rPr>
      </w:pPr>
    </w:p>
    <w:p w14:paraId="35C53F46">
      <w:pPr>
        <w:pStyle w:val="20"/>
        <w:numPr>
          <w:ilvl w:val="0"/>
          <w:numId w:val="0"/>
        </w:numPr>
        <w:overflowPunct w:val="0"/>
        <w:snapToGrid w:val="0"/>
        <w:spacing w:line="360" w:lineRule="auto"/>
        <w:jc w:val="center"/>
        <w:rPr>
          <w:rFonts w:hint="eastAsia" w:ascii="仿宋" w:hAnsi="仿宋" w:eastAsia="仿宋" w:cs="仿宋"/>
          <w:b w:val="0"/>
          <w:bCs/>
          <w:color w:val="auto"/>
          <w:kern w:val="2"/>
          <w:sz w:val="21"/>
          <w:szCs w:val="20"/>
          <w:highlight w:val="none"/>
          <w:lang w:val="en-US" w:eastAsia="zh-CN" w:bidi="ar-SA"/>
        </w:rPr>
      </w:pPr>
    </w:p>
    <w:p w14:paraId="75488CFA">
      <w:pPr>
        <w:pStyle w:val="20"/>
        <w:numPr>
          <w:ilvl w:val="0"/>
          <w:numId w:val="0"/>
        </w:numPr>
        <w:overflowPunct w:val="0"/>
        <w:snapToGrid w:val="0"/>
        <w:spacing w:line="360" w:lineRule="auto"/>
        <w:jc w:val="center"/>
        <w:rPr>
          <w:rFonts w:hint="eastAsia" w:ascii="仿宋" w:hAnsi="仿宋" w:eastAsia="仿宋" w:cs="仿宋"/>
          <w:b w:val="0"/>
          <w:bCs/>
          <w:color w:val="auto"/>
          <w:kern w:val="2"/>
          <w:sz w:val="21"/>
          <w:szCs w:val="20"/>
          <w:highlight w:val="none"/>
          <w:lang w:val="en-US" w:eastAsia="zh-CN" w:bidi="ar-SA"/>
        </w:rPr>
      </w:pPr>
    </w:p>
    <w:p w14:paraId="0456CCE2">
      <w:pPr>
        <w:pStyle w:val="20"/>
        <w:numPr>
          <w:ilvl w:val="0"/>
          <w:numId w:val="0"/>
        </w:numPr>
        <w:overflowPunct w:val="0"/>
        <w:snapToGrid w:val="0"/>
        <w:spacing w:line="360" w:lineRule="auto"/>
        <w:jc w:val="center"/>
        <w:rPr>
          <w:rFonts w:hint="eastAsia" w:ascii="仿宋" w:hAnsi="仿宋" w:eastAsia="仿宋" w:cs="仿宋"/>
          <w:b w:val="0"/>
          <w:bCs/>
          <w:color w:val="auto"/>
          <w:kern w:val="2"/>
          <w:sz w:val="21"/>
          <w:szCs w:val="20"/>
          <w:highlight w:val="none"/>
          <w:lang w:val="en-US" w:eastAsia="zh-CN" w:bidi="ar-SA"/>
        </w:rPr>
      </w:pPr>
      <w:r>
        <w:rPr>
          <w:rFonts w:hint="eastAsia" w:ascii="仿宋" w:hAnsi="仿宋" w:eastAsia="仿宋" w:cs="仿宋"/>
          <w:b w:val="0"/>
          <w:bCs/>
          <w:color w:val="auto"/>
          <w:kern w:val="2"/>
          <w:sz w:val="21"/>
          <w:szCs w:val="20"/>
          <w:highlight w:val="none"/>
          <w:lang w:val="en-US" w:eastAsia="zh-CN" w:bidi="ar-SA"/>
        </w:rPr>
        <w:t>信用中国（www.creditchina.gov.cn）查询结果</w:t>
      </w:r>
    </w:p>
    <w:p w14:paraId="4C8F055F">
      <w:pPr>
        <w:jc w:val="center"/>
        <w:rPr>
          <w:rFonts w:hint="eastAsia" w:ascii="仿宋" w:hAnsi="仿宋" w:eastAsia="仿宋" w:cs="仿宋"/>
          <w:b w:val="0"/>
          <w:bCs/>
          <w:color w:val="auto"/>
          <w:kern w:val="2"/>
          <w:sz w:val="21"/>
          <w:szCs w:val="20"/>
          <w:highlight w:val="none"/>
          <w:lang w:val="en-US" w:eastAsia="zh-CN" w:bidi="ar-SA"/>
        </w:rPr>
      </w:pPr>
    </w:p>
    <w:p w14:paraId="2C49015B">
      <w:pPr>
        <w:pStyle w:val="3"/>
        <w:jc w:val="center"/>
        <w:outlineLvl w:val="9"/>
        <w:rPr>
          <w:rFonts w:hint="eastAsia" w:ascii="仿宋" w:hAnsi="仿宋" w:eastAsia="仿宋" w:cs="仿宋"/>
          <w:b w:val="0"/>
          <w:bCs/>
          <w:color w:val="auto"/>
          <w:kern w:val="2"/>
          <w:sz w:val="21"/>
          <w:szCs w:val="20"/>
          <w:highlight w:val="none"/>
          <w:lang w:val="en-US" w:eastAsia="zh-CN" w:bidi="ar-SA"/>
        </w:rPr>
      </w:pPr>
    </w:p>
    <w:p w14:paraId="48A44E03">
      <w:pPr>
        <w:jc w:val="center"/>
        <w:rPr>
          <w:rFonts w:hint="eastAsia" w:ascii="仿宋" w:hAnsi="仿宋" w:eastAsia="仿宋" w:cs="仿宋"/>
          <w:b w:val="0"/>
          <w:bCs/>
          <w:color w:val="auto"/>
          <w:kern w:val="2"/>
          <w:sz w:val="21"/>
          <w:szCs w:val="20"/>
          <w:highlight w:val="none"/>
          <w:lang w:val="en-US" w:eastAsia="zh-CN" w:bidi="ar-SA"/>
        </w:rPr>
      </w:pPr>
    </w:p>
    <w:p w14:paraId="1485731A">
      <w:pPr>
        <w:pStyle w:val="20"/>
        <w:numPr>
          <w:ilvl w:val="0"/>
          <w:numId w:val="0"/>
        </w:numPr>
        <w:overflowPunct w:val="0"/>
        <w:snapToGrid w:val="0"/>
        <w:spacing w:line="360" w:lineRule="auto"/>
        <w:ind w:firstLine="2520" w:firstLineChars="1200"/>
        <w:jc w:val="both"/>
        <w:rPr>
          <w:rFonts w:hint="eastAsia" w:ascii="仿宋" w:hAnsi="仿宋" w:eastAsia="仿宋" w:cs="仿宋"/>
          <w:b/>
          <w:bCs w:val="0"/>
          <w:color w:val="auto"/>
          <w:kern w:val="2"/>
          <w:sz w:val="32"/>
          <w:szCs w:val="28"/>
          <w:highlight w:val="none"/>
          <w:lang w:val="en-US" w:eastAsia="zh-CN" w:bidi="ar-SA"/>
        </w:rPr>
        <w:sectPr>
          <w:pgSz w:w="11905" w:h="16838"/>
          <w:pgMar w:top="1440" w:right="1080" w:bottom="1440" w:left="1080" w:header="567" w:footer="454" w:gutter="0"/>
          <w:pgNumType w:fmt="decimal"/>
          <w:cols w:space="720" w:num="1"/>
          <w:rtlGutter w:val="0"/>
          <w:docGrid w:type="lines" w:linePitch="317" w:charSpace="0"/>
        </w:sectPr>
      </w:pPr>
      <w:r>
        <w:rPr>
          <w:rFonts w:hint="eastAsia" w:ascii="仿宋" w:hAnsi="仿宋" w:eastAsia="仿宋" w:cs="仿宋"/>
          <w:b w:val="0"/>
          <w:bCs/>
          <w:color w:val="auto"/>
          <w:kern w:val="2"/>
          <w:sz w:val="21"/>
          <w:szCs w:val="20"/>
          <w:highlight w:val="none"/>
          <w:lang w:val="en-US" w:eastAsia="zh-CN" w:bidi="ar-SA"/>
        </w:rPr>
        <w:t>中国政府采购网（www.ccgp.gov.cn）查询结果；</w:t>
      </w:r>
    </w:p>
    <w:p w14:paraId="71D81BFD">
      <w:pPr>
        <w:pStyle w:val="20"/>
        <w:numPr>
          <w:ilvl w:val="0"/>
          <w:numId w:val="0"/>
        </w:numPr>
        <w:overflowPunct w:val="0"/>
        <w:snapToGrid w:val="0"/>
        <w:spacing w:line="360" w:lineRule="auto"/>
        <w:jc w:val="both"/>
        <w:rPr>
          <w:rFonts w:hint="eastAsia" w:ascii="仿宋" w:hAnsi="仿宋" w:eastAsia="仿宋" w:cs="仿宋"/>
          <w:b/>
          <w:color w:val="000000"/>
          <w:kern w:val="2"/>
          <w:sz w:val="28"/>
          <w:szCs w:val="24"/>
          <w:highlight w:val="none"/>
          <w:lang w:val="en-US" w:eastAsia="zh-CN" w:bidi="ar-SA"/>
        </w:rPr>
      </w:pPr>
      <w:r>
        <w:rPr>
          <w:rFonts w:hint="eastAsia" w:ascii="仿宋" w:hAnsi="仿宋" w:eastAsia="仿宋" w:cs="仿宋"/>
          <w:b/>
          <w:color w:val="000000"/>
          <w:kern w:val="2"/>
          <w:sz w:val="28"/>
          <w:szCs w:val="24"/>
          <w:highlight w:val="none"/>
          <w:lang w:val="en-US" w:eastAsia="zh-CN" w:bidi="ar-SA"/>
        </w:rPr>
        <w:t>附件十一</w:t>
      </w:r>
    </w:p>
    <w:p w14:paraId="1439B0B4">
      <w:pPr>
        <w:jc w:val="center"/>
        <w:rPr>
          <w:rFonts w:hint="eastAsia" w:ascii="仿宋" w:hAnsi="仿宋" w:eastAsia="仿宋" w:cs="仿宋"/>
          <w:b/>
          <w:color w:val="000000"/>
          <w:kern w:val="2"/>
          <w:sz w:val="28"/>
          <w:szCs w:val="24"/>
          <w:highlight w:val="none"/>
          <w:lang w:val="en-US" w:eastAsia="zh-CN" w:bidi="ar-SA"/>
        </w:rPr>
      </w:pPr>
      <w:r>
        <w:rPr>
          <w:rFonts w:hint="eastAsia" w:ascii="仿宋" w:hAnsi="仿宋" w:eastAsia="仿宋" w:cs="仿宋"/>
          <w:b/>
          <w:color w:val="000000"/>
          <w:kern w:val="2"/>
          <w:sz w:val="28"/>
          <w:szCs w:val="24"/>
          <w:highlight w:val="none"/>
          <w:lang w:val="en-US" w:eastAsia="zh-CN" w:bidi="ar-SA"/>
        </w:rPr>
        <w:t>资格证明文件</w:t>
      </w:r>
    </w:p>
    <w:p w14:paraId="0F954320">
      <w:pPr>
        <w:pStyle w:val="20"/>
        <w:keepNext w:val="0"/>
        <w:keepLines w:val="0"/>
        <w:pageBreakBefore w:val="0"/>
        <w:numPr>
          <w:ilvl w:val="0"/>
          <w:numId w:val="0"/>
        </w:numPr>
        <w:kinsoku/>
        <w:wordWrap/>
        <w:overflowPunct w:val="0"/>
        <w:topLinePunct w:val="0"/>
        <w:autoSpaceDE/>
        <w:autoSpaceDN/>
        <w:bidi w:val="0"/>
        <w:adjustRightInd/>
        <w:snapToGrid w:val="0"/>
        <w:spacing w:line="300" w:lineRule="exact"/>
        <w:ind w:leftChars="0" w:right="62" w:rightChars="0"/>
        <w:textAlignment w:val="auto"/>
        <w:outlineLvl w:val="9"/>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1）具有独立承担民事责任的能力：具有企业法人营业执照（三证合一）、《银行开户许可证》或《基本存款账户信息》</w:t>
      </w:r>
    </w:p>
    <w:p w14:paraId="5E34284A">
      <w:pPr>
        <w:pStyle w:val="66"/>
        <w:keepNext w:val="0"/>
        <w:keepLines w:val="0"/>
        <w:widowControl/>
        <w:suppressLineNumbers w:val="0"/>
        <w:spacing w:before="75" w:beforeAutospacing="0" w:after="75" w:afterAutospacing="0" w:line="240" w:lineRule="auto"/>
        <w:ind w:left="0" w:right="0" w:firstLine="0"/>
        <w:jc w:val="left"/>
        <w:rPr>
          <w:rFonts w:hint="eastAsia" w:ascii="仿宋" w:hAnsi="仿宋" w:eastAsia="仿宋" w:cs="仿宋"/>
          <w:i w:val="0"/>
          <w:iCs w:val="0"/>
          <w:caps w:val="0"/>
          <w:color w:val="000000"/>
          <w:spacing w:val="0"/>
          <w:sz w:val="24"/>
          <w:szCs w:val="24"/>
          <w:highlight w:val="none"/>
          <w:lang w:val="en-US" w:eastAsia="zh-CN"/>
        </w:rPr>
      </w:pPr>
      <w:bookmarkStart w:id="547" w:name="OLE_LINK36"/>
      <w:r>
        <w:rPr>
          <w:rFonts w:hint="eastAsia" w:ascii="仿宋" w:hAnsi="仿宋" w:eastAsia="仿宋" w:cs="仿宋"/>
          <w:i w:val="0"/>
          <w:iCs w:val="0"/>
          <w:caps w:val="0"/>
          <w:color w:val="000000"/>
          <w:spacing w:val="0"/>
          <w:sz w:val="24"/>
          <w:szCs w:val="24"/>
          <w:highlight w:val="none"/>
          <w:lang w:val="en-US" w:eastAsia="zh-CN"/>
        </w:rPr>
        <w:t>2）有依法缴纳税收和社会保障资金的良好记录：提供投标截止日前3个月内任意1个月的缴纳税收的完税证明或税务部门出具的纳税证明，如依法免税的，应提供相应文件证明；提供投标截止日前3个月内任意1个月的社保证明材料，如依法不需要缴纳社会保障资金的，应提供相应文件证明。</w:t>
      </w:r>
    </w:p>
    <w:p w14:paraId="20F86330">
      <w:pPr>
        <w:pStyle w:val="6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lang w:val="en-US" w:eastAsia="zh-CN"/>
        </w:rPr>
        <w:t>3）</w:t>
      </w:r>
      <w:r>
        <w:rPr>
          <w:rFonts w:hint="eastAsia" w:ascii="仿宋" w:hAnsi="仿宋" w:eastAsia="仿宋" w:cs="仿宋"/>
          <w:i w:val="0"/>
          <w:iCs w:val="0"/>
          <w:caps w:val="0"/>
          <w:color w:val="000000"/>
          <w:spacing w:val="0"/>
          <w:sz w:val="24"/>
          <w:szCs w:val="24"/>
          <w:highlight w:val="none"/>
        </w:rPr>
        <w:t>具有良好的商业信誉和健全的财务会计制度：提供202</w:t>
      </w:r>
      <w:r>
        <w:rPr>
          <w:rFonts w:hint="eastAsia" w:ascii="仿宋" w:hAnsi="仿宋" w:eastAsia="仿宋" w:cs="仿宋"/>
          <w:i w:val="0"/>
          <w:iCs w:val="0"/>
          <w:caps w:val="0"/>
          <w:color w:val="000000"/>
          <w:spacing w:val="0"/>
          <w:sz w:val="24"/>
          <w:szCs w:val="24"/>
          <w:highlight w:val="none"/>
          <w:lang w:val="en-US" w:eastAsia="zh-CN"/>
        </w:rPr>
        <w:t>4</w:t>
      </w:r>
      <w:r>
        <w:rPr>
          <w:rFonts w:hint="eastAsia" w:ascii="仿宋" w:hAnsi="仿宋" w:eastAsia="仿宋" w:cs="仿宋"/>
          <w:i w:val="0"/>
          <w:iCs w:val="0"/>
          <w:caps w:val="0"/>
          <w:color w:val="000000"/>
          <w:spacing w:val="0"/>
          <w:sz w:val="24"/>
          <w:szCs w:val="24"/>
          <w:highlight w:val="none"/>
        </w:rPr>
        <w:t>年财务状况报告复印件，供应商是法人的，应提供经审计的财务报告（含第三方审计机构评估的财务报告）（执行《企业会计准则》的，提供资产负债表、利润表、现金流量表、所有者权益变动表及其附注（以下称“四表一注”）；执行《中小企业会计准则》的，提供资产负债表、利润表、现金流量表及其附注（以下称“三表一注”））；供应商是其他组织或者自然人的，应提供经审计的财务报告（含第三方审计机构评估的财务报告）（包括“四表一注”“三表一注”）或者银行出具的资信证明；如是202</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rPr>
        <w:t>年新成立企业，只需提供从取得营业执照起的基本开户银行出具的资信证明）；</w:t>
      </w:r>
    </w:p>
    <w:bookmarkEnd w:id="547"/>
    <w:p w14:paraId="42DED0F0">
      <w:pPr>
        <w:pStyle w:val="6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4）参加采购活动前3年内，在经营活动中没有重大违法记录：提供《投标人资格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928E58E">
      <w:pPr>
        <w:pStyle w:val="6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5）凡拟参加本次招标项目的投标人，如在“信用中国”网站（ www.creditchina.gov.cn） 被列入失信被执行人、重大税收违法失信主体（进入信用中国网站－信用服务-失信被执行人、重大税收违法失信主体－查询、截图）、中国政府采购网（http://www.ccgp.gov.cn/search/cr/）严重违法失信行为记录名单的（尚在处罚期内的），将拒绝其参加本次招标活动。 </w:t>
      </w:r>
    </w:p>
    <w:p w14:paraId="52996541">
      <w:pPr>
        <w:pStyle w:val="6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6）企业负责人为同一人或者存在直接控股、管理关系的不同投标人，不得参加同一合同项下的政府采购活动。否则，皆取消投标资格。</w:t>
      </w:r>
    </w:p>
    <w:p w14:paraId="2C2D8A2B">
      <w:pPr>
        <w:pStyle w:val="6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7）投标保证金或电子保函：30000.00元（叁万元整）。</w:t>
      </w:r>
    </w:p>
    <w:p w14:paraId="5BC0C920">
      <w:pPr>
        <w:rPr>
          <w:rFonts w:hint="eastAsia" w:ascii="仿宋" w:hAnsi="仿宋" w:eastAsia="仿宋" w:cs="仿宋"/>
          <w:lang w:val="en-US" w:eastAsia="zh-CN"/>
        </w:rPr>
      </w:pPr>
      <w:r>
        <w:rPr>
          <w:rFonts w:hint="eastAsia" w:ascii="仿宋" w:hAnsi="仿宋" w:eastAsia="仿宋" w:cs="仿宋"/>
          <w:i w:val="0"/>
          <w:iCs w:val="0"/>
          <w:caps w:val="0"/>
          <w:color w:val="000000"/>
          <w:spacing w:val="0"/>
          <w:sz w:val="24"/>
          <w:szCs w:val="24"/>
          <w:highlight w:val="none"/>
          <w:lang w:val="en-US" w:eastAsia="zh-CN"/>
        </w:rPr>
        <w:t>8）有效的《中小企业声明函》。</w:t>
      </w:r>
    </w:p>
    <w:p w14:paraId="1B977713">
      <w:pPr>
        <w:pStyle w:val="20"/>
        <w:numPr>
          <w:ilvl w:val="0"/>
          <w:numId w:val="0"/>
        </w:numPr>
        <w:overflowPunct w:val="0"/>
        <w:snapToGrid w:val="0"/>
        <w:spacing w:line="360" w:lineRule="auto"/>
        <w:ind w:leftChars="0"/>
        <w:jc w:val="both"/>
        <w:rPr>
          <w:rFonts w:hint="eastAsia" w:ascii="仿宋" w:hAnsi="仿宋" w:eastAsia="仿宋" w:cs="仿宋"/>
          <w:sz w:val="28"/>
          <w:szCs w:val="28"/>
          <w:highlight w:val="none"/>
        </w:rPr>
      </w:pPr>
      <w:r>
        <w:rPr>
          <w:rFonts w:hint="eastAsia" w:ascii="仿宋" w:hAnsi="仿宋" w:eastAsia="仿宋" w:cs="仿宋"/>
          <w:i w:val="0"/>
          <w:iCs w:val="0"/>
          <w:caps w:val="0"/>
          <w:color w:val="000000"/>
          <w:spacing w:val="0"/>
          <w:sz w:val="24"/>
          <w:szCs w:val="24"/>
          <w:highlight w:val="none"/>
          <w:lang w:val="en-US" w:eastAsia="zh-CN"/>
        </w:rPr>
        <w:br w:type="page"/>
      </w:r>
      <w:r>
        <w:rPr>
          <w:rFonts w:hint="eastAsia" w:ascii="仿宋" w:hAnsi="仿宋" w:eastAsia="仿宋" w:cs="仿宋"/>
          <w:b/>
          <w:color w:val="000000"/>
          <w:kern w:val="2"/>
          <w:sz w:val="28"/>
          <w:szCs w:val="24"/>
          <w:highlight w:val="none"/>
          <w:lang w:val="en-US" w:eastAsia="zh-CN" w:bidi="ar-SA"/>
        </w:rPr>
        <w:t xml:space="preserve">附件十二              </w:t>
      </w:r>
      <w:r>
        <w:rPr>
          <w:rFonts w:hint="eastAsia" w:ascii="仿宋" w:hAnsi="仿宋" w:eastAsia="仿宋" w:cs="仿宋"/>
          <w:b/>
          <w:color w:val="000000"/>
          <w:kern w:val="2"/>
          <w:sz w:val="28"/>
          <w:szCs w:val="28"/>
          <w:highlight w:val="none"/>
          <w:lang w:val="en-US" w:eastAsia="zh-CN" w:bidi="ar-SA"/>
        </w:rPr>
        <w:t xml:space="preserve">   </w:t>
      </w:r>
      <w:r>
        <w:rPr>
          <w:rFonts w:hint="eastAsia" w:ascii="仿宋" w:hAnsi="仿宋" w:eastAsia="仿宋" w:cs="仿宋"/>
          <w:b/>
          <w:bCs/>
          <w:color w:val="000000"/>
          <w:kern w:val="0"/>
          <w:sz w:val="28"/>
          <w:szCs w:val="28"/>
          <w:highlight w:val="none"/>
          <w:lang w:val="en-US" w:eastAsia="zh-CN" w:bidi="ar"/>
        </w:rPr>
        <w:t>投标保证金说明</w:t>
      </w:r>
    </w:p>
    <w:p w14:paraId="71B3B76F">
      <w:pPr>
        <w:keepNext w:val="0"/>
        <w:keepLines w:val="0"/>
        <w:widowControl/>
        <w:suppressLineNumbers w:val="0"/>
        <w:jc w:val="center"/>
        <w:rPr>
          <w:rFonts w:hint="eastAsia" w:ascii="仿宋" w:hAnsi="仿宋" w:eastAsia="仿宋" w:cs="仿宋"/>
          <w:sz w:val="28"/>
          <w:szCs w:val="28"/>
          <w:highlight w:val="none"/>
        </w:rPr>
      </w:pPr>
      <w:r>
        <w:rPr>
          <w:rFonts w:hint="eastAsia" w:ascii="仿宋" w:hAnsi="仿宋" w:eastAsia="仿宋" w:cs="仿宋"/>
          <w:b/>
          <w:bCs/>
          <w:color w:val="000000"/>
          <w:kern w:val="0"/>
          <w:sz w:val="28"/>
          <w:szCs w:val="28"/>
          <w:highlight w:val="none"/>
          <w:lang w:val="en-US" w:eastAsia="zh-CN" w:bidi="ar"/>
        </w:rPr>
        <w:t>投标保证金汇入情况说明（适用于转账、电汇方式）</w:t>
      </w:r>
    </w:p>
    <w:p w14:paraId="5A135241">
      <w:pPr>
        <w:pStyle w:val="20"/>
        <w:numPr>
          <w:ilvl w:val="0"/>
          <w:numId w:val="0"/>
        </w:numPr>
        <w:overflowPunct w:val="0"/>
        <w:snapToGrid w:val="0"/>
        <w:spacing w:line="360" w:lineRule="auto"/>
        <w:jc w:val="both"/>
        <w:rPr>
          <w:rFonts w:hint="eastAsia" w:ascii="仿宋" w:hAnsi="仿宋" w:eastAsia="仿宋" w:cs="仿宋"/>
          <w:b/>
          <w:color w:val="000000"/>
          <w:kern w:val="2"/>
          <w:sz w:val="28"/>
          <w:szCs w:val="24"/>
          <w:highlight w:val="none"/>
          <w:u w:val="single"/>
          <w:lang w:val="en-US" w:eastAsia="zh-CN" w:bidi="ar-SA"/>
        </w:rPr>
      </w:pPr>
    </w:p>
    <w:p w14:paraId="305BD892">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lang w:val="en-US" w:eastAsia="zh-CN"/>
        </w:rPr>
        <w:t>采购人</w:t>
      </w:r>
      <w:r>
        <w:rPr>
          <w:rFonts w:hint="eastAsia" w:ascii="仿宋" w:hAnsi="仿宋" w:eastAsia="仿宋" w:cs="仿宋"/>
          <w:color w:val="000000"/>
          <w:sz w:val="24"/>
          <w:szCs w:val="24"/>
          <w:highlight w:val="none"/>
        </w:rPr>
        <w:t>：</w:t>
      </w:r>
    </w:p>
    <w:p w14:paraId="70B682BE">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kern w:val="0"/>
          <w:sz w:val="24"/>
          <w:szCs w:val="24"/>
          <w:highlight w:val="none"/>
          <w:lang w:val="en-US" w:eastAsia="zh-CN" w:bidi="ar"/>
        </w:rPr>
        <w:t xml:space="preserve">本单位已按 </w:t>
      </w:r>
      <w:r>
        <w:rPr>
          <w:rFonts w:hint="eastAsia" w:ascii="仿宋" w:hAnsi="仿宋" w:eastAsia="仿宋" w:cs="仿宋"/>
          <w:color w:val="000000"/>
          <w:kern w:val="0"/>
          <w:sz w:val="24"/>
          <w:szCs w:val="24"/>
          <w:highlight w:val="none"/>
          <w:u w:val="single"/>
          <w:lang w:val="en-US" w:eastAsia="zh-CN" w:bidi="ar"/>
        </w:rPr>
        <w:t xml:space="preserve">（项目名称） </w:t>
      </w:r>
      <w:r>
        <w:rPr>
          <w:rFonts w:hint="eastAsia" w:ascii="仿宋" w:hAnsi="仿宋" w:eastAsia="仿宋" w:cs="仿宋"/>
          <w:color w:val="000000"/>
          <w:kern w:val="0"/>
          <w:sz w:val="24"/>
          <w:szCs w:val="24"/>
          <w:highlight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）的招标文件要求，于</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none"/>
          <w:lang w:val="en-US" w:eastAsia="zh-CN" w:bidi="ar"/>
        </w:rPr>
        <w:t xml:space="preserve"> 月</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日前以</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（付款形式）方式汇入指定账户（账户名称：</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，账 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开户银行：</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5B94B2C0">
      <w:pPr>
        <w:keepNext w:val="0"/>
        <w:keepLines w:val="0"/>
        <w:widowControl/>
        <w:suppressLineNumbers w:val="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投标人投标保证金的汇款情况：（详见附件－投标保证金进账单）汇出时间： 年 月 日；</w:t>
      </w:r>
    </w:p>
    <w:p w14:paraId="26107550">
      <w:pPr>
        <w:pStyle w:val="7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汇款金额：（大写）人民币</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元整</w:t>
      </w:r>
    </w:p>
    <w:p w14:paraId="337A72F4">
      <w:pPr>
        <w:pStyle w:val="7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 xml:space="preserve">汇款账户名称： </w:t>
      </w:r>
      <w:r>
        <w:rPr>
          <w:rFonts w:hint="eastAsia" w:ascii="仿宋" w:hAnsi="仿宋" w:eastAsia="仿宋" w:cs="仿宋"/>
          <w:sz w:val="24"/>
          <w:szCs w:val="24"/>
          <w:highlight w:val="none"/>
          <w:u w:val="single"/>
          <w:lang w:val="en-US" w:eastAsia="zh-CN"/>
        </w:rPr>
        <w:t>（必须是投标时使用的单位名称）</w:t>
      </w:r>
    </w:p>
    <w:p w14:paraId="65D77C83">
      <w:pPr>
        <w:pStyle w:val="7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 xml:space="preserve">账 号： </w:t>
      </w:r>
      <w:r>
        <w:rPr>
          <w:rFonts w:hint="eastAsia" w:ascii="仿宋" w:hAnsi="仿宋" w:eastAsia="仿宋" w:cs="仿宋"/>
          <w:sz w:val="24"/>
          <w:szCs w:val="24"/>
          <w:highlight w:val="none"/>
          <w:u w:val="single"/>
          <w:lang w:val="en-US" w:eastAsia="zh-CN"/>
        </w:rPr>
        <w:t>（必须是投标时使用的账号）</w:t>
      </w:r>
    </w:p>
    <w:p w14:paraId="64388D66">
      <w:pPr>
        <w:pStyle w:val="7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开户银行：</w:t>
      </w:r>
      <w:r>
        <w:rPr>
          <w:rFonts w:hint="eastAsia" w:ascii="仿宋" w:hAnsi="仿宋" w:eastAsia="仿宋" w:cs="仿宋"/>
          <w:sz w:val="24"/>
          <w:szCs w:val="24"/>
          <w:highlight w:val="none"/>
          <w:u w:val="single"/>
          <w:lang w:val="en-US" w:eastAsia="zh-CN"/>
        </w:rPr>
        <w:t xml:space="preserve"> 银行 省 市 （分行/支行）      </w:t>
      </w:r>
    </w:p>
    <w:p w14:paraId="553B0B98">
      <w:pPr>
        <w:pStyle w:val="70"/>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本单位谨承诺上述资料是正确、真实的，如因上述证明与事实不符导致的一切损失，本单位保证承担赔偿等一切法律责任</w:t>
      </w:r>
    </w:p>
    <w:p w14:paraId="348B1CC3">
      <w:pPr>
        <w:pStyle w:val="7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附件：投标保证金汇款凭证复印件（加盖公章）</w:t>
      </w:r>
    </w:p>
    <w:p w14:paraId="5B36C71A">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注：如采用投标保函、保险形式，请附相关证明材料</w:t>
      </w:r>
    </w:p>
    <w:p w14:paraId="0EC59C16">
      <w:pPr>
        <w:spacing w:before="78" w:line="468" w:lineRule="exact"/>
        <w:ind w:left="6302"/>
        <w:rPr>
          <w:rFonts w:hint="eastAsia" w:ascii="仿宋" w:hAnsi="仿宋" w:eastAsia="仿宋" w:cs="仿宋"/>
          <w:spacing w:val="-7"/>
          <w:position w:val="17"/>
          <w:sz w:val="24"/>
          <w:szCs w:val="24"/>
          <w:highlight w:val="none"/>
        </w:rPr>
      </w:pPr>
    </w:p>
    <w:p w14:paraId="279F006C">
      <w:pPr>
        <w:spacing w:before="78" w:line="468" w:lineRule="exact"/>
        <w:ind w:left="6302"/>
        <w:rPr>
          <w:rFonts w:hint="eastAsia" w:ascii="仿宋" w:hAnsi="仿宋" w:eastAsia="仿宋" w:cs="仿宋"/>
          <w:spacing w:val="-7"/>
          <w:position w:val="17"/>
          <w:sz w:val="24"/>
          <w:szCs w:val="24"/>
          <w:highlight w:val="none"/>
        </w:rPr>
      </w:pPr>
    </w:p>
    <w:p w14:paraId="0BBB861F">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5F8D9261">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6A519EB5">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0075373C">
      <w:pPr>
        <w:spacing w:before="182" w:line="220" w:lineRule="auto"/>
        <w:ind w:left="5741"/>
        <w:rPr>
          <w:rFonts w:hint="eastAsia" w:ascii="仿宋" w:hAnsi="仿宋" w:eastAsia="仿宋" w:cs="仿宋"/>
          <w:b/>
          <w:bCs w:val="0"/>
          <w:color w:val="auto"/>
          <w:kern w:val="2"/>
          <w:sz w:val="32"/>
          <w:szCs w:val="28"/>
          <w:highlight w:val="none"/>
          <w:lang w:val="en-US" w:eastAsia="zh-CN" w:bidi="ar-SA"/>
        </w:rPr>
      </w:pPr>
      <w:r>
        <w:rPr>
          <w:rFonts w:hint="eastAsia" w:ascii="仿宋" w:hAnsi="仿宋" w:eastAsia="仿宋" w:cs="仿宋"/>
          <w:spacing w:val="-29"/>
          <w:sz w:val="24"/>
          <w:szCs w:val="24"/>
          <w:highlight w:val="none"/>
        </w:rPr>
        <w:br w:type="page"/>
      </w:r>
      <w:r>
        <w:rPr>
          <w:rFonts w:hint="eastAsia" w:ascii="仿宋" w:hAnsi="仿宋" w:eastAsia="仿宋" w:cs="仿宋"/>
          <w:b/>
          <w:bCs w:val="0"/>
          <w:color w:val="auto"/>
          <w:kern w:val="2"/>
          <w:sz w:val="28"/>
          <w:szCs w:val="24"/>
          <w:highlight w:val="none"/>
          <w:lang w:val="en-US" w:eastAsia="zh-CN" w:bidi="ar-SA"/>
        </w:rPr>
        <w:t>附件十三</w:t>
      </w:r>
    </w:p>
    <w:p w14:paraId="73D05C9A">
      <w:pPr>
        <w:pStyle w:val="20"/>
        <w:numPr>
          <w:ilvl w:val="0"/>
          <w:numId w:val="0"/>
        </w:numPr>
        <w:tabs>
          <w:tab w:val="left" w:pos="2160"/>
        </w:tabs>
        <w:overflowPunct w:val="0"/>
        <w:snapToGrid w:val="0"/>
        <w:spacing w:line="360" w:lineRule="auto"/>
        <w:ind w:leftChars="0"/>
        <w:jc w:val="center"/>
        <w:rPr>
          <w:rFonts w:hint="eastAsia" w:ascii="仿宋" w:hAnsi="仿宋" w:eastAsia="仿宋" w:cs="仿宋"/>
          <w:color w:val="000000"/>
          <w:sz w:val="22"/>
          <w:szCs w:val="24"/>
          <w:highlight w:val="none"/>
        </w:rPr>
      </w:pPr>
      <w:r>
        <w:rPr>
          <w:rFonts w:hint="eastAsia" w:ascii="仿宋" w:hAnsi="仿宋" w:eastAsia="仿宋" w:cs="仿宋"/>
          <w:b/>
          <w:bCs w:val="0"/>
          <w:color w:val="auto"/>
          <w:kern w:val="2"/>
          <w:sz w:val="28"/>
          <w:szCs w:val="24"/>
          <w:highlight w:val="none"/>
          <w:lang w:val="en-US" w:eastAsia="zh-CN" w:bidi="ar-SA"/>
        </w:rPr>
        <w:t>商务偏离表</w:t>
      </w:r>
    </w:p>
    <w:p w14:paraId="3B8F1F0A">
      <w:pPr>
        <w:adjustRightInd w:val="0"/>
        <w:snapToGrid w:val="0"/>
        <w:spacing w:line="360" w:lineRule="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项目名称：</w:t>
      </w:r>
    </w:p>
    <w:p w14:paraId="5ABB41F2">
      <w:pPr>
        <w:adjustRightInd w:val="0"/>
        <w:snapToGrid w:val="0"/>
        <w:spacing w:line="360" w:lineRule="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项目编号：</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81"/>
        <w:gridCol w:w="2552"/>
        <w:gridCol w:w="2551"/>
        <w:gridCol w:w="1210"/>
      </w:tblGrid>
      <w:tr w14:paraId="19E8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noWrap w:val="0"/>
            <w:vAlign w:val="center"/>
          </w:tcPr>
          <w:p w14:paraId="444A65AF">
            <w:pPr>
              <w:keepNext w:val="0"/>
              <w:keepLines w:val="0"/>
              <w:suppressLineNumbers w:val="0"/>
              <w:spacing w:before="0" w:beforeAutospacing="0" w:after="0" w:afterAutospacing="0" w:line="40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2181" w:type="dxa"/>
            <w:noWrap w:val="0"/>
            <w:vAlign w:val="center"/>
          </w:tcPr>
          <w:p w14:paraId="2F577BF5">
            <w:pPr>
              <w:keepNext w:val="0"/>
              <w:keepLines w:val="0"/>
              <w:suppressLineNumbers w:val="0"/>
              <w:spacing w:before="0" w:beforeAutospacing="0" w:after="0" w:afterAutospacing="0" w:line="40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招标文件条目号</w:t>
            </w:r>
          </w:p>
        </w:tc>
        <w:tc>
          <w:tcPr>
            <w:tcW w:w="2552" w:type="dxa"/>
            <w:noWrap w:val="0"/>
            <w:vAlign w:val="center"/>
          </w:tcPr>
          <w:p w14:paraId="586D2959">
            <w:pPr>
              <w:keepNext w:val="0"/>
              <w:keepLines w:val="0"/>
              <w:suppressLineNumbers w:val="0"/>
              <w:spacing w:before="0" w:beforeAutospacing="0" w:after="0" w:afterAutospacing="0" w:line="40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招标文件的商务条款</w:t>
            </w:r>
          </w:p>
        </w:tc>
        <w:tc>
          <w:tcPr>
            <w:tcW w:w="2551" w:type="dxa"/>
            <w:noWrap w:val="0"/>
            <w:vAlign w:val="center"/>
          </w:tcPr>
          <w:p w14:paraId="6D389F7D">
            <w:pPr>
              <w:keepNext w:val="0"/>
              <w:keepLines w:val="0"/>
              <w:suppressLineNumbers w:val="0"/>
              <w:spacing w:before="0" w:beforeAutospacing="0" w:after="0" w:afterAutospacing="0" w:line="40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招标响应文件的商务条款</w:t>
            </w:r>
          </w:p>
        </w:tc>
        <w:tc>
          <w:tcPr>
            <w:tcW w:w="1210" w:type="dxa"/>
            <w:noWrap w:val="0"/>
            <w:vAlign w:val="center"/>
          </w:tcPr>
          <w:p w14:paraId="1D611040">
            <w:pPr>
              <w:keepNext w:val="0"/>
              <w:keepLines w:val="0"/>
              <w:suppressLineNumbers w:val="0"/>
              <w:spacing w:before="0" w:beforeAutospacing="0" w:after="0" w:afterAutospacing="0" w:line="40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p>
        </w:tc>
      </w:tr>
      <w:tr w14:paraId="53A5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96" w:type="dxa"/>
            <w:noWrap w:val="0"/>
            <w:vAlign w:val="center"/>
          </w:tcPr>
          <w:p w14:paraId="1D38AABE">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181" w:type="dxa"/>
            <w:noWrap w:val="0"/>
            <w:vAlign w:val="top"/>
          </w:tcPr>
          <w:p w14:paraId="07C9B4A2">
            <w:pPr>
              <w:keepNext w:val="0"/>
              <w:keepLines w:val="0"/>
              <w:suppressLineNumbers w:val="0"/>
              <w:spacing w:before="0" w:beforeAutospacing="0" w:after="0" w:afterAutospacing="0"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（示例）</w:t>
            </w:r>
          </w:p>
        </w:tc>
        <w:tc>
          <w:tcPr>
            <w:tcW w:w="2552" w:type="dxa"/>
            <w:noWrap w:val="0"/>
            <w:vAlign w:val="top"/>
          </w:tcPr>
          <w:p w14:paraId="3F6F8FB8">
            <w:pPr>
              <w:keepNext w:val="0"/>
              <w:keepLines w:val="0"/>
              <w:suppressLineNumbers w:val="0"/>
              <w:spacing w:before="0" w:beforeAutospacing="0" w:after="0" w:afterAutospacing="0"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招标人的资格声明</w:t>
            </w:r>
          </w:p>
        </w:tc>
        <w:tc>
          <w:tcPr>
            <w:tcW w:w="2551" w:type="dxa"/>
            <w:noWrap w:val="0"/>
            <w:vAlign w:val="top"/>
          </w:tcPr>
          <w:p w14:paraId="38E212EE">
            <w:pPr>
              <w:keepNext w:val="0"/>
              <w:keepLines w:val="0"/>
              <w:suppressLineNumbers w:val="0"/>
              <w:spacing w:before="0" w:beforeAutospacing="0" w:after="0" w:afterAutospacing="0"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投标人的资格声明</w:t>
            </w:r>
          </w:p>
        </w:tc>
        <w:tc>
          <w:tcPr>
            <w:tcW w:w="1210" w:type="dxa"/>
            <w:noWrap w:val="0"/>
            <w:vAlign w:val="top"/>
          </w:tcPr>
          <w:p w14:paraId="56FDA809">
            <w:pPr>
              <w:keepNext w:val="0"/>
              <w:keepLines w:val="0"/>
              <w:suppressLineNumbers w:val="0"/>
              <w:spacing w:before="0" w:beforeAutospacing="0" w:after="0" w:afterAutospacing="0"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无偏离</w:t>
            </w:r>
          </w:p>
        </w:tc>
      </w:tr>
      <w:tr w14:paraId="4A24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96" w:type="dxa"/>
            <w:noWrap w:val="0"/>
            <w:vAlign w:val="center"/>
          </w:tcPr>
          <w:p w14:paraId="1927D21E">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181" w:type="dxa"/>
            <w:noWrap w:val="0"/>
            <w:vAlign w:val="center"/>
          </w:tcPr>
          <w:p w14:paraId="10F1E98B">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p>
        </w:tc>
        <w:tc>
          <w:tcPr>
            <w:tcW w:w="2552" w:type="dxa"/>
            <w:noWrap w:val="0"/>
            <w:vAlign w:val="center"/>
          </w:tcPr>
          <w:p w14:paraId="77A607D9">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p>
        </w:tc>
        <w:tc>
          <w:tcPr>
            <w:tcW w:w="2551" w:type="dxa"/>
            <w:noWrap w:val="0"/>
            <w:vAlign w:val="center"/>
          </w:tcPr>
          <w:p w14:paraId="7CFC2927">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p>
        </w:tc>
        <w:tc>
          <w:tcPr>
            <w:tcW w:w="1210" w:type="dxa"/>
            <w:noWrap w:val="0"/>
            <w:vAlign w:val="center"/>
          </w:tcPr>
          <w:p w14:paraId="3A523F45">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p>
        </w:tc>
      </w:tr>
      <w:tr w14:paraId="14D6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96" w:type="dxa"/>
            <w:noWrap w:val="0"/>
            <w:vAlign w:val="center"/>
          </w:tcPr>
          <w:p w14:paraId="2626B8F4">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2181" w:type="dxa"/>
            <w:noWrap w:val="0"/>
            <w:vAlign w:val="center"/>
          </w:tcPr>
          <w:p w14:paraId="1BA3E316">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p>
        </w:tc>
        <w:tc>
          <w:tcPr>
            <w:tcW w:w="2552" w:type="dxa"/>
            <w:noWrap w:val="0"/>
            <w:vAlign w:val="center"/>
          </w:tcPr>
          <w:p w14:paraId="2CA2E579">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p>
        </w:tc>
        <w:tc>
          <w:tcPr>
            <w:tcW w:w="2551" w:type="dxa"/>
            <w:noWrap w:val="0"/>
            <w:vAlign w:val="center"/>
          </w:tcPr>
          <w:p w14:paraId="4F11AE9A">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p>
        </w:tc>
        <w:tc>
          <w:tcPr>
            <w:tcW w:w="1210" w:type="dxa"/>
            <w:noWrap w:val="0"/>
            <w:vAlign w:val="center"/>
          </w:tcPr>
          <w:p w14:paraId="16100556">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p>
        </w:tc>
      </w:tr>
    </w:tbl>
    <w:p w14:paraId="1285A3F8">
      <w:pPr>
        <w:adjustRightInd w:val="0"/>
        <w:snapToGrid w:val="0"/>
        <w:spacing w:line="360" w:lineRule="auto"/>
        <w:rPr>
          <w:rFonts w:hint="eastAsia" w:ascii="仿宋" w:hAnsi="仿宋" w:eastAsia="仿宋" w:cs="仿宋"/>
          <w:color w:val="000000"/>
          <w:sz w:val="24"/>
          <w:szCs w:val="24"/>
          <w:highlight w:val="none"/>
        </w:rPr>
      </w:pPr>
    </w:p>
    <w:p w14:paraId="480D9000">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2D4BC698">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1、本项目商务条款至少包括：</w:t>
      </w:r>
      <w:r>
        <w:rPr>
          <w:rFonts w:hint="eastAsia" w:ascii="仿宋" w:hAnsi="仿宋" w:eastAsia="仿宋" w:cs="仿宋"/>
          <w:sz w:val="24"/>
          <w:szCs w:val="24"/>
          <w:highlight w:val="none"/>
          <w:lang w:val="en-US" w:eastAsia="zh-CN"/>
        </w:rPr>
        <w:t>合同履约期限</w:t>
      </w:r>
      <w:r>
        <w:rPr>
          <w:rFonts w:hint="eastAsia" w:ascii="仿宋" w:hAnsi="仿宋" w:eastAsia="仿宋" w:cs="仿宋"/>
          <w:sz w:val="24"/>
          <w:szCs w:val="24"/>
          <w:highlight w:val="none"/>
        </w:rPr>
        <w:t>、采购内容、投标保证金响应、投标文件有效期、履约保证金等，投标人必须按</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给定的条款填写，否则视为不响应招标。</w:t>
      </w:r>
    </w:p>
    <w:p w14:paraId="00A5C226">
      <w:pPr>
        <w:adjustRightInd w:val="0"/>
        <w:snapToGrid w:val="0"/>
        <w:spacing w:line="360" w:lineRule="auto"/>
        <w:ind w:firstLine="480" w:firstLineChars="200"/>
        <w:outlineLvl w:val="2"/>
        <w:rPr>
          <w:rFonts w:hint="eastAsia" w:ascii="仿宋" w:hAnsi="仿宋" w:eastAsia="仿宋" w:cs="仿宋"/>
          <w:color w:val="000000"/>
          <w:sz w:val="24"/>
          <w:szCs w:val="24"/>
          <w:highlight w:val="none"/>
        </w:rPr>
      </w:pPr>
      <w:bookmarkStart w:id="548" w:name="_Toc632"/>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条目号指投标须知所对应项目名称。</w:t>
      </w:r>
      <w:bookmarkEnd w:id="548"/>
    </w:p>
    <w:p w14:paraId="42914BD5">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2189B122">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5B45F820">
      <w:pPr>
        <w:pStyle w:val="20"/>
        <w:numPr>
          <w:ilvl w:val="0"/>
          <w:numId w:val="0"/>
        </w:numPr>
        <w:overflowPunct w:val="0"/>
        <w:snapToGrid w:val="0"/>
        <w:spacing w:line="360" w:lineRule="auto"/>
        <w:jc w:val="both"/>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3865B3BA">
      <w:pPr>
        <w:pStyle w:val="20"/>
        <w:numPr>
          <w:ilvl w:val="0"/>
          <w:numId w:val="0"/>
        </w:numPr>
        <w:overflowPunct w:val="0"/>
        <w:snapToGrid w:val="0"/>
        <w:spacing w:line="360" w:lineRule="auto"/>
        <w:jc w:val="both"/>
        <w:rPr>
          <w:rFonts w:hint="eastAsia" w:ascii="仿宋" w:hAnsi="仿宋" w:eastAsia="仿宋" w:cs="仿宋"/>
          <w:b/>
          <w:bCs w:val="0"/>
          <w:color w:val="auto"/>
          <w:kern w:val="2"/>
          <w:sz w:val="28"/>
          <w:szCs w:val="24"/>
          <w:highlight w:val="none"/>
          <w:lang w:val="en-US" w:eastAsia="zh-CN" w:bidi="ar-SA"/>
        </w:rPr>
      </w:pPr>
      <w:r>
        <w:rPr>
          <w:rFonts w:hint="eastAsia" w:ascii="仿宋" w:hAnsi="仿宋" w:eastAsia="仿宋" w:cs="仿宋"/>
          <w:spacing w:val="-29"/>
          <w:sz w:val="24"/>
          <w:szCs w:val="24"/>
          <w:highlight w:val="none"/>
        </w:rPr>
        <w:br w:type="page"/>
      </w:r>
      <w:r>
        <w:rPr>
          <w:rFonts w:hint="eastAsia" w:ascii="仿宋" w:hAnsi="仿宋" w:eastAsia="仿宋" w:cs="仿宋"/>
          <w:b/>
          <w:bCs w:val="0"/>
          <w:color w:val="auto"/>
          <w:kern w:val="2"/>
          <w:sz w:val="28"/>
          <w:szCs w:val="24"/>
          <w:highlight w:val="none"/>
          <w:lang w:val="en-US" w:eastAsia="zh-CN" w:bidi="ar-SA"/>
        </w:rPr>
        <w:t>附件十四</w:t>
      </w:r>
    </w:p>
    <w:p w14:paraId="59E758D2">
      <w:pPr>
        <w:pStyle w:val="20"/>
        <w:numPr>
          <w:ilvl w:val="0"/>
          <w:numId w:val="0"/>
        </w:numPr>
        <w:overflowPunct w:val="0"/>
        <w:snapToGrid w:val="0"/>
        <w:spacing w:line="360" w:lineRule="auto"/>
        <w:jc w:val="center"/>
        <w:rPr>
          <w:rFonts w:hint="eastAsia" w:ascii="仿宋" w:hAnsi="仿宋" w:eastAsia="仿宋" w:cs="仿宋"/>
          <w:b/>
          <w:bCs w:val="0"/>
          <w:color w:val="auto"/>
          <w:kern w:val="2"/>
          <w:sz w:val="28"/>
          <w:szCs w:val="24"/>
          <w:highlight w:val="none"/>
          <w:lang w:val="en-US" w:eastAsia="zh-CN" w:bidi="ar-SA"/>
        </w:rPr>
      </w:pPr>
      <w:r>
        <w:rPr>
          <w:rFonts w:hint="eastAsia" w:ascii="仿宋" w:hAnsi="仿宋" w:eastAsia="仿宋" w:cs="仿宋"/>
          <w:b/>
          <w:bCs w:val="0"/>
          <w:color w:val="auto"/>
          <w:kern w:val="2"/>
          <w:sz w:val="28"/>
          <w:szCs w:val="24"/>
          <w:highlight w:val="none"/>
          <w:lang w:val="en-US" w:eastAsia="zh-CN" w:bidi="ar-SA"/>
        </w:rPr>
        <w:t>投标人反商业贿赂承诺书</w:t>
      </w:r>
    </w:p>
    <w:p w14:paraId="33779BA4">
      <w:pPr>
        <w:autoSpaceDE w:val="0"/>
        <w:autoSpaceDN w:val="0"/>
        <w:adjustRightInd w:val="0"/>
        <w:spacing w:line="480" w:lineRule="auto"/>
        <w:ind w:firstLine="600" w:firstLineChars="250"/>
        <w:rPr>
          <w:rFonts w:hint="eastAsia" w:ascii="仿宋" w:hAnsi="仿宋" w:eastAsia="仿宋" w:cs="仿宋"/>
          <w:color w:val="000000"/>
          <w:kern w:val="0"/>
          <w:sz w:val="24"/>
          <w:szCs w:val="24"/>
          <w:highlight w:val="none"/>
          <w:lang w:val="zh-CN"/>
        </w:rPr>
      </w:pPr>
    </w:p>
    <w:p w14:paraId="31A87179">
      <w:pPr>
        <w:autoSpaceDE w:val="0"/>
        <w:autoSpaceDN w:val="0"/>
        <w:adjustRightInd w:val="0"/>
        <w:spacing w:line="480" w:lineRule="auto"/>
        <w:ind w:firstLine="600" w:firstLineChars="25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我公司承诺在</w:t>
      </w:r>
      <w:r>
        <w:rPr>
          <w:rFonts w:hint="eastAsia" w:ascii="仿宋" w:hAnsi="仿宋" w:eastAsia="仿宋" w:cs="仿宋"/>
          <w:bCs/>
          <w:color w:val="000000"/>
          <w:sz w:val="24"/>
          <w:szCs w:val="24"/>
          <w:highlight w:val="none"/>
          <w:u w:val="single"/>
          <w:lang w:val="zh-CN"/>
        </w:rPr>
        <w:t xml:space="preserve">                             </w:t>
      </w:r>
      <w:r>
        <w:rPr>
          <w:rFonts w:hint="eastAsia" w:ascii="仿宋" w:hAnsi="仿宋" w:eastAsia="仿宋" w:cs="仿宋"/>
          <w:color w:val="000000"/>
          <w:kern w:val="0"/>
          <w:sz w:val="24"/>
          <w:szCs w:val="24"/>
          <w:highlight w:val="none"/>
          <w:lang w:val="zh-CN"/>
        </w:rPr>
        <w:t>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w:t>
      </w:r>
    </w:p>
    <w:p w14:paraId="13015C6A">
      <w:pPr>
        <w:autoSpaceDE w:val="0"/>
        <w:autoSpaceDN w:val="0"/>
        <w:adjustRightInd w:val="0"/>
        <w:spacing w:line="360" w:lineRule="auto"/>
        <w:ind w:firstLine="600" w:firstLineChars="250"/>
        <w:rPr>
          <w:rFonts w:hint="eastAsia" w:ascii="仿宋" w:hAnsi="仿宋" w:eastAsia="仿宋" w:cs="仿宋"/>
          <w:bCs/>
          <w:color w:val="000000"/>
          <w:sz w:val="24"/>
          <w:szCs w:val="24"/>
          <w:highlight w:val="none"/>
          <w:lang w:val="zh-CN"/>
        </w:rPr>
      </w:pPr>
      <w:r>
        <w:rPr>
          <w:rFonts w:hint="eastAsia" w:ascii="仿宋" w:hAnsi="仿宋" w:eastAsia="仿宋" w:cs="仿宋"/>
          <w:color w:val="000000"/>
          <w:kern w:val="0"/>
          <w:sz w:val="24"/>
          <w:szCs w:val="24"/>
          <w:highlight w:val="none"/>
          <w:lang w:val="zh-CN"/>
        </w:rPr>
        <w:t xml:space="preserve"> </w:t>
      </w:r>
    </w:p>
    <w:p w14:paraId="2B56124D">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35956458">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0AD006DF">
      <w:pPr>
        <w:spacing w:before="182" w:line="220" w:lineRule="auto"/>
        <w:ind w:left="5741"/>
        <w:rPr>
          <w:rFonts w:hint="eastAsia" w:ascii="仿宋" w:hAnsi="仿宋" w:eastAsia="仿宋" w:cs="仿宋"/>
          <w:sz w:val="24"/>
          <w:szCs w:val="24"/>
          <w:highlight w:val="none"/>
        </w:rPr>
        <w:sectPr>
          <w:headerReference r:id="rId23" w:type="default"/>
          <w:footerReference r:id="rId24" w:type="default"/>
          <w:type w:val="continuous"/>
          <w:pgSz w:w="11906" w:h="16839"/>
          <w:pgMar w:top="1440" w:right="1080" w:bottom="1440" w:left="1080" w:header="0" w:footer="986" w:gutter="0"/>
          <w:pgNumType w:fmt="decimal"/>
          <w:cols w:space="720" w:num="1"/>
          <w:rtlGutter w:val="0"/>
          <w:docGrid w:linePitch="1" w:charSpace="0"/>
        </w:sect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2185207B">
      <w:pPr>
        <w:spacing w:line="640" w:lineRule="exact"/>
        <w:jc w:val="both"/>
        <w:rPr>
          <w:rFonts w:hint="eastAsia" w:ascii="仿宋" w:hAnsi="仿宋" w:eastAsia="仿宋" w:cs="仿宋"/>
          <w:b/>
          <w:bCs w:val="0"/>
          <w:color w:val="auto"/>
          <w:kern w:val="2"/>
          <w:sz w:val="28"/>
          <w:szCs w:val="24"/>
          <w:highlight w:val="none"/>
          <w:lang w:val="en-US" w:eastAsia="zh-CN" w:bidi="ar-SA"/>
        </w:rPr>
      </w:pPr>
      <w:r>
        <w:rPr>
          <w:rFonts w:hint="eastAsia" w:ascii="仿宋" w:hAnsi="仿宋" w:eastAsia="仿宋" w:cs="仿宋"/>
          <w:b/>
          <w:bCs w:val="0"/>
          <w:color w:val="auto"/>
          <w:kern w:val="2"/>
          <w:sz w:val="28"/>
          <w:szCs w:val="24"/>
          <w:highlight w:val="none"/>
          <w:lang w:val="en-US" w:eastAsia="zh-CN" w:bidi="ar-SA"/>
        </w:rPr>
        <w:br w:type="page"/>
      </w:r>
      <w:r>
        <w:rPr>
          <w:rFonts w:hint="eastAsia" w:ascii="仿宋" w:hAnsi="仿宋" w:eastAsia="仿宋" w:cs="仿宋"/>
          <w:b/>
          <w:bCs w:val="0"/>
          <w:color w:val="auto"/>
          <w:kern w:val="2"/>
          <w:sz w:val="28"/>
          <w:szCs w:val="24"/>
          <w:highlight w:val="none"/>
          <w:lang w:val="en-US" w:eastAsia="zh-CN" w:bidi="ar-SA"/>
        </w:rPr>
        <w:t>附件十五</w:t>
      </w:r>
    </w:p>
    <w:p w14:paraId="34A91544">
      <w:pPr>
        <w:spacing w:line="640" w:lineRule="exact"/>
        <w:ind w:firstLine="498" w:firstLineChars="177"/>
        <w:jc w:val="center"/>
        <w:rPr>
          <w:rFonts w:hint="eastAsia" w:ascii="仿宋" w:hAnsi="仿宋" w:eastAsia="仿宋" w:cs="仿宋"/>
          <w:sz w:val="28"/>
          <w:szCs w:val="28"/>
          <w:highlight w:val="none"/>
        </w:rPr>
      </w:pPr>
      <w:r>
        <w:rPr>
          <w:rFonts w:hint="eastAsia" w:ascii="仿宋" w:hAnsi="仿宋" w:eastAsia="仿宋" w:cs="仿宋"/>
          <w:b/>
          <w:bCs w:val="0"/>
          <w:color w:val="auto"/>
          <w:kern w:val="2"/>
          <w:sz w:val="28"/>
          <w:szCs w:val="24"/>
          <w:highlight w:val="none"/>
          <w:lang w:val="en-US" w:eastAsia="zh-CN" w:bidi="ar-SA"/>
        </w:rPr>
        <w:t>无围标、串标等违法违规行为承诺书</w:t>
      </w:r>
    </w:p>
    <w:p w14:paraId="01BFC9D5">
      <w:pPr>
        <w:spacing w:line="640" w:lineRule="exact"/>
        <w:jc w:val="left"/>
        <w:rPr>
          <w:rFonts w:hint="eastAsia" w:ascii="仿宋" w:hAnsi="仿宋" w:eastAsia="仿宋" w:cs="仿宋"/>
          <w:sz w:val="24"/>
          <w:szCs w:val="24"/>
          <w:highlight w:val="none"/>
        </w:rPr>
      </w:pPr>
    </w:p>
    <w:p w14:paraId="3ACB425A">
      <w:pPr>
        <w:spacing w:line="6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本人作为</w:t>
      </w:r>
      <w:r>
        <w:rPr>
          <w:rFonts w:hint="eastAsia" w:ascii="仿宋" w:hAnsi="仿宋" w:eastAsia="仿宋" w:cs="仿宋"/>
          <w:sz w:val="24"/>
          <w:szCs w:val="24"/>
          <w:highlight w:val="none"/>
          <w:u w:val="single"/>
        </w:rPr>
        <w:t xml:space="preserve">（单位名称）                    </w:t>
      </w:r>
      <w:r>
        <w:rPr>
          <w:rFonts w:hint="eastAsia" w:ascii="仿宋" w:hAnsi="仿宋" w:eastAsia="仿宋" w:cs="仿宋"/>
          <w:sz w:val="24"/>
          <w:szCs w:val="24"/>
          <w:highlight w:val="none"/>
        </w:rPr>
        <w:t>的法人，清楚知晓我公司本项目投标活动，对以下事项作出承诺：</w:t>
      </w:r>
    </w:p>
    <w:p w14:paraId="1725A189">
      <w:pPr>
        <w:spacing w:line="6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一、我单位遵循公开、公平、公正、诚实守信的原则，依法依规参与本项目竞标。</w:t>
      </w:r>
    </w:p>
    <w:p w14:paraId="6BF89098">
      <w:pPr>
        <w:spacing w:line="640" w:lineRule="exact"/>
        <w:ind w:firstLine="480" w:firstLineChars="200"/>
        <w:outlineLvl w:val="1"/>
        <w:rPr>
          <w:rFonts w:hint="eastAsia" w:ascii="仿宋" w:hAnsi="仿宋" w:eastAsia="仿宋" w:cs="仿宋"/>
          <w:sz w:val="24"/>
          <w:szCs w:val="24"/>
          <w:highlight w:val="none"/>
        </w:rPr>
      </w:pPr>
      <w:bookmarkStart w:id="549" w:name="_Toc3592"/>
      <w:r>
        <w:rPr>
          <w:rFonts w:hint="eastAsia" w:ascii="仿宋" w:hAnsi="仿宋" w:eastAsia="仿宋" w:cs="仿宋"/>
          <w:sz w:val="24"/>
          <w:szCs w:val="24"/>
          <w:highlight w:val="none"/>
        </w:rPr>
        <w:t>二、我单位在本项目招标投标活动中，未参与围标串标。</w:t>
      </w:r>
      <w:bookmarkEnd w:id="549"/>
    </w:p>
    <w:p w14:paraId="3190F9E4">
      <w:pPr>
        <w:spacing w:line="6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410AF1EB">
      <w:pPr>
        <w:spacing w:line="6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sz w:val="24"/>
          <w:szCs w:val="24"/>
          <w:highlight w:val="none"/>
        </w:rPr>
        <w:t xml:space="preserve"> </w:t>
      </w:r>
    </w:p>
    <w:p w14:paraId="05AD612E">
      <w:pPr>
        <w:spacing w:line="6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项目名称</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sz w:val="24"/>
          <w:szCs w:val="24"/>
          <w:highlight w:val="none"/>
        </w:rPr>
        <w:t xml:space="preserve">    </w:t>
      </w:r>
    </w:p>
    <w:p w14:paraId="672EF7C2">
      <w:pPr>
        <w:spacing w:before="78" w:line="468" w:lineRule="exact"/>
        <w:ind w:left="6302"/>
        <w:rPr>
          <w:rFonts w:hint="eastAsia" w:ascii="仿宋" w:hAnsi="仿宋" w:eastAsia="仿宋" w:cs="仿宋"/>
          <w:spacing w:val="-7"/>
          <w:position w:val="17"/>
          <w:sz w:val="24"/>
          <w:szCs w:val="24"/>
          <w:highlight w:val="none"/>
        </w:rPr>
      </w:pPr>
    </w:p>
    <w:p w14:paraId="5B9B6382">
      <w:pPr>
        <w:spacing w:before="78" w:line="468" w:lineRule="exact"/>
        <w:ind w:left="6302"/>
        <w:rPr>
          <w:rFonts w:hint="eastAsia" w:ascii="仿宋" w:hAnsi="仿宋" w:eastAsia="仿宋" w:cs="仿宋"/>
          <w:spacing w:val="-7"/>
          <w:position w:val="17"/>
          <w:sz w:val="24"/>
          <w:szCs w:val="24"/>
          <w:highlight w:val="none"/>
        </w:rPr>
      </w:pPr>
    </w:p>
    <w:p w14:paraId="2018C408">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0771C2A4">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625476E9">
      <w:pPr>
        <w:spacing w:before="182" w:line="220" w:lineRule="auto"/>
        <w:ind w:left="5741"/>
        <w:rPr>
          <w:rFonts w:hint="eastAsia" w:ascii="仿宋" w:hAnsi="仿宋" w:eastAsia="仿宋" w:cs="仿宋"/>
          <w:sz w:val="24"/>
          <w:szCs w:val="24"/>
          <w:highlight w:val="none"/>
        </w:rPr>
        <w:sectPr>
          <w:headerReference r:id="rId25" w:type="default"/>
          <w:footerReference r:id="rId26" w:type="default"/>
          <w:type w:val="continuous"/>
          <w:pgSz w:w="11906" w:h="16839"/>
          <w:pgMar w:top="1440" w:right="1080" w:bottom="1440" w:left="1080" w:header="0" w:footer="986" w:gutter="0"/>
          <w:pgNumType w:fmt="decimal"/>
          <w:cols w:space="720" w:num="1"/>
          <w:rtlGutter w:val="0"/>
          <w:docGrid w:linePitch="1" w:charSpace="0"/>
        </w:sect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5B77888D">
      <w:pPr>
        <w:pStyle w:val="58"/>
        <w:numPr>
          <w:ilvl w:val="0"/>
          <w:numId w:val="0"/>
        </w:numPr>
        <w:spacing w:before="120" w:line="360" w:lineRule="auto"/>
        <w:jc w:val="both"/>
        <w:rPr>
          <w:rFonts w:hint="eastAsia" w:ascii="仿宋" w:hAnsi="仿宋" w:eastAsia="仿宋" w:cs="仿宋"/>
          <w:b/>
          <w:bCs w:val="0"/>
          <w:color w:val="auto"/>
          <w:kern w:val="2"/>
          <w:sz w:val="28"/>
          <w:szCs w:val="24"/>
          <w:highlight w:val="none"/>
          <w:lang w:val="en-US" w:eastAsia="zh-CN" w:bidi="ar-SA"/>
        </w:rPr>
      </w:pPr>
      <w:bookmarkStart w:id="550" w:name="_Toc28072"/>
      <w:r>
        <w:rPr>
          <w:rFonts w:hint="eastAsia" w:ascii="仿宋" w:hAnsi="仿宋" w:eastAsia="仿宋" w:cs="仿宋"/>
          <w:b/>
          <w:bCs w:val="0"/>
          <w:color w:val="auto"/>
          <w:kern w:val="2"/>
          <w:sz w:val="28"/>
          <w:szCs w:val="24"/>
          <w:highlight w:val="none"/>
          <w:lang w:val="en-US" w:eastAsia="zh-CN" w:bidi="ar-SA"/>
        </w:rPr>
        <w:t>附件十</w:t>
      </w:r>
      <w:bookmarkEnd w:id="550"/>
      <w:r>
        <w:rPr>
          <w:rFonts w:hint="eastAsia" w:ascii="仿宋" w:hAnsi="仿宋" w:eastAsia="仿宋" w:cs="仿宋"/>
          <w:b/>
          <w:bCs w:val="0"/>
          <w:color w:val="auto"/>
          <w:kern w:val="2"/>
          <w:sz w:val="28"/>
          <w:szCs w:val="24"/>
          <w:highlight w:val="none"/>
          <w:lang w:val="en-US" w:eastAsia="zh-CN" w:bidi="ar-SA"/>
        </w:rPr>
        <w:t>六</w:t>
      </w:r>
    </w:p>
    <w:p w14:paraId="4B4C54A6">
      <w:pPr>
        <w:pStyle w:val="58"/>
        <w:numPr>
          <w:ilvl w:val="0"/>
          <w:numId w:val="0"/>
        </w:numPr>
        <w:spacing w:before="120" w:line="360" w:lineRule="auto"/>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中小企业声明函、JY企业、残疾人福利性单位及其他相关的充分的证明材料</w:t>
      </w:r>
    </w:p>
    <w:p w14:paraId="4B279CD2">
      <w:pPr>
        <w:spacing w:before="240" w:beforeLines="100" w:after="240" w:afterLines="100" w:line="360" w:lineRule="auto"/>
        <w:jc w:val="center"/>
        <w:rPr>
          <w:rFonts w:hint="eastAsia" w:ascii="仿宋" w:hAnsi="仿宋" w:eastAsia="仿宋" w:cs="仿宋"/>
          <w:b/>
          <w:color w:val="000000"/>
          <w:sz w:val="28"/>
          <w:szCs w:val="28"/>
          <w:highlight w:val="none"/>
        </w:rPr>
      </w:pPr>
      <w:r>
        <w:rPr>
          <w:rFonts w:hint="eastAsia" w:ascii="仿宋" w:hAnsi="仿宋" w:eastAsia="仿宋" w:cs="仿宋"/>
          <w:b/>
          <w:bCs/>
          <w:color w:val="000000"/>
          <w:sz w:val="28"/>
          <w:szCs w:val="28"/>
          <w:highlight w:val="none"/>
        </w:rPr>
        <w:t>中小企业声明函（货物）格式</w:t>
      </w:r>
    </w:p>
    <w:p w14:paraId="48BE9D49">
      <w:pPr>
        <w:spacing w:line="360" w:lineRule="auto"/>
        <w:ind w:left="244" w:leftChars="116" w:firstLine="630" w:firstLineChars="25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本公司（联合体）郑重声明，根据《政府采购促进中小企业发展管理办法》（财库﹝2020﹞46 号）的规定，本公司（联合体）参加</w:t>
      </w:r>
      <w:r>
        <w:rPr>
          <w:rFonts w:hint="eastAsia" w:ascii="仿宋" w:hAnsi="仿宋" w:eastAsia="仿宋" w:cs="仿宋"/>
          <w:spacing w:val="6"/>
          <w:sz w:val="24"/>
          <w:szCs w:val="24"/>
          <w:highlight w:val="none"/>
          <w:u w:val="single"/>
        </w:rPr>
        <w:t>（单位名称）</w:t>
      </w:r>
      <w:r>
        <w:rPr>
          <w:rFonts w:hint="eastAsia" w:ascii="仿宋" w:hAnsi="仿宋" w:eastAsia="仿宋" w:cs="仿宋"/>
          <w:spacing w:val="6"/>
          <w:sz w:val="24"/>
          <w:szCs w:val="24"/>
          <w:highlight w:val="none"/>
        </w:rPr>
        <w:t>的</w:t>
      </w:r>
      <w:r>
        <w:rPr>
          <w:rFonts w:hint="eastAsia" w:ascii="仿宋" w:hAnsi="仿宋" w:eastAsia="仿宋" w:cs="仿宋"/>
          <w:spacing w:val="6"/>
          <w:sz w:val="24"/>
          <w:szCs w:val="24"/>
          <w:highlight w:val="none"/>
          <w:u w:val="single"/>
        </w:rPr>
        <w:t>（项目名称）</w:t>
      </w:r>
      <w:r>
        <w:rPr>
          <w:rFonts w:hint="eastAsia" w:ascii="仿宋" w:hAnsi="仿宋" w:eastAsia="仿宋" w:cs="仿宋"/>
          <w:spacing w:val="6"/>
          <w:sz w:val="24"/>
          <w:szCs w:val="24"/>
          <w:highlight w:val="none"/>
        </w:rPr>
        <w:t>采购活动，提供的货物全部由符合政策要求的中小企业制造。相关企业（含联合体中的中小企业、签订分包意向协议的中小企业）的具体情况如下：</w:t>
      </w:r>
    </w:p>
    <w:p w14:paraId="54D1A32B">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1.</w:t>
      </w:r>
      <w:r>
        <w:rPr>
          <w:rFonts w:hint="eastAsia" w:ascii="仿宋" w:hAnsi="仿宋" w:eastAsia="仿宋" w:cs="仿宋"/>
          <w:spacing w:val="6"/>
          <w:sz w:val="24"/>
          <w:szCs w:val="24"/>
          <w:highlight w:val="none"/>
          <w:u w:val="single"/>
        </w:rPr>
        <w:t>（标的名称）</w:t>
      </w:r>
      <w:r>
        <w:rPr>
          <w:rFonts w:hint="eastAsia" w:ascii="仿宋" w:hAnsi="仿宋" w:eastAsia="仿宋" w:cs="仿宋"/>
          <w:spacing w:val="6"/>
          <w:sz w:val="24"/>
          <w:szCs w:val="24"/>
          <w:highlight w:val="none"/>
        </w:rPr>
        <w:t>，属于</w:t>
      </w:r>
      <w:r>
        <w:rPr>
          <w:rFonts w:hint="eastAsia" w:ascii="仿宋" w:hAnsi="仿宋" w:eastAsia="仿宋" w:cs="仿宋"/>
          <w:spacing w:val="6"/>
          <w:sz w:val="24"/>
          <w:szCs w:val="24"/>
          <w:highlight w:val="none"/>
          <w:u w:val="single"/>
        </w:rPr>
        <w:t>（采购文件中明确的所属行业）</w:t>
      </w:r>
      <w:r>
        <w:rPr>
          <w:rFonts w:hint="eastAsia" w:ascii="仿宋" w:hAnsi="仿宋" w:eastAsia="仿宋" w:cs="仿宋"/>
          <w:spacing w:val="6"/>
          <w:sz w:val="24"/>
          <w:szCs w:val="24"/>
          <w:highlight w:val="none"/>
        </w:rPr>
        <w:t>行业；制造商为</w:t>
      </w:r>
      <w:r>
        <w:rPr>
          <w:rFonts w:hint="eastAsia" w:ascii="仿宋" w:hAnsi="仿宋" w:eastAsia="仿宋" w:cs="仿宋"/>
          <w:spacing w:val="6"/>
          <w:sz w:val="24"/>
          <w:szCs w:val="24"/>
          <w:highlight w:val="none"/>
          <w:u w:val="single"/>
        </w:rPr>
        <w:t>（企业名称）</w:t>
      </w:r>
      <w:r>
        <w:rPr>
          <w:rFonts w:hint="eastAsia" w:ascii="仿宋" w:hAnsi="仿宋" w:eastAsia="仿宋" w:cs="仿宋"/>
          <w:spacing w:val="6"/>
          <w:sz w:val="24"/>
          <w:szCs w:val="24"/>
          <w:highlight w:val="none"/>
        </w:rPr>
        <w:t>，从业人员______人，营业收入为______万元，资产总额为______万元</w:t>
      </w:r>
      <w:r>
        <w:rPr>
          <w:rFonts w:hint="eastAsia" w:ascii="仿宋" w:hAnsi="仿宋" w:eastAsia="仿宋" w:cs="仿宋"/>
          <w:spacing w:val="6"/>
          <w:sz w:val="24"/>
          <w:szCs w:val="24"/>
          <w:highlight w:val="none"/>
          <w:vertAlign w:val="superscript"/>
        </w:rPr>
        <w:t>1</w:t>
      </w:r>
      <w:r>
        <w:rPr>
          <w:rFonts w:hint="eastAsia" w:ascii="仿宋" w:hAnsi="仿宋" w:eastAsia="仿宋" w:cs="仿宋"/>
          <w:spacing w:val="6"/>
          <w:sz w:val="24"/>
          <w:szCs w:val="24"/>
          <w:highlight w:val="none"/>
        </w:rPr>
        <w:t>，属于（中型企业、小型企业、微型企业）；</w:t>
      </w:r>
    </w:p>
    <w:p w14:paraId="7FFDC6B2">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2.</w:t>
      </w:r>
      <w:r>
        <w:rPr>
          <w:rFonts w:hint="eastAsia" w:ascii="仿宋" w:hAnsi="仿宋" w:eastAsia="仿宋" w:cs="仿宋"/>
          <w:spacing w:val="6"/>
          <w:sz w:val="24"/>
          <w:szCs w:val="24"/>
          <w:highlight w:val="none"/>
          <w:u w:val="single"/>
        </w:rPr>
        <w:t>（标的名称）</w:t>
      </w:r>
      <w:r>
        <w:rPr>
          <w:rFonts w:hint="eastAsia" w:ascii="仿宋" w:hAnsi="仿宋" w:eastAsia="仿宋" w:cs="仿宋"/>
          <w:spacing w:val="6"/>
          <w:sz w:val="24"/>
          <w:szCs w:val="24"/>
          <w:highlight w:val="none"/>
        </w:rPr>
        <w:t>，属于</w:t>
      </w:r>
      <w:r>
        <w:rPr>
          <w:rFonts w:hint="eastAsia" w:ascii="仿宋" w:hAnsi="仿宋" w:eastAsia="仿宋" w:cs="仿宋"/>
          <w:spacing w:val="6"/>
          <w:sz w:val="24"/>
          <w:szCs w:val="24"/>
          <w:highlight w:val="none"/>
          <w:u w:val="single"/>
        </w:rPr>
        <w:t>（采购文件中明确的所属行业）</w:t>
      </w:r>
      <w:r>
        <w:rPr>
          <w:rFonts w:hint="eastAsia" w:ascii="仿宋" w:hAnsi="仿宋" w:eastAsia="仿宋" w:cs="仿宋"/>
          <w:spacing w:val="6"/>
          <w:sz w:val="24"/>
          <w:szCs w:val="24"/>
          <w:highlight w:val="none"/>
        </w:rPr>
        <w:t>行业；制造商为</w:t>
      </w:r>
      <w:r>
        <w:rPr>
          <w:rFonts w:hint="eastAsia" w:ascii="仿宋" w:hAnsi="仿宋" w:eastAsia="仿宋" w:cs="仿宋"/>
          <w:spacing w:val="6"/>
          <w:sz w:val="24"/>
          <w:szCs w:val="24"/>
          <w:highlight w:val="none"/>
          <w:u w:val="single"/>
        </w:rPr>
        <w:t>（企业名称）</w:t>
      </w:r>
      <w:r>
        <w:rPr>
          <w:rFonts w:hint="eastAsia" w:ascii="仿宋" w:hAnsi="仿宋" w:eastAsia="仿宋" w:cs="仿宋"/>
          <w:spacing w:val="6"/>
          <w:sz w:val="24"/>
          <w:szCs w:val="24"/>
          <w:highlight w:val="none"/>
        </w:rPr>
        <w:t>，从业人员______人，营业收入为______万元，资产总额为______万元，属于</w:t>
      </w:r>
      <w:r>
        <w:rPr>
          <w:rFonts w:hint="eastAsia" w:ascii="仿宋" w:hAnsi="仿宋" w:eastAsia="仿宋" w:cs="仿宋"/>
          <w:spacing w:val="6"/>
          <w:sz w:val="24"/>
          <w:szCs w:val="24"/>
          <w:highlight w:val="none"/>
          <w:u w:val="single"/>
        </w:rPr>
        <w:t>（中型企业、小型企业、微型企业）</w:t>
      </w:r>
      <w:r>
        <w:rPr>
          <w:rFonts w:hint="eastAsia" w:ascii="仿宋" w:hAnsi="仿宋" w:eastAsia="仿宋" w:cs="仿宋"/>
          <w:spacing w:val="6"/>
          <w:sz w:val="24"/>
          <w:szCs w:val="24"/>
          <w:highlight w:val="none"/>
        </w:rPr>
        <w:t>；</w:t>
      </w:r>
    </w:p>
    <w:p w14:paraId="5BA95A09">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w:t>
      </w:r>
    </w:p>
    <w:p w14:paraId="525BF3BA">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以上企业，不属于大企业的分支机构，不存在控股股东为大企业的情形，也不存在与大企业的负责人为同一人的情形。</w:t>
      </w:r>
    </w:p>
    <w:p w14:paraId="1F5540DD">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本企业对上述声明内容的真实性负责。如有虚假，将依法承担相应责任。</w:t>
      </w:r>
    </w:p>
    <w:p w14:paraId="17F84385">
      <w:pPr>
        <w:spacing w:line="360" w:lineRule="auto"/>
        <w:ind w:firstLine="504"/>
        <w:rPr>
          <w:rFonts w:hint="eastAsia" w:ascii="仿宋" w:hAnsi="仿宋" w:eastAsia="仿宋" w:cs="仿宋"/>
          <w:spacing w:val="6"/>
          <w:sz w:val="24"/>
          <w:szCs w:val="24"/>
          <w:highlight w:val="none"/>
        </w:rPr>
      </w:pPr>
    </w:p>
    <w:p w14:paraId="685B720F">
      <w:pPr>
        <w:spacing w:line="360" w:lineRule="auto"/>
        <w:ind w:right="360" w:firstLine="480"/>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企业名称（盖章）：________</w:t>
      </w:r>
    </w:p>
    <w:p w14:paraId="51021167">
      <w:pPr>
        <w:spacing w:line="360" w:lineRule="auto"/>
        <w:ind w:right="360" w:firstLine="480"/>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 期：________</w:t>
      </w:r>
    </w:p>
    <w:p w14:paraId="2267B578">
      <w:pPr>
        <w:spacing w:line="360" w:lineRule="auto"/>
        <w:ind w:right="360" w:firstLine="480"/>
        <w:jc w:val="right"/>
        <w:rPr>
          <w:rFonts w:hint="eastAsia" w:ascii="仿宋" w:hAnsi="仿宋" w:eastAsia="仿宋" w:cs="仿宋"/>
          <w:color w:val="000000"/>
          <w:sz w:val="24"/>
          <w:highlight w:val="none"/>
        </w:rPr>
      </w:pPr>
    </w:p>
    <w:p w14:paraId="71729934">
      <w:pPr>
        <w:spacing w:line="360" w:lineRule="auto"/>
        <w:ind w:right="360" w:firstLine="480"/>
        <w:jc w:val="right"/>
        <w:rPr>
          <w:rFonts w:hint="eastAsia" w:ascii="仿宋" w:hAnsi="仿宋" w:eastAsia="仿宋" w:cs="仿宋"/>
          <w:color w:val="000000"/>
          <w:sz w:val="24"/>
          <w:highlight w:val="none"/>
        </w:rPr>
      </w:pPr>
    </w:p>
    <w:tbl>
      <w:tblPr>
        <w:tblStyle w:val="7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B555B9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18C59966">
            <w:pPr>
              <w:keepNext w:val="0"/>
              <w:keepLines w:val="0"/>
              <w:suppressLineNumbers w:val="0"/>
              <w:adjustRightInd w:val="0"/>
              <w:snapToGrid w:val="0"/>
              <w:spacing w:before="0" w:beforeAutospacing="0" w:after="0" w:afterAutospacing="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vertAlign w:val="superscript"/>
              </w:rPr>
              <w:t>1</w:t>
            </w:r>
            <w:r>
              <w:rPr>
                <w:rFonts w:hint="eastAsia" w:ascii="仿宋" w:hAnsi="仿宋" w:eastAsia="仿宋" w:cs="仿宋"/>
                <w:color w:val="000000"/>
                <w:szCs w:val="21"/>
                <w:highlight w:val="none"/>
              </w:rPr>
              <w:t>从业人员、营业收入、资产总额填报上一年度数据，无上一年度数据的新成立企业可不填报。</w:t>
            </w:r>
          </w:p>
        </w:tc>
      </w:tr>
    </w:tbl>
    <w:p w14:paraId="56D1BDB6">
      <w:pPr>
        <w:pStyle w:val="88"/>
        <w:jc w:val="center"/>
        <w:rPr>
          <w:rFonts w:hint="eastAsia" w:ascii="仿宋" w:hAnsi="仿宋" w:eastAsia="仿宋" w:cs="仿宋"/>
          <w:b/>
          <w:bCs/>
          <w:color w:val="000000"/>
          <w:sz w:val="28"/>
          <w:szCs w:val="28"/>
          <w:highlight w:val="none"/>
        </w:rPr>
      </w:pPr>
      <w:r>
        <w:rPr>
          <w:rFonts w:hint="eastAsia" w:ascii="仿宋" w:hAnsi="仿宋" w:eastAsia="仿宋" w:cs="仿宋"/>
          <w:highlight w:val="none"/>
        </w:rPr>
        <w:br w:type="page"/>
      </w:r>
      <w:r>
        <w:rPr>
          <w:rFonts w:hint="eastAsia" w:ascii="仿宋" w:hAnsi="仿宋" w:eastAsia="仿宋" w:cs="仿宋"/>
          <w:b/>
          <w:bCs/>
          <w:color w:val="000000"/>
          <w:sz w:val="28"/>
          <w:szCs w:val="28"/>
          <w:highlight w:val="none"/>
        </w:rPr>
        <w:t>中小企业声明函（工程、服务）格式</w:t>
      </w:r>
    </w:p>
    <w:p w14:paraId="2323E189">
      <w:pPr>
        <w:spacing w:line="360" w:lineRule="auto"/>
        <w:ind w:left="244" w:leftChars="116" w:firstLine="378" w:firstLineChars="15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本公司（联合体）郑重声明，根据《政府采购促进中小企业发展管理办法》（财库﹝2020﹞46 号）的规定，本公司（联合体）参加</w:t>
      </w:r>
      <w:r>
        <w:rPr>
          <w:rFonts w:hint="eastAsia" w:ascii="仿宋" w:hAnsi="仿宋" w:eastAsia="仿宋" w:cs="仿宋"/>
          <w:spacing w:val="6"/>
          <w:sz w:val="24"/>
          <w:szCs w:val="24"/>
          <w:highlight w:val="none"/>
          <w:u w:val="single"/>
        </w:rPr>
        <w:t>（单位名称）</w:t>
      </w:r>
      <w:r>
        <w:rPr>
          <w:rFonts w:hint="eastAsia" w:ascii="仿宋" w:hAnsi="仿宋" w:eastAsia="仿宋" w:cs="仿宋"/>
          <w:spacing w:val="6"/>
          <w:sz w:val="24"/>
          <w:szCs w:val="24"/>
          <w:highlight w:val="none"/>
        </w:rPr>
        <w:t>的</w:t>
      </w:r>
      <w:r>
        <w:rPr>
          <w:rFonts w:hint="eastAsia" w:ascii="仿宋" w:hAnsi="仿宋" w:eastAsia="仿宋" w:cs="仿宋"/>
          <w:spacing w:val="6"/>
          <w:sz w:val="24"/>
          <w:szCs w:val="24"/>
          <w:highlight w:val="none"/>
          <w:u w:val="single"/>
        </w:rPr>
        <w:t>（项目名称）</w:t>
      </w:r>
      <w:r>
        <w:rPr>
          <w:rFonts w:hint="eastAsia" w:ascii="仿宋" w:hAnsi="仿宋" w:eastAsia="仿宋" w:cs="仿宋"/>
          <w:spacing w:val="6"/>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28A8FA0">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1.</w:t>
      </w:r>
      <w:r>
        <w:rPr>
          <w:rFonts w:hint="eastAsia" w:ascii="仿宋" w:hAnsi="仿宋" w:eastAsia="仿宋" w:cs="仿宋"/>
          <w:spacing w:val="6"/>
          <w:sz w:val="24"/>
          <w:szCs w:val="24"/>
          <w:highlight w:val="none"/>
          <w:u w:val="single"/>
        </w:rPr>
        <w:t>（标的名称）</w:t>
      </w:r>
      <w:r>
        <w:rPr>
          <w:rFonts w:hint="eastAsia" w:ascii="仿宋" w:hAnsi="仿宋" w:eastAsia="仿宋" w:cs="仿宋"/>
          <w:spacing w:val="6"/>
          <w:sz w:val="24"/>
          <w:szCs w:val="24"/>
          <w:highlight w:val="none"/>
        </w:rPr>
        <w:t>，属于</w:t>
      </w:r>
      <w:r>
        <w:rPr>
          <w:rFonts w:hint="eastAsia" w:ascii="仿宋" w:hAnsi="仿宋" w:eastAsia="仿宋" w:cs="仿宋"/>
          <w:spacing w:val="6"/>
          <w:sz w:val="24"/>
          <w:szCs w:val="24"/>
          <w:highlight w:val="none"/>
          <w:u w:val="single"/>
        </w:rPr>
        <w:t>（采购文件中明确的所属行业）</w:t>
      </w:r>
      <w:r>
        <w:rPr>
          <w:rFonts w:hint="eastAsia" w:ascii="仿宋" w:hAnsi="仿宋" w:eastAsia="仿宋" w:cs="仿宋"/>
          <w:spacing w:val="6"/>
          <w:sz w:val="24"/>
          <w:szCs w:val="24"/>
          <w:highlight w:val="none"/>
        </w:rPr>
        <w:t>行业；承建（承接）企业为</w:t>
      </w:r>
      <w:r>
        <w:rPr>
          <w:rFonts w:hint="eastAsia" w:ascii="仿宋" w:hAnsi="仿宋" w:eastAsia="仿宋" w:cs="仿宋"/>
          <w:spacing w:val="6"/>
          <w:sz w:val="24"/>
          <w:szCs w:val="24"/>
          <w:highlight w:val="none"/>
          <w:u w:val="single"/>
        </w:rPr>
        <w:t>（企业名称）</w:t>
      </w:r>
      <w:r>
        <w:rPr>
          <w:rFonts w:hint="eastAsia" w:ascii="仿宋" w:hAnsi="仿宋" w:eastAsia="仿宋" w:cs="仿宋"/>
          <w:spacing w:val="6"/>
          <w:sz w:val="24"/>
          <w:szCs w:val="24"/>
          <w:highlight w:val="none"/>
        </w:rPr>
        <w:t>，从业人员______人，营业收入为______万元，资产总额为______万元</w:t>
      </w:r>
      <w:r>
        <w:rPr>
          <w:rFonts w:hint="eastAsia" w:ascii="仿宋" w:hAnsi="仿宋" w:eastAsia="仿宋" w:cs="仿宋"/>
          <w:spacing w:val="6"/>
          <w:sz w:val="24"/>
          <w:szCs w:val="24"/>
          <w:highlight w:val="none"/>
          <w:vertAlign w:val="superscript"/>
        </w:rPr>
        <w:t>1</w:t>
      </w:r>
      <w:r>
        <w:rPr>
          <w:rFonts w:hint="eastAsia" w:ascii="仿宋" w:hAnsi="仿宋" w:eastAsia="仿宋" w:cs="仿宋"/>
          <w:spacing w:val="6"/>
          <w:sz w:val="24"/>
          <w:szCs w:val="24"/>
          <w:highlight w:val="none"/>
        </w:rPr>
        <w:t>，属于（中型企业、小型企业、微型企业）；</w:t>
      </w:r>
    </w:p>
    <w:p w14:paraId="3F171EBE">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2.</w:t>
      </w:r>
      <w:r>
        <w:rPr>
          <w:rFonts w:hint="eastAsia" w:ascii="仿宋" w:hAnsi="仿宋" w:eastAsia="仿宋" w:cs="仿宋"/>
          <w:spacing w:val="6"/>
          <w:sz w:val="24"/>
          <w:szCs w:val="24"/>
          <w:highlight w:val="none"/>
          <w:u w:val="single"/>
        </w:rPr>
        <w:t>（标的名称）</w:t>
      </w:r>
      <w:r>
        <w:rPr>
          <w:rFonts w:hint="eastAsia" w:ascii="仿宋" w:hAnsi="仿宋" w:eastAsia="仿宋" w:cs="仿宋"/>
          <w:spacing w:val="6"/>
          <w:sz w:val="24"/>
          <w:szCs w:val="24"/>
          <w:highlight w:val="none"/>
        </w:rPr>
        <w:t>，属于</w:t>
      </w:r>
      <w:r>
        <w:rPr>
          <w:rFonts w:hint="eastAsia" w:ascii="仿宋" w:hAnsi="仿宋" w:eastAsia="仿宋" w:cs="仿宋"/>
          <w:spacing w:val="6"/>
          <w:sz w:val="24"/>
          <w:szCs w:val="24"/>
          <w:highlight w:val="none"/>
          <w:u w:val="single"/>
        </w:rPr>
        <w:t>（采购文件中明确的所属行业）</w:t>
      </w:r>
      <w:r>
        <w:rPr>
          <w:rFonts w:hint="eastAsia" w:ascii="仿宋" w:hAnsi="仿宋" w:eastAsia="仿宋" w:cs="仿宋"/>
          <w:spacing w:val="6"/>
          <w:sz w:val="24"/>
          <w:szCs w:val="24"/>
          <w:highlight w:val="none"/>
        </w:rPr>
        <w:t>行业；承建（承接）企业为</w:t>
      </w:r>
      <w:r>
        <w:rPr>
          <w:rFonts w:hint="eastAsia" w:ascii="仿宋" w:hAnsi="仿宋" w:eastAsia="仿宋" w:cs="仿宋"/>
          <w:spacing w:val="6"/>
          <w:sz w:val="24"/>
          <w:szCs w:val="24"/>
          <w:highlight w:val="none"/>
          <w:u w:val="single"/>
        </w:rPr>
        <w:t>（企业名称）</w:t>
      </w:r>
      <w:r>
        <w:rPr>
          <w:rFonts w:hint="eastAsia" w:ascii="仿宋" w:hAnsi="仿宋" w:eastAsia="仿宋" w:cs="仿宋"/>
          <w:spacing w:val="6"/>
          <w:sz w:val="24"/>
          <w:szCs w:val="24"/>
          <w:highlight w:val="none"/>
        </w:rPr>
        <w:t>，从业人员______人，营业收入为______万元，资产总额为______万元，属于</w:t>
      </w:r>
      <w:r>
        <w:rPr>
          <w:rFonts w:hint="eastAsia" w:ascii="仿宋" w:hAnsi="仿宋" w:eastAsia="仿宋" w:cs="仿宋"/>
          <w:spacing w:val="6"/>
          <w:sz w:val="24"/>
          <w:szCs w:val="24"/>
          <w:highlight w:val="none"/>
          <w:u w:val="single"/>
        </w:rPr>
        <w:t>（中型企业、小型企业、微型企业）</w:t>
      </w:r>
      <w:r>
        <w:rPr>
          <w:rFonts w:hint="eastAsia" w:ascii="仿宋" w:hAnsi="仿宋" w:eastAsia="仿宋" w:cs="仿宋"/>
          <w:spacing w:val="6"/>
          <w:sz w:val="24"/>
          <w:szCs w:val="24"/>
          <w:highlight w:val="none"/>
        </w:rPr>
        <w:t>；</w:t>
      </w:r>
    </w:p>
    <w:p w14:paraId="3AD035D4">
      <w:pPr>
        <w:spacing w:line="360" w:lineRule="auto"/>
        <w:ind w:firstLine="504"/>
        <w:rPr>
          <w:rFonts w:hint="eastAsia" w:ascii="仿宋" w:hAnsi="仿宋" w:eastAsia="仿宋" w:cs="仿宋"/>
          <w:spacing w:val="6"/>
          <w:sz w:val="24"/>
          <w:szCs w:val="24"/>
          <w:highlight w:val="none"/>
        </w:rPr>
      </w:pPr>
    </w:p>
    <w:p w14:paraId="5BA46000">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w:t>
      </w:r>
    </w:p>
    <w:p w14:paraId="3913CF2B">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以上企业，不属于大企业的分支机构，不存在控股股东为大企业的情形，也不存在与大企业的负责人为同一人的情形。</w:t>
      </w:r>
    </w:p>
    <w:p w14:paraId="2C5DB2B3">
      <w:pPr>
        <w:spacing w:line="360" w:lineRule="auto"/>
        <w:ind w:firstLine="504"/>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本企业对上述声明内容的真实性负责。如有虚假，将依法承担相应责任。</w:t>
      </w:r>
    </w:p>
    <w:p w14:paraId="511939BC">
      <w:pPr>
        <w:spacing w:line="360" w:lineRule="auto"/>
        <w:ind w:right="360" w:firstLine="480"/>
        <w:jc w:val="right"/>
        <w:rPr>
          <w:rFonts w:hint="eastAsia" w:ascii="仿宋" w:hAnsi="仿宋" w:eastAsia="仿宋" w:cs="仿宋"/>
          <w:color w:val="000000"/>
          <w:sz w:val="24"/>
          <w:szCs w:val="24"/>
          <w:highlight w:val="none"/>
        </w:rPr>
      </w:pPr>
    </w:p>
    <w:p w14:paraId="015BF152">
      <w:pPr>
        <w:spacing w:line="360" w:lineRule="auto"/>
        <w:ind w:right="360" w:firstLine="480"/>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企业名称（盖章）：________</w:t>
      </w:r>
    </w:p>
    <w:p w14:paraId="1E80D082">
      <w:pPr>
        <w:spacing w:line="360" w:lineRule="auto"/>
        <w:ind w:right="360" w:firstLine="480"/>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 期：________</w:t>
      </w:r>
    </w:p>
    <w:p w14:paraId="18C85675">
      <w:pPr>
        <w:adjustRightInd w:val="0"/>
        <w:snapToGrid w:val="0"/>
        <w:jc w:val="left"/>
        <w:rPr>
          <w:rFonts w:hint="eastAsia" w:ascii="仿宋" w:hAnsi="仿宋" w:eastAsia="仿宋" w:cs="仿宋"/>
          <w:color w:val="000000"/>
          <w:sz w:val="24"/>
          <w:szCs w:val="24"/>
          <w:highlight w:val="none"/>
        </w:rPr>
      </w:pPr>
    </w:p>
    <w:p w14:paraId="03C3E7D5">
      <w:pPr>
        <w:adjustRightInd w:val="0"/>
        <w:snapToGrid w:val="0"/>
        <w:jc w:val="left"/>
        <w:rPr>
          <w:rFonts w:hint="eastAsia" w:ascii="仿宋" w:hAnsi="仿宋" w:eastAsia="仿宋" w:cs="仿宋"/>
          <w:color w:val="000000"/>
          <w:sz w:val="24"/>
          <w:szCs w:val="24"/>
          <w:highlight w:val="none"/>
        </w:rPr>
      </w:pPr>
    </w:p>
    <w:tbl>
      <w:tblPr>
        <w:tblStyle w:val="7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DA8B4A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726E09ED">
            <w:pPr>
              <w:keepNext w:val="0"/>
              <w:keepLines w:val="0"/>
              <w:suppressLineNumbers w:val="0"/>
              <w:adjustRightInd w:val="0"/>
              <w:snapToGrid w:val="0"/>
              <w:spacing w:before="0" w:beforeAutospacing="0" w:after="0" w:afterAutospacing="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vertAlign w:val="superscript"/>
              </w:rPr>
              <w:t>1</w:t>
            </w:r>
            <w:r>
              <w:rPr>
                <w:rFonts w:hint="eastAsia" w:ascii="仿宋" w:hAnsi="仿宋" w:eastAsia="仿宋" w:cs="仿宋"/>
                <w:color w:val="000000"/>
                <w:szCs w:val="21"/>
                <w:highlight w:val="none"/>
              </w:rPr>
              <w:t>从业人员、营业收入、资产总额填报上一年度数据，无上一年度数据的新成立企业可不填报。</w:t>
            </w:r>
          </w:p>
        </w:tc>
      </w:tr>
    </w:tbl>
    <w:p w14:paraId="50ECDACB">
      <w:pPr>
        <w:spacing w:line="360" w:lineRule="auto"/>
        <w:rPr>
          <w:rFonts w:hint="eastAsia" w:ascii="仿宋" w:hAnsi="仿宋" w:eastAsia="仿宋" w:cs="仿宋"/>
          <w:color w:val="000000"/>
          <w:sz w:val="24"/>
          <w:highlight w:val="none"/>
        </w:rPr>
      </w:pPr>
    </w:p>
    <w:p w14:paraId="5AD7DAB3">
      <w:pPr>
        <w:pStyle w:val="69"/>
        <w:tabs>
          <w:tab w:val="left" w:pos="9214"/>
        </w:tabs>
        <w:rPr>
          <w:rFonts w:hint="eastAsia" w:ascii="仿宋" w:hAnsi="仿宋" w:eastAsia="仿宋" w:cs="仿宋"/>
          <w:kern w:val="2"/>
          <w:sz w:val="21"/>
          <w:szCs w:val="21"/>
          <w:highlight w:val="none"/>
          <w:lang w:val="en-US" w:eastAsia="zh-CN" w:bidi="ar-SA"/>
        </w:rPr>
      </w:pPr>
      <w:r>
        <w:rPr>
          <w:rFonts w:hint="eastAsia" w:ascii="仿宋" w:hAnsi="仿宋" w:eastAsia="仿宋" w:cs="仿宋"/>
          <w:color w:val="000000"/>
          <w:sz w:val="24"/>
          <w:highlight w:val="none"/>
        </w:rPr>
        <w:br w:type="page"/>
      </w:r>
    </w:p>
    <w:p w14:paraId="59C720BF">
      <w:pPr>
        <w:snapToGrid w:val="0"/>
        <w:spacing w:line="360" w:lineRule="auto"/>
        <w:ind w:left="0" w:leftChars="0" w:firstLine="0" w:firstLineChars="0"/>
        <w:jc w:val="center"/>
        <w:rPr>
          <w:rStyle w:val="81"/>
          <w:rFonts w:hint="eastAsia" w:ascii="仿宋" w:hAnsi="仿宋" w:eastAsia="仿宋" w:cs="仿宋"/>
          <w:bCs w:val="0"/>
          <w:color w:val="auto"/>
          <w:kern w:val="2"/>
          <w:sz w:val="28"/>
          <w:szCs w:val="28"/>
          <w:highlight w:val="none"/>
          <w:lang w:val="en-US" w:eastAsia="zh-CN" w:bidi="ar-SA"/>
        </w:rPr>
      </w:pPr>
      <w:r>
        <w:rPr>
          <w:rStyle w:val="81"/>
          <w:rFonts w:hint="eastAsia" w:ascii="仿宋" w:hAnsi="仿宋" w:eastAsia="仿宋" w:cs="仿宋"/>
          <w:bCs w:val="0"/>
          <w:color w:val="auto"/>
          <w:kern w:val="2"/>
          <w:sz w:val="28"/>
          <w:szCs w:val="28"/>
          <w:highlight w:val="none"/>
          <w:lang w:val="en-US" w:eastAsia="zh-CN" w:bidi="ar-SA"/>
        </w:rPr>
        <w:t>JY企业声明函</w:t>
      </w:r>
    </w:p>
    <w:p w14:paraId="5E0D042C">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【不属于JY企业的无需填写、递交】</w:t>
      </w:r>
    </w:p>
    <w:p w14:paraId="04DFA583">
      <w:pPr>
        <w:widowControl/>
        <w:shd w:val="clear" w:color="auto" w:fill="auto"/>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本单位郑重声明，本单位在参加</w:t>
      </w:r>
      <w:r>
        <w:rPr>
          <w:rFonts w:hint="eastAsia" w:ascii="仿宋" w:hAnsi="仿宋" w:eastAsia="仿宋" w:cs="仿宋"/>
          <w:color w:val="auto"/>
          <w:kern w:val="0"/>
          <w:sz w:val="24"/>
          <w:szCs w:val="24"/>
          <w:highlight w:val="none"/>
          <w:u w:val="single"/>
        </w:rPr>
        <w:t>（采购人名称）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（招标项目名称）</w:t>
      </w:r>
      <w:r>
        <w:rPr>
          <w:rFonts w:hint="eastAsia" w:ascii="仿宋" w:hAnsi="仿宋" w:eastAsia="仿宋" w:cs="仿宋"/>
          <w:color w:val="auto"/>
          <w:kern w:val="0"/>
          <w:sz w:val="24"/>
          <w:szCs w:val="24"/>
          <w:highlight w:val="none"/>
        </w:rPr>
        <w:t>项目采购活动提供以下</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企业制造的货物（或</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企业承担的工程</w:t>
      </w:r>
      <w:r>
        <w:rPr>
          <w:rFonts w:hint="eastAsia" w:ascii="仿宋" w:hAnsi="仿宋" w:eastAsia="仿宋" w:cs="仿宋"/>
          <w:color w:val="auto"/>
          <w:kern w:val="0"/>
          <w:sz w:val="24"/>
          <w:szCs w:val="24"/>
          <w:highlight w:val="none"/>
          <w:lang w:eastAsia="zh-CN"/>
        </w:rPr>
        <w:t>或JY</w:t>
      </w:r>
      <w:r>
        <w:rPr>
          <w:rFonts w:hint="eastAsia" w:ascii="仿宋" w:hAnsi="仿宋" w:eastAsia="仿宋" w:cs="仿宋"/>
          <w:color w:val="auto"/>
          <w:kern w:val="0"/>
          <w:sz w:val="24"/>
          <w:szCs w:val="24"/>
          <w:highlight w:val="none"/>
        </w:rPr>
        <w:t>企业承接的服务），具体情况如下：（按照实际情况勾选或填空）</w:t>
      </w:r>
    </w:p>
    <w:p w14:paraId="5B93CE5C">
      <w:pPr>
        <w:widowControl/>
        <w:shd w:val="clear" w:color="auto" w:fill="auto"/>
        <w:adjustRightInd w:val="0"/>
        <w:snapToGri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（制造商名称）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企业，后附省级以上</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管理局、</w:t>
      </w:r>
      <w:r>
        <w:rPr>
          <w:rFonts w:hint="eastAsia" w:ascii="仿宋" w:hAnsi="仿宋" w:eastAsia="仿宋" w:cs="仿宋"/>
          <w:color w:val="auto"/>
          <w:kern w:val="0"/>
          <w:sz w:val="24"/>
          <w:szCs w:val="24"/>
          <w:highlight w:val="none"/>
          <w:lang w:eastAsia="zh-CN"/>
        </w:rPr>
        <w:t>JD</w:t>
      </w:r>
      <w:r>
        <w:rPr>
          <w:rFonts w:hint="eastAsia" w:ascii="仿宋" w:hAnsi="仿宋" w:eastAsia="仿宋" w:cs="仿宋"/>
          <w:color w:val="auto"/>
          <w:kern w:val="0"/>
          <w:sz w:val="24"/>
          <w:szCs w:val="24"/>
          <w:highlight w:val="none"/>
        </w:rPr>
        <w:t>管理局（含新疆生产建设兵团）出具的属于</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企业的证明文件。</w:t>
      </w:r>
    </w:p>
    <w:p w14:paraId="5487BEDE">
      <w:pPr>
        <w:widowControl/>
        <w:shd w:val="clear" w:color="auto" w:fill="auto"/>
        <w:adjustRightInd w:val="0"/>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（制造商名称）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企业并作为联合体一方，其提供协议合同金额</w:t>
      </w:r>
      <w:r>
        <w:rPr>
          <w:rFonts w:hint="eastAsia" w:ascii="仿宋" w:hAnsi="仿宋" w:eastAsia="仿宋" w:cs="仿宋"/>
          <w:color w:val="auto"/>
          <w:kern w:val="0"/>
          <w:sz w:val="24"/>
          <w:szCs w:val="24"/>
          <w:highlight w:val="none"/>
          <w:lang w:eastAsia="zh-CN"/>
        </w:rPr>
        <w:t>占</w:t>
      </w:r>
      <w:r>
        <w:rPr>
          <w:rFonts w:hint="eastAsia" w:ascii="仿宋" w:hAnsi="仿宋" w:eastAsia="仿宋" w:cs="仿宋"/>
          <w:color w:val="auto"/>
          <w:kern w:val="0"/>
          <w:sz w:val="24"/>
          <w:szCs w:val="24"/>
          <w:highlight w:val="none"/>
        </w:rPr>
        <w:t>共同投标协议合同总金额的比例为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。后附省级以上</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管理局、</w:t>
      </w:r>
      <w:r>
        <w:rPr>
          <w:rFonts w:hint="eastAsia" w:ascii="仿宋" w:hAnsi="仿宋" w:eastAsia="仿宋" w:cs="仿宋"/>
          <w:color w:val="auto"/>
          <w:kern w:val="0"/>
          <w:sz w:val="24"/>
          <w:szCs w:val="24"/>
          <w:highlight w:val="none"/>
          <w:lang w:eastAsia="zh-CN"/>
        </w:rPr>
        <w:t>JD</w:t>
      </w:r>
      <w:r>
        <w:rPr>
          <w:rFonts w:hint="eastAsia" w:ascii="仿宋" w:hAnsi="仿宋" w:eastAsia="仿宋" w:cs="仿宋"/>
          <w:color w:val="auto"/>
          <w:kern w:val="0"/>
          <w:sz w:val="24"/>
          <w:szCs w:val="24"/>
          <w:highlight w:val="none"/>
        </w:rPr>
        <w:t>管理局（含新疆生产建设兵团）出具的属于</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企业的证明文件。</w:t>
      </w:r>
    </w:p>
    <w:p w14:paraId="69228245">
      <w:pPr>
        <w:widowControl/>
        <w:shd w:val="clear" w:color="auto" w:fill="auto"/>
        <w:adjustRightInd w:val="0"/>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u w:val="single"/>
        </w:rPr>
        <w:t>（制造商名称）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企业并作为分包方，其提供协议合同金额占到分包意向协议合同总金额的比例为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。后附省级以上</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管理局、</w:t>
      </w:r>
      <w:r>
        <w:rPr>
          <w:rFonts w:hint="eastAsia" w:ascii="仿宋" w:hAnsi="仿宋" w:eastAsia="仿宋" w:cs="仿宋"/>
          <w:color w:val="auto"/>
          <w:kern w:val="0"/>
          <w:sz w:val="24"/>
          <w:szCs w:val="24"/>
          <w:highlight w:val="none"/>
          <w:lang w:eastAsia="zh-CN"/>
        </w:rPr>
        <w:t>JD</w:t>
      </w:r>
      <w:r>
        <w:rPr>
          <w:rFonts w:hint="eastAsia" w:ascii="仿宋" w:hAnsi="仿宋" w:eastAsia="仿宋" w:cs="仿宋"/>
          <w:color w:val="auto"/>
          <w:kern w:val="0"/>
          <w:sz w:val="24"/>
          <w:szCs w:val="24"/>
          <w:highlight w:val="none"/>
        </w:rPr>
        <w:t>管理局（含新疆生产建设兵团）出具的属于</w:t>
      </w:r>
      <w:r>
        <w:rPr>
          <w:rFonts w:hint="eastAsia" w:ascii="仿宋" w:hAnsi="仿宋" w:eastAsia="仿宋" w:cs="仿宋"/>
          <w:color w:val="auto"/>
          <w:kern w:val="0"/>
          <w:sz w:val="24"/>
          <w:szCs w:val="24"/>
          <w:highlight w:val="none"/>
          <w:lang w:eastAsia="zh-CN"/>
        </w:rPr>
        <w:t>JY</w:t>
      </w:r>
      <w:r>
        <w:rPr>
          <w:rFonts w:hint="eastAsia" w:ascii="仿宋" w:hAnsi="仿宋" w:eastAsia="仿宋" w:cs="仿宋"/>
          <w:color w:val="auto"/>
          <w:kern w:val="0"/>
          <w:sz w:val="24"/>
          <w:szCs w:val="24"/>
          <w:highlight w:val="none"/>
        </w:rPr>
        <w:t>企业的证明文件。</w:t>
      </w:r>
    </w:p>
    <w:p w14:paraId="2C969AEF">
      <w:pPr>
        <w:widowControl/>
        <w:shd w:val="clear" w:color="auto" w:fill="auto"/>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本单位对上述声明的真实性负责。如有虚假，将依法承担相应责任。</w:t>
      </w:r>
    </w:p>
    <w:p w14:paraId="1968188C">
      <w:pPr>
        <w:widowControl/>
        <w:shd w:val="clear" w:color="auto" w:fill="auto"/>
        <w:adjustRightInd w:val="0"/>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14:paraId="74D2F00C">
      <w:pPr>
        <w:widowControl/>
        <w:shd w:val="clear" w:color="auto" w:fill="auto"/>
        <w:adjustRightInd w:val="0"/>
        <w:snapToGrid w:val="0"/>
        <w:spacing w:line="360" w:lineRule="auto"/>
        <w:jc w:val="left"/>
        <w:rPr>
          <w:rFonts w:hint="eastAsia" w:ascii="仿宋" w:hAnsi="仿宋" w:eastAsia="仿宋" w:cs="仿宋"/>
          <w:color w:val="auto"/>
          <w:kern w:val="0"/>
          <w:sz w:val="24"/>
          <w:szCs w:val="24"/>
          <w:highlight w:val="none"/>
        </w:rPr>
      </w:pPr>
    </w:p>
    <w:p w14:paraId="5A291C6D">
      <w:pPr>
        <w:widowControl/>
        <w:shd w:val="clear" w:color="auto" w:fill="auto"/>
        <w:adjustRightInd w:val="0"/>
        <w:snapToGrid w:val="0"/>
        <w:spacing w:line="360" w:lineRule="auto"/>
        <w:jc w:val="left"/>
        <w:rPr>
          <w:rFonts w:hint="eastAsia" w:ascii="仿宋" w:hAnsi="仿宋" w:eastAsia="仿宋" w:cs="仿宋"/>
          <w:color w:val="auto"/>
          <w:kern w:val="0"/>
          <w:sz w:val="24"/>
          <w:szCs w:val="24"/>
          <w:highlight w:val="none"/>
        </w:rPr>
      </w:pPr>
    </w:p>
    <w:p w14:paraId="71A2253E">
      <w:pPr>
        <w:shd w:val="clear" w:color="auto" w:fill="auto"/>
        <w:adjustRightInd w:val="0"/>
        <w:snapToGrid w:val="0"/>
        <w:spacing w:line="360" w:lineRule="auto"/>
        <w:ind w:hanging="54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w:t>
      </w:r>
    </w:p>
    <w:p w14:paraId="43683997">
      <w:pPr>
        <w:shd w:val="clear" w:color="auto" w:fill="auto"/>
        <w:adjustRightInd w:val="0"/>
        <w:snapToGrid w:val="0"/>
        <w:spacing w:line="360" w:lineRule="auto"/>
        <w:ind w:firstLine="5280" w:firstLineChars="2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单位名称（盖章）：</w:t>
      </w:r>
    </w:p>
    <w:p w14:paraId="1BBBBCA0">
      <w:pPr>
        <w:widowControl/>
        <w:shd w:val="clear" w:color="auto" w:fill="auto"/>
        <w:adjustRightInd w:val="0"/>
        <w:snapToGrid w:val="0"/>
        <w:spacing w:line="360" w:lineRule="auto"/>
        <w:ind w:firstLine="5280" w:firstLineChars="2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  期：</w:t>
      </w:r>
    </w:p>
    <w:p w14:paraId="02C454DB">
      <w:pPr>
        <w:pStyle w:val="7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br w:type="page"/>
      </w:r>
    </w:p>
    <w:p w14:paraId="5C8E485A">
      <w:pPr>
        <w:snapToGrid w:val="0"/>
        <w:spacing w:line="360" w:lineRule="auto"/>
        <w:jc w:val="center"/>
        <w:rPr>
          <w:rStyle w:val="81"/>
          <w:rFonts w:hint="eastAsia" w:ascii="仿宋" w:hAnsi="仿宋" w:eastAsia="仿宋" w:cs="仿宋"/>
          <w:bCs w:val="0"/>
          <w:color w:val="auto"/>
          <w:kern w:val="2"/>
          <w:sz w:val="28"/>
          <w:szCs w:val="28"/>
          <w:highlight w:val="none"/>
          <w:lang w:val="en-US" w:eastAsia="zh-CN" w:bidi="ar-SA"/>
        </w:rPr>
      </w:pPr>
      <w:r>
        <w:rPr>
          <w:rStyle w:val="81"/>
          <w:rFonts w:hint="eastAsia" w:ascii="仿宋" w:hAnsi="仿宋" w:eastAsia="仿宋" w:cs="仿宋"/>
          <w:bCs w:val="0"/>
          <w:color w:val="auto"/>
          <w:kern w:val="2"/>
          <w:sz w:val="28"/>
          <w:szCs w:val="28"/>
          <w:highlight w:val="none"/>
          <w:lang w:val="en-US" w:eastAsia="zh-CN" w:bidi="ar-SA"/>
        </w:rPr>
        <w:t>残疾人福利性单位声明函</w:t>
      </w:r>
    </w:p>
    <w:p w14:paraId="0D631510">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F3979A">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本单位对上述声明的真实性负责。如有虚假，将依法承担相应责任。</w:t>
      </w:r>
    </w:p>
    <w:p w14:paraId="2E8426FE">
      <w:pPr>
        <w:spacing w:line="480" w:lineRule="auto"/>
        <w:ind w:firstLine="480" w:firstLineChars="200"/>
        <w:outlineLvl w:val="9"/>
        <w:rPr>
          <w:rFonts w:hint="eastAsia" w:ascii="仿宋" w:hAnsi="仿宋" w:eastAsia="仿宋" w:cs="仿宋"/>
          <w:sz w:val="24"/>
          <w:szCs w:val="24"/>
          <w:highlight w:val="none"/>
          <w:lang w:val="en-US" w:eastAsia="zh-CN"/>
        </w:rPr>
      </w:pPr>
    </w:p>
    <w:p w14:paraId="26BBAD88">
      <w:pPr>
        <w:spacing w:line="480" w:lineRule="auto"/>
        <w:ind w:firstLine="480" w:firstLineChars="200"/>
        <w:outlineLvl w:val="9"/>
        <w:rPr>
          <w:rFonts w:hint="eastAsia" w:ascii="仿宋" w:hAnsi="仿宋" w:eastAsia="仿宋" w:cs="仿宋"/>
          <w:sz w:val="24"/>
          <w:szCs w:val="24"/>
          <w:highlight w:val="none"/>
          <w:lang w:val="en-US" w:eastAsia="zh-CN"/>
        </w:rPr>
      </w:pPr>
    </w:p>
    <w:p w14:paraId="55CE5350">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单位名称（盖章）：</w:t>
      </w:r>
    </w:p>
    <w:p w14:paraId="67579CE8">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  期：</w:t>
      </w:r>
    </w:p>
    <w:p w14:paraId="0EB6A856">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扶持政策说明：</w:t>
      </w:r>
    </w:p>
    <w:p w14:paraId="29B3AD34">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根据财政部、工业和信息化部制定的《政府采购促进中小企业发展暂行办法》和转发财政部工业和信息化部关于印发《政府采购促进中小企业发展暂行办法》的通知，对小型或微型企业的投标报价给予10%的扣除，并用扣除后的价格计算价格评分。</w:t>
      </w:r>
    </w:p>
    <w:p w14:paraId="5A79F32C">
      <w:pPr>
        <w:spacing w:line="480" w:lineRule="auto"/>
        <w:ind w:firstLine="480" w:firstLineChars="2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2、JY企业视同小微企业，参加本项目投标的，享受小微企业同等的价格扣除。【注：提供《监狱企业声明函》及其相关的充分的证明材料】。</w:t>
      </w:r>
    </w:p>
    <w:p w14:paraId="253A2035">
      <w:pPr>
        <w:spacing w:line="480" w:lineRule="auto"/>
        <w:ind w:firstLine="480" w:firstLineChars="200"/>
        <w:outlineLvl w:val="1"/>
        <w:rPr>
          <w:rFonts w:hint="eastAsia" w:ascii="仿宋" w:hAnsi="仿宋" w:eastAsia="仿宋" w:cs="仿宋"/>
          <w:sz w:val="24"/>
          <w:szCs w:val="24"/>
          <w:highlight w:val="none"/>
          <w:lang w:val="en-US" w:eastAsia="zh-CN"/>
        </w:rPr>
        <w:sectPr>
          <w:type w:val="continuous"/>
          <w:pgSz w:w="11905" w:h="16838"/>
          <w:pgMar w:top="1440" w:right="1080" w:bottom="1440" w:left="1080" w:header="567" w:footer="454" w:gutter="0"/>
          <w:pgNumType w:fmt="decimal"/>
          <w:cols w:space="720" w:num="1"/>
          <w:rtlGutter w:val="0"/>
          <w:docGrid w:type="lines" w:linePitch="317" w:charSpace="0"/>
        </w:sectPr>
      </w:pPr>
      <w:r>
        <w:rPr>
          <w:rFonts w:hint="eastAsia" w:ascii="仿宋" w:hAnsi="仿宋" w:eastAsia="仿宋" w:cs="仿宋"/>
          <w:sz w:val="24"/>
          <w:szCs w:val="24"/>
          <w:highlight w:val="none"/>
          <w:lang w:val="en-US" w:eastAsia="zh-CN"/>
        </w:rPr>
        <w:t>3、残疾人福利性单位参加投标【提供《残疾人福利性单位声明函》】，视为小型、微型企业，享受小微企业政策扶持。</w:t>
      </w:r>
    </w:p>
    <w:p w14:paraId="397DC142">
      <w:pPr>
        <w:numPr>
          <w:ilvl w:val="0"/>
          <w:numId w:val="0"/>
        </w:numPr>
        <w:spacing w:line="588" w:lineRule="exact"/>
        <w:jc w:val="center"/>
        <w:rPr>
          <w:rFonts w:hint="eastAsia" w:ascii="仿宋" w:hAnsi="仿宋" w:eastAsia="仿宋" w:cs="仿宋"/>
          <w:highlight w:val="none"/>
          <w:lang w:val="en-US" w:eastAsia="zh-CN"/>
        </w:rPr>
      </w:pPr>
      <w:r>
        <w:rPr>
          <w:rFonts w:hint="eastAsia" w:ascii="仿宋" w:hAnsi="仿宋" w:eastAsia="仿宋" w:cs="仿宋"/>
          <w:b/>
          <w:color w:val="auto"/>
          <w:spacing w:val="6"/>
          <w:kern w:val="2"/>
          <w:sz w:val="28"/>
          <w:szCs w:val="28"/>
          <w:highlight w:val="none"/>
          <w:lang w:val="en-US" w:eastAsia="zh-CN" w:bidi="ar-SA"/>
        </w:rPr>
        <w:t>节能、环保产品证明（如有）</w:t>
      </w:r>
    </w:p>
    <w:p w14:paraId="42307FF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rPr>
        <w:t>采购人名称 </w:t>
      </w:r>
      <w:r>
        <w:rPr>
          <w:rFonts w:hint="eastAsia" w:ascii="仿宋" w:hAnsi="仿宋" w:eastAsia="仿宋" w:cs="仿宋"/>
          <w:color w:val="auto"/>
          <w:sz w:val="24"/>
          <w:szCs w:val="24"/>
          <w:highlight w:val="none"/>
        </w:rPr>
        <w:t>：</w:t>
      </w:r>
    </w:p>
    <w:p w14:paraId="1B4DC91C">
      <w:pPr>
        <w:pStyle w:val="8"/>
        <w:rPr>
          <w:rFonts w:hint="eastAsia" w:ascii="仿宋" w:hAnsi="仿宋" w:eastAsia="仿宋" w:cs="仿宋"/>
          <w:sz w:val="24"/>
          <w:szCs w:val="24"/>
          <w:highlight w:val="none"/>
          <w:lang w:eastAsia="zh-CN"/>
        </w:rPr>
      </w:pPr>
    </w:p>
    <w:p w14:paraId="07A147F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现附上</w:t>
      </w:r>
      <w:r>
        <w:rPr>
          <w:rFonts w:hint="eastAsia" w:ascii="仿宋" w:hAnsi="仿宋" w:eastAsia="仿宋" w:cs="仿宋"/>
          <w:color w:val="auto"/>
          <w:sz w:val="24"/>
          <w:szCs w:val="24"/>
          <w:highlight w:val="none"/>
          <w:u w:val="single"/>
        </w:rPr>
        <w:t>  （节能、环保产品产品目录）    </w:t>
      </w:r>
      <w:r>
        <w:rPr>
          <w:rFonts w:hint="eastAsia" w:ascii="仿宋" w:hAnsi="仿宋" w:eastAsia="仿宋" w:cs="仿宋"/>
          <w:color w:val="auto"/>
          <w:sz w:val="24"/>
          <w:szCs w:val="24"/>
          <w:highlight w:val="none"/>
        </w:rPr>
        <w:t> 证明文件（可在 网站名称 网站进行查询）复印件，该证件真实有效。</w:t>
      </w:r>
    </w:p>
    <w:p w14:paraId="21B1F080">
      <w:pPr>
        <w:pStyle w:val="8"/>
        <w:rPr>
          <w:rFonts w:hint="eastAsia" w:ascii="仿宋" w:hAnsi="仿宋" w:eastAsia="仿宋" w:cs="仿宋"/>
          <w:sz w:val="24"/>
          <w:szCs w:val="24"/>
          <w:highlight w:val="none"/>
          <w:lang w:eastAsia="zh-CN"/>
        </w:rPr>
      </w:pPr>
    </w:p>
    <w:p w14:paraId="10889F8A">
      <w:pPr>
        <w:pStyle w:val="8"/>
        <w:rPr>
          <w:rFonts w:hint="eastAsia" w:ascii="仿宋" w:hAnsi="仿宋" w:eastAsia="仿宋" w:cs="仿宋"/>
          <w:sz w:val="24"/>
          <w:szCs w:val="24"/>
          <w:highlight w:val="none"/>
          <w:lang w:eastAsia="zh-CN"/>
        </w:rPr>
      </w:pPr>
    </w:p>
    <w:p w14:paraId="63E1B732">
      <w:pPr>
        <w:pStyle w:val="8"/>
        <w:rPr>
          <w:rFonts w:hint="eastAsia" w:ascii="仿宋" w:hAnsi="仿宋" w:eastAsia="仿宋" w:cs="仿宋"/>
          <w:sz w:val="24"/>
          <w:szCs w:val="24"/>
          <w:highlight w:val="none"/>
          <w:lang w:eastAsia="zh-CN"/>
        </w:rPr>
      </w:pPr>
    </w:p>
    <w:p w14:paraId="0727ED88">
      <w:pPr>
        <w:pStyle w:val="8"/>
        <w:rPr>
          <w:rFonts w:hint="eastAsia" w:ascii="仿宋" w:hAnsi="仿宋" w:eastAsia="仿宋" w:cs="仿宋"/>
          <w:sz w:val="24"/>
          <w:szCs w:val="24"/>
          <w:highlight w:val="none"/>
          <w:lang w:eastAsia="zh-CN"/>
        </w:rPr>
      </w:pPr>
    </w:p>
    <w:p w14:paraId="1927CBA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p>
    <w:p w14:paraId="3C50D2AD">
      <w:pPr>
        <w:pStyle w:val="8"/>
        <w:rPr>
          <w:rFonts w:hint="eastAsia" w:ascii="仿宋" w:hAnsi="仿宋" w:eastAsia="仿宋" w:cs="仿宋"/>
          <w:sz w:val="24"/>
          <w:szCs w:val="24"/>
          <w:highlight w:val="none"/>
          <w:lang w:eastAsia="zh-CN"/>
        </w:rPr>
      </w:pPr>
    </w:p>
    <w:p w14:paraId="6986BE97">
      <w:pPr>
        <w:pStyle w:val="8"/>
        <w:rPr>
          <w:rFonts w:hint="eastAsia" w:ascii="仿宋" w:hAnsi="仿宋" w:eastAsia="仿宋" w:cs="仿宋"/>
          <w:sz w:val="24"/>
          <w:szCs w:val="24"/>
          <w:highlight w:val="none"/>
          <w:lang w:eastAsia="zh-CN"/>
        </w:rPr>
      </w:pPr>
    </w:p>
    <w:p w14:paraId="2C849756">
      <w:pPr>
        <w:pStyle w:val="8"/>
        <w:rPr>
          <w:rFonts w:hint="eastAsia" w:ascii="仿宋" w:hAnsi="仿宋" w:eastAsia="仿宋" w:cs="仿宋"/>
          <w:sz w:val="24"/>
          <w:szCs w:val="24"/>
          <w:highlight w:val="none"/>
          <w:lang w:eastAsia="zh-CN"/>
        </w:rPr>
      </w:pPr>
    </w:p>
    <w:p w14:paraId="78732D2F">
      <w:pPr>
        <w:pStyle w:val="8"/>
        <w:rPr>
          <w:rFonts w:hint="eastAsia" w:ascii="仿宋" w:hAnsi="仿宋" w:eastAsia="仿宋" w:cs="仿宋"/>
          <w:sz w:val="24"/>
          <w:szCs w:val="24"/>
          <w:highlight w:val="none"/>
          <w:lang w:eastAsia="zh-CN"/>
        </w:rPr>
      </w:pPr>
    </w:p>
    <w:p w14:paraId="6262B93A">
      <w:pPr>
        <w:pStyle w:val="8"/>
        <w:rPr>
          <w:rFonts w:hint="eastAsia" w:ascii="仿宋" w:hAnsi="仿宋" w:eastAsia="仿宋" w:cs="仿宋"/>
          <w:sz w:val="24"/>
          <w:szCs w:val="24"/>
          <w:highlight w:val="none"/>
          <w:lang w:eastAsia="zh-CN"/>
        </w:rPr>
      </w:pPr>
    </w:p>
    <w:p w14:paraId="2E98155F">
      <w:pPr>
        <w:pStyle w:val="8"/>
        <w:rPr>
          <w:rFonts w:hint="eastAsia" w:ascii="仿宋" w:hAnsi="仿宋" w:eastAsia="仿宋" w:cs="仿宋"/>
          <w:sz w:val="24"/>
          <w:szCs w:val="24"/>
          <w:highlight w:val="none"/>
          <w:lang w:eastAsia="zh-CN"/>
        </w:rPr>
      </w:pPr>
    </w:p>
    <w:p w14:paraId="3B8FBB72">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609A2832">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508E6331">
      <w:pPr>
        <w:pStyle w:val="181"/>
        <w:shd w:val="clear" w:color="auto" w:fill="auto"/>
        <w:spacing w:line="360" w:lineRule="auto"/>
        <w:jc w:val="both"/>
        <w:outlineLvl w:val="2"/>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bookmarkStart w:id="551" w:name="_Toc312"/>
      <w:bookmarkStart w:id="552" w:name="_Toc23406"/>
      <w:bookmarkStart w:id="553" w:name="_Toc115436122"/>
      <w:bookmarkStart w:id="554" w:name="_Toc114589529"/>
      <w:bookmarkStart w:id="555" w:name="_Toc15028"/>
    </w:p>
    <w:p w14:paraId="0544659C">
      <w:pPr>
        <w:pStyle w:val="181"/>
        <w:shd w:val="clear" w:color="auto" w:fill="auto"/>
        <w:spacing w:line="360" w:lineRule="auto"/>
        <w:jc w:val="both"/>
        <w:outlineLvl w:val="2"/>
        <w:rPr>
          <w:rFonts w:hint="eastAsia" w:ascii="仿宋" w:hAnsi="仿宋" w:eastAsia="仿宋" w:cs="仿宋"/>
          <w:b/>
          <w:color w:val="auto"/>
          <w:sz w:val="28"/>
          <w:szCs w:val="28"/>
          <w:highlight w:val="none"/>
          <w:lang w:val="en-US" w:eastAsia="zh-CN"/>
        </w:rPr>
      </w:pPr>
      <w:r>
        <w:rPr>
          <w:rFonts w:hint="eastAsia" w:ascii="仿宋" w:hAnsi="仿宋" w:eastAsia="仿宋" w:cs="仿宋"/>
          <w:spacing w:val="-29"/>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十七</w:t>
      </w:r>
    </w:p>
    <w:p w14:paraId="58384745">
      <w:pPr>
        <w:pStyle w:val="181"/>
        <w:shd w:val="clear" w:color="auto" w:fill="auto"/>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虚假应标承担责任声明（统一格式）</w:t>
      </w:r>
      <w:bookmarkEnd w:id="551"/>
      <w:bookmarkEnd w:id="552"/>
      <w:bookmarkEnd w:id="553"/>
      <w:bookmarkEnd w:id="554"/>
      <w:bookmarkEnd w:id="555"/>
    </w:p>
    <w:p w14:paraId="17DB7EB0">
      <w:pPr>
        <w:pStyle w:val="8"/>
        <w:shd w:val="clear" w:color="auto" w:fill="auto"/>
        <w:tabs>
          <w:tab w:val="left" w:pos="9214"/>
        </w:tabs>
        <w:spacing w:before="2"/>
        <w:ind w:left="0" w:leftChars="0" w:right="-92" w:rightChars="-44" w:firstLine="0" w:firstLineChars="0"/>
        <w:rPr>
          <w:rFonts w:hint="eastAsia" w:ascii="仿宋" w:hAnsi="仿宋" w:eastAsia="仿宋" w:cs="仿宋"/>
          <w:b/>
          <w:color w:val="auto"/>
          <w:sz w:val="21"/>
          <w:szCs w:val="21"/>
          <w:highlight w:val="none"/>
        </w:rPr>
      </w:pPr>
    </w:p>
    <w:p w14:paraId="427A4E6E">
      <w:pPr>
        <w:shd w:val="clear" w:color="auto" w:fill="auto"/>
        <w:ind w:right="-92" w:rightChars="-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采购人/采购代理机构</w:t>
      </w:r>
    </w:p>
    <w:p w14:paraId="448C3830">
      <w:pPr>
        <w:pStyle w:val="8"/>
        <w:shd w:val="clear" w:color="auto" w:fill="auto"/>
        <w:tabs>
          <w:tab w:val="left" w:pos="9214"/>
        </w:tabs>
        <w:spacing w:before="9"/>
        <w:ind w:right="-92" w:rightChars="-44"/>
        <w:rPr>
          <w:rFonts w:hint="eastAsia" w:ascii="仿宋" w:hAnsi="仿宋" w:eastAsia="仿宋" w:cs="仿宋"/>
          <w:b/>
          <w:color w:val="auto"/>
          <w:sz w:val="24"/>
          <w:szCs w:val="24"/>
          <w:highlight w:val="none"/>
        </w:rPr>
      </w:pPr>
    </w:p>
    <w:p w14:paraId="404CA76E">
      <w:pPr>
        <w:pStyle w:val="8"/>
        <w:shd w:val="clear" w:color="auto" w:fill="auto"/>
        <w:tabs>
          <w:tab w:val="left" w:pos="9214"/>
        </w:tabs>
        <w:spacing w:before="67" w:line="360" w:lineRule="auto"/>
        <w:ind w:right="-92" w:rightChars="-4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w:t>
      </w:r>
      <w:r>
        <w:rPr>
          <w:rFonts w:hint="eastAsia" w:ascii="仿宋" w:hAnsi="仿宋" w:eastAsia="仿宋" w:cs="仿宋"/>
          <w:color w:val="auto"/>
          <w:spacing w:val="-7"/>
          <w:sz w:val="24"/>
          <w:szCs w:val="24"/>
          <w:highlight w:val="none"/>
        </w:rPr>
        <w:t>承诺：</w:t>
      </w:r>
      <w:r>
        <w:rPr>
          <w:rFonts w:hint="eastAsia" w:ascii="仿宋" w:hAnsi="仿宋" w:eastAsia="仿宋" w:cs="仿宋"/>
          <w:color w:val="auto"/>
          <w:spacing w:val="-3"/>
          <w:sz w:val="24"/>
          <w:szCs w:val="24"/>
          <w:highlight w:val="none"/>
        </w:rPr>
        <w:t>所提供的投标文件</w:t>
      </w:r>
      <w:r>
        <w:rPr>
          <w:rFonts w:hint="eastAsia" w:ascii="仿宋" w:hAnsi="仿宋" w:eastAsia="仿宋" w:cs="仿宋"/>
          <w:color w:val="auto"/>
          <w:sz w:val="24"/>
          <w:szCs w:val="24"/>
          <w:highlight w:val="none"/>
        </w:rPr>
        <w:t>（</w:t>
      </w:r>
      <w:r>
        <w:rPr>
          <w:rFonts w:hint="eastAsia" w:ascii="仿宋" w:hAnsi="仿宋" w:eastAsia="仿宋" w:cs="仿宋"/>
          <w:color w:val="auto"/>
          <w:spacing w:val="-5"/>
          <w:sz w:val="24"/>
          <w:szCs w:val="24"/>
          <w:highlight w:val="none"/>
        </w:rPr>
        <w:t>包括一切技术资料、技术承诺、商务承诺等</w:t>
      </w:r>
      <w:r>
        <w:rPr>
          <w:rFonts w:hint="eastAsia" w:ascii="仿宋" w:hAnsi="仿宋" w:eastAsia="仿宋" w:cs="仿宋"/>
          <w:color w:val="auto"/>
          <w:spacing w:val="-20"/>
          <w:sz w:val="24"/>
          <w:szCs w:val="24"/>
          <w:highlight w:val="none"/>
        </w:rPr>
        <w:t>）</w:t>
      </w:r>
      <w:r>
        <w:rPr>
          <w:rFonts w:hint="eastAsia" w:ascii="仿宋" w:hAnsi="仿宋" w:eastAsia="仿宋" w:cs="仿宋"/>
          <w:color w:val="auto"/>
          <w:spacing w:val="-12"/>
          <w:sz w:val="24"/>
          <w:szCs w:val="24"/>
          <w:highlight w:val="none"/>
        </w:rPr>
        <w:t>均</w:t>
      </w:r>
      <w:r>
        <w:rPr>
          <w:rFonts w:hint="eastAsia" w:ascii="仿宋" w:hAnsi="仿宋" w:eastAsia="仿宋" w:cs="仿宋"/>
          <w:color w:val="auto"/>
          <w:spacing w:val="-6"/>
          <w:sz w:val="24"/>
          <w:szCs w:val="24"/>
          <w:highlight w:val="none"/>
        </w:rPr>
        <w:t>真实有效，若在项目招标过程中</w:t>
      </w:r>
      <w:r>
        <w:rPr>
          <w:rFonts w:hint="eastAsia" w:ascii="仿宋" w:hAnsi="仿宋" w:eastAsia="仿宋" w:cs="仿宋"/>
          <w:color w:val="auto"/>
          <w:sz w:val="24"/>
          <w:szCs w:val="24"/>
          <w:highlight w:val="none"/>
        </w:rPr>
        <w:t>（</w:t>
      </w:r>
      <w:r>
        <w:rPr>
          <w:rFonts w:hint="eastAsia" w:ascii="仿宋" w:hAnsi="仿宋" w:eastAsia="仿宋" w:cs="仿宋"/>
          <w:color w:val="auto"/>
          <w:spacing w:val="-6"/>
          <w:sz w:val="24"/>
          <w:szCs w:val="24"/>
          <w:highlight w:val="none"/>
        </w:rPr>
        <w:t>包括开评审、中标公示过程</w:t>
      </w:r>
      <w:r>
        <w:rPr>
          <w:rFonts w:hint="eastAsia" w:ascii="仿宋" w:hAnsi="仿宋" w:eastAsia="仿宋" w:cs="仿宋"/>
          <w:color w:val="auto"/>
          <w:spacing w:val="-20"/>
          <w:sz w:val="24"/>
          <w:szCs w:val="24"/>
          <w:highlight w:val="none"/>
        </w:rPr>
        <w:t>）</w:t>
      </w:r>
      <w:r>
        <w:rPr>
          <w:rFonts w:hint="eastAsia" w:ascii="仿宋" w:hAnsi="仿宋" w:eastAsia="仿宋" w:cs="仿宋"/>
          <w:color w:val="auto"/>
          <w:spacing w:val="-2"/>
          <w:sz w:val="24"/>
          <w:szCs w:val="24"/>
          <w:highlight w:val="none"/>
        </w:rPr>
        <w:t>及履行合同期间</w:t>
      </w:r>
      <w:r>
        <w:rPr>
          <w:rFonts w:hint="eastAsia" w:ascii="仿宋" w:hAnsi="仿宋" w:eastAsia="仿宋" w:cs="仿宋"/>
          <w:color w:val="auto"/>
          <w:sz w:val="24"/>
          <w:szCs w:val="24"/>
          <w:highlight w:val="none"/>
        </w:rPr>
        <w:t>（包括验收过程</w:t>
      </w:r>
      <w:r>
        <w:rPr>
          <w:rFonts w:hint="eastAsia" w:ascii="仿宋" w:hAnsi="仿宋" w:eastAsia="仿宋" w:cs="仿宋"/>
          <w:color w:val="auto"/>
          <w:spacing w:val="-15"/>
          <w:sz w:val="24"/>
          <w:szCs w:val="24"/>
          <w:highlight w:val="none"/>
        </w:rPr>
        <w:t>）</w:t>
      </w:r>
      <w:r>
        <w:rPr>
          <w:rFonts w:hint="eastAsia" w:ascii="仿宋" w:hAnsi="仿宋" w:eastAsia="仿宋" w:cs="仿宋"/>
          <w:color w:val="auto"/>
          <w:spacing w:val="-2"/>
          <w:sz w:val="24"/>
          <w:szCs w:val="24"/>
          <w:highlight w:val="none"/>
        </w:rPr>
        <w:t>发现我公司提供的货物</w:t>
      </w:r>
      <w:r>
        <w:rPr>
          <w:rFonts w:hint="eastAsia" w:ascii="仿宋" w:hAnsi="仿宋" w:eastAsia="仿宋" w:cs="仿宋"/>
          <w:color w:val="auto"/>
          <w:sz w:val="24"/>
          <w:szCs w:val="24"/>
          <w:highlight w:val="none"/>
        </w:rPr>
        <w:t>（或产品</w:t>
      </w:r>
      <w:r>
        <w:rPr>
          <w:rFonts w:hint="eastAsia" w:ascii="仿宋" w:hAnsi="仿宋" w:eastAsia="仿宋" w:cs="仿宋"/>
          <w:color w:val="auto"/>
          <w:spacing w:val="-15"/>
          <w:sz w:val="24"/>
          <w:szCs w:val="24"/>
          <w:highlight w:val="none"/>
        </w:rPr>
        <w:t>）</w:t>
      </w:r>
      <w:r>
        <w:rPr>
          <w:rFonts w:hint="eastAsia" w:ascii="仿宋" w:hAnsi="仿宋" w:eastAsia="仿宋" w:cs="仿宋"/>
          <w:color w:val="auto"/>
          <w:spacing w:val="-5"/>
          <w:sz w:val="24"/>
          <w:szCs w:val="24"/>
          <w:highlight w:val="none"/>
        </w:rPr>
        <w:t>与投标</w:t>
      </w:r>
      <w:r>
        <w:rPr>
          <w:rFonts w:hint="eastAsia" w:ascii="仿宋" w:hAnsi="仿宋" w:eastAsia="仿宋" w:cs="仿宋"/>
          <w:color w:val="auto"/>
          <w:sz w:val="24"/>
          <w:szCs w:val="24"/>
          <w:highlight w:val="none"/>
        </w:rPr>
        <w:t>文件</w:t>
      </w:r>
      <w:r>
        <w:rPr>
          <w:rFonts w:hint="eastAsia" w:ascii="仿宋" w:hAnsi="仿宋" w:eastAsia="仿宋" w:cs="仿宋"/>
          <w:color w:val="auto"/>
          <w:spacing w:val="-6"/>
          <w:sz w:val="24"/>
          <w:szCs w:val="24"/>
          <w:highlight w:val="none"/>
        </w:rPr>
        <w:t>不一致，或发现我</w:t>
      </w:r>
      <w:r>
        <w:rPr>
          <w:rFonts w:hint="eastAsia" w:ascii="仿宋" w:hAnsi="仿宋" w:eastAsia="仿宋" w:cs="仿宋"/>
          <w:color w:val="auto"/>
          <w:sz w:val="24"/>
          <w:szCs w:val="24"/>
          <w:highlight w:val="none"/>
        </w:rPr>
        <w:t>公司提供了不真实的投标文件（虚假材料</w:t>
      </w:r>
      <w:r>
        <w:rPr>
          <w:rFonts w:hint="eastAsia" w:ascii="仿宋" w:hAnsi="仿宋" w:eastAsia="仿宋" w:cs="仿宋"/>
          <w:color w:val="auto"/>
          <w:spacing w:val="-120"/>
          <w:sz w:val="24"/>
          <w:szCs w:val="24"/>
          <w:highlight w:val="none"/>
        </w:rPr>
        <w:t>）   ）</w:t>
      </w:r>
      <w:r>
        <w:rPr>
          <w:rFonts w:hint="eastAsia" w:ascii="仿宋" w:hAnsi="仿宋" w:eastAsia="仿宋" w:cs="仿宋"/>
          <w:color w:val="auto"/>
          <w:sz w:val="24"/>
          <w:szCs w:val="24"/>
          <w:highlight w:val="none"/>
        </w:rPr>
        <w:t>），我公司愿意承担一切法律责任并认可采购人或采购代理机构作出的取消中标资格、罚没保证金等决定。</w:t>
      </w:r>
    </w:p>
    <w:p w14:paraId="75C61890">
      <w:pPr>
        <w:pStyle w:val="8"/>
        <w:shd w:val="clear" w:color="auto" w:fill="auto"/>
        <w:tabs>
          <w:tab w:val="left" w:pos="9214"/>
        </w:tabs>
        <w:spacing w:line="360" w:lineRule="auto"/>
        <w:ind w:right="-92" w:rightChars="-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4AEA9F42">
      <w:pPr>
        <w:pStyle w:val="8"/>
        <w:shd w:val="clear" w:color="auto" w:fill="auto"/>
        <w:tabs>
          <w:tab w:val="left" w:pos="9214"/>
        </w:tabs>
        <w:spacing w:line="360" w:lineRule="auto"/>
        <w:ind w:right="-92" w:rightChars="-44"/>
        <w:rPr>
          <w:rFonts w:hint="eastAsia" w:ascii="仿宋" w:hAnsi="仿宋" w:eastAsia="仿宋" w:cs="仿宋"/>
          <w:color w:val="auto"/>
          <w:sz w:val="21"/>
          <w:szCs w:val="21"/>
          <w:highlight w:val="none"/>
        </w:rPr>
      </w:pPr>
    </w:p>
    <w:p w14:paraId="3AB5D876">
      <w:pPr>
        <w:pStyle w:val="8"/>
        <w:shd w:val="clear" w:color="auto" w:fill="auto"/>
        <w:tabs>
          <w:tab w:val="left" w:pos="9214"/>
        </w:tabs>
        <w:ind w:right="-92" w:rightChars="-44"/>
        <w:rPr>
          <w:rFonts w:hint="eastAsia" w:ascii="仿宋" w:hAnsi="仿宋" w:eastAsia="仿宋" w:cs="仿宋"/>
          <w:color w:val="auto"/>
          <w:sz w:val="21"/>
          <w:szCs w:val="21"/>
          <w:highlight w:val="none"/>
        </w:rPr>
      </w:pPr>
    </w:p>
    <w:p w14:paraId="44FB5985">
      <w:pPr>
        <w:pStyle w:val="8"/>
        <w:shd w:val="clear" w:color="auto" w:fill="auto"/>
        <w:tabs>
          <w:tab w:val="left" w:pos="9214"/>
        </w:tabs>
        <w:ind w:right="-92" w:rightChars="-44"/>
        <w:rPr>
          <w:rFonts w:hint="eastAsia" w:ascii="仿宋" w:hAnsi="仿宋" w:eastAsia="仿宋" w:cs="仿宋"/>
          <w:color w:val="auto"/>
          <w:sz w:val="21"/>
          <w:szCs w:val="21"/>
          <w:highlight w:val="none"/>
        </w:rPr>
      </w:pPr>
    </w:p>
    <w:p w14:paraId="5EFD491B">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051C36A7">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60A66C18">
      <w:pPr>
        <w:spacing w:before="182" w:line="220" w:lineRule="auto"/>
        <w:ind w:left="5741"/>
        <w:rPr>
          <w:rFonts w:hint="eastAsia" w:ascii="仿宋" w:hAnsi="仿宋" w:eastAsia="仿宋" w:cs="仿宋"/>
          <w:sz w:val="24"/>
          <w:szCs w:val="24"/>
          <w:highlight w:val="none"/>
        </w:rPr>
        <w:sectPr>
          <w:headerReference r:id="rId27" w:type="default"/>
          <w:footerReference r:id="rId28" w:type="default"/>
          <w:type w:val="continuous"/>
          <w:pgSz w:w="11906" w:h="16839"/>
          <w:pgMar w:top="1440" w:right="1080" w:bottom="1440" w:left="1080" w:header="0" w:footer="986" w:gutter="0"/>
          <w:pgNumType w:fmt="decimal"/>
          <w:cols w:space="720" w:num="1"/>
          <w:rtlGutter w:val="0"/>
          <w:docGrid w:linePitch="1" w:charSpace="0"/>
        </w:sect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2BD6DCDE">
      <w:pPr>
        <w:pStyle w:val="181"/>
        <w:shd w:val="clear" w:color="auto" w:fill="auto"/>
        <w:spacing w:line="360" w:lineRule="auto"/>
        <w:ind w:left="0" w:leftChars="0" w:firstLine="0" w:firstLineChars="0"/>
        <w:jc w:val="both"/>
        <w:outlineLvl w:val="1"/>
        <w:rPr>
          <w:rFonts w:hint="eastAsia" w:ascii="仿宋" w:hAnsi="仿宋" w:eastAsia="仿宋" w:cs="仿宋"/>
          <w:b/>
          <w:color w:val="auto"/>
          <w:sz w:val="28"/>
          <w:szCs w:val="28"/>
          <w:highlight w:val="none"/>
        </w:rPr>
      </w:pPr>
      <w:bookmarkStart w:id="556" w:name="_Toc480942355"/>
      <w:bookmarkStart w:id="557" w:name="_Toc32489"/>
      <w:bookmarkStart w:id="558" w:name="_Toc9592"/>
      <w:bookmarkStart w:id="559" w:name="_Toc507399535"/>
      <w:bookmarkStart w:id="560" w:name="_Ref467988543"/>
      <w:bookmarkStart w:id="561" w:name="_Toc20238"/>
      <w:bookmarkStart w:id="562" w:name="_Toc216582819"/>
      <w:bookmarkStart w:id="563" w:name="_Toc520356224"/>
      <w:bookmarkStart w:id="564" w:name="_Toc114589541"/>
      <w:bookmarkStart w:id="565" w:name="_Toc115436133"/>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十八</w:t>
      </w:r>
      <w:r>
        <w:rPr>
          <w:rFonts w:hint="eastAsia" w:ascii="仿宋" w:hAnsi="仿宋" w:eastAsia="仿宋" w:cs="仿宋"/>
          <w:b/>
          <w:color w:val="auto"/>
          <w:sz w:val="28"/>
          <w:szCs w:val="28"/>
          <w:highlight w:val="none"/>
        </w:rPr>
        <w:t xml:space="preserve">  </w:t>
      </w:r>
      <w:bookmarkEnd w:id="556"/>
      <w:bookmarkEnd w:id="557"/>
      <w:bookmarkEnd w:id="558"/>
      <w:bookmarkEnd w:id="559"/>
      <w:bookmarkEnd w:id="560"/>
      <w:bookmarkEnd w:id="561"/>
      <w:bookmarkEnd w:id="562"/>
      <w:bookmarkEnd w:id="563"/>
      <w:bookmarkEnd w:id="564"/>
      <w:bookmarkEnd w:id="565"/>
      <w:bookmarkStart w:id="566" w:name="_Toc216513801"/>
      <w:bookmarkStart w:id="567" w:name="_Toc216582821"/>
    </w:p>
    <w:p w14:paraId="58AED0FB">
      <w:pPr>
        <w:shd w:val="clear" w:color="auto" w:fill="auto"/>
        <w:spacing w:line="240" w:lineRule="atLeast"/>
        <w:ind w:left="660" w:leftChars="257" w:hanging="540"/>
        <w:rPr>
          <w:rFonts w:hint="eastAsia" w:ascii="仿宋" w:hAnsi="仿宋" w:eastAsia="仿宋" w:cs="仿宋"/>
          <w:b/>
          <w:color w:val="auto"/>
          <w:sz w:val="24"/>
          <w:highlight w:val="none"/>
        </w:rPr>
      </w:pPr>
    </w:p>
    <w:bookmarkEnd w:id="566"/>
    <w:bookmarkEnd w:id="567"/>
    <w:p w14:paraId="2DBF6AB7">
      <w:pPr>
        <w:shd w:val="clear" w:color="auto" w:fill="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关于对本投标文件中资料真实性的承诺</w:t>
      </w:r>
    </w:p>
    <w:p w14:paraId="058E3995">
      <w:pPr>
        <w:shd w:val="clear" w:color="auto" w:fill="auto"/>
        <w:rPr>
          <w:rFonts w:hint="eastAsia" w:ascii="仿宋" w:hAnsi="仿宋" w:eastAsia="仿宋" w:cs="仿宋"/>
          <w:b/>
          <w:color w:val="auto"/>
          <w:kern w:val="0"/>
          <w:sz w:val="28"/>
          <w:szCs w:val="28"/>
          <w:highlight w:val="none"/>
        </w:rPr>
      </w:pPr>
    </w:p>
    <w:p w14:paraId="0AF1E521">
      <w:pPr>
        <w:shd w:val="clear" w:color="auto" w:fill="auto"/>
        <w:spacing w:line="360" w:lineRule="auto"/>
        <w:rPr>
          <w:rFonts w:hint="eastAsia" w:ascii="仿宋" w:hAnsi="仿宋" w:eastAsia="仿宋" w:cs="仿宋"/>
          <w:b/>
          <w:color w:val="auto"/>
          <w:kern w:val="0"/>
          <w:sz w:val="24"/>
          <w:szCs w:val="24"/>
          <w:highlight w:val="none"/>
          <w:u w:val="single"/>
        </w:rPr>
      </w:pPr>
      <w:r>
        <w:rPr>
          <w:rFonts w:hint="eastAsia" w:ascii="仿宋" w:hAnsi="仿宋" w:eastAsia="仿宋" w:cs="仿宋"/>
          <w:b/>
          <w:color w:val="auto"/>
          <w:kern w:val="0"/>
          <w:sz w:val="24"/>
          <w:szCs w:val="24"/>
          <w:highlight w:val="none"/>
        </w:rPr>
        <w:t>至：</w:t>
      </w:r>
      <w:r>
        <w:rPr>
          <w:rFonts w:hint="eastAsia" w:ascii="仿宋" w:hAnsi="仿宋" w:eastAsia="仿宋" w:cs="仿宋"/>
          <w:b/>
          <w:color w:val="auto"/>
          <w:kern w:val="0"/>
          <w:sz w:val="24"/>
          <w:szCs w:val="24"/>
          <w:highlight w:val="none"/>
          <w:u w:val="single"/>
        </w:rPr>
        <w:t xml:space="preserve"> （项目、包段名称）评标委员会  </w:t>
      </w:r>
    </w:p>
    <w:p w14:paraId="447F3E0D">
      <w:pPr>
        <w:shd w:val="clear" w:color="auto" w:fill="auto"/>
        <w:spacing w:line="360" w:lineRule="auto"/>
        <w:ind w:firstLine="720" w:firstLine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根据《中华人民共和国政府采购法</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中华人民共和国政府采购法实施条例》等有关</w:t>
      </w:r>
      <w:r>
        <w:rPr>
          <w:rFonts w:hint="eastAsia" w:ascii="仿宋" w:hAnsi="仿宋" w:eastAsia="仿宋" w:cs="仿宋"/>
          <w:color w:val="auto"/>
          <w:kern w:val="0"/>
          <w:sz w:val="24"/>
          <w:szCs w:val="24"/>
          <w:highlight w:val="none"/>
          <w:lang w:eastAsia="zh-CN"/>
        </w:rPr>
        <w:t>法律法规</w:t>
      </w:r>
      <w:r>
        <w:rPr>
          <w:rFonts w:hint="eastAsia" w:ascii="仿宋" w:hAnsi="仿宋" w:eastAsia="仿宋" w:cs="仿宋"/>
          <w:color w:val="auto"/>
          <w:kern w:val="0"/>
          <w:sz w:val="24"/>
          <w:szCs w:val="24"/>
          <w:highlight w:val="none"/>
        </w:rPr>
        <w:t>的规定和</w:t>
      </w:r>
      <w:r>
        <w:rPr>
          <w:rFonts w:hint="eastAsia" w:ascii="仿宋" w:hAnsi="仿宋" w:eastAsia="仿宋" w:cs="仿宋"/>
          <w:color w:val="auto"/>
          <w:kern w:val="0"/>
          <w:sz w:val="24"/>
          <w:szCs w:val="24"/>
          <w:highlight w:val="none"/>
          <w:u w:val="single"/>
        </w:rPr>
        <w:t>        （项目、包段名称）         </w:t>
      </w:r>
      <w:r>
        <w:rPr>
          <w:rFonts w:hint="eastAsia" w:ascii="仿宋" w:hAnsi="仿宋" w:eastAsia="仿宋" w:cs="仿宋"/>
          <w:color w:val="auto"/>
          <w:kern w:val="0"/>
          <w:sz w:val="24"/>
          <w:szCs w:val="24"/>
          <w:highlight w:val="none"/>
        </w:rPr>
        <w:t>的招标文件的要求，我公司在</w:t>
      </w:r>
      <w:r>
        <w:rPr>
          <w:rFonts w:hint="eastAsia" w:ascii="仿宋" w:hAnsi="仿宋" w:eastAsia="仿宋" w:cs="仿宋"/>
          <w:color w:val="auto"/>
          <w:kern w:val="0"/>
          <w:sz w:val="24"/>
          <w:szCs w:val="24"/>
          <w:highlight w:val="none"/>
          <w:u w:val="single"/>
        </w:rPr>
        <w:t>   （项目、包段名称）   </w:t>
      </w:r>
      <w:r>
        <w:rPr>
          <w:rFonts w:hint="eastAsia" w:ascii="仿宋" w:hAnsi="仿宋" w:eastAsia="仿宋" w:cs="仿宋"/>
          <w:color w:val="auto"/>
          <w:kern w:val="0"/>
          <w:sz w:val="24"/>
          <w:szCs w:val="24"/>
          <w:highlight w:val="none"/>
        </w:rPr>
        <w:t>投标文件中所提供资料真实性作如下承诺：</w:t>
      </w:r>
    </w:p>
    <w:p w14:paraId="1D7E066E">
      <w:pPr>
        <w:shd w:val="clear" w:color="auto" w:fill="auto"/>
        <w:spacing w:line="360" w:lineRule="auto"/>
        <w:ind w:firstLine="720" w:firstLine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我公司将严格按招标文件要求，在编制本投标文件时，对投标文件中所提供的资料全部真实和正确，并对提供的所有资料（资格、业绩、其他材料等）的真实性负责！ </w:t>
      </w:r>
    </w:p>
    <w:p w14:paraId="54EABB9D">
      <w:pPr>
        <w:shd w:val="clear" w:color="auto" w:fill="auto"/>
        <w:spacing w:line="360" w:lineRule="auto"/>
        <w:ind w:firstLine="720" w:firstLineChars="300"/>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对提供的全部资料</w:t>
      </w:r>
      <w:r>
        <w:rPr>
          <w:rFonts w:hint="eastAsia" w:ascii="仿宋" w:hAnsi="仿宋" w:eastAsia="仿宋" w:cs="仿宋"/>
          <w:color w:val="auto"/>
          <w:kern w:val="0"/>
          <w:sz w:val="24"/>
          <w:szCs w:val="24"/>
          <w:highlight w:val="none"/>
          <w:lang w:eastAsia="zh-CN"/>
        </w:rPr>
        <w:t>中</w:t>
      </w:r>
      <w:r>
        <w:rPr>
          <w:rFonts w:hint="eastAsia" w:ascii="仿宋" w:hAnsi="仿宋" w:eastAsia="仿宋" w:cs="仿宋"/>
          <w:color w:val="auto"/>
          <w:kern w:val="0"/>
          <w:sz w:val="24"/>
          <w:szCs w:val="24"/>
          <w:highlight w:val="none"/>
        </w:rPr>
        <w:t>存在不真实（伪造或租借等虚假资料）情形，将无条件接受任何处罚，自行承担由此引起的一切责任！</w:t>
      </w:r>
    </w:p>
    <w:p w14:paraId="4FDCFD85">
      <w:pPr>
        <w:shd w:val="clear" w:color="auto" w:fill="auto"/>
        <w:spacing w:line="360" w:lineRule="auto"/>
        <w:ind w:firstLine="723" w:firstLineChars="3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特此承诺</w:t>
      </w:r>
    </w:p>
    <w:p w14:paraId="691431CA">
      <w:pPr>
        <w:shd w:val="clear" w:color="auto" w:fill="auto"/>
        <w:spacing w:line="360" w:lineRule="auto"/>
        <w:ind w:firstLine="723" w:firstLineChars="300"/>
        <w:rPr>
          <w:rFonts w:hint="eastAsia" w:ascii="仿宋" w:hAnsi="仿宋" w:eastAsia="仿宋" w:cs="仿宋"/>
          <w:b/>
          <w:color w:val="auto"/>
          <w:kern w:val="0"/>
          <w:sz w:val="24"/>
          <w:szCs w:val="24"/>
          <w:highlight w:val="none"/>
        </w:rPr>
      </w:pPr>
    </w:p>
    <w:p w14:paraId="1A3637D5">
      <w:pPr>
        <w:shd w:val="clear" w:color="auto" w:fill="auto"/>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有效的联系方式：</w:t>
      </w:r>
      <w:r>
        <w:rPr>
          <w:rFonts w:hint="eastAsia" w:ascii="仿宋" w:hAnsi="仿宋" w:eastAsia="仿宋" w:cs="仿宋"/>
          <w:b/>
          <w:color w:val="auto"/>
          <w:kern w:val="0"/>
          <w:sz w:val="24"/>
          <w:szCs w:val="24"/>
          <w:highlight w:val="none"/>
          <w:u w:val="single"/>
        </w:rPr>
        <w:t xml:space="preserve">                          </w:t>
      </w:r>
      <w:r>
        <w:rPr>
          <w:rFonts w:hint="eastAsia" w:ascii="仿宋" w:hAnsi="仿宋" w:eastAsia="仿宋" w:cs="仿宋"/>
          <w:b/>
          <w:color w:val="auto"/>
          <w:kern w:val="0"/>
          <w:sz w:val="24"/>
          <w:szCs w:val="24"/>
          <w:highlight w:val="none"/>
        </w:rPr>
        <w:t>（手机号）</w:t>
      </w:r>
    </w:p>
    <w:p w14:paraId="16F31913">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053FEAF1">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359AC7D2">
      <w:pPr>
        <w:spacing w:before="182" w:line="220" w:lineRule="auto"/>
        <w:ind w:left="5741"/>
        <w:rPr>
          <w:rFonts w:hint="eastAsia" w:ascii="仿宋" w:hAnsi="仿宋" w:eastAsia="仿宋" w:cs="仿宋"/>
          <w:spacing w:val="-29"/>
          <w:sz w:val="24"/>
          <w:szCs w:val="24"/>
          <w:highlight w:val="none"/>
        </w:r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6A37B5EA">
      <w:pPr>
        <w:shd w:val="clear" w:color="auto" w:fill="auto"/>
        <w:spacing w:line="360" w:lineRule="auto"/>
        <w:ind w:firstLine="4337" w:firstLineChars="1800"/>
        <w:rPr>
          <w:rFonts w:hint="eastAsia" w:ascii="仿宋" w:hAnsi="仿宋" w:eastAsia="仿宋" w:cs="仿宋"/>
          <w:b/>
          <w:color w:val="auto"/>
          <w:kern w:val="0"/>
          <w:sz w:val="24"/>
          <w:szCs w:val="24"/>
          <w:highlight w:val="none"/>
        </w:rPr>
      </w:pPr>
    </w:p>
    <w:p w14:paraId="06A7CDF2">
      <w:pPr>
        <w:shd w:val="clear" w:color="auto" w:fill="auto"/>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说明：投标供应商应按上述要求将内容填写完整，未提供此承诺的其投标将被拒绝！</w:t>
      </w:r>
    </w:p>
    <w:p w14:paraId="15EFA9AD">
      <w:pPr>
        <w:pStyle w:val="20"/>
        <w:numPr>
          <w:ilvl w:val="0"/>
          <w:numId w:val="0"/>
        </w:numPr>
        <w:overflowPunct w:val="0"/>
        <w:snapToGrid w:val="0"/>
        <w:spacing w:line="360" w:lineRule="auto"/>
        <w:jc w:val="both"/>
        <w:rPr>
          <w:rFonts w:hint="eastAsia" w:ascii="仿宋" w:hAnsi="仿宋" w:eastAsia="仿宋" w:cs="仿宋"/>
          <w:b/>
          <w:bCs w:val="0"/>
          <w:color w:val="auto"/>
          <w:kern w:val="2"/>
          <w:sz w:val="28"/>
          <w:szCs w:val="24"/>
          <w:highlight w:val="none"/>
          <w:lang w:val="en-US" w:eastAsia="zh-CN" w:bidi="ar-SA"/>
        </w:rPr>
      </w:pPr>
      <w:r>
        <w:rPr>
          <w:rFonts w:hint="eastAsia" w:ascii="仿宋" w:hAnsi="仿宋" w:eastAsia="仿宋" w:cs="仿宋"/>
          <w:color w:val="auto"/>
          <w:highlight w:val="none"/>
        </w:rPr>
        <w:br w:type="page"/>
      </w:r>
    </w:p>
    <w:p w14:paraId="4259B505">
      <w:pPr>
        <w:pStyle w:val="20"/>
        <w:numPr>
          <w:ilvl w:val="0"/>
          <w:numId w:val="0"/>
        </w:numPr>
        <w:overflowPunct w:val="0"/>
        <w:snapToGrid w:val="0"/>
        <w:spacing w:line="360" w:lineRule="auto"/>
        <w:jc w:val="both"/>
        <w:rPr>
          <w:rFonts w:hint="eastAsia" w:ascii="仿宋" w:hAnsi="仿宋" w:eastAsia="仿宋" w:cs="仿宋"/>
          <w:b/>
          <w:bCs w:val="0"/>
          <w:color w:val="auto"/>
          <w:kern w:val="2"/>
          <w:sz w:val="28"/>
          <w:szCs w:val="24"/>
          <w:highlight w:val="none"/>
          <w:lang w:val="en-US" w:eastAsia="zh-CN" w:bidi="ar-SA"/>
        </w:rPr>
      </w:pPr>
      <w:r>
        <w:rPr>
          <w:rFonts w:hint="eastAsia" w:ascii="仿宋" w:hAnsi="仿宋" w:eastAsia="仿宋" w:cs="仿宋"/>
          <w:b/>
          <w:bCs w:val="0"/>
          <w:color w:val="auto"/>
          <w:kern w:val="2"/>
          <w:sz w:val="28"/>
          <w:szCs w:val="24"/>
          <w:highlight w:val="none"/>
          <w:lang w:val="en-US" w:eastAsia="zh-CN" w:bidi="ar-SA"/>
        </w:rPr>
        <w:t>附件十九</w:t>
      </w:r>
    </w:p>
    <w:p w14:paraId="6091A7EE">
      <w:pPr>
        <w:pStyle w:val="20"/>
        <w:numPr>
          <w:ilvl w:val="0"/>
          <w:numId w:val="0"/>
        </w:numPr>
        <w:overflowPunct w:val="0"/>
        <w:snapToGrid w:val="0"/>
        <w:spacing w:line="360" w:lineRule="auto"/>
        <w:jc w:val="center"/>
        <w:rPr>
          <w:rFonts w:hint="eastAsia" w:ascii="仿宋" w:hAnsi="仿宋" w:eastAsia="仿宋" w:cs="仿宋"/>
          <w:b/>
          <w:bCs w:val="0"/>
          <w:color w:val="auto"/>
          <w:kern w:val="2"/>
          <w:sz w:val="28"/>
          <w:szCs w:val="24"/>
          <w:highlight w:val="none"/>
          <w:lang w:val="en-US" w:eastAsia="zh-CN" w:bidi="ar-SA"/>
        </w:rPr>
      </w:pPr>
      <w:r>
        <w:rPr>
          <w:rFonts w:hint="eastAsia" w:ascii="仿宋" w:hAnsi="仿宋" w:eastAsia="仿宋" w:cs="仿宋"/>
          <w:b/>
          <w:bCs w:val="0"/>
          <w:color w:val="auto"/>
          <w:kern w:val="2"/>
          <w:sz w:val="28"/>
          <w:szCs w:val="24"/>
          <w:highlight w:val="none"/>
          <w:lang w:val="en-US" w:eastAsia="zh-CN" w:bidi="ar-SA"/>
        </w:rPr>
        <w:t>其它材料</w:t>
      </w:r>
    </w:p>
    <w:p w14:paraId="6CB3F4F7">
      <w:pPr>
        <w:pStyle w:val="20"/>
        <w:numPr>
          <w:ilvl w:val="0"/>
          <w:numId w:val="0"/>
        </w:numPr>
        <w:overflowPunct w:val="0"/>
        <w:snapToGrid w:val="0"/>
        <w:spacing w:line="360" w:lineRule="auto"/>
        <w:jc w:val="both"/>
        <w:rPr>
          <w:rFonts w:hint="eastAsia" w:ascii="仿宋" w:hAnsi="仿宋" w:eastAsia="仿宋" w:cs="仿宋"/>
          <w:b/>
          <w:bCs w:val="0"/>
          <w:color w:val="auto"/>
          <w:kern w:val="2"/>
          <w:sz w:val="28"/>
          <w:szCs w:val="24"/>
          <w:highlight w:val="none"/>
          <w:lang w:val="en-US" w:eastAsia="zh-CN" w:bidi="ar-SA"/>
        </w:rPr>
      </w:pPr>
    </w:p>
    <w:p w14:paraId="7C573736">
      <w:pPr>
        <w:pStyle w:val="20"/>
        <w:numPr>
          <w:ilvl w:val="0"/>
          <w:numId w:val="0"/>
        </w:numPr>
        <w:overflowPunct w:val="0"/>
        <w:snapToGrid w:val="0"/>
        <w:spacing w:line="360" w:lineRule="auto"/>
        <w:jc w:val="center"/>
        <w:rPr>
          <w:rFonts w:hint="eastAsia" w:ascii="仿宋" w:hAnsi="仿宋" w:eastAsia="仿宋" w:cs="仿宋"/>
          <w:b w:val="0"/>
          <w:bCs/>
          <w:color w:val="auto"/>
          <w:kern w:val="2"/>
          <w:sz w:val="24"/>
          <w:szCs w:val="24"/>
          <w:highlight w:val="none"/>
          <w:lang w:val="en-US" w:eastAsia="zh-CN" w:bidi="ar-SA"/>
        </w:rPr>
      </w:pPr>
    </w:p>
    <w:p w14:paraId="68FD0082">
      <w:pPr>
        <w:pStyle w:val="20"/>
        <w:numPr>
          <w:ilvl w:val="0"/>
          <w:numId w:val="0"/>
        </w:numPr>
        <w:overflowPunct w:val="0"/>
        <w:snapToGrid w:val="0"/>
        <w:spacing w:line="360" w:lineRule="auto"/>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投标人认为应补充提供的其它文件资料以及投标人认为需要加以说明的其它内容。</w:t>
      </w:r>
    </w:p>
    <w:p w14:paraId="375DBDC8">
      <w:pPr>
        <w:pStyle w:val="20"/>
        <w:numPr>
          <w:ilvl w:val="0"/>
          <w:numId w:val="0"/>
        </w:numPr>
        <w:overflowPunct w:val="0"/>
        <w:snapToGrid w:val="0"/>
        <w:spacing w:line="360" w:lineRule="auto"/>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（格式自行编制）</w:t>
      </w:r>
    </w:p>
    <w:p w14:paraId="0098F70A">
      <w:pPr>
        <w:pStyle w:val="20"/>
        <w:numPr>
          <w:ilvl w:val="0"/>
          <w:numId w:val="0"/>
        </w:numPr>
        <w:overflowPunct w:val="0"/>
        <w:snapToGrid w:val="0"/>
        <w:spacing w:line="360" w:lineRule="auto"/>
        <w:jc w:val="center"/>
        <w:rPr>
          <w:rFonts w:hint="eastAsia" w:ascii="仿宋" w:hAnsi="仿宋" w:eastAsia="仿宋" w:cs="仿宋"/>
          <w:b/>
          <w:bCs w:val="0"/>
          <w:color w:val="auto"/>
          <w:kern w:val="2"/>
          <w:sz w:val="32"/>
          <w:szCs w:val="28"/>
          <w:highlight w:val="none"/>
          <w:lang w:val="en-US" w:eastAsia="zh-CN" w:bidi="ar-SA"/>
        </w:rPr>
      </w:pPr>
    </w:p>
    <w:p w14:paraId="74D05FE8">
      <w:pPr>
        <w:rPr>
          <w:rFonts w:hint="eastAsia" w:ascii="仿宋" w:hAnsi="仿宋" w:eastAsia="仿宋" w:cs="仿宋"/>
          <w:highlight w:val="none"/>
          <w:lang w:val="en-US" w:eastAsia="zh-CN"/>
        </w:rPr>
        <w:sectPr>
          <w:headerReference r:id="rId29" w:type="default"/>
          <w:footerReference r:id="rId30" w:type="default"/>
          <w:type w:val="continuous"/>
          <w:pgSz w:w="11905" w:h="16838"/>
          <w:pgMar w:top="1440" w:right="1080" w:bottom="1440" w:left="1080" w:header="567" w:footer="454" w:gutter="0"/>
          <w:pgNumType w:fmt="decimal"/>
          <w:cols w:space="720" w:num="1"/>
          <w:rtlGutter w:val="0"/>
          <w:docGrid w:type="lines" w:linePitch="317" w:charSpace="0"/>
        </w:sectPr>
      </w:pPr>
    </w:p>
    <w:p w14:paraId="0ED43022">
      <w:pPr>
        <w:pStyle w:val="20"/>
        <w:numPr>
          <w:ilvl w:val="0"/>
          <w:numId w:val="0"/>
        </w:numPr>
        <w:overflowPunct w:val="0"/>
        <w:snapToGrid w:val="0"/>
        <w:spacing w:line="360" w:lineRule="auto"/>
        <w:jc w:val="both"/>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附件二十</w:t>
      </w:r>
    </w:p>
    <w:p w14:paraId="164EFBF5">
      <w:pPr>
        <w:spacing w:before="283" w:line="221" w:lineRule="auto"/>
        <w:ind w:left="3045"/>
        <w:jc w:val="center"/>
        <w:rPr>
          <w:rFonts w:hint="eastAsia" w:ascii="仿宋" w:hAnsi="仿宋" w:eastAsia="仿宋" w:cs="仿宋"/>
          <w:b/>
          <w:bCs/>
          <w:sz w:val="28"/>
          <w:szCs w:val="28"/>
          <w:highlight w:val="none"/>
        </w:rPr>
      </w:pPr>
      <w:r>
        <w:rPr>
          <w:rFonts w:hint="eastAsia" w:ascii="仿宋" w:hAnsi="仿宋" w:eastAsia="仿宋" w:cs="仿宋"/>
          <w:b/>
          <w:bCs/>
          <w:spacing w:val="-15"/>
          <w:sz w:val="28"/>
          <w:szCs w:val="28"/>
          <w:highlight w:val="none"/>
        </w:rPr>
        <w:t>主要相关项目业绩一览表</w:t>
      </w:r>
    </w:p>
    <w:p w14:paraId="73318474">
      <w:pPr>
        <w:pStyle w:val="8"/>
        <w:spacing w:line="329" w:lineRule="auto"/>
        <w:ind w:left="0" w:leftChars="0" w:firstLine="0" w:firstLineChars="0"/>
        <w:rPr>
          <w:rFonts w:hint="eastAsia" w:ascii="仿宋" w:hAnsi="仿宋" w:eastAsia="仿宋" w:cs="仿宋"/>
          <w:highlight w:val="none"/>
        </w:rPr>
      </w:pPr>
    </w:p>
    <w:p w14:paraId="25F7E76E">
      <w:pPr>
        <w:spacing w:before="78" w:line="221" w:lineRule="auto"/>
        <w:ind w:left="126"/>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 xml:space="preserve">项目名称：                   </w:t>
      </w:r>
    </w:p>
    <w:p w14:paraId="6024D236">
      <w:pPr>
        <w:spacing w:before="173" w:line="220" w:lineRule="auto"/>
        <w:ind w:left="126"/>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 xml:space="preserve">项目编号：                   </w:t>
      </w:r>
    </w:p>
    <w:tbl>
      <w:tblPr>
        <w:tblStyle w:val="175"/>
        <w:tblW w:w="97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1563"/>
        <w:gridCol w:w="1183"/>
        <w:gridCol w:w="1350"/>
        <w:gridCol w:w="1767"/>
        <w:gridCol w:w="1550"/>
        <w:gridCol w:w="1566"/>
      </w:tblGrid>
      <w:tr w14:paraId="5E2A9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67" w:type="dxa"/>
            <w:noWrap w:val="0"/>
            <w:vAlign w:val="top"/>
          </w:tcPr>
          <w:p w14:paraId="5660A99F">
            <w:pPr>
              <w:pStyle w:val="186"/>
              <w:spacing w:before="172" w:line="230" w:lineRule="auto"/>
              <w:ind w:left="194"/>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序号</w:t>
            </w:r>
          </w:p>
        </w:tc>
        <w:tc>
          <w:tcPr>
            <w:tcW w:w="1563" w:type="dxa"/>
            <w:noWrap w:val="0"/>
            <w:vAlign w:val="top"/>
          </w:tcPr>
          <w:p w14:paraId="05AE7D22">
            <w:pPr>
              <w:pStyle w:val="186"/>
              <w:spacing w:before="172" w:line="229" w:lineRule="auto"/>
              <w:ind w:left="152"/>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用户单位名称</w:t>
            </w:r>
          </w:p>
        </w:tc>
        <w:tc>
          <w:tcPr>
            <w:tcW w:w="1183" w:type="dxa"/>
            <w:noWrap w:val="0"/>
            <w:vAlign w:val="top"/>
          </w:tcPr>
          <w:p w14:paraId="38B3A478">
            <w:pPr>
              <w:pStyle w:val="186"/>
              <w:spacing w:before="172" w:line="228" w:lineRule="auto"/>
              <w:ind w:left="179"/>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项目内容</w:t>
            </w:r>
          </w:p>
        </w:tc>
        <w:tc>
          <w:tcPr>
            <w:tcW w:w="1350" w:type="dxa"/>
            <w:noWrap w:val="0"/>
            <w:vAlign w:val="top"/>
          </w:tcPr>
          <w:p w14:paraId="17976C72">
            <w:pPr>
              <w:pStyle w:val="186"/>
              <w:spacing w:before="172" w:line="229" w:lineRule="auto"/>
              <w:ind w:left="182"/>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实施地点</w:t>
            </w:r>
          </w:p>
        </w:tc>
        <w:tc>
          <w:tcPr>
            <w:tcW w:w="1767" w:type="dxa"/>
            <w:noWrap w:val="0"/>
            <w:vAlign w:val="top"/>
          </w:tcPr>
          <w:p w14:paraId="0E055165">
            <w:pPr>
              <w:pStyle w:val="186"/>
              <w:spacing w:before="34" w:line="235" w:lineRule="auto"/>
              <w:ind w:left="774" w:right="169" w:hanging="577"/>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用户联系人及联系方式</w:t>
            </w:r>
          </w:p>
        </w:tc>
        <w:tc>
          <w:tcPr>
            <w:tcW w:w="1550" w:type="dxa"/>
            <w:noWrap w:val="0"/>
            <w:vAlign w:val="top"/>
          </w:tcPr>
          <w:p w14:paraId="7DC6C515">
            <w:pPr>
              <w:pStyle w:val="186"/>
              <w:spacing w:before="35" w:line="229" w:lineRule="auto"/>
              <w:ind w:left="410"/>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项目</w:t>
            </w:r>
          </w:p>
          <w:p w14:paraId="32EDFFBB">
            <w:pPr>
              <w:pStyle w:val="186"/>
              <w:spacing w:before="25" w:line="217" w:lineRule="auto"/>
              <w:ind w:left="213"/>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起止时间</w:t>
            </w:r>
          </w:p>
        </w:tc>
        <w:tc>
          <w:tcPr>
            <w:tcW w:w="1566" w:type="dxa"/>
            <w:noWrap w:val="0"/>
            <w:vAlign w:val="top"/>
          </w:tcPr>
          <w:p w14:paraId="6DCD73A5">
            <w:pPr>
              <w:pStyle w:val="186"/>
              <w:spacing w:before="35" w:line="274" w:lineRule="exact"/>
              <w:ind w:left="298"/>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合同</w:t>
            </w:r>
          </w:p>
          <w:p w14:paraId="5493B5D0">
            <w:pPr>
              <w:pStyle w:val="186"/>
              <w:spacing w:line="216" w:lineRule="auto"/>
              <w:ind w:left="299"/>
              <w:jc w:val="center"/>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金额</w:t>
            </w:r>
          </w:p>
        </w:tc>
      </w:tr>
      <w:tr w14:paraId="09344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70120F92">
            <w:pPr>
              <w:rPr>
                <w:rFonts w:hint="eastAsia" w:ascii="仿宋" w:hAnsi="仿宋" w:eastAsia="仿宋" w:cs="仿宋"/>
                <w:b w:val="0"/>
                <w:bCs/>
                <w:color w:val="auto"/>
                <w:kern w:val="2"/>
                <w:sz w:val="24"/>
                <w:szCs w:val="22"/>
                <w:highlight w:val="none"/>
                <w:lang w:val="en-US" w:eastAsia="zh-CN" w:bidi="ar-SA"/>
              </w:rPr>
            </w:pPr>
          </w:p>
        </w:tc>
        <w:tc>
          <w:tcPr>
            <w:tcW w:w="1563" w:type="dxa"/>
            <w:noWrap w:val="0"/>
            <w:vAlign w:val="top"/>
          </w:tcPr>
          <w:p w14:paraId="6289C74C">
            <w:pPr>
              <w:rPr>
                <w:rFonts w:hint="eastAsia" w:ascii="仿宋" w:hAnsi="仿宋" w:eastAsia="仿宋" w:cs="仿宋"/>
                <w:b w:val="0"/>
                <w:bCs/>
                <w:color w:val="auto"/>
                <w:kern w:val="2"/>
                <w:sz w:val="24"/>
                <w:szCs w:val="22"/>
                <w:highlight w:val="none"/>
                <w:lang w:val="en-US" w:eastAsia="zh-CN" w:bidi="ar-SA"/>
              </w:rPr>
            </w:pPr>
          </w:p>
        </w:tc>
        <w:tc>
          <w:tcPr>
            <w:tcW w:w="1183" w:type="dxa"/>
            <w:noWrap w:val="0"/>
            <w:vAlign w:val="top"/>
          </w:tcPr>
          <w:p w14:paraId="44136A7D">
            <w:pPr>
              <w:rPr>
                <w:rFonts w:hint="eastAsia" w:ascii="仿宋" w:hAnsi="仿宋" w:eastAsia="仿宋" w:cs="仿宋"/>
                <w:b w:val="0"/>
                <w:bCs/>
                <w:color w:val="auto"/>
                <w:kern w:val="2"/>
                <w:sz w:val="24"/>
                <w:szCs w:val="22"/>
                <w:highlight w:val="none"/>
                <w:lang w:val="en-US" w:eastAsia="zh-CN" w:bidi="ar-SA"/>
              </w:rPr>
            </w:pPr>
          </w:p>
        </w:tc>
        <w:tc>
          <w:tcPr>
            <w:tcW w:w="1350" w:type="dxa"/>
            <w:noWrap w:val="0"/>
            <w:vAlign w:val="top"/>
          </w:tcPr>
          <w:p w14:paraId="38F41EBC">
            <w:pPr>
              <w:rPr>
                <w:rFonts w:hint="eastAsia" w:ascii="仿宋" w:hAnsi="仿宋" w:eastAsia="仿宋" w:cs="仿宋"/>
                <w:b w:val="0"/>
                <w:bCs/>
                <w:color w:val="auto"/>
                <w:kern w:val="2"/>
                <w:sz w:val="24"/>
                <w:szCs w:val="22"/>
                <w:highlight w:val="none"/>
                <w:lang w:val="en-US" w:eastAsia="zh-CN" w:bidi="ar-SA"/>
              </w:rPr>
            </w:pPr>
          </w:p>
        </w:tc>
        <w:tc>
          <w:tcPr>
            <w:tcW w:w="1767" w:type="dxa"/>
            <w:noWrap w:val="0"/>
            <w:vAlign w:val="top"/>
          </w:tcPr>
          <w:p w14:paraId="457DA2D1">
            <w:pPr>
              <w:rPr>
                <w:rFonts w:hint="eastAsia" w:ascii="仿宋" w:hAnsi="仿宋" w:eastAsia="仿宋" w:cs="仿宋"/>
                <w:b w:val="0"/>
                <w:bCs/>
                <w:color w:val="auto"/>
                <w:kern w:val="2"/>
                <w:sz w:val="24"/>
                <w:szCs w:val="22"/>
                <w:highlight w:val="none"/>
                <w:lang w:val="en-US" w:eastAsia="zh-CN" w:bidi="ar-SA"/>
              </w:rPr>
            </w:pPr>
          </w:p>
        </w:tc>
        <w:tc>
          <w:tcPr>
            <w:tcW w:w="1550" w:type="dxa"/>
            <w:noWrap w:val="0"/>
            <w:vAlign w:val="top"/>
          </w:tcPr>
          <w:p w14:paraId="0683B18F">
            <w:pPr>
              <w:rPr>
                <w:rFonts w:hint="eastAsia" w:ascii="仿宋" w:hAnsi="仿宋" w:eastAsia="仿宋" w:cs="仿宋"/>
                <w:b w:val="0"/>
                <w:bCs/>
                <w:color w:val="auto"/>
                <w:kern w:val="2"/>
                <w:sz w:val="24"/>
                <w:szCs w:val="22"/>
                <w:highlight w:val="none"/>
                <w:lang w:val="en-US" w:eastAsia="zh-CN" w:bidi="ar-SA"/>
              </w:rPr>
            </w:pPr>
          </w:p>
        </w:tc>
        <w:tc>
          <w:tcPr>
            <w:tcW w:w="1566" w:type="dxa"/>
            <w:noWrap w:val="0"/>
            <w:vAlign w:val="top"/>
          </w:tcPr>
          <w:p w14:paraId="0AC232F3">
            <w:pPr>
              <w:rPr>
                <w:rFonts w:hint="eastAsia" w:ascii="仿宋" w:hAnsi="仿宋" w:eastAsia="仿宋" w:cs="仿宋"/>
                <w:b w:val="0"/>
                <w:bCs/>
                <w:color w:val="auto"/>
                <w:kern w:val="2"/>
                <w:sz w:val="24"/>
                <w:szCs w:val="22"/>
                <w:highlight w:val="none"/>
                <w:lang w:val="en-US" w:eastAsia="zh-CN" w:bidi="ar-SA"/>
              </w:rPr>
            </w:pPr>
          </w:p>
        </w:tc>
      </w:tr>
      <w:tr w14:paraId="1C734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1E6ECC89">
            <w:pPr>
              <w:rPr>
                <w:rFonts w:hint="eastAsia" w:ascii="仿宋" w:hAnsi="仿宋" w:eastAsia="仿宋" w:cs="仿宋"/>
                <w:b w:val="0"/>
                <w:bCs/>
                <w:color w:val="auto"/>
                <w:kern w:val="2"/>
                <w:sz w:val="24"/>
                <w:szCs w:val="22"/>
                <w:highlight w:val="none"/>
                <w:lang w:val="en-US" w:eastAsia="zh-CN" w:bidi="ar-SA"/>
              </w:rPr>
            </w:pPr>
          </w:p>
        </w:tc>
        <w:tc>
          <w:tcPr>
            <w:tcW w:w="1563" w:type="dxa"/>
            <w:noWrap w:val="0"/>
            <w:vAlign w:val="top"/>
          </w:tcPr>
          <w:p w14:paraId="477379A2">
            <w:pPr>
              <w:rPr>
                <w:rFonts w:hint="eastAsia" w:ascii="仿宋" w:hAnsi="仿宋" w:eastAsia="仿宋" w:cs="仿宋"/>
                <w:b w:val="0"/>
                <w:bCs/>
                <w:color w:val="auto"/>
                <w:kern w:val="2"/>
                <w:sz w:val="24"/>
                <w:szCs w:val="22"/>
                <w:highlight w:val="none"/>
                <w:lang w:val="en-US" w:eastAsia="zh-CN" w:bidi="ar-SA"/>
              </w:rPr>
            </w:pPr>
          </w:p>
        </w:tc>
        <w:tc>
          <w:tcPr>
            <w:tcW w:w="1183" w:type="dxa"/>
            <w:noWrap w:val="0"/>
            <w:vAlign w:val="top"/>
          </w:tcPr>
          <w:p w14:paraId="353B3C23">
            <w:pPr>
              <w:rPr>
                <w:rFonts w:hint="eastAsia" w:ascii="仿宋" w:hAnsi="仿宋" w:eastAsia="仿宋" w:cs="仿宋"/>
                <w:b w:val="0"/>
                <w:bCs/>
                <w:color w:val="auto"/>
                <w:kern w:val="2"/>
                <w:sz w:val="24"/>
                <w:szCs w:val="22"/>
                <w:highlight w:val="none"/>
                <w:lang w:val="en-US" w:eastAsia="zh-CN" w:bidi="ar-SA"/>
              </w:rPr>
            </w:pPr>
          </w:p>
        </w:tc>
        <w:tc>
          <w:tcPr>
            <w:tcW w:w="1350" w:type="dxa"/>
            <w:noWrap w:val="0"/>
            <w:vAlign w:val="top"/>
          </w:tcPr>
          <w:p w14:paraId="15EC6D12">
            <w:pPr>
              <w:rPr>
                <w:rFonts w:hint="eastAsia" w:ascii="仿宋" w:hAnsi="仿宋" w:eastAsia="仿宋" w:cs="仿宋"/>
                <w:b w:val="0"/>
                <w:bCs/>
                <w:color w:val="auto"/>
                <w:kern w:val="2"/>
                <w:sz w:val="24"/>
                <w:szCs w:val="22"/>
                <w:highlight w:val="none"/>
                <w:lang w:val="en-US" w:eastAsia="zh-CN" w:bidi="ar-SA"/>
              </w:rPr>
            </w:pPr>
          </w:p>
        </w:tc>
        <w:tc>
          <w:tcPr>
            <w:tcW w:w="1767" w:type="dxa"/>
            <w:noWrap w:val="0"/>
            <w:vAlign w:val="top"/>
          </w:tcPr>
          <w:p w14:paraId="0A476127">
            <w:pPr>
              <w:rPr>
                <w:rFonts w:hint="eastAsia" w:ascii="仿宋" w:hAnsi="仿宋" w:eastAsia="仿宋" w:cs="仿宋"/>
                <w:b w:val="0"/>
                <w:bCs/>
                <w:color w:val="auto"/>
                <w:kern w:val="2"/>
                <w:sz w:val="24"/>
                <w:szCs w:val="22"/>
                <w:highlight w:val="none"/>
                <w:lang w:val="en-US" w:eastAsia="zh-CN" w:bidi="ar-SA"/>
              </w:rPr>
            </w:pPr>
          </w:p>
        </w:tc>
        <w:tc>
          <w:tcPr>
            <w:tcW w:w="1550" w:type="dxa"/>
            <w:noWrap w:val="0"/>
            <w:vAlign w:val="top"/>
          </w:tcPr>
          <w:p w14:paraId="26A1F1F6">
            <w:pPr>
              <w:rPr>
                <w:rFonts w:hint="eastAsia" w:ascii="仿宋" w:hAnsi="仿宋" w:eastAsia="仿宋" w:cs="仿宋"/>
                <w:b w:val="0"/>
                <w:bCs/>
                <w:color w:val="auto"/>
                <w:kern w:val="2"/>
                <w:sz w:val="24"/>
                <w:szCs w:val="22"/>
                <w:highlight w:val="none"/>
                <w:lang w:val="en-US" w:eastAsia="zh-CN" w:bidi="ar-SA"/>
              </w:rPr>
            </w:pPr>
          </w:p>
        </w:tc>
        <w:tc>
          <w:tcPr>
            <w:tcW w:w="1566" w:type="dxa"/>
            <w:noWrap w:val="0"/>
            <w:vAlign w:val="top"/>
          </w:tcPr>
          <w:p w14:paraId="74A77647">
            <w:pPr>
              <w:rPr>
                <w:rFonts w:hint="eastAsia" w:ascii="仿宋" w:hAnsi="仿宋" w:eastAsia="仿宋" w:cs="仿宋"/>
                <w:b w:val="0"/>
                <w:bCs/>
                <w:color w:val="auto"/>
                <w:kern w:val="2"/>
                <w:sz w:val="24"/>
                <w:szCs w:val="22"/>
                <w:highlight w:val="none"/>
                <w:lang w:val="en-US" w:eastAsia="zh-CN" w:bidi="ar-SA"/>
              </w:rPr>
            </w:pPr>
          </w:p>
        </w:tc>
      </w:tr>
      <w:tr w14:paraId="4EEE3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1DE1C6F6">
            <w:pPr>
              <w:rPr>
                <w:rFonts w:hint="eastAsia" w:ascii="仿宋" w:hAnsi="仿宋" w:eastAsia="仿宋" w:cs="仿宋"/>
                <w:b w:val="0"/>
                <w:bCs/>
                <w:color w:val="auto"/>
                <w:kern w:val="2"/>
                <w:sz w:val="24"/>
                <w:szCs w:val="22"/>
                <w:highlight w:val="none"/>
                <w:lang w:val="en-US" w:eastAsia="zh-CN" w:bidi="ar-SA"/>
              </w:rPr>
            </w:pPr>
          </w:p>
        </w:tc>
        <w:tc>
          <w:tcPr>
            <w:tcW w:w="1563" w:type="dxa"/>
            <w:noWrap w:val="0"/>
            <w:vAlign w:val="top"/>
          </w:tcPr>
          <w:p w14:paraId="7BC1D9EB">
            <w:pPr>
              <w:rPr>
                <w:rFonts w:hint="eastAsia" w:ascii="仿宋" w:hAnsi="仿宋" w:eastAsia="仿宋" w:cs="仿宋"/>
                <w:b w:val="0"/>
                <w:bCs/>
                <w:color w:val="auto"/>
                <w:kern w:val="2"/>
                <w:sz w:val="24"/>
                <w:szCs w:val="22"/>
                <w:highlight w:val="none"/>
                <w:lang w:val="en-US" w:eastAsia="zh-CN" w:bidi="ar-SA"/>
              </w:rPr>
            </w:pPr>
          </w:p>
        </w:tc>
        <w:tc>
          <w:tcPr>
            <w:tcW w:w="1183" w:type="dxa"/>
            <w:noWrap w:val="0"/>
            <w:vAlign w:val="top"/>
          </w:tcPr>
          <w:p w14:paraId="62C279BA">
            <w:pPr>
              <w:rPr>
                <w:rFonts w:hint="eastAsia" w:ascii="仿宋" w:hAnsi="仿宋" w:eastAsia="仿宋" w:cs="仿宋"/>
                <w:b w:val="0"/>
                <w:bCs/>
                <w:color w:val="auto"/>
                <w:kern w:val="2"/>
                <w:sz w:val="24"/>
                <w:szCs w:val="22"/>
                <w:highlight w:val="none"/>
                <w:lang w:val="en-US" w:eastAsia="zh-CN" w:bidi="ar-SA"/>
              </w:rPr>
            </w:pPr>
          </w:p>
        </w:tc>
        <w:tc>
          <w:tcPr>
            <w:tcW w:w="1350" w:type="dxa"/>
            <w:noWrap w:val="0"/>
            <w:vAlign w:val="top"/>
          </w:tcPr>
          <w:p w14:paraId="19F96D78">
            <w:pPr>
              <w:rPr>
                <w:rFonts w:hint="eastAsia" w:ascii="仿宋" w:hAnsi="仿宋" w:eastAsia="仿宋" w:cs="仿宋"/>
                <w:b w:val="0"/>
                <w:bCs/>
                <w:color w:val="auto"/>
                <w:kern w:val="2"/>
                <w:sz w:val="24"/>
                <w:szCs w:val="22"/>
                <w:highlight w:val="none"/>
                <w:lang w:val="en-US" w:eastAsia="zh-CN" w:bidi="ar-SA"/>
              </w:rPr>
            </w:pPr>
          </w:p>
        </w:tc>
        <w:tc>
          <w:tcPr>
            <w:tcW w:w="1767" w:type="dxa"/>
            <w:noWrap w:val="0"/>
            <w:vAlign w:val="top"/>
          </w:tcPr>
          <w:p w14:paraId="46851E5A">
            <w:pPr>
              <w:rPr>
                <w:rFonts w:hint="eastAsia" w:ascii="仿宋" w:hAnsi="仿宋" w:eastAsia="仿宋" w:cs="仿宋"/>
                <w:b w:val="0"/>
                <w:bCs/>
                <w:color w:val="auto"/>
                <w:kern w:val="2"/>
                <w:sz w:val="24"/>
                <w:szCs w:val="22"/>
                <w:highlight w:val="none"/>
                <w:lang w:val="en-US" w:eastAsia="zh-CN" w:bidi="ar-SA"/>
              </w:rPr>
            </w:pPr>
          </w:p>
        </w:tc>
        <w:tc>
          <w:tcPr>
            <w:tcW w:w="1550" w:type="dxa"/>
            <w:noWrap w:val="0"/>
            <w:vAlign w:val="top"/>
          </w:tcPr>
          <w:p w14:paraId="1C479DAD">
            <w:pPr>
              <w:rPr>
                <w:rFonts w:hint="eastAsia" w:ascii="仿宋" w:hAnsi="仿宋" w:eastAsia="仿宋" w:cs="仿宋"/>
                <w:b w:val="0"/>
                <w:bCs/>
                <w:color w:val="auto"/>
                <w:kern w:val="2"/>
                <w:sz w:val="24"/>
                <w:szCs w:val="22"/>
                <w:highlight w:val="none"/>
                <w:lang w:val="en-US" w:eastAsia="zh-CN" w:bidi="ar-SA"/>
              </w:rPr>
            </w:pPr>
          </w:p>
        </w:tc>
        <w:tc>
          <w:tcPr>
            <w:tcW w:w="1566" w:type="dxa"/>
            <w:noWrap w:val="0"/>
            <w:vAlign w:val="top"/>
          </w:tcPr>
          <w:p w14:paraId="53BB2EF1">
            <w:pPr>
              <w:rPr>
                <w:rFonts w:hint="eastAsia" w:ascii="仿宋" w:hAnsi="仿宋" w:eastAsia="仿宋" w:cs="仿宋"/>
                <w:b w:val="0"/>
                <w:bCs/>
                <w:color w:val="auto"/>
                <w:kern w:val="2"/>
                <w:sz w:val="24"/>
                <w:szCs w:val="22"/>
                <w:highlight w:val="none"/>
                <w:lang w:val="en-US" w:eastAsia="zh-CN" w:bidi="ar-SA"/>
              </w:rPr>
            </w:pPr>
          </w:p>
        </w:tc>
      </w:tr>
      <w:tr w14:paraId="08600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56F3CC0F">
            <w:pPr>
              <w:rPr>
                <w:rFonts w:hint="eastAsia" w:ascii="仿宋" w:hAnsi="仿宋" w:eastAsia="仿宋" w:cs="仿宋"/>
                <w:b w:val="0"/>
                <w:bCs/>
                <w:color w:val="auto"/>
                <w:kern w:val="2"/>
                <w:sz w:val="24"/>
                <w:szCs w:val="22"/>
                <w:highlight w:val="none"/>
                <w:lang w:val="en-US" w:eastAsia="zh-CN" w:bidi="ar-SA"/>
              </w:rPr>
            </w:pPr>
          </w:p>
        </w:tc>
        <w:tc>
          <w:tcPr>
            <w:tcW w:w="1563" w:type="dxa"/>
            <w:noWrap w:val="0"/>
            <w:vAlign w:val="top"/>
          </w:tcPr>
          <w:p w14:paraId="11BDE730">
            <w:pPr>
              <w:rPr>
                <w:rFonts w:hint="eastAsia" w:ascii="仿宋" w:hAnsi="仿宋" w:eastAsia="仿宋" w:cs="仿宋"/>
                <w:b w:val="0"/>
                <w:bCs/>
                <w:color w:val="auto"/>
                <w:kern w:val="2"/>
                <w:sz w:val="24"/>
                <w:szCs w:val="22"/>
                <w:highlight w:val="none"/>
                <w:lang w:val="en-US" w:eastAsia="zh-CN" w:bidi="ar-SA"/>
              </w:rPr>
            </w:pPr>
          </w:p>
        </w:tc>
        <w:tc>
          <w:tcPr>
            <w:tcW w:w="1183" w:type="dxa"/>
            <w:noWrap w:val="0"/>
            <w:vAlign w:val="top"/>
          </w:tcPr>
          <w:p w14:paraId="5EF387A7">
            <w:pPr>
              <w:rPr>
                <w:rFonts w:hint="eastAsia" w:ascii="仿宋" w:hAnsi="仿宋" w:eastAsia="仿宋" w:cs="仿宋"/>
                <w:b w:val="0"/>
                <w:bCs/>
                <w:color w:val="auto"/>
                <w:kern w:val="2"/>
                <w:sz w:val="24"/>
                <w:szCs w:val="22"/>
                <w:highlight w:val="none"/>
                <w:lang w:val="en-US" w:eastAsia="zh-CN" w:bidi="ar-SA"/>
              </w:rPr>
            </w:pPr>
          </w:p>
        </w:tc>
        <w:tc>
          <w:tcPr>
            <w:tcW w:w="1350" w:type="dxa"/>
            <w:noWrap w:val="0"/>
            <w:vAlign w:val="top"/>
          </w:tcPr>
          <w:p w14:paraId="61C0760D">
            <w:pPr>
              <w:rPr>
                <w:rFonts w:hint="eastAsia" w:ascii="仿宋" w:hAnsi="仿宋" w:eastAsia="仿宋" w:cs="仿宋"/>
                <w:b w:val="0"/>
                <w:bCs/>
                <w:color w:val="auto"/>
                <w:kern w:val="2"/>
                <w:sz w:val="24"/>
                <w:szCs w:val="22"/>
                <w:highlight w:val="none"/>
                <w:lang w:val="en-US" w:eastAsia="zh-CN" w:bidi="ar-SA"/>
              </w:rPr>
            </w:pPr>
          </w:p>
        </w:tc>
        <w:tc>
          <w:tcPr>
            <w:tcW w:w="1767" w:type="dxa"/>
            <w:noWrap w:val="0"/>
            <w:vAlign w:val="top"/>
          </w:tcPr>
          <w:p w14:paraId="3251F298">
            <w:pPr>
              <w:rPr>
                <w:rFonts w:hint="eastAsia" w:ascii="仿宋" w:hAnsi="仿宋" w:eastAsia="仿宋" w:cs="仿宋"/>
                <w:b w:val="0"/>
                <w:bCs/>
                <w:color w:val="auto"/>
                <w:kern w:val="2"/>
                <w:sz w:val="24"/>
                <w:szCs w:val="22"/>
                <w:highlight w:val="none"/>
                <w:lang w:val="en-US" w:eastAsia="zh-CN" w:bidi="ar-SA"/>
              </w:rPr>
            </w:pPr>
          </w:p>
        </w:tc>
        <w:tc>
          <w:tcPr>
            <w:tcW w:w="1550" w:type="dxa"/>
            <w:noWrap w:val="0"/>
            <w:vAlign w:val="top"/>
          </w:tcPr>
          <w:p w14:paraId="320C2CDB">
            <w:pPr>
              <w:rPr>
                <w:rFonts w:hint="eastAsia" w:ascii="仿宋" w:hAnsi="仿宋" w:eastAsia="仿宋" w:cs="仿宋"/>
                <w:b w:val="0"/>
                <w:bCs/>
                <w:color w:val="auto"/>
                <w:kern w:val="2"/>
                <w:sz w:val="24"/>
                <w:szCs w:val="22"/>
                <w:highlight w:val="none"/>
                <w:lang w:val="en-US" w:eastAsia="zh-CN" w:bidi="ar-SA"/>
              </w:rPr>
            </w:pPr>
          </w:p>
        </w:tc>
        <w:tc>
          <w:tcPr>
            <w:tcW w:w="1566" w:type="dxa"/>
            <w:noWrap w:val="0"/>
            <w:vAlign w:val="top"/>
          </w:tcPr>
          <w:p w14:paraId="716D5236">
            <w:pPr>
              <w:rPr>
                <w:rFonts w:hint="eastAsia" w:ascii="仿宋" w:hAnsi="仿宋" w:eastAsia="仿宋" w:cs="仿宋"/>
                <w:b w:val="0"/>
                <w:bCs/>
                <w:color w:val="auto"/>
                <w:kern w:val="2"/>
                <w:sz w:val="24"/>
                <w:szCs w:val="22"/>
                <w:highlight w:val="none"/>
                <w:lang w:val="en-US" w:eastAsia="zh-CN" w:bidi="ar-SA"/>
              </w:rPr>
            </w:pPr>
          </w:p>
        </w:tc>
      </w:tr>
      <w:tr w14:paraId="1B49C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588F2669">
            <w:pPr>
              <w:rPr>
                <w:rFonts w:hint="eastAsia" w:ascii="仿宋" w:hAnsi="仿宋" w:eastAsia="仿宋" w:cs="仿宋"/>
                <w:b w:val="0"/>
                <w:bCs/>
                <w:color w:val="auto"/>
                <w:kern w:val="2"/>
                <w:sz w:val="24"/>
                <w:szCs w:val="22"/>
                <w:highlight w:val="none"/>
                <w:lang w:val="en-US" w:eastAsia="zh-CN" w:bidi="ar-SA"/>
              </w:rPr>
            </w:pPr>
          </w:p>
        </w:tc>
        <w:tc>
          <w:tcPr>
            <w:tcW w:w="1563" w:type="dxa"/>
            <w:noWrap w:val="0"/>
            <w:vAlign w:val="top"/>
          </w:tcPr>
          <w:p w14:paraId="52A5B0A0">
            <w:pPr>
              <w:rPr>
                <w:rFonts w:hint="eastAsia" w:ascii="仿宋" w:hAnsi="仿宋" w:eastAsia="仿宋" w:cs="仿宋"/>
                <w:b w:val="0"/>
                <w:bCs/>
                <w:color w:val="auto"/>
                <w:kern w:val="2"/>
                <w:sz w:val="24"/>
                <w:szCs w:val="22"/>
                <w:highlight w:val="none"/>
                <w:lang w:val="en-US" w:eastAsia="zh-CN" w:bidi="ar-SA"/>
              </w:rPr>
            </w:pPr>
          </w:p>
        </w:tc>
        <w:tc>
          <w:tcPr>
            <w:tcW w:w="1183" w:type="dxa"/>
            <w:noWrap w:val="0"/>
            <w:vAlign w:val="top"/>
          </w:tcPr>
          <w:p w14:paraId="62B0BE0B">
            <w:pPr>
              <w:rPr>
                <w:rFonts w:hint="eastAsia" w:ascii="仿宋" w:hAnsi="仿宋" w:eastAsia="仿宋" w:cs="仿宋"/>
                <w:b w:val="0"/>
                <w:bCs/>
                <w:color w:val="auto"/>
                <w:kern w:val="2"/>
                <w:sz w:val="24"/>
                <w:szCs w:val="22"/>
                <w:highlight w:val="none"/>
                <w:lang w:val="en-US" w:eastAsia="zh-CN" w:bidi="ar-SA"/>
              </w:rPr>
            </w:pPr>
          </w:p>
        </w:tc>
        <w:tc>
          <w:tcPr>
            <w:tcW w:w="1350" w:type="dxa"/>
            <w:noWrap w:val="0"/>
            <w:vAlign w:val="top"/>
          </w:tcPr>
          <w:p w14:paraId="5B7086AD">
            <w:pPr>
              <w:rPr>
                <w:rFonts w:hint="eastAsia" w:ascii="仿宋" w:hAnsi="仿宋" w:eastAsia="仿宋" w:cs="仿宋"/>
                <w:b w:val="0"/>
                <w:bCs/>
                <w:color w:val="auto"/>
                <w:kern w:val="2"/>
                <w:sz w:val="24"/>
                <w:szCs w:val="22"/>
                <w:highlight w:val="none"/>
                <w:lang w:val="en-US" w:eastAsia="zh-CN" w:bidi="ar-SA"/>
              </w:rPr>
            </w:pPr>
          </w:p>
        </w:tc>
        <w:tc>
          <w:tcPr>
            <w:tcW w:w="1767" w:type="dxa"/>
            <w:noWrap w:val="0"/>
            <w:vAlign w:val="top"/>
          </w:tcPr>
          <w:p w14:paraId="6D1A51B9">
            <w:pPr>
              <w:rPr>
                <w:rFonts w:hint="eastAsia" w:ascii="仿宋" w:hAnsi="仿宋" w:eastAsia="仿宋" w:cs="仿宋"/>
                <w:b w:val="0"/>
                <w:bCs/>
                <w:color w:val="auto"/>
                <w:kern w:val="2"/>
                <w:sz w:val="24"/>
                <w:szCs w:val="22"/>
                <w:highlight w:val="none"/>
                <w:lang w:val="en-US" w:eastAsia="zh-CN" w:bidi="ar-SA"/>
              </w:rPr>
            </w:pPr>
          </w:p>
        </w:tc>
        <w:tc>
          <w:tcPr>
            <w:tcW w:w="1550" w:type="dxa"/>
            <w:noWrap w:val="0"/>
            <w:vAlign w:val="top"/>
          </w:tcPr>
          <w:p w14:paraId="5B0C446A">
            <w:pPr>
              <w:rPr>
                <w:rFonts w:hint="eastAsia" w:ascii="仿宋" w:hAnsi="仿宋" w:eastAsia="仿宋" w:cs="仿宋"/>
                <w:b w:val="0"/>
                <w:bCs/>
                <w:color w:val="auto"/>
                <w:kern w:val="2"/>
                <w:sz w:val="24"/>
                <w:szCs w:val="22"/>
                <w:highlight w:val="none"/>
                <w:lang w:val="en-US" w:eastAsia="zh-CN" w:bidi="ar-SA"/>
              </w:rPr>
            </w:pPr>
          </w:p>
        </w:tc>
        <w:tc>
          <w:tcPr>
            <w:tcW w:w="1566" w:type="dxa"/>
            <w:noWrap w:val="0"/>
            <w:vAlign w:val="top"/>
          </w:tcPr>
          <w:p w14:paraId="17ED8123">
            <w:pPr>
              <w:rPr>
                <w:rFonts w:hint="eastAsia" w:ascii="仿宋" w:hAnsi="仿宋" w:eastAsia="仿宋" w:cs="仿宋"/>
                <w:b w:val="0"/>
                <w:bCs/>
                <w:color w:val="auto"/>
                <w:kern w:val="2"/>
                <w:sz w:val="24"/>
                <w:szCs w:val="22"/>
                <w:highlight w:val="none"/>
                <w:lang w:val="en-US" w:eastAsia="zh-CN" w:bidi="ar-SA"/>
              </w:rPr>
            </w:pPr>
          </w:p>
        </w:tc>
      </w:tr>
      <w:tr w14:paraId="12AE7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007735BB">
            <w:pPr>
              <w:rPr>
                <w:rFonts w:hint="eastAsia" w:ascii="仿宋" w:hAnsi="仿宋" w:eastAsia="仿宋" w:cs="仿宋"/>
                <w:b w:val="0"/>
                <w:bCs/>
                <w:color w:val="auto"/>
                <w:kern w:val="2"/>
                <w:sz w:val="24"/>
                <w:szCs w:val="22"/>
                <w:highlight w:val="none"/>
                <w:lang w:val="en-US" w:eastAsia="zh-CN" w:bidi="ar-SA"/>
              </w:rPr>
            </w:pPr>
          </w:p>
        </w:tc>
        <w:tc>
          <w:tcPr>
            <w:tcW w:w="1563" w:type="dxa"/>
            <w:noWrap w:val="0"/>
            <w:vAlign w:val="top"/>
          </w:tcPr>
          <w:p w14:paraId="7439D3FA">
            <w:pPr>
              <w:rPr>
                <w:rFonts w:hint="eastAsia" w:ascii="仿宋" w:hAnsi="仿宋" w:eastAsia="仿宋" w:cs="仿宋"/>
                <w:b w:val="0"/>
                <w:bCs/>
                <w:color w:val="auto"/>
                <w:kern w:val="2"/>
                <w:sz w:val="24"/>
                <w:szCs w:val="22"/>
                <w:highlight w:val="none"/>
                <w:lang w:val="en-US" w:eastAsia="zh-CN" w:bidi="ar-SA"/>
              </w:rPr>
            </w:pPr>
          </w:p>
        </w:tc>
        <w:tc>
          <w:tcPr>
            <w:tcW w:w="1183" w:type="dxa"/>
            <w:noWrap w:val="0"/>
            <w:vAlign w:val="top"/>
          </w:tcPr>
          <w:p w14:paraId="40F593CF">
            <w:pPr>
              <w:rPr>
                <w:rFonts w:hint="eastAsia" w:ascii="仿宋" w:hAnsi="仿宋" w:eastAsia="仿宋" w:cs="仿宋"/>
                <w:b w:val="0"/>
                <w:bCs/>
                <w:color w:val="auto"/>
                <w:kern w:val="2"/>
                <w:sz w:val="24"/>
                <w:szCs w:val="22"/>
                <w:highlight w:val="none"/>
                <w:lang w:val="en-US" w:eastAsia="zh-CN" w:bidi="ar-SA"/>
              </w:rPr>
            </w:pPr>
          </w:p>
        </w:tc>
        <w:tc>
          <w:tcPr>
            <w:tcW w:w="1350" w:type="dxa"/>
            <w:noWrap w:val="0"/>
            <w:vAlign w:val="top"/>
          </w:tcPr>
          <w:p w14:paraId="6ED6D640">
            <w:pPr>
              <w:rPr>
                <w:rFonts w:hint="eastAsia" w:ascii="仿宋" w:hAnsi="仿宋" w:eastAsia="仿宋" w:cs="仿宋"/>
                <w:b w:val="0"/>
                <w:bCs/>
                <w:color w:val="auto"/>
                <w:kern w:val="2"/>
                <w:sz w:val="24"/>
                <w:szCs w:val="22"/>
                <w:highlight w:val="none"/>
                <w:lang w:val="en-US" w:eastAsia="zh-CN" w:bidi="ar-SA"/>
              </w:rPr>
            </w:pPr>
          </w:p>
        </w:tc>
        <w:tc>
          <w:tcPr>
            <w:tcW w:w="1767" w:type="dxa"/>
            <w:noWrap w:val="0"/>
            <w:vAlign w:val="top"/>
          </w:tcPr>
          <w:p w14:paraId="400BFE4F">
            <w:pPr>
              <w:rPr>
                <w:rFonts w:hint="eastAsia" w:ascii="仿宋" w:hAnsi="仿宋" w:eastAsia="仿宋" w:cs="仿宋"/>
                <w:b w:val="0"/>
                <w:bCs/>
                <w:color w:val="auto"/>
                <w:kern w:val="2"/>
                <w:sz w:val="24"/>
                <w:szCs w:val="22"/>
                <w:highlight w:val="none"/>
                <w:lang w:val="en-US" w:eastAsia="zh-CN" w:bidi="ar-SA"/>
              </w:rPr>
            </w:pPr>
          </w:p>
        </w:tc>
        <w:tc>
          <w:tcPr>
            <w:tcW w:w="1550" w:type="dxa"/>
            <w:noWrap w:val="0"/>
            <w:vAlign w:val="top"/>
          </w:tcPr>
          <w:p w14:paraId="2F164D9A">
            <w:pPr>
              <w:rPr>
                <w:rFonts w:hint="eastAsia" w:ascii="仿宋" w:hAnsi="仿宋" w:eastAsia="仿宋" w:cs="仿宋"/>
                <w:b w:val="0"/>
                <w:bCs/>
                <w:color w:val="auto"/>
                <w:kern w:val="2"/>
                <w:sz w:val="24"/>
                <w:szCs w:val="22"/>
                <w:highlight w:val="none"/>
                <w:lang w:val="en-US" w:eastAsia="zh-CN" w:bidi="ar-SA"/>
              </w:rPr>
            </w:pPr>
          </w:p>
        </w:tc>
        <w:tc>
          <w:tcPr>
            <w:tcW w:w="1566" w:type="dxa"/>
            <w:noWrap w:val="0"/>
            <w:vAlign w:val="top"/>
          </w:tcPr>
          <w:p w14:paraId="3F324A07">
            <w:pPr>
              <w:rPr>
                <w:rFonts w:hint="eastAsia" w:ascii="仿宋" w:hAnsi="仿宋" w:eastAsia="仿宋" w:cs="仿宋"/>
                <w:b w:val="0"/>
                <w:bCs/>
                <w:color w:val="auto"/>
                <w:kern w:val="2"/>
                <w:sz w:val="24"/>
                <w:szCs w:val="22"/>
                <w:highlight w:val="none"/>
                <w:lang w:val="en-US" w:eastAsia="zh-CN" w:bidi="ar-SA"/>
              </w:rPr>
            </w:pPr>
          </w:p>
        </w:tc>
      </w:tr>
      <w:tr w14:paraId="5C5ED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41E76115">
            <w:pPr>
              <w:rPr>
                <w:rFonts w:hint="eastAsia" w:ascii="仿宋" w:hAnsi="仿宋" w:eastAsia="仿宋" w:cs="仿宋"/>
                <w:b w:val="0"/>
                <w:bCs/>
                <w:color w:val="auto"/>
                <w:kern w:val="2"/>
                <w:sz w:val="24"/>
                <w:szCs w:val="22"/>
                <w:highlight w:val="none"/>
                <w:lang w:val="en-US" w:eastAsia="zh-CN" w:bidi="ar-SA"/>
              </w:rPr>
            </w:pPr>
          </w:p>
        </w:tc>
        <w:tc>
          <w:tcPr>
            <w:tcW w:w="1563" w:type="dxa"/>
            <w:noWrap w:val="0"/>
            <w:vAlign w:val="top"/>
          </w:tcPr>
          <w:p w14:paraId="0FAB9CA0">
            <w:pPr>
              <w:rPr>
                <w:rFonts w:hint="eastAsia" w:ascii="仿宋" w:hAnsi="仿宋" w:eastAsia="仿宋" w:cs="仿宋"/>
                <w:b w:val="0"/>
                <w:bCs/>
                <w:color w:val="auto"/>
                <w:kern w:val="2"/>
                <w:sz w:val="24"/>
                <w:szCs w:val="22"/>
                <w:highlight w:val="none"/>
                <w:lang w:val="en-US" w:eastAsia="zh-CN" w:bidi="ar-SA"/>
              </w:rPr>
            </w:pPr>
          </w:p>
        </w:tc>
        <w:tc>
          <w:tcPr>
            <w:tcW w:w="1183" w:type="dxa"/>
            <w:noWrap w:val="0"/>
            <w:vAlign w:val="top"/>
          </w:tcPr>
          <w:p w14:paraId="757FF662">
            <w:pPr>
              <w:rPr>
                <w:rFonts w:hint="eastAsia" w:ascii="仿宋" w:hAnsi="仿宋" w:eastAsia="仿宋" w:cs="仿宋"/>
                <w:b w:val="0"/>
                <w:bCs/>
                <w:color w:val="auto"/>
                <w:kern w:val="2"/>
                <w:sz w:val="24"/>
                <w:szCs w:val="22"/>
                <w:highlight w:val="none"/>
                <w:lang w:val="en-US" w:eastAsia="zh-CN" w:bidi="ar-SA"/>
              </w:rPr>
            </w:pPr>
          </w:p>
        </w:tc>
        <w:tc>
          <w:tcPr>
            <w:tcW w:w="1350" w:type="dxa"/>
            <w:noWrap w:val="0"/>
            <w:vAlign w:val="top"/>
          </w:tcPr>
          <w:p w14:paraId="4913B35A">
            <w:pPr>
              <w:rPr>
                <w:rFonts w:hint="eastAsia" w:ascii="仿宋" w:hAnsi="仿宋" w:eastAsia="仿宋" w:cs="仿宋"/>
                <w:b w:val="0"/>
                <w:bCs/>
                <w:color w:val="auto"/>
                <w:kern w:val="2"/>
                <w:sz w:val="24"/>
                <w:szCs w:val="22"/>
                <w:highlight w:val="none"/>
                <w:lang w:val="en-US" w:eastAsia="zh-CN" w:bidi="ar-SA"/>
              </w:rPr>
            </w:pPr>
          </w:p>
        </w:tc>
        <w:tc>
          <w:tcPr>
            <w:tcW w:w="1767" w:type="dxa"/>
            <w:noWrap w:val="0"/>
            <w:vAlign w:val="top"/>
          </w:tcPr>
          <w:p w14:paraId="71B5E363">
            <w:pPr>
              <w:rPr>
                <w:rFonts w:hint="eastAsia" w:ascii="仿宋" w:hAnsi="仿宋" w:eastAsia="仿宋" w:cs="仿宋"/>
                <w:b w:val="0"/>
                <w:bCs/>
                <w:color w:val="auto"/>
                <w:kern w:val="2"/>
                <w:sz w:val="24"/>
                <w:szCs w:val="22"/>
                <w:highlight w:val="none"/>
                <w:lang w:val="en-US" w:eastAsia="zh-CN" w:bidi="ar-SA"/>
              </w:rPr>
            </w:pPr>
          </w:p>
        </w:tc>
        <w:tc>
          <w:tcPr>
            <w:tcW w:w="1550" w:type="dxa"/>
            <w:noWrap w:val="0"/>
            <w:vAlign w:val="top"/>
          </w:tcPr>
          <w:p w14:paraId="74EFAC59">
            <w:pPr>
              <w:rPr>
                <w:rFonts w:hint="eastAsia" w:ascii="仿宋" w:hAnsi="仿宋" w:eastAsia="仿宋" w:cs="仿宋"/>
                <w:b w:val="0"/>
                <w:bCs/>
                <w:color w:val="auto"/>
                <w:kern w:val="2"/>
                <w:sz w:val="24"/>
                <w:szCs w:val="22"/>
                <w:highlight w:val="none"/>
                <w:lang w:val="en-US" w:eastAsia="zh-CN" w:bidi="ar-SA"/>
              </w:rPr>
            </w:pPr>
          </w:p>
        </w:tc>
        <w:tc>
          <w:tcPr>
            <w:tcW w:w="1566" w:type="dxa"/>
            <w:noWrap w:val="0"/>
            <w:vAlign w:val="top"/>
          </w:tcPr>
          <w:p w14:paraId="2671E326">
            <w:pPr>
              <w:rPr>
                <w:rFonts w:hint="eastAsia" w:ascii="仿宋" w:hAnsi="仿宋" w:eastAsia="仿宋" w:cs="仿宋"/>
                <w:b w:val="0"/>
                <w:bCs/>
                <w:color w:val="auto"/>
                <w:kern w:val="2"/>
                <w:sz w:val="24"/>
                <w:szCs w:val="22"/>
                <w:highlight w:val="none"/>
                <w:lang w:val="en-US" w:eastAsia="zh-CN" w:bidi="ar-SA"/>
              </w:rPr>
            </w:pPr>
          </w:p>
        </w:tc>
      </w:tr>
      <w:tr w14:paraId="3C1CE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3EFF810D">
            <w:pPr>
              <w:rPr>
                <w:rFonts w:hint="eastAsia" w:ascii="仿宋" w:hAnsi="仿宋" w:eastAsia="仿宋" w:cs="仿宋"/>
                <w:b w:val="0"/>
                <w:bCs/>
                <w:color w:val="auto"/>
                <w:kern w:val="2"/>
                <w:sz w:val="24"/>
                <w:szCs w:val="22"/>
                <w:highlight w:val="none"/>
                <w:lang w:val="en-US" w:eastAsia="zh-CN" w:bidi="ar-SA"/>
              </w:rPr>
            </w:pPr>
          </w:p>
        </w:tc>
        <w:tc>
          <w:tcPr>
            <w:tcW w:w="1563" w:type="dxa"/>
            <w:noWrap w:val="0"/>
            <w:vAlign w:val="top"/>
          </w:tcPr>
          <w:p w14:paraId="70B9A6BA">
            <w:pPr>
              <w:rPr>
                <w:rFonts w:hint="eastAsia" w:ascii="仿宋" w:hAnsi="仿宋" w:eastAsia="仿宋" w:cs="仿宋"/>
                <w:b w:val="0"/>
                <w:bCs/>
                <w:color w:val="auto"/>
                <w:kern w:val="2"/>
                <w:sz w:val="24"/>
                <w:szCs w:val="22"/>
                <w:highlight w:val="none"/>
                <w:lang w:val="en-US" w:eastAsia="zh-CN" w:bidi="ar-SA"/>
              </w:rPr>
            </w:pPr>
          </w:p>
        </w:tc>
        <w:tc>
          <w:tcPr>
            <w:tcW w:w="1183" w:type="dxa"/>
            <w:noWrap w:val="0"/>
            <w:vAlign w:val="top"/>
          </w:tcPr>
          <w:p w14:paraId="7EA0640D">
            <w:pPr>
              <w:rPr>
                <w:rFonts w:hint="eastAsia" w:ascii="仿宋" w:hAnsi="仿宋" w:eastAsia="仿宋" w:cs="仿宋"/>
                <w:b w:val="0"/>
                <w:bCs/>
                <w:color w:val="auto"/>
                <w:kern w:val="2"/>
                <w:sz w:val="24"/>
                <w:szCs w:val="22"/>
                <w:highlight w:val="none"/>
                <w:lang w:val="en-US" w:eastAsia="zh-CN" w:bidi="ar-SA"/>
              </w:rPr>
            </w:pPr>
          </w:p>
        </w:tc>
        <w:tc>
          <w:tcPr>
            <w:tcW w:w="1350" w:type="dxa"/>
            <w:noWrap w:val="0"/>
            <w:vAlign w:val="top"/>
          </w:tcPr>
          <w:p w14:paraId="409F40FA">
            <w:pPr>
              <w:rPr>
                <w:rFonts w:hint="eastAsia" w:ascii="仿宋" w:hAnsi="仿宋" w:eastAsia="仿宋" w:cs="仿宋"/>
                <w:b w:val="0"/>
                <w:bCs/>
                <w:color w:val="auto"/>
                <w:kern w:val="2"/>
                <w:sz w:val="24"/>
                <w:szCs w:val="22"/>
                <w:highlight w:val="none"/>
                <w:lang w:val="en-US" w:eastAsia="zh-CN" w:bidi="ar-SA"/>
              </w:rPr>
            </w:pPr>
          </w:p>
        </w:tc>
        <w:tc>
          <w:tcPr>
            <w:tcW w:w="1767" w:type="dxa"/>
            <w:noWrap w:val="0"/>
            <w:vAlign w:val="top"/>
          </w:tcPr>
          <w:p w14:paraId="03E15950">
            <w:pPr>
              <w:rPr>
                <w:rFonts w:hint="eastAsia" w:ascii="仿宋" w:hAnsi="仿宋" w:eastAsia="仿宋" w:cs="仿宋"/>
                <w:b w:val="0"/>
                <w:bCs/>
                <w:color w:val="auto"/>
                <w:kern w:val="2"/>
                <w:sz w:val="24"/>
                <w:szCs w:val="22"/>
                <w:highlight w:val="none"/>
                <w:lang w:val="en-US" w:eastAsia="zh-CN" w:bidi="ar-SA"/>
              </w:rPr>
            </w:pPr>
          </w:p>
        </w:tc>
        <w:tc>
          <w:tcPr>
            <w:tcW w:w="1550" w:type="dxa"/>
            <w:noWrap w:val="0"/>
            <w:vAlign w:val="top"/>
          </w:tcPr>
          <w:p w14:paraId="59C93267">
            <w:pPr>
              <w:rPr>
                <w:rFonts w:hint="eastAsia" w:ascii="仿宋" w:hAnsi="仿宋" w:eastAsia="仿宋" w:cs="仿宋"/>
                <w:b w:val="0"/>
                <w:bCs/>
                <w:color w:val="auto"/>
                <w:kern w:val="2"/>
                <w:sz w:val="24"/>
                <w:szCs w:val="22"/>
                <w:highlight w:val="none"/>
                <w:lang w:val="en-US" w:eastAsia="zh-CN" w:bidi="ar-SA"/>
              </w:rPr>
            </w:pPr>
          </w:p>
        </w:tc>
        <w:tc>
          <w:tcPr>
            <w:tcW w:w="1566" w:type="dxa"/>
            <w:noWrap w:val="0"/>
            <w:vAlign w:val="top"/>
          </w:tcPr>
          <w:p w14:paraId="69FDB14C">
            <w:pPr>
              <w:rPr>
                <w:rFonts w:hint="eastAsia" w:ascii="仿宋" w:hAnsi="仿宋" w:eastAsia="仿宋" w:cs="仿宋"/>
                <w:b w:val="0"/>
                <w:bCs/>
                <w:color w:val="auto"/>
                <w:kern w:val="2"/>
                <w:sz w:val="24"/>
                <w:szCs w:val="22"/>
                <w:highlight w:val="none"/>
                <w:lang w:val="en-US" w:eastAsia="zh-CN" w:bidi="ar-SA"/>
              </w:rPr>
            </w:pPr>
          </w:p>
        </w:tc>
      </w:tr>
      <w:tr w14:paraId="39CC5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415768AC">
            <w:pPr>
              <w:rPr>
                <w:rFonts w:hint="eastAsia" w:ascii="仿宋" w:hAnsi="仿宋" w:eastAsia="仿宋" w:cs="仿宋"/>
                <w:b w:val="0"/>
                <w:bCs/>
                <w:color w:val="auto"/>
                <w:kern w:val="2"/>
                <w:sz w:val="24"/>
                <w:szCs w:val="22"/>
                <w:highlight w:val="none"/>
                <w:lang w:val="en-US" w:eastAsia="zh-CN" w:bidi="ar-SA"/>
              </w:rPr>
            </w:pPr>
          </w:p>
        </w:tc>
        <w:tc>
          <w:tcPr>
            <w:tcW w:w="1563" w:type="dxa"/>
            <w:noWrap w:val="0"/>
            <w:vAlign w:val="top"/>
          </w:tcPr>
          <w:p w14:paraId="648A5E84">
            <w:pPr>
              <w:rPr>
                <w:rFonts w:hint="eastAsia" w:ascii="仿宋" w:hAnsi="仿宋" w:eastAsia="仿宋" w:cs="仿宋"/>
                <w:b w:val="0"/>
                <w:bCs/>
                <w:color w:val="auto"/>
                <w:kern w:val="2"/>
                <w:sz w:val="24"/>
                <w:szCs w:val="22"/>
                <w:highlight w:val="none"/>
                <w:lang w:val="en-US" w:eastAsia="zh-CN" w:bidi="ar-SA"/>
              </w:rPr>
            </w:pPr>
          </w:p>
        </w:tc>
        <w:tc>
          <w:tcPr>
            <w:tcW w:w="1183" w:type="dxa"/>
            <w:noWrap w:val="0"/>
            <w:vAlign w:val="top"/>
          </w:tcPr>
          <w:p w14:paraId="0A93C99A">
            <w:pPr>
              <w:rPr>
                <w:rFonts w:hint="eastAsia" w:ascii="仿宋" w:hAnsi="仿宋" w:eastAsia="仿宋" w:cs="仿宋"/>
                <w:b w:val="0"/>
                <w:bCs/>
                <w:color w:val="auto"/>
                <w:kern w:val="2"/>
                <w:sz w:val="24"/>
                <w:szCs w:val="22"/>
                <w:highlight w:val="none"/>
                <w:lang w:val="en-US" w:eastAsia="zh-CN" w:bidi="ar-SA"/>
              </w:rPr>
            </w:pPr>
          </w:p>
        </w:tc>
        <w:tc>
          <w:tcPr>
            <w:tcW w:w="1350" w:type="dxa"/>
            <w:noWrap w:val="0"/>
            <w:vAlign w:val="top"/>
          </w:tcPr>
          <w:p w14:paraId="1C5AA2FA">
            <w:pPr>
              <w:rPr>
                <w:rFonts w:hint="eastAsia" w:ascii="仿宋" w:hAnsi="仿宋" w:eastAsia="仿宋" w:cs="仿宋"/>
                <w:b w:val="0"/>
                <w:bCs/>
                <w:color w:val="auto"/>
                <w:kern w:val="2"/>
                <w:sz w:val="24"/>
                <w:szCs w:val="22"/>
                <w:highlight w:val="none"/>
                <w:lang w:val="en-US" w:eastAsia="zh-CN" w:bidi="ar-SA"/>
              </w:rPr>
            </w:pPr>
          </w:p>
        </w:tc>
        <w:tc>
          <w:tcPr>
            <w:tcW w:w="1767" w:type="dxa"/>
            <w:noWrap w:val="0"/>
            <w:vAlign w:val="top"/>
          </w:tcPr>
          <w:p w14:paraId="0AA622CB">
            <w:pPr>
              <w:rPr>
                <w:rFonts w:hint="eastAsia" w:ascii="仿宋" w:hAnsi="仿宋" w:eastAsia="仿宋" w:cs="仿宋"/>
                <w:b w:val="0"/>
                <w:bCs/>
                <w:color w:val="auto"/>
                <w:kern w:val="2"/>
                <w:sz w:val="24"/>
                <w:szCs w:val="22"/>
                <w:highlight w:val="none"/>
                <w:lang w:val="en-US" w:eastAsia="zh-CN" w:bidi="ar-SA"/>
              </w:rPr>
            </w:pPr>
          </w:p>
        </w:tc>
        <w:tc>
          <w:tcPr>
            <w:tcW w:w="1550" w:type="dxa"/>
            <w:noWrap w:val="0"/>
            <w:vAlign w:val="top"/>
          </w:tcPr>
          <w:p w14:paraId="6CC67E9E">
            <w:pPr>
              <w:rPr>
                <w:rFonts w:hint="eastAsia" w:ascii="仿宋" w:hAnsi="仿宋" w:eastAsia="仿宋" w:cs="仿宋"/>
                <w:b w:val="0"/>
                <w:bCs/>
                <w:color w:val="auto"/>
                <w:kern w:val="2"/>
                <w:sz w:val="24"/>
                <w:szCs w:val="22"/>
                <w:highlight w:val="none"/>
                <w:lang w:val="en-US" w:eastAsia="zh-CN" w:bidi="ar-SA"/>
              </w:rPr>
            </w:pPr>
          </w:p>
        </w:tc>
        <w:tc>
          <w:tcPr>
            <w:tcW w:w="1566" w:type="dxa"/>
            <w:noWrap w:val="0"/>
            <w:vAlign w:val="top"/>
          </w:tcPr>
          <w:p w14:paraId="525D0A05">
            <w:pPr>
              <w:rPr>
                <w:rFonts w:hint="eastAsia" w:ascii="仿宋" w:hAnsi="仿宋" w:eastAsia="仿宋" w:cs="仿宋"/>
                <w:b w:val="0"/>
                <w:bCs/>
                <w:color w:val="auto"/>
                <w:kern w:val="2"/>
                <w:sz w:val="24"/>
                <w:szCs w:val="22"/>
                <w:highlight w:val="none"/>
                <w:lang w:val="en-US" w:eastAsia="zh-CN" w:bidi="ar-SA"/>
              </w:rPr>
            </w:pPr>
          </w:p>
        </w:tc>
      </w:tr>
      <w:tr w14:paraId="0D887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61F3AEBA">
            <w:pPr>
              <w:rPr>
                <w:rFonts w:hint="eastAsia" w:ascii="仿宋" w:hAnsi="仿宋" w:eastAsia="仿宋" w:cs="仿宋"/>
                <w:b w:val="0"/>
                <w:bCs/>
                <w:color w:val="auto"/>
                <w:kern w:val="2"/>
                <w:sz w:val="24"/>
                <w:szCs w:val="22"/>
                <w:highlight w:val="none"/>
                <w:lang w:val="en-US" w:eastAsia="zh-CN" w:bidi="ar-SA"/>
              </w:rPr>
            </w:pPr>
          </w:p>
        </w:tc>
        <w:tc>
          <w:tcPr>
            <w:tcW w:w="1563" w:type="dxa"/>
            <w:noWrap w:val="0"/>
            <w:vAlign w:val="top"/>
          </w:tcPr>
          <w:p w14:paraId="76B91210">
            <w:pPr>
              <w:rPr>
                <w:rFonts w:hint="eastAsia" w:ascii="仿宋" w:hAnsi="仿宋" w:eastAsia="仿宋" w:cs="仿宋"/>
                <w:b w:val="0"/>
                <w:bCs/>
                <w:color w:val="auto"/>
                <w:kern w:val="2"/>
                <w:sz w:val="24"/>
                <w:szCs w:val="22"/>
                <w:highlight w:val="none"/>
                <w:lang w:val="en-US" w:eastAsia="zh-CN" w:bidi="ar-SA"/>
              </w:rPr>
            </w:pPr>
          </w:p>
        </w:tc>
        <w:tc>
          <w:tcPr>
            <w:tcW w:w="1183" w:type="dxa"/>
            <w:noWrap w:val="0"/>
            <w:vAlign w:val="top"/>
          </w:tcPr>
          <w:p w14:paraId="6E02C354">
            <w:pPr>
              <w:rPr>
                <w:rFonts w:hint="eastAsia" w:ascii="仿宋" w:hAnsi="仿宋" w:eastAsia="仿宋" w:cs="仿宋"/>
                <w:b w:val="0"/>
                <w:bCs/>
                <w:color w:val="auto"/>
                <w:kern w:val="2"/>
                <w:sz w:val="24"/>
                <w:szCs w:val="22"/>
                <w:highlight w:val="none"/>
                <w:lang w:val="en-US" w:eastAsia="zh-CN" w:bidi="ar-SA"/>
              </w:rPr>
            </w:pPr>
          </w:p>
        </w:tc>
        <w:tc>
          <w:tcPr>
            <w:tcW w:w="1350" w:type="dxa"/>
            <w:noWrap w:val="0"/>
            <w:vAlign w:val="top"/>
          </w:tcPr>
          <w:p w14:paraId="559156DB">
            <w:pPr>
              <w:rPr>
                <w:rFonts w:hint="eastAsia" w:ascii="仿宋" w:hAnsi="仿宋" w:eastAsia="仿宋" w:cs="仿宋"/>
                <w:b w:val="0"/>
                <w:bCs/>
                <w:color w:val="auto"/>
                <w:kern w:val="2"/>
                <w:sz w:val="24"/>
                <w:szCs w:val="22"/>
                <w:highlight w:val="none"/>
                <w:lang w:val="en-US" w:eastAsia="zh-CN" w:bidi="ar-SA"/>
              </w:rPr>
            </w:pPr>
          </w:p>
        </w:tc>
        <w:tc>
          <w:tcPr>
            <w:tcW w:w="1767" w:type="dxa"/>
            <w:noWrap w:val="0"/>
            <w:vAlign w:val="top"/>
          </w:tcPr>
          <w:p w14:paraId="1DD85CA7">
            <w:pPr>
              <w:rPr>
                <w:rFonts w:hint="eastAsia" w:ascii="仿宋" w:hAnsi="仿宋" w:eastAsia="仿宋" w:cs="仿宋"/>
                <w:b w:val="0"/>
                <w:bCs/>
                <w:color w:val="auto"/>
                <w:kern w:val="2"/>
                <w:sz w:val="24"/>
                <w:szCs w:val="22"/>
                <w:highlight w:val="none"/>
                <w:lang w:val="en-US" w:eastAsia="zh-CN" w:bidi="ar-SA"/>
              </w:rPr>
            </w:pPr>
          </w:p>
        </w:tc>
        <w:tc>
          <w:tcPr>
            <w:tcW w:w="1550" w:type="dxa"/>
            <w:noWrap w:val="0"/>
            <w:vAlign w:val="top"/>
          </w:tcPr>
          <w:p w14:paraId="55725028">
            <w:pPr>
              <w:rPr>
                <w:rFonts w:hint="eastAsia" w:ascii="仿宋" w:hAnsi="仿宋" w:eastAsia="仿宋" w:cs="仿宋"/>
                <w:b w:val="0"/>
                <w:bCs/>
                <w:color w:val="auto"/>
                <w:kern w:val="2"/>
                <w:sz w:val="24"/>
                <w:szCs w:val="22"/>
                <w:highlight w:val="none"/>
                <w:lang w:val="en-US" w:eastAsia="zh-CN" w:bidi="ar-SA"/>
              </w:rPr>
            </w:pPr>
          </w:p>
        </w:tc>
        <w:tc>
          <w:tcPr>
            <w:tcW w:w="1566" w:type="dxa"/>
            <w:noWrap w:val="0"/>
            <w:vAlign w:val="top"/>
          </w:tcPr>
          <w:p w14:paraId="0D19133D">
            <w:pPr>
              <w:rPr>
                <w:rFonts w:hint="eastAsia" w:ascii="仿宋" w:hAnsi="仿宋" w:eastAsia="仿宋" w:cs="仿宋"/>
                <w:b w:val="0"/>
                <w:bCs/>
                <w:color w:val="auto"/>
                <w:kern w:val="2"/>
                <w:sz w:val="24"/>
                <w:szCs w:val="22"/>
                <w:highlight w:val="none"/>
                <w:lang w:val="en-US" w:eastAsia="zh-CN" w:bidi="ar-SA"/>
              </w:rPr>
            </w:pPr>
          </w:p>
        </w:tc>
      </w:tr>
      <w:tr w14:paraId="19B45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54DBF8CE">
            <w:pPr>
              <w:rPr>
                <w:rFonts w:hint="eastAsia" w:ascii="仿宋" w:hAnsi="仿宋" w:eastAsia="仿宋" w:cs="仿宋"/>
                <w:b w:val="0"/>
                <w:bCs/>
                <w:color w:val="auto"/>
                <w:kern w:val="2"/>
                <w:sz w:val="24"/>
                <w:szCs w:val="22"/>
                <w:highlight w:val="none"/>
                <w:lang w:val="en-US" w:eastAsia="zh-CN" w:bidi="ar-SA"/>
              </w:rPr>
            </w:pPr>
          </w:p>
        </w:tc>
        <w:tc>
          <w:tcPr>
            <w:tcW w:w="1563" w:type="dxa"/>
            <w:noWrap w:val="0"/>
            <w:vAlign w:val="top"/>
          </w:tcPr>
          <w:p w14:paraId="04723581">
            <w:pPr>
              <w:rPr>
                <w:rFonts w:hint="eastAsia" w:ascii="仿宋" w:hAnsi="仿宋" w:eastAsia="仿宋" w:cs="仿宋"/>
                <w:b w:val="0"/>
                <w:bCs/>
                <w:color w:val="auto"/>
                <w:kern w:val="2"/>
                <w:sz w:val="24"/>
                <w:szCs w:val="22"/>
                <w:highlight w:val="none"/>
                <w:lang w:val="en-US" w:eastAsia="zh-CN" w:bidi="ar-SA"/>
              </w:rPr>
            </w:pPr>
          </w:p>
        </w:tc>
        <w:tc>
          <w:tcPr>
            <w:tcW w:w="1183" w:type="dxa"/>
            <w:noWrap w:val="0"/>
            <w:vAlign w:val="top"/>
          </w:tcPr>
          <w:p w14:paraId="4E36CE3F">
            <w:pPr>
              <w:rPr>
                <w:rFonts w:hint="eastAsia" w:ascii="仿宋" w:hAnsi="仿宋" w:eastAsia="仿宋" w:cs="仿宋"/>
                <w:b w:val="0"/>
                <w:bCs/>
                <w:color w:val="auto"/>
                <w:kern w:val="2"/>
                <w:sz w:val="24"/>
                <w:szCs w:val="22"/>
                <w:highlight w:val="none"/>
                <w:lang w:val="en-US" w:eastAsia="zh-CN" w:bidi="ar-SA"/>
              </w:rPr>
            </w:pPr>
          </w:p>
        </w:tc>
        <w:tc>
          <w:tcPr>
            <w:tcW w:w="1350" w:type="dxa"/>
            <w:noWrap w:val="0"/>
            <w:vAlign w:val="top"/>
          </w:tcPr>
          <w:p w14:paraId="34D6FE6E">
            <w:pPr>
              <w:rPr>
                <w:rFonts w:hint="eastAsia" w:ascii="仿宋" w:hAnsi="仿宋" w:eastAsia="仿宋" w:cs="仿宋"/>
                <w:b w:val="0"/>
                <w:bCs/>
                <w:color w:val="auto"/>
                <w:kern w:val="2"/>
                <w:sz w:val="24"/>
                <w:szCs w:val="22"/>
                <w:highlight w:val="none"/>
                <w:lang w:val="en-US" w:eastAsia="zh-CN" w:bidi="ar-SA"/>
              </w:rPr>
            </w:pPr>
          </w:p>
        </w:tc>
        <w:tc>
          <w:tcPr>
            <w:tcW w:w="1767" w:type="dxa"/>
            <w:noWrap w:val="0"/>
            <w:vAlign w:val="top"/>
          </w:tcPr>
          <w:p w14:paraId="2BE8E988">
            <w:pPr>
              <w:rPr>
                <w:rFonts w:hint="eastAsia" w:ascii="仿宋" w:hAnsi="仿宋" w:eastAsia="仿宋" w:cs="仿宋"/>
                <w:b w:val="0"/>
                <w:bCs/>
                <w:color w:val="auto"/>
                <w:kern w:val="2"/>
                <w:sz w:val="24"/>
                <w:szCs w:val="22"/>
                <w:highlight w:val="none"/>
                <w:lang w:val="en-US" w:eastAsia="zh-CN" w:bidi="ar-SA"/>
              </w:rPr>
            </w:pPr>
          </w:p>
        </w:tc>
        <w:tc>
          <w:tcPr>
            <w:tcW w:w="1550" w:type="dxa"/>
            <w:noWrap w:val="0"/>
            <w:vAlign w:val="top"/>
          </w:tcPr>
          <w:p w14:paraId="4DABFDB1">
            <w:pPr>
              <w:rPr>
                <w:rFonts w:hint="eastAsia" w:ascii="仿宋" w:hAnsi="仿宋" w:eastAsia="仿宋" w:cs="仿宋"/>
                <w:b w:val="0"/>
                <w:bCs/>
                <w:color w:val="auto"/>
                <w:kern w:val="2"/>
                <w:sz w:val="24"/>
                <w:szCs w:val="22"/>
                <w:highlight w:val="none"/>
                <w:lang w:val="en-US" w:eastAsia="zh-CN" w:bidi="ar-SA"/>
              </w:rPr>
            </w:pPr>
          </w:p>
        </w:tc>
        <w:tc>
          <w:tcPr>
            <w:tcW w:w="1566" w:type="dxa"/>
            <w:noWrap w:val="0"/>
            <w:vAlign w:val="top"/>
          </w:tcPr>
          <w:p w14:paraId="1D48D125">
            <w:pPr>
              <w:rPr>
                <w:rFonts w:hint="eastAsia" w:ascii="仿宋" w:hAnsi="仿宋" w:eastAsia="仿宋" w:cs="仿宋"/>
                <w:b w:val="0"/>
                <w:bCs/>
                <w:color w:val="auto"/>
                <w:kern w:val="2"/>
                <w:sz w:val="24"/>
                <w:szCs w:val="22"/>
                <w:highlight w:val="none"/>
                <w:lang w:val="en-US" w:eastAsia="zh-CN" w:bidi="ar-SA"/>
              </w:rPr>
            </w:pPr>
          </w:p>
        </w:tc>
      </w:tr>
      <w:tr w14:paraId="3F2E7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1786DD86">
            <w:pPr>
              <w:rPr>
                <w:rFonts w:hint="eastAsia" w:ascii="仿宋" w:hAnsi="仿宋" w:eastAsia="仿宋" w:cs="仿宋"/>
                <w:b w:val="0"/>
                <w:bCs/>
                <w:color w:val="auto"/>
                <w:kern w:val="2"/>
                <w:sz w:val="24"/>
                <w:szCs w:val="22"/>
                <w:highlight w:val="none"/>
                <w:lang w:val="en-US" w:eastAsia="zh-CN" w:bidi="ar-SA"/>
              </w:rPr>
            </w:pPr>
          </w:p>
        </w:tc>
        <w:tc>
          <w:tcPr>
            <w:tcW w:w="1563" w:type="dxa"/>
            <w:noWrap w:val="0"/>
            <w:vAlign w:val="top"/>
          </w:tcPr>
          <w:p w14:paraId="158F9FDF">
            <w:pPr>
              <w:rPr>
                <w:rFonts w:hint="eastAsia" w:ascii="仿宋" w:hAnsi="仿宋" w:eastAsia="仿宋" w:cs="仿宋"/>
                <w:b w:val="0"/>
                <w:bCs/>
                <w:color w:val="auto"/>
                <w:kern w:val="2"/>
                <w:sz w:val="24"/>
                <w:szCs w:val="22"/>
                <w:highlight w:val="none"/>
                <w:lang w:val="en-US" w:eastAsia="zh-CN" w:bidi="ar-SA"/>
              </w:rPr>
            </w:pPr>
          </w:p>
        </w:tc>
        <w:tc>
          <w:tcPr>
            <w:tcW w:w="1183" w:type="dxa"/>
            <w:noWrap w:val="0"/>
            <w:vAlign w:val="top"/>
          </w:tcPr>
          <w:p w14:paraId="2F895080">
            <w:pPr>
              <w:rPr>
                <w:rFonts w:hint="eastAsia" w:ascii="仿宋" w:hAnsi="仿宋" w:eastAsia="仿宋" w:cs="仿宋"/>
                <w:b w:val="0"/>
                <w:bCs/>
                <w:color w:val="auto"/>
                <w:kern w:val="2"/>
                <w:sz w:val="24"/>
                <w:szCs w:val="22"/>
                <w:highlight w:val="none"/>
                <w:lang w:val="en-US" w:eastAsia="zh-CN" w:bidi="ar-SA"/>
              </w:rPr>
            </w:pPr>
          </w:p>
        </w:tc>
        <w:tc>
          <w:tcPr>
            <w:tcW w:w="1350" w:type="dxa"/>
            <w:noWrap w:val="0"/>
            <w:vAlign w:val="top"/>
          </w:tcPr>
          <w:p w14:paraId="594BF8ED">
            <w:pPr>
              <w:rPr>
                <w:rFonts w:hint="eastAsia" w:ascii="仿宋" w:hAnsi="仿宋" w:eastAsia="仿宋" w:cs="仿宋"/>
                <w:b w:val="0"/>
                <w:bCs/>
                <w:color w:val="auto"/>
                <w:kern w:val="2"/>
                <w:sz w:val="24"/>
                <w:szCs w:val="22"/>
                <w:highlight w:val="none"/>
                <w:lang w:val="en-US" w:eastAsia="zh-CN" w:bidi="ar-SA"/>
              </w:rPr>
            </w:pPr>
          </w:p>
        </w:tc>
        <w:tc>
          <w:tcPr>
            <w:tcW w:w="1767" w:type="dxa"/>
            <w:noWrap w:val="0"/>
            <w:vAlign w:val="top"/>
          </w:tcPr>
          <w:p w14:paraId="0D28636F">
            <w:pPr>
              <w:rPr>
                <w:rFonts w:hint="eastAsia" w:ascii="仿宋" w:hAnsi="仿宋" w:eastAsia="仿宋" w:cs="仿宋"/>
                <w:b w:val="0"/>
                <w:bCs/>
                <w:color w:val="auto"/>
                <w:kern w:val="2"/>
                <w:sz w:val="24"/>
                <w:szCs w:val="22"/>
                <w:highlight w:val="none"/>
                <w:lang w:val="en-US" w:eastAsia="zh-CN" w:bidi="ar-SA"/>
              </w:rPr>
            </w:pPr>
          </w:p>
        </w:tc>
        <w:tc>
          <w:tcPr>
            <w:tcW w:w="1550" w:type="dxa"/>
            <w:noWrap w:val="0"/>
            <w:vAlign w:val="top"/>
          </w:tcPr>
          <w:p w14:paraId="3DC43A14">
            <w:pPr>
              <w:rPr>
                <w:rFonts w:hint="eastAsia" w:ascii="仿宋" w:hAnsi="仿宋" w:eastAsia="仿宋" w:cs="仿宋"/>
                <w:b w:val="0"/>
                <w:bCs/>
                <w:color w:val="auto"/>
                <w:kern w:val="2"/>
                <w:sz w:val="24"/>
                <w:szCs w:val="22"/>
                <w:highlight w:val="none"/>
                <w:lang w:val="en-US" w:eastAsia="zh-CN" w:bidi="ar-SA"/>
              </w:rPr>
            </w:pPr>
          </w:p>
        </w:tc>
        <w:tc>
          <w:tcPr>
            <w:tcW w:w="1566" w:type="dxa"/>
            <w:noWrap w:val="0"/>
            <w:vAlign w:val="top"/>
          </w:tcPr>
          <w:p w14:paraId="0DC59CE2">
            <w:pPr>
              <w:rPr>
                <w:rFonts w:hint="eastAsia" w:ascii="仿宋" w:hAnsi="仿宋" w:eastAsia="仿宋" w:cs="仿宋"/>
                <w:b w:val="0"/>
                <w:bCs/>
                <w:color w:val="auto"/>
                <w:kern w:val="2"/>
                <w:sz w:val="24"/>
                <w:szCs w:val="22"/>
                <w:highlight w:val="none"/>
                <w:lang w:val="en-US" w:eastAsia="zh-CN" w:bidi="ar-SA"/>
              </w:rPr>
            </w:pPr>
          </w:p>
        </w:tc>
      </w:tr>
      <w:tr w14:paraId="52DBC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767" w:type="dxa"/>
            <w:noWrap w:val="0"/>
            <w:vAlign w:val="top"/>
          </w:tcPr>
          <w:p w14:paraId="6F23088D">
            <w:pPr>
              <w:rPr>
                <w:rFonts w:hint="eastAsia" w:ascii="仿宋" w:hAnsi="仿宋" w:eastAsia="仿宋" w:cs="仿宋"/>
                <w:b w:val="0"/>
                <w:bCs/>
                <w:color w:val="auto"/>
                <w:kern w:val="2"/>
                <w:sz w:val="24"/>
                <w:szCs w:val="22"/>
                <w:highlight w:val="none"/>
                <w:lang w:val="en-US" w:eastAsia="zh-CN" w:bidi="ar-SA"/>
              </w:rPr>
            </w:pPr>
          </w:p>
        </w:tc>
        <w:tc>
          <w:tcPr>
            <w:tcW w:w="1563" w:type="dxa"/>
            <w:noWrap w:val="0"/>
            <w:vAlign w:val="top"/>
          </w:tcPr>
          <w:p w14:paraId="6D5692BD">
            <w:pPr>
              <w:rPr>
                <w:rFonts w:hint="eastAsia" w:ascii="仿宋" w:hAnsi="仿宋" w:eastAsia="仿宋" w:cs="仿宋"/>
                <w:b w:val="0"/>
                <w:bCs/>
                <w:color w:val="auto"/>
                <w:kern w:val="2"/>
                <w:sz w:val="24"/>
                <w:szCs w:val="22"/>
                <w:highlight w:val="none"/>
                <w:lang w:val="en-US" w:eastAsia="zh-CN" w:bidi="ar-SA"/>
              </w:rPr>
            </w:pPr>
          </w:p>
        </w:tc>
        <w:tc>
          <w:tcPr>
            <w:tcW w:w="1183" w:type="dxa"/>
            <w:noWrap w:val="0"/>
            <w:vAlign w:val="top"/>
          </w:tcPr>
          <w:p w14:paraId="43264096">
            <w:pPr>
              <w:rPr>
                <w:rFonts w:hint="eastAsia" w:ascii="仿宋" w:hAnsi="仿宋" w:eastAsia="仿宋" w:cs="仿宋"/>
                <w:b w:val="0"/>
                <w:bCs/>
                <w:color w:val="auto"/>
                <w:kern w:val="2"/>
                <w:sz w:val="24"/>
                <w:szCs w:val="22"/>
                <w:highlight w:val="none"/>
                <w:lang w:val="en-US" w:eastAsia="zh-CN" w:bidi="ar-SA"/>
              </w:rPr>
            </w:pPr>
          </w:p>
        </w:tc>
        <w:tc>
          <w:tcPr>
            <w:tcW w:w="1350" w:type="dxa"/>
            <w:noWrap w:val="0"/>
            <w:vAlign w:val="top"/>
          </w:tcPr>
          <w:p w14:paraId="26D71974">
            <w:pPr>
              <w:rPr>
                <w:rFonts w:hint="eastAsia" w:ascii="仿宋" w:hAnsi="仿宋" w:eastAsia="仿宋" w:cs="仿宋"/>
                <w:b w:val="0"/>
                <w:bCs/>
                <w:color w:val="auto"/>
                <w:kern w:val="2"/>
                <w:sz w:val="24"/>
                <w:szCs w:val="22"/>
                <w:highlight w:val="none"/>
                <w:lang w:val="en-US" w:eastAsia="zh-CN" w:bidi="ar-SA"/>
              </w:rPr>
            </w:pPr>
          </w:p>
        </w:tc>
        <w:tc>
          <w:tcPr>
            <w:tcW w:w="1767" w:type="dxa"/>
            <w:noWrap w:val="0"/>
            <w:vAlign w:val="top"/>
          </w:tcPr>
          <w:p w14:paraId="5B9DD815">
            <w:pPr>
              <w:rPr>
                <w:rFonts w:hint="eastAsia" w:ascii="仿宋" w:hAnsi="仿宋" w:eastAsia="仿宋" w:cs="仿宋"/>
                <w:b w:val="0"/>
                <w:bCs/>
                <w:color w:val="auto"/>
                <w:kern w:val="2"/>
                <w:sz w:val="24"/>
                <w:szCs w:val="22"/>
                <w:highlight w:val="none"/>
                <w:lang w:val="en-US" w:eastAsia="zh-CN" w:bidi="ar-SA"/>
              </w:rPr>
            </w:pPr>
          </w:p>
        </w:tc>
        <w:tc>
          <w:tcPr>
            <w:tcW w:w="1550" w:type="dxa"/>
            <w:noWrap w:val="0"/>
            <w:vAlign w:val="top"/>
          </w:tcPr>
          <w:p w14:paraId="6536AAC2">
            <w:pPr>
              <w:rPr>
                <w:rFonts w:hint="eastAsia" w:ascii="仿宋" w:hAnsi="仿宋" w:eastAsia="仿宋" w:cs="仿宋"/>
                <w:b w:val="0"/>
                <w:bCs/>
                <w:color w:val="auto"/>
                <w:kern w:val="2"/>
                <w:sz w:val="24"/>
                <w:szCs w:val="22"/>
                <w:highlight w:val="none"/>
                <w:lang w:val="en-US" w:eastAsia="zh-CN" w:bidi="ar-SA"/>
              </w:rPr>
            </w:pPr>
          </w:p>
        </w:tc>
        <w:tc>
          <w:tcPr>
            <w:tcW w:w="1566" w:type="dxa"/>
            <w:noWrap w:val="0"/>
            <w:vAlign w:val="top"/>
          </w:tcPr>
          <w:p w14:paraId="7096FE9A">
            <w:pPr>
              <w:rPr>
                <w:rFonts w:hint="eastAsia" w:ascii="仿宋" w:hAnsi="仿宋" w:eastAsia="仿宋" w:cs="仿宋"/>
                <w:b w:val="0"/>
                <w:bCs/>
                <w:color w:val="auto"/>
                <w:kern w:val="2"/>
                <w:sz w:val="24"/>
                <w:szCs w:val="22"/>
                <w:highlight w:val="none"/>
                <w:lang w:val="en-US" w:eastAsia="zh-CN" w:bidi="ar-SA"/>
              </w:rPr>
            </w:pPr>
          </w:p>
        </w:tc>
      </w:tr>
      <w:tr w14:paraId="6EFA7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767" w:type="dxa"/>
            <w:noWrap w:val="0"/>
            <w:vAlign w:val="top"/>
          </w:tcPr>
          <w:p w14:paraId="0C8F036B">
            <w:pPr>
              <w:rPr>
                <w:rFonts w:hint="eastAsia" w:ascii="仿宋" w:hAnsi="仿宋" w:eastAsia="仿宋" w:cs="仿宋"/>
                <w:b w:val="0"/>
                <w:bCs/>
                <w:color w:val="auto"/>
                <w:kern w:val="2"/>
                <w:sz w:val="24"/>
                <w:szCs w:val="22"/>
                <w:highlight w:val="none"/>
                <w:lang w:val="en-US" w:eastAsia="zh-CN" w:bidi="ar-SA"/>
              </w:rPr>
            </w:pPr>
          </w:p>
        </w:tc>
        <w:tc>
          <w:tcPr>
            <w:tcW w:w="1563" w:type="dxa"/>
            <w:noWrap w:val="0"/>
            <w:vAlign w:val="top"/>
          </w:tcPr>
          <w:p w14:paraId="5010E8EF">
            <w:pPr>
              <w:rPr>
                <w:rFonts w:hint="eastAsia" w:ascii="仿宋" w:hAnsi="仿宋" w:eastAsia="仿宋" w:cs="仿宋"/>
                <w:b w:val="0"/>
                <w:bCs/>
                <w:color w:val="auto"/>
                <w:kern w:val="2"/>
                <w:sz w:val="24"/>
                <w:szCs w:val="22"/>
                <w:highlight w:val="none"/>
                <w:lang w:val="en-US" w:eastAsia="zh-CN" w:bidi="ar-SA"/>
              </w:rPr>
            </w:pPr>
          </w:p>
        </w:tc>
        <w:tc>
          <w:tcPr>
            <w:tcW w:w="1183" w:type="dxa"/>
            <w:noWrap w:val="0"/>
            <w:vAlign w:val="top"/>
          </w:tcPr>
          <w:p w14:paraId="76856E84">
            <w:pPr>
              <w:rPr>
                <w:rFonts w:hint="eastAsia" w:ascii="仿宋" w:hAnsi="仿宋" w:eastAsia="仿宋" w:cs="仿宋"/>
                <w:b w:val="0"/>
                <w:bCs/>
                <w:color w:val="auto"/>
                <w:kern w:val="2"/>
                <w:sz w:val="24"/>
                <w:szCs w:val="22"/>
                <w:highlight w:val="none"/>
                <w:lang w:val="en-US" w:eastAsia="zh-CN" w:bidi="ar-SA"/>
              </w:rPr>
            </w:pPr>
          </w:p>
        </w:tc>
        <w:tc>
          <w:tcPr>
            <w:tcW w:w="1350" w:type="dxa"/>
            <w:noWrap w:val="0"/>
            <w:vAlign w:val="top"/>
          </w:tcPr>
          <w:p w14:paraId="17A11E46">
            <w:pPr>
              <w:rPr>
                <w:rFonts w:hint="eastAsia" w:ascii="仿宋" w:hAnsi="仿宋" w:eastAsia="仿宋" w:cs="仿宋"/>
                <w:b w:val="0"/>
                <w:bCs/>
                <w:color w:val="auto"/>
                <w:kern w:val="2"/>
                <w:sz w:val="24"/>
                <w:szCs w:val="22"/>
                <w:highlight w:val="none"/>
                <w:lang w:val="en-US" w:eastAsia="zh-CN" w:bidi="ar-SA"/>
              </w:rPr>
            </w:pPr>
          </w:p>
        </w:tc>
        <w:tc>
          <w:tcPr>
            <w:tcW w:w="1767" w:type="dxa"/>
            <w:noWrap w:val="0"/>
            <w:vAlign w:val="top"/>
          </w:tcPr>
          <w:p w14:paraId="217E9733">
            <w:pPr>
              <w:rPr>
                <w:rFonts w:hint="eastAsia" w:ascii="仿宋" w:hAnsi="仿宋" w:eastAsia="仿宋" w:cs="仿宋"/>
                <w:b w:val="0"/>
                <w:bCs/>
                <w:color w:val="auto"/>
                <w:kern w:val="2"/>
                <w:sz w:val="24"/>
                <w:szCs w:val="22"/>
                <w:highlight w:val="none"/>
                <w:lang w:val="en-US" w:eastAsia="zh-CN" w:bidi="ar-SA"/>
              </w:rPr>
            </w:pPr>
          </w:p>
        </w:tc>
        <w:tc>
          <w:tcPr>
            <w:tcW w:w="1550" w:type="dxa"/>
            <w:noWrap w:val="0"/>
            <w:vAlign w:val="top"/>
          </w:tcPr>
          <w:p w14:paraId="10CA98FC">
            <w:pPr>
              <w:rPr>
                <w:rFonts w:hint="eastAsia" w:ascii="仿宋" w:hAnsi="仿宋" w:eastAsia="仿宋" w:cs="仿宋"/>
                <w:b w:val="0"/>
                <w:bCs/>
                <w:color w:val="auto"/>
                <w:kern w:val="2"/>
                <w:sz w:val="24"/>
                <w:szCs w:val="22"/>
                <w:highlight w:val="none"/>
                <w:lang w:val="en-US" w:eastAsia="zh-CN" w:bidi="ar-SA"/>
              </w:rPr>
            </w:pPr>
          </w:p>
        </w:tc>
        <w:tc>
          <w:tcPr>
            <w:tcW w:w="1566" w:type="dxa"/>
            <w:noWrap w:val="0"/>
            <w:vAlign w:val="top"/>
          </w:tcPr>
          <w:p w14:paraId="41D48BB7">
            <w:pPr>
              <w:rPr>
                <w:rFonts w:hint="eastAsia" w:ascii="仿宋" w:hAnsi="仿宋" w:eastAsia="仿宋" w:cs="仿宋"/>
                <w:b w:val="0"/>
                <w:bCs/>
                <w:color w:val="auto"/>
                <w:kern w:val="2"/>
                <w:sz w:val="24"/>
                <w:szCs w:val="22"/>
                <w:highlight w:val="none"/>
                <w:lang w:val="en-US" w:eastAsia="zh-CN" w:bidi="ar-SA"/>
              </w:rPr>
            </w:pPr>
          </w:p>
        </w:tc>
      </w:tr>
    </w:tbl>
    <w:p w14:paraId="626A251E">
      <w:pPr>
        <w:spacing w:before="242" w:line="559" w:lineRule="exact"/>
        <w:ind w:left="125"/>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备注：根据招标文件评标标准中要求提供业绩的，投标人所列业绩应按其要求将证明材料按顺序附后。</w:t>
      </w:r>
    </w:p>
    <w:p w14:paraId="21B19A0D">
      <w:pPr>
        <w:pStyle w:val="8"/>
        <w:spacing w:line="258" w:lineRule="auto"/>
        <w:rPr>
          <w:rFonts w:hint="eastAsia" w:ascii="仿宋" w:hAnsi="仿宋" w:eastAsia="仿宋" w:cs="仿宋"/>
          <w:b w:val="0"/>
          <w:bCs/>
          <w:color w:val="auto"/>
          <w:kern w:val="2"/>
          <w:sz w:val="24"/>
          <w:szCs w:val="22"/>
          <w:highlight w:val="none"/>
          <w:lang w:val="en-US" w:eastAsia="zh-CN" w:bidi="ar-SA"/>
        </w:rPr>
      </w:pPr>
    </w:p>
    <w:p w14:paraId="0D210C7C">
      <w:pPr>
        <w:spacing w:before="78" w:line="569" w:lineRule="exact"/>
        <w:ind w:right="68"/>
        <w:jc w:val="both"/>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投标人全称（盖公章）：</w:t>
      </w:r>
    </w:p>
    <w:p w14:paraId="2FF04073">
      <w:pPr>
        <w:spacing w:before="1" w:line="219" w:lineRule="auto"/>
        <w:ind w:left="4414"/>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法定代表人或授权代表（签名或盖章）：</w:t>
      </w:r>
    </w:p>
    <w:p w14:paraId="1F84C8F8">
      <w:pPr>
        <w:spacing w:before="286" w:line="220" w:lineRule="auto"/>
        <w:ind w:left="5384"/>
        <w:rPr>
          <w:rFonts w:hint="eastAsia" w:ascii="仿宋" w:hAnsi="仿宋" w:eastAsia="仿宋" w:cs="仿宋"/>
          <w:b w:val="0"/>
          <w:bCs/>
          <w:color w:val="auto"/>
          <w:kern w:val="2"/>
          <w:sz w:val="24"/>
          <w:szCs w:val="22"/>
          <w:highlight w:val="none"/>
          <w:lang w:val="en-US" w:eastAsia="zh-CN" w:bidi="ar-SA"/>
        </w:rPr>
      </w:pPr>
      <w:r>
        <w:rPr>
          <w:rFonts w:hint="eastAsia" w:ascii="仿宋" w:hAnsi="仿宋" w:eastAsia="仿宋" w:cs="仿宋"/>
          <w:b w:val="0"/>
          <w:bCs/>
          <w:color w:val="auto"/>
          <w:kern w:val="2"/>
          <w:sz w:val="24"/>
          <w:szCs w:val="22"/>
          <w:highlight w:val="none"/>
          <w:lang w:val="en-US" w:eastAsia="zh-CN" w:bidi="ar-SA"/>
        </w:rPr>
        <w:t>日   期：    年  月   日</w:t>
      </w:r>
    </w:p>
    <w:p w14:paraId="20667FDB">
      <w:pPr>
        <w:ind w:left="0" w:leftChars="0" w:firstLine="0" w:firstLineChars="0"/>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br w:type="page"/>
      </w:r>
      <w:r>
        <w:rPr>
          <w:rFonts w:hint="eastAsia" w:ascii="仿宋" w:hAnsi="仿宋" w:eastAsia="仿宋" w:cs="仿宋"/>
          <w:b/>
          <w:bCs w:val="0"/>
          <w:color w:val="auto"/>
          <w:kern w:val="2"/>
          <w:sz w:val="28"/>
          <w:szCs w:val="28"/>
          <w:highlight w:val="none"/>
          <w:lang w:val="en-US" w:eastAsia="zh-CN" w:bidi="ar-SA"/>
        </w:rPr>
        <w:t>附件二十一</w:t>
      </w:r>
    </w:p>
    <w:p w14:paraId="5BD19FDD">
      <w:pPr>
        <w:pStyle w:val="20"/>
        <w:numPr>
          <w:ilvl w:val="0"/>
          <w:numId w:val="0"/>
        </w:numPr>
        <w:tabs>
          <w:tab w:val="left" w:pos="2160"/>
        </w:tabs>
        <w:overflowPunct w:val="0"/>
        <w:snapToGrid w:val="0"/>
        <w:spacing w:line="360" w:lineRule="auto"/>
        <w:ind w:leftChars="0"/>
        <w:jc w:val="center"/>
        <w:rPr>
          <w:rFonts w:hint="eastAsia" w:ascii="仿宋" w:hAnsi="仿宋" w:eastAsia="仿宋" w:cs="仿宋"/>
          <w:color w:val="000000"/>
          <w:sz w:val="22"/>
          <w:szCs w:val="24"/>
          <w:highlight w:val="none"/>
        </w:rPr>
      </w:pPr>
      <w:r>
        <w:rPr>
          <w:rFonts w:hint="eastAsia" w:ascii="仿宋" w:hAnsi="仿宋" w:eastAsia="仿宋" w:cs="仿宋"/>
          <w:b/>
          <w:bCs w:val="0"/>
          <w:color w:val="auto"/>
          <w:kern w:val="2"/>
          <w:sz w:val="28"/>
          <w:szCs w:val="24"/>
          <w:highlight w:val="none"/>
          <w:lang w:val="en-US" w:eastAsia="zh-CN" w:bidi="ar-SA"/>
        </w:rPr>
        <w:t>服务项目偏离表</w:t>
      </w:r>
    </w:p>
    <w:p w14:paraId="4AFDD4DA">
      <w:pPr>
        <w:adjustRightInd w:val="0"/>
        <w:snapToGrid w:val="0"/>
        <w:spacing w:line="360" w:lineRule="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项目名称：</w:t>
      </w:r>
    </w:p>
    <w:p w14:paraId="3CD8FA8B">
      <w:pPr>
        <w:adjustRightInd w:val="0"/>
        <w:snapToGrid w:val="0"/>
        <w:spacing w:line="360" w:lineRule="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项目编号：</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81"/>
        <w:gridCol w:w="2552"/>
        <w:gridCol w:w="2551"/>
        <w:gridCol w:w="1210"/>
      </w:tblGrid>
      <w:tr w14:paraId="37CF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96" w:type="dxa"/>
            <w:noWrap w:val="0"/>
            <w:vAlign w:val="center"/>
          </w:tcPr>
          <w:p w14:paraId="52294E20">
            <w:pPr>
              <w:keepNext w:val="0"/>
              <w:keepLines w:val="0"/>
              <w:suppressLineNumbers w:val="0"/>
              <w:spacing w:before="0" w:beforeAutospacing="0" w:after="0" w:afterAutospacing="0" w:line="40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2181" w:type="dxa"/>
            <w:noWrap w:val="0"/>
            <w:vAlign w:val="center"/>
          </w:tcPr>
          <w:p w14:paraId="78AA8BC5">
            <w:pPr>
              <w:keepNext w:val="0"/>
              <w:keepLines w:val="0"/>
              <w:suppressLineNumbers w:val="0"/>
              <w:spacing w:before="0" w:beforeAutospacing="0" w:after="0" w:afterAutospacing="0" w:line="40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招标文件条目号</w:t>
            </w:r>
          </w:p>
        </w:tc>
        <w:tc>
          <w:tcPr>
            <w:tcW w:w="2552" w:type="dxa"/>
            <w:noWrap w:val="0"/>
            <w:vAlign w:val="center"/>
          </w:tcPr>
          <w:p w14:paraId="08641140">
            <w:pPr>
              <w:keepNext w:val="0"/>
              <w:keepLines w:val="0"/>
              <w:suppressLineNumbers w:val="0"/>
              <w:spacing w:before="0" w:beforeAutospacing="0" w:after="0" w:afterAutospacing="0" w:line="40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招标文件的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条款</w:t>
            </w:r>
          </w:p>
        </w:tc>
        <w:tc>
          <w:tcPr>
            <w:tcW w:w="2551" w:type="dxa"/>
            <w:noWrap w:val="0"/>
            <w:vAlign w:val="center"/>
          </w:tcPr>
          <w:p w14:paraId="63196ED7">
            <w:pPr>
              <w:keepNext w:val="0"/>
              <w:keepLines w:val="0"/>
              <w:suppressLineNumbers w:val="0"/>
              <w:spacing w:before="0" w:beforeAutospacing="0" w:after="0" w:afterAutospacing="0" w:line="40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招标响应文件的</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条款</w:t>
            </w:r>
          </w:p>
        </w:tc>
        <w:tc>
          <w:tcPr>
            <w:tcW w:w="1210" w:type="dxa"/>
            <w:noWrap w:val="0"/>
            <w:vAlign w:val="center"/>
          </w:tcPr>
          <w:p w14:paraId="26D15111">
            <w:pPr>
              <w:keepNext w:val="0"/>
              <w:keepLines w:val="0"/>
              <w:suppressLineNumbers w:val="0"/>
              <w:spacing w:before="0" w:beforeAutospacing="0" w:after="0" w:afterAutospacing="0" w:line="40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说明</w:t>
            </w:r>
          </w:p>
        </w:tc>
      </w:tr>
      <w:tr w14:paraId="6CA2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96" w:type="dxa"/>
            <w:noWrap w:val="0"/>
            <w:vAlign w:val="center"/>
          </w:tcPr>
          <w:p w14:paraId="208A77D6">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181" w:type="dxa"/>
            <w:noWrap w:val="0"/>
            <w:vAlign w:val="top"/>
          </w:tcPr>
          <w:p w14:paraId="1554A9C1">
            <w:pPr>
              <w:keepNext w:val="0"/>
              <w:keepLines w:val="0"/>
              <w:suppressLineNumbers w:val="0"/>
              <w:spacing w:before="0" w:beforeAutospacing="0" w:after="0" w:afterAutospacing="0" w:line="360" w:lineRule="auto"/>
              <w:jc w:val="center"/>
              <w:rPr>
                <w:rFonts w:hint="eastAsia" w:ascii="仿宋" w:hAnsi="仿宋" w:eastAsia="仿宋" w:cs="仿宋"/>
                <w:color w:val="000000"/>
                <w:sz w:val="24"/>
                <w:szCs w:val="24"/>
                <w:highlight w:val="none"/>
              </w:rPr>
            </w:pPr>
          </w:p>
        </w:tc>
        <w:tc>
          <w:tcPr>
            <w:tcW w:w="2552" w:type="dxa"/>
            <w:noWrap w:val="0"/>
            <w:vAlign w:val="top"/>
          </w:tcPr>
          <w:p w14:paraId="5FD06784">
            <w:pPr>
              <w:keepNext w:val="0"/>
              <w:keepLines w:val="0"/>
              <w:suppressLineNumbers w:val="0"/>
              <w:spacing w:before="0" w:beforeAutospacing="0" w:after="0" w:afterAutospacing="0" w:line="360" w:lineRule="auto"/>
              <w:jc w:val="center"/>
              <w:rPr>
                <w:rFonts w:hint="eastAsia" w:ascii="仿宋" w:hAnsi="仿宋" w:eastAsia="仿宋" w:cs="仿宋"/>
                <w:color w:val="000000"/>
                <w:sz w:val="24"/>
                <w:szCs w:val="24"/>
                <w:highlight w:val="none"/>
              </w:rPr>
            </w:pPr>
          </w:p>
        </w:tc>
        <w:tc>
          <w:tcPr>
            <w:tcW w:w="2551" w:type="dxa"/>
            <w:noWrap w:val="0"/>
            <w:vAlign w:val="top"/>
          </w:tcPr>
          <w:p w14:paraId="0A1379CC">
            <w:pPr>
              <w:keepNext w:val="0"/>
              <w:keepLines w:val="0"/>
              <w:suppressLineNumbers w:val="0"/>
              <w:spacing w:before="0" w:beforeAutospacing="0" w:after="0" w:afterAutospacing="0" w:line="360" w:lineRule="auto"/>
              <w:jc w:val="center"/>
              <w:rPr>
                <w:rFonts w:hint="eastAsia" w:ascii="仿宋" w:hAnsi="仿宋" w:eastAsia="仿宋" w:cs="仿宋"/>
                <w:color w:val="000000"/>
                <w:sz w:val="24"/>
                <w:szCs w:val="24"/>
                <w:highlight w:val="none"/>
              </w:rPr>
            </w:pPr>
          </w:p>
        </w:tc>
        <w:tc>
          <w:tcPr>
            <w:tcW w:w="1210" w:type="dxa"/>
            <w:noWrap w:val="0"/>
            <w:vAlign w:val="top"/>
          </w:tcPr>
          <w:p w14:paraId="19C4B23F">
            <w:pPr>
              <w:keepNext w:val="0"/>
              <w:keepLines w:val="0"/>
              <w:suppressLineNumbers w:val="0"/>
              <w:spacing w:before="0" w:beforeAutospacing="0" w:after="0" w:afterAutospacing="0" w:line="360" w:lineRule="auto"/>
              <w:jc w:val="center"/>
              <w:rPr>
                <w:rFonts w:hint="eastAsia" w:ascii="仿宋" w:hAnsi="仿宋" w:eastAsia="仿宋" w:cs="仿宋"/>
                <w:color w:val="000000"/>
                <w:sz w:val="24"/>
                <w:szCs w:val="24"/>
                <w:highlight w:val="none"/>
              </w:rPr>
            </w:pPr>
          </w:p>
        </w:tc>
      </w:tr>
      <w:tr w14:paraId="47D0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96" w:type="dxa"/>
            <w:noWrap w:val="0"/>
            <w:vAlign w:val="center"/>
          </w:tcPr>
          <w:p w14:paraId="5F203D11">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181" w:type="dxa"/>
            <w:noWrap w:val="0"/>
            <w:vAlign w:val="center"/>
          </w:tcPr>
          <w:p w14:paraId="76386551">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p>
        </w:tc>
        <w:tc>
          <w:tcPr>
            <w:tcW w:w="2552" w:type="dxa"/>
            <w:noWrap w:val="0"/>
            <w:vAlign w:val="center"/>
          </w:tcPr>
          <w:p w14:paraId="51902208">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p>
        </w:tc>
        <w:tc>
          <w:tcPr>
            <w:tcW w:w="2551" w:type="dxa"/>
            <w:noWrap w:val="0"/>
            <w:vAlign w:val="center"/>
          </w:tcPr>
          <w:p w14:paraId="2BA1CCCA">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p>
        </w:tc>
        <w:tc>
          <w:tcPr>
            <w:tcW w:w="1210" w:type="dxa"/>
            <w:noWrap w:val="0"/>
            <w:vAlign w:val="center"/>
          </w:tcPr>
          <w:p w14:paraId="5E885476">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p>
        </w:tc>
      </w:tr>
      <w:tr w14:paraId="13BC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96" w:type="dxa"/>
            <w:noWrap w:val="0"/>
            <w:vAlign w:val="center"/>
          </w:tcPr>
          <w:p w14:paraId="493EF48C">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2181" w:type="dxa"/>
            <w:noWrap w:val="0"/>
            <w:vAlign w:val="center"/>
          </w:tcPr>
          <w:p w14:paraId="39C97025">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p>
        </w:tc>
        <w:tc>
          <w:tcPr>
            <w:tcW w:w="2552" w:type="dxa"/>
            <w:noWrap w:val="0"/>
            <w:vAlign w:val="center"/>
          </w:tcPr>
          <w:p w14:paraId="5E413D6B">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p>
        </w:tc>
        <w:tc>
          <w:tcPr>
            <w:tcW w:w="2551" w:type="dxa"/>
            <w:noWrap w:val="0"/>
            <w:vAlign w:val="center"/>
          </w:tcPr>
          <w:p w14:paraId="2D6C2648">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p>
        </w:tc>
        <w:tc>
          <w:tcPr>
            <w:tcW w:w="1210" w:type="dxa"/>
            <w:noWrap w:val="0"/>
            <w:vAlign w:val="center"/>
          </w:tcPr>
          <w:p w14:paraId="585E7A42">
            <w:pPr>
              <w:keepNext w:val="0"/>
              <w:keepLines w:val="0"/>
              <w:suppressLineNumbers w:val="0"/>
              <w:adjustRightInd w:val="0"/>
              <w:snapToGrid w:val="0"/>
              <w:spacing w:before="0" w:beforeAutospacing="0" w:after="0" w:afterAutospacing="0"/>
              <w:jc w:val="center"/>
              <w:rPr>
                <w:rFonts w:hint="eastAsia" w:ascii="仿宋" w:hAnsi="仿宋" w:eastAsia="仿宋" w:cs="仿宋"/>
                <w:color w:val="000000"/>
                <w:sz w:val="24"/>
                <w:szCs w:val="24"/>
                <w:highlight w:val="none"/>
              </w:rPr>
            </w:pPr>
          </w:p>
        </w:tc>
      </w:tr>
    </w:tbl>
    <w:p w14:paraId="29DA7ACE">
      <w:pPr>
        <w:adjustRightInd w:val="0"/>
        <w:snapToGrid w:val="0"/>
        <w:spacing w:line="360" w:lineRule="auto"/>
        <w:rPr>
          <w:rFonts w:hint="eastAsia" w:ascii="仿宋" w:hAnsi="仿宋" w:eastAsia="仿宋" w:cs="仿宋"/>
          <w:color w:val="000000"/>
          <w:sz w:val="24"/>
          <w:szCs w:val="24"/>
          <w:highlight w:val="none"/>
        </w:rPr>
      </w:pPr>
    </w:p>
    <w:p w14:paraId="5F3439DF">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7E21506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 xml:space="preserve">如投标人提交的服务条款与招标文件的要求存在偏离，需逐项填写《服务项目偏离表》。 </w:t>
      </w:r>
    </w:p>
    <w:p w14:paraId="228AD74D">
      <w:pPr>
        <w:spacing w:before="78" w:line="468" w:lineRule="exact"/>
        <w:ind w:left="6302"/>
        <w:rPr>
          <w:rFonts w:hint="eastAsia" w:ascii="仿宋" w:hAnsi="仿宋" w:eastAsia="仿宋" w:cs="仿宋"/>
          <w:sz w:val="24"/>
          <w:szCs w:val="24"/>
          <w:highlight w:val="none"/>
        </w:rPr>
      </w:pPr>
      <w:r>
        <w:rPr>
          <w:rFonts w:hint="eastAsia" w:ascii="仿宋" w:hAnsi="仿宋" w:eastAsia="仿宋" w:cs="仿宋"/>
          <w:spacing w:val="-7"/>
          <w:position w:val="17"/>
          <w:sz w:val="24"/>
          <w:szCs w:val="24"/>
          <w:highlight w:val="none"/>
        </w:rPr>
        <w:t>投标人全称（盖公章</w:t>
      </w:r>
      <w:r>
        <w:rPr>
          <w:rFonts w:hint="eastAsia" w:ascii="仿宋" w:hAnsi="仿宋" w:eastAsia="仿宋" w:cs="仿宋"/>
          <w:spacing w:val="-2"/>
          <w:position w:val="17"/>
          <w:sz w:val="24"/>
          <w:szCs w:val="24"/>
          <w:highlight w:val="none"/>
        </w:rPr>
        <w:t>）：</w:t>
      </w:r>
    </w:p>
    <w:p w14:paraId="7987EACC">
      <w:pPr>
        <w:spacing w:line="219" w:lineRule="auto"/>
        <w:ind w:left="46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法定代表人或授权代表（签名或盖章</w:t>
      </w:r>
      <w:r>
        <w:rPr>
          <w:rFonts w:hint="eastAsia" w:ascii="仿宋" w:hAnsi="仿宋" w:eastAsia="仿宋" w:cs="仿宋"/>
          <w:spacing w:val="-2"/>
          <w:sz w:val="24"/>
          <w:szCs w:val="24"/>
          <w:highlight w:val="none"/>
        </w:rPr>
        <w:t>）：</w:t>
      </w:r>
    </w:p>
    <w:p w14:paraId="5622A9E7">
      <w:pPr>
        <w:spacing w:before="182" w:line="220" w:lineRule="auto"/>
        <w:ind w:left="5741"/>
        <w:rPr>
          <w:rFonts w:hint="eastAsia" w:ascii="仿宋" w:hAnsi="仿宋" w:eastAsia="仿宋" w:cs="仿宋"/>
          <w:sz w:val="24"/>
          <w:szCs w:val="24"/>
          <w:highlight w:val="none"/>
        </w:rPr>
        <w:sectPr>
          <w:headerReference r:id="rId31" w:type="default"/>
          <w:footerReference r:id="rId32" w:type="default"/>
          <w:type w:val="continuous"/>
          <w:pgSz w:w="11906" w:h="16839"/>
          <w:pgMar w:top="1440" w:right="1080" w:bottom="1440" w:left="1080" w:header="0" w:footer="986" w:gutter="0"/>
          <w:pgNumType w:fmt="decimal"/>
          <w:cols w:space="720" w:num="1"/>
          <w:rtlGutter w:val="0"/>
          <w:docGrid w:linePitch="1" w:charSpace="0"/>
        </w:sectPr>
      </w:pPr>
      <w:r>
        <w:rPr>
          <w:rFonts w:hint="eastAsia" w:ascii="仿宋" w:hAnsi="仿宋" w:eastAsia="仿宋" w:cs="仿宋"/>
          <w:spacing w:val="-29"/>
          <w:sz w:val="24"/>
          <w:szCs w:val="24"/>
          <w:highlight w:val="none"/>
        </w:rPr>
        <w:t>日</w:t>
      </w:r>
      <w:r>
        <w:rPr>
          <w:rFonts w:hint="eastAsia" w:ascii="仿宋" w:hAnsi="仿宋" w:eastAsia="仿宋" w:cs="仿宋"/>
          <w:spacing w:val="3"/>
          <w:sz w:val="24"/>
          <w:szCs w:val="24"/>
          <w:highlight w:val="none"/>
        </w:rPr>
        <w:t xml:space="preserve">    </w:t>
      </w:r>
      <w:r>
        <w:rPr>
          <w:rFonts w:hint="eastAsia" w:ascii="仿宋" w:hAnsi="仿宋" w:eastAsia="仿宋" w:cs="仿宋"/>
          <w:spacing w:val="-29"/>
          <w:sz w:val="24"/>
          <w:szCs w:val="24"/>
          <w:highlight w:val="none"/>
        </w:rPr>
        <w:t>期：</w:t>
      </w:r>
      <w:r>
        <w:rPr>
          <w:rFonts w:hint="eastAsia" w:ascii="仿宋" w:hAnsi="仿宋" w:eastAsia="仿宋" w:cs="仿宋"/>
          <w:spacing w:val="19"/>
          <w:sz w:val="24"/>
          <w:szCs w:val="24"/>
          <w:highlight w:val="none"/>
        </w:rPr>
        <w:t xml:space="preserve">     </w:t>
      </w:r>
      <w:r>
        <w:rPr>
          <w:rFonts w:hint="eastAsia" w:ascii="仿宋" w:hAnsi="仿宋" w:eastAsia="仿宋" w:cs="仿宋"/>
          <w:spacing w:val="-2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9"/>
          <w:sz w:val="24"/>
          <w:szCs w:val="24"/>
          <w:highlight w:val="none"/>
        </w:rPr>
        <w:t>日</w:t>
      </w:r>
    </w:p>
    <w:p w14:paraId="28CE2BC3">
      <w:pPr>
        <w:jc w:val="both"/>
        <w:outlineLvl w:val="1"/>
        <w:rPr>
          <w:rFonts w:hint="eastAsia" w:ascii="仿宋" w:hAnsi="仿宋" w:eastAsia="仿宋" w:cs="仿宋"/>
          <w:b/>
          <w:bCs w:val="0"/>
          <w:color w:val="auto"/>
          <w:kern w:val="2"/>
          <w:sz w:val="28"/>
          <w:szCs w:val="24"/>
          <w:highlight w:val="none"/>
          <w:lang w:val="en-US" w:eastAsia="zh-CN" w:bidi="ar-SA"/>
        </w:rPr>
      </w:pPr>
      <w:r>
        <w:rPr>
          <w:rFonts w:hint="eastAsia" w:ascii="仿宋" w:hAnsi="仿宋" w:eastAsia="仿宋" w:cs="仿宋"/>
          <w:b/>
          <w:bCs w:val="0"/>
          <w:color w:val="auto"/>
          <w:kern w:val="2"/>
          <w:sz w:val="28"/>
          <w:szCs w:val="24"/>
          <w:highlight w:val="none"/>
          <w:lang w:val="en-US" w:eastAsia="zh-CN" w:bidi="ar-SA"/>
        </w:rPr>
        <w:t>附件二十二</w:t>
      </w:r>
    </w:p>
    <w:p w14:paraId="0B5E52E8">
      <w:pPr>
        <w:widowControl/>
        <w:adjustRightInd w:val="0"/>
        <w:snapToGrid w:val="0"/>
        <w:spacing w:line="360" w:lineRule="auto"/>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技术方案</w:t>
      </w:r>
    </w:p>
    <w:p w14:paraId="7F8B0DC6">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（根据需要编写，格式自制）</w:t>
      </w:r>
    </w:p>
    <w:p w14:paraId="7188F1AC">
      <w:pPr>
        <w:spacing w:line="440" w:lineRule="exact"/>
        <w:ind w:firstLine="420" w:firstLineChars="200"/>
        <w:rPr>
          <w:rFonts w:hint="eastAsia" w:ascii="仿宋" w:hAnsi="仿宋" w:eastAsia="仿宋" w:cs="仿宋"/>
          <w:color w:val="auto"/>
          <w:sz w:val="21"/>
          <w:szCs w:val="21"/>
          <w:highlight w:val="none"/>
        </w:rPr>
      </w:pPr>
    </w:p>
    <w:p w14:paraId="6EC1DC90">
      <w:pPr>
        <w:spacing w:line="440" w:lineRule="exact"/>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项目实施方案</w:t>
      </w:r>
      <w:r>
        <w:rPr>
          <w:rFonts w:hint="eastAsia" w:ascii="仿宋" w:hAnsi="仿宋" w:eastAsia="仿宋" w:cs="仿宋"/>
          <w:sz w:val="21"/>
          <w:szCs w:val="21"/>
          <w:highlight w:val="none"/>
          <w:lang w:val="en-US" w:eastAsia="zh-CN"/>
        </w:rPr>
        <w:t>：</w:t>
      </w:r>
    </w:p>
    <w:p w14:paraId="26E5DAE2">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选址建议</w:t>
      </w:r>
      <w:r>
        <w:rPr>
          <w:rFonts w:hint="eastAsia" w:ascii="仿宋" w:hAnsi="仿宋" w:eastAsia="仿宋" w:cs="仿宋"/>
          <w:sz w:val="21"/>
          <w:szCs w:val="21"/>
          <w:highlight w:val="none"/>
          <w:lang w:val="en-US" w:eastAsia="zh-CN"/>
        </w:rPr>
        <w:t>；</w:t>
      </w:r>
      <w:r>
        <w:rPr>
          <w:rFonts w:hint="eastAsia" w:ascii="仿宋" w:hAnsi="仿宋" w:eastAsia="仿宋" w:cs="仿宋"/>
          <w:color w:val="auto"/>
          <w:sz w:val="21"/>
          <w:szCs w:val="21"/>
          <w:highlight w:val="none"/>
        </w:rPr>
        <w:t>（格式自拟）</w:t>
      </w:r>
    </w:p>
    <w:p w14:paraId="5673C92B">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主题活动规划</w:t>
      </w:r>
      <w:r>
        <w:rPr>
          <w:rFonts w:hint="eastAsia" w:ascii="仿宋" w:hAnsi="仿宋" w:eastAsia="仿宋" w:cs="仿宋"/>
          <w:sz w:val="21"/>
          <w:szCs w:val="21"/>
          <w:highlight w:val="none"/>
          <w:lang w:val="en-US" w:eastAsia="zh-CN"/>
        </w:rPr>
        <w:t>；</w:t>
      </w:r>
      <w:r>
        <w:rPr>
          <w:rFonts w:hint="eastAsia" w:ascii="仿宋" w:hAnsi="仿宋" w:eastAsia="仿宋" w:cs="仿宋"/>
          <w:color w:val="auto"/>
          <w:sz w:val="21"/>
          <w:szCs w:val="21"/>
          <w:highlight w:val="none"/>
        </w:rPr>
        <w:t>（格式自拟）</w:t>
      </w:r>
    </w:p>
    <w:p w14:paraId="06744DE9">
      <w:pPr>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轮值排期表</w:t>
      </w:r>
      <w:r>
        <w:rPr>
          <w:rFonts w:hint="eastAsia" w:ascii="仿宋" w:hAnsi="仿宋" w:eastAsia="仿宋" w:cs="仿宋"/>
          <w:color w:val="auto"/>
          <w:sz w:val="21"/>
          <w:szCs w:val="21"/>
          <w:highlight w:val="none"/>
        </w:rPr>
        <w:t>；（格式自拟）</w:t>
      </w:r>
    </w:p>
    <w:p w14:paraId="1B657690">
      <w:pPr>
        <w:numPr>
          <w:ilvl w:val="0"/>
          <w:numId w:val="10"/>
        </w:numPr>
        <w:spacing w:line="440" w:lineRule="exact"/>
        <w:ind w:leftChars="200" w:right="62" w:rightChars="0"/>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建设周期规划；</w:t>
      </w:r>
      <w:r>
        <w:rPr>
          <w:rFonts w:hint="eastAsia" w:ascii="仿宋" w:hAnsi="仿宋" w:eastAsia="仿宋" w:cs="仿宋"/>
          <w:color w:val="auto"/>
          <w:sz w:val="21"/>
          <w:szCs w:val="21"/>
          <w:highlight w:val="none"/>
        </w:rPr>
        <w:t>（格式自拟）</w:t>
      </w:r>
    </w:p>
    <w:p w14:paraId="41DDE22F">
      <w:pPr>
        <w:numPr>
          <w:ilvl w:val="0"/>
          <w:numId w:val="9"/>
        </w:numPr>
        <w:spacing w:line="440" w:lineRule="exact"/>
        <w:ind w:leftChars="0" w:right="62" w:righ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场景设计：</w:t>
      </w:r>
    </w:p>
    <w:p w14:paraId="6DABEC90">
      <w:pPr>
        <w:numPr>
          <w:ilvl w:val="0"/>
          <w:numId w:val="11"/>
        </w:numPr>
        <w:spacing w:line="440" w:lineRule="exact"/>
        <w:ind w:left="420" w:leftChars="200" w:right="62" w:righ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方案主题；（格式自拟）</w:t>
      </w:r>
    </w:p>
    <w:p w14:paraId="5B646791">
      <w:pPr>
        <w:numPr>
          <w:ilvl w:val="0"/>
          <w:numId w:val="11"/>
        </w:numPr>
        <w:spacing w:line="440" w:lineRule="exact"/>
        <w:ind w:left="420" w:leftChars="200" w:right="62" w:righ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设计思路；（格式自拟）</w:t>
      </w:r>
    </w:p>
    <w:p w14:paraId="27A956E5">
      <w:pPr>
        <w:numPr>
          <w:ilvl w:val="0"/>
          <w:numId w:val="11"/>
        </w:numPr>
        <w:spacing w:line="440" w:lineRule="exact"/>
        <w:ind w:left="420" w:leftChars="200" w:right="62" w:righ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场地布局；（格式自拟）</w:t>
      </w:r>
    </w:p>
    <w:p w14:paraId="7B8FE62D">
      <w:pPr>
        <w:numPr>
          <w:ilvl w:val="0"/>
          <w:numId w:val="11"/>
        </w:numPr>
        <w:spacing w:line="440" w:lineRule="exact"/>
        <w:ind w:left="420" w:leftChars="200" w:right="62" w:righ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功能规划；（格式自拟）</w:t>
      </w:r>
    </w:p>
    <w:p w14:paraId="7C7599E4">
      <w:pPr>
        <w:numPr>
          <w:ilvl w:val="0"/>
          <w:numId w:val="11"/>
        </w:numPr>
        <w:spacing w:line="440" w:lineRule="exact"/>
        <w:ind w:left="420" w:leftChars="200" w:right="62" w:righ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设计效果图；（格式自拟）</w:t>
      </w:r>
    </w:p>
    <w:p w14:paraId="14A81892">
      <w:pPr>
        <w:numPr>
          <w:ilvl w:val="0"/>
          <w:numId w:val="9"/>
        </w:numPr>
        <w:spacing w:line="440" w:lineRule="exact"/>
        <w:ind w:leftChars="0" w:right="62" w:righ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商贸运营方案：</w:t>
      </w:r>
    </w:p>
    <w:p w14:paraId="7D21180A">
      <w:pPr>
        <w:numPr>
          <w:ilvl w:val="0"/>
          <w:numId w:val="12"/>
        </w:numPr>
        <w:spacing w:line="440" w:lineRule="exact"/>
        <w:ind w:left="420" w:leftChars="200" w:right="62" w:righ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地方特产运营思路；（格式自拟）</w:t>
      </w:r>
    </w:p>
    <w:p w14:paraId="706F928E">
      <w:pPr>
        <w:numPr>
          <w:ilvl w:val="0"/>
          <w:numId w:val="12"/>
        </w:numPr>
        <w:spacing w:line="440" w:lineRule="exact"/>
        <w:ind w:left="420" w:leftChars="200" w:right="62" w:righ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销售渠道拓展思路；（格式自拟）</w:t>
      </w:r>
    </w:p>
    <w:p w14:paraId="4855E602">
      <w:pPr>
        <w:numPr>
          <w:ilvl w:val="0"/>
          <w:numId w:val="12"/>
        </w:numPr>
        <w:spacing w:line="440" w:lineRule="exact"/>
        <w:ind w:left="420" w:leftChars="200" w:right="62" w:rightChars="0" w:firstLine="0" w:firstLineChars="0"/>
        <w:rPr>
          <w:rFonts w:hint="eastAsia" w:ascii="仿宋" w:hAnsi="仿宋" w:eastAsia="仿宋" w:cs="仿宋"/>
          <w:b w:val="0"/>
          <w:color w:val="auto"/>
          <w:sz w:val="21"/>
          <w:szCs w:val="21"/>
          <w:highlight w:val="none"/>
          <w:lang w:bidi="ar"/>
        </w:rPr>
      </w:pPr>
      <w:r>
        <w:rPr>
          <w:rFonts w:hint="eastAsia" w:ascii="仿宋" w:hAnsi="仿宋" w:eastAsia="仿宋" w:cs="仿宋"/>
          <w:color w:val="auto"/>
          <w:sz w:val="21"/>
          <w:szCs w:val="21"/>
          <w:highlight w:val="none"/>
          <w:lang w:val="en-US" w:eastAsia="zh-CN"/>
        </w:rPr>
        <w:t>产品包装运营方案；（格式自拟）</w:t>
      </w:r>
    </w:p>
    <w:p w14:paraId="127FC8BA">
      <w:pPr>
        <w:numPr>
          <w:ilvl w:val="0"/>
          <w:numId w:val="9"/>
        </w:numPr>
        <w:spacing w:line="440" w:lineRule="exact"/>
        <w:ind w:leftChars="0" w:right="62" w:rightChars="0" w:firstLine="420" w:firstLineChars="200"/>
        <w:rPr>
          <w:rFonts w:hint="eastAsia" w:ascii="仿宋" w:hAnsi="仿宋" w:eastAsia="仿宋" w:cs="仿宋"/>
          <w:b w:val="0"/>
          <w:color w:val="auto"/>
          <w:sz w:val="21"/>
          <w:szCs w:val="21"/>
          <w:highlight w:val="none"/>
          <w:lang w:bidi="ar"/>
        </w:rPr>
      </w:pPr>
      <w:r>
        <w:rPr>
          <w:rFonts w:hint="eastAsia" w:ascii="仿宋" w:hAnsi="仿宋" w:eastAsia="仿宋" w:cs="仿宋"/>
          <w:color w:val="auto"/>
          <w:sz w:val="21"/>
          <w:szCs w:val="21"/>
          <w:highlight w:val="none"/>
          <w:lang w:val="en-US" w:eastAsia="zh-CN"/>
        </w:rPr>
        <w:t>4</w:t>
      </w:r>
      <w:r>
        <w:rPr>
          <w:rFonts w:hint="eastAsia" w:ascii="仿宋" w:hAnsi="仿宋" w:eastAsia="仿宋" w:cs="仿宋"/>
          <w:b w:val="0"/>
          <w:color w:val="auto"/>
          <w:sz w:val="21"/>
          <w:szCs w:val="21"/>
          <w:highlight w:val="none"/>
          <w:lang w:bidi="ar"/>
        </w:rPr>
        <w:t>基础运营保障方案及承诺</w:t>
      </w:r>
    </w:p>
    <w:p w14:paraId="0E7F6848">
      <w:pPr>
        <w:numPr>
          <w:ilvl w:val="0"/>
          <w:numId w:val="13"/>
        </w:numPr>
        <w:spacing w:line="440" w:lineRule="exact"/>
        <w:ind w:left="420" w:leftChars="200" w:right="62" w:rightChars="0" w:firstLine="0" w:firstLineChars="0"/>
        <w:rPr>
          <w:rStyle w:val="73"/>
          <w:rFonts w:hint="eastAsia" w:ascii="仿宋" w:hAnsi="仿宋" w:eastAsia="仿宋" w:cs="仿宋"/>
          <w:color w:val="auto"/>
          <w:sz w:val="21"/>
          <w:szCs w:val="21"/>
          <w:highlight w:val="none"/>
          <w:lang w:bidi="ar"/>
        </w:rPr>
      </w:pPr>
      <w:r>
        <w:rPr>
          <w:rStyle w:val="73"/>
          <w:rFonts w:hint="eastAsia" w:ascii="仿宋" w:hAnsi="仿宋" w:eastAsia="仿宋" w:cs="仿宋"/>
          <w:color w:val="auto"/>
          <w:sz w:val="21"/>
          <w:szCs w:val="21"/>
          <w:highlight w:val="none"/>
          <w:lang w:bidi="ar"/>
        </w:rPr>
        <w:t>岗位分工及指责划分方案</w:t>
      </w:r>
      <w:r>
        <w:rPr>
          <w:rFonts w:hint="eastAsia" w:ascii="仿宋" w:hAnsi="仿宋" w:eastAsia="仿宋" w:cs="仿宋"/>
          <w:color w:val="auto"/>
          <w:sz w:val="21"/>
          <w:szCs w:val="21"/>
          <w:highlight w:val="none"/>
          <w:lang w:val="en-US" w:eastAsia="zh-CN"/>
        </w:rPr>
        <w:t>（格式自拟）</w:t>
      </w:r>
    </w:p>
    <w:p w14:paraId="01676620">
      <w:pPr>
        <w:numPr>
          <w:ilvl w:val="0"/>
          <w:numId w:val="13"/>
        </w:numPr>
        <w:spacing w:line="440" w:lineRule="exact"/>
        <w:ind w:left="420" w:leftChars="200" w:right="62" w:rightChars="0" w:firstLine="0" w:firstLineChars="0"/>
        <w:rPr>
          <w:rFonts w:hint="eastAsia" w:ascii="仿宋" w:hAnsi="仿宋" w:eastAsia="仿宋" w:cs="仿宋"/>
          <w:b w:val="0"/>
          <w:bCs w:val="0"/>
          <w:color w:val="auto"/>
          <w:sz w:val="21"/>
          <w:szCs w:val="21"/>
          <w:highlight w:val="none"/>
          <w:lang w:val="en-US" w:eastAsia="zh-CN" w:bidi="ar"/>
        </w:rPr>
      </w:pPr>
      <w:r>
        <w:rPr>
          <w:rStyle w:val="73"/>
          <w:rFonts w:hint="eastAsia" w:ascii="仿宋" w:hAnsi="仿宋" w:eastAsia="仿宋" w:cs="仿宋"/>
          <w:color w:val="auto"/>
          <w:sz w:val="21"/>
          <w:szCs w:val="21"/>
          <w:highlight w:val="none"/>
          <w:lang w:bidi="ar"/>
        </w:rPr>
        <w:t>人员培训方案</w:t>
      </w:r>
      <w:r>
        <w:rPr>
          <w:rFonts w:hint="eastAsia" w:ascii="仿宋" w:hAnsi="仿宋" w:eastAsia="仿宋" w:cs="仿宋"/>
          <w:color w:val="auto"/>
          <w:sz w:val="21"/>
          <w:szCs w:val="21"/>
          <w:highlight w:val="none"/>
          <w:lang w:val="en-US" w:eastAsia="zh-CN"/>
        </w:rPr>
        <w:t>（格式自拟）</w:t>
      </w:r>
    </w:p>
    <w:p w14:paraId="4BE3A50E">
      <w:pPr>
        <w:numPr>
          <w:ilvl w:val="0"/>
          <w:numId w:val="13"/>
        </w:numPr>
        <w:spacing w:line="440" w:lineRule="exact"/>
        <w:ind w:left="420" w:leftChars="200" w:right="62" w:rightChars="0" w:firstLine="0" w:firstLineChars="0"/>
        <w:rPr>
          <w:rFonts w:hint="eastAsia" w:ascii="仿宋" w:hAnsi="仿宋" w:eastAsia="仿宋" w:cs="仿宋"/>
          <w:b w:val="0"/>
          <w:bCs w:val="0"/>
          <w:color w:val="auto"/>
          <w:sz w:val="21"/>
          <w:szCs w:val="21"/>
          <w:highlight w:val="none"/>
          <w:lang w:val="en-US" w:eastAsia="zh-CN" w:bidi="ar"/>
        </w:rPr>
      </w:pPr>
      <w:r>
        <w:rPr>
          <w:rStyle w:val="73"/>
          <w:rFonts w:hint="eastAsia" w:ascii="仿宋" w:hAnsi="仿宋" w:eastAsia="仿宋" w:cs="仿宋"/>
          <w:color w:val="auto"/>
          <w:sz w:val="21"/>
          <w:szCs w:val="21"/>
          <w:highlight w:val="none"/>
          <w:lang w:bidi="ar"/>
        </w:rPr>
        <w:t>现场服务质量承诺</w:t>
      </w:r>
      <w:r>
        <w:rPr>
          <w:rFonts w:hint="eastAsia" w:ascii="仿宋" w:hAnsi="仿宋" w:eastAsia="仿宋" w:cs="仿宋"/>
          <w:color w:val="auto"/>
          <w:sz w:val="21"/>
          <w:szCs w:val="21"/>
          <w:highlight w:val="none"/>
          <w:lang w:val="en-US" w:eastAsia="zh-CN"/>
        </w:rPr>
        <w:t>（格式自拟）</w:t>
      </w:r>
    </w:p>
    <w:p w14:paraId="243C0F2E">
      <w:pPr>
        <w:numPr>
          <w:ilvl w:val="0"/>
          <w:numId w:val="13"/>
        </w:numPr>
        <w:spacing w:line="440" w:lineRule="exact"/>
        <w:ind w:left="420" w:leftChars="200" w:right="62" w:rightChars="0" w:firstLine="0" w:firstLineChars="0"/>
        <w:rPr>
          <w:rFonts w:hint="eastAsia" w:ascii="仿宋" w:hAnsi="仿宋" w:eastAsia="仿宋" w:cs="仿宋"/>
          <w:b w:val="0"/>
          <w:bCs w:val="0"/>
          <w:color w:val="auto"/>
          <w:sz w:val="21"/>
          <w:szCs w:val="21"/>
          <w:highlight w:val="none"/>
          <w:lang w:val="en-US" w:eastAsia="zh-CN" w:bidi="ar"/>
        </w:rPr>
      </w:pPr>
      <w:r>
        <w:rPr>
          <w:rStyle w:val="73"/>
          <w:rFonts w:hint="eastAsia" w:ascii="仿宋" w:hAnsi="仿宋" w:eastAsia="仿宋" w:cs="仿宋"/>
          <w:color w:val="auto"/>
          <w:sz w:val="21"/>
          <w:szCs w:val="21"/>
          <w:highlight w:val="none"/>
          <w:lang w:bidi="ar"/>
        </w:rPr>
        <w:t>消防管理措施</w:t>
      </w:r>
      <w:r>
        <w:rPr>
          <w:rFonts w:hint="eastAsia" w:ascii="仿宋" w:hAnsi="仿宋" w:eastAsia="仿宋" w:cs="仿宋"/>
          <w:color w:val="auto"/>
          <w:sz w:val="21"/>
          <w:szCs w:val="21"/>
          <w:highlight w:val="none"/>
          <w:lang w:val="en-US" w:eastAsia="zh-CN"/>
        </w:rPr>
        <w:t>（格式自拟）</w:t>
      </w:r>
    </w:p>
    <w:p w14:paraId="5C77AAD1">
      <w:pPr>
        <w:numPr>
          <w:ilvl w:val="0"/>
          <w:numId w:val="13"/>
        </w:numPr>
        <w:spacing w:line="440" w:lineRule="exact"/>
        <w:ind w:left="420" w:leftChars="200" w:right="62" w:rightChars="0" w:firstLine="0" w:firstLineChars="0"/>
        <w:rPr>
          <w:rFonts w:hint="eastAsia" w:ascii="仿宋" w:hAnsi="仿宋" w:eastAsia="仿宋" w:cs="仿宋"/>
          <w:b w:val="0"/>
          <w:color w:val="auto"/>
          <w:sz w:val="21"/>
          <w:szCs w:val="21"/>
          <w:highlight w:val="none"/>
          <w:lang w:val="en-US" w:eastAsia="zh-CN" w:bidi="ar"/>
        </w:rPr>
      </w:pPr>
      <w:r>
        <w:rPr>
          <w:rStyle w:val="73"/>
          <w:rFonts w:hint="eastAsia" w:ascii="仿宋" w:hAnsi="仿宋" w:eastAsia="仿宋" w:cs="仿宋"/>
          <w:color w:val="auto"/>
          <w:sz w:val="21"/>
          <w:szCs w:val="21"/>
          <w:highlight w:val="none"/>
          <w:lang w:bidi="ar"/>
        </w:rPr>
        <w:t>表演活动安全组织方案</w:t>
      </w:r>
      <w:r>
        <w:rPr>
          <w:rFonts w:hint="eastAsia" w:ascii="仿宋" w:hAnsi="仿宋" w:eastAsia="仿宋" w:cs="仿宋"/>
          <w:color w:val="auto"/>
          <w:sz w:val="21"/>
          <w:szCs w:val="21"/>
          <w:highlight w:val="none"/>
          <w:lang w:val="en-US" w:eastAsia="zh-CN"/>
        </w:rPr>
        <w:t>（格式自拟）</w:t>
      </w:r>
    </w:p>
    <w:p w14:paraId="4BB49EF1">
      <w:pPr>
        <w:numPr>
          <w:ilvl w:val="-1"/>
          <w:numId w:val="0"/>
        </w:numPr>
        <w:spacing w:line="440" w:lineRule="exact"/>
        <w:ind w:left="420" w:leftChars="200" w:right="62" w:righ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5、应急预案</w:t>
      </w:r>
    </w:p>
    <w:p w14:paraId="65FF2EC6">
      <w:pPr>
        <w:keepNext w:val="0"/>
        <w:keepLines w:val="0"/>
        <w:widowControl/>
        <w:numPr>
          <w:ilvl w:val="0"/>
          <w:numId w:val="14"/>
        </w:numPr>
        <w:suppressLineNumbers w:val="0"/>
        <w:spacing w:before="0" w:beforeAutospacing="0" w:after="0" w:afterAutospacing="0" w:line="440" w:lineRule="exact"/>
        <w:ind w:left="420" w:leftChars="200" w:firstLine="0" w:firstLineChars="0"/>
        <w:jc w:val="left"/>
        <w:rPr>
          <w:rStyle w:val="160"/>
          <w:rFonts w:hint="eastAsia" w:ascii="仿宋" w:hAnsi="仿宋" w:eastAsia="仿宋" w:cs="仿宋"/>
          <w:sz w:val="24"/>
          <w:lang w:val="en-US" w:eastAsia="zh-CN" w:bidi="ar"/>
        </w:rPr>
      </w:pPr>
      <w:r>
        <w:rPr>
          <w:rStyle w:val="73"/>
          <w:rFonts w:hint="eastAsia" w:ascii="仿宋" w:hAnsi="仿宋" w:eastAsia="仿宋" w:cs="仿宋"/>
          <w:color w:val="auto"/>
          <w:sz w:val="21"/>
          <w:szCs w:val="21"/>
          <w:highlight w:val="none"/>
          <w:lang w:val="en-US" w:eastAsia="zh-CN" w:bidi="ar"/>
        </w:rPr>
        <w:t>突发应急情况分析及应急措施</w:t>
      </w:r>
      <w:r>
        <w:rPr>
          <w:rFonts w:hint="eastAsia" w:ascii="仿宋" w:hAnsi="仿宋" w:eastAsia="仿宋" w:cs="仿宋"/>
          <w:color w:val="auto"/>
          <w:sz w:val="21"/>
          <w:szCs w:val="21"/>
          <w:highlight w:val="none"/>
          <w:lang w:val="en-US" w:eastAsia="zh-CN"/>
        </w:rPr>
        <w:t>（格式自拟）</w:t>
      </w:r>
    </w:p>
    <w:p w14:paraId="39712F75">
      <w:pPr>
        <w:keepNext w:val="0"/>
        <w:keepLines w:val="0"/>
        <w:widowControl/>
        <w:numPr>
          <w:ilvl w:val="0"/>
          <w:numId w:val="14"/>
        </w:numPr>
        <w:suppressLineNumbers w:val="0"/>
        <w:spacing w:before="0" w:beforeAutospacing="0" w:after="0" w:afterAutospacing="0" w:line="440" w:lineRule="exact"/>
        <w:ind w:left="420" w:leftChars="200" w:firstLine="0" w:firstLineChars="0"/>
        <w:jc w:val="left"/>
        <w:rPr>
          <w:rStyle w:val="160"/>
          <w:rFonts w:hint="eastAsia" w:ascii="仿宋" w:hAnsi="仿宋" w:eastAsia="仿宋" w:cs="仿宋"/>
          <w:sz w:val="24"/>
          <w:lang w:val="en-US" w:eastAsia="zh-CN" w:bidi="ar"/>
        </w:rPr>
      </w:pPr>
      <w:r>
        <w:rPr>
          <w:rStyle w:val="160"/>
          <w:rFonts w:hint="eastAsia" w:ascii="仿宋" w:hAnsi="仿宋" w:eastAsia="仿宋" w:cs="仿宋"/>
          <w:sz w:val="24"/>
          <w:lang w:val="en-US" w:eastAsia="zh-CN" w:bidi="ar"/>
        </w:rPr>
        <w:t>突发情况的人员调配</w:t>
      </w:r>
      <w:r>
        <w:rPr>
          <w:rFonts w:hint="eastAsia" w:ascii="仿宋" w:hAnsi="仿宋" w:eastAsia="仿宋" w:cs="仿宋"/>
          <w:color w:val="auto"/>
          <w:sz w:val="21"/>
          <w:szCs w:val="21"/>
          <w:highlight w:val="none"/>
          <w:lang w:val="en-US" w:eastAsia="zh-CN"/>
        </w:rPr>
        <w:t>（格式自拟）</w:t>
      </w:r>
    </w:p>
    <w:p w14:paraId="4642788C">
      <w:pPr>
        <w:keepNext w:val="0"/>
        <w:keepLines w:val="0"/>
        <w:widowControl/>
        <w:numPr>
          <w:ilvl w:val="0"/>
          <w:numId w:val="14"/>
        </w:numPr>
        <w:suppressLineNumbers w:val="0"/>
        <w:spacing w:before="0" w:beforeAutospacing="0" w:after="0" w:afterAutospacing="0" w:line="440" w:lineRule="exact"/>
        <w:ind w:left="420" w:leftChars="200" w:firstLine="0" w:firstLineChars="0"/>
        <w:jc w:val="left"/>
        <w:rPr>
          <w:rStyle w:val="160"/>
          <w:rFonts w:hint="eastAsia" w:ascii="仿宋" w:hAnsi="仿宋" w:eastAsia="仿宋" w:cs="仿宋"/>
          <w:sz w:val="24"/>
          <w:lang w:val="en-US" w:eastAsia="zh-CN" w:bidi="ar"/>
        </w:rPr>
      </w:pPr>
      <w:r>
        <w:rPr>
          <w:rStyle w:val="160"/>
          <w:rFonts w:hint="eastAsia" w:ascii="仿宋" w:hAnsi="仿宋" w:eastAsia="仿宋" w:cs="仿宋"/>
          <w:sz w:val="24"/>
          <w:lang w:val="en-US" w:eastAsia="zh-CN" w:bidi="ar"/>
        </w:rPr>
        <w:t>业务紧急操作</w:t>
      </w:r>
      <w:r>
        <w:rPr>
          <w:rFonts w:hint="eastAsia" w:ascii="仿宋" w:hAnsi="仿宋" w:eastAsia="仿宋" w:cs="仿宋"/>
          <w:color w:val="auto"/>
          <w:sz w:val="21"/>
          <w:szCs w:val="21"/>
          <w:highlight w:val="none"/>
          <w:lang w:val="en-US" w:eastAsia="zh-CN"/>
        </w:rPr>
        <w:t>（格式自拟）</w:t>
      </w:r>
    </w:p>
    <w:p w14:paraId="02247291">
      <w:pPr>
        <w:keepNext w:val="0"/>
        <w:keepLines w:val="0"/>
        <w:widowControl/>
        <w:numPr>
          <w:ilvl w:val="0"/>
          <w:numId w:val="14"/>
        </w:numPr>
        <w:suppressLineNumbers w:val="0"/>
        <w:spacing w:before="0" w:beforeAutospacing="0" w:after="0" w:afterAutospacing="0" w:line="440" w:lineRule="exact"/>
        <w:ind w:left="420" w:leftChars="200" w:firstLine="0" w:firstLineChars="0"/>
        <w:jc w:val="left"/>
        <w:rPr>
          <w:rStyle w:val="160"/>
          <w:rFonts w:hint="eastAsia" w:ascii="仿宋" w:hAnsi="仿宋" w:eastAsia="仿宋" w:cs="仿宋"/>
          <w:sz w:val="24"/>
          <w:lang w:val="en-US" w:eastAsia="zh-CN" w:bidi="ar"/>
        </w:rPr>
      </w:pPr>
      <w:r>
        <w:rPr>
          <w:rStyle w:val="160"/>
          <w:rFonts w:hint="eastAsia" w:ascii="仿宋" w:hAnsi="仿宋" w:eastAsia="仿宋" w:cs="仿宋"/>
          <w:sz w:val="24"/>
          <w:lang w:val="en-US" w:eastAsia="zh-CN" w:bidi="ar"/>
        </w:rPr>
        <w:t>应急事故发生处理流程和紧急联系人等方面</w:t>
      </w:r>
      <w:r>
        <w:rPr>
          <w:rFonts w:hint="eastAsia" w:ascii="仿宋" w:hAnsi="仿宋" w:eastAsia="仿宋" w:cs="仿宋"/>
          <w:color w:val="auto"/>
          <w:sz w:val="21"/>
          <w:szCs w:val="21"/>
          <w:highlight w:val="none"/>
          <w:lang w:val="en-US" w:eastAsia="zh-CN"/>
        </w:rPr>
        <w:t>（格式自拟）</w:t>
      </w:r>
    </w:p>
    <w:p w14:paraId="493604B5">
      <w:pPr>
        <w:numPr>
          <w:ilvl w:val="0"/>
          <w:numId w:val="14"/>
        </w:numPr>
        <w:spacing w:line="440" w:lineRule="exact"/>
        <w:ind w:left="420" w:leftChars="200" w:right="62" w:rightChars="0" w:firstLine="0" w:firstLineChars="0"/>
        <w:rPr>
          <w:rFonts w:hint="eastAsia" w:ascii="仿宋" w:hAnsi="仿宋" w:eastAsia="仿宋" w:cs="仿宋"/>
          <w:b w:val="0"/>
          <w:color w:val="auto"/>
          <w:sz w:val="21"/>
          <w:szCs w:val="21"/>
          <w:highlight w:val="none"/>
          <w:lang w:val="en-US" w:eastAsia="zh-CN" w:bidi="ar"/>
        </w:rPr>
      </w:pPr>
      <w:r>
        <w:rPr>
          <w:rStyle w:val="160"/>
          <w:rFonts w:hint="eastAsia" w:ascii="仿宋" w:hAnsi="仿宋" w:eastAsia="仿宋" w:cs="仿宋"/>
          <w:sz w:val="24"/>
          <w:lang w:val="en-US" w:eastAsia="zh-CN" w:bidi="ar"/>
        </w:rPr>
        <w:t>应急设备配置</w:t>
      </w:r>
      <w:r>
        <w:rPr>
          <w:rFonts w:hint="eastAsia" w:ascii="仿宋" w:hAnsi="仿宋" w:eastAsia="仿宋" w:cs="仿宋"/>
          <w:color w:val="auto"/>
          <w:sz w:val="21"/>
          <w:szCs w:val="21"/>
          <w:highlight w:val="none"/>
          <w:lang w:val="en-US" w:eastAsia="zh-CN"/>
        </w:rPr>
        <w:t>（格式自拟）</w:t>
      </w:r>
    </w:p>
    <w:p w14:paraId="1A3E8F73">
      <w:pPr>
        <w:pStyle w:val="88"/>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请投标人根据招标文件“评分因素及评标标准”中的要求，按顺序提供详细的方案、证明材料等，自行编排序号。投标人认为必需的其他内容。</w:t>
      </w:r>
    </w:p>
    <w:p w14:paraId="0E1FD670">
      <w:pPr>
        <w:spacing w:line="440" w:lineRule="exact"/>
        <w:ind w:firstLine="420" w:firstLineChars="200"/>
        <w:rPr>
          <w:rFonts w:hint="eastAsia" w:ascii="仿宋" w:hAnsi="仿宋" w:eastAsia="仿宋" w:cs="仿宋"/>
          <w:color w:val="auto"/>
          <w:sz w:val="21"/>
          <w:szCs w:val="21"/>
          <w:highlight w:val="none"/>
        </w:rPr>
      </w:pPr>
    </w:p>
    <w:p w14:paraId="4729AF2C">
      <w:pPr>
        <w:spacing w:line="440" w:lineRule="exact"/>
        <w:ind w:firstLine="420" w:firstLineChars="200"/>
        <w:rPr>
          <w:rFonts w:hint="eastAsia" w:ascii="仿宋" w:hAnsi="仿宋" w:eastAsia="仿宋" w:cs="仿宋"/>
          <w:color w:val="auto"/>
          <w:sz w:val="21"/>
          <w:szCs w:val="21"/>
          <w:highlight w:val="none"/>
        </w:rPr>
      </w:pPr>
    </w:p>
    <w:p w14:paraId="460B32A8">
      <w:pPr>
        <w:ind w:left="210" w:leftChars="100" w:firstLine="315" w:firstLineChars="150"/>
        <w:jc w:val="both"/>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上述内容仅供参考，如有不足，请自行补充提供。</w:t>
      </w:r>
      <w:bookmarkStart w:id="568" w:name="_Toc31589"/>
    </w:p>
    <w:p w14:paraId="214FB1C7">
      <w:pPr>
        <w:jc w:val="both"/>
        <w:outlineLvl w:val="9"/>
        <w:rPr>
          <w:rFonts w:hint="eastAsia" w:ascii="仿宋" w:hAnsi="仿宋" w:eastAsia="仿宋" w:cs="仿宋"/>
          <w:b/>
          <w:bCs w:val="0"/>
          <w:color w:val="auto"/>
          <w:kern w:val="2"/>
          <w:sz w:val="28"/>
          <w:szCs w:val="24"/>
          <w:highlight w:val="none"/>
          <w:lang w:val="en-US" w:eastAsia="zh-CN" w:bidi="ar-SA"/>
        </w:rPr>
      </w:pPr>
      <w:r>
        <w:rPr>
          <w:rFonts w:hint="eastAsia" w:ascii="仿宋" w:hAnsi="仿宋" w:eastAsia="仿宋" w:cs="仿宋"/>
          <w:color w:val="auto"/>
          <w:sz w:val="21"/>
          <w:szCs w:val="21"/>
          <w:highlight w:val="none"/>
        </w:rPr>
        <w:br w:type="page"/>
      </w:r>
      <w:r>
        <w:rPr>
          <w:rFonts w:hint="eastAsia" w:ascii="仿宋" w:hAnsi="仿宋" w:eastAsia="仿宋" w:cs="仿宋"/>
          <w:b/>
          <w:bCs w:val="0"/>
          <w:color w:val="auto"/>
          <w:kern w:val="2"/>
          <w:sz w:val="28"/>
          <w:szCs w:val="24"/>
          <w:highlight w:val="none"/>
          <w:lang w:val="en-US" w:eastAsia="zh-CN" w:bidi="ar-SA"/>
        </w:rPr>
        <w:t>附件</w:t>
      </w:r>
      <w:bookmarkEnd w:id="568"/>
      <w:r>
        <w:rPr>
          <w:rFonts w:hint="eastAsia" w:ascii="仿宋" w:hAnsi="仿宋" w:eastAsia="仿宋" w:cs="仿宋"/>
          <w:b/>
          <w:bCs w:val="0"/>
          <w:color w:val="auto"/>
          <w:kern w:val="2"/>
          <w:sz w:val="28"/>
          <w:szCs w:val="24"/>
          <w:highlight w:val="none"/>
          <w:lang w:val="en-US" w:eastAsia="zh-CN" w:bidi="ar-SA"/>
        </w:rPr>
        <w:t>二十三</w:t>
      </w:r>
    </w:p>
    <w:p w14:paraId="496F646C">
      <w:pPr>
        <w:jc w:val="center"/>
        <w:outlineLvl w:val="9"/>
        <w:rPr>
          <w:rFonts w:hint="eastAsia" w:ascii="仿宋" w:hAnsi="仿宋" w:eastAsia="仿宋" w:cs="仿宋"/>
          <w:b/>
          <w:bCs w:val="0"/>
          <w:color w:val="auto"/>
          <w:kern w:val="2"/>
          <w:sz w:val="32"/>
          <w:szCs w:val="28"/>
          <w:highlight w:val="none"/>
          <w:lang w:val="en-US" w:eastAsia="zh-CN" w:bidi="ar-SA"/>
        </w:rPr>
      </w:pPr>
    </w:p>
    <w:p w14:paraId="0CE427D0">
      <w:pPr>
        <w:jc w:val="center"/>
        <w:outlineLvl w:val="9"/>
        <w:rPr>
          <w:rFonts w:hint="eastAsia" w:ascii="仿宋" w:hAnsi="仿宋" w:eastAsia="仿宋" w:cs="仿宋"/>
          <w:b/>
          <w:bCs w:val="0"/>
          <w:color w:val="auto"/>
          <w:kern w:val="2"/>
          <w:sz w:val="32"/>
          <w:szCs w:val="28"/>
          <w:highlight w:val="none"/>
          <w:lang w:val="en-US" w:eastAsia="zh-CN" w:bidi="ar-SA"/>
        </w:rPr>
      </w:pPr>
      <w:r>
        <w:rPr>
          <w:rFonts w:hint="eastAsia" w:ascii="仿宋" w:hAnsi="仿宋" w:eastAsia="仿宋" w:cs="仿宋"/>
          <w:b/>
          <w:bCs w:val="0"/>
          <w:color w:val="auto"/>
          <w:kern w:val="2"/>
          <w:sz w:val="32"/>
          <w:szCs w:val="28"/>
          <w:highlight w:val="none"/>
          <w:lang w:val="en-US" w:eastAsia="zh-CN" w:bidi="ar-SA"/>
        </w:rPr>
        <w:t>服务承诺书</w:t>
      </w:r>
    </w:p>
    <w:p w14:paraId="187B8C45">
      <w:pPr>
        <w:jc w:val="center"/>
        <w:outlineLvl w:val="9"/>
        <w:rPr>
          <w:rFonts w:hint="eastAsia" w:ascii="仿宋" w:hAnsi="仿宋" w:eastAsia="仿宋" w:cs="仿宋"/>
          <w:b/>
          <w:bCs w:val="0"/>
          <w:color w:val="auto"/>
          <w:kern w:val="2"/>
          <w:sz w:val="32"/>
          <w:szCs w:val="28"/>
          <w:highlight w:val="none"/>
          <w:lang w:val="en-US" w:eastAsia="zh-CN" w:bidi="ar-SA"/>
        </w:rPr>
        <w:sectPr>
          <w:type w:val="continuous"/>
          <w:pgSz w:w="11905" w:h="16838"/>
          <w:pgMar w:top="1440" w:right="1080" w:bottom="1440" w:left="1080" w:header="567" w:footer="454" w:gutter="0"/>
          <w:pgNumType w:fmt="decimal"/>
          <w:cols w:space="720" w:num="1"/>
          <w:rtlGutter w:val="0"/>
          <w:docGrid w:type="lines" w:linePitch="317" w:charSpace="0"/>
        </w:sectPr>
      </w:pPr>
      <w:r>
        <w:rPr>
          <w:rFonts w:hint="eastAsia" w:ascii="仿宋" w:hAnsi="仿宋" w:eastAsia="仿宋" w:cs="仿宋"/>
          <w:b/>
          <w:bCs w:val="0"/>
          <w:color w:val="auto"/>
          <w:kern w:val="2"/>
          <w:sz w:val="32"/>
          <w:szCs w:val="28"/>
          <w:highlight w:val="none"/>
          <w:lang w:val="en-US" w:eastAsia="zh-CN" w:bidi="ar-SA"/>
        </w:rPr>
        <w:t>根据本项目的情况，给出服务承诺；格式自拟。</w:t>
      </w:r>
    </w:p>
    <w:p w14:paraId="63142D23">
      <w:pPr>
        <w:jc w:val="both"/>
        <w:outlineLvl w:val="9"/>
        <w:rPr>
          <w:rFonts w:hint="eastAsia" w:ascii="仿宋" w:hAnsi="仿宋" w:eastAsia="仿宋" w:cs="仿宋"/>
          <w:b/>
          <w:bCs w:val="0"/>
          <w:color w:val="auto"/>
          <w:kern w:val="2"/>
          <w:sz w:val="28"/>
          <w:szCs w:val="24"/>
          <w:highlight w:val="none"/>
          <w:lang w:val="en-US" w:eastAsia="zh-CN" w:bidi="ar-SA"/>
        </w:rPr>
      </w:pPr>
    </w:p>
    <w:p w14:paraId="02E063A9">
      <w:pPr>
        <w:ind w:left="0" w:leftChars="0" w:firstLine="0" w:firstLineChars="0"/>
        <w:jc w:val="both"/>
        <w:outlineLvl w:val="9"/>
        <w:rPr>
          <w:rFonts w:hint="eastAsia" w:ascii="仿宋" w:hAnsi="仿宋" w:eastAsia="仿宋" w:cs="仿宋"/>
          <w:b/>
          <w:bCs w:val="0"/>
          <w:color w:val="auto"/>
          <w:kern w:val="2"/>
          <w:sz w:val="28"/>
          <w:szCs w:val="24"/>
          <w:highlight w:val="none"/>
          <w:lang w:val="en-US" w:eastAsia="zh-CN" w:bidi="ar-SA"/>
        </w:rPr>
      </w:pPr>
    </w:p>
    <w:p w14:paraId="7638981F">
      <w:pPr>
        <w:jc w:val="both"/>
        <w:outlineLvl w:val="9"/>
        <w:rPr>
          <w:rFonts w:hint="eastAsia" w:ascii="仿宋" w:hAnsi="仿宋" w:eastAsia="仿宋" w:cs="仿宋"/>
          <w:b/>
          <w:bCs w:val="0"/>
          <w:color w:val="auto"/>
          <w:kern w:val="2"/>
          <w:sz w:val="28"/>
          <w:szCs w:val="24"/>
          <w:highlight w:val="none"/>
          <w:lang w:val="en-US" w:eastAsia="zh-CN" w:bidi="ar-SA"/>
        </w:rPr>
      </w:pPr>
      <w:bookmarkStart w:id="569" w:name="_Toc1675"/>
      <w:bookmarkStart w:id="570" w:name="_Toc5601"/>
      <w:bookmarkStart w:id="571" w:name="_Toc18677"/>
      <w:r>
        <w:rPr>
          <w:rFonts w:hint="eastAsia" w:ascii="仿宋" w:hAnsi="仿宋" w:eastAsia="仿宋" w:cs="仿宋"/>
          <w:b/>
          <w:bCs w:val="0"/>
          <w:color w:val="auto"/>
          <w:kern w:val="2"/>
          <w:sz w:val="28"/>
          <w:szCs w:val="24"/>
          <w:highlight w:val="none"/>
          <w:lang w:val="en-US" w:eastAsia="zh-CN" w:bidi="ar-SA"/>
        </w:rPr>
        <w:t>附件</w:t>
      </w:r>
      <w:bookmarkEnd w:id="569"/>
      <w:bookmarkEnd w:id="570"/>
      <w:bookmarkEnd w:id="571"/>
      <w:r>
        <w:rPr>
          <w:rFonts w:hint="eastAsia" w:ascii="仿宋" w:hAnsi="仿宋" w:eastAsia="仿宋" w:cs="仿宋"/>
          <w:b/>
          <w:bCs w:val="0"/>
          <w:color w:val="auto"/>
          <w:kern w:val="2"/>
          <w:sz w:val="28"/>
          <w:szCs w:val="24"/>
          <w:highlight w:val="none"/>
          <w:lang w:val="en-US" w:eastAsia="zh-CN" w:bidi="ar-SA"/>
        </w:rPr>
        <w:t>二十四</w:t>
      </w:r>
    </w:p>
    <w:p w14:paraId="1F066BD5">
      <w:pPr>
        <w:jc w:val="center"/>
        <w:outlineLvl w:val="9"/>
        <w:rPr>
          <w:rFonts w:hint="eastAsia" w:ascii="仿宋" w:hAnsi="仿宋" w:eastAsia="仿宋" w:cs="仿宋"/>
          <w:b/>
          <w:sz w:val="30"/>
          <w:szCs w:val="30"/>
          <w:highlight w:val="none"/>
        </w:rPr>
      </w:pPr>
    </w:p>
    <w:p w14:paraId="6C6A47E9">
      <w:pPr>
        <w:jc w:val="center"/>
        <w:outlineLvl w:val="9"/>
        <w:rPr>
          <w:rFonts w:hint="eastAsia" w:ascii="仿宋" w:hAnsi="仿宋" w:eastAsia="仿宋" w:cs="仿宋"/>
          <w:b/>
          <w:sz w:val="30"/>
          <w:szCs w:val="30"/>
          <w:highlight w:val="none"/>
        </w:rPr>
      </w:pPr>
      <w:bookmarkStart w:id="572" w:name="_Toc29985"/>
      <w:bookmarkStart w:id="573" w:name="_Toc2648"/>
      <w:bookmarkStart w:id="574" w:name="_Toc29685"/>
      <w:r>
        <w:rPr>
          <w:rFonts w:hint="eastAsia" w:ascii="仿宋" w:hAnsi="仿宋" w:eastAsia="仿宋" w:cs="仿宋"/>
          <w:b/>
          <w:sz w:val="30"/>
          <w:szCs w:val="30"/>
          <w:highlight w:val="none"/>
        </w:rPr>
        <w:t>其他有利于投标人的资料（如有）</w:t>
      </w:r>
      <w:bookmarkEnd w:id="572"/>
      <w:bookmarkEnd w:id="573"/>
      <w:bookmarkEnd w:id="574"/>
    </w:p>
    <w:p w14:paraId="2B12CBA5">
      <w:pPr>
        <w:pStyle w:val="88"/>
        <w:outlineLvl w:val="9"/>
        <w:rPr>
          <w:rFonts w:hint="eastAsia" w:ascii="仿宋" w:hAnsi="仿宋" w:eastAsia="仿宋" w:cs="仿宋"/>
          <w:highlight w:val="none"/>
        </w:rPr>
      </w:pPr>
    </w:p>
    <w:p w14:paraId="5388C121">
      <w:pPr>
        <w:shd w:val="clear" w:color="auto" w:fill="auto"/>
        <w:jc w:val="center"/>
        <w:outlineLvl w:val="9"/>
        <w:rPr>
          <w:rFonts w:hint="eastAsia" w:ascii="仿宋" w:hAnsi="仿宋" w:eastAsia="仿宋" w:cs="仿宋"/>
          <w:color w:val="auto"/>
          <w:highlight w:val="none"/>
        </w:rPr>
      </w:pPr>
      <w:bookmarkStart w:id="575" w:name="_Toc23573"/>
      <w:bookmarkStart w:id="576" w:name="_Toc29473"/>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中小企业划分标准</w:t>
      </w:r>
      <w:bookmarkEnd w:id="575"/>
      <w:bookmarkEnd w:id="576"/>
    </w:p>
    <w:p w14:paraId="7012D60A">
      <w:pPr>
        <w:shd w:val="clear" w:color="auto" w:fill="auto"/>
        <w:ind w:firstLine="480" w:firstLineChars="200"/>
        <w:outlineLvl w:val="9"/>
        <w:rPr>
          <w:rFonts w:hint="eastAsia" w:ascii="仿宋" w:hAnsi="仿宋" w:eastAsia="仿宋" w:cs="仿宋"/>
          <w:color w:val="auto"/>
          <w:sz w:val="24"/>
          <w:highlight w:val="none"/>
        </w:rPr>
      </w:pPr>
      <w:bookmarkStart w:id="577" w:name="bookmark4"/>
      <w:bookmarkStart w:id="578" w:name="bookmark5"/>
      <w:r>
        <w:rPr>
          <w:rFonts w:hint="eastAsia" w:ascii="仿宋" w:hAnsi="仿宋" w:eastAsia="仿宋" w:cs="仿宋"/>
          <w:color w:val="auto"/>
          <w:sz w:val="24"/>
          <w:highlight w:val="none"/>
        </w:rPr>
        <w:t>工业和信息化部、国家统计局、发展改革委、财政部等四部门《关于印发中小企业划型标准规定的通知》（工信部联企业〔2011〕300号）规定中小企业划型标准如表所示：</w:t>
      </w:r>
      <w:bookmarkEnd w:id="577"/>
      <w:bookmarkEnd w:id="578"/>
    </w:p>
    <w:tbl>
      <w:tblPr>
        <w:tblStyle w:val="7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28"/>
        <w:gridCol w:w="1049"/>
        <w:gridCol w:w="6986"/>
      </w:tblGrid>
      <w:tr w14:paraId="58A5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1BD5487C">
            <w:pPr>
              <w:pStyle w:val="180"/>
              <w:keepNext w:val="0"/>
              <w:keepLines w:val="0"/>
              <w:suppressLineNumbers w:val="0"/>
              <w:shd w:val="clear" w:color="auto" w:fill="auto"/>
              <w:spacing w:before="0" w:beforeAutospacing="0" w:after="0" w:afterAutospacing="0" w:line="240" w:lineRule="auto"/>
              <w:ind w:firstLine="2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农、林、牧、渔业</w:t>
            </w:r>
          </w:p>
        </w:tc>
        <w:tc>
          <w:tcPr>
            <w:tcW w:w="4114" w:type="pct"/>
            <w:gridSpan w:val="2"/>
            <w:shd w:val="clear" w:color="auto" w:fill="FFFFFF"/>
            <w:noWrap w:val="0"/>
            <w:vAlign w:val="center"/>
          </w:tcPr>
          <w:p w14:paraId="40DFDE5B">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营业收入20000万元以下的为中小微型企业。</w:t>
            </w:r>
          </w:p>
        </w:tc>
      </w:tr>
      <w:tr w14:paraId="47CD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7B3D9727">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4F261217">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3577" w:type="pct"/>
            <w:shd w:val="clear" w:color="auto" w:fill="FFFFFF"/>
            <w:noWrap w:val="0"/>
            <w:vAlign w:val="center"/>
          </w:tcPr>
          <w:p w14:paraId="1EA34858">
            <w:pPr>
              <w:pStyle w:val="180"/>
              <w:keepNext w:val="0"/>
              <w:keepLines w:val="0"/>
              <w:suppressLineNumbers w:val="0"/>
              <w:shd w:val="clear" w:color="auto" w:fill="auto"/>
              <w:tabs>
                <w:tab w:val="left" w:pos="1930"/>
              </w:tabs>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500万元</w:t>
            </w: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rPr>
              <w:t>20 000万元</w:t>
            </w:r>
          </w:p>
        </w:tc>
      </w:tr>
      <w:tr w14:paraId="2E1E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365AE99">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64B68B97">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3577" w:type="pct"/>
            <w:shd w:val="clear" w:color="auto" w:fill="FFFFFF"/>
            <w:noWrap w:val="0"/>
            <w:vAlign w:val="center"/>
          </w:tcPr>
          <w:p w14:paraId="0EC87792">
            <w:pPr>
              <w:pStyle w:val="180"/>
              <w:keepNext w:val="0"/>
              <w:keepLines w:val="0"/>
              <w:suppressLineNumbers w:val="0"/>
              <w:shd w:val="clear" w:color="auto" w:fill="auto"/>
              <w:tabs>
                <w:tab w:val="left" w:pos="1752"/>
              </w:tabs>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50万元</w:t>
            </w: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rPr>
              <w:t>500万元</w:t>
            </w:r>
          </w:p>
        </w:tc>
      </w:tr>
      <w:tr w14:paraId="7BFA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BEFE442">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3D4E2867">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3577" w:type="pct"/>
            <w:shd w:val="clear" w:color="auto" w:fill="FFFFFF"/>
            <w:noWrap w:val="0"/>
            <w:vAlign w:val="center"/>
          </w:tcPr>
          <w:p w14:paraId="110E35B8">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50万元以下</w:t>
            </w:r>
          </w:p>
        </w:tc>
      </w:tr>
      <w:tr w14:paraId="62C8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6211D19B">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工业</w:t>
            </w:r>
          </w:p>
          <w:p w14:paraId="6BA58B05">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（包括采矿业，制造业，电力、热力、燃气及水生产和供应</w:t>
            </w:r>
          </w:p>
          <w:p w14:paraId="17043E57">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业）</w:t>
            </w:r>
          </w:p>
        </w:tc>
        <w:tc>
          <w:tcPr>
            <w:tcW w:w="4114" w:type="pct"/>
            <w:gridSpan w:val="2"/>
            <w:shd w:val="clear" w:color="auto" w:fill="FFFFFF"/>
            <w:noWrap w:val="0"/>
            <w:vAlign w:val="center"/>
          </w:tcPr>
          <w:p w14:paraId="3A189221">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从业人员1 000人以下或营业收入 40000万元以下的为中小微型企业。</w:t>
            </w:r>
          </w:p>
        </w:tc>
      </w:tr>
      <w:tr w14:paraId="0A84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04273DF">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2BA4EAA0">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3577" w:type="pct"/>
            <w:shd w:val="clear" w:color="auto" w:fill="FFFFFF"/>
            <w:noWrap w:val="0"/>
            <w:vAlign w:val="center"/>
          </w:tcPr>
          <w:p w14:paraId="1BC6B660">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 300人一1 000人，且营业收入 2 000万元一40 000万元</w:t>
            </w:r>
          </w:p>
        </w:tc>
      </w:tr>
      <w:tr w14:paraId="6F0A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58BF20E">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38523EB6">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3577" w:type="pct"/>
            <w:shd w:val="clear" w:color="auto" w:fill="FFFFFF"/>
            <w:noWrap w:val="0"/>
            <w:vAlign w:val="center"/>
          </w:tcPr>
          <w:p w14:paraId="33AEC73F">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从业人员20人一300人，且营业收入 300万元一2 000万元</w:t>
            </w:r>
          </w:p>
        </w:tc>
      </w:tr>
      <w:tr w14:paraId="1977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807ACDE">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120618B2">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3577" w:type="pct"/>
            <w:shd w:val="clear" w:color="auto" w:fill="FFFFFF"/>
            <w:noWrap w:val="0"/>
            <w:vAlign w:val="center"/>
          </w:tcPr>
          <w:p w14:paraId="526FF451">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从业人员20人以下或营业收入 300万元以下</w:t>
            </w:r>
          </w:p>
        </w:tc>
      </w:tr>
      <w:tr w14:paraId="54F6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5FED7BDD">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建筑业</w:t>
            </w:r>
          </w:p>
        </w:tc>
        <w:tc>
          <w:tcPr>
            <w:tcW w:w="4114" w:type="pct"/>
            <w:gridSpan w:val="2"/>
            <w:shd w:val="clear" w:color="auto" w:fill="FFFFFF"/>
            <w:noWrap w:val="0"/>
            <w:vAlign w:val="center"/>
          </w:tcPr>
          <w:p w14:paraId="7928450C">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营业收入80000万元以下或资产总额 80000万元以下的为中小微型企业。</w:t>
            </w:r>
          </w:p>
        </w:tc>
      </w:tr>
      <w:tr w14:paraId="36D3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24C9BC9">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1423A4BF">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3577" w:type="pct"/>
            <w:shd w:val="clear" w:color="auto" w:fill="FFFFFF"/>
            <w:noWrap w:val="0"/>
            <w:vAlign w:val="center"/>
          </w:tcPr>
          <w:p w14:paraId="63043440">
            <w:pPr>
              <w:pStyle w:val="180"/>
              <w:keepNext w:val="0"/>
              <w:keepLines w:val="0"/>
              <w:suppressLineNumbers w:val="0"/>
              <w:shd w:val="clear" w:color="auto" w:fill="auto"/>
              <w:spacing w:before="0" w:beforeAutospacing="0" w:after="0" w:afterAutospacing="0" w:line="240" w:lineRule="auto"/>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营业收入6000万元一80000万元，且资产总额 5 000万元一80 000 万元</w:t>
            </w:r>
          </w:p>
        </w:tc>
      </w:tr>
      <w:tr w14:paraId="7F76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A491628">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54FC4123">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3577" w:type="pct"/>
            <w:shd w:val="clear" w:color="auto" w:fill="FFFFFF"/>
            <w:noWrap w:val="0"/>
            <w:vAlign w:val="center"/>
          </w:tcPr>
          <w:p w14:paraId="7BA13470">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 300万元一6 000万元，且资产总额 300万一5 000万元</w:t>
            </w:r>
          </w:p>
        </w:tc>
      </w:tr>
      <w:tr w14:paraId="1841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D8C0420">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10B28942">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3577" w:type="pct"/>
            <w:shd w:val="clear" w:color="auto" w:fill="FFFFFF"/>
            <w:noWrap w:val="0"/>
            <w:vAlign w:val="center"/>
          </w:tcPr>
          <w:p w14:paraId="4E149ADA">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营业收入300万元以下或资产总额 300万元以下</w:t>
            </w:r>
          </w:p>
        </w:tc>
      </w:tr>
      <w:tr w14:paraId="3E84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6D6C7B01">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批发业</w:t>
            </w:r>
          </w:p>
        </w:tc>
        <w:tc>
          <w:tcPr>
            <w:tcW w:w="4114" w:type="pct"/>
            <w:gridSpan w:val="2"/>
            <w:shd w:val="clear" w:color="auto" w:fill="FFFFFF"/>
            <w:noWrap w:val="0"/>
            <w:vAlign w:val="center"/>
          </w:tcPr>
          <w:p w14:paraId="4D3FA59E">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从业人员200人以下或营业收入 40 000万元以下的为中小微型企业。</w:t>
            </w:r>
          </w:p>
        </w:tc>
      </w:tr>
      <w:tr w14:paraId="26CC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687E17F">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65392F09">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3577" w:type="pct"/>
            <w:shd w:val="clear" w:color="auto" w:fill="FFFFFF"/>
            <w:noWrap w:val="0"/>
            <w:vAlign w:val="center"/>
          </w:tcPr>
          <w:p w14:paraId="1EDCB60E">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从业人员20人一200人，且营业收入 5 000万元一40 000万元</w:t>
            </w:r>
          </w:p>
        </w:tc>
      </w:tr>
      <w:tr w14:paraId="3C77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7544A78E">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4DB0BC11">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3577" w:type="pct"/>
            <w:shd w:val="clear" w:color="auto" w:fill="FFFFFF"/>
            <w:noWrap w:val="0"/>
            <w:vAlign w:val="center"/>
          </w:tcPr>
          <w:p w14:paraId="1E072AC5">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从业人员5人一20人，且营业收入 1 000万元一5 000万元</w:t>
            </w:r>
          </w:p>
        </w:tc>
      </w:tr>
      <w:tr w14:paraId="3E93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460E20E">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4E72155F">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3577" w:type="pct"/>
            <w:shd w:val="clear" w:color="auto" w:fill="FFFFFF"/>
            <w:noWrap w:val="0"/>
            <w:vAlign w:val="center"/>
          </w:tcPr>
          <w:p w14:paraId="2EA55991">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从业人员5人以下或营业收入 1 000万元以下</w:t>
            </w:r>
          </w:p>
        </w:tc>
      </w:tr>
      <w:tr w14:paraId="241E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11A6D1E2">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零售业</w:t>
            </w:r>
          </w:p>
        </w:tc>
        <w:tc>
          <w:tcPr>
            <w:tcW w:w="4114" w:type="pct"/>
            <w:gridSpan w:val="2"/>
            <w:shd w:val="clear" w:color="auto" w:fill="FFFFFF"/>
            <w:noWrap w:val="0"/>
            <w:vAlign w:val="center"/>
          </w:tcPr>
          <w:p w14:paraId="40BF7F9F">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从业人员300人以下或营业收入 20 000万元以下的为中小微型企业。</w:t>
            </w:r>
          </w:p>
        </w:tc>
      </w:tr>
      <w:tr w14:paraId="07C9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8DCBD8B">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319DB41A">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3577" w:type="pct"/>
            <w:shd w:val="clear" w:color="auto" w:fill="FFFFFF"/>
            <w:noWrap w:val="0"/>
            <w:vAlign w:val="center"/>
          </w:tcPr>
          <w:p w14:paraId="55E59254">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 50人一300人，且营业收入 500万元一20 000万元</w:t>
            </w:r>
          </w:p>
        </w:tc>
      </w:tr>
      <w:tr w14:paraId="1A27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B8EECBA">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21D2D6AD">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3577" w:type="pct"/>
            <w:shd w:val="clear" w:color="auto" w:fill="FFFFFF"/>
            <w:noWrap w:val="0"/>
            <w:vAlign w:val="center"/>
          </w:tcPr>
          <w:p w14:paraId="1C3CB66D">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从业人员10人一50人，且营业收入 100万元一500万元</w:t>
            </w:r>
          </w:p>
        </w:tc>
      </w:tr>
      <w:tr w14:paraId="379B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B99941D">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772AE09D">
            <w:pPr>
              <w:pStyle w:val="180"/>
              <w:keepNext w:val="0"/>
              <w:keepLines w:val="0"/>
              <w:suppressLineNumbers w:val="0"/>
              <w:shd w:val="clear" w:color="auto" w:fill="auto"/>
              <w:spacing w:before="8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3577" w:type="pct"/>
            <w:shd w:val="clear" w:color="auto" w:fill="FFFFFF"/>
            <w:noWrap w:val="0"/>
            <w:vAlign w:val="center"/>
          </w:tcPr>
          <w:p w14:paraId="143D4CA4">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从业人员10人以下或营业收入 100万元以下</w:t>
            </w:r>
          </w:p>
        </w:tc>
      </w:tr>
      <w:tr w14:paraId="5BE4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1D0ACCC6">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交通运输业 （不含铁路运输业）</w:t>
            </w:r>
          </w:p>
        </w:tc>
        <w:tc>
          <w:tcPr>
            <w:tcW w:w="4114" w:type="pct"/>
            <w:gridSpan w:val="2"/>
            <w:shd w:val="clear" w:color="auto" w:fill="FFFFFF"/>
            <w:noWrap w:val="0"/>
            <w:vAlign w:val="center"/>
          </w:tcPr>
          <w:p w14:paraId="43BDFD59">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从业人员1 000人以下或营业收入 30 000万元以下的为中小微型企业。</w:t>
            </w:r>
          </w:p>
        </w:tc>
      </w:tr>
      <w:tr w14:paraId="4C11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323FA2E">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671F5D53">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3577" w:type="pct"/>
            <w:shd w:val="clear" w:color="auto" w:fill="FFFFFF"/>
            <w:noWrap w:val="0"/>
            <w:vAlign w:val="center"/>
          </w:tcPr>
          <w:p w14:paraId="5FBE80F0">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 300人一1 000人，且营业收入 3 000万元一30 000万元</w:t>
            </w:r>
          </w:p>
        </w:tc>
      </w:tr>
      <w:tr w14:paraId="4C3D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487FE67">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49970A47">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3577" w:type="pct"/>
            <w:shd w:val="clear" w:color="auto" w:fill="FFFFFF"/>
            <w:noWrap w:val="0"/>
            <w:vAlign w:val="center"/>
          </w:tcPr>
          <w:p w14:paraId="71E8A0E2">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从业人员20人一300人，且营业收入 200万元一3 000万元</w:t>
            </w:r>
          </w:p>
        </w:tc>
      </w:tr>
      <w:tr w14:paraId="4F22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1E32B27">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0BA25AC4">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3577" w:type="pct"/>
            <w:shd w:val="clear" w:color="auto" w:fill="FFFFFF"/>
            <w:noWrap w:val="0"/>
            <w:vAlign w:val="center"/>
          </w:tcPr>
          <w:p w14:paraId="687643E1">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从业人员20人以下或营业收入 200万元以下</w:t>
            </w:r>
          </w:p>
        </w:tc>
      </w:tr>
      <w:tr w14:paraId="0230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59CD8BF0">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仓储业</w:t>
            </w:r>
          </w:p>
        </w:tc>
        <w:tc>
          <w:tcPr>
            <w:tcW w:w="4114" w:type="pct"/>
            <w:gridSpan w:val="2"/>
            <w:shd w:val="clear" w:color="auto" w:fill="FFFFFF"/>
            <w:noWrap w:val="0"/>
            <w:vAlign w:val="center"/>
          </w:tcPr>
          <w:p w14:paraId="62CBBB62">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从业人员200人以下或营业收入 30 000万元以下的为中小微型企业。</w:t>
            </w:r>
          </w:p>
        </w:tc>
      </w:tr>
      <w:tr w14:paraId="1FAD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B620447">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1C1F941B">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3577" w:type="pct"/>
            <w:shd w:val="clear" w:color="auto" w:fill="FFFFFF"/>
            <w:noWrap w:val="0"/>
            <w:vAlign w:val="center"/>
          </w:tcPr>
          <w:p w14:paraId="3C5DC658">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从业人员100人一200人，且营业收入 1 000万元一30 000万元</w:t>
            </w:r>
          </w:p>
        </w:tc>
      </w:tr>
      <w:tr w14:paraId="3EB6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D247E18">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0CDDF779">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3577" w:type="pct"/>
            <w:shd w:val="clear" w:color="auto" w:fill="FFFFFF"/>
            <w:noWrap w:val="0"/>
            <w:vAlign w:val="center"/>
          </w:tcPr>
          <w:p w14:paraId="5357DCE7">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从业人员20人一100人，且营业收入 100万元一1 000万元</w:t>
            </w:r>
          </w:p>
        </w:tc>
      </w:tr>
      <w:tr w14:paraId="51B4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74AFD17C">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5B79F91D">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3577" w:type="pct"/>
            <w:shd w:val="clear" w:color="auto" w:fill="FFFFFF"/>
            <w:noWrap w:val="0"/>
            <w:vAlign w:val="center"/>
          </w:tcPr>
          <w:p w14:paraId="630B66B3">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从业人员20人以下或营业收入 100万元以下</w:t>
            </w:r>
          </w:p>
        </w:tc>
      </w:tr>
      <w:tr w14:paraId="6221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174DC673">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邮政业</w:t>
            </w:r>
          </w:p>
        </w:tc>
        <w:tc>
          <w:tcPr>
            <w:tcW w:w="4114" w:type="pct"/>
            <w:gridSpan w:val="2"/>
            <w:shd w:val="clear" w:color="auto" w:fill="FFFFFF"/>
            <w:noWrap w:val="0"/>
            <w:vAlign w:val="center"/>
          </w:tcPr>
          <w:p w14:paraId="23CB1EAF">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从业人员1 000人以下或营业收入 30 000万元以下的为中小微型企业。</w:t>
            </w:r>
          </w:p>
        </w:tc>
      </w:tr>
      <w:tr w14:paraId="0BFA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2760942">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6FFCA435">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3577" w:type="pct"/>
            <w:shd w:val="clear" w:color="auto" w:fill="FFFFFF"/>
            <w:noWrap w:val="0"/>
            <w:vAlign w:val="center"/>
          </w:tcPr>
          <w:p w14:paraId="7C95E8DA">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 300人一1 000人，且营业收入 2 000万元一30 000万元</w:t>
            </w:r>
          </w:p>
        </w:tc>
      </w:tr>
      <w:tr w14:paraId="3DD5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6B8E440">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03823FF0">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3577" w:type="pct"/>
            <w:shd w:val="clear" w:color="auto" w:fill="FFFFFF"/>
            <w:noWrap w:val="0"/>
            <w:vAlign w:val="center"/>
          </w:tcPr>
          <w:p w14:paraId="739CCCE4">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从业人员20人一300人，且营业收入 100万元一2 000万元</w:t>
            </w:r>
          </w:p>
        </w:tc>
      </w:tr>
      <w:tr w14:paraId="09F7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66E1DE7">
            <w:pPr>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p>
        </w:tc>
        <w:tc>
          <w:tcPr>
            <w:tcW w:w="537" w:type="pct"/>
            <w:shd w:val="clear" w:color="auto" w:fill="FFFFFF"/>
            <w:noWrap w:val="0"/>
            <w:vAlign w:val="center"/>
          </w:tcPr>
          <w:p w14:paraId="2437B698">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3577" w:type="pct"/>
            <w:shd w:val="clear" w:color="auto" w:fill="FFFFFF"/>
            <w:noWrap w:val="0"/>
            <w:vAlign w:val="center"/>
          </w:tcPr>
          <w:p w14:paraId="01E1EB64">
            <w:pPr>
              <w:pStyle w:val="180"/>
              <w:keepNext w:val="0"/>
              <w:keepLines w:val="0"/>
              <w:suppressLineNumbers w:val="0"/>
              <w:shd w:val="clear" w:color="auto" w:fill="auto"/>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从业人员20人以下或营业收入 100万元以下</w:t>
            </w:r>
          </w:p>
        </w:tc>
      </w:tr>
    </w:tbl>
    <w:p w14:paraId="29D8F523">
      <w:pPr>
        <w:shd w:val="clear" w:color="auto" w:fill="auto"/>
        <w:spacing w:line="1" w:lineRule="exact"/>
        <w:jc w:val="center"/>
        <w:outlineLvl w:val="9"/>
        <w:rPr>
          <w:rFonts w:hint="eastAsia" w:ascii="仿宋" w:hAnsi="仿宋" w:eastAsia="仿宋" w:cs="仿宋"/>
          <w:color w:val="auto"/>
          <w:sz w:val="18"/>
          <w:szCs w:val="18"/>
          <w:highlight w:val="none"/>
        </w:rPr>
      </w:pP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93"/>
        <w:gridCol w:w="769"/>
        <w:gridCol w:w="7303"/>
      </w:tblGrid>
      <w:tr w14:paraId="4132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5ED8E1FF">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住宿业</w:t>
            </w:r>
          </w:p>
        </w:tc>
        <w:tc>
          <w:tcPr>
            <w:tcW w:w="0" w:type="auto"/>
            <w:gridSpan w:val="2"/>
            <w:shd w:val="clear" w:color="auto" w:fill="FFFFFF"/>
            <w:noWrap w:val="0"/>
            <w:vAlign w:val="center"/>
          </w:tcPr>
          <w:p w14:paraId="4B7771AD">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从业人员300人以下或营业收入 10000万元以下的为中小微型企业。</w:t>
            </w:r>
          </w:p>
        </w:tc>
      </w:tr>
      <w:tr w14:paraId="6D76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B0928E2">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21D2504A">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0" w:type="auto"/>
            <w:shd w:val="clear" w:color="auto" w:fill="FFFFFF"/>
            <w:noWrap w:val="0"/>
            <w:vAlign w:val="center"/>
          </w:tcPr>
          <w:p w14:paraId="44835E95">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从业人员100人一300人，且营业收入 2 000万元一10 000万元</w:t>
            </w:r>
          </w:p>
        </w:tc>
      </w:tr>
      <w:tr w14:paraId="214D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BF82A3C">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775C20BE">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0" w:type="auto"/>
            <w:shd w:val="clear" w:color="auto" w:fill="FFFFFF"/>
            <w:noWrap w:val="0"/>
            <w:vAlign w:val="center"/>
          </w:tcPr>
          <w:p w14:paraId="428467F3">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从业人员10人一100人，且营业收入 100万元一2 000万元</w:t>
            </w:r>
          </w:p>
        </w:tc>
      </w:tr>
      <w:tr w14:paraId="1438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D5E2A62">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536AE711">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0" w:type="auto"/>
            <w:shd w:val="clear" w:color="auto" w:fill="FFFFFF"/>
            <w:noWrap w:val="0"/>
            <w:vAlign w:val="center"/>
          </w:tcPr>
          <w:p w14:paraId="53009900">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从业人员10人以下或营业收入 100万元以下</w:t>
            </w:r>
          </w:p>
        </w:tc>
      </w:tr>
      <w:tr w14:paraId="6B02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2D108DE0">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餐饮业</w:t>
            </w:r>
          </w:p>
        </w:tc>
        <w:tc>
          <w:tcPr>
            <w:tcW w:w="0" w:type="auto"/>
            <w:gridSpan w:val="2"/>
            <w:shd w:val="clear" w:color="auto" w:fill="FFFFFF"/>
            <w:noWrap w:val="0"/>
            <w:vAlign w:val="center"/>
          </w:tcPr>
          <w:p w14:paraId="3F48199E">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从业人员300人以下或营业收入 10 000万元以下的为中小微型企业。</w:t>
            </w:r>
          </w:p>
        </w:tc>
      </w:tr>
      <w:tr w14:paraId="2CFF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590A216">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4529F42A">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0" w:type="auto"/>
            <w:shd w:val="clear" w:color="auto" w:fill="FFFFFF"/>
            <w:noWrap w:val="0"/>
            <w:vAlign w:val="center"/>
          </w:tcPr>
          <w:p w14:paraId="5D992344">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 300人，且营业收入 2 000万元一10 000万元</w:t>
            </w:r>
          </w:p>
        </w:tc>
      </w:tr>
      <w:tr w14:paraId="3009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65BEDFF9">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6629ED68">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0" w:type="auto"/>
            <w:shd w:val="clear" w:color="auto" w:fill="FFFFFF"/>
            <w:noWrap w:val="0"/>
            <w:vAlign w:val="center"/>
          </w:tcPr>
          <w:p w14:paraId="466E1A47">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从业人员10人一100人，且营业收入 100万元一2 000万元</w:t>
            </w:r>
          </w:p>
        </w:tc>
      </w:tr>
      <w:tr w14:paraId="2343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623E6BA7">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0B7EC58D">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0" w:type="auto"/>
            <w:shd w:val="clear" w:color="auto" w:fill="FFFFFF"/>
            <w:noWrap w:val="0"/>
            <w:vAlign w:val="center"/>
          </w:tcPr>
          <w:p w14:paraId="671411C9">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从业人员10人以下或营业收入 100万元以下</w:t>
            </w:r>
          </w:p>
        </w:tc>
      </w:tr>
      <w:tr w14:paraId="50CF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1894F09F">
            <w:pPr>
              <w:pStyle w:val="180"/>
              <w:keepNext w:val="0"/>
              <w:keepLines w:val="0"/>
              <w:suppressLineNumbers w:val="0"/>
              <w:shd w:val="clear" w:color="auto" w:fill="auto"/>
              <w:spacing w:before="0" w:beforeAutospacing="0" w:after="0" w:afterAutospacing="0" w:line="492"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信息传输业 （包括电信、互联网 和相关服务）</w:t>
            </w:r>
          </w:p>
        </w:tc>
        <w:tc>
          <w:tcPr>
            <w:tcW w:w="0" w:type="auto"/>
            <w:gridSpan w:val="2"/>
            <w:shd w:val="clear" w:color="auto" w:fill="FFFFFF"/>
            <w:noWrap w:val="0"/>
            <w:vAlign w:val="center"/>
          </w:tcPr>
          <w:p w14:paraId="363FB86D">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从业人员2 000人以下或营业收入 100 000万元以下的为中小微型企业。</w:t>
            </w:r>
          </w:p>
        </w:tc>
      </w:tr>
      <w:tr w14:paraId="0C56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943E4B9">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3726CCA0">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0" w:type="auto"/>
            <w:shd w:val="clear" w:color="auto" w:fill="FFFFFF"/>
            <w:noWrap w:val="0"/>
            <w:vAlign w:val="center"/>
          </w:tcPr>
          <w:p w14:paraId="04E68A2C">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从业人员100人一2 000人，且营业收入 1 000万元一10 000万元</w:t>
            </w:r>
          </w:p>
        </w:tc>
      </w:tr>
      <w:tr w14:paraId="57A2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0F1E8C2">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04BE614F">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0" w:type="auto"/>
            <w:shd w:val="clear" w:color="auto" w:fill="FFFFFF"/>
            <w:noWrap w:val="0"/>
            <w:vAlign w:val="center"/>
          </w:tcPr>
          <w:p w14:paraId="5611F19A">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从业人员10人一100人，且营业收入 100万元一1 000万元</w:t>
            </w:r>
          </w:p>
        </w:tc>
      </w:tr>
      <w:tr w14:paraId="2352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1301A79">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4509C5D8">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0" w:type="auto"/>
            <w:shd w:val="clear" w:color="auto" w:fill="FFFFFF"/>
            <w:noWrap w:val="0"/>
            <w:vAlign w:val="center"/>
          </w:tcPr>
          <w:p w14:paraId="753F573D">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从业人员10人以下或营业收入 100万元以下</w:t>
            </w:r>
          </w:p>
        </w:tc>
      </w:tr>
      <w:tr w14:paraId="007A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2A4502A5">
            <w:pPr>
              <w:pStyle w:val="180"/>
              <w:keepNext w:val="0"/>
              <w:keepLines w:val="0"/>
              <w:suppressLineNumbers w:val="0"/>
              <w:shd w:val="clear" w:color="auto" w:fill="auto"/>
              <w:spacing w:before="0" w:beforeAutospacing="0" w:after="0" w:afterAutospacing="0" w:line="509" w:lineRule="exact"/>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软件和信息技术服务业</w:t>
            </w:r>
          </w:p>
        </w:tc>
        <w:tc>
          <w:tcPr>
            <w:tcW w:w="0" w:type="auto"/>
            <w:gridSpan w:val="2"/>
            <w:shd w:val="clear" w:color="auto" w:fill="FFFFFF"/>
            <w:noWrap w:val="0"/>
            <w:vAlign w:val="center"/>
          </w:tcPr>
          <w:p w14:paraId="1FDF13D0">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从业人员300人以下或营业收入 10000万元以下的为中小微型企业。</w:t>
            </w:r>
          </w:p>
        </w:tc>
      </w:tr>
      <w:tr w14:paraId="751E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666499F">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47A0E70C">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0" w:type="auto"/>
            <w:shd w:val="clear" w:color="auto" w:fill="FFFFFF"/>
            <w:noWrap w:val="0"/>
            <w:vAlign w:val="center"/>
          </w:tcPr>
          <w:p w14:paraId="00BC4C40">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 300人，且营业收入 1 000万元一10 000万元</w:t>
            </w:r>
          </w:p>
        </w:tc>
      </w:tr>
      <w:tr w14:paraId="0A41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0DD490B2">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6CDE5F11">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0" w:type="auto"/>
            <w:shd w:val="clear" w:color="auto" w:fill="FFFFFF"/>
            <w:noWrap w:val="0"/>
            <w:vAlign w:val="center"/>
          </w:tcPr>
          <w:p w14:paraId="2E04E810">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从业人员10人一100人，且营业收入 50万元一1 000万元</w:t>
            </w:r>
          </w:p>
        </w:tc>
      </w:tr>
      <w:tr w14:paraId="20FD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A83AC84">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5B041898">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0" w:type="auto"/>
            <w:shd w:val="clear" w:color="auto" w:fill="FFFFFF"/>
            <w:noWrap w:val="0"/>
            <w:vAlign w:val="center"/>
          </w:tcPr>
          <w:p w14:paraId="3A6BDBCD">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从业人员10人以下或营业收入 50万元以下</w:t>
            </w:r>
          </w:p>
        </w:tc>
      </w:tr>
      <w:tr w14:paraId="61DA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659F2C0A">
            <w:pPr>
              <w:pStyle w:val="180"/>
              <w:keepNext w:val="0"/>
              <w:keepLines w:val="0"/>
              <w:suppressLineNumbers w:val="0"/>
              <w:shd w:val="clear" w:color="auto" w:fill="auto"/>
              <w:spacing w:before="0" w:beforeAutospacing="0" w:after="0" w:afterAutospacing="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房地产开发经营</w:t>
            </w:r>
          </w:p>
        </w:tc>
        <w:tc>
          <w:tcPr>
            <w:tcW w:w="0" w:type="auto"/>
            <w:gridSpan w:val="2"/>
            <w:shd w:val="clear" w:color="auto" w:fill="FFFFFF"/>
            <w:noWrap w:val="0"/>
            <w:vAlign w:val="center"/>
          </w:tcPr>
          <w:p w14:paraId="3E2BE060">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营业收入200 000万元以下或资产总额 10 000万元以下的为中小微型企业。</w:t>
            </w:r>
          </w:p>
        </w:tc>
      </w:tr>
      <w:tr w14:paraId="516C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F40AFAE">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780FC76D">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0" w:type="auto"/>
            <w:shd w:val="clear" w:color="auto" w:fill="FFFFFF"/>
            <w:noWrap w:val="0"/>
            <w:vAlign w:val="center"/>
          </w:tcPr>
          <w:p w14:paraId="09171280">
            <w:pPr>
              <w:pStyle w:val="180"/>
              <w:keepNext w:val="0"/>
              <w:keepLines w:val="0"/>
              <w:suppressLineNumbers w:val="0"/>
              <w:shd w:val="clear" w:color="auto" w:fill="auto"/>
              <w:spacing w:before="0" w:beforeAutospacing="0" w:after="12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营业收入1 000万元一200 000万元，且资产总额 5 000万元一10000万元</w:t>
            </w:r>
          </w:p>
        </w:tc>
      </w:tr>
      <w:tr w14:paraId="484E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63EC96DF">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4DC03F37">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0" w:type="auto"/>
            <w:shd w:val="clear" w:color="auto" w:fill="FFFFFF"/>
            <w:noWrap w:val="0"/>
            <w:vAlign w:val="center"/>
          </w:tcPr>
          <w:p w14:paraId="231A2BD9">
            <w:pPr>
              <w:pStyle w:val="180"/>
              <w:keepNext w:val="0"/>
              <w:keepLines w:val="0"/>
              <w:suppressLineNumbers w:val="0"/>
              <w:shd w:val="clear" w:color="auto" w:fill="auto"/>
              <w:spacing w:before="0" w:beforeAutospacing="0" w:after="0" w:afterAutospacing="0" w:line="240" w:lineRule="auto"/>
              <w:ind w:left="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营业收入100万元一1 000万元，且资产总额 2 000万元一5 000 万元</w:t>
            </w:r>
          </w:p>
        </w:tc>
      </w:tr>
      <w:tr w14:paraId="7BB6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016EDE49">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6DFA432F">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0" w:type="auto"/>
            <w:shd w:val="clear" w:color="auto" w:fill="FFFFFF"/>
            <w:noWrap w:val="0"/>
            <w:vAlign w:val="center"/>
          </w:tcPr>
          <w:p w14:paraId="04BE057C">
            <w:pPr>
              <w:pStyle w:val="180"/>
              <w:keepNext w:val="0"/>
              <w:keepLines w:val="0"/>
              <w:suppressLineNumbers w:val="0"/>
              <w:shd w:val="clear" w:color="auto" w:fill="auto"/>
              <w:tabs>
                <w:tab w:val="left" w:pos="5256"/>
              </w:tabs>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营业收入100万元以下或资产总额2 000万元以下的为微型企业</w:t>
            </w:r>
          </w:p>
        </w:tc>
      </w:tr>
      <w:tr w14:paraId="1985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5CD00007">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物业管理</w:t>
            </w:r>
          </w:p>
        </w:tc>
        <w:tc>
          <w:tcPr>
            <w:tcW w:w="0" w:type="auto"/>
            <w:gridSpan w:val="2"/>
            <w:shd w:val="clear" w:color="auto" w:fill="FFFFFF"/>
            <w:noWrap w:val="0"/>
            <w:vAlign w:val="center"/>
          </w:tcPr>
          <w:p w14:paraId="2CB69443">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从业人员1 000人以下或营业收入 5 000万元以下的为中小微型企业。</w:t>
            </w:r>
          </w:p>
        </w:tc>
      </w:tr>
      <w:tr w14:paraId="2156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7FB2306">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6212B6BB">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0" w:type="auto"/>
            <w:shd w:val="clear" w:color="auto" w:fill="FFFFFF"/>
            <w:noWrap w:val="0"/>
            <w:vAlign w:val="center"/>
          </w:tcPr>
          <w:p w14:paraId="723EF174">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 300人一1 000人，且营业收入 1000万元一5 000万元</w:t>
            </w:r>
          </w:p>
        </w:tc>
      </w:tr>
      <w:tr w14:paraId="7D2D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2A6DCA6">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284B4B29">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0" w:type="auto"/>
            <w:shd w:val="clear" w:color="auto" w:fill="FFFFFF"/>
            <w:noWrap w:val="0"/>
            <w:vAlign w:val="center"/>
          </w:tcPr>
          <w:p w14:paraId="47F204A0">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从业人员100人一300人，且营业收入 500万元一1 000万元</w:t>
            </w:r>
          </w:p>
        </w:tc>
      </w:tr>
      <w:tr w14:paraId="04FE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68DABE29">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7E591A74">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0" w:type="auto"/>
            <w:shd w:val="clear" w:color="auto" w:fill="FFFFFF"/>
            <w:noWrap w:val="0"/>
            <w:vAlign w:val="center"/>
          </w:tcPr>
          <w:p w14:paraId="5FD4047D">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从业人员100人以下或营业收入 500万元以下</w:t>
            </w:r>
          </w:p>
        </w:tc>
      </w:tr>
      <w:tr w14:paraId="075E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191E939A">
            <w:pPr>
              <w:pStyle w:val="180"/>
              <w:keepNext w:val="0"/>
              <w:keepLines w:val="0"/>
              <w:suppressLineNumbers w:val="0"/>
              <w:shd w:val="clear" w:color="auto" w:fill="auto"/>
              <w:spacing w:before="0" w:beforeAutospacing="0" w:after="0" w:afterAutospacing="0"/>
              <w:ind w:firstLine="2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租赁和商务服务业</w:t>
            </w:r>
          </w:p>
        </w:tc>
        <w:tc>
          <w:tcPr>
            <w:tcW w:w="0" w:type="auto"/>
            <w:gridSpan w:val="2"/>
            <w:shd w:val="clear" w:color="auto" w:fill="FFFFFF"/>
            <w:noWrap w:val="0"/>
            <w:vAlign w:val="center"/>
          </w:tcPr>
          <w:p w14:paraId="1BEF29CA">
            <w:pPr>
              <w:pStyle w:val="180"/>
              <w:keepNext w:val="0"/>
              <w:keepLines w:val="0"/>
              <w:suppressLineNumbers w:val="0"/>
              <w:shd w:val="clear" w:color="auto" w:fill="auto"/>
              <w:tabs>
                <w:tab w:val="left" w:pos="10666"/>
              </w:tabs>
              <w:spacing w:before="0" w:beforeAutospacing="0" w:after="0" w:afterAutospacing="0" w:line="24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仿宋" w:hAnsi="仿宋" w:eastAsia="仿宋" w:cs="仿宋"/>
                <w:color w:val="auto"/>
                <w:sz w:val="21"/>
                <w:szCs w:val="21"/>
                <w:highlight w:val="none"/>
                <w:lang w:val="en-US"/>
              </w:rPr>
              <w:t>10</w:t>
            </w:r>
            <w:r>
              <w:rPr>
                <w:rFonts w:hint="eastAsia" w:ascii="仿宋" w:hAnsi="仿宋" w:eastAsia="仿宋" w:cs="仿宋"/>
                <w:color w:val="auto"/>
                <w:sz w:val="21"/>
                <w:szCs w:val="21"/>
                <w:highlight w:val="none"/>
              </w:rPr>
              <w:t>人以下或资产总额 100万元以下的为微型企业。</w:t>
            </w:r>
          </w:p>
        </w:tc>
      </w:tr>
      <w:tr w14:paraId="335D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4E0D785">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1F78640D">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0" w:type="auto"/>
            <w:shd w:val="clear" w:color="auto" w:fill="FFFFFF"/>
            <w:noWrap w:val="0"/>
            <w:vAlign w:val="center"/>
          </w:tcPr>
          <w:p w14:paraId="3EDFF2D1">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从业人员100人一300人，且资产总额 8 000万元一120 000万元</w:t>
            </w:r>
          </w:p>
        </w:tc>
      </w:tr>
      <w:tr w14:paraId="50A3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A2D2883">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4BCAB8D7">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0" w:type="auto"/>
            <w:shd w:val="clear" w:color="auto" w:fill="FFFFFF"/>
            <w:noWrap w:val="0"/>
            <w:vAlign w:val="center"/>
          </w:tcPr>
          <w:p w14:paraId="751CE01C">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从业人员10人一100人，且资产总额 100万元一8 000万元</w:t>
            </w:r>
          </w:p>
        </w:tc>
      </w:tr>
      <w:tr w14:paraId="2ACF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B1FD7E0">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33E92C60">
            <w:pPr>
              <w:pStyle w:val="180"/>
              <w:keepNext w:val="0"/>
              <w:keepLines w:val="0"/>
              <w:suppressLineNumbers w:val="0"/>
              <w:shd w:val="clear" w:color="auto" w:fill="auto"/>
              <w:spacing w:before="10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0" w:type="auto"/>
            <w:shd w:val="clear" w:color="auto" w:fill="FFFFFF"/>
            <w:noWrap w:val="0"/>
            <w:vAlign w:val="center"/>
          </w:tcPr>
          <w:p w14:paraId="5A2DD1BE">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从业人员10人以下或资产总额 100万元以下</w:t>
            </w:r>
          </w:p>
        </w:tc>
      </w:tr>
      <w:tr w14:paraId="3722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1D6F562A">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其他未列明行业</w:t>
            </w:r>
          </w:p>
        </w:tc>
        <w:tc>
          <w:tcPr>
            <w:tcW w:w="0" w:type="auto"/>
            <w:gridSpan w:val="2"/>
            <w:shd w:val="clear" w:color="auto" w:fill="FFFFFF"/>
            <w:noWrap w:val="0"/>
            <w:vAlign w:val="center"/>
          </w:tcPr>
          <w:p w14:paraId="70614B6D">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从业人员300人以下的为中小微型企业。</w:t>
            </w:r>
          </w:p>
        </w:tc>
      </w:tr>
      <w:tr w14:paraId="64E9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2A3834F7">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46862B5C">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中型</w:t>
            </w:r>
          </w:p>
        </w:tc>
        <w:tc>
          <w:tcPr>
            <w:tcW w:w="0" w:type="auto"/>
            <w:shd w:val="clear" w:color="auto" w:fill="FFFFFF"/>
            <w:noWrap w:val="0"/>
            <w:vAlign w:val="center"/>
          </w:tcPr>
          <w:p w14:paraId="5A6C1ABF">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从业人员100— 300人</w:t>
            </w:r>
          </w:p>
        </w:tc>
      </w:tr>
      <w:tr w14:paraId="6317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96B0777">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0AE79E2E">
            <w:pPr>
              <w:pStyle w:val="180"/>
              <w:keepNext w:val="0"/>
              <w:keepLines w:val="0"/>
              <w:suppressLineNumbers w:val="0"/>
              <w:shd w:val="clear" w:color="auto" w:fill="auto"/>
              <w:spacing w:before="8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w:t>
            </w:r>
          </w:p>
        </w:tc>
        <w:tc>
          <w:tcPr>
            <w:tcW w:w="0" w:type="auto"/>
            <w:shd w:val="clear" w:color="auto" w:fill="FFFFFF"/>
            <w:noWrap w:val="0"/>
            <w:vAlign w:val="center"/>
          </w:tcPr>
          <w:p w14:paraId="78791C07">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从业人员10人一100人</w:t>
            </w:r>
          </w:p>
        </w:tc>
      </w:tr>
      <w:tr w14:paraId="6686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974946F">
            <w:pPr>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p>
        </w:tc>
        <w:tc>
          <w:tcPr>
            <w:tcW w:w="0" w:type="auto"/>
            <w:shd w:val="clear" w:color="auto" w:fill="FFFFFF"/>
            <w:noWrap w:val="0"/>
            <w:vAlign w:val="center"/>
          </w:tcPr>
          <w:p w14:paraId="5FFCE84C">
            <w:pPr>
              <w:pStyle w:val="180"/>
              <w:keepNext w:val="0"/>
              <w:keepLines w:val="0"/>
              <w:suppressLineNumbers w:val="0"/>
              <w:shd w:val="clear" w:color="auto" w:fill="auto"/>
              <w:spacing w:before="0" w:beforeAutospacing="0" w:after="0" w:afterAutospacing="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微型</w:t>
            </w:r>
          </w:p>
        </w:tc>
        <w:tc>
          <w:tcPr>
            <w:tcW w:w="0" w:type="auto"/>
            <w:shd w:val="clear" w:color="auto" w:fill="FFFFFF"/>
            <w:noWrap w:val="0"/>
            <w:vAlign w:val="center"/>
          </w:tcPr>
          <w:p w14:paraId="0D12CF74">
            <w:pPr>
              <w:pStyle w:val="180"/>
              <w:keepNext w:val="0"/>
              <w:keepLines w:val="0"/>
              <w:suppressLineNumbers w:val="0"/>
              <w:shd w:val="clear" w:color="auto" w:fill="auto"/>
              <w:spacing w:before="0" w:beforeAutospacing="0" w:after="0" w:afterAutospacing="0"/>
              <w:ind w:firstLine="14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从业人员10人以下</w:t>
            </w:r>
          </w:p>
        </w:tc>
      </w:tr>
    </w:tbl>
    <w:p w14:paraId="139ADE7A">
      <w:pPr>
        <w:shd w:val="clear" w:color="auto" w:fill="auto"/>
        <w:spacing w:line="240" w:lineRule="atLeast"/>
        <w:outlineLvl w:val="9"/>
        <w:rPr>
          <w:rFonts w:hint="eastAsia" w:ascii="仿宋" w:hAnsi="仿宋" w:eastAsia="仿宋" w:cs="仿宋"/>
          <w:color w:val="auto"/>
          <w:sz w:val="24"/>
          <w:highlight w:val="none"/>
        </w:rPr>
        <w:sectPr>
          <w:headerReference r:id="rId33" w:type="default"/>
          <w:headerReference r:id="rId34" w:type="even"/>
          <w:footerReference r:id="rId35" w:type="even"/>
          <w:type w:val="continuous"/>
          <w:pgSz w:w="11905" w:h="16838"/>
          <w:pgMar w:top="1440" w:right="1080" w:bottom="1440" w:left="1080" w:header="567" w:footer="454" w:gutter="0"/>
          <w:pgNumType w:fmt="decimal"/>
          <w:cols w:space="720" w:num="1"/>
          <w:rtlGutter w:val="0"/>
          <w:docGrid w:type="lines" w:linePitch="317" w:charSpace="0"/>
        </w:sectPr>
      </w:pPr>
    </w:p>
    <w:p w14:paraId="5B1F5560">
      <w:pPr>
        <w:pStyle w:val="91"/>
        <w:outlineLvl w:val="9"/>
        <w:rPr>
          <w:rFonts w:hint="eastAsia" w:ascii="仿宋" w:hAnsi="仿宋" w:eastAsia="仿宋" w:cs="仿宋"/>
          <w:color w:val="000000"/>
          <w:highlight w:val="none"/>
          <w:lang w:val="en-US" w:eastAsia="zh-CN"/>
        </w:rPr>
      </w:pPr>
    </w:p>
    <w:sectPr>
      <w:headerReference r:id="rId36" w:type="default"/>
      <w:footerReference r:id="rId37" w:type="default"/>
      <w:type w:val="continuous"/>
      <w:pgSz w:w="11905" w:h="16838"/>
      <w:pgMar w:top="1440" w:right="1080" w:bottom="1440" w:left="1080" w:header="567" w:footer="454" w:gutter="0"/>
      <w:pgNumType w:fmt="decimal"/>
      <w:cols w:space="72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105"/>
      </w:pPr>
      <w:r>
        <w:separator/>
      </w:r>
    </w:p>
  </w:endnote>
  <w:endnote w:type="continuationSeparator" w:id="1">
    <w:p>
      <w:pPr>
        <w:spacing w:line="240" w:lineRule="auto"/>
        <w:ind w:hanging="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25E3E1F-CBB3-4916-8973-ECD7B79652FE}"/>
  </w:font>
  <w:font w:name="Garamond">
    <w:altName w:val="Segoe Print"/>
    <w:panose1 w:val="02020404030301010803"/>
    <w:charset w:val="00"/>
    <w:family w:val="roman"/>
    <w:pitch w:val="default"/>
    <w:sig w:usb0="00000000"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33A291EC-8014-44C1-BDCF-74D0BA29D810}"/>
  </w:font>
  <w:font w:name="方正仿宋_GB2312">
    <w:panose1 w:val="02000000000000000000"/>
    <w:charset w:val="86"/>
    <w:family w:val="auto"/>
    <w:pitch w:val="default"/>
    <w:sig w:usb0="A00002BF" w:usb1="184F6CFA" w:usb2="00000012"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auto"/>
    <w:pitch w:val="default"/>
    <w:sig w:usb0="00000000" w:usb1="00000000" w:usb2="00000009" w:usb3="00000000" w:csb0="000001FF" w:csb1="00000000"/>
  </w:font>
  <w:font w:name="TKTypeRegular">
    <w:altName w:val="Segoe Print"/>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C339D">
    <w:pPr>
      <w:pStyle w:val="51"/>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01FAB5">
                          <w:pPr>
                            <w:pStyle w:val="51"/>
                            <w:jc w:val="center"/>
                          </w:pPr>
                          <w:r>
                            <w:fldChar w:fldCharType="begin"/>
                          </w:r>
                          <w:r>
                            <w:instrText xml:space="preserve">PAGE   \* MERGEFORMAT</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hfM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k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v56F8yQEAAJoDAAAOAAAAAAAAAAEAIAAAAB4BAABkcnMvZTJvRG9j&#10;LnhtbFBLBQYAAAAABgAGAFkBAABZBQAAAAA=&#10;">
              <v:fill on="f" focussize="0,0"/>
              <v:stroke on="f"/>
              <v:imagedata o:title=""/>
              <o:lock v:ext="edit" aspectratio="f"/>
              <v:textbox inset="0mm,0mm,0mm,0mm" style="mso-fit-shape-to-text:t;">
                <w:txbxContent>
                  <w:p w14:paraId="7001FAB5">
                    <w:pPr>
                      <w:pStyle w:val="51"/>
                      <w:jc w:val="center"/>
                    </w:pPr>
                    <w:r>
                      <w:fldChar w:fldCharType="begin"/>
                    </w:r>
                    <w:r>
                      <w:instrText xml:space="preserve">PAGE   \* MERGEFORMAT</w:instrText>
                    </w:r>
                    <w:r>
                      <w:fldChar w:fldCharType="separate"/>
                    </w:r>
                    <w:r>
                      <w:rPr>
                        <w:lang w:val="zh-CN"/>
                      </w:rPr>
                      <w:t>6</w:t>
                    </w:r>
                    <w:r>
                      <w:rPr>
                        <w:lang w:val="zh-CN"/>
                      </w:rPr>
                      <w:fldChar w:fldCharType="end"/>
                    </w:r>
                  </w:p>
                </w:txbxContent>
              </v:textbox>
            </v:shape>
          </w:pict>
        </mc:Fallback>
      </mc:AlternateContent>
    </w:r>
  </w:p>
  <w:p w14:paraId="16DCDF1B">
    <w:pPr>
      <w:pStyle w:val="5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0066F">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38B30D">
                          <w:pPr>
                            <w:pStyle w:val="51"/>
                          </w:pPr>
                          <w:r>
                            <w:fldChar w:fldCharType="begin"/>
                          </w:r>
                          <w:r>
                            <w:instrText xml:space="preserve"> PAGE  \* MERGEFORMAT </w:instrText>
                          </w:r>
                          <w:r>
                            <w:fldChar w:fldCharType="separate"/>
                          </w:r>
                          <w:r>
                            <w:t>73</w:t>
                          </w:r>
                          <w:r>
                            <w:fldChar w:fldCharType="end"/>
                          </w:r>
                        </w:p>
                      </w:txbxContent>
                    </wps:txbx>
                    <wps:bodyPr vert="horz" wrap="none" lIns="0" tIns="0" rIns="0" bIns="0" anchor="t" anchorCtr="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gaarlt8BAADAAwAADgAAAAAA&#10;AAABACAAAAAeAQAAZHJzL2Uyb0RvYy54bWxQSwUGAAAAAAYABgBZAQAAbwUAAAAA&#10;">
              <v:fill on="f" focussize="0,0"/>
              <v:stroke on="f"/>
              <v:imagedata o:title=""/>
              <o:lock v:ext="edit" aspectratio="f"/>
              <v:textbox inset="0mm,0mm,0mm,0mm" style="mso-fit-shape-to-text:t;">
                <w:txbxContent>
                  <w:p w14:paraId="5238B30D">
                    <w:pPr>
                      <w:pStyle w:val="5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BBCE9">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1B5F7D">
                          <w:pPr>
                            <w:pStyle w:val="51"/>
                          </w:pPr>
                          <w:r>
                            <w:fldChar w:fldCharType="begin"/>
                          </w:r>
                          <w:r>
                            <w:instrText xml:space="preserve"> PAGE  \* MERGEFORMAT </w:instrText>
                          </w:r>
                          <w:r>
                            <w:fldChar w:fldCharType="separate"/>
                          </w:r>
                          <w:r>
                            <w:t>74</w:t>
                          </w:r>
                          <w:r>
                            <w:fldChar w:fldCharType="end"/>
                          </w:r>
                        </w:p>
                      </w:txbxContent>
                    </wps:txbx>
                    <wps:bodyPr vert="horz" wrap="none" lIns="0" tIns="0" rIns="0" bIns="0" anchor="t" anchorCtr="0" upright="0">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92trOd8BAADAAwAADgAAAAAA&#10;AAABACAAAAAeAQAAZHJzL2Uyb0RvYy54bWxQSwUGAAAAAAYABgBZAQAAbwUAAAAA&#10;">
              <v:fill on="f" focussize="0,0"/>
              <v:stroke on="f"/>
              <v:imagedata o:title=""/>
              <o:lock v:ext="edit" aspectratio="f"/>
              <v:textbox inset="0mm,0mm,0mm,0mm" style="mso-fit-shape-to-text:t;">
                <w:txbxContent>
                  <w:p w14:paraId="731B5F7D">
                    <w:pPr>
                      <w:pStyle w:val="5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30CA2">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0F05D4">
                          <w:pPr>
                            <w:pStyle w:val="51"/>
                          </w:pPr>
                          <w:r>
                            <w:fldChar w:fldCharType="begin"/>
                          </w:r>
                          <w:r>
                            <w:instrText xml:space="preserve"> PAGE  \* MERGEFORMAT </w:instrText>
                          </w:r>
                          <w:r>
                            <w:fldChar w:fldCharType="separate"/>
                          </w:r>
                          <w:r>
                            <w:t>80</w:t>
                          </w:r>
                          <w:r>
                            <w:fldChar w:fldCharType="end"/>
                          </w:r>
                        </w:p>
                      </w:txbxContent>
                    </wps:txbx>
                    <wps:bodyPr vert="horz" wrap="none" lIns="0" tIns="0" rIns="0" bIns="0" anchor="t" anchorCtr="0" upright="0">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fPv2ht8BAADAAwAADgAAAAAA&#10;AAABACAAAAAeAQAAZHJzL2Uyb0RvYy54bWxQSwUGAAAAAAYABgBZAQAAbwUAAAAA&#10;">
              <v:fill on="f" focussize="0,0"/>
              <v:stroke on="f"/>
              <v:imagedata o:title=""/>
              <o:lock v:ext="edit" aspectratio="f"/>
              <v:textbox inset="0mm,0mm,0mm,0mm" style="mso-fit-shape-to-text:t;">
                <w:txbxContent>
                  <w:p w14:paraId="2E0F05D4">
                    <w:pPr>
                      <w:pStyle w:val="5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7334">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D3EDDD">
                          <w:pPr>
                            <w:pStyle w:val="51"/>
                          </w:pPr>
                          <w:r>
                            <w:fldChar w:fldCharType="begin"/>
                          </w:r>
                          <w:r>
                            <w:instrText xml:space="preserve"> PAGE  \* MERGEFORMAT </w:instrText>
                          </w:r>
                          <w:r>
                            <w:fldChar w:fldCharType="separate"/>
                          </w:r>
                          <w:r>
                            <w:t>81</w:t>
                          </w:r>
                          <w:r>
                            <w:fldChar w:fldCharType="end"/>
                          </w:r>
                        </w:p>
                      </w:txbxContent>
                    </wps:txbx>
                    <wps:bodyPr vert="horz" wrap="none" lIns="0" tIns="0" rIns="0" bIns="0" anchor="t" anchorCtr="0" upright="0">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RDFDLN8BAADAAwAADgAAAAAA&#10;AAABACAAAAAeAQAAZHJzL2Uyb0RvYy54bWxQSwUGAAAAAAYABgBZAQAAbwUAAAAA&#10;">
              <v:fill on="f" focussize="0,0"/>
              <v:stroke on="f"/>
              <v:imagedata o:title=""/>
              <o:lock v:ext="edit" aspectratio="f"/>
              <v:textbox inset="0mm,0mm,0mm,0mm" style="mso-fit-shape-to-text:t;">
                <w:txbxContent>
                  <w:p w14:paraId="54D3EDDD">
                    <w:pPr>
                      <w:pStyle w:val="51"/>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1B7B">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85D763">
                          <w:pPr>
                            <w:pStyle w:val="51"/>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h0kMcoBAACbAwAADgAAAAAAAAABACAAAAAeAQAAZHJzL2Uyb0Rv&#10;Yy54bWxQSwUGAAAAAAYABgBZAQAAWgUAAAAA&#10;">
              <v:fill on="f" focussize="0,0"/>
              <v:stroke on="f"/>
              <v:imagedata o:title=""/>
              <o:lock v:ext="edit" aspectratio="f"/>
              <v:textbox inset="0mm,0mm,0mm,0mm" style="mso-fit-shape-to-text:t;">
                <w:txbxContent>
                  <w:p w14:paraId="7C85D763">
                    <w:pPr>
                      <w:pStyle w:val="5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FA1F6">
    <w:pPr>
      <w:pStyle w:val="5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881D13">
                          <w:pPr>
                            <w:pStyle w:val="5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ieMu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c1X3HmhKULv/z4fvn5+/LrG1sm&#10;eXqPFVXdeaqLw2sYaGnmOFIwsR7aYNOf+DDKk7jnq7hqiEymQ+vVel1SSlJudgi/uD/uA8a3CixL&#10;Rs0D3V4WVZzeYxxL55LUzcGtNibfoHF/BQhzjKi8AtPpxGScOFlx2A8Tv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RGJ4y4QEAAMwDAAAOAAAA&#10;AAAAAAEAIAAAAB4BAABkcnMvZTJvRG9jLnhtbFBLBQYAAAAABgAGAFkBAABxBQAAAAA=&#10;">
              <v:fill on="f" focussize="0,0"/>
              <v:stroke on="f"/>
              <v:imagedata o:title=""/>
              <o:lock v:ext="edit" aspectratio="f"/>
              <v:textbox inset="0mm,0mm,0mm,0mm" style="mso-fit-shape-to-text:t;">
                <w:txbxContent>
                  <w:p w14:paraId="53881D13">
                    <w:pPr>
                      <w:pStyle w:val="5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32BE">
    <w:pPr>
      <w:pStyle w:val="51"/>
      <w:ind w:left="90" w:right="360" w:hanging="90"/>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042496">
                          <w:pPr>
                            <w:pStyle w:val="5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N+6A33gEAAMADAAAOAAAAAAAA&#10;AAEAIAAAAB4BAABkcnMvZTJvRG9jLnhtbFBLBQYAAAAABgAGAFkBAABuBQAAAAA=&#10;">
              <v:fill on="f" focussize="0,0"/>
              <v:stroke on="f"/>
              <v:imagedata o:title=""/>
              <o:lock v:ext="edit" aspectratio="f"/>
              <v:textbox inset="0mm,0mm,0mm,0mm" style="mso-fit-shape-to-text:t;">
                <w:txbxContent>
                  <w:p w14:paraId="5A042496">
                    <w:pPr>
                      <w:pStyle w:val="5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01451">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2C1A5C">
                          <w:pPr>
                            <w:pStyle w:val="51"/>
                          </w:pPr>
                          <w:r>
                            <w:fldChar w:fldCharType="begin"/>
                          </w:r>
                          <w:r>
                            <w:instrText xml:space="preserve"> PAGE  \* MERGEFORMAT </w:instrText>
                          </w:r>
                          <w:r>
                            <w:fldChar w:fldCharType="separate"/>
                          </w:r>
                          <w:r>
                            <w:t>31</w:t>
                          </w:r>
                          <w:r>
                            <w:fldChar w:fldCharType="end"/>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lulA98BAAC/AwAADgAAAAAA&#10;AAABACAAAAAeAQAAZHJzL2Uyb0RvYy54bWxQSwUGAAAAAAYABgBZAQAAbwUAAAAA&#10;">
              <v:fill on="f" focussize="0,0"/>
              <v:stroke on="f"/>
              <v:imagedata o:title=""/>
              <o:lock v:ext="edit" aspectratio="f"/>
              <v:textbox inset="0mm,0mm,0mm,0mm" style="mso-fit-shape-to-text:t;">
                <w:txbxContent>
                  <w:p w14:paraId="232C1A5C">
                    <w:pPr>
                      <w:pStyle w:val="5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99D53">
    <w:pPr>
      <w:spacing w:line="124" w:lineRule="exact"/>
      <w:ind w:firstLine="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327801">
                          <w:pPr>
                            <w:pStyle w:val="51"/>
                          </w:pPr>
                          <w:r>
                            <w:fldChar w:fldCharType="begin"/>
                          </w:r>
                          <w:r>
                            <w:instrText xml:space="preserve"> PAGE  \* MERGEFORMAT </w:instrText>
                          </w:r>
                          <w:r>
                            <w:fldChar w:fldCharType="separate"/>
                          </w:r>
                          <w:r>
                            <w:t>59</w:t>
                          </w:r>
                          <w:r>
                            <w:fldChar w:fldCharType="end"/>
                          </w:r>
                        </w:p>
                      </w:txbxContent>
                    </wps:txbx>
                    <wps:bodyPr vert="horz" wrap="none" lIns="0" tIns="0" rIns="0" bIns="0" anchor="t" anchorCtr="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k6t8BAAC/AwAADgAAAAAA&#10;AAABACAAAAAeAQAAZHJzL2Uyb0RvYy54bWxQSwUGAAAAAAYABgBZAQAAbwUAAAAA&#10;">
              <v:fill on="f" focussize="0,0"/>
              <v:stroke on="f"/>
              <v:imagedata o:title=""/>
              <o:lock v:ext="edit" aspectratio="f"/>
              <v:textbox inset="0mm,0mm,0mm,0mm" style="mso-fit-shape-to-text:t;">
                <w:txbxContent>
                  <w:p w14:paraId="7C327801">
                    <w:pPr>
                      <w:pStyle w:val="5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24037">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56D359">
                          <w:pPr>
                            <w:pStyle w:val="51"/>
                          </w:pPr>
                          <w:r>
                            <w:fldChar w:fldCharType="begin"/>
                          </w:r>
                          <w:r>
                            <w:instrText xml:space="preserve"> PAGE  \* MERGEFORMAT </w:instrText>
                          </w:r>
                          <w:r>
                            <w:fldChar w:fldCharType="separate"/>
                          </w:r>
                          <w:r>
                            <w:t>60</w:t>
                          </w:r>
                          <w:r>
                            <w:fldChar w:fldCharType="end"/>
                          </w:r>
                        </w:p>
                      </w:txbxContent>
                    </wps:txbx>
                    <wps:bodyPr vert="horz" wrap="none" lIns="0" tIns="0" rIns="0" bIns="0" anchor="t" anchorCtr="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OURQN8BAAC/AwAADgAAAAAA&#10;AAABACAAAAAeAQAAZHJzL2Uyb0RvYy54bWxQSwUGAAAAAAYABgBZAQAAbwUAAAAA&#10;">
              <v:fill on="f" focussize="0,0"/>
              <v:stroke on="f"/>
              <v:imagedata o:title=""/>
              <o:lock v:ext="edit" aspectratio="f"/>
              <v:textbox inset="0mm,0mm,0mm,0mm" style="mso-fit-shape-to-text:t;">
                <w:txbxContent>
                  <w:p w14:paraId="5356D359">
                    <w:pPr>
                      <w:pStyle w:val="5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F302">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110B79">
                          <w:pPr>
                            <w:pStyle w:val="51"/>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l2NZdt8BAAC/AwAADgAAAAAA&#10;AAABACAAAAAeAQAAZHJzL2Uyb0RvYy54bWxQSwUGAAAAAAYABgBZAQAAbwUAAAAA&#10;">
              <v:fill on="f" focussize="0,0"/>
              <v:stroke on="f"/>
              <v:imagedata o:title=""/>
              <o:lock v:ext="edit" aspectratio="f"/>
              <v:textbox inset="0mm,0mm,0mm,0mm" style="mso-fit-shape-to-text:t;">
                <w:txbxContent>
                  <w:p w14:paraId="6E110B79">
                    <w:pPr>
                      <w:pStyle w:val="5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83644">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FA38EF">
                          <w:pPr>
                            <w:pStyle w:val="51"/>
                          </w:pPr>
                          <w:r>
                            <w:fldChar w:fldCharType="begin"/>
                          </w:r>
                          <w:r>
                            <w:instrText xml:space="preserve"> PAGE  \* MERGEFORMAT </w:instrText>
                          </w:r>
                          <w:r>
                            <w:fldChar w:fldCharType="separate"/>
                          </w:r>
                          <w:r>
                            <w:t>62</w:t>
                          </w:r>
                          <w:r>
                            <w:fldChar w:fldCharType="end"/>
                          </w:r>
                        </w:p>
                      </w:txbxContent>
                    </wps:txbx>
                    <wps:bodyPr vert="horz" wrap="none" lIns="0" tIns="0" rIns="0" bIns="0" anchor="t" anchorCtr="0" upright="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pvUd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JzG7oSlgZ9/fD///H3+9Y09&#10;f5n06X2oKO3WU2IcXsNAWzP7AzkT7aFFm/5EiFGc1D1d1FVDZDJdWi1Xq5JCkmLzgfCL++seQ3yr&#10;wLJk1BxpfFlVcXwf4pg6p6RqDm60MXmExv3lIMzkKVLvY4/JisNumAjtoDkRH3oHVKcD/MpZT1tQ&#10;c0dLz5l550jktDCzgbOxmw3hJF2seeRsNN/EcbEOHvW+y6uWmgr+1SFSp5lAamOsPXVHc80STDuY&#10;FufPc866f3eb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v2m9R3gEAAL8DAAAOAAAAAAAA&#10;AAEAIAAAAB4BAABkcnMvZTJvRG9jLnhtbFBLBQYAAAAABgAGAFkBAABuBQAAAAA=&#10;">
              <v:fill on="f" focussize="0,0"/>
              <v:stroke on="f"/>
              <v:imagedata o:title=""/>
              <o:lock v:ext="edit" aspectratio="f"/>
              <v:textbox inset="0mm,0mm,0mm,0mm" style="mso-fit-shape-to-text:t;">
                <w:txbxContent>
                  <w:p w14:paraId="2CFA38EF">
                    <w:pPr>
                      <w:pStyle w:val="5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E46FF">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59DCF4">
                          <w:pPr>
                            <w:pStyle w:val="51"/>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8hV3o3gEAAL8DAAAOAAAAAAAA&#10;AAEAIAAAAB4BAABkcnMvZTJvRG9jLnhtbFBLBQYAAAAABgAGAFkBAABuBQAAAAA=&#10;">
              <v:fill on="f" focussize="0,0"/>
              <v:stroke on="f"/>
              <v:imagedata o:title=""/>
              <o:lock v:ext="edit" aspectratio="f"/>
              <v:textbox inset="0mm,0mm,0mm,0mm" style="mso-fit-shape-to-text:t;">
                <w:txbxContent>
                  <w:p w14:paraId="2F59DCF4">
                    <w:pPr>
                      <w:pStyle w:val="5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D9744">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7D2382">
                          <w:pPr>
                            <w:pStyle w:val="51"/>
                          </w:pPr>
                          <w:r>
                            <w:fldChar w:fldCharType="begin"/>
                          </w:r>
                          <w:r>
                            <w:instrText xml:space="preserve"> PAGE  \* MERGEFORMAT </w:instrText>
                          </w:r>
                          <w:r>
                            <w:fldChar w:fldCharType="separate"/>
                          </w:r>
                          <w:r>
                            <w:t>67</w:t>
                          </w:r>
                          <w:r>
                            <w:fldChar w:fldCharType="end"/>
                          </w:r>
                        </w:p>
                      </w:txbxContent>
                    </wps:txbx>
                    <wps:bodyPr vert="horz" wrap="none" lIns="0" tIns="0" rIns="0" bIns="0" anchor="t" anchorCtr="0" upright="0">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IrDP/dAQAAwAMAAA4AAAAAAAAA&#10;AQAgAAAAHgEAAGRycy9lMm9Eb2MueG1sUEsFBgAAAAAGAAYAWQEAAG0FAAAAAA==&#10;">
              <v:fill on="f" focussize="0,0"/>
              <v:stroke on="f"/>
              <v:imagedata o:title=""/>
              <o:lock v:ext="edit" aspectratio="f"/>
              <v:textbox inset="0mm,0mm,0mm,0mm" style="mso-fit-shape-to-text:t;">
                <w:txbxContent>
                  <w:p w14:paraId="127D2382">
                    <w:pPr>
                      <w:pStyle w:val="5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1BD6">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4B3E98">
                          <w:pPr>
                            <w:pStyle w:val="51"/>
                          </w:pPr>
                          <w:r>
                            <w:fldChar w:fldCharType="begin"/>
                          </w:r>
                          <w:r>
                            <w:instrText xml:space="preserve"> PAGE  \* MERGEFORMAT </w:instrText>
                          </w:r>
                          <w:r>
                            <w:fldChar w:fldCharType="separate"/>
                          </w:r>
                          <w:r>
                            <w:t>68</w:t>
                          </w:r>
                          <w:r>
                            <w:fldChar w:fldCharType="end"/>
                          </w:r>
                        </w:p>
                      </w:txbxContent>
                    </wps:txbx>
                    <wps:bodyPr vert="horz" wrap="none" lIns="0" tIns="0" rIns="0" bIns="0" anchor="t" anchorCtr="0" upright="0">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lINtNd8BAADAAwAADgAAAAAA&#10;AAABACAAAAAeAQAAZHJzL2Uyb0RvYy54bWxQSwUGAAAAAAYABgBZAQAAbwUAAAAA&#10;">
              <v:fill on="f" focussize="0,0"/>
              <v:stroke on="f"/>
              <v:imagedata o:title=""/>
              <o:lock v:ext="edit" aspectratio="f"/>
              <v:textbox inset="0mm,0mm,0mm,0mm" style="mso-fit-shape-to-text:t;">
                <w:txbxContent>
                  <w:p w14:paraId="344B3E98">
                    <w:pPr>
                      <w:pStyle w:val="5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hanging="105"/>
      </w:pPr>
      <w:r>
        <w:separator/>
      </w:r>
    </w:p>
  </w:footnote>
  <w:footnote w:type="continuationSeparator" w:id="1">
    <w:p>
      <w:pPr>
        <w:spacing w:line="360" w:lineRule="auto"/>
        <w:ind w:hanging="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2A822">
    <w:pPr>
      <w:tabs>
        <w:tab w:val="center" w:pos="4153"/>
        <w:tab w:val="right" w:pos="8306"/>
      </w:tabs>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51C90">
    <w:pPr>
      <w:pStyle w:val="8"/>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9D47C">
    <w:pPr>
      <w:pStyle w:val="8"/>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AD99E">
    <w:pPr>
      <w:pStyle w:val="8"/>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6341F">
    <w:pPr>
      <w:pStyle w:val="8"/>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EE0FB">
    <w:pPr>
      <w:pStyle w:val="8"/>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C24D7">
    <w:pPr>
      <w:pBdr>
        <w:bottom w:val="none" w:color="auto" w:sz="0" w:space="0"/>
      </w:pBdr>
      <w:tabs>
        <w:tab w:val="center" w:pos="4153"/>
        <w:tab w:val="right" w:pos="8306"/>
      </w:tab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E6F63">
    <w:pPr>
      <w:pBdr>
        <w:bottom w:val="none" w:color="auto" w:sz="0" w:space="0"/>
      </w:pBdr>
      <w:tabs>
        <w:tab w:val="center" w:pos="4153"/>
        <w:tab w:val="right" w:pos="8306"/>
      </w:tabs>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E7F86">
    <w:pPr>
      <w:tabs>
        <w:tab w:val="center" w:pos="4153"/>
        <w:tab w:val="right" w:pos="8306"/>
      </w:tabs>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E91B">
    <w:pPr>
      <w:pStyle w:val="8"/>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E8D1A">
    <w:pPr>
      <w:pStyle w:val="8"/>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1F53">
    <w:pPr>
      <w:pStyle w:val="8"/>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85E56">
    <w:pPr>
      <w:tabs>
        <w:tab w:val="center" w:pos="4153"/>
        <w:tab w:val="right" w:pos="8306"/>
      </w:tabs>
      <w:bidi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821E8">
    <w:pPr>
      <w:spacing w:line="220" w:lineRule="auto"/>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FB950">
    <w:pPr>
      <w:pStyle w:val="8"/>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79AD1">
    <w:pPr>
      <w:pStyle w:val="8"/>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C3119">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32363"/>
    <w:multiLevelType w:val="multilevel"/>
    <w:tmpl w:val="81D32363"/>
    <w:lvl w:ilvl="0" w:tentative="0">
      <w:start w:val="1"/>
      <w:numFmt w:val="decimal"/>
      <w:lvlText w:val="%1"/>
      <w:lvlJc w:val="left"/>
      <w:pPr>
        <w:tabs>
          <w:tab w:val="left" w:pos="900"/>
        </w:tabs>
        <w:ind w:left="900" w:hanging="900"/>
      </w:pPr>
      <w:rPr>
        <w:rFonts w:hint="eastAsia"/>
      </w:rPr>
    </w:lvl>
    <w:lvl w:ilvl="1" w:tentative="0">
      <w:start w:val="1"/>
      <w:numFmt w:val="decimal"/>
      <w:suff w:val="nothing"/>
      <w:lvlText w:val="%1.%2"/>
      <w:lvlJc w:val="left"/>
      <w:pPr>
        <w:ind w:left="1468" w:hanging="900"/>
      </w:pPr>
      <w:rPr>
        <w:rFonts w:hint="default" w:ascii="Times New Roman" w:hAnsi="Times New Roman" w:cs="Times New Roman"/>
        <w:sz w:val="24"/>
        <w:szCs w:val="24"/>
      </w:rPr>
    </w:lvl>
    <w:lvl w:ilvl="2" w:tentative="0">
      <w:start w:val="1"/>
      <w:numFmt w:val="decimal"/>
      <w:suff w:val="nothing"/>
      <w:lvlText w:val="%1.%2.%3"/>
      <w:lvlJc w:val="left"/>
      <w:pPr>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
    <w:nsid w:val="8ADF2F84"/>
    <w:multiLevelType w:val="singleLevel"/>
    <w:tmpl w:val="8ADF2F84"/>
    <w:lvl w:ilvl="0" w:tentative="0">
      <w:start w:val="1"/>
      <w:numFmt w:val="decimal"/>
      <w:suff w:val="nothing"/>
      <w:lvlText w:val="（%1）"/>
      <w:lvlJc w:val="left"/>
    </w:lvl>
  </w:abstractNum>
  <w:abstractNum w:abstractNumId="2">
    <w:nsid w:val="A9988A3E"/>
    <w:multiLevelType w:val="singleLevel"/>
    <w:tmpl w:val="A9988A3E"/>
    <w:lvl w:ilvl="0" w:tentative="0">
      <w:start w:val="1"/>
      <w:numFmt w:val="decimal"/>
      <w:suff w:val="nothing"/>
      <w:lvlText w:val="（%1）"/>
      <w:lvlJc w:val="left"/>
    </w:lvl>
  </w:abstractNum>
  <w:abstractNum w:abstractNumId="3">
    <w:nsid w:val="AE83B5D4"/>
    <w:multiLevelType w:val="singleLevel"/>
    <w:tmpl w:val="AE83B5D4"/>
    <w:lvl w:ilvl="0" w:tentative="0">
      <w:start w:val="1"/>
      <w:numFmt w:val="decimal"/>
      <w:suff w:val="nothing"/>
      <w:lvlText w:val="%1、"/>
      <w:lvlJc w:val="left"/>
    </w:lvl>
  </w:abstractNum>
  <w:abstractNum w:abstractNumId="4">
    <w:nsid w:val="C77C3CBF"/>
    <w:multiLevelType w:val="multilevel"/>
    <w:tmpl w:val="C77C3CBF"/>
    <w:lvl w:ilvl="0" w:tentative="0">
      <w:start w:val="1"/>
      <w:numFmt w:val="decimal"/>
      <w:suff w:val="space"/>
      <w:lvlText w:val="%1"/>
      <w:lvlJc w:val="left"/>
      <w:pPr>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D910A123"/>
    <w:multiLevelType w:val="singleLevel"/>
    <w:tmpl w:val="D910A123"/>
    <w:lvl w:ilvl="0" w:tentative="0">
      <w:start w:val="4"/>
      <w:numFmt w:val="decimal"/>
      <w:suff w:val="nothing"/>
      <w:lvlText w:val="（%1）"/>
      <w:lvlJc w:val="left"/>
    </w:lvl>
  </w:abstractNum>
  <w:abstractNum w:abstractNumId="6">
    <w:nsid w:val="09FD638A"/>
    <w:multiLevelType w:val="multilevel"/>
    <w:tmpl w:val="09FD638A"/>
    <w:lvl w:ilvl="0" w:tentative="0">
      <w:start w:val="1"/>
      <w:numFmt w:val="japaneseCounting"/>
      <w:pStyle w:val="142"/>
      <w:lvlText w:val="%1、"/>
      <w:lvlJc w:val="left"/>
      <w:pPr>
        <w:tabs>
          <w:tab w:val="left" w:pos="420"/>
        </w:tabs>
        <w:ind w:left="420" w:hanging="420"/>
      </w:pPr>
      <w:rPr>
        <w:rFonts w:hint="default"/>
      </w:rPr>
    </w:lvl>
    <w:lvl w:ilvl="1" w:tentative="0">
      <w:start w:val="1"/>
      <w:numFmt w:val="decimal"/>
      <w:lvlText w:val="%2、"/>
      <w:lvlJc w:val="left"/>
      <w:pPr>
        <w:tabs>
          <w:tab w:val="left" w:pos="644"/>
        </w:tabs>
        <w:ind w:left="644" w:hanging="360"/>
      </w:pPr>
      <w:rPr>
        <w:rFonts w:ascii="宋体" w:hAnsi="宋体" w:eastAsia="宋体" w:cs="Times New Roman"/>
      </w:rPr>
    </w:lvl>
    <w:lvl w:ilvl="2" w:tentative="0">
      <w:start w:val="2"/>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B3CA090"/>
    <w:multiLevelType w:val="singleLevel"/>
    <w:tmpl w:val="2B3CA090"/>
    <w:lvl w:ilvl="0" w:tentative="0">
      <w:start w:val="1"/>
      <w:numFmt w:val="decimal"/>
      <w:suff w:val="nothing"/>
      <w:lvlText w:val="（%1）"/>
      <w:lvlJc w:val="left"/>
    </w:lvl>
  </w:abstractNum>
  <w:abstractNum w:abstractNumId="8">
    <w:nsid w:val="3582B524"/>
    <w:multiLevelType w:val="singleLevel"/>
    <w:tmpl w:val="3582B524"/>
    <w:lvl w:ilvl="0" w:tentative="0">
      <w:start w:val="1"/>
      <w:numFmt w:val="decimal"/>
      <w:suff w:val="nothing"/>
      <w:lvlText w:val="（%1）"/>
      <w:lvlJc w:val="left"/>
    </w:lvl>
  </w:abstractNum>
  <w:abstractNum w:abstractNumId="9">
    <w:nsid w:val="36C99D1A"/>
    <w:multiLevelType w:val="singleLevel"/>
    <w:tmpl w:val="36C99D1A"/>
    <w:lvl w:ilvl="0" w:tentative="0">
      <w:start w:val="4"/>
      <w:numFmt w:val="chineseCounting"/>
      <w:suff w:val="space"/>
      <w:lvlText w:val="第%1章"/>
      <w:lvlJc w:val="left"/>
      <w:rPr>
        <w:rFonts w:hint="eastAsia"/>
      </w:rPr>
    </w:lvl>
  </w:abstractNum>
  <w:abstractNum w:abstractNumId="10">
    <w:nsid w:val="36D4198A"/>
    <w:multiLevelType w:val="multilevel"/>
    <w:tmpl w:val="36D4198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none"/>
      <w:lvlRestart w:val="0"/>
      <w:pStyle w:val="5"/>
      <w:isLgl/>
      <w:lvlText w:val="4.1.1.1"/>
      <w:lvlJc w:val="left"/>
      <w:pPr>
        <w:tabs>
          <w:tab w:val="left" w:pos="1751"/>
        </w:tabs>
        <w:ind w:left="17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3C7D36E3"/>
    <w:multiLevelType w:val="multilevel"/>
    <w:tmpl w:val="3C7D36E3"/>
    <w:lvl w:ilvl="0" w:tentative="0">
      <w:start w:val="1"/>
      <w:numFmt w:val="japaneseCounting"/>
      <w:pStyle w:val="2"/>
      <w:lvlText w:val="%1．"/>
      <w:lvlJc w:val="left"/>
      <w:pPr>
        <w:tabs>
          <w:tab w:val="left" w:pos="3060"/>
        </w:tabs>
        <w:ind w:left="3060" w:hanging="720"/>
      </w:pPr>
      <w:rPr>
        <w:b/>
        <w:sz w:val="36"/>
        <w:szCs w:val="36"/>
      </w:rPr>
    </w:lvl>
    <w:lvl w:ilvl="1" w:tentative="0">
      <w:start w:val="6"/>
      <w:numFmt w:val="decimal"/>
      <w:lvlText w:val="%2、"/>
      <w:lvlJc w:val="left"/>
      <w:pPr>
        <w:tabs>
          <w:tab w:val="left" w:pos="3160"/>
        </w:tabs>
        <w:ind w:left="3160" w:hanging="825"/>
      </w:pPr>
    </w:lvl>
    <w:lvl w:ilvl="2" w:tentative="0">
      <w:start w:val="2"/>
      <w:numFmt w:val="japaneseCounting"/>
      <w:lvlText w:val="%3、"/>
      <w:lvlJc w:val="left"/>
      <w:pPr>
        <w:tabs>
          <w:tab w:val="left" w:pos="3475"/>
        </w:tabs>
        <w:ind w:left="3475" w:hanging="720"/>
      </w:pPr>
      <w:rPr>
        <w:b/>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D81CFBD"/>
    <w:multiLevelType w:val="singleLevel"/>
    <w:tmpl w:val="4D81CFBD"/>
    <w:lvl w:ilvl="0" w:tentative="0">
      <w:start w:val="1"/>
      <w:numFmt w:val="decimal"/>
      <w:suff w:val="nothing"/>
      <w:lvlText w:val="（%1）"/>
      <w:lvlJc w:val="left"/>
    </w:lvl>
  </w:abstractNum>
  <w:abstractNum w:abstractNumId="13">
    <w:nsid w:val="74520F91"/>
    <w:multiLevelType w:val="singleLevel"/>
    <w:tmpl w:val="74520F91"/>
    <w:lvl w:ilvl="0" w:tentative="0">
      <w:start w:val="2"/>
      <w:numFmt w:val="decimal"/>
      <w:suff w:val="nothing"/>
      <w:lvlText w:val="%1、"/>
      <w:lvlJc w:val="left"/>
    </w:lvl>
  </w:abstractNum>
  <w:num w:numId="1">
    <w:abstractNumId w:val="11"/>
  </w:num>
  <w:num w:numId="2">
    <w:abstractNumId w:val="10"/>
  </w:num>
  <w:num w:numId="3">
    <w:abstractNumId w:val="6"/>
  </w:num>
  <w:num w:numId="4">
    <w:abstractNumId w:val="12"/>
  </w:num>
  <w:num w:numId="5">
    <w:abstractNumId w:val="13"/>
  </w:num>
  <w:num w:numId="6">
    <w:abstractNumId w:val="9"/>
  </w:num>
  <w:num w:numId="7">
    <w:abstractNumId w:val="4"/>
  </w:num>
  <w:num w:numId="8">
    <w:abstractNumId w:val="0"/>
  </w:num>
  <w:num w:numId="9">
    <w:abstractNumId w:val="3"/>
  </w:num>
  <w:num w:numId="10">
    <w:abstractNumId w:val="5"/>
  </w:num>
  <w:num w:numId="11">
    <w:abstractNumId w:val="7"/>
  </w:num>
  <w:num w:numId="12">
    <w:abstractNumId w:val="8"/>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ZmZlZWNlZTcyYzFhMjNkMDQ3OTc4NTYxMmNiZWYifQ=="/>
    <w:docVar w:name="KSO_WPS_MARK_KEY" w:val="1fbe5ccf-db38-4a25-aaa2-68737bb3dcd4"/>
  </w:docVars>
  <w:rsids>
    <w:rsidRoot w:val="000669E3"/>
    <w:rsid w:val="0000017A"/>
    <w:rsid w:val="00001114"/>
    <w:rsid w:val="000015C3"/>
    <w:rsid w:val="000022DA"/>
    <w:rsid w:val="00002548"/>
    <w:rsid w:val="00002650"/>
    <w:rsid w:val="00002EB5"/>
    <w:rsid w:val="000047A6"/>
    <w:rsid w:val="00005531"/>
    <w:rsid w:val="0000598D"/>
    <w:rsid w:val="0000642A"/>
    <w:rsid w:val="00010945"/>
    <w:rsid w:val="00010D6A"/>
    <w:rsid w:val="00010DE7"/>
    <w:rsid w:val="000114C6"/>
    <w:rsid w:val="0001150B"/>
    <w:rsid w:val="000119F6"/>
    <w:rsid w:val="00011ACB"/>
    <w:rsid w:val="0001305F"/>
    <w:rsid w:val="0001321B"/>
    <w:rsid w:val="00013CD2"/>
    <w:rsid w:val="00014A81"/>
    <w:rsid w:val="000153DC"/>
    <w:rsid w:val="00015A0D"/>
    <w:rsid w:val="00015EFC"/>
    <w:rsid w:val="00017574"/>
    <w:rsid w:val="00021ABA"/>
    <w:rsid w:val="00021B8D"/>
    <w:rsid w:val="00023BA4"/>
    <w:rsid w:val="00023E15"/>
    <w:rsid w:val="00023EAB"/>
    <w:rsid w:val="00024218"/>
    <w:rsid w:val="000249A0"/>
    <w:rsid w:val="000249C0"/>
    <w:rsid w:val="00024AFD"/>
    <w:rsid w:val="0002736B"/>
    <w:rsid w:val="00027C9F"/>
    <w:rsid w:val="00027D10"/>
    <w:rsid w:val="000304EB"/>
    <w:rsid w:val="00030E3D"/>
    <w:rsid w:val="000310D4"/>
    <w:rsid w:val="000313F5"/>
    <w:rsid w:val="00031D85"/>
    <w:rsid w:val="00032314"/>
    <w:rsid w:val="000331FC"/>
    <w:rsid w:val="00033F3F"/>
    <w:rsid w:val="00034325"/>
    <w:rsid w:val="00034591"/>
    <w:rsid w:val="00034620"/>
    <w:rsid w:val="00035933"/>
    <w:rsid w:val="000402B7"/>
    <w:rsid w:val="000419EE"/>
    <w:rsid w:val="00042652"/>
    <w:rsid w:val="00042AD1"/>
    <w:rsid w:val="00043140"/>
    <w:rsid w:val="00043B2F"/>
    <w:rsid w:val="00044301"/>
    <w:rsid w:val="00044550"/>
    <w:rsid w:val="00046295"/>
    <w:rsid w:val="000468CA"/>
    <w:rsid w:val="000503CE"/>
    <w:rsid w:val="00051B8A"/>
    <w:rsid w:val="000529BE"/>
    <w:rsid w:val="00052CBC"/>
    <w:rsid w:val="00052DB3"/>
    <w:rsid w:val="00052F6D"/>
    <w:rsid w:val="0005368B"/>
    <w:rsid w:val="00053C23"/>
    <w:rsid w:val="00053CFF"/>
    <w:rsid w:val="00053E1F"/>
    <w:rsid w:val="00053E58"/>
    <w:rsid w:val="00054F1F"/>
    <w:rsid w:val="00055868"/>
    <w:rsid w:val="00055CAE"/>
    <w:rsid w:val="00056A9F"/>
    <w:rsid w:val="00062622"/>
    <w:rsid w:val="000626D5"/>
    <w:rsid w:val="00062F9B"/>
    <w:rsid w:val="000638E6"/>
    <w:rsid w:val="00065C00"/>
    <w:rsid w:val="00065C0F"/>
    <w:rsid w:val="000669E3"/>
    <w:rsid w:val="0006748A"/>
    <w:rsid w:val="00067FC5"/>
    <w:rsid w:val="0007065D"/>
    <w:rsid w:val="00070921"/>
    <w:rsid w:val="0007118D"/>
    <w:rsid w:val="0007251F"/>
    <w:rsid w:val="00072667"/>
    <w:rsid w:val="00072A12"/>
    <w:rsid w:val="000740C5"/>
    <w:rsid w:val="000759C0"/>
    <w:rsid w:val="0007642E"/>
    <w:rsid w:val="00076B8F"/>
    <w:rsid w:val="000773C9"/>
    <w:rsid w:val="000807F9"/>
    <w:rsid w:val="000809ED"/>
    <w:rsid w:val="00080BDF"/>
    <w:rsid w:val="00080D57"/>
    <w:rsid w:val="00080EFF"/>
    <w:rsid w:val="00081459"/>
    <w:rsid w:val="000814B9"/>
    <w:rsid w:val="00081F12"/>
    <w:rsid w:val="000823DF"/>
    <w:rsid w:val="000827B7"/>
    <w:rsid w:val="0008305D"/>
    <w:rsid w:val="0008316E"/>
    <w:rsid w:val="0008364F"/>
    <w:rsid w:val="00084DF5"/>
    <w:rsid w:val="00084E6B"/>
    <w:rsid w:val="000853FA"/>
    <w:rsid w:val="0008688C"/>
    <w:rsid w:val="00087211"/>
    <w:rsid w:val="0009027E"/>
    <w:rsid w:val="000911EB"/>
    <w:rsid w:val="00091957"/>
    <w:rsid w:val="00094282"/>
    <w:rsid w:val="00095C12"/>
    <w:rsid w:val="00096651"/>
    <w:rsid w:val="00097124"/>
    <w:rsid w:val="000978D2"/>
    <w:rsid w:val="000A00AB"/>
    <w:rsid w:val="000A0A41"/>
    <w:rsid w:val="000A17B6"/>
    <w:rsid w:val="000A2663"/>
    <w:rsid w:val="000A28E5"/>
    <w:rsid w:val="000A3084"/>
    <w:rsid w:val="000A3430"/>
    <w:rsid w:val="000A3489"/>
    <w:rsid w:val="000A4486"/>
    <w:rsid w:val="000A54E2"/>
    <w:rsid w:val="000A5A93"/>
    <w:rsid w:val="000A637F"/>
    <w:rsid w:val="000A656C"/>
    <w:rsid w:val="000A6BCB"/>
    <w:rsid w:val="000A6DE4"/>
    <w:rsid w:val="000A7182"/>
    <w:rsid w:val="000A75D6"/>
    <w:rsid w:val="000A7DC8"/>
    <w:rsid w:val="000B09E9"/>
    <w:rsid w:val="000B13CF"/>
    <w:rsid w:val="000B215B"/>
    <w:rsid w:val="000B2B45"/>
    <w:rsid w:val="000B2F20"/>
    <w:rsid w:val="000B4C14"/>
    <w:rsid w:val="000B58F9"/>
    <w:rsid w:val="000B716F"/>
    <w:rsid w:val="000C0145"/>
    <w:rsid w:val="000C08E5"/>
    <w:rsid w:val="000C0BCC"/>
    <w:rsid w:val="000C0C52"/>
    <w:rsid w:val="000C151F"/>
    <w:rsid w:val="000C1B22"/>
    <w:rsid w:val="000C300F"/>
    <w:rsid w:val="000C3573"/>
    <w:rsid w:val="000C44B1"/>
    <w:rsid w:val="000C48E5"/>
    <w:rsid w:val="000C49E3"/>
    <w:rsid w:val="000C4EB1"/>
    <w:rsid w:val="000C503A"/>
    <w:rsid w:val="000C5544"/>
    <w:rsid w:val="000C589D"/>
    <w:rsid w:val="000C5B1C"/>
    <w:rsid w:val="000D0CFC"/>
    <w:rsid w:val="000D1AB0"/>
    <w:rsid w:val="000D1CDF"/>
    <w:rsid w:val="000D25FE"/>
    <w:rsid w:val="000D47D6"/>
    <w:rsid w:val="000D67EF"/>
    <w:rsid w:val="000D6CB9"/>
    <w:rsid w:val="000D6D98"/>
    <w:rsid w:val="000D74DC"/>
    <w:rsid w:val="000D7AAD"/>
    <w:rsid w:val="000D7ED7"/>
    <w:rsid w:val="000E0613"/>
    <w:rsid w:val="000E0653"/>
    <w:rsid w:val="000E1B78"/>
    <w:rsid w:val="000E2252"/>
    <w:rsid w:val="000E2C6C"/>
    <w:rsid w:val="000E3A28"/>
    <w:rsid w:val="000E4029"/>
    <w:rsid w:val="000E46AE"/>
    <w:rsid w:val="000E7122"/>
    <w:rsid w:val="000E73E6"/>
    <w:rsid w:val="000F0270"/>
    <w:rsid w:val="000F0EA1"/>
    <w:rsid w:val="000F2007"/>
    <w:rsid w:val="000F2BD0"/>
    <w:rsid w:val="000F2D7A"/>
    <w:rsid w:val="000F5A7D"/>
    <w:rsid w:val="000F5BB0"/>
    <w:rsid w:val="000F761E"/>
    <w:rsid w:val="00100687"/>
    <w:rsid w:val="001010CA"/>
    <w:rsid w:val="001019D2"/>
    <w:rsid w:val="0010264D"/>
    <w:rsid w:val="00103CA2"/>
    <w:rsid w:val="00104E91"/>
    <w:rsid w:val="0010533E"/>
    <w:rsid w:val="0010584C"/>
    <w:rsid w:val="00106A4E"/>
    <w:rsid w:val="001075E1"/>
    <w:rsid w:val="00112154"/>
    <w:rsid w:val="001125E0"/>
    <w:rsid w:val="00112EDF"/>
    <w:rsid w:val="001143F1"/>
    <w:rsid w:val="00116422"/>
    <w:rsid w:val="00117B8A"/>
    <w:rsid w:val="00120B86"/>
    <w:rsid w:val="00122A99"/>
    <w:rsid w:val="00122ED8"/>
    <w:rsid w:val="00124803"/>
    <w:rsid w:val="00126D9E"/>
    <w:rsid w:val="001272CC"/>
    <w:rsid w:val="00130228"/>
    <w:rsid w:val="0013032D"/>
    <w:rsid w:val="00130816"/>
    <w:rsid w:val="00130B51"/>
    <w:rsid w:val="001316AE"/>
    <w:rsid w:val="0013181B"/>
    <w:rsid w:val="00131BC1"/>
    <w:rsid w:val="001329D2"/>
    <w:rsid w:val="00133E1A"/>
    <w:rsid w:val="00134D40"/>
    <w:rsid w:val="00134ED4"/>
    <w:rsid w:val="00136EB6"/>
    <w:rsid w:val="00140763"/>
    <w:rsid w:val="00140EBD"/>
    <w:rsid w:val="00140FA9"/>
    <w:rsid w:val="001420B1"/>
    <w:rsid w:val="0014510E"/>
    <w:rsid w:val="00145DB0"/>
    <w:rsid w:val="00146C42"/>
    <w:rsid w:val="00147DFE"/>
    <w:rsid w:val="001503D3"/>
    <w:rsid w:val="0015071A"/>
    <w:rsid w:val="00150CC4"/>
    <w:rsid w:val="00151386"/>
    <w:rsid w:val="00152CDC"/>
    <w:rsid w:val="0015399B"/>
    <w:rsid w:val="00154A06"/>
    <w:rsid w:val="001554A8"/>
    <w:rsid w:val="001563BC"/>
    <w:rsid w:val="001574CB"/>
    <w:rsid w:val="00157F0D"/>
    <w:rsid w:val="00163FC6"/>
    <w:rsid w:val="00164ADD"/>
    <w:rsid w:val="00164FC3"/>
    <w:rsid w:val="00165654"/>
    <w:rsid w:val="00165E50"/>
    <w:rsid w:val="0016665E"/>
    <w:rsid w:val="0016685F"/>
    <w:rsid w:val="00166E54"/>
    <w:rsid w:val="001673D2"/>
    <w:rsid w:val="001673EE"/>
    <w:rsid w:val="00167E73"/>
    <w:rsid w:val="001703C1"/>
    <w:rsid w:val="00171B01"/>
    <w:rsid w:val="00171FF9"/>
    <w:rsid w:val="00172DBD"/>
    <w:rsid w:val="0017422B"/>
    <w:rsid w:val="001751A7"/>
    <w:rsid w:val="00175F29"/>
    <w:rsid w:val="00176A84"/>
    <w:rsid w:val="00176DF7"/>
    <w:rsid w:val="00177B4D"/>
    <w:rsid w:val="00180204"/>
    <w:rsid w:val="0018036A"/>
    <w:rsid w:val="00180AE6"/>
    <w:rsid w:val="00180B35"/>
    <w:rsid w:val="00181EED"/>
    <w:rsid w:val="00182063"/>
    <w:rsid w:val="001821B8"/>
    <w:rsid w:val="0018225C"/>
    <w:rsid w:val="00182674"/>
    <w:rsid w:val="00182D50"/>
    <w:rsid w:val="001843F4"/>
    <w:rsid w:val="00184498"/>
    <w:rsid w:val="00185EC2"/>
    <w:rsid w:val="00185F02"/>
    <w:rsid w:val="00186104"/>
    <w:rsid w:val="00186890"/>
    <w:rsid w:val="00186C70"/>
    <w:rsid w:val="00187210"/>
    <w:rsid w:val="001876C3"/>
    <w:rsid w:val="001907CD"/>
    <w:rsid w:val="00191F54"/>
    <w:rsid w:val="0019412C"/>
    <w:rsid w:val="001A0274"/>
    <w:rsid w:val="001A0317"/>
    <w:rsid w:val="001A1BE0"/>
    <w:rsid w:val="001A209D"/>
    <w:rsid w:val="001A2183"/>
    <w:rsid w:val="001A31A3"/>
    <w:rsid w:val="001A369C"/>
    <w:rsid w:val="001A445A"/>
    <w:rsid w:val="001A47C4"/>
    <w:rsid w:val="001A4D87"/>
    <w:rsid w:val="001A5E39"/>
    <w:rsid w:val="001A6370"/>
    <w:rsid w:val="001A682D"/>
    <w:rsid w:val="001A68E9"/>
    <w:rsid w:val="001B0C12"/>
    <w:rsid w:val="001B1015"/>
    <w:rsid w:val="001B19E3"/>
    <w:rsid w:val="001B2FCD"/>
    <w:rsid w:val="001B4E3B"/>
    <w:rsid w:val="001B51BA"/>
    <w:rsid w:val="001B5A58"/>
    <w:rsid w:val="001B6088"/>
    <w:rsid w:val="001B6DFC"/>
    <w:rsid w:val="001B77D6"/>
    <w:rsid w:val="001C277F"/>
    <w:rsid w:val="001C34EC"/>
    <w:rsid w:val="001C3636"/>
    <w:rsid w:val="001C4FEE"/>
    <w:rsid w:val="001C54D1"/>
    <w:rsid w:val="001C5A28"/>
    <w:rsid w:val="001C5B8B"/>
    <w:rsid w:val="001C5C24"/>
    <w:rsid w:val="001C78B4"/>
    <w:rsid w:val="001C7A72"/>
    <w:rsid w:val="001C7D0B"/>
    <w:rsid w:val="001D172A"/>
    <w:rsid w:val="001D1A84"/>
    <w:rsid w:val="001D2B44"/>
    <w:rsid w:val="001D307A"/>
    <w:rsid w:val="001D3CB3"/>
    <w:rsid w:val="001D50C9"/>
    <w:rsid w:val="001D648E"/>
    <w:rsid w:val="001D652E"/>
    <w:rsid w:val="001D76F5"/>
    <w:rsid w:val="001D7F5D"/>
    <w:rsid w:val="001E0B3C"/>
    <w:rsid w:val="001E1094"/>
    <w:rsid w:val="001E125F"/>
    <w:rsid w:val="001E1361"/>
    <w:rsid w:val="001E20D3"/>
    <w:rsid w:val="001E2E9F"/>
    <w:rsid w:val="001E34A1"/>
    <w:rsid w:val="001E35F7"/>
    <w:rsid w:val="001E4AC4"/>
    <w:rsid w:val="001F044D"/>
    <w:rsid w:val="001F0914"/>
    <w:rsid w:val="001F0B9A"/>
    <w:rsid w:val="001F1932"/>
    <w:rsid w:val="001F251A"/>
    <w:rsid w:val="001F2F02"/>
    <w:rsid w:val="001F3FE1"/>
    <w:rsid w:val="001F50AA"/>
    <w:rsid w:val="001F5C57"/>
    <w:rsid w:val="001F7016"/>
    <w:rsid w:val="00200EBC"/>
    <w:rsid w:val="00201899"/>
    <w:rsid w:val="002046CE"/>
    <w:rsid w:val="00205775"/>
    <w:rsid w:val="00205C63"/>
    <w:rsid w:val="00206399"/>
    <w:rsid w:val="00206466"/>
    <w:rsid w:val="00206B62"/>
    <w:rsid w:val="00210567"/>
    <w:rsid w:val="002106E5"/>
    <w:rsid w:val="00210735"/>
    <w:rsid w:val="00210779"/>
    <w:rsid w:val="00211D4E"/>
    <w:rsid w:val="00213F35"/>
    <w:rsid w:val="00214516"/>
    <w:rsid w:val="00214BDF"/>
    <w:rsid w:val="00215804"/>
    <w:rsid w:val="00215A2B"/>
    <w:rsid w:val="00215AE9"/>
    <w:rsid w:val="00216F0D"/>
    <w:rsid w:val="00217A2E"/>
    <w:rsid w:val="00217EC2"/>
    <w:rsid w:val="0022055F"/>
    <w:rsid w:val="00220D49"/>
    <w:rsid w:val="0022288C"/>
    <w:rsid w:val="0022312B"/>
    <w:rsid w:val="0022394B"/>
    <w:rsid w:val="00223AF4"/>
    <w:rsid w:val="0022587A"/>
    <w:rsid w:val="00225910"/>
    <w:rsid w:val="00225BED"/>
    <w:rsid w:val="0022731E"/>
    <w:rsid w:val="00227928"/>
    <w:rsid w:val="00227CFB"/>
    <w:rsid w:val="00230046"/>
    <w:rsid w:val="002305CA"/>
    <w:rsid w:val="00230C25"/>
    <w:rsid w:val="002328CF"/>
    <w:rsid w:val="00232932"/>
    <w:rsid w:val="00232FA4"/>
    <w:rsid w:val="00234BD6"/>
    <w:rsid w:val="00234C06"/>
    <w:rsid w:val="00234DD4"/>
    <w:rsid w:val="00234FB7"/>
    <w:rsid w:val="0023754C"/>
    <w:rsid w:val="002375E1"/>
    <w:rsid w:val="00237AB6"/>
    <w:rsid w:val="00237CCF"/>
    <w:rsid w:val="00237E62"/>
    <w:rsid w:val="002401A9"/>
    <w:rsid w:val="00240E9F"/>
    <w:rsid w:val="00241351"/>
    <w:rsid w:val="00242ECA"/>
    <w:rsid w:val="00243621"/>
    <w:rsid w:val="002438B3"/>
    <w:rsid w:val="002448E9"/>
    <w:rsid w:val="00244B0E"/>
    <w:rsid w:val="002458F6"/>
    <w:rsid w:val="002465C5"/>
    <w:rsid w:val="00247AD9"/>
    <w:rsid w:val="002508D9"/>
    <w:rsid w:val="00251C08"/>
    <w:rsid w:val="00252988"/>
    <w:rsid w:val="00252E05"/>
    <w:rsid w:val="0025456F"/>
    <w:rsid w:val="002577F4"/>
    <w:rsid w:val="0026026B"/>
    <w:rsid w:val="00260F9D"/>
    <w:rsid w:val="00261188"/>
    <w:rsid w:val="00261D5A"/>
    <w:rsid w:val="00262BB1"/>
    <w:rsid w:val="00262E8F"/>
    <w:rsid w:val="00264567"/>
    <w:rsid w:val="00265348"/>
    <w:rsid w:val="00265855"/>
    <w:rsid w:val="00265DED"/>
    <w:rsid w:val="0026623D"/>
    <w:rsid w:val="0026630F"/>
    <w:rsid w:val="0026671C"/>
    <w:rsid w:val="00267082"/>
    <w:rsid w:val="002677F0"/>
    <w:rsid w:val="002678AD"/>
    <w:rsid w:val="00267D5B"/>
    <w:rsid w:val="0027056C"/>
    <w:rsid w:val="002708B6"/>
    <w:rsid w:val="0027184E"/>
    <w:rsid w:val="0027516A"/>
    <w:rsid w:val="002755A1"/>
    <w:rsid w:val="00276715"/>
    <w:rsid w:val="00276C41"/>
    <w:rsid w:val="00277C87"/>
    <w:rsid w:val="002800E8"/>
    <w:rsid w:val="0028090B"/>
    <w:rsid w:val="0028183B"/>
    <w:rsid w:val="00281E6C"/>
    <w:rsid w:val="00281F2F"/>
    <w:rsid w:val="0028234E"/>
    <w:rsid w:val="00284FE8"/>
    <w:rsid w:val="0028549A"/>
    <w:rsid w:val="0028661F"/>
    <w:rsid w:val="002870C8"/>
    <w:rsid w:val="00287C0A"/>
    <w:rsid w:val="00287CA0"/>
    <w:rsid w:val="00287EAD"/>
    <w:rsid w:val="00290897"/>
    <w:rsid w:val="0029105E"/>
    <w:rsid w:val="002919A1"/>
    <w:rsid w:val="00294B33"/>
    <w:rsid w:val="0029648F"/>
    <w:rsid w:val="00297917"/>
    <w:rsid w:val="002A0A5F"/>
    <w:rsid w:val="002A0B27"/>
    <w:rsid w:val="002A0F40"/>
    <w:rsid w:val="002A26D8"/>
    <w:rsid w:val="002A2D80"/>
    <w:rsid w:val="002A2FAF"/>
    <w:rsid w:val="002A48FD"/>
    <w:rsid w:val="002A6220"/>
    <w:rsid w:val="002A669B"/>
    <w:rsid w:val="002A7712"/>
    <w:rsid w:val="002A7A8A"/>
    <w:rsid w:val="002A7A9F"/>
    <w:rsid w:val="002B143B"/>
    <w:rsid w:val="002B1871"/>
    <w:rsid w:val="002B2532"/>
    <w:rsid w:val="002B2E65"/>
    <w:rsid w:val="002B5BAB"/>
    <w:rsid w:val="002B6C2B"/>
    <w:rsid w:val="002B73DC"/>
    <w:rsid w:val="002C1816"/>
    <w:rsid w:val="002C275C"/>
    <w:rsid w:val="002C30CE"/>
    <w:rsid w:val="002C4052"/>
    <w:rsid w:val="002C4279"/>
    <w:rsid w:val="002D086B"/>
    <w:rsid w:val="002D1689"/>
    <w:rsid w:val="002D18BE"/>
    <w:rsid w:val="002D3361"/>
    <w:rsid w:val="002D384F"/>
    <w:rsid w:val="002D3D79"/>
    <w:rsid w:val="002D6C2A"/>
    <w:rsid w:val="002D737E"/>
    <w:rsid w:val="002E02EE"/>
    <w:rsid w:val="002E0371"/>
    <w:rsid w:val="002E0BB8"/>
    <w:rsid w:val="002E1A29"/>
    <w:rsid w:val="002E1ABA"/>
    <w:rsid w:val="002E203E"/>
    <w:rsid w:val="002E2D94"/>
    <w:rsid w:val="002E3DD4"/>
    <w:rsid w:val="002E47C4"/>
    <w:rsid w:val="002E4C49"/>
    <w:rsid w:val="002E4E8E"/>
    <w:rsid w:val="002E5294"/>
    <w:rsid w:val="002E6A78"/>
    <w:rsid w:val="002E7075"/>
    <w:rsid w:val="002E725F"/>
    <w:rsid w:val="002E7791"/>
    <w:rsid w:val="002F150F"/>
    <w:rsid w:val="002F1805"/>
    <w:rsid w:val="002F1995"/>
    <w:rsid w:val="002F26A1"/>
    <w:rsid w:val="002F2D76"/>
    <w:rsid w:val="002F3AB0"/>
    <w:rsid w:val="002F413D"/>
    <w:rsid w:val="002F428F"/>
    <w:rsid w:val="002F5045"/>
    <w:rsid w:val="002F51E7"/>
    <w:rsid w:val="002F59D8"/>
    <w:rsid w:val="002F76F0"/>
    <w:rsid w:val="00300E0F"/>
    <w:rsid w:val="00301EF9"/>
    <w:rsid w:val="00302080"/>
    <w:rsid w:val="003020B5"/>
    <w:rsid w:val="00302F74"/>
    <w:rsid w:val="00303055"/>
    <w:rsid w:val="003033A3"/>
    <w:rsid w:val="0030385D"/>
    <w:rsid w:val="00303C2D"/>
    <w:rsid w:val="00303F79"/>
    <w:rsid w:val="003048B3"/>
    <w:rsid w:val="00304A0C"/>
    <w:rsid w:val="0030501A"/>
    <w:rsid w:val="00305368"/>
    <w:rsid w:val="00306817"/>
    <w:rsid w:val="003076A5"/>
    <w:rsid w:val="003078CC"/>
    <w:rsid w:val="0031073E"/>
    <w:rsid w:val="00311745"/>
    <w:rsid w:val="00311FEF"/>
    <w:rsid w:val="00312880"/>
    <w:rsid w:val="00313787"/>
    <w:rsid w:val="00313F38"/>
    <w:rsid w:val="003157FB"/>
    <w:rsid w:val="003166D3"/>
    <w:rsid w:val="003168EE"/>
    <w:rsid w:val="0031702E"/>
    <w:rsid w:val="003179C7"/>
    <w:rsid w:val="00320629"/>
    <w:rsid w:val="0032092B"/>
    <w:rsid w:val="003224E4"/>
    <w:rsid w:val="00323827"/>
    <w:rsid w:val="00324CCA"/>
    <w:rsid w:val="003258EA"/>
    <w:rsid w:val="00325C18"/>
    <w:rsid w:val="0032775D"/>
    <w:rsid w:val="0033022F"/>
    <w:rsid w:val="00330DAC"/>
    <w:rsid w:val="003312E9"/>
    <w:rsid w:val="00333D70"/>
    <w:rsid w:val="00333F2B"/>
    <w:rsid w:val="003346C4"/>
    <w:rsid w:val="003349B6"/>
    <w:rsid w:val="00334DA5"/>
    <w:rsid w:val="00335545"/>
    <w:rsid w:val="00335CE0"/>
    <w:rsid w:val="003371BE"/>
    <w:rsid w:val="003373A0"/>
    <w:rsid w:val="003401CD"/>
    <w:rsid w:val="0034087F"/>
    <w:rsid w:val="00341D70"/>
    <w:rsid w:val="0034229B"/>
    <w:rsid w:val="003429D3"/>
    <w:rsid w:val="00342A81"/>
    <w:rsid w:val="00343A8A"/>
    <w:rsid w:val="00345AB4"/>
    <w:rsid w:val="00346C9C"/>
    <w:rsid w:val="00347A92"/>
    <w:rsid w:val="003507F5"/>
    <w:rsid w:val="00350C32"/>
    <w:rsid w:val="00351FE4"/>
    <w:rsid w:val="00352320"/>
    <w:rsid w:val="0035257D"/>
    <w:rsid w:val="00353954"/>
    <w:rsid w:val="00353C4D"/>
    <w:rsid w:val="003541AE"/>
    <w:rsid w:val="0035479E"/>
    <w:rsid w:val="003548F1"/>
    <w:rsid w:val="003562EB"/>
    <w:rsid w:val="00356E84"/>
    <w:rsid w:val="00357D62"/>
    <w:rsid w:val="0036063A"/>
    <w:rsid w:val="00360A3E"/>
    <w:rsid w:val="00360B9D"/>
    <w:rsid w:val="0036130F"/>
    <w:rsid w:val="0036167B"/>
    <w:rsid w:val="00361684"/>
    <w:rsid w:val="003645AF"/>
    <w:rsid w:val="00364B71"/>
    <w:rsid w:val="00365B7E"/>
    <w:rsid w:val="00365F2D"/>
    <w:rsid w:val="0036642F"/>
    <w:rsid w:val="00366761"/>
    <w:rsid w:val="003670FA"/>
    <w:rsid w:val="003679E4"/>
    <w:rsid w:val="00367A9B"/>
    <w:rsid w:val="00370524"/>
    <w:rsid w:val="00370C6A"/>
    <w:rsid w:val="00371C2E"/>
    <w:rsid w:val="00372B46"/>
    <w:rsid w:val="0037375D"/>
    <w:rsid w:val="00374FED"/>
    <w:rsid w:val="00375107"/>
    <w:rsid w:val="00375573"/>
    <w:rsid w:val="003759A0"/>
    <w:rsid w:val="00375B6D"/>
    <w:rsid w:val="00375C10"/>
    <w:rsid w:val="00376A15"/>
    <w:rsid w:val="003773EB"/>
    <w:rsid w:val="00380A14"/>
    <w:rsid w:val="00381665"/>
    <w:rsid w:val="003823BC"/>
    <w:rsid w:val="003832BE"/>
    <w:rsid w:val="0038369A"/>
    <w:rsid w:val="0038396D"/>
    <w:rsid w:val="00383EE5"/>
    <w:rsid w:val="003848E0"/>
    <w:rsid w:val="00384CBD"/>
    <w:rsid w:val="00384FC5"/>
    <w:rsid w:val="0038525B"/>
    <w:rsid w:val="0038632F"/>
    <w:rsid w:val="00386409"/>
    <w:rsid w:val="0038661C"/>
    <w:rsid w:val="00386ACF"/>
    <w:rsid w:val="003874F2"/>
    <w:rsid w:val="003879C0"/>
    <w:rsid w:val="00387AE0"/>
    <w:rsid w:val="00387DA8"/>
    <w:rsid w:val="00391B2F"/>
    <w:rsid w:val="0039274A"/>
    <w:rsid w:val="003933C9"/>
    <w:rsid w:val="00394ACA"/>
    <w:rsid w:val="0039530C"/>
    <w:rsid w:val="003953D8"/>
    <w:rsid w:val="00395D67"/>
    <w:rsid w:val="00396E06"/>
    <w:rsid w:val="00397958"/>
    <w:rsid w:val="00397F67"/>
    <w:rsid w:val="003A0949"/>
    <w:rsid w:val="003A0DFE"/>
    <w:rsid w:val="003A0F5F"/>
    <w:rsid w:val="003A28FF"/>
    <w:rsid w:val="003A2E0F"/>
    <w:rsid w:val="003A2F6A"/>
    <w:rsid w:val="003A3944"/>
    <w:rsid w:val="003A3ED4"/>
    <w:rsid w:val="003A45E3"/>
    <w:rsid w:val="003A4F1C"/>
    <w:rsid w:val="003A6AAD"/>
    <w:rsid w:val="003A6CD0"/>
    <w:rsid w:val="003A787B"/>
    <w:rsid w:val="003B0244"/>
    <w:rsid w:val="003B040E"/>
    <w:rsid w:val="003B0ED2"/>
    <w:rsid w:val="003B37FF"/>
    <w:rsid w:val="003B3FE2"/>
    <w:rsid w:val="003B47A6"/>
    <w:rsid w:val="003B4F6D"/>
    <w:rsid w:val="003B662F"/>
    <w:rsid w:val="003B6FBA"/>
    <w:rsid w:val="003C2486"/>
    <w:rsid w:val="003C2E48"/>
    <w:rsid w:val="003C344D"/>
    <w:rsid w:val="003C5D48"/>
    <w:rsid w:val="003C6884"/>
    <w:rsid w:val="003C7929"/>
    <w:rsid w:val="003D136A"/>
    <w:rsid w:val="003D34A6"/>
    <w:rsid w:val="003D3E14"/>
    <w:rsid w:val="003D5963"/>
    <w:rsid w:val="003D5D39"/>
    <w:rsid w:val="003D6E2F"/>
    <w:rsid w:val="003D6F18"/>
    <w:rsid w:val="003D7DD3"/>
    <w:rsid w:val="003E0576"/>
    <w:rsid w:val="003E0931"/>
    <w:rsid w:val="003E0BA4"/>
    <w:rsid w:val="003E116A"/>
    <w:rsid w:val="003E1353"/>
    <w:rsid w:val="003E36D7"/>
    <w:rsid w:val="003E3C0B"/>
    <w:rsid w:val="003E4252"/>
    <w:rsid w:val="003E43FB"/>
    <w:rsid w:val="003E497E"/>
    <w:rsid w:val="003E4BEB"/>
    <w:rsid w:val="003E5D43"/>
    <w:rsid w:val="003E6DEC"/>
    <w:rsid w:val="003E704E"/>
    <w:rsid w:val="003F04A8"/>
    <w:rsid w:val="003F04BF"/>
    <w:rsid w:val="003F1067"/>
    <w:rsid w:val="003F1D27"/>
    <w:rsid w:val="003F4481"/>
    <w:rsid w:val="003F5972"/>
    <w:rsid w:val="003F6407"/>
    <w:rsid w:val="003F64F4"/>
    <w:rsid w:val="003F6A6C"/>
    <w:rsid w:val="003F7AB8"/>
    <w:rsid w:val="00400114"/>
    <w:rsid w:val="00400273"/>
    <w:rsid w:val="0040042C"/>
    <w:rsid w:val="00400E85"/>
    <w:rsid w:val="004016B5"/>
    <w:rsid w:val="004025CE"/>
    <w:rsid w:val="00402A63"/>
    <w:rsid w:val="00402AEF"/>
    <w:rsid w:val="004030FD"/>
    <w:rsid w:val="00403E05"/>
    <w:rsid w:val="00404A3F"/>
    <w:rsid w:val="00404B74"/>
    <w:rsid w:val="00404C80"/>
    <w:rsid w:val="00404FCE"/>
    <w:rsid w:val="00405804"/>
    <w:rsid w:val="004067EE"/>
    <w:rsid w:val="00410DA0"/>
    <w:rsid w:val="00411DA4"/>
    <w:rsid w:val="00411DEA"/>
    <w:rsid w:val="004121F7"/>
    <w:rsid w:val="00412589"/>
    <w:rsid w:val="004128D6"/>
    <w:rsid w:val="00413960"/>
    <w:rsid w:val="004139A1"/>
    <w:rsid w:val="00413BA4"/>
    <w:rsid w:val="00413F15"/>
    <w:rsid w:val="004145D5"/>
    <w:rsid w:val="00414BCD"/>
    <w:rsid w:val="00415370"/>
    <w:rsid w:val="00416C8F"/>
    <w:rsid w:val="00416FF4"/>
    <w:rsid w:val="004171BA"/>
    <w:rsid w:val="004176EB"/>
    <w:rsid w:val="00417C7D"/>
    <w:rsid w:val="00420979"/>
    <w:rsid w:val="00420A77"/>
    <w:rsid w:val="00420EA3"/>
    <w:rsid w:val="00420FD7"/>
    <w:rsid w:val="004228E5"/>
    <w:rsid w:val="00422A51"/>
    <w:rsid w:val="00423BEF"/>
    <w:rsid w:val="00423E1B"/>
    <w:rsid w:val="0042407C"/>
    <w:rsid w:val="004243B9"/>
    <w:rsid w:val="004244A2"/>
    <w:rsid w:val="00425033"/>
    <w:rsid w:val="004253E4"/>
    <w:rsid w:val="0042573D"/>
    <w:rsid w:val="00427118"/>
    <w:rsid w:val="0043013B"/>
    <w:rsid w:val="004322F9"/>
    <w:rsid w:val="00432337"/>
    <w:rsid w:val="004327EA"/>
    <w:rsid w:val="00433101"/>
    <w:rsid w:val="00433B0F"/>
    <w:rsid w:val="004344EA"/>
    <w:rsid w:val="00434508"/>
    <w:rsid w:val="0043549A"/>
    <w:rsid w:val="004355D3"/>
    <w:rsid w:val="004356E3"/>
    <w:rsid w:val="0043639E"/>
    <w:rsid w:val="004371E1"/>
    <w:rsid w:val="004375D4"/>
    <w:rsid w:val="004400AB"/>
    <w:rsid w:val="0044017F"/>
    <w:rsid w:val="00440205"/>
    <w:rsid w:val="0044098C"/>
    <w:rsid w:val="004411D9"/>
    <w:rsid w:val="00441C9D"/>
    <w:rsid w:val="004432BF"/>
    <w:rsid w:val="004437A5"/>
    <w:rsid w:val="00443B69"/>
    <w:rsid w:val="00444E18"/>
    <w:rsid w:val="0044548B"/>
    <w:rsid w:val="00445DAF"/>
    <w:rsid w:val="00445E13"/>
    <w:rsid w:val="004475C4"/>
    <w:rsid w:val="004479E4"/>
    <w:rsid w:val="00447E03"/>
    <w:rsid w:val="00451772"/>
    <w:rsid w:val="004521D1"/>
    <w:rsid w:val="0045409D"/>
    <w:rsid w:val="0045570B"/>
    <w:rsid w:val="00456A9C"/>
    <w:rsid w:val="004571D7"/>
    <w:rsid w:val="004573B2"/>
    <w:rsid w:val="004574F3"/>
    <w:rsid w:val="00460639"/>
    <w:rsid w:val="00460D19"/>
    <w:rsid w:val="00461161"/>
    <w:rsid w:val="004618FA"/>
    <w:rsid w:val="00465079"/>
    <w:rsid w:val="0046514C"/>
    <w:rsid w:val="00465592"/>
    <w:rsid w:val="004675DF"/>
    <w:rsid w:val="0047018C"/>
    <w:rsid w:val="00470A8C"/>
    <w:rsid w:val="0047227B"/>
    <w:rsid w:val="00473739"/>
    <w:rsid w:val="00473B38"/>
    <w:rsid w:val="004753D6"/>
    <w:rsid w:val="00475AA4"/>
    <w:rsid w:val="00476E90"/>
    <w:rsid w:val="00477416"/>
    <w:rsid w:val="004778F2"/>
    <w:rsid w:val="00477C69"/>
    <w:rsid w:val="00477E36"/>
    <w:rsid w:val="00477FE3"/>
    <w:rsid w:val="004801E6"/>
    <w:rsid w:val="00481E30"/>
    <w:rsid w:val="00482554"/>
    <w:rsid w:val="004835A0"/>
    <w:rsid w:val="00483635"/>
    <w:rsid w:val="004845D8"/>
    <w:rsid w:val="00484C3A"/>
    <w:rsid w:val="00485679"/>
    <w:rsid w:val="004862E1"/>
    <w:rsid w:val="00486390"/>
    <w:rsid w:val="00487D25"/>
    <w:rsid w:val="00490B1E"/>
    <w:rsid w:val="00490DE6"/>
    <w:rsid w:val="004920AC"/>
    <w:rsid w:val="0049296C"/>
    <w:rsid w:val="00492B8C"/>
    <w:rsid w:val="00493748"/>
    <w:rsid w:val="00493EE0"/>
    <w:rsid w:val="00493F16"/>
    <w:rsid w:val="00494684"/>
    <w:rsid w:val="00494B2F"/>
    <w:rsid w:val="00495542"/>
    <w:rsid w:val="00495B0E"/>
    <w:rsid w:val="004A1116"/>
    <w:rsid w:val="004A1B71"/>
    <w:rsid w:val="004A1BE7"/>
    <w:rsid w:val="004A364A"/>
    <w:rsid w:val="004A3D6D"/>
    <w:rsid w:val="004A3ED3"/>
    <w:rsid w:val="004A4A28"/>
    <w:rsid w:val="004A4AC3"/>
    <w:rsid w:val="004A53EA"/>
    <w:rsid w:val="004A5A08"/>
    <w:rsid w:val="004A5FED"/>
    <w:rsid w:val="004A6A23"/>
    <w:rsid w:val="004A6B35"/>
    <w:rsid w:val="004A6FF5"/>
    <w:rsid w:val="004A7C65"/>
    <w:rsid w:val="004B001F"/>
    <w:rsid w:val="004B02D1"/>
    <w:rsid w:val="004B0456"/>
    <w:rsid w:val="004B04E1"/>
    <w:rsid w:val="004B0DE6"/>
    <w:rsid w:val="004B23C0"/>
    <w:rsid w:val="004B2B38"/>
    <w:rsid w:val="004B32A3"/>
    <w:rsid w:val="004B38BE"/>
    <w:rsid w:val="004B3D19"/>
    <w:rsid w:val="004B41C2"/>
    <w:rsid w:val="004B56BD"/>
    <w:rsid w:val="004B6247"/>
    <w:rsid w:val="004B6633"/>
    <w:rsid w:val="004C053C"/>
    <w:rsid w:val="004C095A"/>
    <w:rsid w:val="004C0E71"/>
    <w:rsid w:val="004C25F4"/>
    <w:rsid w:val="004C3B9F"/>
    <w:rsid w:val="004C3E22"/>
    <w:rsid w:val="004C47ED"/>
    <w:rsid w:val="004C4E48"/>
    <w:rsid w:val="004C4E4C"/>
    <w:rsid w:val="004C608A"/>
    <w:rsid w:val="004C6692"/>
    <w:rsid w:val="004C69DC"/>
    <w:rsid w:val="004C6F25"/>
    <w:rsid w:val="004C7576"/>
    <w:rsid w:val="004D020C"/>
    <w:rsid w:val="004D03AD"/>
    <w:rsid w:val="004D0DAF"/>
    <w:rsid w:val="004D0ED6"/>
    <w:rsid w:val="004D1A60"/>
    <w:rsid w:val="004D1C4C"/>
    <w:rsid w:val="004D1C97"/>
    <w:rsid w:val="004D2FBF"/>
    <w:rsid w:val="004D3E95"/>
    <w:rsid w:val="004D4580"/>
    <w:rsid w:val="004D4988"/>
    <w:rsid w:val="004D5FB2"/>
    <w:rsid w:val="004D6490"/>
    <w:rsid w:val="004D688D"/>
    <w:rsid w:val="004D6BBE"/>
    <w:rsid w:val="004E246A"/>
    <w:rsid w:val="004E391C"/>
    <w:rsid w:val="004E415F"/>
    <w:rsid w:val="004E4EF5"/>
    <w:rsid w:val="004E54E3"/>
    <w:rsid w:val="004E6716"/>
    <w:rsid w:val="004E7063"/>
    <w:rsid w:val="004F01F1"/>
    <w:rsid w:val="004F027F"/>
    <w:rsid w:val="004F0F91"/>
    <w:rsid w:val="004F20B1"/>
    <w:rsid w:val="004F4FB2"/>
    <w:rsid w:val="004F6968"/>
    <w:rsid w:val="004F6AFF"/>
    <w:rsid w:val="004F70CB"/>
    <w:rsid w:val="004F7E87"/>
    <w:rsid w:val="005000C4"/>
    <w:rsid w:val="00500A48"/>
    <w:rsid w:val="00500C86"/>
    <w:rsid w:val="00500E17"/>
    <w:rsid w:val="00502D86"/>
    <w:rsid w:val="005031A1"/>
    <w:rsid w:val="00503ACC"/>
    <w:rsid w:val="00506C52"/>
    <w:rsid w:val="005075DE"/>
    <w:rsid w:val="00507C66"/>
    <w:rsid w:val="0051014F"/>
    <w:rsid w:val="0051020D"/>
    <w:rsid w:val="00510C56"/>
    <w:rsid w:val="00511160"/>
    <w:rsid w:val="00511607"/>
    <w:rsid w:val="0051179F"/>
    <w:rsid w:val="00511890"/>
    <w:rsid w:val="00512927"/>
    <w:rsid w:val="0051351F"/>
    <w:rsid w:val="00513730"/>
    <w:rsid w:val="00513CBB"/>
    <w:rsid w:val="005142E4"/>
    <w:rsid w:val="00514C05"/>
    <w:rsid w:val="00515082"/>
    <w:rsid w:val="00515272"/>
    <w:rsid w:val="005158A4"/>
    <w:rsid w:val="005165A1"/>
    <w:rsid w:val="005166D7"/>
    <w:rsid w:val="00516CCD"/>
    <w:rsid w:val="00517518"/>
    <w:rsid w:val="00517FC3"/>
    <w:rsid w:val="00520B7B"/>
    <w:rsid w:val="00520F97"/>
    <w:rsid w:val="0052167B"/>
    <w:rsid w:val="005224ED"/>
    <w:rsid w:val="005228B2"/>
    <w:rsid w:val="005231D7"/>
    <w:rsid w:val="005232E5"/>
    <w:rsid w:val="005235B3"/>
    <w:rsid w:val="005247E4"/>
    <w:rsid w:val="0052524E"/>
    <w:rsid w:val="005255CF"/>
    <w:rsid w:val="00525986"/>
    <w:rsid w:val="00525A69"/>
    <w:rsid w:val="00526B54"/>
    <w:rsid w:val="00526DA7"/>
    <w:rsid w:val="00526DB1"/>
    <w:rsid w:val="00526F0E"/>
    <w:rsid w:val="00527157"/>
    <w:rsid w:val="005279F2"/>
    <w:rsid w:val="00530301"/>
    <w:rsid w:val="00531B74"/>
    <w:rsid w:val="00533EFF"/>
    <w:rsid w:val="0053454E"/>
    <w:rsid w:val="00534A81"/>
    <w:rsid w:val="00534C2D"/>
    <w:rsid w:val="005372D7"/>
    <w:rsid w:val="005373F4"/>
    <w:rsid w:val="00537FCD"/>
    <w:rsid w:val="005401BA"/>
    <w:rsid w:val="00541035"/>
    <w:rsid w:val="00541538"/>
    <w:rsid w:val="005425FD"/>
    <w:rsid w:val="005431E5"/>
    <w:rsid w:val="0054362C"/>
    <w:rsid w:val="00544F4F"/>
    <w:rsid w:val="0054502D"/>
    <w:rsid w:val="005455C0"/>
    <w:rsid w:val="005457D9"/>
    <w:rsid w:val="00546D13"/>
    <w:rsid w:val="00547406"/>
    <w:rsid w:val="0055120F"/>
    <w:rsid w:val="00552CD4"/>
    <w:rsid w:val="00552E4F"/>
    <w:rsid w:val="00553E28"/>
    <w:rsid w:val="0055411A"/>
    <w:rsid w:val="005552F0"/>
    <w:rsid w:val="00555969"/>
    <w:rsid w:val="00557332"/>
    <w:rsid w:val="00557339"/>
    <w:rsid w:val="005573BF"/>
    <w:rsid w:val="0056029A"/>
    <w:rsid w:val="0056061C"/>
    <w:rsid w:val="005615FC"/>
    <w:rsid w:val="00564456"/>
    <w:rsid w:val="00564CC8"/>
    <w:rsid w:val="00565ABC"/>
    <w:rsid w:val="00566638"/>
    <w:rsid w:val="005670E7"/>
    <w:rsid w:val="005678A8"/>
    <w:rsid w:val="0057033F"/>
    <w:rsid w:val="00570527"/>
    <w:rsid w:val="00571098"/>
    <w:rsid w:val="00571981"/>
    <w:rsid w:val="00571C8A"/>
    <w:rsid w:val="00572349"/>
    <w:rsid w:val="00572654"/>
    <w:rsid w:val="00573BD1"/>
    <w:rsid w:val="0057493D"/>
    <w:rsid w:val="00574DA8"/>
    <w:rsid w:val="005756FC"/>
    <w:rsid w:val="0057599D"/>
    <w:rsid w:val="00576ECD"/>
    <w:rsid w:val="00577037"/>
    <w:rsid w:val="00577216"/>
    <w:rsid w:val="00577284"/>
    <w:rsid w:val="00577D7E"/>
    <w:rsid w:val="00577ECF"/>
    <w:rsid w:val="00580079"/>
    <w:rsid w:val="00580FB6"/>
    <w:rsid w:val="00581013"/>
    <w:rsid w:val="00582724"/>
    <w:rsid w:val="00583726"/>
    <w:rsid w:val="00583FF9"/>
    <w:rsid w:val="0058419C"/>
    <w:rsid w:val="005843E0"/>
    <w:rsid w:val="005855ED"/>
    <w:rsid w:val="00585FD6"/>
    <w:rsid w:val="005864E5"/>
    <w:rsid w:val="005866E4"/>
    <w:rsid w:val="00587C09"/>
    <w:rsid w:val="00587CBD"/>
    <w:rsid w:val="00591A31"/>
    <w:rsid w:val="00591E8A"/>
    <w:rsid w:val="0059203E"/>
    <w:rsid w:val="00592128"/>
    <w:rsid w:val="005943FF"/>
    <w:rsid w:val="005945DD"/>
    <w:rsid w:val="00595240"/>
    <w:rsid w:val="00596AC3"/>
    <w:rsid w:val="005A01F3"/>
    <w:rsid w:val="005A0D66"/>
    <w:rsid w:val="005A112D"/>
    <w:rsid w:val="005A30EB"/>
    <w:rsid w:val="005A35FF"/>
    <w:rsid w:val="005A4F5F"/>
    <w:rsid w:val="005A5598"/>
    <w:rsid w:val="005A7016"/>
    <w:rsid w:val="005A7391"/>
    <w:rsid w:val="005A7EE1"/>
    <w:rsid w:val="005B0DC6"/>
    <w:rsid w:val="005B213C"/>
    <w:rsid w:val="005B2338"/>
    <w:rsid w:val="005B245E"/>
    <w:rsid w:val="005B30C6"/>
    <w:rsid w:val="005B313B"/>
    <w:rsid w:val="005B367A"/>
    <w:rsid w:val="005B5444"/>
    <w:rsid w:val="005B5466"/>
    <w:rsid w:val="005B609F"/>
    <w:rsid w:val="005B6C6C"/>
    <w:rsid w:val="005C3F9F"/>
    <w:rsid w:val="005C4AB5"/>
    <w:rsid w:val="005C5E14"/>
    <w:rsid w:val="005C6324"/>
    <w:rsid w:val="005C6E31"/>
    <w:rsid w:val="005C6F20"/>
    <w:rsid w:val="005C77A0"/>
    <w:rsid w:val="005D0216"/>
    <w:rsid w:val="005D0824"/>
    <w:rsid w:val="005D0BA8"/>
    <w:rsid w:val="005D0C64"/>
    <w:rsid w:val="005D0CC5"/>
    <w:rsid w:val="005D1D96"/>
    <w:rsid w:val="005D21FD"/>
    <w:rsid w:val="005D3154"/>
    <w:rsid w:val="005D31B1"/>
    <w:rsid w:val="005D4613"/>
    <w:rsid w:val="005D508F"/>
    <w:rsid w:val="005D640F"/>
    <w:rsid w:val="005D7C7F"/>
    <w:rsid w:val="005E2A24"/>
    <w:rsid w:val="005E2AE0"/>
    <w:rsid w:val="005E2C54"/>
    <w:rsid w:val="005E3411"/>
    <w:rsid w:val="005E40CD"/>
    <w:rsid w:val="005E42D7"/>
    <w:rsid w:val="005E4739"/>
    <w:rsid w:val="005E4894"/>
    <w:rsid w:val="005E4935"/>
    <w:rsid w:val="005E4E05"/>
    <w:rsid w:val="005E534A"/>
    <w:rsid w:val="005E6691"/>
    <w:rsid w:val="005E77F3"/>
    <w:rsid w:val="005F009C"/>
    <w:rsid w:val="005F11C7"/>
    <w:rsid w:val="005F141C"/>
    <w:rsid w:val="005F5129"/>
    <w:rsid w:val="005F6D46"/>
    <w:rsid w:val="005F7765"/>
    <w:rsid w:val="005F7C1B"/>
    <w:rsid w:val="00600009"/>
    <w:rsid w:val="006000F1"/>
    <w:rsid w:val="00600152"/>
    <w:rsid w:val="00600E60"/>
    <w:rsid w:val="00602B34"/>
    <w:rsid w:val="006031D1"/>
    <w:rsid w:val="00603474"/>
    <w:rsid w:val="0060372F"/>
    <w:rsid w:val="00603A41"/>
    <w:rsid w:val="00606D36"/>
    <w:rsid w:val="006106DB"/>
    <w:rsid w:val="006114D4"/>
    <w:rsid w:val="00612CF5"/>
    <w:rsid w:val="006132A5"/>
    <w:rsid w:val="00613DB3"/>
    <w:rsid w:val="006147EC"/>
    <w:rsid w:val="00616C4B"/>
    <w:rsid w:val="006177B2"/>
    <w:rsid w:val="00620298"/>
    <w:rsid w:val="00621610"/>
    <w:rsid w:val="00621D61"/>
    <w:rsid w:val="00622400"/>
    <w:rsid w:val="00622833"/>
    <w:rsid w:val="006228B3"/>
    <w:rsid w:val="00622B26"/>
    <w:rsid w:val="006232C3"/>
    <w:rsid w:val="006236D0"/>
    <w:rsid w:val="006247FE"/>
    <w:rsid w:val="00626B93"/>
    <w:rsid w:val="006271FB"/>
    <w:rsid w:val="006310DC"/>
    <w:rsid w:val="0063116E"/>
    <w:rsid w:val="00631855"/>
    <w:rsid w:val="00632E37"/>
    <w:rsid w:val="006333C5"/>
    <w:rsid w:val="0063362B"/>
    <w:rsid w:val="006345FF"/>
    <w:rsid w:val="00634D96"/>
    <w:rsid w:val="00634E4D"/>
    <w:rsid w:val="0063510B"/>
    <w:rsid w:val="00635693"/>
    <w:rsid w:val="00635958"/>
    <w:rsid w:val="006379E2"/>
    <w:rsid w:val="00637C91"/>
    <w:rsid w:val="0064059E"/>
    <w:rsid w:val="0064150F"/>
    <w:rsid w:val="006433C0"/>
    <w:rsid w:val="00643796"/>
    <w:rsid w:val="00643878"/>
    <w:rsid w:val="00643D69"/>
    <w:rsid w:val="00644AA8"/>
    <w:rsid w:val="00645CC4"/>
    <w:rsid w:val="006463DC"/>
    <w:rsid w:val="006477C9"/>
    <w:rsid w:val="00647C15"/>
    <w:rsid w:val="00650317"/>
    <w:rsid w:val="00650D61"/>
    <w:rsid w:val="006540A7"/>
    <w:rsid w:val="0065446F"/>
    <w:rsid w:val="006555F7"/>
    <w:rsid w:val="00655F0D"/>
    <w:rsid w:val="00656C0A"/>
    <w:rsid w:val="006572F6"/>
    <w:rsid w:val="006573DD"/>
    <w:rsid w:val="006608E8"/>
    <w:rsid w:val="0066176E"/>
    <w:rsid w:val="00661949"/>
    <w:rsid w:val="006619E2"/>
    <w:rsid w:val="0066267A"/>
    <w:rsid w:val="00663063"/>
    <w:rsid w:val="0066413E"/>
    <w:rsid w:val="0066424D"/>
    <w:rsid w:val="00664554"/>
    <w:rsid w:val="006653A6"/>
    <w:rsid w:val="00665689"/>
    <w:rsid w:val="00665C08"/>
    <w:rsid w:val="0066732D"/>
    <w:rsid w:val="00667505"/>
    <w:rsid w:val="0067002E"/>
    <w:rsid w:val="006701A0"/>
    <w:rsid w:val="00670A6A"/>
    <w:rsid w:val="00670D19"/>
    <w:rsid w:val="0067112A"/>
    <w:rsid w:val="0067139A"/>
    <w:rsid w:val="00671724"/>
    <w:rsid w:val="0067183F"/>
    <w:rsid w:val="0067216E"/>
    <w:rsid w:val="0067280F"/>
    <w:rsid w:val="00673B69"/>
    <w:rsid w:val="00680085"/>
    <w:rsid w:val="00680206"/>
    <w:rsid w:val="00680DB9"/>
    <w:rsid w:val="00682499"/>
    <w:rsid w:val="00683653"/>
    <w:rsid w:val="00683B18"/>
    <w:rsid w:val="0068490B"/>
    <w:rsid w:val="00684A47"/>
    <w:rsid w:val="00684ED1"/>
    <w:rsid w:val="0068590E"/>
    <w:rsid w:val="00686758"/>
    <w:rsid w:val="00687052"/>
    <w:rsid w:val="006906F8"/>
    <w:rsid w:val="00691370"/>
    <w:rsid w:val="00691B37"/>
    <w:rsid w:val="00691D74"/>
    <w:rsid w:val="00691FB0"/>
    <w:rsid w:val="006928D3"/>
    <w:rsid w:val="006930AB"/>
    <w:rsid w:val="00694BE7"/>
    <w:rsid w:val="0069601C"/>
    <w:rsid w:val="0069607E"/>
    <w:rsid w:val="00696843"/>
    <w:rsid w:val="006A03C8"/>
    <w:rsid w:val="006A08AD"/>
    <w:rsid w:val="006A0A80"/>
    <w:rsid w:val="006A1149"/>
    <w:rsid w:val="006A1F2A"/>
    <w:rsid w:val="006A23FD"/>
    <w:rsid w:val="006A34E7"/>
    <w:rsid w:val="006A4989"/>
    <w:rsid w:val="006A4D14"/>
    <w:rsid w:val="006A6BAF"/>
    <w:rsid w:val="006A77AD"/>
    <w:rsid w:val="006B0020"/>
    <w:rsid w:val="006B020D"/>
    <w:rsid w:val="006B0617"/>
    <w:rsid w:val="006B096D"/>
    <w:rsid w:val="006B0C48"/>
    <w:rsid w:val="006B1438"/>
    <w:rsid w:val="006B1E56"/>
    <w:rsid w:val="006B241F"/>
    <w:rsid w:val="006B275D"/>
    <w:rsid w:val="006B2F48"/>
    <w:rsid w:val="006B3395"/>
    <w:rsid w:val="006B35FD"/>
    <w:rsid w:val="006B4668"/>
    <w:rsid w:val="006B4E6B"/>
    <w:rsid w:val="006B4FFA"/>
    <w:rsid w:val="006B5B6F"/>
    <w:rsid w:val="006B5D50"/>
    <w:rsid w:val="006B7006"/>
    <w:rsid w:val="006B7738"/>
    <w:rsid w:val="006C08CA"/>
    <w:rsid w:val="006C225B"/>
    <w:rsid w:val="006C232A"/>
    <w:rsid w:val="006C26DE"/>
    <w:rsid w:val="006C2A96"/>
    <w:rsid w:val="006C4277"/>
    <w:rsid w:val="006C4DDE"/>
    <w:rsid w:val="006C52A8"/>
    <w:rsid w:val="006C5EAC"/>
    <w:rsid w:val="006C624E"/>
    <w:rsid w:val="006C7CD6"/>
    <w:rsid w:val="006D00C0"/>
    <w:rsid w:val="006D02BD"/>
    <w:rsid w:val="006D02E5"/>
    <w:rsid w:val="006D0926"/>
    <w:rsid w:val="006D0C63"/>
    <w:rsid w:val="006D10FE"/>
    <w:rsid w:val="006D16BA"/>
    <w:rsid w:val="006D233C"/>
    <w:rsid w:val="006D2343"/>
    <w:rsid w:val="006D4008"/>
    <w:rsid w:val="006D5B78"/>
    <w:rsid w:val="006D5F5E"/>
    <w:rsid w:val="006D6596"/>
    <w:rsid w:val="006D6A71"/>
    <w:rsid w:val="006D74CE"/>
    <w:rsid w:val="006E012C"/>
    <w:rsid w:val="006E0627"/>
    <w:rsid w:val="006E1EEA"/>
    <w:rsid w:val="006E20B0"/>
    <w:rsid w:val="006E3874"/>
    <w:rsid w:val="006E39F3"/>
    <w:rsid w:val="006E3FFD"/>
    <w:rsid w:val="006E4C7A"/>
    <w:rsid w:val="006E4D2B"/>
    <w:rsid w:val="006E4E23"/>
    <w:rsid w:val="006E5F88"/>
    <w:rsid w:val="006E6D9B"/>
    <w:rsid w:val="006E78B3"/>
    <w:rsid w:val="006E7E37"/>
    <w:rsid w:val="006F08F2"/>
    <w:rsid w:val="006F0B1E"/>
    <w:rsid w:val="006F10AD"/>
    <w:rsid w:val="006F15A9"/>
    <w:rsid w:val="006F2B9B"/>
    <w:rsid w:val="006F3300"/>
    <w:rsid w:val="006F4521"/>
    <w:rsid w:val="006F502C"/>
    <w:rsid w:val="006F748E"/>
    <w:rsid w:val="00700231"/>
    <w:rsid w:val="0070117C"/>
    <w:rsid w:val="007021F6"/>
    <w:rsid w:val="00702D75"/>
    <w:rsid w:val="00704A0B"/>
    <w:rsid w:val="007056A8"/>
    <w:rsid w:val="007058FE"/>
    <w:rsid w:val="007067E5"/>
    <w:rsid w:val="007071BD"/>
    <w:rsid w:val="00707705"/>
    <w:rsid w:val="0071088C"/>
    <w:rsid w:val="00711F0B"/>
    <w:rsid w:val="0071232C"/>
    <w:rsid w:val="00713BB6"/>
    <w:rsid w:val="007143A0"/>
    <w:rsid w:val="007143B6"/>
    <w:rsid w:val="00714B62"/>
    <w:rsid w:val="00714DCF"/>
    <w:rsid w:val="00717F50"/>
    <w:rsid w:val="0072140D"/>
    <w:rsid w:val="00721D0C"/>
    <w:rsid w:val="00723247"/>
    <w:rsid w:val="0072364B"/>
    <w:rsid w:val="00723A34"/>
    <w:rsid w:val="00723D75"/>
    <w:rsid w:val="0072491D"/>
    <w:rsid w:val="007255E0"/>
    <w:rsid w:val="007261F3"/>
    <w:rsid w:val="00726F7C"/>
    <w:rsid w:val="00730BDA"/>
    <w:rsid w:val="00730E59"/>
    <w:rsid w:val="007315B7"/>
    <w:rsid w:val="007319FB"/>
    <w:rsid w:val="007323CF"/>
    <w:rsid w:val="00733AFB"/>
    <w:rsid w:val="00734CC7"/>
    <w:rsid w:val="00734E45"/>
    <w:rsid w:val="0073516F"/>
    <w:rsid w:val="0074034F"/>
    <w:rsid w:val="007403E9"/>
    <w:rsid w:val="0074062D"/>
    <w:rsid w:val="007407F7"/>
    <w:rsid w:val="00740D22"/>
    <w:rsid w:val="007411BF"/>
    <w:rsid w:val="00741772"/>
    <w:rsid w:val="007417A5"/>
    <w:rsid w:val="00741D34"/>
    <w:rsid w:val="00743046"/>
    <w:rsid w:val="0074456C"/>
    <w:rsid w:val="00747015"/>
    <w:rsid w:val="00750039"/>
    <w:rsid w:val="007509BF"/>
    <w:rsid w:val="00750E71"/>
    <w:rsid w:val="00751023"/>
    <w:rsid w:val="00751FF7"/>
    <w:rsid w:val="00752619"/>
    <w:rsid w:val="0075291B"/>
    <w:rsid w:val="00752A2F"/>
    <w:rsid w:val="007532ED"/>
    <w:rsid w:val="007533F8"/>
    <w:rsid w:val="00753F98"/>
    <w:rsid w:val="00754035"/>
    <w:rsid w:val="00754200"/>
    <w:rsid w:val="007550E2"/>
    <w:rsid w:val="00756CC8"/>
    <w:rsid w:val="007572C5"/>
    <w:rsid w:val="0075764D"/>
    <w:rsid w:val="00757724"/>
    <w:rsid w:val="00757B17"/>
    <w:rsid w:val="00757DC5"/>
    <w:rsid w:val="00760C64"/>
    <w:rsid w:val="00760D13"/>
    <w:rsid w:val="007611F3"/>
    <w:rsid w:val="00762121"/>
    <w:rsid w:val="00763875"/>
    <w:rsid w:val="00763F61"/>
    <w:rsid w:val="00764F95"/>
    <w:rsid w:val="0076604C"/>
    <w:rsid w:val="0076627B"/>
    <w:rsid w:val="007664F8"/>
    <w:rsid w:val="00766767"/>
    <w:rsid w:val="00766A14"/>
    <w:rsid w:val="007676AB"/>
    <w:rsid w:val="00767DB0"/>
    <w:rsid w:val="0077020F"/>
    <w:rsid w:val="00770376"/>
    <w:rsid w:val="00770CCD"/>
    <w:rsid w:val="00771A39"/>
    <w:rsid w:val="00771DCA"/>
    <w:rsid w:val="00772D1B"/>
    <w:rsid w:val="00773002"/>
    <w:rsid w:val="0077303C"/>
    <w:rsid w:val="007730A0"/>
    <w:rsid w:val="00773F96"/>
    <w:rsid w:val="0077456D"/>
    <w:rsid w:val="00774EDA"/>
    <w:rsid w:val="00774FCD"/>
    <w:rsid w:val="00775B90"/>
    <w:rsid w:val="00775FA1"/>
    <w:rsid w:val="00775FBA"/>
    <w:rsid w:val="0077614F"/>
    <w:rsid w:val="0077686C"/>
    <w:rsid w:val="007768CA"/>
    <w:rsid w:val="00776D95"/>
    <w:rsid w:val="00776FD2"/>
    <w:rsid w:val="00780E89"/>
    <w:rsid w:val="00781475"/>
    <w:rsid w:val="007818C2"/>
    <w:rsid w:val="0078211C"/>
    <w:rsid w:val="007822B0"/>
    <w:rsid w:val="007828C6"/>
    <w:rsid w:val="00782EF5"/>
    <w:rsid w:val="00783A7F"/>
    <w:rsid w:val="00783E21"/>
    <w:rsid w:val="00784BF0"/>
    <w:rsid w:val="00785838"/>
    <w:rsid w:val="00785962"/>
    <w:rsid w:val="00786892"/>
    <w:rsid w:val="00786F1D"/>
    <w:rsid w:val="00787370"/>
    <w:rsid w:val="007876C0"/>
    <w:rsid w:val="007916E4"/>
    <w:rsid w:val="00791C15"/>
    <w:rsid w:val="007935F9"/>
    <w:rsid w:val="007943F7"/>
    <w:rsid w:val="00795A99"/>
    <w:rsid w:val="00796204"/>
    <w:rsid w:val="00797065"/>
    <w:rsid w:val="007A0B26"/>
    <w:rsid w:val="007A1ECC"/>
    <w:rsid w:val="007A37BA"/>
    <w:rsid w:val="007A4AB6"/>
    <w:rsid w:val="007A4C95"/>
    <w:rsid w:val="007A4F63"/>
    <w:rsid w:val="007A5B6F"/>
    <w:rsid w:val="007A6635"/>
    <w:rsid w:val="007A6BF6"/>
    <w:rsid w:val="007A6EC2"/>
    <w:rsid w:val="007A7BE9"/>
    <w:rsid w:val="007A7F45"/>
    <w:rsid w:val="007B02F7"/>
    <w:rsid w:val="007B0787"/>
    <w:rsid w:val="007B0BE5"/>
    <w:rsid w:val="007B1146"/>
    <w:rsid w:val="007B1187"/>
    <w:rsid w:val="007B2AEA"/>
    <w:rsid w:val="007B2F9C"/>
    <w:rsid w:val="007B355D"/>
    <w:rsid w:val="007B61B3"/>
    <w:rsid w:val="007B659D"/>
    <w:rsid w:val="007B687D"/>
    <w:rsid w:val="007B705D"/>
    <w:rsid w:val="007B7102"/>
    <w:rsid w:val="007B7BF7"/>
    <w:rsid w:val="007C047C"/>
    <w:rsid w:val="007C052F"/>
    <w:rsid w:val="007C2A02"/>
    <w:rsid w:val="007C3CBF"/>
    <w:rsid w:val="007C40E2"/>
    <w:rsid w:val="007C4F2A"/>
    <w:rsid w:val="007C66C0"/>
    <w:rsid w:val="007C6DD8"/>
    <w:rsid w:val="007D08EF"/>
    <w:rsid w:val="007D0A05"/>
    <w:rsid w:val="007D10F4"/>
    <w:rsid w:val="007D2143"/>
    <w:rsid w:val="007D2960"/>
    <w:rsid w:val="007D3C17"/>
    <w:rsid w:val="007D4D6A"/>
    <w:rsid w:val="007D5086"/>
    <w:rsid w:val="007D561E"/>
    <w:rsid w:val="007D590D"/>
    <w:rsid w:val="007D5B1F"/>
    <w:rsid w:val="007D67E4"/>
    <w:rsid w:val="007D6A20"/>
    <w:rsid w:val="007D6CD7"/>
    <w:rsid w:val="007D7B98"/>
    <w:rsid w:val="007E0C94"/>
    <w:rsid w:val="007E1242"/>
    <w:rsid w:val="007E1435"/>
    <w:rsid w:val="007E18A4"/>
    <w:rsid w:val="007E2653"/>
    <w:rsid w:val="007E33C4"/>
    <w:rsid w:val="007E4411"/>
    <w:rsid w:val="007E4688"/>
    <w:rsid w:val="007E5DB1"/>
    <w:rsid w:val="007E6221"/>
    <w:rsid w:val="007E7A13"/>
    <w:rsid w:val="007E7DDC"/>
    <w:rsid w:val="007F082E"/>
    <w:rsid w:val="007F13BA"/>
    <w:rsid w:val="007F1E2A"/>
    <w:rsid w:val="007F2E95"/>
    <w:rsid w:val="007F365A"/>
    <w:rsid w:val="007F47F0"/>
    <w:rsid w:val="00800717"/>
    <w:rsid w:val="00800D39"/>
    <w:rsid w:val="00801643"/>
    <w:rsid w:val="00801E29"/>
    <w:rsid w:val="00802E87"/>
    <w:rsid w:val="00803517"/>
    <w:rsid w:val="008043BC"/>
    <w:rsid w:val="00804AE1"/>
    <w:rsid w:val="00804F0B"/>
    <w:rsid w:val="00807422"/>
    <w:rsid w:val="0080746D"/>
    <w:rsid w:val="0081041D"/>
    <w:rsid w:val="00810504"/>
    <w:rsid w:val="00810E69"/>
    <w:rsid w:val="00810F1C"/>
    <w:rsid w:val="00813171"/>
    <w:rsid w:val="008144F0"/>
    <w:rsid w:val="0081457E"/>
    <w:rsid w:val="00815373"/>
    <w:rsid w:val="00815C3F"/>
    <w:rsid w:val="008160D1"/>
    <w:rsid w:val="0081637B"/>
    <w:rsid w:val="008164E3"/>
    <w:rsid w:val="008177A9"/>
    <w:rsid w:val="00820336"/>
    <w:rsid w:val="00820AC6"/>
    <w:rsid w:val="00820F52"/>
    <w:rsid w:val="00821981"/>
    <w:rsid w:val="00823224"/>
    <w:rsid w:val="008235A0"/>
    <w:rsid w:val="0082384F"/>
    <w:rsid w:val="008275AA"/>
    <w:rsid w:val="0083038D"/>
    <w:rsid w:val="00830B29"/>
    <w:rsid w:val="00830DDA"/>
    <w:rsid w:val="00830E68"/>
    <w:rsid w:val="00830F67"/>
    <w:rsid w:val="00832172"/>
    <w:rsid w:val="00832638"/>
    <w:rsid w:val="0083310C"/>
    <w:rsid w:val="008332FA"/>
    <w:rsid w:val="008346BF"/>
    <w:rsid w:val="0083575C"/>
    <w:rsid w:val="00836898"/>
    <w:rsid w:val="0083696C"/>
    <w:rsid w:val="00837057"/>
    <w:rsid w:val="008376A0"/>
    <w:rsid w:val="008376AC"/>
    <w:rsid w:val="008379E1"/>
    <w:rsid w:val="008412B2"/>
    <w:rsid w:val="008415FE"/>
    <w:rsid w:val="00841EE8"/>
    <w:rsid w:val="00842334"/>
    <w:rsid w:val="00842451"/>
    <w:rsid w:val="0084306C"/>
    <w:rsid w:val="00843841"/>
    <w:rsid w:val="008443DE"/>
    <w:rsid w:val="0084479E"/>
    <w:rsid w:val="008456F2"/>
    <w:rsid w:val="00846567"/>
    <w:rsid w:val="00846AE3"/>
    <w:rsid w:val="00846BBB"/>
    <w:rsid w:val="008470F0"/>
    <w:rsid w:val="008534B0"/>
    <w:rsid w:val="00853AE1"/>
    <w:rsid w:val="00853E03"/>
    <w:rsid w:val="00856F87"/>
    <w:rsid w:val="00856FFF"/>
    <w:rsid w:val="00857A01"/>
    <w:rsid w:val="00860995"/>
    <w:rsid w:val="008614A4"/>
    <w:rsid w:val="008626F5"/>
    <w:rsid w:val="008628E9"/>
    <w:rsid w:val="0086434A"/>
    <w:rsid w:val="008645A5"/>
    <w:rsid w:val="0086501B"/>
    <w:rsid w:val="00865CD7"/>
    <w:rsid w:val="00865CF2"/>
    <w:rsid w:val="008665F3"/>
    <w:rsid w:val="008674C5"/>
    <w:rsid w:val="00870005"/>
    <w:rsid w:val="00870115"/>
    <w:rsid w:val="00871493"/>
    <w:rsid w:val="008727A6"/>
    <w:rsid w:val="00872E03"/>
    <w:rsid w:val="00874A87"/>
    <w:rsid w:val="00874C85"/>
    <w:rsid w:val="00874FA5"/>
    <w:rsid w:val="00875100"/>
    <w:rsid w:val="00875380"/>
    <w:rsid w:val="00875621"/>
    <w:rsid w:val="00876655"/>
    <w:rsid w:val="00876FD7"/>
    <w:rsid w:val="008807DA"/>
    <w:rsid w:val="00882629"/>
    <w:rsid w:val="00882930"/>
    <w:rsid w:val="00883331"/>
    <w:rsid w:val="00883553"/>
    <w:rsid w:val="00883A6C"/>
    <w:rsid w:val="00884369"/>
    <w:rsid w:val="0088485C"/>
    <w:rsid w:val="00885ADB"/>
    <w:rsid w:val="008901FC"/>
    <w:rsid w:val="008903A5"/>
    <w:rsid w:val="0089047B"/>
    <w:rsid w:val="00890F46"/>
    <w:rsid w:val="0089250A"/>
    <w:rsid w:val="00892844"/>
    <w:rsid w:val="00892C5B"/>
    <w:rsid w:val="00892E1B"/>
    <w:rsid w:val="0089393C"/>
    <w:rsid w:val="008948F4"/>
    <w:rsid w:val="00894D9F"/>
    <w:rsid w:val="0089590D"/>
    <w:rsid w:val="00895DB8"/>
    <w:rsid w:val="00896B69"/>
    <w:rsid w:val="00897BF0"/>
    <w:rsid w:val="008A03F2"/>
    <w:rsid w:val="008A0446"/>
    <w:rsid w:val="008A1478"/>
    <w:rsid w:val="008A1618"/>
    <w:rsid w:val="008A2546"/>
    <w:rsid w:val="008A3365"/>
    <w:rsid w:val="008A4051"/>
    <w:rsid w:val="008A431E"/>
    <w:rsid w:val="008A49B3"/>
    <w:rsid w:val="008A54D7"/>
    <w:rsid w:val="008A5A4B"/>
    <w:rsid w:val="008A61E0"/>
    <w:rsid w:val="008A6F16"/>
    <w:rsid w:val="008B0644"/>
    <w:rsid w:val="008B13B1"/>
    <w:rsid w:val="008B14D7"/>
    <w:rsid w:val="008B2A4B"/>
    <w:rsid w:val="008B3084"/>
    <w:rsid w:val="008B30B7"/>
    <w:rsid w:val="008B31A4"/>
    <w:rsid w:val="008B35D6"/>
    <w:rsid w:val="008B55B7"/>
    <w:rsid w:val="008B5684"/>
    <w:rsid w:val="008B6133"/>
    <w:rsid w:val="008B6924"/>
    <w:rsid w:val="008B7144"/>
    <w:rsid w:val="008B719C"/>
    <w:rsid w:val="008B743E"/>
    <w:rsid w:val="008B78A7"/>
    <w:rsid w:val="008B7B84"/>
    <w:rsid w:val="008C3594"/>
    <w:rsid w:val="008C3899"/>
    <w:rsid w:val="008C38B0"/>
    <w:rsid w:val="008C56AF"/>
    <w:rsid w:val="008C5A25"/>
    <w:rsid w:val="008C711F"/>
    <w:rsid w:val="008D0A98"/>
    <w:rsid w:val="008D0C69"/>
    <w:rsid w:val="008D18EA"/>
    <w:rsid w:val="008D1CD2"/>
    <w:rsid w:val="008D25F4"/>
    <w:rsid w:val="008D3317"/>
    <w:rsid w:val="008D3857"/>
    <w:rsid w:val="008D3A62"/>
    <w:rsid w:val="008D4722"/>
    <w:rsid w:val="008D4FE5"/>
    <w:rsid w:val="008D5645"/>
    <w:rsid w:val="008D6A2D"/>
    <w:rsid w:val="008D774A"/>
    <w:rsid w:val="008D7AA0"/>
    <w:rsid w:val="008D7DFA"/>
    <w:rsid w:val="008E0084"/>
    <w:rsid w:val="008E0862"/>
    <w:rsid w:val="008E0B4C"/>
    <w:rsid w:val="008E13CB"/>
    <w:rsid w:val="008E14A7"/>
    <w:rsid w:val="008E2A59"/>
    <w:rsid w:val="008E2FB9"/>
    <w:rsid w:val="008E3C5A"/>
    <w:rsid w:val="008E5CAB"/>
    <w:rsid w:val="008E6FE8"/>
    <w:rsid w:val="008F1C8D"/>
    <w:rsid w:val="008F3A86"/>
    <w:rsid w:val="008F45EC"/>
    <w:rsid w:val="008F5409"/>
    <w:rsid w:val="008F5B60"/>
    <w:rsid w:val="008F612E"/>
    <w:rsid w:val="008F6C07"/>
    <w:rsid w:val="008F731C"/>
    <w:rsid w:val="009019A2"/>
    <w:rsid w:val="009021EB"/>
    <w:rsid w:val="0090251D"/>
    <w:rsid w:val="00903397"/>
    <w:rsid w:val="00903A9E"/>
    <w:rsid w:val="00903F13"/>
    <w:rsid w:val="0090429A"/>
    <w:rsid w:val="0090454E"/>
    <w:rsid w:val="00905ABF"/>
    <w:rsid w:val="0090603D"/>
    <w:rsid w:val="0090621F"/>
    <w:rsid w:val="009064E9"/>
    <w:rsid w:val="00906C1E"/>
    <w:rsid w:val="009075F7"/>
    <w:rsid w:val="00911C6F"/>
    <w:rsid w:val="0091201D"/>
    <w:rsid w:val="00912841"/>
    <w:rsid w:val="00912C95"/>
    <w:rsid w:val="00912E45"/>
    <w:rsid w:val="00914603"/>
    <w:rsid w:val="00914B0F"/>
    <w:rsid w:val="00915344"/>
    <w:rsid w:val="00915A79"/>
    <w:rsid w:val="00915BAC"/>
    <w:rsid w:val="00917D7D"/>
    <w:rsid w:val="00917F5C"/>
    <w:rsid w:val="00920344"/>
    <w:rsid w:val="009203D2"/>
    <w:rsid w:val="00920C99"/>
    <w:rsid w:val="00922422"/>
    <w:rsid w:val="00923005"/>
    <w:rsid w:val="0092352A"/>
    <w:rsid w:val="0092393F"/>
    <w:rsid w:val="00923A78"/>
    <w:rsid w:val="00923EB4"/>
    <w:rsid w:val="009251A0"/>
    <w:rsid w:val="009253AA"/>
    <w:rsid w:val="00925584"/>
    <w:rsid w:val="009262FB"/>
    <w:rsid w:val="00926B45"/>
    <w:rsid w:val="0092728B"/>
    <w:rsid w:val="0092764B"/>
    <w:rsid w:val="009278A8"/>
    <w:rsid w:val="009278ED"/>
    <w:rsid w:val="00930D4B"/>
    <w:rsid w:val="00931168"/>
    <w:rsid w:val="009315D3"/>
    <w:rsid w:val="00932A97"/>
    <w:rsid w:val="00932CA7"/>
    <w:rsid w:val="00932D31"/>
    <w:rsid w:val="00933041"/>
    <w:rsid w:val="00933336"/>
    <w:rsid w:val="00934DE9"/>
    <w:rsid w:val="00934ECC"/>
    <w:rsid w:val="009362B2"/>
    <w:rsid w:val="00936366"/>
    <w:rsid w:val="009365B4"/>
    <w:rsid w:val="00936C17"/>
    <w:rsid w:val="00936DBF"/>
    <w:rsid w:val="00937994"/>
    <w:rsid w:val="00937CFE"/>
    <w:rsid w:val="00940BCF"/>
    <w:rsid w:val="0094258A"/>
    <w:rsid w:val="0094384A"/>
    <w:rsid w:val="00943BB9"/>
    <w:rsid w:val="009446CE"/>
    <w:rsid w:val="00944EB1"/>
    <w:rsid w:val="0094658D"/>
    <w:rsid w:val="00946897"/>
    <w:rsid w:val="0094759A"/>
    <w:rsid w:val="009520BC"/>
    <w:rsid w:val="00953FE2"/>
    <w:rsid w:val="00954836"/>
    <w:rsid w:val="00954C1E"/>
    <w:rsid w:val="00954DFC"/>
    <w:rsid w:val="00955C53"/>
    <w:rsid w:val="00956C80"/>
    <w:rsid w:val="00956D18"/>
    <w:rsid w:val="00956E5F"/>
    <w:rsid w:val="00957B09"/>
    <w:rsid w:val="00957B48"/>
    <w:rsid w:val="00960238"/>
    <w:rsid w:val="00961623"/>
    <w:rsid w:val="00961FA3"/>
    <w:rsid w:val="0096243F"/>
    <w:rsid w:val="00962662"/>
    <w:rsid w:val="0096304A"/>
    <w:rsid w:val="0096316F"/>
    <w:rsid w:val="00963867"/>
    <w:rsid w:val="00963B8F"/>
    <w:rsid w:val="00963F42"/>
    <w:rsid w:val="0096462B"/>
    <w:rsid w:val="00966871"/>
    <w:rsid w:val="00967466"/>
    <w:rsid w:val="00967E5D"/>
    <w:rsid w:val="00970488"/>
    <w:rsid w:val="00971234"/>
    <w:rsid w:val="00971BA8"/>
    <w:rsid w:val="00972BCA"/>
    <w:rsid w:val="00972F6C"/>
    <w:rsid w:val="00973128"/>
    <w:rsid w:val="00974424"/>
    <w:rsid w:val="00976DE8"/>
    <w:rsid w:val="00977650"/>
    <w:rsid w:val="00977692"/>
    <w:rsid w:val="00977941"/>
    <w:rsid w:val="009803D6"/>
    <w:rsid w:val="00980C8E"/>
    <w:rsid w:val="00981B84"/>
    <w:rsid w:val="00984842"/>
    <w:rsid w:val="00984BF6"/>
    <w:rsid w:val="00985B32"/>
    <w:rsid w:val="009864F7"/>
    <w:rsid w:val="009866E4"/>
    <w:rsid w:val="009876FA"/>
    <w:rsid w:val="00990428"/>
    <w:rsid w:val="009905FE"/>
    <w:rsid w:val="00991DAD"/>
    <w:rsid w:val="00991F82"/>
    <w:rsid w:val="009947AA"/>
    <w:rsid w:val="00994C06"/>
    <w:rsid w:val="0099600A"/>
    <w:rsid w:val="00996FD4"/>
    <w:rsid w:val="009A026F"/>
    <w:rsid w:val="009A1833"/>
    <w:rsid w:val="009A1854"/>
    <w:rsid w:val="009A264F"/>
    <w:rsid w:val="009A3A89"/>
    <w:rsid w:val="009A3FF8"/>
    <w:rsid w:val="009A4E15"/>
    <w:rsid w:val="009A5571"/>
    <w:rsid w:val="009A5AA5"/>
    <w:rsid w:val="009A6319"/>
    <w:rsid w:val="009A643B"/>
    <w:rsid w:val="009A6AE6"/>
    <w:rsid w:val="009A6B0C"/>
    <w:rsid w:val="009A75E2"/>
    <w:rsid w:val="009A7B92"/>
    <w:rsid w:val="009A7BFF"/>
    <w:rsid w:val="009A7E9E"/>
    <w:rsid w:val="009B07F5"/>
    <w:rsid w:val="009B1D25"/>
    <w:rsid w:val="009B20D1"/>
    <w:rsid w:val="009B2246"/>
    <w:rsid w:val="009B24A6"/>
    <w:rsid w:val="009B2E8A"/>
    <w:rsid w:val="009B2ED6"/>
    <w:rsid w:val="009B33CE"/>
    <w:rsid w:val="009B4AE5"/>
    <w:rsid w:val="009B5744"/>
    <w:rsid w:val="009B5F26"/>
    <w:rsid w:val="009B679C"/>
    <w:rsid w:val="009B6C1F"/>
    <w:rsid w:val="009B6D71"/>
    <w:rsid w:val="009B7132"/>
    <w:rsid w:val="009B73CA"/>
    <w:rsid w:val="009C1FE5"/>
    <w:rsid w:val="009C1FF4"/>
    <w:rsid w:val="009C32C2"/>
    <w:rsid w:val="009C4368"/>
    <w:rsid w:val="009C49F6"/>
    <w:rsid w:val="009C7782"/>
    <w:rsid w:val="009D08D3"/>
    <w:rsid w:val="009D0A76"/>
    <w:rsid w:val="009D0B4F"/>
    <w:rsid w:val="009D1D59"/>
    <w:rsid w:val="009D3198"/>
    <w:rsid w:val="009D3958"/>
    <w:rsid w:val="009D3EBF"/>
    <w:rsid w:val="009D414F"/>
    <w:rsid w:val="009D56A7"/>
    <w:rsid w:val="009D57A2"/>
    <w:rsid w:val="009D5FA4"/>
    <w:rsid w:val="009D6090"/>
    <w:rsid w:val="009D7A57"/>
    <w:rsid w:val="009E053A"/>
    <w:rsid w:val="009E0D64"/>
    <w:rsid w:val="009E0E63"/>
    <w:rsid w:val="009E0E79"/>
    <w:rsid w:val="009E1CB3"/>
    <w:rsid w:val="009E20F2"/>
    <w:rsid w:val="009E230D"/>
    <w:rsid w:val="009E2E2A"/>
    <w:rsid w:val="009E3112"/>
    <w:rsid w:val="009E5FBC"/>
    <w:rsid w:val="009E6208"/>
    <w:rsid w:val="009E6D69"/>
    <w:rsid w:val="009E728A"/>
    <w:rsid w:val="009E72D5"/>
    <w:rsid w:val="009E7C91"/>
    <w:rsid w:val="009F08AA"/>
    <w:rsid w:val="009F092A"/>
    <w:rsid w:val="009F109A"/>
    <w:rsid w:val="009F1779"/>
    <w:rsid w:val="009F2AA7"/>
    <w:rsid w:val="009F4A35"/>
    <w:rsid w:val="009F56BE"/>
    <w:rsid w:val="009F5E4F"/>
    <w:rsid w:val="009F6EA7"/>
    <w:rsid w:val="009F7A91"/>
    <w:rsid w:val="009F7EB6"/>
    <w:rsid w:val="00A00099"/>
    <w:rsid w:val="00A006C8"/>
    <w:rsid w:val="00A0188B"/>
    <w:rsid w:val="00A02997"/>
    <w:rsid w:val="00A02F09"/>
    <w:rsid w:val="00A041C0"/>
    <w:rsid w:val="00A04927"/>
    <w:rsid w:val="00A0591A"/>
    <w:rsid w:val="00A05D53"/>
    <w:rsid w:val="00A0627A"/>
    <w:rsid w:val="00A10BFD"/>
    <w:rsid w:val="00A1258A"/>
    <w:rsid w:val="00A13494"/>
    <w:rsid w:val="00A14D75"/>
    <w:rsid w:val="00A1501B"/>
    <w:rsid w:val="00A15421"/>
    <w:rsid w:val="00A15DF8"/>
    <w:rsid w:val="00A16002"/>
    <w:rsid w:val="00A16906"/>
    <w:rsid w:val="00A203F8"/>
    <w:rsid w:val="00A21015"/>
    <w:rsid w:val="00A2180D"/>
    <w:rsid w:val="00A23A46"/>
    <w:rsid w:val="00A23A9B"/>
    <w:rsid w:val="00A25A83"/>
    <w:rsid w:val="00A26585"/>
    <w:rsid w:val="00A265CE"/>
    <w:rsid w:val="00A26723"/>
    <w:rsid w:val="00A27158"/>
    <w:rsid w:val="00A275B0"/>
    <w:rsid w:val="00A27E33"/>
    <w:rsid w:val="00A30ED4"/>
    <w:rsid w:val="00A31756"/>
    <w:rsid w:val="00A31EA4"/>
    <w:rsid w:val="00A32B5D"/>
    <w:rsid w:val="00A33173"/>
    <w:rsid w:val="00A36DDE"/>
    <w:rsid w:val="00A37D33"/>
    <w:rsid w:val="00A37DC4"/>
    <w:rsid w:val="00A37E82"/>
    <w:rsid w:val="00A4008D"/>
    <w:rsid w:val="00A40194"/>
    <w:rsid w:val="00A40548"/>
    <w:rsid w:val="00A40B45"/>
    <w:rsid w:val="00A428C8"/>
    <w:rsid w:val="00A44B29"/>
    <w:rsid w:val="00A44CA0"/>
    <w:rsid w:val="00A45557"/>
    <w:rsid w:val="00A47714"/>
    <w:rsid w:val="00A477AE"/>
    <w:rsid w:val="00A47B0C"/>
    <w:rsid w:val="00A501D3"/>
    <w:rsid w:val="00A50FC1"/>
    <w:rsid w:val="00A519F2"/>
    <w:rsid w:val="00A5334C"/>
    <w:rsid w:val="00A54759"/>
    <w:rsid w:val="00A54D83"/>
    <w:rsid w:val="00A5609B"/>
    <w:rsid w:val="00A5769B"/>
    <w:rsid w:val="00A576B7"/>
    <w:rsid w:val="00A6159C"/>
    <w:rsid w:val="00A6491F"/>
    <w:rsid w:val="00A65201"/>
    <w:rsid w:val="00A65A42"/>
    <w:rsid w:val="00A65AE2"/>
    <w:rsid w:val="00A6636F"/>
    <w:rsid w:val="00A670E0"/>
    <w:rsid w:val="00A67942"/>
    <w:rsid w:val="00A67D2D"/>
    <w:rsid w:val="00A700F1"/>
    <w:rsid w:val="00A70430"/>
    <w:rsid w:val="00A707C7"/>
    <w:rsid w:val="00A7115B"/>
    <w:rsid w:val="00A72465"/>
    <w:rsid w:val="00A727F6"/>
    <w:rsid w:val="00A7289D"/>
    <w:rsid w:val="00A729C7"/>
    <w:rsid w:val="00A72B9B"/>
    <w:rsid w:val="00A73923"/>
    <w:rsid w:val="00A75EAB"/>
    <w:rsid w:val="00A76935"/>
    <w:rsid w:val="00A77292"/>
    <w:rsid w:val="00A807DB"/>
    <w:rsid w:val="00A80F97"/>
    <w:rsid w:val="00A810F5"/>
    <w:rsid w:val="00A81330"/>
    <w:rsid w:val="00A831F9"/>
    <w:rsid w:val="00A8379F"/>
    <w:rsid w:val="00A839DD"/>
    <w:rsid w:val="00A8563C"/>
    <w:rsid w:val="00A85F8C"/>
    <w:rsid w:val="00A906CF"/>
    <w:rsid w:val="00A90EFE"/>
    <w:rsid w:val="00A91B15"/>
    <w:rsid w:val="00A92033"/>
    <w:rsid w:val="00A92572"/>
    <w:rsid w:val="00A96755"/>
    <w:rsid w:val="00A96A20"/>
    <w:rsid w:val="00A96C51"/>
    <w:rsid w:val="00A97156"/>
    <w:rsid w:val="00A975F3"/>
    <w:rsid w:val="00A977C8"/>
    <w:rsid w:val="00A97B2E"/>
    <w:rsid w:val="00AA037C"/>
    <w:rsid w:val="00AA08E8"/>
    <w:rsid w:val="00AA095A"/>
    <w:rsid w:val="00AA2895"/>
    <w:rsid w:val="00AA2C24"/>
    <w:rsid w:val="00AA2E59"/>
    <w:rsid w:val="00AA51FD"/>
    <w:rsid w:val="00AB0AFD"/>
    <w:rsid w:val="00AB0F10"/>
    <w:rsid w:val="00AB23E5"/>
    <w:rsid w:val="00AB5CB4"/>
    <w:rsid w:val="00AB6400"/>
    <w:rsid w:val="00AC0777"/>
    <w:rsid w:val="00AC086B"/>
    <w:rsid w:val="00AC1D9F"/>
    <w:rsid w:val="00AC1E2A"/>
    <w:rsid w:val="00AC34C7"/>
    <w:rsid w:val="00AC4066"/>
    <w:rsid w:val="00AC4C75"/>
    <w:rsid w:val="00AC4E3D"/>
    <w:rsid w:val="00AC4F58"/>
    <w:rsid w:val="00AC5DBE"/>
    <w:rsid w:val="00AC6247"/>
    <w:rsid w:val="00AC630A"/>
    <w:rsid w:val="00AC6F05"/>
    <w:rsid w:val="00AC740B"/>
    <w:rsid w:val="00AC785C"/>
    <w:rsid w:val="00AC7A76"/>
    <w:rsid w:val="00AD01EC"/>
    <w:rsid w:val="00AD143E"/>
    <w:rsid w:val="00AD23D1"/>
    <w:rsid w:val="00AD3C2C"/>
    <w:rsid w:val="00AD460F"/>
    <w:rsid w:val="00AD4BB0"/>
    <w:rsid w:val="00AD5235"/>
    <w:rsid w:val="00AD61D7"/>
    <w:rsid w:val="00AD6CE7"/>
    <w:rsid w:val="00AD7D49"/>
    <w:rsid w:val="00AE0692"/>
    <w:rsid w:val="00AE1014"/>
    <w:rsid w:val="00AE11BA"/>
    <w:rsid w:val="00AE1904"/>
    <w:rsid w:val="00AE1EFA"/>
    <w:rsid w:val="00AE2FFB"/>
    <w:rsid w:val="00AE35F8"/>
    <w:rsid w:val="00AE403B"/>
    <w:rsid w:val="00AE44C4"/>
    <w:rsid w:val="00AE473F"/>
    <w:rsid w:val="00AE5767"/>
    <w:rsid w:val="00AE6861"/>
    <w:rsid w:val="00AE6B0D"/>
    <w:rsid w:val="00AE716B"/>
    <w:rsid w:val="00AE72C8"/>
    <w:rsid w:val="00AE742C"/>
    <w:rsid w:val="00AE7490"/>
    <w:rsid w:val="00AF1614"/>
    <w:rsid w:val="00AF1A13"/>
    <w:rsid w:val="00AF22DC"/>
    <w:rsid w:val="00AF26E2"/>
    <w:rsid w:val="00AF3067"/>
    <w:rsid w:val="00AF6BF8"/>
    <w:rsid w:val="00AF7E77"/>
    <w:rsid w:val="00AF7EA5"/>
    <w:rsid w:val="00B0027C"/>
    <w:rsid w:val="00B0050E"/>
    <w:rsid w:val="00B015AA"/>
    <w:rsid w:val="00B0239C"/>
    <w:rsid w:val="00B02530"/>
    <w:rsid w:val="00B0435E"/>
    <w:rsid w:val="00B044D6"/>
    <w:rsid w:val="00B046D9"/>
    <w:rsid w:val="00B05FCE"/>
    <w:rsid w:val="00B06341"/>
    <w:rsid w:val="00B07C3D"/>
    <w:rsid w:val="00B101AB"/>
    <w:rsid w:val="00B108AC"/>
    <w:rsid w:val="00B10A0D"/>
    <w:rsid w:val="00B11C6C"/>
    <w:rsid w:val="00B11F3D"/>
    <w:rsid w:val="00B125C0"/>
    <w:rsid w:val="00B1324D"/>
    <w:rsid w:val="00B1351A"/>
    <w:rsid w:val="00B1527B"/>
    <w:rsid w:val="00B1562E"/>
    <w:rsid w:val="00B1567D"/>
    <w:rsid w:val="00B20224"/>
    <w:rsid w:val="00B22898"/>
    <w:rsid w:val="00B2311A"/>
    <w:rsid w:val="00B2428C"/>
    <w:rsid w:val="00B27475"/>
    <w:rsid w:val="00B300F7"/>
    <w:rsid w:val="00B303BB"/>
    <w:rsid w:val="00B310C5"/>
    <w:rsid w:val="00B327E3"/>
    <w:rsid w:val="00B32AFC"/>
    <w:rsid w:val="00B334C2"/>
    <w:rsid w:val="00B33B26"/>
    <w:rsid w:val="00B34BCA"/>
    <w:rsid w:val="00B356BF"/>
    <w:rsid w:val="00B3656D"/>
    <w:rsid w:val="00B3701F"/>
    <w:rsid w:val="00B3721C"/>
    <w:rsid w:val="00B37F48"/>
    <w:rsid w:val="00B418E9"/>
    <w:rsid w:val="00B42C73"/>
    <w:rsid w:val="00B42E2C"/>
    <w:rsid w:val="00B4337B"/>
    <w:rsid w:val="00B44D8F"/>
    <w:rsid w:val="00B44E58"/>
    <w:rsid w:val="00B47BEF"/>
    <w:rsid w:val="00B50B0E"/>
    <w:rsid w:val="00B50E66"/>
    <w:rsid w:val="00B50F79"/>
    <w:rsid w:val="00B5179A"/>
    <w:rsid w:val="00B52ADC"/>
    <w:rsid w:val="00B53A91"/>
    <w:rsid w:val="00B54262"/>
    <w:rsid w:val="00B54B3B"/>
    <w:rsid w:val="00B54B82"/>
    <w:rsid w:val="00B55AEB"/>
    <w:rsid w:val="00B5622A"/>
    <w:rsid w:val="00B5660D"/>
    <w:rsid w:val="00B572BC"/>
    <w:rsid w:val="00B60624"/>
    <w:rsid w:val="00B60E31"/>
    <w:rsid w:val="00B610FB"/>
    <w:rsid w:val="00B63748"/>
    <w:rsid w:val="00B6400F"/>
    <w:rsid w:val="00B64500"/>
    <w:rsid w:val="00B655B3"/>
    <w:rsid w:val="00B65896"/>
    <w:rsid w:val="00B665C5"/>
    <w:rsid w:val="00B6715B"/>
    <w:rsid w:val="00B678E0"/>
    <w:rsid w:val="00B70080"/>
    <w:rsid w:val="00B71B98"/>
    <w:rsid w:val="00B71E1D"/>
    <w:rsid w:val="00B72AED"/>
    <w:rsid w:val="00B73AD9"/>
    <w:rsid w:val="00B746BC"/>
    <w:rsid w:val="00B74AE2"/>
    <w:rsid w:val="00B74CC7"/>
    <w:rsid w:val="00B74F8D"/>
    <w:rsid w:val="00B758A9"/>
    <w:rsid w:val="00B75BB6"/>
    <w:rsid w:val="00B76B71"/>
    <w:rsid w:val="00B76C2D"/>
    <w:rsid w:val="00B77031"/>
    <w:rsid w:val="00B77693"/>
    <w:rsid w:val="00B77810"/>
    <w:rsid w:val="00B77A96"/>
    <w:rsid w:val="00B77AED"/>
    <w:rsid w:val="00B8001A"/>
    <w:rsid w:val="00B8392E"/>
    <w:rsid w:val="00B83BE7"/>
    <w:rsid w:val="00B84ECF"/>
    <w:rsid w:val="00B85A6A"/>
    <w:rsid w:val="00B85D9A"/>
    <w:rsid w:val="00B86377"/>
    <w:rsid w:val="00B866F8"/>
    <w:rsid w:val="00B87069"/>
    <w:rsid w:val="00B905FA"/>
    <w:rsid w:val="00B90A5B"/>
    <w:rsid w:val="00B92DE6"/>
    <w:rsid w:val="00B937EB"/>
    <w:rsid w:val="00B9446F"/>
    <w:rsid w:val="00B95AE3"/>
    <w:rsid w:val="00B9620F"/>
    <w:rsid w:val="00B9644B"/>
    <w:rsid w:val="00B966D6"/>
    <w:rsid w:val="00B971F8"/>
    <w:rsid w:val="00B97EED"/>
    <w:rsid w:val="00BA02CC"/>
    <w:rsid w:val="00BA0617"/>
    <w:rsid w:val="00BA1506"/>
    <w:rsid w:val="00BA24C1"/>
    <w:rsid w:val="00BA31DB"/>
    <w:rsid w:val="00BA34A4"/>
    <w:rsid w:val="00BA3D79"/>
    <w:rsid w:val="00BA5826"/>
    <w:rsid w:val="00BA5C8E"/>
    <w:rsid w:val="00BA618A"/>
    <w:rsid w:val="00BA6A17"/>
    <w:rsid w:val="00BA719C"/>
    <w:rsid w:val="00BA7308"/>
    <w:rsid w:val="00BA73C9"/>
    <w:rsid w:val="00BA74FE"/>
    <w:rsid w:val="00BB0D73"/>
    <w:rsid w:val="00BB0E36"/>
    <w:rsid w:val="00BB1066"/>
    <w:rsid w:val="00BB1BD6"/>
    <w:rsid w:val="00BB20E0"/>
    <w:rsid w:val="00BB3A8F"/>
    <w:rsid w:val="00BB4230"/>
    <w:rsid w:val="00BB4320"/>
    <w:rsid w:val="00BB7548"/>
    <w:rsid w:val="00BB7914"/>
    <w:rsid w:val="00BB7DF5"/>
    <w:rsid w:val="00BC0172"/>
    <w:rsid w:val="00BC170A"/>
    <w:rsid w:val="00BC26EB"/>
    <w:rsid w:val="00BC315E"/>
    <w:rsid w:val="00BC32B6"/>
    <w:rsid w:val="00BC3401"/>
    <w:rsid w:val="00BC4651"/>
    <w:rsid w:val="00BC490A"/>
    <w:rsid w:val="00BC4FE0"/>
    <w:rsid w:val="00BC549E"/>
    <w:rsid w:val="00BC54A0"/>
    <w:rsid w:val="00BC5E1D"/>
    <w:rsid w:val="00BC7EAD"/>
    <w:rsid w:val="00BD0DE1"/>
    <w:rsid w:val="00BD0F9A"/>
    <w:rsid w:val="00BD13DA"/>
    <w:rsid w:val="00BD1510"/>
    <w:rsid w:val="00BD1EF3"/>
    <w:rsid w:val="00BD3F24"/>
    <w:rsid w:val="00BD40A8"/>
    <w:rsid w:val="00BD41F7"/>
    <w:rsid w:val="00BD5557"/>
    <w:rsid w:val="00BD748B"/>
    <w:rsid w:val="00BD7799"/>
    <w:rsid w:val="00BE00A0"/>
    <w:rsid w:val="00BE012D"/>
    <w:rsid w:val="00BE0D2A"/>
    <w:rsid w:val="00BE3A58"/>
    <w:rsid w:val="00BE516D"/>
    <w:rsid w:val="00BE51BF"/>
    <w:rsid w:val="00BE59CB"/>
    <w:rsid w:val="00BF22E5"/>
    <w:rsid w:val="00BF24F2"/>
    <w:rsid w:val="00BF3748"/>
    <w:rsid w:val="00BF39DB"/>
    <w:rsid w:val="00BF4339"/>
    <w:rsid w:val="00BF4402"/>
    <w:rsid w:val="00BF6298"/>
    <w:rsid w:val="00BF75CA"/>
    <w:rsid w:val="00C004C0"/>
    <w:rsid w:val="00C011A0"/>
    <w:rsid w:val="00C01C7C"/>
    <w:rsid w:val="00C02DAF"/>
    <w:rsid w:val="00C036F9"/>
    <w:rsid w:val="00C03C31"/>
    <w:rsid w:val="00C04735"/>
    <w:rsid w:val="00C0478F"/>
    <w:rsid w:val="00C05DF9"/>
    <w:rsid w:val="00C064C7"/>
    <w:rsid w:val="00C0675C"/>
    <w:rsid w:val="00C06828"/>
    <w:rsid w:val="00C076EF"/>
    <w:rsid w:val="00C106BF"/>
    <w:rsid w:val="00C117B5"/>
    <w:rsid w:val="00C11C93"/>
    <w:rsid w:val="00C12495"/>
    <w:rsid w:val="00C1431F"/>
    <w:rsid w:val="00C14431"/>
    <w:rsid w:val="00C16761"/>
    <w:rsid w:val="00C17AA9"/>
    <w:rsid w:val="00C23238"/>
    <w:rsid w:val="00C23716"/>
    <w:rsid w:val="00C246AA"/>
    <w:rsid w:val="00C2569D"/>
    <w:rsid w:val="00C25FD2"/>
    <w:rsid w:val="00C26584"/>
    <w:rsid w:val="00C26C2B"/>
    <w:rsid w:val="00C2721C"/>
    <w:rsid w:val="00C273BA"/>
    <w:rsid w:val="00C31B95"/>
    <w:rsid w:val="00C32E25"/>
    <w:rsid w:val="00C33599"/>
    <w:rsid w:val="00C33E5A"/>
    <w:rsid w:val="00C344AD"/>
    <w:rsid w:val="00C3487F"/>
    <w:rsid w:val="00C34C76"/>
    <w:rsid w:val="00C37099"/>
    <w:rsid w:val="00C40E02"/>
    <w:rsid w:val="00C40F48"/>
    <w:rsid w:val="00C44014"/>
    <w:rsid w:val="00C44234"/>
    <w:rsid w:val="00C45420"/>
    <w:rsid w:val="00C47874"/>
    <w:rsid w:val="00C479C9"/>
    <w:rsid w:val="00C5006B"/>
    <w:rsid w:val="00C50A86"/>
    <w:rsid w:val="00C50F98"/>
    <w:rsid w:val="00C51513"/>
    <w:rsid w:val="00C51B41"/>
    <w:rsid w:val="00C51E7B"/>
    <w:rsid w:val="00C5320F"/>
    <w:rsid w:val="00C537CC"/>
    <w:rsid w:val="00C53E42"/>
    <w:rsid w:val="00C547BA"/>
    <w:rsid w:val="00C54E9C"/>
    <w:rsid w:val="00C56839"/>
    <w:rsid w:val="00C568CE"/>
    <w:rsid w:val="00C56A9B"/>
    <w:rsid w:val="00C57332"/>
    <w:rsid w:val="00C57D83"/>
    <w:rsid w:val="00C61ED8"/>
    <w:rsid w:val="00C644F5"/>
    <w:rsid w:val="00C64CB9"/>
    <w:rsid w:val="00C65126"/>
    <w:rsid w:val="00C65558"/>
    <w:rsid w:val="00C6590A"/>
    <w:rsid w:val="00C65A62"/>
    <w:rsid w:val="00C66AAD"/>
    <w:rsid w:val="00C730AE"/>
    <w:rsid w:val="00C7334E"/>
    <w:rsid w:val="00C73447"/>
    <w:rsid w:val="00C73DB1"/>
    <w:rsid w:val="00C741E9"/>
    <w:rsid w:val="00C74825"/>
    <w:rsid w:val="00C74CBC"/>
    <w:rsid w:val="00C76FAA"/>
    <w:rsid w:val="00C8163F"/>
    <w:rsid w:val="00C8180A"/>
    <w:rsid w:val="00C81A10"/>
    <w:rsid w:val="00C83671"/>
    <w:rsid w:val="00C84D87"/>
    <w:rsid w:val="00C851A9"/>
    <w:rsid w:val="00C852F9"/>
    <w:rsid w:val="00C875A6"/>
    <w:rsid w:val="00C87CDB"/>
    <w:rsid w:val="00C90CDD"/>
    <w:rsid w:val="00C93274"/>
    <w:rsid w:val="00C937D2"/>
    <w:rsid w:val="00C96571"/>
    <w:rsid w:val="00C96D2E"/>
    <w:rsid w:val="00C973FB"/>
    <w:rsid w:val="00C9745F"/>
    <w:rsid w:val="00C97BF4"/>
    <w:rsid w:val="00CA14B9"/>
    <w:rsid w:val="00CA3135"/>
    <w:rsid w:val="00CA4287"/>
    <w:rsid w:val="00CA42AC"/>
    <w:rsid w:val="00CA4A14"/>
    <w:rsid w:val="00CA52A1"/>
    <w:rsid w:val="00CA5739"/>
    <w:rsid w:val="00CA6A72"/>
    <w:rsid w:val="00CA6D31"/>
    <w:rsid w:val="00CA75BE"/>
    <w:rsid w:val="00CB01F4"/>
    <w:rsid w:val="00CB05F4"/>
    <w:rsid w:val="00CB0F37"/>
    <w:rsid w:val="00CB1653"/>
    <w:rsid w:val="00CB1C83"/>
    <w:rsid w:val="00CB2118"/>
    <w:rsid w:val="00CB23FA"/>
    <w:rsid w:val="00CB3FDC"/>
    <w:rsid w:val="00CB44EE"/>
    <w:rsid w:val="00CB5AF8"/>
    <w:rsid w:val="00CB5C00"/>
    <w:rsid w:val="00CB5EED"/>
    <w:rsid w:val="00CB6227"/>
    <w:rsid w:val="00CB7423"/>
    <w:rsid w:val="00CB7B28"/>
    <w:rsid w:val="00CC18E6"/>
    <w:rsid w:val="00CC35D1"/>
    <w:rsid w:val="00CC3D33"/>
    <w:rsid w:val="00CC429B"/>
    <w:rsid w:val="00CC504C"/>
    <w:rsid w:val="00CC50AD"/>
    <w:rsid w:val="00CC5345"/>
    <w:rsid w:val="00CC5589"/>
    <w:rsid w:val="00CC7C38"/>
    <w:rsid w:val="00CC7D8C"/>
    <w:rsid w:val="00CD01BA"/>
    <w:rsid w:val="00CD15AC"/>
    <w:rsid w:val="00CD168E"/>
    <w:rsid w:val="00CD186A"/>
    <w:rsid w:val="00CD1891"/>
    <w:rsid w:val="00CD312D"/>
    <w:rsid w:val="00CD3337"/>
    <w:rsid w:val="00CD343C"/>
    <w:rsid w:val="00CD3F15"/>
    <w:rsid w:val="00CD521A"/>
    <w:rsid w:val="00CD6756"/>
    <w:rsid w:val="00CD6803"/>
    <w:rsid w:val="00CD70E7"/>
    <w:rsid w:val="00CE098C"/>
    <w:rsid w:val="00CE0DD1"/>
    <w:rsid w:val="00CE10FD"/>
    <w:rsid w:val="00CE2098"/>
    <w:rsid w:val="00CE355A"/>
    <w:rsid w:val="00CE3E77"/>
    <w:rsid w:val="00CE4B1B"/>
    <w:rsid w:val="00CE4D39"/>
    <w:rsid w:val="00CE5DAC"/>
    <w:rsid w:val="00CE7932"/>
    <w:rsid w:val="00CF1ADB"/>
    <w:rsid w:val="00CF29CE"/>
    <w:rsid w:val="00CF2A16"/>
    <w:rsid w:val="00CF3A03"/>
    <w:rsid w:val="00CF3A95"/>
    <w:rsid w:val="00CF543D"/>
    <w:rsid w:val="00CF553A"/>
    <w:rsid w:val="00CF5D27"/>
    <w:rsid w:val="00CF64A2"/>
    <w:rsid w:val="00CF6835"/>
    <w:rsid w:val="00CF6893"/>
    <w:rsid w:val="00CF6DF3"/>
    <w:rsid w:val="00D004C3"/>
    <w:rsid w:val="00D01466"/>
    <w:rsid w:val="00D01F31"/>
    <w:rsid w:val="00D021D8"/>
    <w:rsid w:val="00D03132"/>
    <w:rsid w:val="00D03FBB"/>
    <w:rsid w:val="00D04777"/>
    <w:rsid w:val="00D056ED"/>
    <w:rsid w:val="00D05D29"/>
    <w:rsid w:val="00D060AF"/>
    <w:rsid w:val="00D06E05"/>
    <w:rsid w:val="00D07691"/>
    <w:rsid w:val="00D10A61"/>
    <w:rsid w:val="00D11313"/>
    <w:rsid w:val="00D11BC7"/>
    <w:rsid w:val="00D11E50"/>
    <w:rsid w:val="00D121C6"/>
    <w:rsid w:val="00D1229F"/>
    <w:rsid w:val="00D12777"/>
    <w:rsid w:val="00D12B0E"/>
    <w:rsid w:val="00D14520"/>
    <w:rsid w:val="00D14791"/>
    <w:rsid w:val="00D1760C"/>
    <w:rsid w:val="00D179BB"/>
    <w:rsid w:val="00D21121"/>
    <w:rsid w:val="00D212DE"/>
    <w:rsid w:val="00D21A79"/>
    <w:rsid w:val="00D21F14"/>
    <w:rsid w:val="00D22442"/>
    <w:rsid w:val="00D22511"/>
    <w:rsid w:val="00D241CE"/>
    <w:rsid w:val="00D2439D"/>
    <w:rsid w:val="00D24C07"/>
    <w:rsid w:val="00D24D5D"/>
    <w:rsid w:val="00D26730"/>
    <w:rsid w:val="00D27A6F"/>
    <w:rsid w:val="00D27AF4"/>
    <w:rsid w:val="00D27EA3"/>
    <w:rsid w:val="00D301BF"/>
    <w:rsid w:val="00D30ABC"/>
    <w:rsid w:val="00D30BA4"/>
    <w:rsid w:val="00D31AAF"/>
    <w:rsid w:val="00D32056"/>
    <w:rsid w:val="00D32835"/>
    <w:rsid w:val="00D333A2"/>
    <w:rsid w:val="00D33578"/>
    <w:rsid w:val="00D344FA"/>
    <w:rsid w:val="00D34F29"/>
    <w:rsid w:val="00D35D57"/>
    <w:rsid w:val="00D36595"/>
    <w:rsid w:val="00D36D3F"/>
    <w:rsid w:val="00D37231"/>
    <w:rsid w:val="00D40EF2"/>
    <w:rsid w:val="00D419B5"/>
    <w:rsid w:val="00D41AAE"/>
    <w:rsid w:val="00D4306E"/>
    <w:rsid w:val="00D43367"/>
    <w:rsid w:val="00D43DD5"/>
    <w:rsid w:val="00D44A96"/>
    <w:rsid w:val="00D44B12"/>
    <w:rsid w:val="00D469A2"/>
    <w:rsid w:val="00D50244"/>
    <w:rsid w:val="00D50259"/>
    <w:rsid w:val="00D51645"/>
    <w:rsid w:val="00D537E6"/>
    <w:rsid w:val="00D53E79"/>
    <w:rsid w:val="00D54249"/>
    <w:rsid w:val="00D546FF"/>
    <w:rsid w:val="00D5484C"/>
    <w:rsid w:val="00D55B60"/>
    <w:rsid w:val="00D55E74"/>
    <w:rsid w:val="00D56BAC"/>
    <w:rsid w:val="00D56C42"/>
    <w:rsid w:val="00D5721E"/>
    <w:rsid w:val="00D57388"/>
    <w:rsid w:val="00D578EC"/>
    <w:rsid w:val="00D57D48"/>
    <w:rsid w:val="00D57E10"/>
    <w:rsid w:val="00D60B71"/>
    <w:rsid w:val="00D61BCD"/>
    <w:rsid w:val="00D622AE"/>
    <w:rsid w:val="00D63224"/>
    <w:rsid w:val="00D63E75"/>
    <w:rsid w:val="00D657B7"/>
    <w:rsid w:val="00D67513"/>
    <w:rsid w:val="00D675A9"/>
    <w:rsid w:val="00D709A6"/>
    <w:rsid w:val="00D71E74"/>
    <w:rsid w:val="00D72251"/>
    <w:rsid w:val="00D7262A"/>
    <w:rsid w:val="00D749E2"/>
    <w:rsid w:val="00D753AB"/>
    <w:rsid w:val="00D76067"/>
    <w:rsid w:val="00D76A55"/>
    <w:rsid w:val="00D77642"/>
    <w:rsid w:val="00D776E1"/>
    <w:rsid w:val="00D779C8"/>
    <w:rsid w:val="00D77A13"/>
    <w:rsid w:val="00D8068F"/>
    <w:rsid w:val="00D8098A"/>
    <w:rsid w:val="00D824A4"/>
    <w:rsid w:val="00D840F8"/>
    <w:rsid w:val="00D8414B"/>
    <w:rsid w:val="00D84317"/>
    <w:rsid w:val="00D85256"/>
    <w:rsid w:val="00D85A95"/>
    <w:rsid w:val="00D870F4"/>
    <w:rsid w:val="00D87761"/>
    <w:rsid w:val="00D87ECF"/>
    <w:rsid w:val="00D91407"/>
    <w:rsid w:val="00D91FAF"/>
    <w:rsid w:val="00D922C1"/>
    <w:rsid w:val="00D92B93"/>
    <w:rsid w:val="00D93263"/>
    <w:rsid w:val="00D938B7"/>
    <w:rsid w:val="00D944EF"/>
    <w:rsid w:val="00D946FF"/>
    <w:rsid w:val="00D94F98"/>
    <w:rsid w:val="00D956F0"/>
    <w:rsid w:val="00D95E37"/>
    <w:rsid w:val="00D9667D"/>
    <w:rsid w:val="00D96E88"/>
    <w:rsid w:val="00DA0F93"/>
    <w:rsid w:val="00DA110E"/>
    <w:rsid w:val="00DA12FF"/>
    <w:rsid w:val="00DA17D7"/>
    <w:rsid w:val="00DA2768"/>
    <w:rsid w:val="00DA34DD"/>
    <w:rsid w:val="00DA4054"/>
    <w:rsid w:val="00DA518E"/>
    <w:rsid w:val="00DA5240"/>
    <w:rsid w:val="00DA53DE"/>
    <w:rsid w:val="00DA5BFF"/>
    <w:rsid w:val="00DA5DFD"/>
    <w:rsid w:val="00DA6783"/>
    <w:rsid w:val="00DA70E1"/>
    <w:rsid w:val="00DA75BF"/>
    <w:rsid w:val="00DA7713"/>
    <w:rsid w:val="00DA795B"/>
    <w:rsid w:val="00DB17B4"/>
    <w:rsid w:val="00DB1B99"/>
    <w:rsid w:val="00DB1E1E"/>
    <w:rsid w:val="00DB2667"/>
    <w:rsid w:val="00DB28DF"/>
    <w:rsid w:val="00DB36D5"/>
    <w:rsid w:val="00DB3A36"/>
    <w:rsid w:val="00DB4C7F"/>
    <w:rsid w:val="00DB4E24"/>
    <w:rsid w:val="00DB571F"/>
    <w:rsid w:val="00DB5851"/>
    <w:rsid w:val="00DB7A73"/>
    <w:rsid w:val="00DC03EA"/>
    <w:rsid w:val="00DC06FC"/>
    <w:rsid w:val="00DC0E29"/>
    <w:rsid w:val="00DC113E"/>
    <w:rsid w:val="00DC14A6"/>
    <w:rsid w:val="00DC17CD"/>
    <w:rsid w:val="00DC181D"/>
    <w:rsid w:val="00DC1DC6"/>
    <w:rsid w:val="00DC27D4"/>
    <w:rsid w:val="00DC2A2E"/>
    <w:rsid w:val="00DC467D"/>
    <w:rsid w:val="00DC4925"/>
    <w:rsid w:val="00DC68D0"/>
    <w:rsid w:val="00DC6935"/>
    <w:rsid w:val="00DD092F"/>
    <w:rsid w:val="00DD0959"/>
    <w:rsid w:val="00DD09CF"/>
    <w:rsid w:val="00DD0BC5"/>
    <w:rsid w:val="00DD163C"/>
    <w:rsid w:val="00DD1AE0"/>
    <w:rsid w:val="00DD2E20"/>
    <w:rsid w:val="00DD2E70"/>
    <w:rsid w:val="00DD30AE"/>
    <w:rsid w:val="00DD32DA"/>
    <w:rsid w:val="00DD3467"/>
    <w:rsid w:val="00DD3ABC"/>
    <w:rsid w:val="00DD5155"/>
    <w:rsid w:val="00DD5189"/>
    <w:rsid w:val="00DD5A7A"/>
    <w:rsid w:val="00DD5B0A"/>
    <w:rsid w:val="00DD6E2B"/>
    <w:rsid w:val="00DD7BC7"/>
    <w:rsid w:val="00DD7E13"/>
    <w:rsid w:val="00DE0CBE"/>
    <w:rsid w:val="00DE11CA"/>
    <w:rsid w:val="00DE19C4"/>
    <w:rsid w:val="00DE2A39"/>
    <w:rsid w:val="00DE3ECE"/>
    <w:rsid w:val="00DE4A09"/>
    <w:rsid w:val="00DE4EDF"/>
    <w:rsid w:val="00DE5170"/>
    <w:rsid w:val="00DE53CD"/>
    <w:rsid w:val="00DE57C6"/>
    <w:rsid w:val="00DE5FC1"/>
    <w:rsid w:val="00DE6294"/>
    <w:rsid w:val="00DE6601"/>
    <w:rsid w:val="00DE68D6"/>
    <w:rsid w:val="00DE6B5B"/>
    <w:rsid w:val="00DE6CA8"/>
    <w:rsid w:val="00DE6EC1"/>
    <w:rsid w:val="00DE71EF"/>
    <w:rsid w:val="00DE781D"/>
    <w:rsid w:val="00DE78D2"/>
    <w:rsid w:val="00DE7B85"/>
    <w:rsid w:val="00DE7BE9"/>
    <w:rsid w:val="00DF0976"/>
    <w:rsid w:val="00DF10F9"/>
    <w:rsid w:val="00DF1320"/>
    <w:rsid w:val="00DF1DCE"/>
    <w:rsid w:val="00DF3B05"/>
    <w:rsid w:val="00DF4992"/>
    <w:rsid w:val="00DF4ECF"/>
    <w:rsid w:val="00DF5789"/>
    <w:rsid w:val="00DF5861"/>
    <w:rsid w:val="00DF6A08"/>
    <w:rsid w:val="00E00028"/>
    <w:rsid w:val="00E00663"/>
    <w:rsid w:val="00E00F17"/>
    <w:rsid w:val="00E014CE"/>
    <w:rsid w:val="00E01C2F"/>
    <w:rsid w:val="00E022EA"/>
    <w:rsid w:val="00E02908"/>
    <w:rsid w:val="00E0296D"/>
    <w:rsid w:val="00E04DF5"/>
    <w:rsid w:val="00E0500E"/>
    <w:rsid w:val="00E06664"/>
    <w:rsid w:val="00E0673E"/>
    <w:rsid w:val="00E06916"/>
    <w:rsid w:val="00E073CB"/>
    <w:rsid w:val="00E07DA0"/>
    <w:rsid w:val="00E07EEF"/>
    <w:rsid w:val="00E07F9D"/>
    <w:rsid w:val="00E12D64"/>
    <w:rsid w:val="00E13164"/>
    <w:rsid w:val="00E15424"/>
    <w:rsid w:val="00E2016F"/>
    <w:rsid w:val="00E20606"/>
    <w:rsid w:val="00E20E32"/>
    <w:rsid w:val="00E21941"/>
    <w:rsid w:val="00E2199F"/>
    <w:rsid w:val="00E21BDB"/>
    <w:rsid w:val="00E2299D"/>
    <w:rsid w:val="00E229CF"/>
    <w:rsid w:val="00E232D4"/>
    <w:rsid w:val="00E23867"/>
    <w:rsid w:val="00E23A7D"/>
    <w:rsid w:val="00E23F99"/>
    <w:rsid w:val="00E24070"/>
    <w:rsid w:val="00E25D1F"/>
    <w:rsid w:val="00E260DB"/>
    <w:rsid w:val="00E270AF"/>
    <w:rsid w:val="00E3085C"/>
    <w:rsid w:val="00E30D95"/>
    <w:rsid w:val="00E31EFB"/>
    <w:rsid w:val="00E33D00"/>
    <w:rsid w:val="00E34257"/>
    <w:rsid w:val="00E34EF3"/>
    <w:rsid w:val="00E36352"/>
    <w:rsid w:val="00E370FB"/>
    <w:rsid w:val="00E408AA"/>
    <w:rsid w:val="00E40F80"/>
    <w:rsid w:val="00E42273"/>
    <w:rsid w:val="00E42BB7"/>
    <w:rsid w:val="00E447D9"/>
    <w:rsid w:val="00E45A83"/>
    <w:rsid w:val="00E50027"/>
    <w:rsid w:val="00E50161"/>
    <w:rsid w:val="00E510FE"/>
    <w:rsid w:val="00E514A5"/>
    <w:rsid w:val="00E51623"/>
    <w:rsid w:val="00E51956"/>
    <w:rsid w:val="00E51A29"/>
    <w:rsid w:val="00E52682"/>
    <w:rsid w:val="00E52C2C"/>
    <w:rsid w:val="00E52F02"/>
    <w:rsid w:val="00E53558"/>
    <w:rsid w:val="00E53D06"/>
    <w:rsid w:val="00E54997"/>
    <w:rsid w:val="00E549A6"/>
    <w:rsid w:val="00E55143"/>
    <w:rsid w:val="00E55AF3"/>
    <w:rsid w:val="00E567CD"/>
    <w:rsid w:val="00E6055A"/>
    <w:rsid w:val="00E606D8"/>
    <w:rsid w:val="00E617AE"/>
    <w:rsid w:val="00E61D75"/>
    <w:rsid w:val="00E624B9"/>
    <w:rsid w:val="00E649B6"/>
    <w:rsid w:val="00E651A6"/>
    <w:rsid w:val="00E65387"/>
    <w:rsid w:val="00E65C14"/>
    <w:rsid w:val="00E6646D"/>
    <w:rsid w:val="00E67665"/>
    <w:rsid w:val="00E713E1"/>
    <w:rsid w:val="00E71C13"/>
    <w:rsid w:val="00E72675"/>
    <w:rsid w:val="00E72863"/>
    <w:rsid w:val="00E736BF"/>
    <w:rsid w:val="00E74259"/>
    <w:rsid w:val="00E7538B"/>
    <w:rsid w:val="00E75EEF"/>
    <w:rsid w:val="00E800E4"/>
    <w:rsid w:val="00E80814"/>
    <w:rsid w:val="00E812AE"/>
    <w:rsid w:val="00E818D6"/>
    <w:rsid w:val="00E81C8B"/>
    <w:rsid w:val="00E8219A"/>
    <w:rsid w:val="00E84510"/>
    <w:rsid w:val="00E84E14"/>
    <w:rsid w:val="00E86902"/>
    <w:rsid w:val="00E8704F"/>
    <w:rsid w:val="00E87356"/>
    <w:rsid w:val="00E908E1"/>
    <w:rsid w:val="00E90D0A"/>
    <w:rsid w:val="00E9124C"/>
    <w:rsid w:val="00E93836"/>
    <w:rsid w:val="00E94841"/>
    <w:rsid w:val="00E9536A"/>
    <w:rsid w:val="00E9548B"/>
    <w:rsid w:val="00E96E19"/>
    <w:rsid w:val="00EA0404"/>
    <w:rsid w:val="00EA2F6C"/>
    <w:rsid w:val="00EA42EE"/>
    <w:rsid w:val="00EA500C"/>
    <w:rsid w:val="00EA5069"/>
    <w:rsid w:val="00EA581E"/>
    <w:rsid w:val="00EA642A"/>
    <w:rsid w:val="00EA7799"/>
    <w:rsid w:val="00EB00FC"/>
    <w:rsid w:val="00EB07D2"/>
    <w:rsid w:val="00EB11D0"/>
    <w:rsid w:val="00EB2868"/>
    <w:rsid w:val="00EB54CF"/>
    <w:rsid w:val="00EB5CA1"/>
    <w:rsid w:val="00EB65E4"/>
    <w:rsid w:val="00EB6B48"/>
    <w:rsid w:val="00EC0CAF"/>
    <w:rsid w:val="00EC236F"/>
    <w:rsid w:val="00EC3044"/>
    <w:rsid w:val="00EC3522"/>
    <w:rsid w:val="00EC3914"/>
    <w:rsid w:val="00EC3FF1"/>
    <w:rsid w:val="00EC476D"/>
    <w:rsid w:val="00EC4BA8"/>
    <w:rsid w:val="00EC5478"/>
    <w:rsid w:val="00EC6898"/>
    <w:rsid w:val="00EC74C6"/>
    <w:rsid w:val="00ED1061"/>
    <w:rsid w:val="00ED1590"/>
    <w:rsid w:val="00ED1CB9"/>
    <w:rsid w:val="00ED203B"/>
    <w:rsid w:val="00ED2244"/>
    <w:rsid w:val="00ED33CD"/>
    <w:rsid w:val="00ED3A1C"/>
    <w:rsid w:val="00ED3FFA"/>
    <w:rsid w:val="00ED42A9"/>
    <w:rsid w:val="00ED50AE"/>
    <w:rsid w:val="00ED676B"/>
    <w:rsid w:val="00ED72A6"/>
    <w:rsid w:val="00ED7B04"/>
    <w:rsid w:val="00EE0FB3"/>
    <w:rsid w:val="00EE1158"/>
    <w:rsid w:val="00EE2F92"/>
    <w:rsid w:val="00EE42AC"/>
    <w:rsid w:val="00EE44BC"/>
    <w:rsid w:val="00EE59BC"/>
    <w:rsid w:val="00EE6F84"/>
    <w:rsid w:val="00EE7E6A"/>
    <w:rsid w:val="00EF00AD"/>
    <w:rsid w:val="00EF116A"/>
    <w:rsid w:val="00EF1939"/>
    <w:rsid w:val="00EF3D60"/>
    <w:rsid w:val="00EF4D5F"/>
    <w:rsid w:val="00EF59A0"/>
    <w:rsid w:val="00EF72DD"/>
    <w:rsid w:val="00EF7C11"/>
    <w:rsid w:val="00F008E0"/>
    <w:rsid w:val="00F01216"/>
    <w:rsid w:val="00F01778"/>
    <w:rsid w:val="00F019A6"/>
    <w:rsid w:val="00F02906"/>
    <w:rsid w:val="00F05084"/>
    <w:rsid w:val="00F055B4"/>
    <w:rsid w:val="00F055EA"/>
    <w:rsid w:val="00F05994"/>
    <w:rsid w:val="00F103AF"/>
    <w:rsid w:val="00F109A2"/>
    <w:rsid w:val="00F10B4D"/>
    <w:rsid w:val="00F11A07"/>
    <w:rsid w:val="00F11DEF"/>
    <w:rsid w:val="00F1274D"/>
    <w:rsid w:val="00F13036"/>
    <w:rsid w:val="00F1394A"/>
    <w:rsid w:val="00F13B07"/>
    <w:rsid w:val="00F15736"/>
    <w:rsid w:val="00F15B8D"/>
    <w:rsid w:val="00F1610E"/>
    <w:rsid w:val="00F1667C"/>
    <w:rsid w:val="00F17BB4"/>
    <w:rsid w:val="00F20064"/>
    <w:rsid w:val="00F20F82"/>
    <w:rsid w:val="00F22765"/>
    <w:rsid w:val="00F227A3"/>
    <w:rsid w:val="00F22D19"/>
    <w:rsid w:val="00F22E12"/>
    <w:rsid w:val="00F24133"/>
    <w:rsid w:val="00F24294"/>
    <w:rsid w:val="00F250F7"/>
    <w:rsid w:val="00F25676"/>
    <w:rsid w:val="00F25BBB"/>
    <w:rsid w:val="00F266B7"/>
    <w:rsid w:val="00F26DC5"/>
    <w:rsid w:val="00F27561"/>
    <w:rsid w:val="00F27CD1"/>
    <w:rsid w:val="00F304E8"/>
    <w:rsid w:val="00F30695"/>
    <w:rsid w:val="00F32098"/>
    <w:rsid w:val="00F32491"/>
    <w:rsid w:val="00F34987"/>
    <w:rsid w:val="00F35144"/>
    <w:rsid w:val="00F35C4C"/>
    <w:rsid w:val="00F35F4E"/>
    <w:rsid w:val="00F3756D"/>
    <w:rsid w:val="00F4109B"/>
    <w:rsid w:val="00F4129F"/>
    <w:rsid w:val="00F41E6F"/>
    <w:rsid w:val="00F42894"/>
    <w:rsid w:val="00F44276"/>
    <w:rsid w:val="00F444D1"/>
    <w:rsid w:val="00F447E7"/>
    <w:rsid w:val="00F44932"/>
    <w:rsid w:val="00F45602"/>
    <w:rsid w:val="00F46D44"/>
    <w:rsid w:val="00F47840"/>
    <w:rsid w:val="00F51383"/>
    <w:rsid w:val="00F5182C"/>
    <w:rsid w:val="00F51E2F"/>
    <w:rsid w:val="00F5202D"/>
    <w:rsid w:val="00F522F6"/>
    <w:rsid w:val="00F52CDB"/>
    <w:rsid w:val="00F53FAF"/>
    <w:rsid w:val="00F547EC"/>
    <w:rsid w:val="00F54D95"/>
    <w:rsid w:val="00F55773"/>
    <w:rsid w:val="00F5618B"/>
    <w:rsid w:val="00F61330"/>
    <w:rsid w:val="00F614AA"/>
    <w:rsid w:val="00F61ED3"/>
    <w:rsid w:val="00F62C76"/>
    <w:rsid w:val="00F63331"/>
    <w:rsid w:val="00F635EF"/>
    <w:rsid w:val="00F639B3"/>
    <w:rsid w:val="00F63B57"/>
    <w:rsid w:val="00F64239"/>
    <w:rsid w:val="00F64D03"/>
    <w:rsid w:val="00F652B9"/>
    <w:rsid w:val="00F66644"/>
    <w:rsid w:val="00F66A64"/>
    <w:rsid w:val="00F679A9"/>
    <w:rsid w:val="00F67EA7"/>
    <w:rsid w:val="00F70E0B"/>
    <w:rsid w:val="00F71041"/>
    <w:rsid w:val="00F717BD"/>
    <w:rsid w:val="00F71C9B"/>
    <w:rsid w:val="00F71D97"/>
    <w:rsid w:val="00F72346"/>
    <w:rsid w:val="00F74136"/>
    <w:rsid w:val="00F7464C"/>
    <w:rsid w:val="00F74A57"/>
    <w:rsid w:val="00F810D2"/>
    <w:rsid w:val="00F81640"/>
    <w:rsid w:val="00F81A6A"/>
    <w:rsid w:val="00F822E2"/>
    <w:rsid w:val="00F8367A"/>
    <w:rsid w:val="00F85880"/>
    <w:rsid w:val="00F869AB"/>
    <w:rsid w:val="00F86F1D"/>
    <w:rsid w:val="00F8707D"/>
    <w:rsid w:val="00F8721D"/>
    <w:rsid w:val="00F877EA"/>
    <w:rsid w:val="00F903DD"/>
    <w:rsid w:val="00F90E90"/>
    <w:rsid w:val="00F91CED"/>
    <w:rsid w:val="00F95427"/>
    <w:rsid w:val="00F967CE"/>
    <w:rsid w:val="00F96AAC"/>
    <w:rsid w:val="00F96EB0"/>
    <w:rsid w:val="00F97BF5"/>
    <w:rsid w:val="00FA0ABD"/>
    <w:rsid w:val="00FA297B"/>
    <w:rsid w:val="00FA2F91"/>
    <w:rsid w:val="00FA40F7"/>
    <w:rsid w:val="00FA4F0B"/>
    <w:rsid w:val="00FA550D"/>
    <w:rsid w:val="00FA5FBE"/>
    <w:rsid w:val="00FA61EB"/>
    <w:rsid w:val="00FA656A"/>
    <w:rsid w:val="00FA69DD"/>
    <w:rsid w:val="00FA70D5"/>
    <w:rsid w:val="00FA7D74"/>
    <w:rsid w:val="00FB0868"/>
    <w:rsid w:val="00FB1FF0"/>
    <w:rsid w:val="00FB237E"/>
    <w:rsid w:val="00FB3368"/>
    <w:rsid w:val="00FB4A9D"/>
    <w:rsid w:val="00FB51FE"/>
    <w:rsid w:val="00FC1288"/>
    <w:rsid w:val="00FC1F9A"/>
    <w:rsid w:val="00FC242C"/>
    <w:rsid w:val="00FC2970"/>
    <w:rsid w:val="00FC2A95"/>
    <w:rsid w:val="00FC2E25"/>
    <w:rsid w:val="00FC34F9"/>
    <w:rsid w:val="00FC6938"/>
    <w:rsid w:val="00FD00DD"/>
    <w:rsid w:val="00FD0383"/>
    <w:rsid w:val="00FD0C40"/>
    <w:rsid w:val="00FD197B"/>
    <w:rsid w:val="00FD1BCF"/>
    <w:rsid w:val="00FD21AB"/>
    <w:rsid w:val="00FD3189"/>
    <w:rsid w:val="00FD4697"/>
    <w:rsid w:val="00FD5082"/>
    <w:rsid w:val="00FD58AB"/>
    <w:rsid w:val="00FD5CF8"/>
    <w:rsid w:val="00FD609A"/>
    <w:rsid w:val="00FD70A6"/>
    <w:rsid w:val="00FD76B6"/>
    <w:rsid w:val="00FD7DCD"/>
    <w:rsid w:val="00FE2CA9"/>
    <w:rsid w:val="00FE33B5"/>
    <w:rsid w:val="00FE4CAC"/>
    <w:rsid w:val="00FE7E7D"/>
    <w:rsid w:val="00FF0BBE"/>
    <w:rsid w:val="00FF1CD6"/>
    <w:rsid w:val="00FF20B8"/>
    <w:rsid w:val="00FF2600"/>
    <w:rsid w:val="00FF293E"/>
    <w:rsid w:val="00FF425A"/>
    <w:rsid w:val="00FF52CA"/>
    <w:rsid w:val="00FF540E"/>
    <w:rsid w:val="00FF5AE5"/>
    <w:rsid w:val="00FF6187"/>
    <w:rsid w:val="00FF6695"/>
    <w:rsid w:val="00FF70E6"/>
    <w:rsid w:val="00FF7F37"/>
    <w:rsid w:val="01727C86"/>
    <w:rsid w:val="01757D6C"/>
    <w:rsid w:val="01B67A50"/>
    <w:rsid w:val="01C603F3"/>
    <w:rsid w:val="01DB7A12"/>
    <w:rsid w:val="01FA0B37"/>
    <w:rsid w:val="020A5176"/>
    <w:rsid w:val="020C1487"/>
    <w:rsid w:val="02350FD7"/>
    <w:rsid w:val="026D5A4E"/>
    <w:rsid w:val="027F08F6"/>
    <w:rsid w:val="02866093"/>
    <w:rsid w:val="02985DC6"/>
    <w:rsid w:val="029C3C3D"/>
    <w:rsid w:val="02AF35B9"/>
    <w:rsid w:val="02D7069C"/>
    <w:rsid w:val="02DB5B22"/>
    <w:rsid w:val="02E2117E"/>
    <w:rsid w:val="02EA0C52"/>
    <w:rsid w:val="02EF31FC"/>
    <w:rsid w:val="03123612"/>
    <w:rsid w:val="0314049C"/>
    <w:rsid w:val="03174F3D"/>
    <w:rsid w:val="031D5029"/>
    <w:rsid w:val="031F5CB1"/>
    <w:rsid w:val="0324067A"/>
    <w:rsid w:val="032510F8"/>
    <w:rsid w:val="03423A5A"/>
    <w:rsid w:val="03547F3F"/>
    <w:rsid w:val="035C6DF3"/>
    <w:rsid w:val="03745A07"/>
    <w:rsid w:val="038F6F0F"/>
    <w:rsid w:val="03A41A2E"/>
    <w:rsid w:val="03B67A42"/>
    <w:rsid w:val="03BC3FA3"/>
    <w:rsid w:val="03CD7699"/>
    <w:rsid w:val="03D05B32"/>
    <w:rsid w:val="0403263B"/>
    <w:rsid w:val="04206073"/>
    <w:rsid w:val="042947BD"/>
    <w:rsid w:val="0453546B"/>
    <w:rsid w:val="045A3333"/>
    <w:rsid w:val="046046C1"/>
    <w:rsid w:val="047D1717"/>
    <w:rsid w:val="048D3660"/>
    <w:rsid w:val="049F168E"/>
    <w:rsid w:val="04D75C17"/>
    <w:rsid w:val="04DF51E5"/>
    <w:rsid w:val="04F67264"/>
    <w:rsid w:val="04FF6F28"/>
    <w:rsid w:val="05057FD0"/>
    <w:rsid w:val="054E0A7B"/>
    <w:rsid w:val="058118D7"/>
    <w:rsid w:val="05B6173B"/>
    <w:rsid w:val="05BA22D5"/>
    <w:rsid w:val="05BF087E"/>
    <w:rsid w:val="05E465B6"/>
    <w:rsid w:val="05EE13C9"/>
    <w:rsid w:val="05F525E4"/>
    <w:rsid w:val="05FE5366"/>
    <w:rsid w:val="060D2627"/>
    <w:rsid w:val="0620398B"/>
    <w:rsid w:val="063548D6"/>
    <w:rsid w:val="06361B7E"/>
    <w:rsid w:val="065E0D7E"/>
    <w:rsid w:val="068F508F"/>
    <w:rsid w:val="06B036DE"/>
    <w:rsid w:val="06B16195"/>
    <w:rsid w:val="06B73DBA"/>
    <w:rsid w:val="06DB3ECB"/>
    <w:rsid w:val="06F22720"/>
    <w:rsid w:val="07441515"/>
    <w:rsid w:val="075452A7"/>
    <w:rsid w:val="07576E15"/>
    <w:rsid w:val="077B122A"/>
    <w:rsid w:val="07962EDA"/>
    <w:rsid w:val="07AE5867"/>
    <w:rsid w:val="07CA6A37"/>
    <w:rsid w:val="07FA45B7"/>
    <w:rsid w:val="086E55FF"/>
    <w:rsid w:val="08724C55"/>
    <w:rsid w:val="08730E67"/>
    <w:rsid w:val="0880043F"/>
    <w:rsid w:val="08B123F7"/>
    <w:rsid w:val="08C23B9D"/>
    <w:rsid w:val="08D53460"/>
    <w:rsid w:val="093A7BD7"/>
    <w:rsid w:val="09407850"/>
    <w:rsid w:val="095C35E3"/>
    <w:rsid w:val="09931095"/>
    <w:rsid w:val="09CE6E57"/>
    <w:rsid w:val="09FC6A4A"/>
    <w:rsid w:val="0A010C8D"/>
    <w:rsid w:val="0A3C350E"/>
    <w:rsid w:val="0A3F353B"/>
    <w:rsid w:val="0AB67731"/>
    <w:rsid w:val="0AB74171"/>
    <w:rsid w:val="0AC72D79"/>
    <w:rsid w:val="0ADB4473"/>
    <w:rsid w:val="0AEB73DB"/>
    <w:rsid w:val="0B162392"/>
    <w:rsid w:val="0B4E4A5D"/>
    <w:rsid w:val="0B7D1AED"/>
    <w:rsid w:val="0B9C2483"/>
    <w:rsid w:val="0BB440E1"/>
    <w:rsid w:val="0BE45BC4"/>
    <w:rsid w:val="0C0B13B7"/>
    <w:rsid w:val="0C3E4E01"/>
    <w:rsid w:val="0C640919"/>
    <w:rsid w:val="0C661389"/>
    <w:rsid w:val="0C835496"/>
    <w:rsid w:val="0CE770D5"/>
    <w:rsid w:val="0CFB26C2"/>
    <w:rsid w:val="0D1D6ADC"/>
    <w:rsid w:val="0D305579"/>
    <w:rsid w:val="0D3C1AAA"/>
    <w:rsid w:val="0D444B80"/>
    <w:rsid w:val="0D680BE0"/>
    <w:rsid w:val="0DA447BB"/>
    <w:rsid w:val="0DDE6EB8"/>
    <w:rsid w:val="0DFF388F"/>
    <w:rsid w:val="0E232C28"/>
    <w:rsid w:val="0E2350DD"/>
    <w:rsid w:val="0E2E129C"/>
    <w:rsid w:val="0E574EDB"/>
    <w:rsid w:val="0E5A5605"/>
    <w:rsid w:val="0E5C4985"/>
    <w:rsid w:val="0E7A5896"/>
    <w:rsid w:val="0EA0127C"/>
    <w:rsid w:val="0EBC177A"/>
    <w:rsid w:val="0ED308B1"/>
    <w:rsid w:val="0EEB6FFF"/>
    <w:rsid w:val="0F6760B8"/>
    <w:rsid w:val="0F6D010C"/>
    <w:rsid w:val="0F735BCE"/>
    <w:rsid w:val="0F911464"/>
    <w:rsid w:val="10516577"/>
    <w:rsid w:val="105A72C5"/>
    <w:rsid w:val="107463E5"/>
    <w:rsid w:val="10C74658"/>
    <w:rsid w:val="10E70644"/>
    <w:rsid w:val="10EF29DA"/>
    <w:rsid w:val="114733D2"/>
    <w:rsid w:val="115B43B6"/>
    <w:rsid w:val="11742577"/>
    <w:rsid w:val="11B7057C"/>
    <w:rsid w:val="11D91672"/>
    <w:rsid w:val="11DE1DC1"/>
    <w:rsid w:val="11DF756D"/>
    <w:rsid w:val="11EC514B"/>
    <w:rsid w:val="11F25627"/>
    <w:rsid w:val="1234148C"/>
    <w:rsid w:val="12371A06"/>
    <w:rsid w:val="123C4ABE"/>
    <w:rsid w:val="12CF5795"/>
    <w:rsid w:val="13061A78"/>
    <w:rsid w:val="130F3B9D"/>
    <w:rsid w:val="13194F30"/>
    <w:rsid w:val="133C6704"/>
    <w:rsid w:val="13543553"/>
    <w:rsid w:val="13630A49"/>
    <w:rsid w:val="13BD3F47"/>
    <w:rsid w:val="13BE1D53"/>
    <w:rsid w:val="13D83915"/>
    <w:rsid w:val="13D9596F"/>
    <w:rsid w:val="13F16A42"/>
    <w:rsid w:val="141605EF"/>
    <w:rsid w:val="144731A8"/>
    <w:rsid w:val="145427FA"/>
    <w:rsid w:val="146D4DCB"/>
    <w:rsid w:val="14926B19"/>
    <w:rsid w:val="14AC3604"/>
    <w:rsid w:val="14DD7CE7"/>
    <w:rsid w:val="14E37374"/>
    <w:rsid w:val="14F21366"/>
    <w:rsid w:val="14FD37CF"/>
    <w:rsid w:val="151F77AB"/>
    <w:rsid w:val="155A1E17"/>
    <w:rsid w:val="1565422D"/>
    <w:rsid w:val="158445F0"/>
    <w:rsid w:val="158A5B65"/>
    <w:rsid w:val="158E0EA0"/>
    <w:rsid w:val="164A6478"/>
    <w:rsid w:val="165E0F95"/>
    <w:rsid w:val="166516F8"/>
    <w:rsid w:val="16C46D32"/>
    <w:rsid w:val="16CB3D75"/>
    <w:rsid w:val="16FF3191"/>
    <w:rsid w:val="17077FD1"/>
    <w:rsid w:val="170A3665"/>
    <w:rsid w:val="17375243"/>
    <w:rsid w:val="17664E76"/>
    <w:rsid w:val="177C7763"/>
    <w:rsid w:val="17900032"/>
    <w:rsid w:val="17927295"/>
    <w:rsid w:val="17B14BF9"/>
    <w:rsid w:val="17BD4979"/>
    <w:rsid w:val="17C52E06"/>
    <w:rsid w:val="17CA36C8"/>
    <w:rsid w:val="17EF090F"/>
    <w:rsid w:val="17FB5A34"/>
    <w:rsid w:val="183D6D9C"/>
    <w:rsid w:val="184360FD"/>
    <w:rsid w:val="1895095F"/>
    <w:rsid w:val="189D479A"/>
    <w:rsid w:val="18A94431"/>
    <w:rsid w:val="18BA03EC"/>
    <w:rsid w:val="18BD7169"/>
    <w:rsid w:val="18CF6494"/>
    <w:rsid w:val="18D1647F"/>
    <w:rsid w:val="18D86D91"/>
    <w:rsid w:val="1908025D"/>
    <w:rsid w:val="191D4766"/>
    <w:rsid w:val="196C1720"/>
    <w:rsid w:val="19CD084B"/>
    <w:rsid w:val="19D6028A"/>
    <w:rsid w:val="19D878BC"/>
    <w:rsid w:val="19E77C11"/>
    <w:rsid w:val="19EF538C"/>
    <w:rsid w:val="19EF6927"/>
    <w:rsid w:val="1A0924D1"/>
    <w:rsid w:val="1A1A391F"/>
    <w:rsid w:val="1A1C0FE1"/>
    <w:rsid w:val="1A851FB4"/>
    <w:rsid w:val="1A88384B"/>
    <w:rsid w:val="1A8E66F5"/>
    <w:rsid w:val="1AD872CD"/>
    <w:rsid w:val="1AD91676"/>
    <w:rsid w:val="1AE70EEC"/>
    <w:rsid w:val="1AEF3094"/>
    <w:rsid w:val="1AFA71C6"/>
    <w:rsid w:val="1AFB4567"/>
    <w:rsid w:val="1B14076F"/>
    <w:rsid w:val="1B565609"/>
    <w:rsid w:val="1B5A4640"/>
    <w:rsid w:val="1B99253B"/>
    <w:rsid w:val="1BA81D0B"/>
    <w:rsid w:val="1BA82F7A"/>
    <w:rsid w:val="1BAD4238"/>
    <w:rsid w:val="1BF464DC"/>
    <w:rsid w:val="1C4D14DD"/>
    <w:rsid w:val="1C612B8E"/>
    <w:rsid w:val="1C7F5BD5"/>
    <w:rsid w:val="1C9F1DD3"/>
    <w:rsid w:val="1CB50917"/>
    <w:rsid w:val="1CCB706C"/>
    <w:rsid w:val="1CCC6940"/>
    <w:rsid w:val="1CEA7476"/>
    <w:rsid w:val="1CF245F9"/>
    <w:rsid w:val="1CFA525B"/>
    <w:rsid w:val="1CFC2CF4"/>
    <w:rsid w:val="1CFC50F9"/>
    <w:rsid w:val="1D8A7DED"/>
    <w:rsid w:val="1DAF4EEB"/>
    <w:rsid w:val="1DBE219A"/>
    <w:rsid w:val="1DBE44DB"/>
    <w:rsid w:val="1DD16F2E"/>
    <w:rsid w:val="1DE975C0"/>
    <w:rsid w:val="1DF3679B"/>
    <w:rsid w:val="1DFB7351"/>
    <w:rsid w:val="1E07540F"/>
    <w:rsid w:val="1EF676C0"/>
    <w:rsid w:val="1F0C32E7"/>
    <w:rsid w:val="1F4F1BB6"/>
    <w:rsid w:val="1F5910C8"/>
    <w:rsid w:val="1F5E0C8E"/>
    <w:rsid w:val="1F7603E0"/>
    <w:rsid w:val="1F812CE9"/>
    <w:rsid w:val="1F886705"/>
    <w:rsid w:val="1F8B42E9"/>
    <w:rsid w:val="1F974EC1"/>
    <w:rsid w:val="1FBF47A2"/>
    <w:rsid w:val="1FFE72CB"/>
    <w:rsid w:val="20062169"/>
    <w:rsid w:val="200D799B"/>
    <w:rsid w:val="20113134"/>
    <w:rsid w:val="2017074E"/>
    <w:rsid w:val="2025071F"/>
    <w:rsid w:val="203F5655"/>
    <w:rsid w:val="20407429"/>
    <w:rsid w:val="20C133F8"/>
    <w:rsid w:val="20F54E29"/>
    <w:rsid w:val="212030D7"/>
    <w:rsid w:val="212874CF"/>
    <w:rsid w:val="213825F5"/>
    <w:rsid w:val="217A0581"/>
    <w:rsid w:val="217E667A"/>
    <w:rsid w:val="218D656F"/>
    <w:rsid w:val="21965976"/>
    <w:rsid w:val="21C51B9B"/>
    <w:rsid w:val="21F93FD6"/>
    <w:rsid w:val="220723E7"/>
    <w:rsid w:val="221657FC"/>
    <w:rsid w:val="22325497"/>
    <w:rsid w:val="224131F3"/>
    <w:rsid w:val="22486578"/>
    <w:rsid w:val="224C6E28"/>
    <w:rsid w:val="22575D40"/>
    <w:rsid w:val="226C09A9"/>
    <w:rsid w:val="229B4DEB"/>
    <w:rsid w:val="22B537C3"/>
    <w:rsid w:val="22BB54C1"/>
    <w:rsid w:val="22CB180A"/>
    <w:rsid w:val="22FA7F98"/>
    <w:rsid w:val="23005595"/>
    <w:rsid w:val="232B2612"/>
    <w:rsid w:val="23482EEF"/>
    <w:rsid w:val="235653D0"/>
    <w:rsid w:val="235D2862"/>
    <w:rsid w:val="23692F0B"/>
    <w:rsid w:val="238C58F1"/>
    <w:rsid w:val="23A41D2F"/>
    <w:rsid w:val="23D42997"/>
    <w:rsid w:val="23DB32E7"/>
    <w:rsid w:val="23E915D2"/>
    <w:rsid w:val="24064469"/>
    <w:rsid w:val="240F3266"/>
    <w:rsid w:val="241B13FE"/>
    <w:rsid w:val="24273C6F"/>
    <w:rsid w:val="24466FD8"/>
    <w:rsid w:val="24661BDD"/>
    <w:rsid w:val="24716EF0"/>
    <w:rsid w:val="248E3FF4"/>
    <w:rsid w:val="249A411D"/>
    <w:rsid w:val="249D6CB2"/>
    <w:rsid w:val="24AD730D"/>
    <w:rsid w:val="24CE08C5"/>
    <w:rsid w:val="252B59D4"/>
    <w:rsid w:val="256C6F17"/>
    <w:rsid w:val="257819E3"/>
    <w:rsid w:val="25A07333"/>
    <w:rsid w:val="26362C80"/>
    <w:rsid w:val="265255B2"/>
    <w:rsid w:val="26C9354C"/>
    <w:rsid w:val="26DE5BEE"/>
    <w:rsid w:val="27273C38"/>
    <w:rsid w:val="27314368"/>
    <w:rsid w:val="273870AC"/>
    <w:rsid w:val="273C6F37"/>
    <w:rsid w:val="275B006D"/>
    <w:rsid w:val="27657964"/>
    <w:rsid w:val="27697725"/>
    <w:rsid w:val="277A4090"/>
    <w:rsid w:val="278A18F4"/>
    <w:rsid w:val="27974397"/>
    <w:rsid w:val="27E15995"/>
    <w:rsid w:val="284343D9"/>
    <w:rsid w:val="28631C5F"/>
    <w:rsid w:val="286A13F2"/>
    <w:rsid w:val="28780AC6"/>
    <w:rsid w:val="288E5833"/>
    <w:rsid w:val="28DD322B"/>
    <w:rsid w:val="28F42A99"/>
    <w:rsid w:val="293526AA"/>
    <w:rsid w:val="293F675B"/>
    <w:rsid w:val="293F7FDE"/>
    <w:rsid w:val="295A2FA1"/>
    <w:rsid w:val="29A22701"/>
    <w:rsid w:val="29BA46F0"/>
    <w:rsid w:val="29C323D4"/>
    <w:rsid w:val="29EC73A5"/>
    <w:rsid w:val="2A0C2A72"/>
    <w:rsid w:val="2A3A42FE"/>
    <w:rsid w:val="2AA10CE0"/>
    <w:rsid w:val="2AAD67A9"/>
    <w:rsid w:val="2AC64CD7"/>
    <w:rsid w:val="2B1271EB"/>
    <w:rsid w:val="2B2331EA"/>
    <w:rsid w:val="2B2E70E5"/>
    <w:rsid w:val="2B30453E"/>
    <w:rsid w:val="2B7E2F46"/>
    <w:rsid w:val="2B835370"/>
    <w:rsid w:val="2BAE26FB"/>
    <w:rsid w:val="2BB46778"/>
    <w:rsid w:val="2BCD0AE0"/>
    <w:rsid w:val="2C134FE1"/>
    <w:rsid w:val="2C154F49"/>
    <w:rsid w:val="2C2514B1"/>
    <w:rsid w:val="2C3B6A04"/>
    <w:rsid w:val="2C3E2C4C"/>
    <w:rsid w:val="2C444745"/>
    <w:rsid w:val="2C5021B7"/>
    <w:rsid w:val="2C8E561B"/>
    <w:rsid w:val="2C932C69"/>
    <w:rsid w:val="2C9F2A67"/>
    <w:rsid w:val="2D157E8F"/>
    <w:rsid w:val="2D1A5BEB"/>
    <w:rsid w:val="2D2170C3"/>
    <w:rsid w:val="2D227DC7"/>
    <w:rsid w:val="2D2845BC"/>
    <w:rsid w:val="2D2E73A1"/>
    <w:rsid w:val="2D4D1439"/>
    <w:rsid w:val="2D956272"/>
    <w:rsid w:val="2D9C188C"/>
    <w:rsid w:val="2D9D410D"/>
    <w:rsid w:val="2DBB27E5"/>
    <w:rsid w:val="2DC34A81"/>
    <w:rsid w:val="2DCF4D6D"/>
    <w:rsid w:val="2DD125B6"/>
    <w:rsid w:val="2DDF2977"/>
    <w:rsid w:val="2E244107"/>
    <w:rsid w:val="2E510491"/>
    <w:rsid w:val="2E5A73E1"/>
    <w:rsid w:val="2E665884"/>
    <w:rsid w:val="2E974B67"/>
    <w:rsid w:val="2ED70F52"/>
    <w:rsid w:val="2EDD3BF4"/>
    <w:rsid w:val="2F1F789F"/>
    <w:rsid w:val="2F397C07"/>
    <w:rsid w:val="2F544FF2"/>
    <w:rsid w:val="2F551226"/>
    <w:rsid w:val="2F6B678F"/>
    <w:rsid w:val="2F984913"/>
    <w:rsid w:val="2FD70501"/>
    <w:rsid w:val="2FE07BE8"/>
    <w:rsid w:val="301F7D8D"/>
    <w:rsid w:val="303643A5"/>
    <w:rsid w:val="303D703D"/>
    <w:rsid w:val="308858C3"/>
    <w:rsid w:val="30B023A9"/>
    <w:rsid w:val="30DB62B6"/>
    <w:rsid w:val="30F73B34"/>
    <w:rsid w:val="31034344"/>
    <w:rsid w:val="31067F47"/>
    <w:rsid w:val="31167EA0"/>
    <w:rsid w:val="311878A1"/>
    <w:rsid w:val="311D4032"/>
    <w:rsid w:val="3121002D"/>
    <w:rsid w:val="31327282"/>
    <w:rsid w:val="3135748D"/>
    <w:rsid w:val="31637517"/>
    <w:rsid w:val="317230B2"/>
    <w:rsid w:val="31AD08B7"/>
    <w:rsid w:val="31B27A3B"/>
    <w:rsid w:val="31DA57DD"/>
    <w:rsid w:val="31ED2820"/>
    <w:rsid w:val="31F84007"/>
    <w:rsid w:val="32024F1D"/>
    <w:rsid w:val="322C3CB1"/>
    <w:rsid w:val="325038E7"/>
    <w:rsid w:val="32523304"/>
    <w:rsid w:val="325658C2"/>
    <w:rsid w:val="328525EA"/>
    <w:rsid w:val="32CE29C2"/>
    <w:rsid w:val="32DF309E"/>
    <w:rsid w:val="32FA5B5D"/>
    <w:rsid w:val="3322684B"/>
    <w:rsid w:val="335A6E0F"/>
    <w:rsid w:val="33625EAA"/>
    <w:rsid w:val="337F0FF3"/>
    <w:rsid w:val="337F6063"/>
    <w:rsid w:val="338B0EAB"/>
    <w:rsid w:val="339E298D"/>
    <w:rsid w:val="33C341A1"/>
    <w:rsid w:val="33DC34B5"/>
    <w:rsid w:val="33EF36DB"/>
    <w:rsid w:val="33FB645A"/>
    <w:rsid w:val="342D5594"/>
    <w:rsid w:val="34340A65"/>
    <w:rsid w:val="345C616D"/>
    <w:rsid w:val="345E27C4"/>
    <w:rsid w:val="34843BE5"/>
    <w:rsid w:val="348557BD"/>
    <w:rsid w:val="34AE30A3"/>
    <w:rsid w:val="34BD4B51"/>
    <w:rsid w:val="34C34E58"/>
    <w:rsid w:val="34D523DE"/>
    <w:rsid w:val="34E872EB"/>
    <w:rsid w:val="35075E5A"/>
    <w:rsid w:val="350E36C5"/>
    <w:rsid w:val="354C2118"/>
    <w:rsid w:val="3558300F"/>
    <w:rsid w:val="35610790"/>
    <w:rsid w:val="35612591"/>
    <w:rsid w:val="35673406"/>
    <w:rsid w:val="35887B8D"/>
    <w:rsid w:val="35AE4476"/>
    <w:rsid w:val="35B03D92"/>
    <w:rsid w:val="35C6441D"/>
    <w:rsid w:val="35CE11B2"/>
    <w:rsid w:val="35D97CAC"/>
    <w:rsid w:val="361502FC"/>
    <w:rsid w:val="36154C88"/>
    <w:rsid w:val="36221A6C"/>
    <w:rsid w:val="36252C67"/>
    <w:rsid w:val="362E092D"/>
    <w:rsid w:val="36386996"/>
    <w:rsid w:val="36601559"/>
    <w:rsid w:val="366942E0"/>
    <w:rsid w:val="368F0B09"/>
    <w:rsid w:val="369A4027"/>
    <w:rsid w:val="369A739E"/>
    <w:rsid w:val="369F4402"/>
    <w:rsid w:val="36B867F8"/>
    <w:rsid w:val="37270840"/>
    <w:rsid w:val="37395321"/>
    <w:rsid w:val="374227A0"/>
    <w:rsid w:val="37490E61"/>
    <w:rsid w:val="376733B8"/>
    <w:rsid w:val="37683313"/>
    <w:rsid w:val="37831F3D"/>
    <w:rsid w:val="37853041"/>
    <w:rsid w:val="378E41FC"/>
    <w:rsid w:val="379E4C02"/>
    <w:rsid w:val="37B05E2A"/>
    <w:rsid w:val="37C5232F"/>
    <w:rsid w:val="37CE7987"/>
    <w:rsid w:val="38045DC1"/>
    <w:rsid w:val="38134014"/>
    <w:rsid w:val="38141C2A"/>
    <w:rsid w:val="388C157E"/>
    <w:rsid w:val="389F2E95"/>
    <w:rsid w:val="38E928FC"/>
    <w:rsid w:val="38F94A57"/>
    <w:rsid w:val="38FB5907"/>
    <w:rsid w:val="392B2444"/>
    <w:rsid w:val="395846F2"/>
    <w:rsid w:val="39AE0FAB"/>
    <w:rsid w:val="39C74071"/>
    <w:rsid w:val="39E130BC"/>
    <w:rsid w:val="3A133427"/>
    <w:rsid w:val="3A3577FF"/>
    <w:rsid w:val="3A465B2C"/>
    <w:rsid w:val="3A4B78A6"/>
    <w:rsid w:val="3A5A7B55"/>
    <w:rsid w:val="3A7255AF"/>
    <w:rsid w:val="3AAC1E33"/>
    <w:rsid w:val="3ABE28CC"/>
    <w:rsid w:val="3B0C3412"/>
    <w:rsid w:val="3B257775"/>
    <w:rsid w:val="3B27770B"/>
    <w:rsid w:val="3B4646D5"/>
    <w:rsid w:val="3B4F0D0C"/>
    <w:rsid w:val="3B540375"/>
    <w:rsid w:val="3B702E61"/>
    <w:rsid w:val="3BC90EF8"/>
    <w:rsid w:val="3BD240C3"/>
    <w:rsid w:val="3BDC7581"/>
    <w:rsid w:val="3C083874"/>
    <w:rsid w:val="3C1634E3"/>
    <w:rsid w:val="3C335C3C"/>
    <w:rsid w:val="3C552BBD"/>
    <w:rsid w:val="3C6476E4"/>
    <w:rsid w:val="3C671A8F"/>
    <w:rsid w:val="3C6C1D6C"/>
    <w:rsid w:val="3C7D6764"/>
    <w:rsid w:val="3CC33464"/>
    <w:rsid w:val="3CDD209D"/>
    <w:rsid w:val="3CEC6E4E"/>
    <w:rsid w:val="3D244AC1"/>
    <w:rsid w:val="3D915D46"/>
    <w:rsid w:val="3D9C262D"/>
    <w:rsid w:val="3DFB14A1"/>
    <w:rsid w:val="3E030866"/>
    <w:rsid w:val="3E035B0F"/>
    <w:rsid w:val="3E1C107E"/>
    <w:rsid w:val="3E265A58"/>
    <w:rsid w:val="3E5842FE"/>
    <w:rsid w:val="3E5D4364"/>
    <w:rsid w:val="3E5E1696"/>
    <w:rsid w:val="3E8D1F7B"/>
    <w:rsid w:val="3E8F0CB7"/>
    <w:rsid w:val="3EB571D9"/>
    <w:rsid w:val="3ECA596B"/>
    <w:rsid w:val="3ED67416"/>
    <w:rsid w:val="3EE55BC4"/>
    <w:rsid w:val="3F19380F"/>
    <w:rsid w:val="3F2006FA"/>
    <w:rsid w:val="3F2E38A2"/>
    <w:rsid w:val="3F502F0B"/>
    <w:rsid w:val="3F551B15"/>
    <w:rsid w:val="3F6B7F51"/>
    <w:rsid w:val="3FBB6142"/>
    <w:rsid w:val="3FC75DC7"/>
    <w:rsid w:val="3FD475BA"/>
    <w:rsid w:val="3FDE44DC"/>
    <w:rsid w:val="400E49F6"/>
    <w:rsid w:val="40291232"/>
    <w:rsid w:val="4031316B"/>
    <w:rsid w:val="407903DC"/>
    <w:rsid w:val="407924B5"/>
    <w:rsid w:val="408706D3"/>
    <w:rsid w:val="40B21825"/>
    <w:rsid w:val="40B44F66"/>
    <w:rsid w:val="40D05741"/>
    <w:rsid w:val="40DA0F23"/>
    <w:rsid w:val="40DC6667"/>
    <w:rsid w:val="40F55A84"/>
    <w:rsid w:val="40FA7E49"/>
    <w:rsid w:val="41472152"/>
    <w:rsid w:val="41606B26"/>
    <w:rsid w:val="41771B49"/>
    <w:rsid w:val="41780CC1"/>
    <w:rsid w:val="41B415CD"/>
    <w:rsid w:val="41DF2AEE"/>
    <w:rsid w:val="420D2A80"/>
    <w:rsid w:val="421A2073"/>
    <w:rsid w:val="422148CB"/>
    <w:rsid w:val="42467367"/>
    <w:rsid w:val="426D1F05"/>
    <w:rsid w:val="426E500B"/>
    <w:rsid w:val="428A5870"/>
    <w:rsid w:val="429574BD"/>
    <w:rsid w:val="42B60A09"/>
    <w:rsid w:val="42DA32B5"/>
    <w:rsid w:val="431247FD"/>
    <w:rsid w:val="433272A7"/>
    <w:rsid w:val="434D6210"/>
    <w:rsid w:val="43507DFC"/>
    <w:rsid w:val="4357075F"/>
    <w:rsid w:val="43670FED"/>
    <w:rsid w:val="43732951"/>
    <w:rsid w:val="43A01BC0"/>
    <w:rsid w:val="43BE5738"/>
    <w:rsid w:val="43C1218D"/>
    <w:rsid w:val="43C33D49"/>
    <w:rsid w:val="43D24560"/>
    <w:rsid w:val="43EA39CC"/>
    <w:rsid w:val="43F80860"/>
    <w:rsid w:val="4402502A"/>
    <w:rsid w:val="44523F0B"/>
    <w:rsid w:val="446077EA"/>
    <w:rsid w:val="446530CB"/>
    <w:rsid w:val="447B7CC7"/>
    <w:rsid w:val="44807500"/>
    <w:rsid w:val="44CB1ED8"/>
    <w:rsid w:val="44D04950"/>
    <w:rsid w:val="450308A1"/>
    <w:rsid w:val="45156827"/>
    <w:rsid w:val="451633F6"/>
    <w:rsid w:val="45575091"/>
    <w:rsid w:val="457E334B"/>
    <w:rsid w:val="45A831F7"/>
    <w:rsid w:val="45D70A28"/>
    <w:rsid w:val="45D81B7C"/>
    <w:rsid w:val="45DE30BD"/>
    <w:rsid w:val="46080375"/>
    <w:rsid w:val="460A2104"/>
    <w:rsid w:val="462961E6"/>
    <w:rsid w:val="4632767D"/>
    <w:rsid w:val="4639421E"/>
    <w:rsid w:val="464512B9"/>
    <w:rsid w:val="46671304"/>
    <w:rsid w:val="46857785"/>
    <w:rsid w:val="46887A7D"/>
    <w:rsid w:val="46A63BDA"/>
    <w:rsid w:val="46B82B63"/>
    <w:rsid w:val="46B90E4C"/>
    <w:rsid w:val="46C6375A"/>
    <w:rsid w:val="470914ED"/>
    <w:rsid w:val="4717429E"/>
    <w:rsid w:val="473079FD"/>
    <w:rsid w:val="4755251A"/>
    <w:rsid w:val="477A7EBA"/>
    <w:rsid w:val="477B4092"/>
    <w:rsid w:val="47DB78B4"/>
    <w:rsid w:val="48435459"/>
    <w:rsid w:val="48512772"/>
    <w:rsid w:val="48514EDE"/>
    <w:rsid w:val="485C4777"/>
    <w:rsid w:val="487D4232"/>
    <w:rsid w:val="48C4145A"/>
    <w:rsid w:val="48CF7144"/>
    <w:rsid w:val="48D616D5"/>
    <w:rsid w:val="490B4AEA"/>
    <w:rsid w:val="49514122"/>
    <w:rsid w:val="4957128A"/>
    <w:rsid w:val="49752D84"/>
    <w:rsid w:val="49D87443"/>
    <w:rsid w:val="49F17862"/>
    <w:rsid w:val="4A1608FD"/>
    <w:rsid w:val="4A230086"/>
    <w:rsid w:val="4A2D0A01"/>
    <w:rsid w:val="4A436914"/>
    <w:rsid w:val="4A971A3B"/>
    <w:rsid w:val="4AB13666"/>
    <w:rsid w:val="4ADD5148"/>
    <w:rsid w:val="4AE41E96"/>
    <w:rsid w:val="4AED7781"/>
    <w:rsid w:val="4B3A109F"/>
    <w:rsid w:val="4B7F53EA"/>
    <w:rsid w:val="4B9107F9"/>
    <w:rsid w:val="4B98016A"/>
    <w:rsid w:val="4B9E34D5"/>
    <w:rsid w:val="4BB20856"/>
    <w:rsid w:val="4BCB2534"/>
    <w:rsid w:val="4BD166D8"/>
    <w:rsid w:val="4BE156B5"/>
    <w:rsid w:val="4BE572F3"/>
    <w:rsid w:val="4BE776C6"/>
    <w:rsid w:val="4BFE5865"/>
    <w:rsid w:val="4C011848"/>
    <w:rsid w:val="4C044814"/>
    <w:rsid w:val="4C1A2BA0"/>
    <w:rsid w:val="4C1D581B"/>
    <w:rsid w:val="4C29373A"/>
    <w:rsid w:val="4C2E6D51"/>
    <w:rsid w:val="4C4174A2"/>
    <w:rsid w:val="4C585A0F"/>
    <w:rsid w:val="4C7A4FA0"/>
    <w:rsid w:val="4CD11285"/>
    <w:rsid w:val="4CF96382"/>
    <w:rsid w:val="4D3C3A61"/>
    <w:rsid w:val="4D4D1254"/>
    <w:rsid w:val="4D4E063D"/>
    <w:rsid w:val="4D790B90"/>
    <w:rsid w:val="4DE04487"/>
    <w:rsid w:val="4DF254C6"/>
    <w:rsid w:val="4E254C81"/>
    <w:rsid w:val="4E380C6E"/>
    <w:rsid w:val="4E4C53B9"/>
    <w:rsid w:val="4E5530AA"/>
    <w:rsid w:val="4E5C1022"/>
    <w:rsid w:val="4E5F400D"/>
    <w:rsid w:val="4E73339F"/>
    <w:rsid w:val="4E8661FD"/>
    <w:rsid w:val="4E9E788D"/>
    <w:rsid w:val="4EB175C0"/>
    <w:rsid w:val="4ED922A8"/>
    <w:rsid w:val="4F33111A"/>
    <w:rsid w:val="4F585C8E"/>
    <w:rsid w:val="4F602D94"/>
    <w:rsid w:val="4F7751AF"/>
    <w:rsid w:val="4F940184"/>
    <w:rsid w:val="4FEF57D7"/>
    <w:rsid w:val="4FF52BAA"/>
    <w:rsid w:val="500100D3"/>
    <w:rsid w:val="50017646"/>
    <w:rsid w:val="500C4858"/>
    <w:rsid w:val="502B04BF"/>
    <w:rsid w:val="503D42C7"/>
    <w:rsid w:val="503E5DFA"/>
    <w:rsid w:val="506D7517"/>
    <w:rsid w:val="50E40C87"/>
    <w:rsid w:val="50FB6272"/>
    <w:rsid w:val="510328D8"/>
    <w:rsid w:val="51072832"/>
    <w:rsid w:val="51122D44"/>
    <w:rsid w:val="51230246"/>
    <w:rsid w:val="514209A3"/>
    <w:rsid w:val="51662B2D"/>
    <w:rsid w:val="51736DAF"/>
    <w:rsid w:val="51A21C47"/>
    <w:rsid w:val="51A60B4C"/>
    <w:rsid w:val="51B869D5"/>
    <w:rsid w:val="51C439CB"/>
    <w:rsid w:val="51F356C8"/>
    <w:rsid w:val="51FC4FF6"/>
    <w:rsid w:val="51FF1AAC"/>
    <w:rsid w:val="52052024"/>
    <w:rsid w:val="520E1F51"/>
    <w:rsid w:val="520F6A58"/>
    <w:rsid w:val="52107A7E"/>
    <w:rsid w:val="52306A34"/>
    <w:rsid w:val="52397FF8"/>
    <w:rsid w:val="52535DFD"/>
    <w:rsid w:val="525C12CD"/>
    <w:rsid w:val="525F2EBE"/>
    <w:rsid w:val="5262211C"/>
    <w:rsid w:val="526B2854"/>
    <w:rsid w:val="526C7972"/>
    <w:rsid w:val="5288688A"/>
    <w:rsid w:val="52BC29D7"/>
    <w:rsid w:val="52C35E78"/>
    <w:rsid w:val="52DE294E"/>
    <w:rsid w:val="52E760A8"/>
    <w:rsid w:val="52FE3650"/>
    <w:rsid w:val="530B5910"/>
    <w:rsid w:val="530C3352"/>
    <w:rsid w:val="531D707B"/>
    <w:rsid w:val="53341DDA"/>
    <w:rsid w:val="53497F05"/>
    <w:rsid w:val="534A2AB7"/>
    <w:rsid w:val="536236BC"/>
    <w:rsid w:val="5382152B"/>
    <w:rsid w:val="53871202"/>
    <w:rsid w:val="5394125E"/>
    <w:rsid w:val="53AF6DF2"/>
    <w:rsid w:val="53C15842"/>
    <w:rsid w:val="53F00B8B"/>
    <w:rsid w:val="541C4E2F"/>
    <w:rsid w:val="542157DA"/>
    <w:rsid w:val="54284764"/>
    <w:rsid w:val="5470418F"/>
    <w:rsid w:val="549D1CCF"/>
    <w:rsid w:val="54AD6A7C"/>
    <w:rsid w:val="54C47921"/>
    <w:rsid w:val="54C72897"/>
    <w:rsid w:val="54DE744F"/>
    <w:rsid w:val="54E50447"/>
    <w:rsid w:val="55456B70"/>
    <w:rsid w:val="55562C6F"/>
    <w:rsid w:val="555B1B85"/>
    <w:rsid w:val="55750D6B"/>
    <w:rsid w:val="559669A1"/>
    <w:rsid w:val="559E35D5"/>
    <w:rsid w:val="55C228D3"/>
    <w:rsid w:val="55C525F4"/>
    <w:rsid w:val="55FF5FDA"/>
    <w:rsid w:val="56017B32"/>
    <w:rsid w:val="560C4EB1"/>
    <w:rsid w:val="560D1E89"/>
    <w:rsid w:val="56242D6E"/>
    <w:rsid w:val="563001AE"/>
    <w:rsid w:val="564E3947"/>
    <w:rsid w:val="5666183E"/>
    <w:rsid w:val="567E091F"/>
    <w:rsid w:val="56933E7B"/>
    <w:rsid w:val="56CB0123"/>
    <w:rsid w:val="56D62524"/>
    <w:rsid w:val="57035587"/>
    <w:rsid w:val="57160908"/>
    <w:rsid w:val="571A1A7B"/>
    <w:rsid w:val="57401D39"/>
    <w:rsid w:val="577416FB"/>
    <w:rsid w:val="5782176E"/>
    <w:rsid w:val="57A01920"/>
    <w:rsid w:val="57A22507"/>
    <w:rsid w:val="57BC2B32"/>
    <w:rsid w:val="57DA2BA1"/>
    <w:rsid w:val="57E93E2C"/>
    <w:rsid w:val="57F40DD1"/>
    <w:rsid w:val="57F956D1"/>
    <w:rsid w:val="57FC26EC"/>
    <w:rsid w:val="58085963"/>
    <w:rsid w:val="5829098B"/>
    <w:rsid w:val="58642D3C"/>
    <w:rsid w:val="58A14202"/>
    <w:rsid w:val="58B35181"/>
    <w:rsid w:val="58EA3588"/>
    <w:rsid w:val="58FA668E"/>
    <w:rsid w:val="59015042"/>
    <w:rsid w:val="590F3861"/>
    <w:rsid w:val="590F5946"/>
    <w:rsid w:val="594B0611"/>
    <w:rsid w:val="59690E37"/>
    <w:rsid w:val="596E412E"/>
    <w:rsid w:val="59732CF3"/>
    <w:rsid w:val="59EC06C3"/>
    <w:rsid w:val="59FF561A"/>
    <w:rsid w:val="5A285312"/>
    <w:rsid w:val="5A6D1A7D"/>
    <w:rsid w:val="5A70455A"/>
    <w:rsid w:val="5A71640A"/>
    <w:rsid w:val="5A7870D1"/>
    <w:rsid w:val="5A7E331D"/>
    <w:rsid w:val="5A982F4B"/>
    <w:rsid w:val="5ACA6B16"/>
    <w:rsid w:val="5ACB434F"/>
    <w:rsid w:val="5AE66844"/>
    <w:rsid w:val="5AED5059"/>
    <w:rsid w:val="5B055EEB"/>
    <w:rsid w:val="5B0B6244"/>
    <w:rsid w:val="5B2979FC"/>
    <w:rsid w:val="5B3D39D4"/>
    <w:rsid w:val="5B447231"/>
    <w:rsid w:val="5B532804"/>
    <w:rsid w:val="5B96130A"/>
    <w:rsid w:val="5C25308B"/>
    <w:rsid w:val="5C4573A4"/>
    <w:rsid w:val="5C5D5374"/>
    <w:rsid w:val="5C6B2AB9"/>
    <w:rsid w:val="5C841E8D"/>
    <w:rsid w:val="5C975A0D"/>
    <w:rsid w:val="5C992482"/>
    <w:rsid w:val="5C9F6CAA"/>
    <w:rsid w:val="5CCA41B3"/>
    <w:rsid w:val="5CCB5CF1"/>
    <w:rsid w:val="5CCC2FE1"/>
    <w:rsid w:val="5CD77D14"/>
    <w:rsid w:val="5CDF3D0B"/>
    <w:rsid w:val="5D035153"/>
    <w:rsid w:val="5D4E6CEA"/>
    <w:rsid w:val="5D57303F"/>
    <w:rsid w:val="5D7A07D2"/>
    <w:rsid w:val="5DCC51F1"/>
    <w:rsid w:val="5E036F3A"/>
    <w:rsid w:val="5E236935"/>
    <w:rsid w:val="5E265920"/>
    <w:rsid w:val="5E347057"/>
    <w:rsid w:val="5E3D70F6"/>
    <w:rsid w:val="5E425C3D"/>
    <w:rsid w:val="5E4F2989"/>
    <w:rsid w:val="5E6A7CB4"/>
    <w:rsid w:val="5E703BD8"/>
    <w:rsid w:val="5E9A1E1F"/>
    <w:rsid w:val="5EA24574"/>
    <w:rsid w:val="5EC048E4"/>
    <w:rsid w:val="5ECD5595"/>
    <w:rsid w:val="5EDB6423"/>
    <w:rsid w:val="5EEE3891"/>
    <w:rsid w:val="5EF36D0A"/>
    <w:rsid w:val="5F430A12"/>
    <w:rsid w:val="5F4657F5"/>
    <w:rsid w:val="5F70492E"/>
    <w:rsid w:val="5F941BE9"/>
    <w:rsid w:val="5FC05F61"/>
    <w:rsid w:val="5FE90D26"/>
    <w:rsid w:val="60390B97"/>
    <w:rsid w:val="60661647"/>
    <w:rsid w:val="60B976A3"/>
    <w:rsid w:val="60D34072"/>
    <w:rsid w:val="60EC6207"/>
    <w:rsid w:val="613627E5"/>
    <w:rsid w:val="61476841"/>
    <w:rsid w:val="6162474A"/>
    <w:rsid w:val="61722B2B"/>
    <w:rsid w:val="61732475"/>
    <w:rsid w:val="617D3332"/>
    <w:rsid w:val="61913D4D"/>
    <w:rsid w:val="61BB1E34"/>
    <w:rsid w:val="61D70C94"/>
    <w:rsid w:val="62171D6B"/>
    <w:rsid w:val="62594DDD"/>
    <w:rsid w:val="626002DF"/>
    <w:rsid w:val="6271555C"/>
    <w:rsid w:val="628932D3"/>
    <w:rsid w:val="62A11B67"/>
    <w:rsid w:val="62AA58E1"/>
    <w:rsid w:val="62AB1EEE"/>
    <w:rsid w:val="63293329"/>
    <w:rsid w:val="632A47AA"/>
    <w:rsid w:val="63366193"/>
    <w:rsid w:val="63466990"/>
    <w:rsid w:val="635772F5"/>
    <w:rsid w:val="637412F7"/>
    <w:rsid w:val="639D7CBB"/>
    <w:rsid w:val="63A42748"/>
    <w:rsid w:val="63A90654"/>
    <w:rsid w:val="63E56AA5"/>
    <w:rsid w:val="63F41D83"/>
    <w:rsid w:val="63F91396"/>
    <w:rsid w:val="640F0F63"/>
    <w:rsid w:val="642B1FF1"/>
    <w:rsid w:val="642C1829"/>
    <w:rsid w:val="642C510C"/>
    <w:rsid w:val="64325DFA"/>
    <w:rsid w:val="647B1063"/>
    <w:rsid w:val="647C5B23"/>
    <w:rsid w:val="64B96D77"/>
    <w:rsid w:val="64BD6867"/>
    <w:rsid w:val="64CB0A9E"/>
    <w:rsid w:val="64E35139"/>
    <w:rsid w:val="64F953C5"/>
    <w:rsid w:val="65111481"/>
    <w:rsid w:val="652A3D62"/>
    <w:rsid w:val="6564778B"/>
    <w:rsid w:val="65691016"/>
    <w:rsid w:val="65767563"/>
    <w:rsid w:val="658F77CF"/>
    <w:rsid w:val="659348BD"/>
    <w:rsid w:val="65A3651C"/>
    <w:rsid w:val="65B55790"/>
    <w:rsid w:val="65B859EC"/>
    <w:rsid w:val="65C72DCF"/>
    <w:rsid w:val="65EE2AFE"/>
    <w:rsid w:val="65F02759"/>
    <w:rsid w:val="66300EA3"/>
    <w:rsid w:val="6646463A"/>
    <w:rsid w:val="664B4A49"/>
    <w:rsid w:val="665F56FC"/>
    <w:rsid w:val="666530BD"/>
    <w:rsid w:val="668B7764"/>
    <w:rsid w:val="66AC046D"/>
    <w:rsid w:val="66E80A0E"/>
    <w:rsid w:val="66F1473C"/>
    <w:rsid w:val="67387A67"/>
    <w:rsid w:val="67575A8D"/>
    <w:rsid w:val="67681B58"/>
    <w:rsid w:val="67890C82"/>
    <w:rsid w:val="678F3DBF"/>
    <w:rsid w:val="67B12081"/>
    <w:rsid w:val="67BF6B6F"/>
    <w:rsid w:val="67C07A13"/>
    <w:rsid w:val="67DE26FC"/>
    <w:rsid w:val="67F46052"/>
    <w:rsid w:val="680622D3"/>
    <w:rsid w:val="68243ABF"/>
    <w:rsid w:val="68644FB0"/>
    <w:rsid w:val="6867292C"/>
    <w:rsid w:val="68A11FFC"/>
    <w:rsid w:val="68C006D4"/>
    <w:rsid w:val="68EB1DD2"/>
    <w:rsid w:val="68F06AD4"/>
    <w:rsid w:val="69181BD9"/>
    <w:rsid w:val="691A3DDD"/>
    <w:rsid w:val="69231DD9"/>
    <w:rsid w:val="6931512E"/>
    <w:rsid w:val="694A1401"/>
    <w:rsid w:val="695F6E2D"/>
    <w:rsid w:val="696A0640"/>
    <w:rsid w:val="697D4817"/>
    <w:rsid w:val="698A6F34"/>
    <w:rsid w:val="69992D2E"/>
    <w:rsid w:val="69A22849"/>
    <w:rsid w:val="69A41AEF"/>
    <w:rsid w:val="69BC61FD"/>
    <w:rsid w:val="69C01116"/>
    <w:rsid w:val="69C67F6C"/>
    <w:rsid w:val="69F93FC7"/>
    <w:rsid w:val="69FC0A7C"/>
    <w:rsid w:val="6A0771B6"/>
    <w:rsid w:val="6A0F21FF"/>
    <w:rsid w:val="6A176054"/>
    <w:rsid w:val="6A1F03EC"/>
    <w:rsid w:val="6A505E2F"/>
    <w:rsid w:val="6A894111"/>
    <w:rsid w:val="6AA70ABD"/>
    <w:rsid w:val="6AAE1F9D"/>
    <w:rsid w:val="6AD420B4"/>
    <w:rsid w:val="6B155E6C"/>
    <w:rsid w:val="6B4F2206"/>
    <w:rsid w:val="6B8B0EDA"/>
    <w:rsid w:val="6B93409C"/>
    <w:rsid w:val="6BB45044"/>
    <w:rsid w:val="6BF42D98"/>
    <w:rsid w:val="6C325467"/>
    <w:rsid w:val="6C371D38"/>
    <w:rsid w:val="6C4C54C4"/>
    <w:rsid w:val="6C562244"/>
    <w:rsid w:val="6C696AEF"/>
    <w:rsid w:val="6C710A9A"/>
    <w:rsid w:val="6C7527A8"/>
    <w:rsid w:val="6C9A5C8A"/>
    <w:rsid w:val="6C9B5D7E"/>
    <w:rsid w:val="6CAC7D63"/>
    <w:rsid w:val="6CC3286D"/>
    <w:rsid w:val="6CD00A4A"/>
    <w:rsid w:val="6CD209D6"/>
    <w:rsid w:val="6CD964A2"/>
    <w:rsid w:val="6CE358B6"/>
    <w:rsid w:val="6CE40709"/>
    <w:rsid w:val="6D21445E"/>
    <w:rsid w:val="6D346135"/>
    <w:rsid w:val="6D4754F7"/>
    <w:rsid w:val="6D4E1456"/>
    <w:rsid w:val="6D556E22"/>
    <w:rsid w:val="6D631F76"/>
    <w:rsid w:val="6D671AA5"/>
    <w:rsid w:val="6D68052A"/>
    <w:rsid w:val="6D77157D"/>
    <w:rsid w:val="6D7A6CF6"/>
    <w:rsid w:val="6D8E3146"/>
    <w:rsid w:val="6DBA01AF"/>
    <w:rsid w:val="6DC5053A"/>
    <w:rsid w:val="6E0B629A"/>
    <w:rsid w:val="6E535B46"/>
    <w:rsid w:val="6E5505E5"/>
    <w:rsid w:val="6E761835"/>
    <w:rsid w:val="6E9A3775"/>
    <w:rsid w:val="6EB72CA6"/>
    <w:rsid w:val="6EE97800"/>
    <w:rsid w:val="6EF14DDF"/>
    <w:rsid w:val="6F1936B5"/>
    <w:rsid w:val="6F2D0F58"/>
    <w:rsid w:val="6F357F71"/>
    <w:rsid w:val="6F613C82"/>
    <w:rsid w:val="6F8B2BA3"/>
    <w:rsid w:val="6F92196C"/>
    <w:rsid w:val="6F9B1553"/>
    <w:rsid w:val="6F9E509F"/>
    <w:rsid w:val="6FA808C0"/>
    <w:rsid w:val="6FB87F9A"/>
    <w:rsid w:val="6FDE429D"/>
    <w:rsid w:val="701C5AC1"/>
    <w:rsid w:val="702E0619"/>
    <w:rsid w:val="704B11CB"/>
    <w:rsid w:val="7056535F"/>
    <w:rsid w:val="706C4C07"/>
    <w:rsid w:val="708625C4"/>
    <w:rsid w:val="70A873C2"/>
    <w:rsid w:val="70B94E05"/>
    <w:rsid w:val="70BF3967"/>
    <w:rsid w:val="70C61071"/>
    <w:rsid w:val="70C861EE"/>
    <w:rsid w:val="70E21403"/>
    <w:rsid w:val="70E96186"/>
    <w:rsid w:val="71265794"/>
    <w:rsid w:val="71440EF8"/>
    <w:rsid w:val="714472B1"/>
    <w:rsid w:val="71483F36"/>
    <w:rsid w:val="714A72CE"/>
    <w:rsid w:val="71607375"/>
    <w:rsid w:val="71D168F3"/>
    <w:rsid w:val="71E84380"/>
    <w:rsid w:val="71F82C1B"/>
    <w:rsid w:val="720C2BDC"/>
    <w:rsid w:val="7218332F"/>
    <w:rsid w:val="721D69A0"/>
    <w:rsid w:val="72286570"/>
    <w:rsid w:val="722B259E"/>
    <w:rsid w:val="724D243B"/>
    <w:rsid w:val="72516958"/>
    <w:rsid w:val="725C51B7"/>
    <w:rsid w:val="72781833"/>
    <w:rsid w:val="727E5BD4"/>
    <w:rsid w:val="72B13D47"/>
    <w:rsid w:val="72B64CDC"/>
    <w:rsid w:val="72FA4DA6"/>
    <w:rsid w:val="72FE4F4A"/>
    <w:rsid w:val="730C4052"/>
    <w:rsid w:val="732400A4"/>
    <w:rsid w:val="736305BE"/>
    <w:rsid w:val="737403DA"/>
    <w:rsid w:val="73775D00"/>
    <w:rsid w:val="73A01EB1"/>
    <w:rsid w:val="73BD4A44"/>
    <w:rsid w:val="73BF3D93"/>
    <w:rsid w:val="73DB1909"/>
    <w:rsid w:val="73E44651"/>
    <w:rsid w:val="742C1037"/>
    <w:rsid w:val="742D247D"/>
    <w:rsid w:val="74645175"/>
    <w:rsid w:val="746A34C2"/>
    <w:rsid w:val="74730950"/>
    <w:rsid w:val="747B7BA5"/>
    <w:rsid w:val="74922A45"/>
    <w:rsid w:val="74AC3F76"/>
    <w:rsid w:val="74B54486"/>
    <w:rsid w:val="74DE3AC0"/>
    <w:rsid w:val="74E35816"/>
    <w:rsid w:val="74F3159E"/>
    <w:rsid w:val="75115158"/>
    <w:rsid w:val="752C0E9F"/>
    <w:rsid w:val="752F25FD"/>
    <w:rsid w:val="753606CB"/>
    <w:rsid w:val="754438E2"/>
    <w:rsid w:val="75484D90"/>
    <w:rsid w:val="756B2F29"/>
    <w:rsid w:val="757E794D"/>
    <w:rsid w:val="7594391E"/>
    <w:rsid w:val="759862A9"/>
    <w:rsid w:val="75B8697D"/>
    <w:rsid w:val="75DC7A82"/>
    <w:rsid w:val="75E176F0"/>
    <w:rsid w:val="76051E1C"/>
    <w:rsid w:val="760859F0"/>
    <w:rsid w:val="760B6D06"/>
    <w:rsid w:val="762828AA"/>
    <w:rsid w:val="763172F6"/>
    <w:rsid w:val="76483F8A"/>
    <w:rsid w:val="765D7838"/>
    <w:rsid w:val="7669422C"/>
    <w:rsid w:val="766D2537"/>
    <w:rsid w:val="76796366"/>
    <w:rsid w:val="768559FC"/>
    <w:rsid w:val="76A2773F"/>
    <w:rsid w:val="76B00445"/>
    <w:rsid w:val="76B15B00"/>
    <w:rsid w:val="76B85F5D"/>
    <w:rsid w:val="76B865B9"/>
    <w:rsid w:val="76BB4582"/>
    <w:rsid w:val="76EC08E6"/>
    <w:rsid w:val="77183F47"/>
    <w:rsid w:val="772877DD"/>
    <w:rsid w:val="773410EC"/>
    <w:rsid w:val="775E105E"/>
    <w:rsid w:val="778854DC"/>
    <w:rsid w:val="778D031B"/>
    <w:rsid w:val="77903967"/>
    <w:rsid w:val="77A411C1"/>
    <w:rsid w:val="77AE0291"/>
    <w:rsid w:val="77C316A6"/>
    <w:rsid w:val="77E37F3B"/>
    <w:rsid w:val="7803238B"/>
    <w:rsid w:val="780A11D3"/>
    <w:rsid w:val="782567A5"/>
    <w:rsid w:val="784D7779"/>
    <w:rsid w:val="7859644F"/>
    <w:rsid w:val="78900FA3"/>
    <w:rsid w:val="789D3E57"/>
    <w:rsid w:val="78BF4C03"/>
    <w:rsid w:val="78C77506"/>
    <w:rsid w:val="78E801F3"/>
    <w:rsid w:val="79030D1A"/>
    <w:rsid w:val="793346B0"/>
    <w:rsid w:val="79864A5B"/>
    <w:rsid w:val="799668CF"/>
    <w:rsid w:val="79A27982"/>
    <w:rsid w:val="79C73CD9"/>
    <w:rsid w:val="79CA729C"/>
    <w:rsid w:val="79CB7624"/>
    <w:rsid w:val="79DB5CC4"/>
    <w:rsid w:val="79EE7A68"/>
    <w:rsid w:val="7A806D0F"/>
    <w:rsid w:val="7A9B68AB"/>
    <w:rsid w:val="7AA64077"/>
    <w:rsid w:val="7ADD397A"/>
    <w:rsid w:val="7AEE3F26"/>
    <w:rsid w:val="7B001609"/>
    <w:rsid w:val="7B6D7A58"/>
    <w:rsid w:val="7B722069"/>
    <w:rsid w:val="7B985B8F"/>
    <w:rsid w:val="7B9D48A5"/>
    <w:rsid w:val="7BC24A25"/>
    <w:rsid w:val="7BCB7049"/>
    <w:rsid w:val="7BD77DB7"/>
    <w:rsid w:val="7C1750A0"/>
    <w:rsid w:val="7C251E94"/>
    <w:rsid w:val="7C317189"/>
    <w:rsid w:val="7C330D65"/>
    <w:rsid w:val="7C4D1E27"/>
    <w:rsid w:val="7C592C47"/>
    <w:rsid w:val="7C620D08"/>
    <w:rsid w:val="7C656269"/>
    <w:rsid w:val="7C8C22AE"/>
    <w:rsid w:val="7CAB4D9F"/>
    <w:rsid w:val="7CBF4EBE"/>
    <w:rsid w:val="7CEF03CB"/>
    <w:rsid w:val="7CF94473"/>
    <w:rsid w:val="7D0C7BFF"/>
    <w:rsid w:val="7D144545"/>
    <w:rsid w:val="7D3354C1"/>
    <w:rsid w:val="7D4B6BE2"/>
    <w:rsid w:val="7D6B6070"/>
    <w:rsid w:val="7D8446CF"/>
    <w:rsid w:val="7D8D75F7"/>
    <w:rsid w:val="7DB67EA0"/>
    <w:rsid w:val="7DDB7472"/>
    <w:rsid w:val="7DE06ED6"/>
    <w:rsid w:val="7E127936"/>
    <w:rsid w:val="7E2E0971"/>
    <w:rsid w:val="7E374363"/>
    <w:rsid w:val="7E494870"/>
    <w:rsid w:val="7E6873EC"/>
    <w:rsid w:val="7E8933F6"/>
    <w:rsid w:val="7EC3172A"/>
    <w:rsid w:val="7ECE3578"/>
    <w:rsid w:val="7EF265F5"/>
    <w:rsid w:val="7F144E7E"/>
    <w:rsid w:val="7F361298"/>
    <w:rsid w:val="7F3948E4"/>
    <w:rsid w:val="7F3A2A76"/>
    <w:rsid w:val="7F637BB3"/>
    <w:rsid w:val="7F651B7D"/>
    <w:rsid w:val="7F6C1DC8"/>
    <w:rsid w:val="7F7E679B"/>
    <w:rsid w:val="7F8E2E82"/>
    <w:rsid w:val="7FAB483B"/>
    <w:rsid w:val="7FC655DB"/>
    <w:rsid w:val="7FCB445E"/>
    <w:rsid w:val="7FCB7FB6"/>
    <w:rsid w:val="7FE568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left="50" w:right="62" w:hanging="50" w:hangingChars="5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autoRedefine/>
    <w:qFormat/>
    <w:uiPriority w:val="0"/>
    <w:pPr>
      <w:keepNext/>
      <w:keepLines/>
      <w:pageBreakBefore/>
      <w:numPr>
        <w:ilvl w:val="0"/>
        <w:numId w:val="1"/>
      </w:numPr>
      <w:adjustRightInd w:val="0"/>
      <w:spacing w:before="340" w:after="330" w:line="900" w:lineRule="exact"/>
      <w:jc w:val="center"/>
      <w:outlineLvl w:val="0"/>
    </w:pPr>
    <w:rPr>
      <w:b/>
      <w:kern w:val="44"/>
      <w:sz w:val="32"/>
      <w:szCs w:val="20"/>
    </w:rPr>
  </w:style>
  <w:style w:type="paragraph" w:styleId="3">
    <w:name w:val="heading 2"/>
    <w:basedOn w:val="1"/>
    <w:next w:val="1"/>
    <w:autoRedefine/>
    <w:qFormat/>
    <w:uiPriority w:val="0"/>
    <w:pPr>
      <w:keepNext/>
      <w:keepLines/>
      <w:spacing w:before="260" w:after="260" w:line="800" w:lineRule="exact"/>
      <w:jc w:val="center"/>
      <w:outlineLvl w:val="1"/>
    </w:pPr>
    <w:rPr>
      <w:b/>
      <w:bCs/>
      <w:sz w:val="30"/>
      <w:szCs w:val="32"/>
    </w:rPr>
  </w:style>
  <w:style w:type="paragraph" w:styleId="4">
    <w:name w:val="heading 3"/>
    <w:basedOn w:val="1"/>
    <w:next w:val="1"/>
    <w:link w:val="8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numPr>
        <w:ilvl w:val="3"/>
        <w:numId w:val="2"/>
      </w:numPr>
      <w:tabs>
        <w:tab w:val="left" w:pos="425"/>
      </w:tabs>
      <w:spacing w:before="280" w:after="290" w:line="376" w:lineRule="auto"/>
      <w:outlineLvl w:val="3"/>
    </w:pPr>
    <w:rPr>
      <w:rFonts w:ascii="Arial" w:hAnsi="Arial" w:eastAsia="黑体"/>
      <w:b/>
      <w:bCs/>
      <w:sz w:val="28"/>
      <w:szCs w:val="28"/>
    </w:rPr>
  </w:style>
  <w:style w:type="paragraph" w:styleId="6">
    <w:name w:val="heading 5"/>
    <w:basedOn w:val="7"/>
    <w:next w:val="8"/>
    <w:autoRedefine/>
    <w:qFormat/>
    <w:uiPriority w:val="0"/>
    <w:pPr>
      <w:outlineLvl w:val="4"/>
    </w:pPr>
  </w:style>
  <w:style w:type="paragraph" w:styleId="9">
    <w:name w:val="heading 6"/>
    <w:basedOn w:val="7"/>
    <w:next w:val="8"/>
    <w:autoRedefine/>
    <w:qFormat/>
    <w:uiPriority w:val="0"/>
    <w:pPr>
      <w:outlineLvl w:val="5"/>
    </w:pPr>
    <w:rPr>
      <w:i/>
    </w:rPr>
  </w:style>
  <w:style w:type="paragraph" w:styleId="10">
    <w:name w:val="heading 7"/>
    <w:basedOn w:val="7"/>
    <w:next w:val="8"/>
    <w:autoRedefine/>
    <w:qFormat/>
    <w:uiPriority w:val="0"/>
    <w:pPr>
      <w:ind w:firstLine="360"/>
      <w:outlineLvl w:val="6"/>
    </w:pPr>
    <w:rPr>
      <w:smallCaps/>
      <w:sz w:val="23"/>
    </w:rPr>
  </w:style>
  <w:style w:type="paragraph" w:styleId="11">
    <w:name w:val="heading 8"/>
    <w:basedOn w:val="7"/>
    <w:next w:val="8"/>
    <w:autoRedefine/>
    <w:qFormat/>
    <w:uiPriority w:val="0"/>
    <w:pPr>
      <w:ind w:firstLine="360"/>
      <w:outlineLvl w:val="7"/>
    </w:pPr>
    <w:rPr>
      <w:i/>
    </w:rPr>
  </w:style>
  <w:style w:type="paragraph" w:styleId="12">
    <w:name w:val="heading 9"/>
    <w:basedOn w:val="7"/>
    <w:next w:val="8"/>
    <w:autoRedefine/>
    <w:qFormat/>
    <w:uiPriority w:val="0"/>
    <w:pPr>
      <w:outlineLvl w:val="8"/>
    </w:pPr>
  </w:style>
  <w:style w:type="character" w:default="1" w:styleId="73">
    <w:name w:val="Default Paragraph Font"/>
    <w:autoRedefine/>
    <w:unhideWhenUsed/>
    <w:qFormat/>
    <w:uiPriority w:val="1"/>
  </w:style>
  <w:style w:type="table" w:default="1" w:styleId="71">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7">
    <w:name w:val="Heading Base"/>
    <w:basedOn w:val="8"/>
    <w:next w:val="8"/>
    <w:autoRedefine/>
    <w:qFormat/>
    <w:uiPriority w:val="0"/>
    <w:pPr>
      <w:keepNext/>
      <w:keepLines/>
      <w:widowControl/>
      <w:overflowPunct w:val="0"/>
      <w:autoSpaceDE w:val="0"/>
      <w:autoSpaceDN w:val="0"/>
      <w:spacing w:after="0" w:line="240" w:lineRule="atLeast"/>
      <w:jc w:val="left"/>
      <w:textAlignment w:val="baseline"/>
    </w:pPr>
    <w:rPr>
      <w:rFonts w:ascii="Garamond" w:hAnsi="Garamond"/>
      <w:kern w:val="20"/>
      <w:sz w:val="20"/>
    </w:rPr>
  </w:style>
  <w:style w:type="paragraph" w:styleId="8">
    <w:name w:val="Body Text"/>
    <w:basedOn w:val="1"/>
    <w:autoRedefine/>
    <w:qFormat/>
    <w:uiPriority w:val="0"/>
    <w:pPr>
      <w:adjustRightInd w:val="0"/>
      <w:spacing w:after="120" w:line="312" w:lineRule="atLeast"/>
    </w:pPr>
    <w:rPr>
      <w:kern w:val="0"/>
      <w:sz w:val="24"/>
      <w:szCs w:val="20"/>
    </w:rPr>
  </w:style>
  <w:style w:type="paragraph" w:styleId="13">
    <w:name w:val="List 3"/>
    <w:basedOn w:val="14"/>
    <w:autoRedefine/>
    <w:qFormat/>
    <w:uiPriority w:val="0"/>
    <w:pPr>
      <w:widowControl/>
      <w:overflowPunct w:val="0"/>
      <w:autoSpaceDE w:val="0"/>
      <w:autoSpaceDN w:val="0"/>
      <w:spacing w:after="240" w:line="240" w:lineRule="atLeast"/>
      <w:ind w:left="1440" w:hanging="360"/>
    </w:pPr>
    <w:rPr>
      <w:rFonts w:ascii="Garamond" w:hAnsi="Garamond"/>
      <w:kern w:val="18"/>
      <w:sz w:val="20"/>
    </w:rPr>
  </w:style>
  <w:style w:type="paragraph" w:styleId="14">
    <w:name w:val="List"/>
    <w:basedOn w:val="1"/>
    <w:autoRedefine/>
    <w:qFormat/>
    <w:uiPriority w:val="0"/>
    <w:pPr>
      <w:adjustRightInd w:val="0"/>
      <w:spacing w:line="312" w:lineRule="atLeast"/>
      <w:ind w:left="420" w:hanging="420"/>
      <w:textAlignment w:val="baseline"/>
    </w:pPr>
    <w:rPr>
      <w:kern w:val="0"/>
      <w:szCs w:val="20"/>
    </w:rPr>
  </w:style>
  <w:style w:type="paragraph" w:styleId="15">
    <w:name w:val="List Number 2"/>
    <w:basedOn w:val="16"/>
    <w:autoRedefine/>
    <w:qFormat/>
    <w:uiPriority w:val="0"/>
    <w:pPr>
      <w:ind w:left="1080"/>
    </w:pPr>
  </w:style>
  <w:style w:type="paragraph" w:styleId="16">
    <w:name w:val="List Number"/>
    <w:basedOn w:val="1"/>
    <w:autoRedefine/>
    <w:qFormat/>
    <w:uiPriority w:val="0"/>
    <w:pPr>
      <w:widowControl/>
      <w:overflowPunct w:val="0"/>
      <w:autoSpaceDE w:val="0"/>
      <w:autoSpaceDN w:val="0"/>
      <w:spacing w:after="240" w:line="240" w:lineRule="atLeast"/>
      <w:ind w:left="720" w:right="720" w:hanging="360" w:firstLineChars="0"/>
    </w:pPr>
    <w:rPr>
      <w:rFonts w:ascii="Garamond" w:hAnsi="Garamond"/>
      <w:kern w:val="18"/>
      <w:sz w:val="20"/>
    </w:rPr>
  </w:style>
  <w:style w:type="paragraph" w:styleId="17">
    <w:name w:val="table of authorities"/>
    <w:basedOn w:val="1"/>
    <w:next w:val="1"/>
    <w:autoRedefine/>
    <w:unhideWhenUsed/>
    <w:qFormat/>
    <w:uiPriority w:val="99"/>
    <w:pPr>
      <w:ind w:left="420" w:leftChars="200"/>
    </w:pPr>
  </w:style>
  <w:style w:type="paragraph" w:styleId="18">
    <w:name w:val="List Bullet 4"/>
    <w:basedOn w:val="19"/>
    <w:autoRedefine/>
    <w:qFormat/>
    <w:uiPriority w:val="0"/>
    <w:pPr>
      <w:ind w:left="1800"/>
    </w:pPr>
  </w:style>
  <w:style w:type="paragraph" w:styleId="19">
    <w:name w:val="List Bullet"/>
    <w:basedOn w:val="14"/>
    <w:autoRedefine/>
    <w:qFormat/>
    <w:uiPriority w:val="0"/>
    <w:pPr>
      <w:widowControl/>
      <w:overflowPunct w:val="0"/>
      <w:autoSpaceDE w:val="0"/>
      <w:autoSpaceDN w:val="0"/>
      <w:spacing w:after="240" w:line="240" w:lineRule="atLeast"/>
      <w:ind w:left="720" w:right="720" w:hanging="360" w:firstLineChars="0"/>
    </w:pPr>
    <w:rPr>
      <w:rFonts w:ascii="Garamond" w:hAnsi="Garamond"/>
      <w:kern w:val="18"/>
      <w:sz w:val="20"/>
    </w:rPr>
  </w:style>
  <w:style w:type="paragraph" w:styleId="20">
    <w:name w:val="Normal Indent"/>
    <w:basedOn w:val="1"/>
    <w:link w:val="82"/>
    <w:autoRedefine/>
    <w:qFormat/>
    <w:uiPriority w:val="0"/>
    <w:pPr>
      <w:ind w:firstLine="420" w:firstLineChars="200"/>
    </w:pPr>
    <w:rPr>
      <w:sz w:val="24"/>
      <w:szCs w:val="20"/>
    </w:rPr>
  </w:style>
  <w:style w:type="paragraph" w:styleId="21">
    <w:name w:val="caption"/>
    <w:basedOn w:val="1"/>
    <w:next w:val="1"/>
    <w:autoRedefine/>
    <w:qFormat/>
    <w:uiPriority w:val="0"/>
    <w:rPr>
      <w:i/>
      <w:spacing w:val="5"/>
    </w:rPr>
  </w:style>
  <w:style w:type="paragraph" w:styleId="22">
    <w:name w:val="envelope address"/>
    <w:basedOn w:val="8"/>
    <w:autoRedefine/>
    <w:qFormat/>
    <w:uiPriority w:val="0"/>
    <w:pPr>
      <w:framePr w:w="7920" w:h="1987" w:hRule="exact" w:hSpace="187" w:vSpace="187" w:wrap="around" w:vAnchor="margin" w:hAnchor="page" w:xAlign="center" w:yAlign="bottom"/>
      <w:widowControl/>
      <w:overflowPunct w:val="0"/>
      <w:autoSpaceDE w:val="0"/>
      <w:autoSpaceDN w:val="0"/>
      <w:spacing w:after="0" w:line="220" w:lineRule="atLeast"/>
      <w:ind w:left="2880"/>
      <w:jc w:val="left"/>
      <w:textAlignment w:val="baseline"/>
    </w:pPr>
    <w:rPr>
      <w:rFonts w:ascii="Garamond" w:hAnsi="Garamond"/>
      <w:kern w:val="18"/>
      <w:sz w:val="20"/>
    </w:rPr>
  </w:style>
  <w:style w:type="paragraph" w:styleId="23">
    <w:name w:val="Document Map"/>
    <w:basedOn w:val="1"/>
    <w:autoRedefine/>
    <w:semiHidden/>
    <w:qFormat/>
    <w:uiPriority w:val="0"/>
    <w:pPr>
      <w:shd w:val="clear" w:color="auto" w:fill="000080"/>
    </w:pPr>
  </w:style>
  <w:style w:type="paragraph" w:styleId="24">
    <w:name w:val="annotation text"/>
    <w:basedOn w:val="1"/>
    <w:link w:val="83"/>
    <w:autoRedefine/>
    <w:qFormat/>
    <w:uiPriority w:val="0"/>
    <w:pPr>
      <w:jc w:val="left"/>
    </w:pPr>
  </w:style>
  <w:style w:type="paragraph" w:styleId="25">
    <w:name w:val="index 6"/>
    <w:basedOn w:val="1"/>
    <w:next w:val="1"/>
    <w:autoRedefine/>
    <w:qFormat/>
    <w:uiPriority w:val="99"/>
    <w:pPr>
      <w:ind w:left="2100"/>
    </w:pPr>
  </w:style>
  <w:style w:type="paragraph" w:styleId="26">
    <w:name w:val="Salutation"/>
    <w:basedOn w:val="1"/>
    <w:next w:val="1"/>
    <w:autoRedefine/>
    <w:qFormat/>
    <w:uiPriority w:val="0"/>
  </w:style>
  <w:style w:type="paragraph" w:styleId="27">
    <w:name w:val="Body Text 3"/>
    <w:basedOn w:val="1"/>
    <w:autoRedefine/>
    <w:qFormat/>
    <w:uiPriority w:val="0"/>
    <w:pPr>
      <w:spacing w:after="120"/>
    </w:pPr>
    <w:rPr>
      <w:sz w:val="16"/>
      <w:szCs w:val="16"/>
    </w:rPr>
  </w:style>
  <w:style w:type="paragraph" w:styleId="28">
    <w:name w:val="Closing"/>
    <w:basedOn w:val="8"/>
    <w:next w:val="29"/>
    <w:autoRedefine/>
    <w:qFormat/>
    <w:uiPriority w:val="0"/>
    <w:pPr>
      <w:keepNext/>
      <w:widowControl/>
      <w:overflowPunct w:val="0"/>
      <w:autoSpaceDE w:val="0"/>
      <w:autoSpaceDN w:val="0"/>
      <w:spacing w:line="240" w:lineRule="atLeast"/>
      <w:ind w:left="4560"/>
      <w:jc w:val="left"/>
      <w:textAlignment w:val="baseline"/>
    </w:pPr>
    <w:rPr>
      <w:rFonts w:ascii="Garamond" w:hAnsi="Garamond"/>
      <w:kern w:val="18"/>
      <w:sz w:val="20"/>
    </w:rPr>
  </w:style>
  <w:style w:type="paragraph" w:customStyle="1" w:styleId="29">
    <w:name w:val="Signature Company Name"/>
    <w:basedOn w:val="30"/>
    <w:next w:val="31"/>
    <w:autoRedefine/>
    <w:qFormat/>
    <w:uiPriority w:val="0"/>
    <w:pPr>
      <w:spacing w:before="0"/>
    </w:pPr>
    <w:rPr>
      <w:caps/>
      <w:sz w:val="21"/>
    </w:rPr>
  </w:style>
  <w:style w:type="paragraph" w:styleId="30">
    <w:name w:val="Signature"/>
    <w:basedOn w:val="8"/>
    <w:autoRedefine/>
    <w:qFormat/>
    <w:uiPriority w:val="0"/>
    <w:pPr>
      <w:keepNext/>
      <w:widowControl/>
      <w:overflowPunct w:val="0"/>
      <w:autoSpaceDE w:val="0"/>
      <w:autoSpaceDN w:val="0"/>
      <w:spacing w:before="660" w:after="0" w:line="240" w:lineRule="atLeast"/>
      <w:ind w:left="4560"/>
      <w:jc w:val="left"/>
      <w:textAlignment w:val="baseline"/>
    </w:pPr>
    <w:rPr>
      <w:rFonts w:ascii="Garamond" w:hAnsi="Garamond"/>
      <w:kern w:val="18"/>
      <w:sz w:val="20"/>
    </w:rPr>
  </w:style>
  <w:style w:type="paragraph" w:customStyle="1" w:styleId="31">
    <w:name w:val="Signature Name"/>
    <w:basedOn w:val="30"/>
    <w:next w:val="32"/>
    <w:autoRedefine/>
    <w:qFormat/>
    <w:uiPriority w:val="0"/>
    <w:pPr>
      <w:spacing w:before="880"/>
    </w:pPr>
  </w:style>
  <w:style w:type="paragraph" w:customStyle="1" w:styleId="32">
    <w:name w:val="Signature Job Title"/>
    <w:basedOn w:val="30"/>
    <w:next w:val="33"/>
    <w:autoRedefine/>
    <w:qFormat/>
    <w:uiPriority w:val="0"/>
    <w:pPr>
      <w:spacing w:before="0"/>
    </w:pPr>
  </w:style>
  <w:style w:type="paragraph" w:customStyle="1" w:styleId="33">
    <w:name w:val="Reference Initials"/>
    <w:basedOn w:val="8"/>
    <w:next w:val="34"/>
    <w:autoRedefine/>
    <w:qFormat/>
    <w:uiPriority w:val="0"/>
    <w:pPr>
      <w:keepNext/>
      <w:keepLines/>
      <w:widowControl/>
      <w:overflowPunct w:val="0"/>
      <w:autoSpaceDE w:val="0"/>
      <w:autoSpaceDN w:val="0"/>
      <w:spacing w:before="220" w:after="0" w:line="240" w:lineRule="atLeast"/>
      <w:jc w:val="left"/>
      <w:textAlignment w:val="baseline"/>
    </w:pPr>
    <w:rPr>
      <w:rFonts w:ascii="Garamond" w:hAnsi="Garamond"/>
      <w:kern w:val="18"/>
      <w:sz w:val="20"/>
    </w:rPr>
  </w:style>
  <w:style w:type="paragraph" w:customStyle="1" w:styleId="34">
    <w:name w:val="Enclosure"/>
    <w:basedOn w:val="8"/>
    <w:next w:val="35"/>
    <w:autoRedefine/>
    <w:qFormat/>
    <w:uiPriority w:val="0"/>
    <w:pPr>
      <w:keepNext/>
      <w:keepLines/>
      <w:widowControl/>
      <w:overflowPunct w:val="0"/>
      <w:autoSpaceDE w:val="0"/>
      <w:autoSpaceDN w:val="0"/>
      <w:spacing w:after="240" w:line="240" w:lineRule="atLeast"/>
      <w:textAlignment w:val="baseline"/>
    </w:pPr>
    <w:rPr>
      <w:rFonts w:ascii="Garamond" w:hAnsi="Garamond"/>
      <w:kern w:val="18"/>
      <w:sz w:val="20"/>
    </w:rPr>
  </w:style>
  <w:style w:type="paragraph" w:customStyle="1" w:styleId="35">
    <w:name w:val="CC"/>
    <w:basedOn w:val="8"/>
    <w:autoRedefine/>
    <w:qFormat/>
    <w:uiPriority w:val="0"/>
    <w:pPr>
      <w:keepLines/>
      <w:widowControl/>
      <w:overflowPunct w:val="0"/>
      <w:autoSpaceDE w:val="0"/>
      <w:autoSpaceDN w:val="0"/>
      <w:spacing w:after="240" w:line="240" w:lineRule="atLeast"/>
      <w:ind w:left="360" w:hanging="360"/>
      <w:jc w:val="left"/>
      <w:textAlignment w:val="baseline"/>
    </w:pPr>
    <w:rPr>
      <w:rFonts w:ascii="Garamond" w:hAnsi="Garamond"/>
      <w:kern w:val="18"/>
      <w:sz w:val="20"/>
    </w:rPr>
  </w:style>
  <w:style w:type="paragraph" w:styleId="36">
    <w:name w:val="List Bullet 3"/>
    <w:basedOn w:val="19"/>
    <w:autoRedefine/>
    <w:qFormat/>
    <w:uiPriority w:val="0"/>
    <w:pPr>
      <w:ind w:left="1440"/>
    </w:pPr>
  </w:style>
  <w:style w:type="paragraph" w:styleId="37">
    <w:name w:val="Body Text Indent"/>
    <w:basedOn w:val="1"/>
    <w:autoRedefine/>
    <w:qFormat/>
    <w:uiPriority w:val="0"/>
    <w:pPr>
      <w:spacing w:after="120"/>
      <w:ind w:left="420" w:leftChars="200"/>
    </w:pPr>
  </w:style>
  <w:style w:type="paragraph" w:styleId="38">
    <w:name w:val="List Number 3"/>
    <w:basedOn w:val="16"/>
    <w:autoRedefine/>
    <w:qFormat/>
    <w:uiPriority w:val="0"/>
    <w:pPr>
      <w:ind w:left="1440"/>
    </w:pPr>
  </w:style>
  <w:style w:type="paragraph" w:styleId="39">
    <w:name w:val="List 2"/>
    <w:basedOn w:val="14"/>
    <w:autoRedefine/>
    <w:qFormat/>
    <w:uiPriority w:val="0"/>
    <w:pPr>
      <w:widowControl/>
      <w:overflowPunct w:val="0"/>
      <w:autoSpaceDE w:val="0"/>
      <w:autoSpaceDN w:val="0"/>
      <w:spacing w:after="240" w:line="240" w:lineRule="atLeast"/>
      <w:ind w:left="1080" w:hanging="360"/>
    </w:pPr>
    <w:rPr>
      <w:rFonts w:ascii="Garamond" w:hAnsi="Garamond"/>
      <w:kern w:val="18"/>
      <w:sz w:val="20"/>
    </w:rPr>
  </w:style>
  <w:style w:type="paragraph" w:styleId="40">
    <w:name w:val="List Continue"/>
    <w:basedOn w:val="14"/>
    <w:autoRedefine/>
    <w:qFormat/>
    <w:uiPriority w:val="0"/>
    <w:pPr>
      <w:widowControl/>
      <w:overflowPunct w:val="0"/>
      <w:autoSpaceDE w:val="0"/>
      <w:autoSpaceDN w:val="0"/>
      <w:spacing w:after="240" w:line="240" w:lineRule="atLeast"/>
      <w:ind w:left="720" w:right="720" w:firstLine="0"/>
    </w:pPr>
    <w:rPr>
      <w:rFonts w:ascii="Garamond" w:hAnsi="Garamond"/>
      <w:kern w:val="18"/>
      <w:sz w:val="20"/>
    </w:rPr>
  </w:style>
  <w:style w:type="paragraph" w:styleId="41">
    <w:name w:val="Block Text"/>
    <w:basedOn w:val="1"/>
    <w:autoRedefine/>
    <w:qFormat/>
    <w:uiPriority w:val="0"/>
    <w:pPr>
      <w:adjustRightInd w:val="0"/>
      <w:spacing w:line="312" w:lineRule="atLeast"/>
      <w:ind w:left="113" w:right="113"/>
      <w:jc w:val="center"/>
      <w:textAlignment w:val="baseline"/>
    </w:pPr>
    <w:rPr>
      <w:rFonts w:eastAsia="隶书"/>
      <w:kern w:val="0"/>
      <w:sz w:val="28"/>
      <w:szCs w:val="20"/>
    </w:rPr>
  </w:style>
  <w:style w:type="paragraph" w:styleId="42">
    <w:name w:val="List Bullet 2"/>
    <w:basedOn w:val="19"/>
    <w:autoRedefine/>
    <w:qFormat/>
    <w:uiPriority w:val="0"/>
    <w:pPr>
      <w:ind w:left="1080"/>
    </w:pPr>
  </w:style>
  <w:style w:type="paragraph" w:styleId="43">
    <w:name w:val="toc 3"/>
    <w:basedOn w:val="1"/>
    <w:next w:val="1"/>
    <w:autoRedefine/>
    <w:semiHidden/>
    <w:qFormat/>
    <w:uiPriority w:val="0"/>
    <w:pPr>
      <w:ind w:left="840" w:leftChars="400"/>
    </w:pPr>
  </w:style>
  <w:style w:type="paragraph" w:styleId="44">
    <w:name w:val="Plain Text"/>
    <w:basedOn w:val="1"/>
    <w:link w:val="84"/>
    <w:autoRedefine/>
    <w:qFormat/>
    <w:uiPriority w:val="0"/>
    <w:rPr>
      <w:rFonts w:ascii="宋体" w:hAnsi="Courier New" w:cs="Courier New"/>
      <w:szCs w:val="21"/>
    </w:rPr>
  </w:style>
  <w:style w:type="paragraph" w:styleId="45">
    <w:name w:val="List Bullet 5"/>
    <w:basedOn w:val="19"/>
    <w:autoRedefine/>
    <w:qFormat/>
    <w:uiPriority w:val="0"/>
    <w:pPr>
      <w:ind w:left="2160"/>
    </w:pPr>
  </w:style>
  <w:style w:type="paragraph" w:styleId="46">
    <w:name w:val="List Number 4"/>
    <w:basedOn w:val="16"/>
    <w:autoRedefine/>
    <w:qFormat/>
    <w:uiPriority w:val="0"/>
    <w:pPr>
      <w:ind w:left="1800"/>
    </w:pPr>
  </w:style>
  <w:style w:type="paragraph" w:styleId="47">
    <w:name w:val="Date"/>
    <w:basedOn w:val="1"/>
    <w:next w:val="1"/>
    <w:link w:val="85"/>
    <w:autoRedefine/>
    <w:qFormat/>
    <w:uiPriority w:val="0"/>
    <w:pPr>
      <w:ind w:left="100" w:leftChars="2500"/>
    </w:pPr>
    <w:rPr>
      <w:b/>
      <w:spacing w:val="40"/>
      <w:sz w:val="44"/>
      <w:szCs w:val="44"/>
    </w:rPr>
  </w:style>
  <w:style w:type="paragraph" w:styleId="48">
    <w:name w:val="Body Text Indent 2"/>
    <w:basedOn w:val="1"/>
    <w:autoRedefine/>
    <w:qFormat/>
    <w:uiPriority w:val="0"/>
    <w:pPr>
      <w:spacing w:after="120" w:line="480" w:lineRule="auto"/>
      <w:ind w:left="420" w:leftChars="200"/>
    </w:pPr>
  </w:style>
  <w:style w:type="paragraph" w:styleId="49">
    <w:name w:val="List Continue 5"/>
    <w:basedOn w:val="40"/>
    <w:autoRedefine/>
    <w:qFormat/>
    <w:uiPriority w:val="0"/>
    <w:pPr>
      <w:ind w:left="2160"/>
    </w:pPr>
  </w:style>
  <w:style w:type="paragraph" w:styleId="50">
    <w:name w:val="Balloon Text"/>
    <w:basedOn w:val="1"/>
    <w:autoRedefine/>
    <w:semiHidden/>
    <w:qFormat/>
    <w:uiPriority w:val="0"/>
    <w:rPr>
      <w:sz w:val="18"/>
      <w:szCs w:val="18"/>
    </w:rPr>
  </w:style>
  <w:style w:type="paragraph" w:styleId="51">
    <w:name w:val="footer"/>
    <w:basedOn w:val="1"/>
    <w:link w:val="86"/>
    <w:autoRedefine/>
    <w:qFormat/>
    <w:uiPriority w:val="99"/>
    <w:pPr>
      <w:tabs>
        <w:tab w:val="center" w:pos="4153"/>
        <w:tab w:val="right" w:pos="8306"/>
      </w:tabs>
      <w:snapToGrid w:val="0"/>
      <w:jc w:val="left"/>
    </w:pPr>
    <w:rPr>
      <w:sz w:val="18"/>
      <w:szCs w:val="18"/>
    </w:rPr>
  </w:style>
  <w:style w:type="paragraph" w:styleId="52">
    <w:name w:val="envelope return"/>
    <w:basedOn w:val="8"/>
    <w:autoRedefine/>
    <w:qFormat/>
    <w:uiPriority w:val="0"/>
    <w:pPr>
      <w:widowControl/>
      <w:overflowPunct w:val="0"/>
      <w:autoSpaceDE w:val="0"/>
      <w:autoSpaceDN w:val="0"/>
      <w:spacing w:after="0" w:line="240" w:lineRule="atLeast"/>
      <w:jc w:val="left"/>
      <w:textAlignment w:val="baseline"/>
    </w:pPr>
    <w:rPr>
      <w:rFonts w:ascii="Garamond" w:hAnsi="Garamond"/>
      <w:caps/>
      <w:spacing w:val="30"/>
      <w:sz w:val="15"/>
    </w:rPr>
  </w:style>
  <w:style w:type="paragraph" w:styleId="53">
    <w:name w:val="toc 1"/>
    <w:basedOn w:val="1"/>
    <w:next w:val="1"/>
    <w:autoRedefine/>
    <w:semiHidden/>
    <w:qFormat/>
    <w:uiPriority w:val="0"/>
  </w:style>
  <w:style w:type="paragraph" w:styleId="54">
    <w:name w:val="List Continue 4"/>
    <w:basedOn w:val="40"/>
    <w:autoRedefine/>
    <w:qFormat/>
    <w:uiPriority w:val="0"/>
    <w:pPr>
      <w:ind w:left="1800"/>
    </w:pPr>
  </w:style>
  <w:style w:type="paragraph" w:styleId="55">
    <w:name w:val="index heading"/>
    <w:basedOn w:val="1"/>
    <w:next w:val="56"/>
    <w:autoRedefine/>
    <w:qFormat/>
    <w:uiPriority w:val="0"/>
  </w:style>
  <w:style w:type="paragraph" w:styleId="56">
    <w:name w:val="index 1"/>
    <w:basedOn w:val="1"/>
    <w:next w:val="1"/>
    <w:autoRedefine/>
    <w:qFormat/>
    <w:uiPriority w:val="0"/>
    <w:pPr>
      <w:spacing w:line="240" w:lineRule="auto"/>
      <w:ind w:left="0" w:right="0" w:firstLine="0" w:firstLineChars="0"/>
    </w:pPr>
    <w:rPr>
      <w:rFonts w:ascii="Calibri" w:hAnsi="Calibri" w:cs="Calibri"/>
      <w:szCs w:val="21"/>
    </w:rPr>
  </w:style>
  <w:style w:type="paragraph" w:styleId="57">
    <w:name w:val="List Number 5"/>
    <w:basedOn w:val="16"/>
    <w:autoRedefine/>
    <w:qFormat/>
    <w:uiPriority w:val="0"/>
    <w:pPr>
      <w:ind w:left="2160"/>
    </w:pPr>
  </w:style>
  <w:style w:type="paragraph" w:styleId="58">
    <w:name w:val="footnote text"/>
    <w:basedOn w:val="1"/>
    <w:autoRedefine/>
    <w:qFormat/>
    <w:uiPriority w:val="99"/>
    <w:pPr>
      <w:adjustRightInd w:val="0"/>
      <w:spacing w:line="312" w:lineRule="atLeast"/>
      <w:jc w:val="left"/>
      <w:textAlignment w:val="baseline"/>
    </w:pPr>
    <w:rPr>
      <w:kern w:val="0"/>
      <w:sz w:val="18"/>
      <w:szCs w:val="20"/>
    </w:rPr>
  </w:style>
  <w:style w:type="paragraph" w:styleId="59">
    <w:name w:val="toc 6"/>
    <w:basedOn w:val="1"/>
    <w:next w:val="1"/>
    <w:autoRedefine/>
    <w:qFormat/>
    <w:uiPriority w:val="0"/>
    <w:pPr>
      <w:ind w:left="1400"/>
    </w:pPr>
    <w:rPr>
      <w:rFonts w:ascii="Calibri"/>
      <w:sz w:val="18"/>
      <w:szCs w:val="18"/>
    </w:rPr>
  </w:style>
  <w:style w:type="paragraph" w:styleId="60">
    <w:name w:val="List 5"/>
    <w:basedOn w:val="14"/>
    <w:autoRedefine/>
    <w:qFormat/>
    <w:uiPriority w:val="0"/>
    <w:pPr>
      <w:widowControl/>
      <w:overflowPunct w:val="0"/>
      <w:autoSpaceDE w:val="0"/>
      <w:autoSpaceDN w:val="0"/>
      <w:spacing w:after="240" w:line="240" w:lineRule="atLeast"/>
      <w:ind w:left="2160" w:hanging="360"/>
    </w:pPr>
    <w:rPr>
      <w:rFonts w:ascii="Garamond" w:hAnsi="Garamond"/>
      <w:kern w:val="18"/>
      <w:sz w:val="20"/>
    </w:rPr>
  </w:style>
  <w:style w:type="paragraph" w:styleId="61">
    <w:name w:val="Body Text Indent 3"/>
    <w:basedOn w:val="1"/>
    <w:autoRedefine/>
    <w:qFormat/>
    <w:uiPriority w:val="0"/>
    <w:pPr>
      <w:spacing w:after="120"/>
      <w:ind w:left="420" w:leftChars="200"/>
    </w:pPr>
    <w:rPr>
      <w:sz w:val="16"/>
      <w:szCs w:val="16"/>
    </w:rPr>
  </w:style>
  <w:style w:type="paragraph" w:styleId="62">
    <w:name w:val="toc 2"/>
    <w:basedOn w:val="1"/>
    <w:next w:val="1"/>
    <w:autoRedefine/>
    <w:semiHidden/>
    <w:qFormat/>
    <w:uiPriority w:val="0"/>
    <w:pPr>
      <w:ind w:left="420" w:leftChars="200"/>
    </w:pPr>
  </w:style>
  <w:style w:type="paragraph" w:styleId="63">
    <w:name w:val="Body Text 2"/>
    <w:basedOn w:val="1"/>
    <w:autoRedefine/>
    <w:qFormat/>
    <w:uiPriority w:val="0"/>
    <w:pPr>
      <w:spacing w:after="120" w:line="480" w:lineRule="auto"/>
    </w:pPr>
  </w:style>
  <w:style w:type="paragraph" w:styleId="64">
    <w:name w:val="List 4"/>
    <w:basedOn w:val="14"/>
    <w:autoRedefine/>
    <w:qFormat/>
    <w:uiPriority w:val="0"/>
    <w:pPr>
      <w:widowControl/>
      <w:overflowPunct w:val="0"/>
      <w:autoSpaceDE w:val="0"/>
      <w:autoSpaceDN w:val="0"/>
      <w:spacing w:after="240" w:line="240" w:lineRule="atLeast"/>
      <w:ind w:left="1800" w:hanging="360"/>
    </w:pPr>
    <w:rPr>
      <w:rFonts w:ascii="Garamond" w:hAnsi="Garamond"/>
      <w:kern w:val="18"/>
      <w:sz w:val="20"/>
    </w:rPr>
  </w:style>
  <w:style w:type="paragraph" w:styleId="65">
    <w:name w:val="List Continue 2"/>
    <w:basedOn w:val="40"/>
    <w:autoRedefine/>
    <w:qFormat/>
    <w:uiPriority w:val="0"/>
    <w:pPr>
      <w:ind w:left="1080"/>
    </w:pPr>
  </w:style>
  <w:style w:type="paragraph" w:styleId="66">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67">
    <w:name w:val="List Continue 3"/>
    <w:basedOn w:val="40"/>
    <w:autoRedefine/>
    <w:qFormat/>
    <w:uiPriority w:val="0"/>
    <w:pPr>
      <w:ind w:left="1440"/>
    </w:pPr>
  </w:style>
  <w:style w:type="paragraph" w:styleId="68">
    <w:name w:val="annotation subject"/>
    <w:basedOn w:val="24"/>
    <w:next w:val="24"/>
    <w:link w:val="87"/>
    <w:autoRedefine/>
    <w:qFormat/>
    <w:uiPriority w:val="0"/>
    <w:rPr>
      <w:b/>
      <w:bCs/>
    </w:rPr>
  </w:style>
  <w:style w:type="paragraph" w:styleId="69">
    <w:name w:val="Body Text First Indent"/>
    <w:basedOn w:val="8"/>
    <w:next w:val="59"/>
    <w:autoRedefine/>
    <w:qFormat/>
    <w:uiPriority w:val="0"/>
    <w:pPr>
      <w:adjustRightInd/>
      <w:spacing w:line="240" w:lineRule="auto"/>
      <w:ind w:firstLine="420" w:firstLineChars="100"/>
    </w:pPr>
    <w:rPr>
      <w:kern w:val="2"/>
      <w:sz w:val="21"/>
      <w:szCs w:val="24"/>
    </w:rPr>
  </w:style>
  <w:style w:type="paragraph" w:styleId="70">
    <w:name w:val="Body Text First Indent 2"/>
    <w:basedOn w:val="37"/>
    <w:autoRedefine/>
    <w:qFormat/>
    <w:uiPriority w:val="0"/>
    <w:pPr>
      <w:ind w:firstLine="420" w:firstLineChars="200"/>
    </w:pPr>
  </w:style>
  <w:style w:type="table" w:styleId="72">
    <w:name w:val="Table Grid"/>
    <w:basedOn w:val="7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4">
    <w:name w:val="Strong"/>
    <w:basedOn w:val="73"/>
    <w:autoRedefine/>
    <w:qFormat/>
    <w:uiPriority w:val="0"/>
    <w:rPr>
      <w:b/>
    </w:rPr>
  </w:style>
  <w:style w:type="character" w:styleId="75">
    <w:name w:val="page number"/>
    <w:basedOn w:val="73"/>
    <w:autoRedefine/>
    <w:qFormat/>
    <w:uiPriority w:val="0"/>
  </w:style>
  <w:style w:type="character" w:styleId="76">
    <w:name w:val="Emphasis"/>
    <w:autoRedefine/>
    <w:qFormat/>
    <w:uiPriority w:val="0"/>
    <w:rPr>
      <w:caps/>
      <w:sz w:val="18"/>
    </w:rPr>
  </w:style>
  <w:style w:type="character" w:styleId="77">
    <w:name w:val="line number"/>
    <w:autoRedefine/>
    <w:qFormat/>
    <w:uiPriority w:val="0"/>
    <w:rPr>
      <w:rFonts w:ascii="Garamond" w:hAnsi="Garamond"/>
      <w:sz w:val="21"/>
    </w:rPr>
  </w:style>
  <w:style w:type="character" w:styleId="78">
    <w:name w:val="Hyperlink"/>
    <w:autoRedefine/>
    <w:qFormat/>
    <w:uiPriority w:val="0"/>
    <w:rPr>
      <w:color w:val="0000FF"/>
      <w:u w:val="single"/>
    </w:rPr>
  </w:style>
  <w:style w:type="character" w:styleId="79">
    <w:name w:val="annotation reference"/>
    <w:autoRedefine/>
    <w:qFormat/>
    <w:uiPriority w:val="0"/>
    <w:rPr>
      <w:sz w:val="21"/>
      <w:szCs w:val="21"/>
    </w:rPr>
  </w:style>
  <w:style w:type="character" w:customStyle="1" w:styleId="80">
    <w:name w:val="标题 1 Char"/>
    <w:link w:val="2"/>
    <w:autoRedefine/>
    <w:qFormat/>
    <w:uiPriority w:val="0"/>
    <w:rPr>
      <w:rFonts w:ascii="Times New Roman" w:hAnsi="Times New Roman"/>
      <w:b/>
      <w:kern w:val="44"/>
      <w:sz w:val="32"/>
    </w:rPr>
  </w:style>
  <w:style w:type="character" w:customStyle="1" w:styleId="81">
    <w:name w:val="标题 3 字符"/>
    <w:basedOn w:val="73"/>
    <w:link w:val="4"/>
    <w:autoRedefine/>
    <w:qFormat/>
    <w:uiPriority w:val="0"/>
    <w:rPr>
      <w:b/>
      <w:bCs/>
      <w:sz w:val="32"/>
      <w:szCs w:val="32"/>
    </w:rPr>
  </w:style>
  <w:style w:type="character" w:customStyle="1" w:styleId="82">
    <w:name w:val="正文缩进 Char"/>
    <w:link w:val="20"/>
    <w:autoRedefine/>
    <w:qFormat/>
    <w:locked/>
    <w:uiPriority w:val="0"/>
    <w:rPr>
      <w:rFonts w:eastAsia="宋体"/>
      <w:kern w:val="2"/>
      <w:sz w:val="24"/>
      <w:lang w:val="en-US" w:eastAsia="zh-CN" w:bidi="ar-SA"/>
    </w:rPr>
  </w:style>
  <w:style w:type="character" w:customStyle="1" w:styleId="83">
    <w:name w:val="批注文字 Char"/>
    <w:link w:val="24"/>
    <w:autoRedefine/>
    <w:qFormat/>
    <w:uiPriority w:val="0"/>
    <w:rPr>
      <w:kern w:val="2"/>
      <w:sz w:val="21"/>
      <w:szCs w:val="24"/>
    </w:rPr>
  </w:style>
  <w:style w:type="character" w:customStyle="1" w:styleId="84">
    <w:name w:val="纯文本 Char1"/>
    <w:link w:val="44"/>
    <w:autoRedefine/>
    <w:qFormat/>
    <w:uiPriority w:val="0"/>
    <w:rPr>
      <w:rFonts w:ascii="宋体" w:hAnsi="Courier New" w:eastAsia="宋体" w:cs="Courier New"/>
      <w:kern w:val="2"/>
      <w:sz w:val="21"/>
      <w:szCs w:val="21"/>
      <w:lang w:val="en-US" w:eastAsia="zh-CN" w:bidi="ar-SA"/>
    </w:rPr>
  </w:style>
  <w:style w:type="character" w:customStyle="1" w:styleId="85">
    <w:name w:val="日期 Char"/>
    <w:link w:val="47"/>
    <w:autoRedefine/>
    <w:qFormat/>
    <w:uiPriority w:val="0"/>
    <w:rPr>
      <w:rFonts w:eastAsia="宋体"/>
      <w:b/>
      <w:spacing w:val="40"/>
      <w:kern w:val="2"/>
      <w:sz w:val="44"/>
      <w:szCs w:val="44"/>
      <w:lang w:val="en-US" w:eastAsia="zh-CN" w:bidi="ar-SA"/>
    </w:rPr>
  </w:style>
  <w:style w:type="character" w:customStyle="1" w:styleId="86">
    <w:name w:val="页脚 Char"/>
    <w:link w:val="51"/>
    <w:autoRedefine/>
    <w:qFormat/>
    <w:uiPriority w:val="99"/>
    <w:rPr>
      <w:kern w:val="2"/>
      <w:sz w:val="18"/>
      <w:szCs w:val="18"/>
    </w:rPr>
  </w:style>
  <w:style w:type="character" w:customStyle="1" w:styleId="87">
    <w:name w:val="批注主题 Char"/>
    <w:link w:val="68"/>
    <w:autoRedefine/>
    <w:qFormat/>
    <w:uiPriority w:val="0"/>
    <w:rPr>
      <w:b/>
      <w:bCs/>
      <w:kern w:val="2"/>
      <w:sz w:val="21"/>
      <w:szCs w:val="24"/>
    </w:rPr>
  </w:style>
  <w:style w:type="paragraph" w:customStyle="1" w:styleId="88">
    <w:name w:val="正"/>
    <w:basedOn w:val="89"/>
    <w:autoRedefine/>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89">
    <w:name w:val="正文_1"/>
    <w:next w:val="88"/>
    <w:autoRedefine/>
    <w:qFormat/>
    <w:uiPriority w:val="0"/>
    <w:pPr>
      <w:widowControl w:val="0"/>
      <w:suppressAutoHyphens/>
      <w:jc w:val="both"/>
    </w:pPr>
    <w:rPr>
      <w:rFonts w:ascii="Calibri" w:hAnsi="Calibri" w:eastAsia="方正仿宋_GB2312" w:cs="Calibri"/>
      <w:kern w:val="2"/>
      <w:sz w:val="21"/>
      <w:szCs w:val="21"/>
      <w:lang w:val="en-US" w:eastAsia="zh-CN" w:bidi="ar-SA"/>
    </w:rPr>
  </w:style>
  <w:style w:type="character" w:customStyle="1" w:styleId="90">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1">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Char1 Char Char Char Char"/>
    <w:basedOn w:val="1"/>
    <w:autoRedefine/>
    <w:qFormat/>
    <w:uiPriority w:val="0"/>
  </w:style>
  <w:style w:type="paragraph" w:customStyle="1" w:styleId="93">
    <w:name w:val="Picture"/>
    <w:basedOn w:val="1"/>
    <w:next w:val="21"/>
    <w:autoRedefine/>
    <w:qFormat/>
    <w:uiPriority w:val="0"/>
    <w:pPr>
      <w:keepNext/>
      <w:widowControl/>
      <w:overflowPunct w:val="0"/>
      <w:autoSpaceDE w:val="0"/>
      <w:autoSpaceDN w:val="0"/>
      <w:adjustRightInd w:val="0"/>
      <w:textAlignment w:val="baseline"/>
    </w:pPr>
    <w:rPr>
      <w:rFonts w:ascii="Garamond" w:hAnsi="Garamond"/>
      <w:kern w:val="18"/>
      <w:sz w:val="20"/>
      <w:szCs w:val="20"/>
    </w:rPr>
  </w:style>
  <w:style w:type="paragraph" w:customStyle="1" w:styleId="94">
    <w:name w:val="段"/>
    <w:next w:val="1"/>
    <w:link w:val="95"/>
    <w:autoRedefine/>
    <w:qFormat/>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character" w:customStyle="1" w:styleId="95">
    <w:name w:val="段 Char"/>
    <w:link w:val="94"/>
    <w:autoRedefine/>
    <w:qFormat/>
    <w:uiPriority w:val="0"/>
    <w:rPr>
      <w:rFonts w:ascii="宋体"/>
      <w:sz w:val="21"/>
      <w:lang w:val="en-US" w:eastAsia="zh-CN" w:bidi="ar-SA"/>
    </w:rPr>
  </w:style>
  <w:style w:type="paragraph" w:customStyle="1" w:styleId="96">
    <w:name w:val="标题 3 + 宋体"/>
    <w:basedOn w:val="3"/>
    <w:autoRedefine/>
    <w:qFormat/>
    <w:uiPriority w:val="0"/>
    <w:pPr>
      <w:spacing w:beforeLines="50" w:afterLines="50" w:line="416" w:lineRule="auto"/>
      <w:jc w:val="both"/>
    </w:pPr>
    <w:rPr>
      <w:rFonts w:ascii="宋体" w:hAnsi="宋体" w:cs="Arial"/>
      <w:kern w:val="0"/>
      <w:sz w:val="28"/>
    </w:rPr>
  </w:style>
  <w:style w:type="paragraph" w:customStyle="1" w:styleId="97">
    <w:name w:val="Header First"/>
    <w:autoRedefine/>
    <w:qFormat/>
    <w:uiPriority w:val="0"/>
    <w:pPr>
      <w:keepLines/>
      <w:widowControl/>
      <w:pBdr>
        <w:bottom w:val="none" w:color="auto" w:sz="0" w:space="0"/>
      </w:pBdr>
      <w:tabs>
        <w:tab w:val="center" w:pos="4320"/>
        <w:tab w:val="right" w:pos="8640"/>
      </w:tabs>
      <w:overflowPunct w:val="0"/>
      <w:autoSpaceDE w:val="0"/>
      <w:autoSpaceDN w:val="0"/>
      <w:adjustRightInd w:val="0"/>
      <w:snapToGrid/>
      <w:spacing w:after="880" w:line="240" w:lineRule="atLeast"/>
      <w:jc w:val="left"/>
      <w:textAlignment w:val="baseline"/>
    </w:pPr>
    <w:rPr>
      <w:rFonts w:ascii="Garamond" w:hAnsi="Garamond" w:eastAsia="宋体" w:cs="Times New Roman"/>
      <w:smallCaps/>
      <w:kern w:val="18"/>
      <w:sz w:val="20"/>
      <w:szCs w:val="20"/>
    </w:rPr>
  </w:style>
  <w:style w:type="paragraph" w:customStyle="1" w:styleId="98">
    <w:name w:val="列出段落21"/>
    <w:basedOn w:val="1"/>
    <w:autoRedefine/>
    <w:qFormat/>
    <w:uiPriority w:val="0"/>
    <w:pPr>
      <w:spacing w:line="240" w:lineRule="auto"/>
      <w:ind w:left="0" w:right="0" w:firstLine="420" w:firstLineChars="200"/>
    </w:pPr>
    <w:rPr>
      <w:rFonts w:ascii="Calibri" w:hAnsi="Calibri"/>
      <w:szCs w:val="21"/>
    </w:rPr>
  </w:style>
  <w:style w:type="paragraph" w:customStyle="1" w:styleId="99">
    <w:name w:val="_Style 35"/>
    <w:basedOn w:val="1"/>
    <w:autoRedefine/>
    <w:qFormat/>
    <w:uiPriority w:val="0"/>
    <w:pPr>
      <w:widowControl/>
      <w:spacing w:after="160" w:line="240" w:lineRule="exact"/>
      <w:jc w:val="left"/>
    </w:pPr>
    <w:rPr>
      <w:szCs w:val="20"/>
    </w:rPr>
  </w:style>
  <w:style w:type="paragraph" w:customStyle="1" w:styleId="100">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2">
    <w:name w:val="Attention Line"/>
    <w:basedOn w:val="1"/>
    <w:next w:val="26"/>
    <w:autoRedefine/>
    <w:qFormat/>
    <w:uiPriority w:val="0"/>
    <w:pPr>
      <w:widowControl/>
      <w:spacing w:before="220"/>
      <w:ind w:left="840" w:right="-360"/>
      <w:jc w:val="left"/>
    </w:pPr>
    <w:rPr>
      <w:rFonts w:eastAsia="Times New Roman"/>
      <w:kern w:val="0"/>
      <w:sz w:val="20"/>
      <w:szCs w:val="20"/>
      <w:lang w:eastAsia="en-US"/>
    </w:rPr>
  </w:style>
  <w:style w:type="paragraph" w:customStyle="1" w:styleId="103">
    <w:name w:val="Char2"/>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04">
    <w:name w:val="Block Quotation"/>
    <w:basedOn w:val="8"/>
    <w:autoRedefine/>
    <w:qFormat/>
    <w:uiPriority w:val="0"/>
    <w:pPr>
      <w:keepLines/>
      <w:widowControl/>
      <w:overflowPunct w:val="0"/>
      <w:autoSpaceDE w:val="0"/>
      <w:autoSpaceDN w:val="0"/>
      <w:spacing w:after="240" w:line="240" w:lineRule="atLeast"/>
      <w:ind w:left="720" w:right="720" w:firstLine="360"/>
      <w:textAlignment w:val="baseline"/>
    </w:pPr>
    <w:rPr>
      <w:rFonts w:ascii="Garamond" w:hAnsi="Garamond"/>
      <w:kern w:val="18"/>
      <w:sz w:val="20"/>
    </w:rPr>
  </w:style>
  <w:style w:type="paragraph" w:customStyle="1" w:styleId="105">
    <w:name w:val="默认段落字体 Para Char Char Char Char Char Char Char"/>
    <w:basedOn w:val="1"/>
    <w:autoRedefine/>
    <w:qFormat/>
    <w:uiPriority w:val="0"/>
    <w:rPr>
      <w:rFonts w:ascii="Tahoma" w:hAnsi="Tahoma"/>
      <w:sz w:val="24"/>
      <w:szCs w:val="20"/>
    </w:rPr>
  </w:style>
  <w:style w:type="paragraph" w:customStyle="1" w:styleId="106">
    <w:name w:val="Company Name"/>
    <w:basedOn w:val="8"/>
    <w:next w:val="8"/>
    <w:autoRedefine/>
    <w:qFormat/>
    <w:uiPriority w:val="0"/>
    <w:pPr>
      <w:keepLines/>
      <w:framePr w:w="8640" w:h="1440" w:wrap="notBeside" w:vAnchor="page" w:hAnchor="margin" w:xAlign="center" w:y="889"/>
      <w:widowControl/>
      <w:overflowPunct w:val="0"/>
      <w:autoSpaceDE w:val="0"/>
      <w:autoSpaceDN w:val="0"/>
      <w:spacing w:after="40" w:line="240" w:lineRule="atLeast"/>
      <w:jc w:val="center"/>
      <w:textAlignment w:val="baseline"/>
    </w:pPr>
    <w:rPr>
      <w:rFonts w:ascii="Garamond" w:hAnsi="Garamond"/>
      <w:caps/>
      <w:spacing w:val="75"/>
      <w:kern w:val="18"/>
      <w:sz w:val="21"/>
    </w:rPr>
  </w:style>
  <w:style w:type="paragraph" w:customStyle="1" w:styleId="107">
    <w:name w:val="Char1 Char Char Char Char2"/>
    <w:basedOn w:val="1"/>
    <w:autoRedefine/>
    <w:qFormat/>
    <w:uiPriority w:val="0"/>
    <w:pPr>
      <w:spacing w:line="240" w:lineRule="auto"/>
      <w:ind w:left="0" w:right="0" w:firstLine="0" w:firstLineChars="0"/>
    </w:pPr>
    <w:rPr>
      <w:szCs w:val="20"/>
    </w:rPr>
  </w:style>
  <w:style w:type="paragraph" w:customStyle="1" w:styleId="108">
    <w:name w:val="Char Char3"/>
    <w:basedOn w:val="1"/>
    <w:autoRedefine/>
    <w:qFormat/>
    <w:uiPriority w:val="0"/>
  </w:style>
  <w:style w:type="paragraph" w:customStyle="1" w:styleId="109">
    <w:name w:val="Char Char1 Char"/>
    <w:basedOn w:val="1"/>
    <w:autoRedefine/>
    <w:qFormat/>
    <w:uiPriority w:val="0"/>
  </w:style>
  <w:style w:type="paragraph" w:customStyle="1" w:styleId="110">
    <w:name w:val="标题1"/>
    <w:basedOn w:val="1"/>
    <w:autoRedefine/>
    <w:qFormat/>
    <w:uiPriority w:val="0"/>
    <w:pPr>
      <w:widowControl/>
      <w:jc w:val="center"/>
    </w:pPr>
    <w:rPr>
      <w:rFonts w:ascii="黑体" w:eastAsia="黑体"/>
      <w:b/>
      <w:kern w:val="0"/>
      <w:sz w:val="44"/>
      <w:szCs w:val="20"/>
    </w:rPr>
  </w:style>
  <w:style w:type="paragraph" w:customStyle="1" w:styleId="111">
    <w:name w:val="Char Char Char Char Char Char1"/>
    <w:basedOn w:val="1"/>
    <w:autoRedefine/>
    <w:qFormat/>
    <w:uiPriority w:val="0"/>
    <w:rPr>
      <w:rFonts w:ascii="Tahoma" w:hAnsi="Tahoma"/>
      <w:sz w:val="24"/>
      <w:szCs w:val="20"/>
    </w:rPr>
  </w:style>
  <w:style w:type="paragraph" w:customStyle="1" w:styleId="112">
    <w:name w:val="Subject Line"/>
    <w:basedOn w:val="8"/>
    <w:next w:val="8"/>
    <w:autoRedefine/>
    <w:qFormat/>
    <w:uiPriority w:val="0"/>
    <w:pPr>
      <w:widowControl/>
      <w:overflowPunct w:val="0"/>
      <w:autoSpaceDE w:val="0"/>
      <w:autoSpaceDN w:val="0"/>
      <w:spacing w:after="180" w:line="240" w:lineRule="atLeast"/>
      <w:ind w:left="360" w:hanging="360"/>
      <w:jc w:val="left"/>
      <w:textAlignment w:val="baseline"/>
    </w:pPr>
    <w:rPr>
      <w:rFonts w:ascii="Garamond" w:hAnsi="Garamond"/>
      <w:caps/>
      <w:kern w:val="18"/>
      <w:sz w:val="21"/>
    </w:rPr>
  </w:style>
  <w:style w:type="paragraph" w:customStyle="1" w:styleId="113">
    <w:name w:val="xl31"/>
    <w:basedOn w:val="1"/>
    <w:autoRedefine/>
    <w:qFormat/>
    <w:uiPriority w:val="0"/>
    <w:pPr>
      <w:widowControl/>
      <w:spacing w:before="100" w:beforeAutospacing="1" w:after="100" w:afterAutospacing="1"/>
      <w:jc w:val="center"/>
    </w:pPr>
    <w:rPr>
      <w:kern w:val="0"/>
      <w:sz w:val="36"/>
      <w:szCs w:val="36"/>
    </w:rPr>
  </w:style>
  <w:style w:type="paragraph" w:customStyle="1" w:styleId="114">
    <w:name w:val="Char Char Char"/>
    <w:basedOn w:val="1"/>
    <w:autoRedefine/>
    <w:qFormat/>
    <w:uiPriority w:val="0"/>
    <w:rPr>
      <w:rFonts w:ascii="Tahoma" w:hAnsi="Tahoma"/>
      <w:sz w:val="24"/>
      <w:szCs w:val="20"/>
    </w:rPr>
  </w:style>
  <w:style w:type="paragraph" w:customStyle="1" w:styleId="115">
    <w:name w:val="Inside Address"/>
    <w:basedOn w:val="8"/>
    <w:autoRedefine/>
    <w:qFormat/>
    <w:uiPriority w:val="0"/>
    <w:pPr>
      <w:widowControl/>
      <w:overflowPunct w:val="0"/>
      <w:autoSpaceDE w:val="0"/>
      <w:autoSpaceDN w:val="0"/>
      <w:spacing w:after="0" w:line="240" w:lineRule="atLeast"/>
      <w:jc w:val="left"/>
      <w:textAlignment w:val="baseline"/>
    </w:pPr>
    <w:rPr>
      <w:rFonts w:ascii="Garamond" w:hAnsi="Garamond"/>
      <w:kern w:val="18"/>
      <w:sz w:val="20"/>
    </w:rPr>
  </w:style>
  <w:style w:type="paragraph" w:customStyle="1" w:styleId="116">
    <w:name w:val="Char Char15 Char Char"/>
    <w:basedOn w:val="1"/>
    <w:autoRedefine/>
    <w:qFormat/>
    <w:uiPriority w:val="0"/>
    <w:pPr>
      <w:spacing w:line="240" w:lineRule="auto"/>
      <w:ind w:left="0" w:right="0" w:firstLine="0" w:firstLineChars="0"/>
    </w:pPr>
    <w:rPr>
      <w:szCs w:val="20"/>
    </w:rPr>
  </w:style>
  <w:style w:type="paragraph" w:customStyle="1" w:styleId="117">
    <w:name w:val="Char Char Char1"/>
    <w:basedOn w:val="1"/>
    <w:autoRedefine/>
    <w:qFormat/>
    <w:uiPriority w:val="0"/>
    <w:rPr>
      <w:rFonts w:ascii="Tahoma" w:hAnsi="Tahoma"/>
      <w:sz w:val="24"/>
      <w:szCs w:val="20"/>
    </w:rPr>
  </w:style>
  <w:style w:type="paragraph" w:customStyle="1" w:styleId="118">
    <w:name w:val="Char Char1 Char Char Char Char Char Char Char Char Char Char"/>
    <w:basedOn w:val="1"/>
    <w:autoRedefine/>
    <w:qFormat/>
    <w:uiPriority w:val="0"/>
    <w:rPr>
      <w:rFonts w:ascii="Tahoma" w:hAnsi="Tahoma"/>
      <w:sz w:val="24"/>
      <w:szCs w:val="20"/>
    </w:rPr>
  </w:style>
  <w:style w:type="paragraph" w:customStyle="1" w:styleId="119">
    <w:name w:val="Return Address"/>
    <w:autoRedefine/>
    <w:qFormat/>
    <w:uiPriority w:val="0"/>
    <w:pPr>
      <w:tabs>
        <w:tab w:val="left" w:pos="2160"/>
      </w:tabs>
      <w:overflowPunct w:val="0"/>
      <w:autoSpaceDE w:val="0"/>
      <w:autoSpaceDN w:val="0"/>
      <w:adjustRightInd w:val="0"/>
      <w:spacing w:line="240" w:lineRule="atLeast"/>
      <w:ind w:left="50" w:right="-240" w:hanging="50" w:hangingChars="50"/>
      <w:jc w:val="center"/>
      <w:textAlignment w:val="baseline"/>
    </w:pPr>
    <w:rPr>
      <w:rFonts w:ascii="Garamond" w:hAnsi="Garamond" w:eastAsia="宋体" w:cs="Times New Roman"/>
      <w:caps/>
      <w:spacing w:val="30"/>
      <w:sz w:val="14"/>
      <w:lang w:val="en-US" w:eastAsia="zh-CN" w:bidi="ar-SA"/>
    </w:rPr>
  </w:style>
  <w:style w:type="paragraph" w:customStyle="1" w:styleId="120">
    <w:name w:val="表格文字"/>
    <w:basedOn w:val="1"/>
    <w:autoRedefine/>
    <w:qFormat/>
    <w:uiPriority w:val="0"/>
    <w:pPr>
      <w:spacing w:before="25" w:after="25" w:line="300" w:lineRule="auto"/>
    </w:pPr>
    <w:rPr>
      <w:rFonts w:ascii="Times" w:hAnsi="Times"/>
      <w:spacing w:val="10"/>
      <w:kern w:val="0"/>
      <w:sz w:val="24"/>
      <w:szCs w:val="20"/>
    </w:rPr>
  </w:style>
  <w:style w:type="paragraph" w:customStyle="1" w:styleId="121">
    <w:name w:val="Footnote Base"/>
    <w:basedOn w:val="8"/>
    <w:autoRedefine/>
    <w:qFormat/>
    <w:uiPriority w:val="0"/>
    <w:pPr>
      <w:keepLines/>
      <w:widowControl/>
      <w:overflowPunct w:val="0"/>
      <w:autoSpaceDE w:val="0"/>
      <w:autoSpaceDN w:val="0"/>
      <w:spacing w:after="240" w:line="240" w:lineRule="atLeast"/>
      <w:textAlignment w:val="baseline"/>
    </w:pPr>
    <w:rPr>
      <w:rFonts w:ascii="Garamond" w:hAnsi="Garamond"/>
      <w:kern w:val="18"/>
      <w:sz w:val="16"/>
    </w:rPr>
  </w:style>
  <w:style w:type="paragraph" w:customStyle="1" w:styleId="122">
    <w:name w:val="Char1 Char Char Char Char1"/>
    <w:basedOn w:val="1"/>
    <w:autoRedefine/>
    <w:qFormat/>
    <w:uiPriority w:val="0"/>
    <w:pPr>
      <w:widowControl/>
      <w:spacing w:after="160" w:line="240" w:lineRule="exact"/>
      <w:jc w:val="left"/>
    </w:pPr>
    <w:rPr>
      <w:szCs w:val="20"/>
    </w:rPr>
  </w:style>
  <w:style w:type="paragraph" w:customStyle="1" w:styleId="123">
    <w:name w:val="Char1 Char Char Char1"/>
    <w:basedOn w:val="1"/>
    <w:autoRedefine/>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124">
    <w:name w:val="Char Char Char Char Char Char"/>
    <w:basedOn w:val="1"/>
    <w:autoRedefine/>
    <w:qFormat/>
    <w:uiPriority w:val="0"/>
    <w:rPr>
      <w:rFonts w:ascii="Tahoma" w:hAnsi="Tahoma"/>
      <w:sz w:val="24"/>
      <w:szCs w:val="20"/>
    </w:rPr>
  </w:style>
  <w:style w:type="paragraph" w:customStyle="1" w:styleId="125">
    <w:name w:val="p0"/>
    <w:basedOn w:val="1"/>
    <w:autoRedefine/>
    <w:qFormat/>
    <w:uiPriority w:val="0"/>
    <w:pPr>
      <w:widowControl/>
    </w:pPr>
    <w:rPr>
      <w:kern w:val="0"/>
      <w:szCs w:val="21"/>
    </w:rPr>
  </w:style>
  <w:style w:type="paragraph" w:customStyle="1" w:styleId="126">
    <w:name w:val="Char Char7"/>
    <w:basedOn w:val="1"/>
    <w:autoRedefine/>
    <w:qFormat/>
    <w:uiPriority w:val="0"/>
    <w:pPr>
      <w:spacing w:line="240" w:lineRule="auto"/>
      <w:ind w:left="0" w:right="0" w:firstLine="0" w:firstLineChars="0"/>
    </w:pPr>
  </w:style>
  <w:style w:type="paragraph" w:customStyle="1" w:styleId="127">
    <w:name w:val="Char1 Char Char"/>
    <w:basedOn w:val="1"/>
    <w:autoRedefine/>
    <w:qFormat/>
    <w:uiPriority w:val="0"/>
    <w:pPr>
      <w:widowControl/>
      <w:spacing w:after="160" w:line="240" w:lineRule="exact"/>
      <w:ind w:left="0" w:right="0" w:firstLine="0" w:firstLineChars="0"/>
      <w:jc w:val="left"/>
    </w:pPr>
    <w:rPr>
      <w:szCs w:val="20"/>
    </w:rPr>
  </w:style>
  <w:style w:type="paragraph" w:customStyle="1" w:styleId="128">
    <w:name w:val="Char Char Char Char"/>
    <w:basedOn w:val="1"/>
    <w:autoRedefine/>
    <w:qFormat/>
    <w:uiPriority w:val="0"/>
    <w:rPr>
      <w:szCs w:val="20"/>
    </w:rPr>
  </w:style>
  <w:style w:type="paragraph" w:customStyle="1" w:styleId="129">
    <w:name w:val="Char1 Char Char Char Char3"/>
    <w:basedOn w:val="1"/>
    <w:autoRedefine/>
    <w:qFormat/>
    <w:uiPriority w:val="0"/>
    <w:rPr>
      <w:szCs w:val="20"/>
    </w:rPr>
  </w:style>
  <w:style w:type="paragraph" w:customStyle="1" w:styleId="130">
    <w:name w:val="列出段落1"/>
    <w:basedOn w:val="1"/>
    <w:autoRedefine/>
    <w:qFormat/>
    <w:uiPriority w:val="0"/>
    <w:pPr>
      <w:ind w:firstLine="420" w:firstLineChars="200"/>
    </w:pPr>
    <w:rPr>
      <w:rFonts w:ascii="Calibri" w:hAnsi="Calibri"/>
      <w:szCs w:val="22"/>
    </w:rPr>
  </w:style>
  <w:style w:type="paragraph" w:customStyle="1" w:styleId="131">
    <w:name w:val="Header Odd"/>
    <w:autoRedefine/>
    <w:qFormat/>
    <w:uiPriority w:val="0"/>
    <w:pPr>
      <w:keepLines/>
      <w:widowControl/>
      <w:pBdr>
        <w:bottom w:val="none" w:color="auto" w:sz="0" w:space="0"/>
      </w:pBdr>
      <w:tabs>
        <w:tab w:val="center" w:pos="4320"/>
        <w:tab w:val="right" w:pos="8640"/>
      </w:tabs>
      <w:overflowPunct w:val="0"/>
      <w:autoSpaceDE w:val="0"/>
      <w:autoSpaceDN w:val="0"/>
      <w:adjustRightInd w:val="0"/>
      <w:snapToGrid/>
      <w:spacing w:after="660" w:line="240" w:lineRule="atLeast"/>
      <w:jc w:val="left"/>
      <w:textAlignment w:val="baseline"/>
    </w:pPr>
    <w:rPr>
      <w:rFonts w:ascii="Garamond" w:hAnsi="Garamond" w:eastAsia="宋体" w:cs="Times New Roman"/>
      <w:smallCaps/>
      <w:kern w:val="18"/>
      <w:sz w:val="20"/>
      <w:szCs w:val="20"/>
    </w:rPr>
  </w:style>
  <w:style w:type="paragraph" w:customStyle="1" w:styleId="132">
    <w:name w:val="Char Char8 Char Char"/>
    <w:basedOn w:val="1"/>
    <w:autoRedefine/>
    <w:qFormat/>
    <w:uiPriority w:val="0"/>
    <w:pPr>
      <w:widowControl/>
      <w:spacing w:after="160" w:line="240" w:lineRule="exact"/>
      <w:jc w:val="left"/>
    </w:pPr>
    <w:rPr>
      <w:szCs w:val="20"/>
    </w:rPr>
  </w:style>
  <w:style w:type="paragraph" w:customStyle="1" w:styleId="133">
    <w:name w:val="Thyssen Standard"/>
    <w:basedOn w:val="1"/>
    <w:autoRedefine/>
    <w:qFormat/>
    <w:uiPriority w:val="0"/>
    <w:pPr>
      <w:widowControl/>
      <w:spacing w:before="120" w:after="120" w:line="300" w:lineRule="atLeast"/>
    </w:pPr>
    <w:rPr>
      <w:rFonts w:ascii="TKTypeRegular" w:hAnsi="TKTypeRegular" w:eastAsia="Times New Roman"/>
      <w:kern w:val="0"/>
      <w:sz w:val="22"/>
      <w:szCs w:val="20"/>
      <w:lang w:eastAsia="en-US"/>
    </w:rPr>
  </w:style>
  <w:style w:type="paragraph" w:customStyle="1" w:styleId="134">
    <w:name w:val="Header Even"/>
    <w:autoRedefine/>
    <w:qFormat/>
    <w:uiPriority w:val="0"/>
    <w:pPr>
      <w:keepLines/>
      <w:widowControl/>
      <w:pBdr>
        <w:bottom w:val="none" w:color="auto" w:sz="0" w:space="0"/>
      </w:pBdr>
      <w:tabs>
        <w:tab w:val="center" w:pos="4320"/>
        <w:tab w:val="right" w:pos="8640"/>
      </w:tabs>
      <w:overflowPunct w:val="0"/>
      <w:autoSpaceDE w:val="0"/>
      <w:autoSpaceDN w:val="0"/>
      <w:adjustRightInd w:val="0"/>
      <w:snapToGrid/>
      <w:spacing w:after="660" w:line="240" w:lineRule="atLeast"/>
      <w:jc w:val="left"/>
      <w:textAlignment w:val="baseline"/>
    </w:pPr>
    <w:rPr>
      <w:rFonts w:ascii="Garamond" w:hAnsi="Garamond" w:eastAsia="宋体" w:cs="Times New Roman"/>
      <w:smallCaps/>
      <w:kern w:val="18"/>
      <w:sz w:val="20"/>
      <w:szCs w:val="20"/>
    </w:rPr>
  </w:style>
  <w:style w:type="paragraph" w:customStyle="1" w:styleId="13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36">
    <w:name w:val="Header Base"/>
    <w:basedOn w:val="8"/>
    <w:autoRedefine/>
    <w:qFormat/>
    <w:uiPriority w:val="0"/>
    <w:pPr>
      <w:keepLines/>
      <w:widowControl/>
      <w:tabs>
        <w:tab w:val="center" w:pos="4320"/>
        <w:tab w:val="right" w:pos="8640"/>
      </w:tabs>
      <w:overflowPunct w:val="0"/>
      <w:autoSpaceDE w:val="0"/>
      <w:autoSpaceDN w:val="0"/>
      <w:spacing w:after="0" w:line="240" w:lineRule="atLeast"/>
      <w:jc w:val="left"/>
      <w:textAlignment w:val="baseline"/>
    </w:pPr>
    <w:rPr>
      <w:rFonts w:ascii="Garamond" w:hAnsi="Garamond"/>
      <w:kern w:val="18"/>
      <w:sz w:val="20"/>
    </w:rPr>
  </w:style>
  <w:style w:type="paragraph" w:customStyle="1" w:styleId="137">
    <w:name w:val="Body Text Keep"/>
    <w:basedOn w:val="8"/>
    <w:autoRedefine/>
    <w:qFormat/>
    <w:uiPriority w:val="0"/>
    <w:pPr>
      <w:keepNext/>
      <w:widowControl/>
      <w:overflowPunct w:val="0"/>
      <w:autoSpaceDE w:val="0"/>
      <w:autoSpaceDN w:val="0"/>
      <w:spacing w:after="240" w:line="240" w:lineRule="atLeast"/>
      <w:ind w:firstLine="360"/>
      <w:textAlignment w:val="baseline"/>
    </w:pPr>
    <w:rPr>
      <w:rFonts w:ascii="Garamond" w:hAnsi="Garamond"/>
      <w:kern w:val="18"/>
      <w:sz w:val="20"/>
    </w:rPr>
  </w:style>
  <w:style w:type="paragraph" w:customStyle="1" w:styleId="138">
    <w:name w:val="Char"/>
    <w:basedOn w:val="1"/>
    <w:autoRedefine/>
    <w:qFormat/>
    <w:uiPriority w:val="0"/>
    <w:rPr>
      <w:rFonts w:ascii="Tahoma" w:hAnsi="Tahoma"/>
      <w:sz w:val="24"/>
      <w:szCs w:val="20"/>
    </w:rPr>
  </w:style>
  <w:style w:type="paragraph" w:customStyle="1" w:styleId="139">
    <w:name w:val="Char1"/>
    <w:basedOn w:val="1"/>
    <w:autoRedefine/>
    <w:qFormat/>
    <w:uiPriority w:val="0"/>
    <w:rPr>
      <w:rFonts w:ascii="Tahoma" w:hAnsi="Tahoma"/>
      <w:sz w:val="24"/>
      <w:szCs w:val="20"/>
    </w:rPr>
  </w:style>
  <w:style w:type="paragraph" w:customStyle="1" w:styleId="140">
    <w:name w:val="正文格式"/>
    <w:basedOn w:val="1"/>
    <w:autoRedefine/>
    <w:qFormat/>
    <w:uiPriority w:val="0"/>
    <w:pPr>
      <w:ind w:firstLine="420" w:firstLineChars="200"/>
    </w:pPr>
    <w:rPr>
      <w:sz w:val="28"/>
      <w:szCs w:val="20"/>
    </w:rPr>
  </w:style>
  <w:style w:type="paragraph" w:customStyle="1" w:styleId="141">
    <w:name w:val="WW-正文缩进"/>
    <w:basedOn w:val="1"/>
    <w:autoRedefine/>
    <w:qFormat/>
    <w:uiPriority w:val="0"/>
    <w:pPr>
      <w:suppressAutoHyphens/>
      <w:autoSpaceDE w:val="0"/>
      <w:ind w:firstLine="420"/>
      <w:jc w:val="left"/>
      <w:textAlignment w:val="baseline"/>
    </w:pPr>
    <w:rPr>
      <w:rFonts w:ascii="宋体" w:hAnsi="宋体"/>
      <w:kern w:val="1"/>
      <w:sz w:val="34"/>
      <w:szCs w:val="20"/>
      <w:lang w:eastAsia="ar-SA"/>
    </w:rPr>
  </w:style>
  <w:style w:type="paragraph" w:customStyle="1" w:styleId="142">
    <w:name w:val="题注5"/>
    <w:basedOn w:val="1"/>
    <w:next w:val="21"/>
    <w:autoRedefine/>
    <w:qFormat/>
    <w:uiPriority w:val="0"/>
    <w:pPr>
      <w:numPr>
        <w:ilvl w:val="0"/>
        <w:numId w:val="3"/>
      </w:numPr>
      <w:tabs>
        <w:tab w:val="left" w:pos="540"/>
        <w:tab w:val="clear" w:pos="420"/>
      </w:tabs>
      <w:ind w:left="540" w:right="0" w:hanging="540" w:hangingChars="225"/>
    </w:pPr>
    <w:rPr>
      <w:rFonts w:ascii="宋体" w:hAnsi="宋体"/>
      <w:color w:val="000000"/>
      <w:sz w:val="24"/>
    </w:rPr>
  </w:style>
  <w:style w:type="paragraph" w:customStyle="1" w:styleId="143">
    <w:name w:val="题注4"/>
    <w:basedOn w:val="1"/>
    <w:next w:val="21"/>
    <w:autoRedefine/>
    <w:qFormat/>
    <w:uiPriority w:val="0"/>
    <w:pPr>
      <w:ind w:left="-132" w:leftChars="-64" w:right="-50" w:rightChars="-50" w:hanging="2"/>
      <w:jc w:val="center"/>
    </w:pPr>
    <w:rPr>
      <w:b/>
      <w:color w:val="FF0000"/>
    </w:rPr>
  </w:style>
  <w:style w:type="character" w:customStyle="1" w:styleId="144">
    <w:name w:val="Superscript"/>
    <w:autoRedefine/>
    <w:qFormat/>
    <w:uiPriority w:val="0"/>
    <w:rPr>
      <w:vertAlign w:val="superscript"/>
    </w:rPr>
  </w:style>
  <w:style w:type="character" w:customStyle="1" w:styleId="145">
    <w:name w:val="font41"/>
    <w:autoRedefine/>
    <w:qFormat/>
    <w:uiPriority w:val="0"/>
    <w:rPr>
      <w:rFonts w:hint="default" w:ascii="Times New Roman" w:hAnsi="Times New Roman" w:cs="Times New Roman"/>
      <w:color w:val="000000"/>
      <w:sz w:val="24"/>
      <w:szCs w:val="24"/>
      <w:u w:val="none"/>
    </w:rPr>
  </w:style>
  <w:style w:type="character" w:customStyle="1" w:styleId="146">
    <w:name w:val="font81"/>
    <w:autoRedefine/>
    <w:qFormat/>
    <w:uiPriority w:val="0"/>
    <w:rPr>
      <w:rFonts w:hint="eastAsia" w:ascii="宋体" w:hAnsi="宋体" w:eastAsia="宋体"/>
      <w:color w:val="000000"/>
      <w:sz w:val="22"/>
      <w:szCs w:val="22"/>
      <w:u w:val="none"/>
    </w:rPr>
  </w:style>
  <w:style w:type="character" w:customStyle="1" w:styleId="147">
    <w:name w:val="正文缩进1 Char1"/>
    <w:autoRedefine/>
    <w:qFormat/>
    <w:locked/>
    <w:uiPriority w:val="0"/>
    <w:rPr>
      <w:rFonts w:eastAsia="宋体"/>
      <w:sz w:val="21"/>
      <w:lang w:val="en-US" w:eastAsia="zh-CN" w:bidi="ar-SA"/>
    </w:rPr>
  </w:style>
  <w:style w:type="character" w:customStyle="1" w:styleId="148">
    <w:name w:val="font61"/>
    <w:autoRedefine/>
    <w:qFormat/>
    <w:uiPriority w:val="0"/>
    <w:rPr>
      <w:rFonts w:hint="eastAsia" w:ascii="宋体" w:hAnsi="宋体" w:eastAsia="宋体"/>
      <w:color w:val="000000"/>
      <w:sz w:val="18"/>
      <w:szCs w:val="18"/>
      <w:u w:val="none"/>
      <w:vertAlign w:val="superscript"/>
    </w:rPr>
  </w:style>
  <w:style w:type="character" w:customStyle="1" w:styleId="149">
    <w:name w:val="普通文字 Char1"/>
    <w:autoRedefine/>
    <w:qFormat/>
    <w:uiPriority w:val="0"/>
    <w:rPr>
      <w:rFonts w:ascii="宋体" w:hAnsi="Courier New" w:eastAsia="宋体"/>
      <w:kern w:val="2"/>
      <w:sz w:val="21"/>
      <w:lang w:val="en-US" w:eastAsia="zh-CN" w:bidi="ar-SA"/>
    </w:rPr>
  </w:style>
  <w:style w:type="character" w:customStyle="1" w:styleId="150">
    <w:name w:val="普通文字 Char Char Char"/>
    <w:autoRedefine/>
    <w:qFormat/>
    <w:uiPriority w:val="0"/>
    <w:rPr>
      <w:rFonts w:ascii="宋体" w:hAnsi="Courier New" w:eastAsia="宋体"/>
      <w:kern w:val="2"/>
      <w:sz w:val="21"/>
      <w:lang w:val="en-US" w:eastAsia="zh-CN" w:bidi="ar-SA"/>
    </w:rPr>
  </w:style>
  <w:style w:type="character" w:customStyle="1" w:styleId="151">
    <w:name w:val="font71"/>
    <w:autoRedefine/>
    <w:qFormat/>
    <w:uiPriority w:val="0"/>
    <w:rPr>
      <w:rFonts w:hint="default" w:ascii="Times New Roman" w:hAnsi="Times New Roman" w:cs="Times New Roman"/>
      <w:color w:val="000000"/>
      <w:sz w:val="24"/>
      <w:szCs w:val="24"/>
      <w:u w:val="none"/>
    </w:rPr>
  </w:style>
  <w:style w:type="character" w:customStyle="1" w:styleId="152">
    <w:name w:val="纯文本 Char"/>
    <w:autoRedefine/>
    <w:qFormat/>
    <w:uiPriority w:val="0"/>
    <w:rPr>
      <w:rFonts w:ascii="宋体" w:hAnsi="Courier New" w:eastAsia="宋体" w:cs="Courier New"/>
      <w:kern w:val="2"/>
      <w:sz w:val="21"/>
      <w:szCs w:val="21"/>
      <w:lang w:val="en-US" w:eastAsia="zh-CN" w:bidi="ar-SA"/>
    </w:rPr>
  </w:style>
  <w:style w:type="character" w:customStyle="1" w:styleId="153">
    <w:name w:val="Lead-in Emphasis"/>
    <w:autoRedefine/>
    <w:qFormat/>
    <w:uiPriority w:val="0"/>
    <w:rPr>
      <w:caps/>
      <w:sz w:val="18"/>
    </w:rPr>
  </w:style>
  <w:style w:type="character" w:customStyle="1" w:styleId="154">
    <w:name w:val="纯文本 Char Char Char"/>
    <w:autoRedefine/>
    <w:qFormat/>
    <w:uiPriority w:val="0"/>
    <w:rPr>
      <w:rFonts w:ascii="宋体" w:hAnsi="Courier New" w:eastAsia="仿宋_GB2312"/>
      <w:kern w:val="2"/>
      <w:sz w:val="30"/>
      <w:lang w:val="en-US" w:eastAsia="zh-CN" w:bidi="ar-SA"/>
    </w:rPr>
  </w:style>
  <w:style w:type="character" w:customStyle="1" w:styleId="155">
    <w:name w:val="Slogan"/>
    <w:autoRedefine/>
    <w:qFormat/>
    <w:uiPriority w:val="0"/>
    <w:rPr>
      <w:i/>
      <w:spacing w:val="70"/>
    </w:rPr>
  </w:style>
  <w:style w:type="character" w:customStyle="1" w:styleId="156">
    <w:name w:val="font21"/>
    <w:autoRedefine/>
    <w:qFormat/>
    <w:uiPriority w:val="0"/>
    <w:rPr>
      <w:rFonts w:hint="eastAsia" w:ascii="宋体" w:hAnsi="宋体" w:eastAsia="宋体"/>
      <w:color w:val="000000"/>
      <w:sz w:val="24"/>
      <w:szCs w:val="24"/>
      <w:u w:val="none"/>
    </w:rPr>
  </w:style>
  <w:style w:type="character" w:customStyle="1" w:styleId="157">
    <w:name w:val="font91"/>
    <w:autoRedefine/>
    <w:qFormat/>
    <w:uiPriority w:val="0"/>
    <w:rPr>
      <w:rFonts w:hint="eastAsia" w:ascii="宋体" w:hAnsi="宋体" w:eastAsia="宋体"/>
      <w:color w:val="000000"/>
      <w:sz w:val="18"/>
      <w:szCs w:val="18"/>
      <w:u w:val="none"/>
    </w:rPr>
  </w:style>
  <w:style w:type="character" w:customStyle="1" w:styleId="158">
    <w:name w:val="font01"/>
    <w:autoRedefine/>
    <w:qFormat/>
    <w:uiPriority w:val="0"/>
    <w:rPr>
      <w:rFonts w:hint="eastAsia" w:ascii="宋体" w:hAnsi="宋体" w:eastAsia="宋体"/>
      <w:color w:val="000000"/>
      <w:sz w:val="24"/>
      <w:szCs w:val="24"/>
      <w:u w:val="none"/>
    </w:rPr>
  </w:style>
  <w:style w:type="character" w:customStyle="1" w:styleId="159">
    <w:name w:val="font51"/>
    <w:autoRedefine/>
    <w:qFormat/>
    <w:uiPriority w:val="0"/>
    <w:rPr>
      <w:rFonts w:hint="eastAsia" w:ascii="宋体" w:hAnsi="宋体" w:eastAsia="宋体"/>
      <w:color w:val="000000"/>
      <w:sz w:val="18"/>
      <w:szCs w:val="18"/>
      <w:u w:val="none"/>
    </w:rPr>
  </w:style>
  <w:style w:type="character" w:customStyle="1" w:styleId="160">
    <w:name w:val="font11"/>
    <w:basedOn w:val="73"/>
    <w:autoRedefine/>
    <w:qFormat/>
    <w:uiPriority w:val="0"/>
    <w:rPr>
      <w:rFonts w:hint="eastAsia" w:ascii="宋体" w:hAnsi="宋体" w:eastAsia="宋体" w:cs="宋体"/>
      <w:color w:val="000000"/>
      <w:sz w:val="20"/>
      <w:szCs w:val="20"/>
      <w:u w:val="none"/>
    </w:rPr>
  </w:style>
  <w:style w:type="paragraph" w:customStyle="1" w:styleId="161">
    <w:name w:val="Default Text"/>
    <w:link w:val="162"/>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2">
    <w:name w:val="Default Text Char Char"/>
    <w:link w:val="161"/>
    <w:autoRedefine/>
    <w:qFormat/>
    <w:uiPriority w:val="0"/>
    <w:rPr>
      <w:rFonts w:ascii="Times New Roman" w:hAnsi="Times New Roman"/>
      <w:color w:val="000000"/>
      <w:sz w:val="24"/>
      <w:szCs w:val="24"/>
    </w:rPr>
  </w:style>
  <w:style w:type="paragraph" w:customStyle="1" w:styleId="163">
    <w:name w:val="样式1"/>
    <w:basedOn w:val="1"/>
    <w:autoRedefine/>
    <w:qFormat/>
    <w:uiPriority w:val="0"/>
    <w:pPr>
      <w:tabs>
        <w:tab w:val="left" w:pos="709"/>
      </w:tabs>
      <w:spacing w:line="240" w:lineRule="auto"/>
      <w:ind w:left="709" w:hanging="709"/>
    </w:pPr>
    <w:rPr>
      <w:rFonts w:ascii="宋体" w:hAnsi="宋体"/>
      <w:szCs w:val="21"/>
    </w:rPr>
  </w:style>
  <w:style w:type="paragraph" w:customStyle="1" w:styleId="164">
    <w:name w:val="子标题"/>
    <w:basedOn w:val="1"/>
    <w:autoRedefine/>
    <w:qFormat/>
    <w:uiPriority w:val="0"/>
    <w:pPr>
      <w:ind w:firstLine="200" w:firstLineChars="200"/>
      <w:jc w:val="center"/>
    </w:pPr>
    <w:rPr>
      <w:rFonts w:eastAsia="新宋体"/>
      <w:sz w:val="28"/>
    </w:rPr>
  </w:style>
  <w:style w:type="paragraph" w:customStyle="1" w:styleId="165">
    <w:name w:val="缺省文本"/>
    <w:autoRedefine/>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styleId="166">
    <w:name w:val="List Paragraph"/>
    <w:basedOn w:val="1"/>
    <w:autoRedefine/>
    <w:unhideWhenUsed/>
    <w:qFormat/>
    <w:uiPriority w:val="99"/>
    <w:pPr>
      <w:ind w:firstLine="420" w:firstLineChars="200"/>
    </w:pPr>
  </w:style>
  <w:style w:type="paragraph" w:customStyle="1" w:styleId="167">
    <w:name w:val="Body text|1"/>
    <w:basedOn w:val="1"/>
    <w:autoRedefine/>
    <w:qFormat/>
    <w:uiPriority w:val="0"/>
    <w:pPr>
      <w:widowControl w:val="0"/>
      <w:shd w:val="clear" w:color="auto" w:fill="auto"/>
      <w:spacing w:line="473" w:lineRule="auto"/>
      <w:ind w:firstLine="360"/>
    </w:pPr>
    <w:rPr>
      <w:rFonts w:ascii="宋体" w:hAnsi="宋体" w:eastAsia="宋体" w:cs="宋体"/>
      <w:sz w:val="19"/>
      <w:szCs w:val="19"/>
      <w:u w:val="none"/>
      <w:shd w:val="clear" w:color="auto" w:fill="auto"/>
      <w:lang w:val="zh-TW" w:eastAsia="zh-TW" w:bidi="zh-TW"/>
    </w:rPr>
  </w:style>
  <w:style w:type="paragraph" w:customStyle="1" w:styleId="168">
    <w:name w:val="WPSOffice手动目录 1"/>
    <w:autoRedefine/>
    <w:qFormat/>
    <w:uiPriority w:val="0"/>
    <w:pPr>
      <w:ind w:leftChars="0"/>
    </w:pPr>
    <w:rPr>
      <w:rFonts w:ascii="Times New Roman" w:hAnsi="Times New Roman" w:eastAsia="宋体" w:cs="Times New Roman"/>
      <w:sz w:val="20"/>
      <w:szCs w:val="20"/>
    </w:rPr>
  </w:style>
  <w:style w:type="paragraph" w:customStyle="1" w:styleId="16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0">
    <w:name w:val="样式 左侧:  0.74 厘米"/>
    <w:basedOn w:val="1"/>
    <w:autoRedefine/>
    <w:qFormat/>
    <w:uiPriority w:val="0"/>
    <w:pPr>
      <w:spacing w:line="360" w:lineRule="auto"/>
      <w:ind w:left="620" w:hanging="200" w:hangingChars="200"/>
    </w:pPr>
    <w:rPr>
      <w:rFonts w:ascii="Times New Roman" w:hAnsi="Times New Roman"/>
      <w:kern w:val="0"/>
      <w:sz w:val="20"/>
      <w:szCs w:val="20"/>
    </w:rPr>
  </w:style>
  <w:style w:type="paragraph" w:customStyle="1" w:styleId="171">
    <w:name w:val="正文缩进1"/>
    <w:basedOn w:val="1"/>
    <w:autoRedefine/>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172">
    <w:name w:val="章节题目"/>
    <w:basedOn w:val="173"/>
    <w:next w:val="1"/>
    <w:autoRedefine/>
    <w:unhideWhenUsed/>
    <w:qFormat/>
    <w:uiPriority w:val="0"/>
    <w:pPr>
      <w:spacing w:before="720" w:after="400" w:line="540" w:lineRule="atLeast"/>
      <w:ind w:right="2160"/>
    </w:pPr>
    <w:rPr>
      <w:rFonts w:hint="eastAsia" w:ascii="Times New Roman" w:hAnsi="Times New Roman" w:eastAsia="Times New Roman"/>
      <w:spacing w:val="-40"/>
      <w:sz w:val="60"/>
    </w:rPr>
  </w:style>
  <w:style w:type="paragraph" w:customStyle="1" w:styleId="173">
    <w:name w:val="基准标题"/>
    <w:basedOn w:val="1"/>
    <w:next w:val="8"/>
    <w:autoRedefine/>
    <w:unhideWhenUsed/>
    <w:qFormat/>
    <w:uiPriority w:val="0"/>
    <w:pPr>
      <w:keepNext/>
      <w:keepLines/>
      <w:spacing w:before="140" w:line="220" w:lineRule="atLeast"/>
    </w:pPr>
    <w:rPr>
      <w:rFonts w:hint="default" w:ascii="Arial" w:hAnsi="Arial" w:eastAsia="宋体"/>
      <w:spacing w:val="-4"/>
      <w:kern w:val="28"/>
      <w:sz w:val="22"/>
    </w:rPr>
  </w:style>
  <w:style w:type="paragraph" w:customStyle="1" w:styleId="17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175">
    <w:name w:val="Table Normal"/>
    <w:autoRedefine/>
    <w:unhideWhenUsed/>
    <w:qFormat/>
    <w:uiPriority w:val="0"/>
    <w:tblPr>
      <w:tblCellMar>
        <w:top w:w="0" w:type="dxa"/>
        <w:left w:w="0" w:type="dxa"/>
        <w:bottom w:w="0" w:type="dxa"/>
        <w:right w:w="0" w:type="dxa"/>
      </w:tblCellMar>
    </w:tblPr>
  </w:style>
  <w:style w:type="paragraph" w:customStyle="1" w:styleId="176">
    <w:name w:val="WPSOffice手动目录 2"/>
    <w:autoRedefine/>
    <w:qFormat/>
    <w:uiPriority w:val="0"/>
    <w:pPr>
      <w:ind w:leftChars="200"/>
    </w:pPr>
    <w:rPr>
      <w:rFonts w:ascii="Times New Roman" w:hAnsi="Times New Roman" w:eastAsia="宋体" w:cs="Times New Roman"/>
      <w:sz w:val="20"/>
      <w:szCs w:val="20"/>
    </w:rPr>
  </w:style>
  <w:style w:type="paragraph" w:customStyle="1" w:styleId="177">
    <w:name w:val="WPSOffice手动目录 3"/>
    <w:autoRedefine/>
    <w:qFormat/>
    <w:uiPriority w:val="0"/>
    <w:pPr>
      <w:ind w:leftChars="400"/>
    </w:pPr>
    <w:rPr>
      <w:rFonts w:ascii="Times New Roman" w:hAnsi="Times New Roman" w:eastAsia="宋体" w:cs="Times New Roman"/>
      <w:sz w:val="20"/>
      <w:szCs w:val="20"/>
    </w:rPr>
  </w:style>
  <w:style w:type="paragraph" w:customStyle="1" w:styleId="178">
    <w:name w:val="BodyText"/>
    <w:basedOn w:val="1"/>
    <w:autoRedefine/>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179">
    <w:name w:val="样式 首行缩进:  2 字符"/>
    <w:basedOn w:val="1"/>
    <w:autoRedefine/>
    <w:qFormat/>
    <w:uiPriority w:val="0"/>
    <w:pPr>
      <w:spacing w:line="400" w:lineRule="exact"/>
      <w:ind w:firstLine="200" w:firstLineChars="200"/>
    </w:pPr>
    <w:rPr>
      <w:rFonts w:cs="宋体"/>
      <w:sz w:val="24"/>
      <w:szCs w:val="24"/>
    </w:rPr>
  </w:style>
  <w:style w:type="paragraph" w:customStyle="1" w:styleId="180">
    <w:name w:val="其他"/>
    <w:basedOn w:val="1"/>
    <w:autoRedefine/>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181">
    <w:name w:val="表格文字2"/>
    <w:basedOn w:val="182"/>
    <w:autoRedefine/>
    <w:qFormat/>
    <w:uiPriority w:val="99"/>
    <w:pPr>
      <w:widowControl/>
      <w:spacing w:before="25" w:after="25" w:line="240" w:lineRule="auto"/>
      <w:ind w:firstLine="0"/>
      <w:jc w:val="left"/>
    </w:pPr>
    <w:rPr>
      <w:rFonts w:ascii="Times New Roman" w:hAnsi="Times New Roman"/>
      <w:bCs/>
      <w:spacing w:val="10"/>
      <w:kern w:val="0"/>
      <w:sz w:val="21"/>
      <w:szCs w:val="21"/>
    </w:rPr>
  </w:style>
  <w:style w:type="paragraph" w:customStyle="1" w:styleId="182">
    <w:name w:val="正文1"/>
    <w:basedOn w:val="1"/>
    <w:autoRedefine/>
    <w:qFormat/>
    <w:uiPriority w:val="0"/>
    <w:pPr>
      <w:spacing w:after="120" w:line="360" w:lineRule="auto"/>
      <w:ind w:firstLine="425"/>
    </w:pPr>
    <w:rPr>
      <w:rFonts w:ascii="Arial" w:hAnsi="Arial"/>
      <w:spacing w:val="8"/>
      <w:sz w:val="24"/>
      <w:szCs w:val="20"/>
    </w:rPr>
  </w:style>
  <w:style w:type="character" w:customStyle="1" w:styleId="183">
    <w:name w:val="正文文字 Char1"/>
    <w:link w:val="184"/>
    <w:autoRedefine/>
    <w:qFormat/>
    <w:uiPriority w:val="0"/>
    <w:rPr>
      <w:rFonts w:ascii="宋体"/>
      <w:color w:val="000000"/>
      <w:kern w:val="0"/>
      <w:sz w:val="28"/>
    </w:rPr>
  </w:style>
  <w:style w:type="paragraph" w:customStyle="1" w:styleId="184">
    <w:name w:val="正文文字"/>
    <w:basedOn w:val="1"/>
    <w:link w:val="183"/>
    <w:autoRedefine/>
    <w:qFormat/>
    <w:uiPriority w:val="0"/>
    <w:pPr>
      <w:widowControl/>
      <w:spacing w:line="2375" w:lineRule="atLeast"/>
      <w:ind w:firstLine="419"/>
      <w:textAlignment w:val="baseline"/>
    </w:pPr>
    <w:rPr>
      <w:rFonts w:ascii="宋体"/>
      <w:color w:val="000000"/>
      <w:kern w:val="0"/>
      <w:sz w:val="28"/>
    </w:rPr>
  </w:style>
  <w:style w:type="paragraph" w:customStyle="1" w:styleId="185">
    <w:name w:val="图例"/>
    <w:basedOn w:val="1"/>
    <w:autoRedefine/>
    <w:qFormat/>
    <w:uiPriority w:val="0"/>
    <w:pPr>
      <w:spacing w:before="120" w:after="120" w:line="360" w:lineRule="auto"/>
      <w:jc w:val="center"/>
    </w:pPr>
    <w:rPr>
      <w:rFonts w:eastAsia="仿宋_GB2312"/>
      <w:b/>
      <w:sz w:val="24"/>
      <w:szCs w:val="20"/>
    </w:rPr>
  </w:style>
  <w:style w:type="paragraph" w:customStyle="1" w:styleId="186">
    <w:name w:val="Table Text"/>
    <w:basedOn w:val="1"/>
    <w:autoRedefine/>
    <w:semiHidden/>
    <w:qFormat/>
    <w:uiPriority w:val="0"/>
    <w:rPr>
      <w:rFonts w:ascii="宋体" w:hAnsi="宋体" w:eastAsia="宋体" w:cs="宋体"/>
      <w:sz w:val="20"/>
      <w:szCs w:val="20"/>
      <w:lang w:val="en-US" w:eastAsia="en-US" w:bidi="ar-SA"/>
    </w:rPr>
  </w:style>
  <w:style w:type="paragraph" w:customStyle="1" w:styleId="187">
    <w:name w:val="索引 11"/>
    <w:basedOn w:val="1"/>
    <w:next w:val="1"/>
    <w:autoRedefine/>
    <w:qFormat/>
    <w:uiPriority w:val="0"/>
    <w:pPr>
      <w:spacing w:line="360" w:lineRule="auto"/>
    </w:pPr>
    <w:rPr>
      <w:rFonts w:ascii="仿宋_GB2312" w:eastAsia="仿宋_GB2312"/>
      <w:sz w:val="24"/>
      <w:szCs w:val="20"/>
    </w:rPr>
  </w:style>
  <w:style w:type="paragraph" w:customStyle="1" w:styleId="188">
    <w:name w:val="纯文本1"/>
    <w:basedOn w:val="1"/>
    <w:autoRedefine/>
    <w:qFormat/>
    <w:uiPriority w:val="0"/>
    <w:rPr>
      <w:rFonts w:ascii="宋体" w:hAnsi="Courier New" w:eastAsia="宋体" w:cs="Times New Roman"/>
      <w:szCs w:val="22"/>
    </w:rPr>
  </w:style>
  <w:style w:type="paragraph" w:customStyle="1" w:styleId="189">
    <w:name w:val="Table Paragraph"/>
    <w:basedOn w:val="1"/>
    <w:autoRedefine/>
    <w:qFormat/>
    <w:uiPriority w:val="1"/>
    <w:pPr>
      <w:widowControl w:val="0"/>
      <w:autoSpaceDE w:val="0"/>
      <w:autoSpaceDN w:val="0"/>
      <w:textAlignment w:val="auto"/>
    </w:pPr>
    <w:rPr>
      <w:rFonts w:cs="宋体"/>
      <w:lang w:eastAsia="zh-CN"/>
    </w:rPr>
  </w:style>
  <w:style w:type="paragraph" w:customStyle="1" w:styleId="190">
    <w:name w:val="NormalIndent"/>
    <w:basedOn w:val="1"/>
    <w:next w:val="1"/>
    <w:autoRedefine/>
    <w:qFormat/>
    <w:uiPriority w:val="0"/>
    <w:pPr>
      <w:ind w:firstLine="42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1.jpeg"/><Relationship Id="rId38" Type="http://schemas.openxmlformats.org/officeDocument/2006/relationships/theme" Target="theme/theme1.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95</Pages>
  <Words>40217</Words>
  <Characters>42340</Characters>
  <Lines>167</Lines>
  <Paragraphs>47</Paragraphs>
  <TotalTime>23</TotalTime>
  <ScaleCrop>false</ScaleCrop>
  <LinksUpToDate>false</LinksUpToDate>
  <CharactersWithSpaces>45409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2017-09-14T10:07:00Z</dcterms:created>
  <dc:creator>Administrator</dc:creator>
  <cp:lastModifiedBy>夏になる</cp:lastModifiedBy>
  <cp:lastPrinted>2022-08-09T09:20:00Z</cp:lastPrinted>
  <dcterms:modified xsi:type="dcterms:W3CDTF">2025-07-03T05:13:44Z</dcterms:modified>
  <dc:title>2017年中山市政府绩效管理咨询服务项目</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6859C5FDD9D74A1FB9BE54F8282B4DA6_13</vt:lpwstr>
  </property>
  <property fmtid="{D5CDD505-2E9C-101B-9397-08002B2CF9AE}" pid="4" name="KSOTemplateDocerSaveRecord">
    <vt:lpwstr>eyJoZGlkIjoiYjQyZmZlZWNlZTcyYzFhMjNkMDQ3OTc4NTYxMmNiZWYiLCJ1c2VySWQiOiI5ODI0OTMxOTAifQ==</vt:lpwstr>
  </property>
</Properties>
</file>