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88B83">
      <w:pPr>
        <w:shd w:val="clear" w:color="auto" w:fill="auto"/>
        <w:jc w:val="both"/>
        <w:rPr>
          <w:rFonts w:hint="eastAsia" w:ascii="仿宋" w:hAnsi="仿宋" w:eastAsia="仿宋" w:cs="仿宋"/>
          <w:b/>
          <w:bCs/>
          <w:color w:val="auto"/>
          <w:sz w:val="32"/>
          <w:szCs w:val="32"/>
          <w:highlight w:val="none"/>
          <w:lang w:val="en-US" w:eastAsia="zh-CN"/>
        </w:rPr>
      </w:pPr>
    </w:p>
    <w:p w14:paraId="79693F7C">
      <w:pPr>
        <w:shd w:val="clear" w:color="auto" w:fill="auto"/>
        <w:jc w:val="both"/>
        <w:rPr>
          <w:rFonts w:hint="eastAsia" w:ascii="仿宋" w:hAnsi="仿宋" w:eastAsia="仿宋" w:cs="仿宋"/>
          <w:b/>
          <w:bCs/>
          <w:color w:val="auto"/>
          <w:sz w:val="32"/>
          <w:szCs w:val="32"/>
          <w:highlight w:val="none"/>
          <w:lang w:val="en-US" w:eastAsia="zh-CN"/>
        </w:rPr>
      </w:pPr>
    </w:p>
    <w:p w14:paraId="57FEAE18">
      <w:pPr>
        <w:shd w:val="clear" w:color="auto" w:fill="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和田市教育系统2024年</w:t>
      </w:r>
    </w:p>
    <w:p w14:paraId="0D98D65C">
      <w:pPr>
        <w:shd w:val="clear" w:color="auto" w:fill="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rPr>
        <w:t>支持学前教育发展资金项目（设备采购</w:t>
      </w:r>
      <w:r>
        <w:rPr>
          <w:rFonts w:hint="eastAsia" w:ascii="仿宋" w:hAnsi="仿宋" w:eastAsia="仿宋" w:cs="仿宋"/>
          <w:b/>
          <w:bCs/>
          <w:color w:val="auto"/>
          <w:sz w:val="44"/>
          <w:szCs w:val="44"/>
          <w:highlight w:val="none"/>
          <w:lang w:eastAsia="zh-CN"/>
        </w:rPr>
        <w:t>）</w:t>
      </w:r>
    </w:p>
    <w:p w14:paraId="3CE9CA47">
      <w:pPr>
        <w:shd w:val="clear" w:color="auto" w:fill="auto"/>
        <w:rPr>
          <w:rFonts w:hint="eastAsia" w:ascii="仿宋" w:hAnsi="仿宋" w:eastAsia="仿宋" w:cs="仿宋"/>
          <w:b/>
          <w:bCs/>
          <w:color w:val="auto"/>
          <w:sz w:val="44"/>
          <w:szCs w:val="44"/>
          <w:highlight w:val="none"/>
        </w:rPr>
      </w:pPr>
    </w:p>
    <w:p w14:paraId="6B98F210">
      <w:pPr>
        <w:shd w:val="clear" w:color="auto" w:fill="auto"/>
        <w:rPr>
          <w:rFonts w:hint="eastAsia" w:ascii="仿宋" w:hAnsi="仿宋" w:eastAsia="仿宋" w:cs="仿宋"/>
          <w:color w:val="auto"/>
          <w:sz w:val="44"/>
          <w:szCs w:val="44"/>
          <w:highlight w:val="none"/>
        </w:rPr>
      </w:pPr>
    </w:p>
    <w:p w14:paraId="56802AEB">
      <w:pPr>
        <w:pStyle w:val="22"/>
        <w:shd w:val="clear" w:color="auto" w:fill="auto"/>
        <w:tabs>
          <w:tab w:val="left" w:pos="9214"/>
        </w:tabs>
        <w:rPr>
          <w:rFonts w:hint="eastAsia" w:ascii="仿宋" w:hAnsi="仿宋" w:eastAsia="仿宋" w:cs="仿宋"/>
          <w:color w:val="auto"/>
          <w:sz w:val="44"/>
          <w:szCs w:val="44"/>
          <w:highlight w:val="none"/>
        </w:rPr>
      </w:pPr>
    </w:p>
    <w:p w14:paraId="7B3AA588">
      <w:pPr>
        <w:shd w:val="clear" w:color="auto" w:fill="auto"/>
        <w:rPr>
          <w:rFonts w:hint="eastAsia" w:ascii="仿宋" w:hAnsi="仿宋" w:eastAsia="仿宋" w:cs="仿宋"/>
          <w:color w:val="auto"/>
          <w:sz w:val="44"/>
          <w:szCs w:val="44"/>
          <w:highlight w:val="none"/>
        </w:rPr>
      </w:pPr>
    </w:p>
    <w:p w14:paraId="43C45C88">
      <w:pPr>
        <w:shd w:val="clear" w:color="auto" w:fill="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竞争性谈判文件</w:t>
      </w:r>
    </w:p>
    <w:p w14:paraId="538B7E36">
      <w:pPr>
        <w:shd w:val="clear" w:color="auto" w:fill="auto"/>
        <w:jc w:val="center"/>
        <w:rPr>
          <w:rFonts w:hint="eastAsia" w:ascii="仿宋" w:hAnsi="仿宋" w:eastAsia="仿宋" w:cs="仿宋"/>
          <w:b/>
          <w:bCs/>
          <w:color w:val="C00000"/>
          <w:sz w:val="28"/>
          <w:szCs w:val="28"/>
          <w:highlight w:val="none"/>
          <w:lang w:val="en-US" w:eastAsia="zh-CN"/>
        </w:rPr>
      </w:pPr>
      <w:bookmarkStart w:id="0" w:name="_Toc13501"/>
      <w:bookmarkStart w:id="1" w:name="_Toc3212"/>
      <w:r>
        <w:rPr>
          <w:rFonts w:hint="eastAsia" w:ascii="仿宋" w:hAnsi="仿宋" w:eastAsia="仿宋" w:cs="仿宋"/>
          <w:b/>
          <w:bCs/>
          <w:color w:val="auto"/>
          <w:sz w:val="28"/>
          <w:szCs w:val="28"/>
          <w:highlight w:val="none"/>
        </w:rPr>
        <w:t>项目编号：</w:t>
      </w:r>
      <w:bookmarkEnd w:id="0"/>
      <w:bookmarkEnd w:id="1"/>
      <w:r>
        <w:rPr>
          <w:rFonts w:hint="eastAsia" w:ascii="仿宋" w:hAnsi="仿宋" w:eastAsia="仿宋" w:cs="仿宋"/>
          <w:b/>
          <w:bCs/>
          <w:color w:val="auto"/>
          <w:sz w:val="28"/>
          <w:szCs w:val="28"/>
          <w:highlight w:val="none"/>
          <w:lang w:val="en-US" w:eastAsia="zh-CN"/>
        </w:rPr>
        <w:t>HTSZFCGZBDL-2025-044</w:t>
      </w:r>
    </w:p>
    <w:p w14:paraId="2642D8A4">
      <w:pPr>
        <w:pStyle w:val="22"/>
        <w:shd w:val="clear" w:color="auto" w:fill="auto"/>
        <w:tabs>
          <w:tab w:val="left" w:pos="9214"/>
        </w:tabs>
        <w:rPr>
          <w:rFonts w:hint="eastAsia" w:ascii="仿宋" w:hAnsi="仿宋" w:eastAsia="仿宋" w:cs="仿宋"/>
          <w:color w:val="auto"/>
          <w:sz w:val="21"/>
          <w:szCs w:val="21"/>
          <w:highlight w:val="none"/>
        </w:rPr>
      </w:pPr>
    </w:p>
    <w:p w14:paraId="04ED7CB7">
      <w:pPr>
        <w:pStyle w:val="55"/>
        <w:shd w:val="clear" w:color="auto" w:fill="auto"/>
        <w:rPr>
          <w:rFonts w:hint="eastAsia" w:ascii="仿宋" w:hAnsi="仿宋" w:eastAsia="仿宋" w:cs="仿宋"/>
          <w:color w:val="auto"/>
          <w:sz w:val="21"/>
          <w:szCs w:val="21"/>
          <w:highlight w:val="none"/>
        </w:rPr>
      </w:pPr>
    </w:p>
    <w:p w14:paraId="75DBC096">
      <w:pPr>
        <w:pStyle w:val="55"/>
        <w:shd w:val="clear" w:color="auto" w:fill="auto"/>
        <w:rPr>
          <w:rFonts w:hint="eastAsia" w:ascii="仿宋" w:hAnsi="仿宋" w:eastAsia="仿宋" w:cs="仿宋"/>
          <w:color w:val="auto"/>
          <w:sz w:val="21"/>
          <w:szCs w:val="21"/>
          <w:highlight w:val="none"/>
        </w:rPr>
      </w:pPr>
    </w:p>
    <w:p w14:paraId="6D628D12">
      <w:pPr>
        <w:pStyle w:val="55"/>
        <w:shd w:val="clear" w:color="auto" w:fill="auto"/>
        <w:rPr>
          <w:rFonts w:hint="eastAsia" w:ascii="仿宋" w:hAnsi="仿宋" w:eastAsia="仿宋" w:cs="仿宋"/>
          <w:color w:val="auto"/>
          <w:sz w:val="21"/>
          <w:szCs w:val="21"/>
          <w:highlight w:val="none"/>
        </w:rPr>
      </w:pPr>
    </w:p>
    <w:p w14:paraId="75787C16">
      <w:pPr>
        <w:pStyle w:val="55"/>
        <w:shd w:val="clear" w:color="auto" w:fill="auto"/>
        <w:rPr>
          <w:rFonts w:hint="eastAsia" w:ascii="仿宋" w:hAnsi="仿宋" w:eastAsia="仿宋" w:cs="仿宋"/>
          <w:color w:val="auto"/>
          <w:sz w:val="21"/>
          <w:szCs w:val="21"/>
          <w:highlight w:val="none"/>
        </w:rPr>
      </w:pPr>
    </w:p>
    <w:p w14:paraId="29441DCA">
      <w:pPr>
        <w:pStyle w:val="55"/>
        <w:shd w:val="clear" w:color="auto" w:fill="auto"/>
        <w:rPr>
          <w:rFonts w:hint="eastAsia" w:ascii="仿宋" w:hAnsi="仿宋" w:eastAsia="仿宋" w:cs="仿宋"/>
          <w:color w:val="auto"/>
          <w:sz w:val="21"/>
          <w:szCs w:val="21"/>
          <w:highlight w:val="none"/>
        </w:rPr>
      </w:pPr>
    </w:p>
    <w:p w14:paraId="35B95AF7">
      <w:pPr>
        <w:pStyle w:val="26"/>
        <w:rPr>
          <w:rFonts w:hint="eastAsia" w:ascii="仿宋" w:hAnsi="仿宋" w:eastAsia="仿宋" w:cs="仿宋"/>
          <w:color w:val="auto"/>
          <w:sz w:val="21"/>
          <w:szCs w:val="21"/>
          <w:highlight w:val="none"/>
        </w:rPr>
      </w:pPr>
    </w:p>
    <w:p w14:paraId="642DE367">
      <w:pPr>
        <w:rPr>
          <w:rFonts w:hint="eastAsia" w:ascii="仿宋" w:hAnsi="仿宋" w:eastAsia="仿宋" w:cs="仿宋"/>
          <w:color w:val="auto"/>
          <w:sz w:val="21"/>
          <w:szCs w:val="21"/>
          <w:highlight w:val="none"/>
        </w:rPr>
      </w:pPr>
    </w:p>
    <w:p w14:paraId="5D9AB54E">
      <w:pPr>
        <w:pStyle w:val="14"/>
        <w:rPr>
          <w:rFonts w:hint="eastAsia" w:ascii="仿宋" w:hAnsi="仿宋" w:eastAsia="仿宋" w:cs="仿宋"/>
          <w:color w:val="auto"/>
          <w:sz w:val="21"/>
          <w:szCs w:val="21"/>
          <w:highlight w:val="none"/>
        </w:rPr>
      </w:pPr>
    </w:p>
    <w:p w14:paraId="34CE7101">
      <w:pPr>
        <w:rPr>
          <w:rFonts w:hint="eastAsia" w:ascii="仿宋" w:hAnsi="仿宋" w:eastAsia="仿宋" w:cs="仿宋"/>
        </w:rPr>
      </w:pPr>
    </w:p>
    <w:p w14:paraId="6EA29AA7">
      <w:pPr>
        <w:pStyle w:val="55"/>
        <w:shd w:val="clear" w:color="auto" w:fill="auto"/>
        <w:rPr>
          <w:rFonts w:hint="eastAsia" w:ascii="仿宋" w:hAnsi="仿宋" w:eastAsia="仿宋" w:cs="仿宋"/>
          <w:color w:val="auto"/>
          <w:sz w:val="21"/>
          <w:szCs w:val="21"/>
          <w:highlight w:val="none"/>
        </w:rPr>
      </w:pPr>
    </w:p>
    <w:p w14:paraId="0BFCAD65">
      <w:pPr>
        <w:pStyle w:val="63"/>
        <w:shd w:val="clear" w:color="auto" w:fill="auto"/>
        <w:jc w:val="both"/>
        <w:rPr>
          <w:rFonts w:hint="eastAsia" w:ascii="仿宋" w:hAnsi="仿宋" w:eastAsia="仿宋" w:cs="仿宋"/>
          <w:color w:val="auto"/>
          <w:spacing w:val="40"/>
          <w:sz w:val="21"/>
          <w:szCs w:val="21"/>
          <w:highlight w:val="none"/>
        </w:rPr>
      </w:pPr>
    </w:p>
    <w:p w14:paraId="18436242">
      <w:pPr>
        <w:pStyle w:val="63"/>
        <w:shd w:val="clear" w:color="auto" w:fill="auto"/>
        <w:jc w:val="both"/>
        <w:rPr>
          <w:rFonts w:hint="eastAsia" w:ascii="仿宋" w:hAnsi="仿宋" w:eastAsia="仿宋" w:cs="仿宋"/>
          <w:color w:val="auto"/>
          <w:spacing w:val="40"/>
          <w:sz w:val="21"/>
          <w:szCs w:val="21"/>
          <w:highlight w:val="none"/>
        </w:rPr>
      </w:pPr>
    </w:p>
    <w:p w14:paraId="53326D6F">
      <w:pPr>
        <w:shd w:val="clear" w:color="auto" w:fill="auto"/>
        <w:ind w:firstLine="1084" w:firstLineChars="300"/>
        <w:jc w:val="both"/>
        <w:rPr>
          <w:rFonts w:hint="default" w:ascii="仿宋" w:hAnsi="仿宋" w:eastAsia="仿宋" w:cs="仿宋"/>
          <w:b/>
          <w:color w:val="auto"/>
          <w:sz w:val="36"/>
          <w:szCs w:val="36"/>
          <w:highlight w:val="none"/>
          <w:lang w:val="en-US" w:eastAsia="zh-CN"/>
        </w:rPr>
      </w:pPr>
      <w:bookmarkStart w:id="2" w:name="_Toc8582"/>
      <w:bookmarkStart w:id="3" w:name="_Toc6467"/>
      <w:bookmarkStart w:id="4" w:name="OLE_LINK1"/>
      <w:r>
        <w:rPr>
          <w:rFonts w:hint="eastAsia" w:ascii="仿宋" w:hAnsi="仿宋" w:eastAsia="仿宋" w:cs="仿宋"/>
          <w:b/>
          <w:color w:val="auto"/>
          <w:sz w:val="36"/>
          <w:szCs w:val="36"/>
          <w:highlight w:val="none"/>
          <w:lang w:eastAsia="zh-CN"/>
        </w:rPr>
        <w:t>采 购 人：</w:t>
      </w:r>
      <w:bookmarkEnd w:id="2"/>
      <w:bookmarkEnd w:id="3"/>
      <w:r>
        <w:rPr>
          <w:rFonts w:hint="eastAsia" w:ascii="仿宋" w:hAnsi="仿宋" w:eastAsia="仿宋" w:cs="仿宋"/>
          <w:b/>
          <w:color w:val="auto"/>
          <w:sz w:val="36"/>
          <w:szCs w:val="36"/>
          <w:highlight w:val="none"/>
          <w:lang w:val="en-US" w:eastAsia="zh-CN"/>
        </w:rPr>
        <w:t>和田市教育局</w:t>
      </w:r>
    </w:p>
    <w:p w14:paraId="2E431754">
      <w:pPr>
        <w:shd w:val="clear" w:color="auto" w:fill="auto"/>
        <w:jc w:val="center"/>
        <w:rPr>
          <w:rFonts w:hint="eastAsia" w:ascii="仿宋" w:hAnsi="仿宋" w:eastAsia="仿宋" w:cs="仿宋"/>
          <w:b/>
          <w:color w:val="auto"/>
          <w:sz w:val="36"/>
          <w:szCs w:val="36"/>
          <w:highlight w:val="none"/>
          <w:lang w:val="zh-CN" w:eastAsia="zh-CN"/>
        </w:rPr>
      </w:pPr>
      <w:r>
        <w:rPr>
          <w:rFonts w:hint="eastAsia" w:ascii="仿宋" w:hAnsi="仿宋" w:eastAsia="仿宋" w:cs="仿宋"/>
          <w:b/>
          <w:color w:val="auto"/>
          <w:sz w:val="36"/>
          <w:szCs w:val="36"/>
          <w:highlight w:val="none"/>
          <w:lang w:eastAsia="zh-CN"/>
        </w:rPr>
        <w:t>采购代理机构：</w:t>
      </w:r>
      <w:r>
        <w:rPr>
          <w:rFonts w:hint="eastAsia" w:ascii="仿宋" w:hAnsi="仿宋" w:eastAsia="仿宋" w:cs="仿宋"/>
          <w:b/>
          <w:color w:val="auto"/>
          <w:sz w:val="36"/>
          <w:szCs w:val="36"/>
          <w:highlight w:val="none"/>
          <w:lang w:val="en-US" w:eastAsia="zh-CN"/>
        </w:rPr>
        <w:t>和田启投</w:t>
      </w:r>
      <w:r>
        <w:rPr>
          <w:rFonts w:hint="eastAsia" w:ascii="仿宋" w:hAnsi="仿宋" w:eastAsia="仿宋" w:cs="仿宋"/>
          <w:b/>
          <w:color w:val="auto"/>
          <w:sz w:val="36"/>
          <w:szCs w:val="36"/>
          <w:highlight w:val="none"/>
          <w:lang w:val="zh-CN" w:eastAsia="zh-CN"/>
        </w:rPr>
        <w:t>工程项目管理有限公司</w:t>
      </w:r>
    </w:p>
    <w:p w14:paraId="20C8516B">
      <w:pPr>
        <w:shd w:val="clear" w:color="auto" w:fill="auto"/>
        <w:jc w:val="center"/>
        <w:rPr>
          <w:rFonts w:hint="eastAsia" w:ascii="仿宋" w:hAnsi="仿宋" w:eastAsia="仿宋" w:cs="仿宋"/>
          <w:color w:val="auto"/>
          <w:sz w:val="21"/>
          <w:szCs w:val="21"/>
          <w:highlight w:val="none"/>
        </w:rPr>
      </w:pPr>
    </w:p>
    <w:p w14:paraId="44C84AB4">
      <w:pPr>
        <w:shd w:val="clear" w:color="auto" w:fill="auto"/>
        <w:jc w:val="center"/>
        <w:rPr>
          <w:rFonts w:hint="eastAsia" w:ascii="仿宋" w:hAnsi="仿宋" w:eastAsia="仿宋" w:cs="仿宋"/>
          <w:b/>
          <w:color w:val="auto"/>
          <w:sz w:val="36"/>
          <w:szCs w:val="36"/>
          <w:highlight w:val="none"/>
          <w:lang w:val="zh-CN" w:eastAsia="zh-CN"/>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仿宋" w:hAnsi="仿宋" w:eastAsia="仿宋" w:cs="仿宋"/>
          <w:b/>
          <w:color w:val="auto"/>
          <w:sz w:val="36"/>
          <w:szCs w:val="36"/>
          <w:highlight w:val="none"/>
          <w:lang w:val="zh-CN" w:eastAsia="zh-CN"/>
        </w:rPr>
        <w:t>202</w:t>
      </w:r>
      <w:r>
        <w:rPr>
          <w:rFonts w:hint="eastAsia" w:ascii="仿宋" w:hAnsi="仿宋" w:eastAsia="仿宋" w:cs="仿宋"/>
          <w:b/>
          <w:color w:val="auto"/>
          <w:sz w:val="36"/>
          <w:szCs w:val="36"/>
          <w:highlight w:val="none"/>
          <w:lang w:val="en-US" w:eastAsia="zh-CN"/>
        </w:rPr>
        <w:t>5</w:t>
      </w:r>
      <w:r>
        <w:rPr>
          <w:rFonts w:hint="eastAsia" w:ascii="仿宋" w:hAnsi="仿宋" w:eastAsia="仿宋" w:cs="仿宋"/>
          <w:b/>
          <w:color w:val="auto"/>
          <w:sz w:val="36"/>
          <w:szCs w:val="36"/>
          <w:highlight w:val="none"/>
          <w:lang w:val="zh-CN" w:eastAsia="zh-CN"/>
        </w:rPr>
        <w:t>年</w:t>
      </w:r>
      <w:bookmarkEnd w:id="4"/>
      <w:r>
        <w:rPr>
          <w:rFonts w:hint="eastAsia" w:ascii="仿宋" w:hAnsi="仿宋" w:eastAsia="仿宋" w:cs="仿宋"/>
          <w:b/>
          <w:color w:val="auto"/>
          <w:sz w:val="36"/>
          <w:szCs w:val="36"/>
          <w:highlight w:val="none"/>
          <w:lang w:val="en-US" w:eastAsia="zh-CN"/>
        </w:rPr>
        <w:t>7</w:t>
      </w:r>
      <w:r>
        <w:rPr>
          <w:rFonts w:hint="eastAsia" w:ascii="仿宋" w:hAnsi="仿宋" w:eastAsia="仿宋" w:cs="仿宋"/>
          <w:b/>
          <w:color w:val="auto"/>
          <w:sz w:val="36"/>
          <w:szCs w:val="36"/>
          <w:highlight w:val="none"/>
          <w:lang w:val="zh-CN" w:eastAsia="zh-CN"/>
        </w:rPr>
        <w:t>月</w:t>
      </w:r>
    </w:p>
    <w:p w14:paraId="6C96FE0F">
      <w:pPr>
        <w:shd w:val="clear" w:color="auto" w:fill="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采购文件</w:t>
      </w:r>
    </w:p>
    <w:p w14:paraId="2E1F0061">
      <w:pPr>
        <w:shd w:val="clear" w:color="auto" w:fill="auto"/>
        <w:ind w:left="-155" w:leftChars="-95" w:hanging="44" w:hangingChars="21"/>
        <w:jc w:val="left"/>
        <w:rPr>
          <w:rFonts w:hint="eastAsia" w:ascii="仿宋" w:hAnsi="仿宋" w:eastAsia="仿宋" w:cs="仿宋"/>
          <w:bCs/>
          <w:color w:val="auto"/>
          <w:sz w:val="21"/>
          <w:szCs w:val="21"/>
          <w:highlight w:val="none"/>
        </w:rPr>
      </w:pPr>
    </w:p>
    <w:p w14:paraId="51F6FAD9">
      <w:pPr>
        <w:pStyle w:val="2"/>
        <w:shd w:val="clear" w:color="auto" w:fill="auto"/>
        <w:ind w:firstLine="440"/>
        <w:rPr>
          <w:rFonts w:hint="eastAsia" w:ascii="仿宋" w:hAnsi="仿宋" w:eastAsia="仿宋" w:cs="仿宋"/>
          <w:color w:val="auto"/>
          <w:sz w:val="21"/>
          <w:szCs w:val="21"/>
          <w:highlight w:val="none"/>
          <w:lang w:eastAsia="zh-CN"/>
        </w:rPr>
      </w:pPr>
    </w:p>
    <w:p w14:paraId="238E7730">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项目名称：和田市教育系统2024年支持学前教育发展资金项目（设备采购）</w:t>
      </w:r>
    </w:p>
    <w:p w14:paraId="69F493C2">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项目编号：HTSZFCGZBDL-2025-044</w:t>
      </w:r>
    </w:p>
    <w:p w14:paraId="5E2EEDD8">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en-US" w:eastAsia="zh-CN"/>
        </w:rPr>
      </w:pPr>
    </w:p>
    <w:p w14:paraId="75AFC128">
      <w:pPr>
        <w:pStyle w:val="35"/>
        <w:rPr>
          <w:rFonts w:hint="eastAsia" w:ascii="仿宋" w:hAnsi="仿宋" w:eastAsia="仿宋" w:cs="仿宋"/>
          <w:color w:val="auto"/>
          <w:sz w:val="24"/>
          <w:szCs w:val="24"/>
        </w:rPr>
      </w:pPr>
    </w:p>
    <w:p w14:paraId="63779727">
      <w:pPr>
        <w:pStyle w:val="35"/>
        <w:rPr>
          <w:rFonts w:hint="eastAsia" w:ascii="仿宋" w:hAnsi="仿宋" w:eastAsia="仿宋" w:cs="仿宋"/>
          <w:color w:val="auto"/>
          <w:sz w:val="24"/>
          <w:szCs w:val="24"/>
        </w:rPr>
      </w:pPr>
    </w:p>
    <w:p w14:paraId="05ACBD30">
      <w:pPr>
        <w:keepNext w:val="0"/>
        <w:keepLines w:val="0"/>
        <w:pageBreakBefore w:val="0"/>
        <w:widowControl w:val="0"/>
        <w:kinsoku/>
        <w:wordWrap/>
        <w:overflowPunct/>
        <w:topLinePunct w:val="0"/>
        <w:autoSpaceDE w:val="0"/>
        <w:autoSpaceDN w:val="0"/>
        <w:bidi w:val="0"/>
        <w:adjustRightInd w:val="0"/>
        <w:snapToGrid/>
        <w:spacing w:line="560" w:lineRule="exact"/>
        <w:ind w:left="1719" w:leftChars="133" w:hanging="1440" w:hangingChars="600"/>
        <w:textAlignment w:val="auto"/>
        <w:rPr>
          <w:rFonts w:hint="eastAsia" w:ascii="仿宋" w:hAnsi="仿宋" w:eastAsia="仿宋" w:cs="仿宋"/>
          <w:bCs/>
          <w:color w:val="auto"/>
          <w:sz w:val="24"/>
          <w:szCs w:val="24"/>
          <w:lang w:val="en-US" w:eastAsia="zh-CN"/>
        </w:rPr>
      </w:pPr>
    </w:p>
    <w:p w14:paraId="0052CA11">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zh-CN"/>
        </w:rPr>
        <w:t>采</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lang w:val="zh-CN"/>
        </w:rPr>
        <w:t>购</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lang w:val="zh-CN"/>
        </w:rPr>
        <w:t>人（盖章）：</w:t>
      </w:r>
      <w:r>
        <w:rPr>
          <w:rFonts w:hint="eastAsia" w:ascii="仿宋" w:hAnsi="仿宋" w:eastAsia="仿宋" w:cs="仿宋"/>
          <w:bCs/>
          <w:color w:val="auto"/>
          <w:sz w:val="24"/>
          <w:szCs w:val="24"/>
          <w:lang w:val="en-US" w:eastAsia="zh-CN"/>
        </w:rPr>
        <w:t>和田市教育局</w:t>
      </w:r>
    </w:p>
    <w:p w14:paraId="525A78F3">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rPr>
        <w:t>联 系 人：</w:t>
      </w:r>
      <w:r>
        <w:rPr>
          <w:rFonts w:hint="eastAsia" w:ascii="仿宋" w:hAnsi="仿宋" w:eastAsia="仿宋" w:cs="仿宋"/>
          <w:bCs/>
          <w:color w:val="auto"/>
          <w:sz w:val="24"/>
          <w:szCs w:val="24"/>
          <w:lang w:val="zh-CN" w:eastAsia="zh-CN"/>
        </w:rPr>
        <w:t>阿不都赛买提阿不都热依木</w:t>
      </w:r>
    </w:p>
    <w:p w14:paraId="2A38B903">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zh-CN"/>
        </w:rPr>
        <w:t>电    话：</w:t>
      </w:r>
      <w:r>
        <w:rPr>
          <w:rFonts w:hint="eastAsia" w:ascii="仿宋" w:hAnsi="仿宋" w:eastAsia="仿宋" w:cs="仿宋"/>
          <w:bCs/>
          <w:color w:val="auto"/>
          <w:sz w:val="24"/>
          <w:szCs w:val="24"/>
          <w:lang w:val="zh-CN" w:eastAsia="zh-CN"/>
        </w:rPr>
        <w:t>0903-2512576</w:t>
      </w:r>
    </w:p>
    <w:p w14:paraId="10CC1B23">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详细地址：</w:t>
      </w:r>
      <w:r>
        <w:rPr>
          <w:rFonts w:hint="eastAsia" w:ascii="仿宋" w:hAnsi="仿宋" w:eastAsia="仿宋" w:cs="仿宋"/>
          <w:bCs/>
          <w:color w:val="auto"/>
          <w:sz w:val="24"/>
          <w:szCs w:val="24"/>
          <w:lang w:val="zh-CN" w:eastAsia="zh-CN"/>
        </w:rPr>
        <w:t>和田市乌鲁木齐南路26号</w:t>
      </w:r>
      <w:r>
        <w:rPr>
          <w:rFonts w:hint="eastAsia" w:ascii="仿宋" w:hAnsi="仿宋" w:eastAsia="仿宋" w:cs="仿宋"/>
          <w:bCs/>
          <w:color w:val="auto"/>
          <w:sz w:val="24"/>
          <w:szCs w:val="24"/>
          <w:lang w:val="zh-CN"/>
        </w:rPr>
        <w:t xml:space="preserve"> </w:t>
      </w:r>
    </w:p>
    <w:p w14:paraId="693E0044">
      <w:pPr>
        <w:keepNext w:val="0"/>
        <w:keepLines w:val="0"/>
        <w:pageBreakBefore w:val="0"/>
        <w:widowControl w:val="0"/>
        <w:kinsoku/>
        <w:wordWrap/>
        <w:overflowPunct/>
        <w:topLinePunct w:val="0"/>
        <w:autoSpaceDE w:val="0"/>
        <w:autoSpaceDN w:val="0"/>
        <w:bidi w:val="0"/>
        <w:adjustRightInd w:val="0"/>
        <w:snapToGrid/>
        <w:spacing w:line="480" w:lineRule="auto"/>
        <w:ind w:left="3802" w:leftChars="382" w:hanging="3000" w:hangingChars="1250"/>
        <w:textAlignment w:val="auto"/>
        <w:rPr>
          <w:rFonts w:hint="eastAsia" w:ascii="仿宋" w:hAnsi="仿宋" w:eastAsia="仿宋" w:cs="仿宋"/>
          <w:bCs/>
          <w:color w:val="auto"/>
          <w:sz w:val="24"/>
          <w:szCs w:val="24"/>
          <w:lang w:val="zh-CN"/>
        </w:rPr>
      </w:pPr>
    </w:p>
    <w:p w14:paraId="25A0DB46">
      <w:pPr>
        <w:pStyle w:val="14"/>
        <w:rPr>
          <w:rFonts w:hint="eastAsia" w:ascii="仿宋" w:hAnsi="仿宋" w:eastAsia="仿宋" w:cs="仿宋"/>
          <w:bCs/>
          <w:color w:val="auto"/>
          <w:sz w:val="24"/>
          <w:szCs w:val="24"/>
          <w:lang w:val="zh-CN"/>
        </w:rPr>
      </w:pPr>
    </w:p>
    <w:p w14:paraId="0F4AF771">
      <w:pPr>
        <w:rPr>
          <w:rFonts w:hint="eastAsia" w:ascii="仿宋" w:hAnsi="仿宋" w:eastAsia="仿宋" w:cs="仿宋"/>
          <w:bCs/>
          <w:color w:val="auto"/>
          <w:sz w:val="24"/>
          <w:szCs w:val="24"/>
          <w:lang w:val="zh-CN"/>
        </w:rPr>
      </w:pPr>
    </w:p>
    <w:p w14:paraId="44919E63">
      <w:pPr>
        <w:pStyle w:val="2"/>
        <w:rPr>
          <w:rFonts w:hint="eastAsia" w:ascii="仿宋" w:hAnsi="仿宋" w:eastAsia="仿宋" w:cs="仿宋"/>
          <w:bCs/>
          <w:color w:val="auto"/>
          <w:sz w:val="24"/>
          <w:szCs w:val="24"/>
          <w:lang w:val="zh-CN"/>
        </w:rPr>
      </w:pPr>
    </w:p>
    <w:p w14:paraId="74AA81B8">
      <w:pPr>
        <w:rPr>
          <w:rFonts w:hint="eastAsia"/>
          <w:lang w:val="zh-CN"/>
        </w:rPr>
      </w:pPr>
    </w:p>
    <w:p w14:paraId="0918A927">
      <w:pPr>
        <w:rPr>
          <w:rFonts w:hint="eastAsia" w:ascii="仿宋" w:hAnsi="仿宋" w:eastAsia="仿宋" w:cs="仿宋"/>
          <w:bCs/>
          <w:color w:val="auto"/>
          <w:sz w:val="24"/>
          <w:szCs w:val="24"/>
          <w:lang w:val="zh-CN"/>
        </w:rPr>
      </w:pPr>
    </w:p>
    <w:p w14:paraId="531E553F">
      <w:pPr>
        <w:pStyle w:val="14"/>
        <w:rPr>
          <w:rFonts w:hint="eastAsia" w:ascii="仿宋" w:hAnsi="仿宋" w:eastAsia="仿宋" w:cs="仿宋"/>
          <w:bCs/>
          <w:color w:val="auto"/>
          <w:sz w:val="24"/>
          <w:szCs w:val="24"/>
          <w:lang w:val="zh-CN"/>
        </w:rPr>
      </w:pPr>
    </w:p>
    <w:p w14:paraId="4BE02E13">
      <w:pPr>
        <w:rPr>
          <w:rFonts w:hint="eastAsia" w:ascii="仿宋" w:hAnsi="仿宋" w:eastAsia="仿宋" w:cs="仿宋"/>
          <w:sz w:val="24"/>
          <w:szCs w:val="22"/>
          <w:lang w:val="zh-CN"/>
        </w:rPr>
      </w:pPr>
    </w:p>
    <w:p w14:paraId="19E40086">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zh-CN"/>
        </w:rPr>
        <w:t>招标代理机构</w:t>
      </w:r>
      <w:r>
        <w:rPr>
          <w:rFonts w:hint="eastAsia" w:ascii="仿宋" w:hAnsi="仿宋" w:eastAsia="仿宋" w:cs="仿宋"/>
          <w:color w:val="auto"/>
          <w:sz w:val="24"/>
          <w:szCs w:val="24"/>
          <w:lang w:val="zh-CN"/>
        </w:rPr>
        <w:t>（盖章）</w:t>
      </w:r>
      <w:r>
        <w:rPr>
          <w:rFonts w:hint="eastAsia" w:ascii="仿宋" w:hAnsi="仿宋" w:eastAsia="仿宋" w:cs="仿宋"/>
          <w:bCs/>
          <w:color w:val="auto"/>
          <w:sz w:val="24"/>
          <w:szCs w:val="24"/>
          <w:lang w:val="zh-CN"/>
        </w:rPr>
        <w:t>：</w:t>
      </w:r>
      <w:r>
        <w:rPr>
          <w:rFonts w:hint="eastAsia" w:ascii="仿宋" w:hAnsi="仿宋" w:eastAsia="仿宋" w:cs="仿宋"/>
          <w:bCs/>
          <w:color w:val="auto"/>
          <w:sz w:val="24"/>
          <w:szCs w:val="24"/>
          <w:lang w:val="en-US" w:eastAsia="zh-CN"/>
        </w:rPr>
        <w:t>和田启投工程项目管理有限公司</w:t>
      </w:r>
    </w:p>
    <w:p w14:paraId="3313EAEA">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kern w:val="0"/>
          <w:sz w:val="24"/>
          <w:szCs w:val="24"/>
          <w:lang w:val="zh-CN"/>
        </w:rPr>
        <w:t>项目负责人</w:t>
      </w:r>
      <w:r>
        <w:rPr>
          <w:rFonts w:hint="eastAsia" w:ascii="仿宋" w:hAnsi="仿宋" w:eastAsia="仿宋" w:cs="仿宋"/>
          <w:bCs/>
          <w:color w:val="auto"/>
          <w:sz w:val="24"/>
          <w:szCs w:val="24"/>
          <w:lang w:val="zh-CN"/>
        </w:rPr>
        <w:t>：</w:t>
      </w:r>
      <w:r>
        <w:rPr>
          <w:rFonts w:hint="eastAsia" w:ascii="仿宋" w:hAnsi="仿宋" w:eastAsia="仿宋" w:cs="仿宋"/>
          <w:bCs/>
          <w:color w:val="auto"/>
          <w:sz w:val="24"/>
          <w:szCs w:val="24"/>
          <w:lang w:val="en-US" w:eastAsia="zh-CN"/>
        </w:rPr>
        <w:t>储鹏飞</w:t>
      </w:r>
    </w:p>
    <w:p w14:paraId="4039BD86">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kern w:val="0"/>
          <w:sz w:val="24"/>
          <w:szCs w:val="24"/>
          <w:lang w:val="zh-CN"/>
        </w:rPr>
        <w:t>电    话</w:t>
      </w:r>
      <w:r>
        <w:rPr>
          <w:rFonts w:hint="eastAsia" w:ascii="仿宋" w:hAnsi="仿宋" w:eastAsia="仿宋" w:cs="仿宋"/>
          <w:bCs/>
          <w:color w:val="auto"/>
          <w:sz w:val="24"/>
          <w:szCs w:val="24"/>
          <w:lang w:val="zh-CN"/>
        </w:rPr>
        <w:t>：0903-</w:t>
      </w:r>
      <w:r>
        <w:rPr>
          <w:rFonts w:hint="eastAsia" w:ascii="仿宋" w:hAnsi="仿宋" w:eastAsia="仿宋" w:cs="仿宋"/>
          <w:bCs/>
          <w:color w:val="auto"/>
          <w:sz w:val="24"/>
          <w:szCs w:val="24"/>
          <w:lang w:val="zh-CN" w:eastAsia="zh-CN"/>
        </w:rPr>
        <w:t>2025885</w:t>
      </w:r>
    </w:p>
    <w:p w14:paraId="2C317F09">
      <w:pPr>
        <w:autoSpaceDE w:val="0"/>
        <w:autoSpaceDN w:val="0"/>
        <w:adjustRightInd w:val="0"/>
        <w:spacing w:line="720" w:lineRule="auto"/>
        <w:jc w:val="left"/>
        <w:rPr>
          <w:rFonts w:hint="eastAsia" w:ascii="仿宋" w:hAnsi="仿宋" w:eastAsia="仿宋" w:cs="仿宋"/>
          <w:color w:val="auto"/>
          <w:kern w:val="0"/>
          <w:sz w:val="21"/>
          <w:szCs w:val="21"/>
        </w:rPr>
      </w:pPr>
      <w:r>
        <w:rPr>
          <w:rFonts w:hint="eastAsia" w:ascii="仿宋" w:hAnsi="仿宋" w:eastAsia="仿宋" w:cs="仿宋"/>
          <w:b w:val="0"/>
          <w:bCs/>
          <w:color w:val="auto"/>
          <w:kern w:val="0"/>
          <w:sz w:val="24"/>
          <w:szCs w:val="24"/>
          <w:lang w:val="zh-CN" w:eastAsia="zh-CN" w:bidi="ar-SA"/>
        </w:rPr>
        <w:t>详细地址：和田市古江南路19号</w:t>
      </w:r>
    </w:p>
    <w:p w14:paraId="19484F29">
      <w:pPr>
        <w:autoSpaceDE w:val="0"/>
        <w:autoSpaceDN w:val="0"/>
        <w:adjustRightInd w:val="0"/>
        <w:spacing w:line="600" w:lineRule="auto"/>
        <w:jc w:val="center"/>
        <w:rPr>
          <w:rFonts w:hint="eastAsia" w:ascii="仿宋" w:hAnsi="仿宋" w:eastAsia="仿宋" w:cs="仿宋"/>
          <w:color w:val="auto"/>
          <w:kern w:val="0"/>
          <w:sz w:val="32"/>
          <w:szCs w:val="32"/>
        </w:rPr>
      </w:pPr>
    </w:p>
    <w:p w14:paraId="26348FB9">
      <w:pPr>
        <w:autoSpaceDE w:val="0"/>
        <w:autoSpaceDN w:val="0"/>
        <w:adjustRightInd w:val="0"/>
        <w:spacing w:line="600" w:lineRule="auto"/>
        <w:jc w:val="center"/>
        <w:rPr>
          <w:rFonts w:hint="eastAsia" w:ascii="仿宋" w:hAnsi="仿宋" w:eastAsia="仿宋" w:cs="仿宋"/>
          <w:color w:val="auto"/>
          <w:kern w:val="0"/>
          <w:sz w:val="40"/>
          <w:szCs w:val="40"/>
        </w:rPr>
      </w:pPr>
      <w:r>
        <w:rPr>
          <w:rFonts w:hint="eastAsia" w:ascii="仿宋" w:hAnsi="仿宋" w:eastAsia="仿宋" w:cs="仿宋"/>
          <w:color w:val="auto"/>
          <w:kern w:val="0"/>
          <w:sz w:val="40"/>
          <w:szCs w:val="40"/>
        </w:rPr>
        <w:t>目  录</w:t>
      </w:r>
    </w:p>
    <w:p w14:paraId="72A5D1FD">
      <w:pPr>
        <w:pStyle w:val="33"/>
        <w:tabs>
          <w:tab w:val="right" w:leader="dot" w:pos="9746"/>
        </w:tabs>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"1-1" \h \u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_Toc14043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 xml:space="preserve">第一章 </w:t>
      </w:r>
      <w:r>
        <w:rPr>
          <w:rFonts w:hint="eastAsia" w:ascii="仿宋" w:hAnsi="仿宋" w:eastAsia="仿宋" w:cs="仿宋"/>
          <w:bCs/>
          <w:sz w:val="24"/>
          <w:szCs w:val="24"/>
          <w:highlight w:val="none"/>
          <w:lang w:eastAsia="zh-CN"/>
        </w:rPr>
        <w:t>竞争性谈判</w:t>
      </w:r>
      <w:r>
        <w:rPr>
          <w:rFonts w:hint="eastAsia" w:ascii="仿宋" w:hAnsi="仿宋" w:eastAsia="仿宋" w:cs="仿宋"/>
          <w:bCs/>
          <w:sz w:val="24"/>
          <w:szCs w:val="24"/>
          <w:highlight w:val="none"/>
        </w:rPr>
        <w:t>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_Toc14043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14:paraId="0AE6C1F3">
      <w:pPr>
        <w:pStyle w:val="33"/>
        <w:tabs>
          <w:tab w:val="right" w:leader="dot" w:pos="9746"/>
        </w:tabs>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_Toc32048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 xml:space="preserve">第二章 </w:t>
      </w:r>
      <w:r>
        <w:rPr>
          <w:rFonts w:hint="eastAsia" w:ascii="仿宋" w:hAnsi="仿宋" w:eastAsia="仿宋" w:cs="仿宋"/>
          <w:sz w:val="24"/>
          <w:szCs w:val="24"/>
          <w:lang w:eastAsia="zh-CN"/>
        </w:rPr>
        <w:t>投标供应商须知</w:t>
      </w:r>
      <w:r>
        <w:rPr>
          <w:rFonts w:hint="eastAsia" w:ascii="仿宋" w:hAnsi="仿宋" w:eastAsia="仿宋" w:cs="仿宋"/>
          <w:sz w:val="24"/>
          <w:szCs w:val="24"/>
        </w:rPr>
        <w:tab/>
      </w:r>
      <w:r>
        <w:rPr>
          <w:rFonts w:hint="eastAsia" w:ascii="仿宋" w:hAnsi="仿宋" w:eastAsia="仿宋" w:cs="仿宋"/>
          <w:sz w:val="24"/>
          <w:szCs w:val="24"/>
          <w:lang w:val="en-US" w:eastAsia="zh-CN"/>
        </w:rPr>
        <w:t>9</w:t>
      </w:r>
      <w:r>
        <w:rPr>
          <w:rFonts w:hint="eastAsia" w:ascii="仿宋" w:hAnsi="仿宋" w:eastAsia="仿宋" w:cs="仿宋"/>
          <w:color w:val="auto"/>
          <w:sz w:val="24"/>
          <w:szCs w:val="24"/>
        </w:rPr>
        <w:fldChar w:fldCharType="end"/>
      </w:r>
    </w:p>
    <w:p w14:paraId="3268360E">
      <w:pPr>
        <w:pStyle w:val="33"/>
        <w:tabs>
          <w:tab w:val="right" w:leader="dot" w:pos="9746"/>
        </w:tabs>
        <w:rPr>
          <w:rFonts w:hint="eastAsia" w:ascii="仿宋" w:hAnsi="仿宋" w:eastAsia="仿宋" w:cs="仿宋"/>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_Toc12308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第三章 采购需求</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5</w:t>
      </w:r>
    </w:p>
    <w:p w14:paraId="3429FCC7">
      <w:pPr>
        <w:pStyle w:val="33"/>
        <w:tabs>
          <w:tab w:val="right" w:leader="dot" w:pos="9746"/>
        </w:tabs>
        <w:rPr>
          <w:rFonts w:hint="eastAsia" w:ascii="仿宋" w:hAnsi="仿宋" w:eastAsia="仿宋" w:cs="仿宋"/>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_Toc5760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第四章 谈判规则及标准</w:t>
      </w:r>
      <w:r>
        <w:rPr>
          <w:rFonts w:hint="eastAsia" w:ascii="仿宋" w:hAnsi="仿宋" w:eastAsia="仿宋" w:cs="仿宋"/>
          <w:sz w:val="24"/>
          <w:szCs w:val="24"/>
        </w:rPr>
        <w:tab/>
      </w:r>
      <w:r>
        <w:rPr>
          <w:rFonts w:hint="eastAsia" w:ascii="仿宋" w:hAnsi="仿宋" w:eastAsia="仿宋" w:cs="仿宋"/>
          <w:sz w:val="24"/>
          <w:szCs w:val="24"/>
          <w:lang w:val="en-US" w:eastAsia="zh-CN"/>
        </w:rPr>
        <w:t>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1</w:t>
      </w:r>
    </w:p>
    <w:p w14:paraId="3A02D7DF">
      <w:pPr>
        <w:pStyle w:val="33"/>
        <w:tabs>
          <w:tab w:val="right" w:leader="dot" w:pos="9746"/>
        </w:tabs>
        <w:rPr>
          <w:rFonts w:hint="eastAsia" w:ascii="仿宋" w:hAnsi="仿宋" w:eastAsia="仿宋" w:cs="仿宋"/>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_Toc24247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第五章 合同条款</w:t>
      </w:r>
      <w:r>
        <w:rPr>
          <w:rFonts w:hint="eastAsia" w:ascii="仿宋" w:hAnsi="仿宋" w:eastAsia="仿宋" w:cs="仿宋"/>
          <w:sz w:val="24"/>
          <w:szCs w:val="24"/>
        </w:rPr>
        <w:tab/>
      </w:r>
      <w:r>
        <w:rPr>
          <w:rFonts w:hint="eastAsia" w:ascii="仿宋" w:hAnsi="仿宋" w:eastAsia="仿宋" w:cs="仿宋"/>
          <w:sz w:val="24"/>
          <w:szCs w:val="24"/>
          <w:lang w:val="en-US" w:eastAsia="zh-CN"/>
        </w:rPr>
        <w:t>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5</w:t>
      </w:r>
    </w:p>
    <w:p w14:paraId="1FB4C694">
      <w:pPr>
        <w:pStyle w:val="33"/>
        <w:tabs>
          <w:tab w:val="right" w:leader="dot" w:pos="9746"/>
        </w:tabs>
        <w:rPr>
          <w:rFonts w:hint="eastAsia" w:ascii="仿宋" w:hAnsi="仿宋" w:eastAsia="仿宋" w:cs="仿宋"/>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_Toc8270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第六章 技术标准及要求</w:t>
      </w:r>
      <w:r>
        <w:rPr>
          <w:rFonts w:hint="eastAsia" w:ascii="仿宋" w:hAnsi="仿宋" w:eastAsia="仿宋" w:cs="仿宋"/>
          <w:sz w:val="24"/>
          <w:szCs w:val="24"/>
        </w:rPr>
        <w:tab/>
      </w:r>
      <w:r>
        <w:rPr>
          <w:rFonts w:hint="eastAsia" w:ascii="仿宋" w:hAnsi="仿宋" w:eastAsia="仿宋" w:cs="仿宋"/>
          <w:sz w:val="24"/>
          <w:szCs w:val="24"/>
          <w:lang w:val="en-US" w:eastAsia="zh-CN"/>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5</w:t>
      </w:r>
    </w:p>
    <w:p w14:paraId="187C6595">
      <w:pPr>
        <w:pStyle w:val="33"/>
        <w:tabs>
          <w:tab w:val="right" w:leader="dot" w:pos="9746"/>
        </w:tabs>
        <w:rPr>
          <w:rFonts w:hint="eastAsia" w:ascii="仿宋" w:hAnsi="仿宋" w:eastAsia="仿宋" w:cs="仿宋"/>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_Toc9920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 xml:space="preserve">第七章 </w:t>
      </w:r>
      <w:r>
        <w:rPr>
          <w:rFonts w:hint="eastAsia" w:ascii="仿宋" w:hAnsi="仿宋" w:eastAsia="仿宋" w:cs="仿宋"/>
          <w:bCs w:val="0"/>
          <w:sz w:val="24"/>
          <w:szCs w:val="24"/>
          <w:lang w:eastAsia="zh-CN"/>
        </w:rPr>
        <w:t>响应文件</w:t>
      </w:r>
      <w:r>
        <w:rPr>
          <w:rFonts w:hint="eastAsia" w:ascii="仿宋" w:hAnsi="仿宋" w:eastAsia="仿宋" w:cs="仿宋"/>
          <w:bCs w:val="0"/>
          <w:sz w:val="24"/>
          <w:szCs w:val="24"/>
        </w:rPr>
        <w:t>格式</w:t>
      </w:r>
      <w:r>
        <w:rPr>
          <w:rFonts w:hint="eastAsia" w:ascii="仿宋" w:hAnsi="仿宋" w:eastAsia="仿宋" w:cs="仿宋"/>
          <w:sz w:val="24"/>
          <w:szCs w:val="24"/>
        </w:rPr>
        <w:tab/>
      </w:r>
      <w:r>
        <w:rPr>
          <w:rFonts w:hint="eastAsia" w:ascii="仿宋" w:hAnsi="仿宋" w:eastAsia="仿宋" w:cs="仿宋"/>
          <w:sz w:val="24"/>
          <w:szCs w:val="24"/>
          <w:lang w:val="en-US" w:eastAsia="zh-CN"/>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8</w:t>
      </w:r>
    </w:p>
    <w:p w14:paraId="37D141B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530" w:hanging="2168" w:hangingChars="900"/>
        <w:jc w:val="center"/>
        <w:textAlignment w:val="auto"/>
        <w:rPr>
          <w:rFonts w:hint="eastAsia" w:ascii="仿宋" w:hAnsi="仿宋" w:eastAsia="仿宋" w:cs="仿宋"/>
          <w:b/>
          <w:bCs/>
          <w:color w:val="auto"/>
          <w:sz w:val="40"/>
          <w:szCs w:val="40"/>
          <w:highlight w:val="none"/>
        </w:rPr>
      </w:pP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br w:type="page"/>
      </w:r>
      <w:bookmarkStart w:id="5" w:name="_Toc115435533"/>
      <w:bookmarkStart w:id="6" w:name="_Toc115436061"/>
      <w:bookmarkStart w:id="7" w:name="_Toc8092"/>
      <w:bookmarkStart w:id="8" w:name="_Toc14043"/>
      <w:bookmarkStart w:id="9" w:name="_Toc30491"/>
      <w:bookmarkStart w:id="10" w:name="_Toc27002"/>
      <w:r>
        <w:rPr>
          <w:rFonts w:hint="eastAsia" w:ascii="仿宋" w:hAnsi="仿宋" w:eastAsia="仿宋" w:cs="仿宋"/>
          <w:b/>
          <w:bCs/>
          <w:color w:val="auto"/>
          <w:sz w:val="40"/>
          <w:szCs w:val="40"/>
          <w:highlight w:val="none"/>
        </w:rPr>
        <w:t xml:space="preserve">第一章 </w:t>
      </w:r>
      <w:r>
        <w:rPr>
          <w:rFonts w:hint="eastAsia" w:ascii="仿宋" w:hAnsi="仿宋" w:eastAsia="仿宋" w:cs="仿宋"/>
          <w:b/>
          <w:bCs/>
          <w:color w:val="auto"/>
          <w:sz w:val="40"/>
          <w:szCs w:val="40"/>
          <w:highlight w:val="none"/>
          <w:lang w:eastAsia="zh-CN"/>
        </w:rPr>
        <w:t>竞争性谈判</w:t>
      </w:r>
      <w:r>
        <w:rPr>
          <w:rFonts w:hint="eastAsia" w:ascii="仿宋" w:hAnsi="仿宋" w:eastAsia="仿宋" w:cs="仿宋"/>
          <w:b/>
          <w:bCs/>
          <w:color w:val="auto"/>
          <w:sz w:val="40"/>
          <w:szCs w:val="40"/>
          <w:highlight w:val="none"/>
        </w:rPr>
        <w:t>公告</w:t>
      </w:r>
      <w:bookmarkEnd w:id="5"/>
      <w:bookmarkEnd w:id="6"/>
      <w:bookmarkEnd w:id="7"/>
      <w:bookmarkEnd w:id="8"/>
      <w:bookmarkStart w:id="11" w:name="_Toc3172"/>
      <w:bookmarkStart w:id="12" w:name="_Toc11890"/>
      <w:bookmarkStart w:id="13" w:name="_Toc28359080"/>
      <w:bookmarkStart w:id="14" w:name="_Toc35393791"/>
      <w:bookmarkStart w:id="15" w:name="_Toc14454"/>
      <w:bookmarkStart w:id="16" w:name="_Toc35393622"/>
      <w:bookmarkStart w:id="17" w:name="_Toc28359003"/>
      <w:bookmarkStart w:id="18" w:name="_Toc31185"/>
      <w:bookmarkStart w:id="19" w:name="_Toc17685"/>
    </w:p>
    <w:p w14:paraId="0E21650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530" w:hanging="2530" w:hangingChars="900"/>
        <w:jc w:val="center"/>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和田市教育系统2024年支持学前教育发展资金项目（设备采购）</w:t>
      </w:r>
    </w:p>
    <w:p w14:paraId="080BB2B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530" w:hanging="2530" w:hangingChars="900"/>
        <w:jc w:val="center"/>
        <w:textAlignment w:val="auto"/>
        <w:rPr>
          <w:rFonts w:hint="eastAsia" w:ascii="仿宋" w:hAnsi="仿宋" w:eastAsia="仿宋" w:cs="仿宋"/>
        </w:rPr>
      </w:pPr>
      <w:r>
        <w:rPr>
          <w:rFonts w:hint="eastAsia" w:ascii="仿宋" w:hAnsi="仿宋" w:eastAsia="仿宋" w:cs="仿宋"/>
          <w:b/>
          <w:bCs w:val="0"/>
          <w:color w:val="auto"/>
          <w:sz w:val="28"/>
          <w:szCs w:val="28"/>
        </w:rPr>
        <w:t>竞争性</w:t>
      </w:r>
      <w:r>
        <w:rPr>
          <w:rFonts w:hint="eastAsia" w:ascii="仿宋" w:hAnsi="仿宋" w:eastAsia="仿宋" w:cs="仿宋"/>
          <w:b/>
          <w:bCs w:val="0"/>
          <w:color w:val="auto"/>
          <w:sz w:val="28"/>
          <w:szCs w:val="28"/>
          <w:lang w:val="en-US" w:eastAsia="zh-CN"/>
        </w:rPr>
        <w:t>谈判</w:t>
      </w:r>
      <w:r>
        <w:rPr>
          <w:rFonts w:hint="eastAsia" w:ascii="仿宋" w:hAnsi="仿宋" w:eastAsia="仿宋" w:cs="仿宋"/>
          <w:b/>
          <w:bCs w:val="0"/>
          <w:color w:val="auto"/>
          <w:sz w:val="28"/>
          <w:szCs w:val="28"/>
        </w:rPr>
        <w:t>公告</w:t>
      </w:r>
      <w:bookmarkEnd w:id="11"/>
      <w:bookmarkEnd w:id="12"/>
    </w:p>
    <w:p w14:paraId="148C1B8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项目概况：</w:t>
      </w:r>
    </w:p>
    <w:p w14:paraId="65F79334">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和田市教育系统2024年支持学前教育发展资金项目（设备采购）的潜在供应商应在政采云平台https://www.zcygov.cn/线上（进入“项目采购”应用，在获取采购文件菜单中选择项目，申请获取采购文件）获取（下载）谈判文件，并于2025年7月11日11:00 （北京时间）前递交（上传）响应文件。</w:t>
      </w:r>
    </w:p>
    <w:p w14:paraId="1B90C44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项目基本情况</w:t>
      </w:r>
    </w:p>
    <w:p w14:paraId="7A51151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lang w:val="en-US" w:eastAsia="zh-CN" w:bidi="ar-SA"/>
        </w:rPr>
      </w:pPr>
      <w:r>
        <w:rPr>
          <w:rFonts w:hint="eastAsia" w:ascii="仿宋" w:hAnsi="仿宋" w:eastAsia="仿宋" w:cs="仿宋"/>
          <w:i w:val="0"/>
          <w:iCs w:val="0"/>
          <w:caps w:val="0"/>
          <w:color w:val="auto"/>
          <w:spacing w:val="0"/>
          <w:kern w:val="0"/>
          <w:sz w:val="24"/>
          <w:szCs w:val="24"/>
          <w:lang w:val="en-US" w:eastAsia="zh-CN" w:bidi="ar-SA"/>
        </w:rPr>
        <w:t>项目编号：HTSZFCGZBDL-2025-044</w:t>
      </w:r>
    </w:p>
    <w:p w14:paraId="38352D6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lang w:val="en-US" w:eastAsia="zh-CN" w:bidi="ar-SA"/>
        </w:rPr>
      </w:pPr>
      <w:r>
        <w:rPr>
          <w:rFonts w:hint="eastAsia" w:ascii="仿宋" w:hAnsi="仿宋" w:eastAsia="仿宋" w:cs="仿宋"/>
          <w:i w:val="0"/>
          <w:iCs w:val="0"/>
          <w:caps w:val="0"/>
          <w:color w:val="auto"/>
          <w:spacing w:val="0"/>
          <w:kern w:val="0"/>
          <w:sz w:val="24"/>
          <w:szCs w:val="24"/>
          <w:lang w:val="en-US" w:eastAsia="zh-CN" w:bidi="ar-SA"/>
        </w:rPr>
        <w:t>项目名称：和田市教育系统2024年支持学前教育发展资金项目（设备采购）</w:t>
      </w:r>
    </w:p>
    <w:p w14:paraId="09AA302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lang w:val="en-US" w:eastAsia="zh-CN" w:bidi="ar-SA"/>
        </w:rPr>
      </w:pPr>
      <w:r>
        <w:rPr>
          <w:rFonts w:hint="eastAsia" w:ascii="仿宋" w:hAnsi="仿宋" w:eastAsia="仿宋" w:cs="仿宋"/>
          <w:i w:val="0"/>
          <w:iCs w:val="0"/>
          <w:caps w:val="0"/>
          <w:color w:val="auto"/>
          <w:spacing w:val="0"/>
          <w:kern w:val="0"/>
          <w:sz w:val="24"/>
          <w:szCs w:val="24"/>
          <w:lang w:val="en-US" w:eastAsia="zh-CN" w:bidi="ar-SA"/>
        </w:rPr>
        <w:t>预算金额：190万元</w:t>
      </w:r>
    </w:p>
    <w:p w14:paraId="17CCAEE2">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lang w:val="en-US" w:eastAsia="zh-CN" w:bidi="ar-SA"/>
        </w:rPr>
      </w:pPr>
      <w:r>
        <w:rPr>
          <w:rFonts w:hint="eastAsia" w:ascii="仿宋" w:hAnsi="仿宋" w:eastAsia="仿宋" w:cs="仿宋"/>
          <w:i w:val="0"/>
          <w:iCs w:val="0"/>
          <w:caps w:val="0"/>
          <w:color w:val="auto"/>
          <w:spacing w:val="0"/>
          <w:kern w:val="0"/>
          <w:sz w:val="24"/>
          <w:szCs w:val="24"/>
          <w:lang w:val="en-US" w:eastAsia="zh-CN" w:bidi="ar-SA"/>
        </w:rPr>
        <w:t>最高限价：190万元</w:t>
      </w:r>
    </w:p>
    <w:p w14:paraId="2E33D3F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lang w:val="en-US" w:eastAsia="zh-CN" w:bidi="ar-SA"/>
        </w:rPr>
      </w:pPr>
      <w:r>
        <w:rPr>
          <w:rFonts w:hint="eastAsia" w:ascii="仿宋" w:hAnsi="仿宋" w:eastAsia="仿宋" w:cs="仿宋"/>
          <w:i w:val="0"/>
          <w:iCs w:val="0"/>
          <w:caps w:val="0"/>
          <w:color w:val="auto"/>
          <w:spacing w:val="0"/>
          <w:kern w:val="0"/>
          <w:sz w:val="24"/>
          <w:szCs w:val="24"/>
          <w:lang w:val="en-US" w:eastAsia="zh-CN" w:bidi="ar-SA"/>
        </w:rPr>
        <w:t>资金来源：2024年支持学前教育发展资金</w:t>
      </w:r>
    </w:p>
    <w:p w14:paraId="6DE7AAD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lang w:val="en-US" w:eastAsia="zh-CN" w:bidi="ar-SA"/>
        </w:rPr>
      </w:pPr>
      <w:r>
        <w:rPr>
          <w:rFonts w:hint="eastAsia" w:ascii="仿宋" w:hAnsi="仿宋" w:eastAsia="仿宋" w:cs="仿宋"/>
          <w:i w:val="0"/>
          <w:iCs w:val="0"/>
          <w:caps w:val="0"/>
          <w:color w:val="auto"/>
          <w:spacing w:val="0"/>
          <w:kern w:val="0"/>
          <w:sz w:val="24"/>
          <w:szCs w:val="24"/>
          <w:lang w:val="en-US" w:eastAsia="zh-CN" w:bidi="ar-SA"/>
        </w:rPr>
        <w:t>采购需求：采购供暖设施配套、活动室配套设备、教玩具等教学配套设备（详见采购文件）。</w:t>
      </w:r>
    </w:p>
    <w:p w14:paraId="38136142">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合同履行期限：自合同签订之日起30日内供货完毕。</w:t>
      </w:r>
    </w:p>
    <w:p w14:paraId="5800665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本项目（否）接受联合体投标。</w:t>
      </w:r>
    </w:p>
    <w:p w14:paraId="782A8FC5">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二、申请人的资格要求：</w:t>
      </w:r>
    </w:p>
    <w:p w14:paraId="1809070C">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bookmarkStart w:id="20" w:name="_Toc23893"/>
      <w:r>
        <w:rPr>
          <w:rFonts w:hint="eastAsia" w:ascii="仿宋" w:hAnsi="仿宋" w:eastAsia="仿宋" w:cs="仿宋"/>
          <w:i w:val="0"/>
          <w:iCs w:val="0"/>
          <w:caps w:val="0"/>
          <w:color w:val="000000"/>
          <w:spacing w:val="0"/>
          <w:kern w:val="0"/>
          <w:sz w:val="24"/>
          <w:szCs w:val="24"/>
          <w:lang w:val="en-US" w:eastAsia="zh-CN" w:bidi="ar-SA"/>
        </w:rPr>
        <w:t>1.满足《中华人民共和国政府采购法》第二十二条规定；</w:t>
      </w:r>
      <w:bookmarkEnd w:id="20"/>
    </w:p>
    <w:p w14:paraId="306F2D3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2.落实政府采购政策需满足的资格要求：</w:t>
      </w:r>
    </w:p>
    <w:p w14:paraId="10F939F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2.1 中小企业政策</w:t>
      </w:r>
    </w:p>
    <w:p w14:paraId="3AD1F1F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本项目专门面向中小/小微企业采购。即：提供的货物或服务全部由符合政策要求的中小/小微企业制造、服务全部由符合政策要求的中小/小微企业承接。</w:t>
      </w:r>
    </w:p>
    <w:p w14:paraId="2B0D9A2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2.2 其它落实政府采购政策的资格要求</w:t>
      </w:r>
    </w:p>
    <w:p w14:paraId="15357631">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（1）财政部、国家发展改革委、生态环境部、市场监管总局《关于调整优化节能产品、环境标志产品政府采购执行机制的通知》（财库[2019]9号文）；  </w:t>
      </w:r>
    </w:p>
    <w:p w14:paraId="1F4A3DA8">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（2）财政部、生态环境部《关于印发环境标志产品政府采购品目清单的通知》（财库[2019]18号文）； </w:t>
      </w:r>
    </w:p>
    <w:p w14:paraId="6F4723A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（3）财政部、发展改革委《关于印发节能产品政府采购品目清单的通知》（财库[2019]19号文）； </w:t>
      </w:r>
    </w:p>
    <w:p w14:paraId="230C7B5E">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（4）市场监管总局《市场监管总局关于发布参与实施政府采购节能产品、环境标志产品认证机构名录的公告》（2019年第16号）；  </w:t>
      </w:r>
    </w:p>
    <w:p w14:paraId="287A1454">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60B0030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（6）财政部、民政部、中国残疾人联合会《关于促进残疾人就业政府采购政策的通知》（财库[2017]141号）；  </w:t>
      </w:r>
    </w:p>
    <w:p w14:paraId="573EB05B">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（7）财政部、司法部《关于政府采购支持监狱企业发展有关问题的通知》（财库[2014]68号文）； </w:t>
      </w:r>
    </w:p>
    <w:p w14:paraId="138529E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（8）财政部、生态环境部、国家邮政局《关于印发《商品包装政府采购需求标准（试行）》、 《快递包装政府采购需求标准（试行）》的通知》（财办库〔2020〕123号）。</w:t>
      </w:r>
    </w:p>
    <w:p w14:paraId="118B520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标项1；</w:t>
      </w:r>
    </w:p>
    <w:p w14:paraId="6D27356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1）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定；</w:t>
      </w:r>
      <w:r>
        <w:rPr>
          <w:rFonts w:hint="eastAsia" w:ascii="仿宋" w:hAnsi="仿宋" w:eastAsia="仿宋" w:cs="仿宋"/>
          <w:i w:val="0"/>
          <w:iCs w:val="0"/>
          <w:caps w:val="0"/>
          <w:color w:val="000000"/>
          <w:spacing w:val="0"/>
          <w:kern w:val="0"/>
          <w:sz w:val="24"/>
          <w:szCs w:val="24"/>
          <w:lang w:val="en-US" w:eastAsia="zh-CN" w:bidi="ar-SA"/>
        </w:rPr>
        <w:br w:type="textWrapping"/>
      </w:r>
      <w:r>
        <w:rPr>
          <w:rFonts w:hint="eastAsia" w:ascii="仿宋" w:hAnsi="仿宋" w:eastAsia="仿宋" w:cs="仿宋"/>
          <w:i w:val="0"/>
          <w:iCs w:val="0"/>
          <w:caps w:val="0"/>
          <w:color w:val="000000"/>
          <w:spacing w:val="0"/>
          <w:kern w:val="0"/>
          <w:sz w:val="24"/>
          <w:szCs w:val="24"/>
          <w:lang w:val="en-US" w:eastAsia="zh-CN" w:bidi="ar-SA"/>
        </w:rPr>
        <w:t xml:space="preserve">  （2）有依法缴纳税收和社会保障资金的良好记录：提供近段时间内连续三个月的完税证明或依法报税资料（新成立不足3个月的按实际情况发生提供，成立时间超过3个月的零申报的需提供依法报税资料）；提供近段时间内法人(指本单位)连续三个月的缴纳社保证明材料（新成立的公司按实际发生提供，如依法不需要缴纳社会保障资金的，应提供相应文件证明）；</w:t>
      </w:r>
      <w:r>
        <w:rPr>
          <w:rFonts w:hint="eastAsia" w:ascii="仿宋" w:hAnsi="仿宋" w:eastAsia="仿宋" w:cs="仿宋"/>
          <w:i w:val="0"/>
          <w:iCs w:val="0"/>
          <w:caps w:val="0"/>
          <w:color w:val="000000"/>
          <w:spacing w:val="0"/>
          <w:kern w:val="0"/>
          <w:sz w:val="24"/>
          <w:szCs w:val="24"/>
          <w:lang w:val="en-US" w:eastAsia="zh-CN" w:bidi="ar-SA"/>
        </w:rPr>
        <w:br w:type="textWrapping"/>
      </w:r>
      <w:r>
        <w:rPr>
          <w:rFonts w:hint="eastAsia" w:ascii="仿宋" w:hAnsi="仿宋" w:eastAsia="仿宋" w:cs="仿宋"/>
          <w:i w:val="0"/>
          <w:iCs w:val="0"/>
          <w:caps w:val="0"/>
          <w:color w:val="000000"/>
          <w:spacing w:val="0"/>
          <w:kern w:val="0"/>
          <w:sz w:val="24"/>
          <w:szCs w:val="24"/>
          <w:lang w:val="en-US" w:eastAsia="zh-CN" w:bidi="ar-SA"/>
        </w:rPr>
        <w:t xml:space="preserve">  （3）具有良好的商业信誉和健全的财务会计制度：提供第三方审计机构出具的2024年度审计报告（2025年新成立的公司按实际发生的情况提供银行出具的资信证明）和健全的财务会计制度（财务会计制度单列提供）；</w:t>
      </w:r>
      <w:r>
        <w:rPr>
          <w:rFonts w:hint="eastAsia" w:ascii="仿宋" w:hAnsi="仿宋" w:eastAsia="仿宋" w:cs="仿宋"/>
          <w:i w:val="0"/>
          <w:iCs w:val="0"/>
          <w:caps w:val="0"/>
          <w:color w:val="000000"/>
          <w:spacing w:val="0"/>
          <w:kern w:val="0"/>
          <w:sz w:val="24"/>
          <w:szCs w:val="24"/>
          <w:lang w:val="en-US" w:eastAsia="zh-CN" w:bidi="ar-SA"/>
        </w:rPr>
        <w:br w:type="textWrapping"/>
      </w:r>
      <w:r>
        <w:rPr>
          <w:rFonts w:hint="eastAsia" w:ascii="仿宋" w:hAnsi="仿宋" w:eastAsia="仿宋" w:cs="仿宋"/>
          <w:i w:val="0"/>
          <w:iCs w:val="0"/>
          <w:caps w:val="0"/>
          <w:color w:val="000000"/>
          <w:spacing w:val="0"/>
          <w:kern w:val="0"/>
          <w:sz w:val="24"/>
          <w:szCs w:val="24"/>
          <w:lang w:val="en-US" w:eastAsia="zh-CN" w:bidi="ar-SA"/>
        </w:rPr>
        <w:t xml:space="preserve">  （4）履行合同所必需的设备和专业技术能力：提供《供应商资格声明函》；</w:t>
      </w:r>
      <w:r>
        <w:rPr>
          <w:rFonts w:hint="eastAsia" w:ascii="仿宋" w:hAnsi="仿宋" w:eastAsia="仿宋" w:cs="仿宋"/>
          <w:i w:val="0"/>
          <w:iCs w:val="0"/>
          <w:caps w:val="0"/>
          <w:color w:val="000000"/>
          <w:spacing w:val="0"/>
          <w:kern w:val="0"/>
          <w:sz w:val="24"/>
          <w:szCs w:val="24"/>
          <w:lang w:val="en-US" w:eastAsia="zh-CN" w:bidi="ar-SA"/>
        </w:rPr>
        <w:br w:type="textWrapping"/>
      </w:r>
      <w:r>
        <w:rPr>
          <w:rFonts w:hint="eastAsia" w:ascii="仿宋" w:hAnsi="仿宋" w:eastAsia="仿宋" w:cs="仿宋"/>
          <w:i w:val="0"/>
          <w:iCs w:val="0"/>
          <w:caps w:val="0"/>
          <w:color w:val="000000"/>
          <w:spacing w:val="0"/>
          <w:kern w:val="0"/>
          <w:sz w:val="24"/>
          <w:szCs w:val="24"/>
          <w:lang w:val="en-US" w:eastAsia="zh-CN" w:bidi="ar-SA"/>
        </w:rPr>
        <w:t xml:space="preserve">  （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BC09DF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6）近三年拟参加本次采购项目的供应商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6B0D8FDB">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7）企业负责人为同一人或者存在直接控股、管理关系的不同供应商，不得参加同一合同项下的政府采购活动（提供声明函），否则，皆取消投标资格；凡拟参加本次采购项目的供应商还须提供“参加政府采购活动前3年内在经营活动中没有重大违法记录的书面声明函。</w:t>
      </w:r>
      <w:r>
        <w:rPr>
          <w:rFonts w:hint="eastAsia" w:ascii="仿宋" w:hAnsi="仿宋" w:eastAsia="仿宋" w:cs="仿宋"/>
          <w:i w:val="0"/>
          <w:iCs w:val="0"/>
          <w:caps w:val="0"/>
          <w:color w:val="000000"/>
          <w:spacing w:val="0"/>
          <w:kern w:val="0"/>
          <w:sz w:val="24"/>
          <w:szCs w:val="24"/>
          <w:lang w:val="en-US" w:eastAsia="zh-CN" w:bidi="ar-SA"/>
        </w:rPr>
        <w:br w:type="textWrapping"/>
      </w:r>
      <w:r>
        <w:rPr>
          <w:rFonts w:hint="eastAsia" w:ascii="仿宋" w:hAnsi="仿宋" w:eastAsia="仿宋" w:cs="仿宋"/>
          <w:i w:val="0"/>
          <w:iCs w:val="0"/>
          <w:caps w:val="0"/>
          <w:color w:val="000000"/>
          <w:spacing w:val="0"/>
          <w:kern w:val="0"/>
          <w:sz w:val="24"/>
          <w:szCs w:val="24"/>
          <w:lang w:val="en-US" w:eastAsia="zh-CN" w:bidi="ar-SA"/>
        </w:rPr>
        <w:t xml:space="preserve">  （8）谈判保证金或电子保函：20000.00元整（大写：贰万元整）</w:t>
      </w:r>
      <w:r>
        <w:rPr>
          <w:rFonts w:hint="eastAsia" w:ascii="仿宋" w:hAnsi="仿宋" w:eastAsia="仿宋" w:cs="仿宋"/>
          <w:i w:val="0"/>
          <w:iCs w:val="0"/>
          <w:caps w:val="0"/>
          <w:color w:val="000000"/>
          <w:spacing w:val="0"/>
          <w:kern w:val="0"/>
          <w:sz w:val="24"/>
          <w:szCs w:val="24"/>
          <w:lang w:val="en-US" w:eastAsia="zh-CN" w:bidi="ar-SA"/>
        </w:rPr>
        <w:br w:type="textWrapping"/>
      </w:r>
      <w:r>
        <w:rPr>
          <w:rFonts w:hint="eastAsia" w:ascii="仿宋" w:hAnsi="仿宋" w:eastAsia="仿宋" w:cs="仿宋"/>
          <w:i w:val="0"/>
          <w:iCs w:val="0"/>
          <w:caps w:val="0"/>
          <w:color w:val="000000"/>
          <w:spacing w:val="0"/>
          <w:kern w:val="0"/>
          <w:sz w:val="24"/>
          <w:szCs w:val="24"/>
          <w:lang w:val="en-US" w:eastAsia="zh-CN" w:bidi="ar-SA"/>
        </w:rPr>
        <w:t xml:space="preserve">  （9）本项目不接受联合体投标。</w:t>
      </w:r>
    </w:p>
    <w:p w14:paraId="45C62A5E">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3.本项目的特定资格要求：无</w:t>
      </w:r>
    </w:p>
    <w:p w14:paraId="6776319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三、获取（下载）采购文件</w:t>
      </w:r>
    </w:p>
    <w:p w14:paraId="2746276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时间：2025年7月3日至2025年7月9日，每天上午00:00至12:00，下午12:00至23:59（北京时间，线上获取法定节假日均可）</w:t>
      </w:r>
    </w:p>
    <w:p w14:paraId="7333344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地点：供应商登录政采云平台https://www.zcygov.cn/在线申请获取采购文件（进入“项目采购”应用，在获取采购文件菜单中选择项目，申请获取采购文件）</w:t>
      </w:r>
    </w:p>
    <w:p w14:paraId="67F5D388">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方式：线上获取</w:t>
      </w:r>
    </w:p>
    <w:p w14:paraId="7A18414B">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售价（元）：0元/本</w:t>
      </w:r>
    </w:p>
    <w:p w14:paraId="13BA433C">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四、响应文件提交（上传）</w:t>
      </w:r>
    </w:p>
    <w:p w14:paraId="2DE75578">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截止时间：2025年7月11日11:00（北京时间）</w:t>
      </w:r>
    </w:p>
    <w:p w14:paraId="0C8C59EE">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地点：各供应商于2025年7月11日11点00分前通过政采云平台上传响应文件。应按照本项目谈判文件和政采云平台的要求编制、加密传输响应文件。</w:t>
      </w:r>
    </w:p>
    <w:p w14:paraId="6061D38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五、响应文件开启</w:t>
      </w:r>
    </w:p>
    <w:p w14:paraId="0405374E">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开启时间：2025年7月11日11:00（北京时间）</w:t>
      </w:r>
    </w:p>
    <w:p w14:paraId="2B4876D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地点：和田启投工程项目管理有限公司开标室（和田市屯垦东路29号）</w:t>
      </w:r>
    </w:p>
    <w:p w14:paraId="41C7ADE9">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六、公告期限</w:t>
      </w:r>
    </w:p>
    <w:p w14:paraId="1B1C9C38">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自本公告发布之日起3个工作日。</w:t>
      </w:r>
    </w:p>
    <w:p w14:paraId="7C23B7CB">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七、其他补充事宜</w:t>
      </w:r>
    </w:p>
    <w:p w14:paraId="68C3D58B">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1、本项目实行网上投标，采用电子响应文件。若供应商参与投标，自行承担投标一切费用。</w:t>
      </w:r>
    </w:p>
    <w:p w14:paraId="4D071CB4">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2、各供应商应在谈判前应确保成为新疆维吾尔自治区政府采购网正式注册入库供应商，并完成CA数字证书申领。因未注册入库、未办理CA数字证书等原因造成无法投标或投标失败等后果由供应商自行承担。</w:t>
      </w:r>
    </w:p>
    <w:p w14:paraId="10EBE6A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3、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086B987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4、有意向参与新疆区域电子开评标的供应商，可访问新疆数字证书认证中心官方网站（https://www.xjca.com.cn/）或下载“新疆政务通”APP自行进行申领。如需咨询，请联系新疆CA服务热线0991-2819290。</w:t>
      </w:r>
    </w:p>
    <w:p w14:paraId="63E1240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5、根据财政部、工业和信息化部关于印发《政府采购促进中小企业发展管理办法》的通知(财库[2020]46号)，供应商及其所投产品的制造商均属于《工业和信息化部、国家统计局、国家发展和改革委员会、财政部关于印发中小企业划型标准规定的通知》(工信部联企业[2011]450号)中规定的小型、微型企业标准的，按谈判文件格式提供《中小企业声明函》等政府采购政策。《财政部 发展改革委 生态环境部 市场监管总局 关于调整优化节能产品、环境标志产品政府采购执行机制的通知》（财库〔2019〕9号）。</w:t>
      </w:r>
    </w:p>
    <w:p w14:paraId="7868C698">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6.本项目中小企业划分标准为：工业</w:t>
      </w:r>
    </w:p>
    <w:p w14:paraId="756DEC99">
      <w:pPr>
        <w:pStyle w:val="42"/>
        <w:keepNext w:val="0"/>
        <w:keepLines w:val="0"/>
        <w:pageBreakBefore w:val="0"/>
        <w:widowControl/>
        <w:suppressLineNumbers w:val="0"/>
        <w:kinsoku/>
        <w:wordWrap/>
        <w:overflowPunct/>
        <w:topLinePunct w:val="0"/>
        <w:autoSpaceDE/>
        <w:autoSpaceDN/>
        <w:bidi w:val="0"/>
        <w:adjustRightInd/>
        <w:spacing w:before="75" w:beforeAutospacing="0" w:after="75"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b/>
          <w:bCs/>
          <w:i w:val="0"/>
          <w:caps w:val="0"/>
          <w:color w:val="auto"/>
          <w:spacing w:val="0"/>
          <w:kern w:val="0"/>
          <w:sz w:val="24"/>
          <w:szCs w:val="24"/>
          <w:vertAlign w:val="baseline"/>
          <w:lang w:val="en-US" w:eastAsia="zh-CN" w:bidi="ar"/>
        </w:rPr>
        <w:t>特别强调：</w:t>
      </w:r>
    </w:p>
    <w:p w14:paraId="7C2218F8">
      <w:pPr>
        <w:pStyle w:val="42"/>
        <w:keepNext w:val="0"/>
        <w:keepLines w:val="0"/>
        <w:pageBreakBefore w:val="0"/>
        <w:widowControl/>
        <w:suppressLineNumbers w:val="0"/>
        <w:kinsoku/>
        <w:wordWrap/>
        <w:overflowPunct/>
        <w:topLinePunct w:val="0"/>
        <w:autoSpaceDE/>
        <w:autoSpaceDN/>
        <w:bidi w:val="0"/>
        <w:adjustRightInd/>
        <w:spacing w:before="75" w:beforeAutospacing="0" w:after="75" w:afterAutospacing="0" w:line="240" w:lineRule="auto"/>
        <w:ind w:left="0"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得分的6％～10％作为其价格分。</w:t>
      </w:r>
    </w:p>
    <w:p w14:paraId="5E683697">
      <w:pPr>
        <w:pStyle w:val="42"/>
        <w:keepNext w:val="0"/>
        <w:keepLines w:val="0"/>
        <w:pageBreakBefore w:val="0"/>
        <w:widowControl/>
        <w:suppressLineNumbers w:val="0"/>
        <w:kinsoku/>
        <w:wordWrap/>
        <w:overflowPunct/>
        <w:topLinePunct w:val="0"/>
        <w:autoSpaceDE/>
        <w:autoSpaceDN/>
        <w:bidi w:val="0"/>
        <w:adjustRightInd/>
        <w:spacing w:before="75" w:beforeAutospacing="0" w:after="75" w:afterAutospacing="0" w:line="240" w:lineRule="auto"/>
        <w:ind w:left="0" w:right="0" w:firstLine="480" w:firstLineChars="200"/>
        <w:jc w:val="left"/>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auto"/>
          <w:spacing w:val="0"/>
          <w:sz w:val="24"/>
          <w:szCs w:val="24"/>
          <w:lang w:val="en-US" w:eastAsia="zh-CN"/>
        </w:rPr>
        <w:t>2、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899793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八、对本次采购提出询问，请按以下方式联系　　　　　　　　　　　　</w:t>
      </w:r>
    </w:p>
    <w:p w14:paraId="69E82EE2">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1.采购人信息</w:t>
      </w:r>
    </w:p>
    <w:p w14:paraId="08605F0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名   称：和田市教育局　</w:t>
      </w:r>
    </w:p>
    <w:p w14:paraId="13D381C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地  址：和田市乌鲁木齐南路26号 　　　　　　</w:t>
      </w:r>
    </w:p>
    <w:p w14:paraId="51347F6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项目联系人：阿不都赛买提阿不都热依木　　　　　　　　　</w:t>
      </w:r>
    </w:p>
    <w:p w14:paraId="7659E6A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项目联系方式：0903-2512576</w:t>
      </w:r>
    </w:p>
    <w:p w14:paraId="616AD26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2.采购代理机构信息</w:t>
      </w:r>
    </w:p>
    <w:p w14:paraId="725C061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名    称：和田启投工程项目管理有限公司　　　　　　　　　　</w:t>
      </w:r>
    </w:p>
    <w:p w14:paraId="657A629E">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地    址：和田市古江南路19号</w:t>
      </w:r>
    </w:p>
    <w:p w14:paraId="3AB86B5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项目联系人：</w:t>
      </w:r>
      <w:r>
        <w:rPr>
          <w:rFonts w:hint="eastAsia" w:ascii="仿宋" w:hAnsi="仿宋" w:eastAsia="仿宋" w:cs="仿宋"/>
          <w:bCs/>
          <w:color w:val="auto"/>
          <w:sz w:val="24"/>
          <w:szCs w:val="24"/>
          <w:lang w:val="en-US" w:eastAsia="zh-CN"/>
        </w:rPr>
        <w:t>储鹏飞</w:t>
      </w:r>
      <w:r>
        <w:rPr>
          <w:rFonts w:hint="eastAsia" w:ascii="仿宋" w:hAnsi="仿宋" w:eastAsia="仿宋" w:cs="仿宋"/>
          <w:i w:val="0"/>
          <w:iCs w:val="0"/>
          <w:caps w:val="0"/>
          <w:color w:val="000000"/>
          <w:spacing w:val="0"/>
          <w:kern w:val="0"/>
          <w:sz w:val="24"/>
          <w:szCs w:val="24"/>
          <w:lang w:val="en-US" w:eastAsia="zh-CN" w:bidi="ar-SA"/>
        </w:rPr>
        <w:t>　　　　　　　　　　</w:t>
      </w:r>
    </w:p>
    <w:p w14:paraId="40D9BCA5">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default"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项目联系方式： 0903-2025885</w:t>
      </w:r>
    </w:p>
    <w:p w14:paraId="027A87DE">
      <w:pPr>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br w:type="page"/>
      </w:r>
    </w:p>
    <w:p w14:paraId="40F3E89D">
      <w:pPr>
        <w:pStyle w:val="158"/>
        <w:pageBreakBefore w:val="0"/>
        <w:kinsoku/>
        <w:wordWrap/>
        <w:topLinePunct w:val="0"/>
        <w:bidi w:val="0"/>
        <w:spacing w:line="360" w:lineRule="auto"/>
        <w:ind w:firstLine="0"/>
        <w:jc w:val="left"/>
        <w:outlineLvl w:val="9"/>
        <w:rPr>
          <w:rStyle w:val="149"/>
          <w:rFonts w:hint="eastAsia" w:ascii="仿宋" w:hAnsi="仿宋" w:eastAsia="仿宋" w:cs="仿宋"/>
          <w:b/>
          <w:bCs/>
          <w:color w:val="auto"/>
          <w:sz w:val="24"/>
          <w:szCs w:val="24"/>
        </w:rPr>
      </w:pPr>
      <w:r>
        <w:rPr>
          <w:rStyle w:val="149"/>
          <w:rFonts w:hint="eastAsia" w:ascii="仿宋" w:hAnsi="仿宋" w:eastAsia="仿宋" w:cs="仿宋"/>
          <w:b/>
          <w:bCs/>
          <w:color w:val="auto"/>
          <w:sz w:val="24"/>
          <w:szCs w:val="24"/>
        </w:rPr>
        <w:t>特别提醒：</w:t>
      </w:r>
    </w:p>
    <w:p w14:paraId="776D329B">
      <w:pPr>
        <w:spacing w:line="360" w:lineRule="auto"/>
        <w:jc w:val="left"/>
        <w:rPr>
          <w:rStyle w:val="149"/>
          <w:rFonts w:hint="eastAsia" w:ascii="仿宋" w:hAnsi="仿宋" w:eastAsia="仿宋" w:cs="仿宋"/>
          <w:b/>
          <w:color w:val="auto"/>
          <w:sz w:val="24"/>
          <w:szCs w:val="24"/>
          <w:highlight w:val="none"/>
        </w:rPr>
      </w:pPr>
      <w:r>
        <w:rPr>
          <w:rStyle w:val="149"/>
          <w:rFonts w:hint="eastAsia" w:ascii="仿宋" w:hAnsi="仿宋" w:eastAsia="仿宋" w:cs="仿宋"/>
          <w:b/>
          <w:color w:val="auto"/>
          <w:sz w:val="24"/>
          <w:szCs w:val="24"/>
          <w:highlight w:val="none"/>
          <w:lang w:val="en-US"/>
        </w:rPr>
        <w:t>1</w:t>
      </w:r>
      <w:r>
        <w:rPr>
          <w:rStyle w:val="149"/>
          <w:rFonts w:hint="eastAsia" w:ascii="仿宋" w:hAnsi="仿宋" w:eastAsia="仿宋" w:cs="仿宋"/>
          <w:b/>
          <w:color w:val="auto"/>
          <w:sz w:val="24"/>
          <w:szCs w:val="24"/>
          <w:highlight w:val="none"/>
        </w:rPr>
        <w:t>、</w:t>
      </w:r>
      <w:r>
        <w:rPr>
          <w:rStyle w:val="149"/>
          <w:rFonts w:hint="eastAsia" w:ascii="仿宋" w:hAnsi="仿宋" w:eastAsia="仿宋" w:cs="仿宋"/>
          <w:b/>
          <w:color w:val="auto"/>
          <w:sz w:val="24"/>
          <w:szCs w:val="24"/>
          <w:highlight w:val="none"/>
          <w:lang w:eastAsia="zh-CN"/>
        </w:rPr>
        <w:t>谈判保证金</w:t>
      </w:r>
      <w:r>
        <w:rPr>
          <w:rStyle w:val="149"/>
          <w:rFonts w:hint="eastAsia" w:ascii="仿宋" w:hAnsi="仿宋" w:eastAsia="仿宋" w:cs="仿宋"/>
          <w:b/>
          <w:color w:val="auto"/>
          <w:sz w:val="24"/>
          <w:szCs w:val="24"/>
          <w:highlight w:val="none"/>
        </w:rPr>
        <w:t>由供应商基本账户汇出（谈判保证金需一笔汇出，分笔汇出银行系统将不予统计），且不得以分公司的名义转账，谈判保证金需在</w:t>
      </w:r>
      <w:r>
        <w:rPr>
          <w:rStyle w:val="149"/>
          <w:rFonts w:hint="eastAsia" w:ascii="仿宋" w:hAnsi="仿宋" w:eastAsia="仿宋" w:cs="仿宋"/>
          <w:b/>
          <w:color w:val="auto"/>
          <w:sz w:val="24"/>
          <w:szCs w:val="24"/>
          <w:highlight w:val="none"/>
          <w:lang w:val="en-US" w:eastAsia="zh-CN"/>
        </w:rPr>
        <w:t>2025</w:t>
      </w:r>
      <w:r>
        <w:rPr>
          <w:rStyle w:val="149"/>
          <w:rFonts w:hint="eastAsia" w:ascii="仿宋" w:hAnsi="仿宋" w:eastAsia="仿宋" w:cs="仿宋"/>
          <w:b/>
          <w:color w:val="auto"/>
          <w:sz w:val="24"/>
          <w:szCs w:val="24"/>
          <w:highlight w:val="none"/>
          <w:lang w:eastAsia="zh-CN"/>
        </w:rPr>
        <w:t>年</w:t>
      </w:r>
      <w:r>
        <w:rPr>
          <w:rStyle w:val="149"/>
          <w:rFonts w:hint="eastAsia" w:ascii="仿宋" w:hAnsi="仿宋" w:eastAsia="仿宋" w:cs="仿宋"/>
          <w:b/>
          <w:color w:val="auto"/>
          <w:sz w:val="24"/>
          <w:szCs w:val="24"/>
          <w:highlight w:val="none"/>
          <w:lang w:val="en-US" w:eastAsia="zh-CN"/>
        </w:rPr>
        <w:t>7月11日11</w:t>
      </w:r>
      <w:r>
        <w:rPr>
          <w:rStyle w:val="149"/>
          <w:rFonts w:hint="eastAsia" w:ascii="仿宋" w:hAnsi="仿宋" w:eastAsia="仿宋" w:cs="仿宋"/>
          <w:b/>
          <w:color w:val="auto"/>
          <w:sz w:val="24"/>
          <w:szCs w:val="24"/>
          <w:highlight w:val="none"/>
          <w:lang w:eastAsia="zh-CN"/>
        </w:rPr>
        <w:t>：</w:t>
      </w:r>
      <w:r>
        <w:rPr>
          <w:rStyle w:val="149"/>
          <w:rFonts w:hint="eastAsia" w:ascii="仿宋" w:hAnsi="仿宋" w:eastAsia="仿宋" w:cs="仿宋"/>
          <w:b/>
          <w:color w:val="auto"/>
          <w:sz w:val="24"/>
          <w:szCs w:val="24"/>
          <w:highlight w:val="none"/>
          <w:lang w:val="en-US" w:eastAsia="zh-CN"/>
        </w:rPr>
        <w:t>0</w:t>
      </w:r>
      <w:r>
        <w:rPr>
          <w:rStyle w:val="149"/>
          <w:rFonts w:hint="eastAsia" w:ascii="仿宋" w:hAnsi="仿宋" w:eastAsia="仿宋" w:cs="仿宋"/>
          <w:b/>
          <w:color w:val="auto"/>
          <w:sz w:val="24"/>
          <w:szCs w:val="24"/>
          <w:highlight w:val="none"/>
          <w:lang w:eastAsia="zh-CN"/>
        </w:rPr>
        <w:t>0</w:t>
      </w:r>
      <w:r>
        <w:rPr>
          <w:rStyle w:val="149"/>
          <w:rFonts w:hint="eastAsia" w:ascii="仿宋" w:hAnsi="仿宋" w:eastAsia="仿宋" w:cs="仿宋"/>
          <w:b/>
          <w:color w:val="auto"/>
          <w:sz w:val="24"/>
          <w:szCs w:val="24"/>
          <w:highlight w:val="none"/>
          <w:lang w:val="en-US" w:eastAsia="zh-CN"/>
        </w:rPr>
        <w:t>（北京时间）</w:t>
      </w:r>
      <w:r>
        <w:rPr>
          <w:rStyle w:val="149"/>
          <w:rFonts w:hint="eastAsia" w:ascii="仿宋" w:hAnsi="仿宋" w:eastAsia="仿宋" w:cs="仿宋"/>
          <w:b/>
          <w:color w:val="auto"/>
          <w:sz w:val="24"/>
          <w:szCs w:val="24"/>
          <w:highlight w:val="none"/>
        </w:rPr>
        <w:t>前到账，超过时间则不予认可。投标单位须在汇款单备注栏标明：XXX项目XXX包段（标段）或采购项目编号。该项目不换取保证金收据，由银行出具供应商保证金缴纳情况。晚于规定时间缴纳保证金的企业一切责任将由贵公司自行承担。</w:t>
      </w:r>
    </w:p>
    <w:p w14:paraId="0533B6C1">
      <w:pPr>
        <w:spacing w:line="360" w:lineRule="auto"/>
        <w:jc w:val="left"/>
        <w:rPr>
          <w:rStyle w:val="149"/>
          <w:rFonts w:hint="eastAsia" w:ascii="仿宋" w:hAnsi="仿宋" w:eastAsia="仿宋" w:cs="仿宋"/>
          <w:b/>
          <w:color w:val="auto"/>
          <w:sz w:val="24"/>
          <w:szCs w:val="24"/>
          <w:highlight w:val="none"/>
        </w:rPr>
      </w:pPr>
      <w:r>
        <w:rPr>
          <w:rStyle w:val="149"/>
          <w:rFonts w:hint="eastAsia" w:ascii="仿宋" w:hAnsi="仿宋" w:eastAsia="仿宋" w:cs="仿宋"/>
          <w:b/>
          <w:color w:val="auto"/>
          <w:sz w:val="24"/>
          <w:szCs w:val="24"/>
          <w:highlight w:val="none"/>
          <w:lang w:val="en-US"/>
        </w:rPr>
        <w:t>2</w:t>
      </w:r>
      <w:r>
        <w:rPr>
          <w:rStyle w:val="149"/>
          <w:rFonts w:hint="eastAsia" w:ascii="仿宋" w:hAnsi="仿宋" w:eastAsia="仿宋" w:cs="仿宋"/>
          <w:b/>
          <w:color w:val="auto"/>
          <w:sz w:val="24"/>
          <w:szCs w:val="24"/>
          <w:highlight w:val="none"/>
        </w:rPr>
        <w:t>、供应商下载</w:t>
      </w:r>
      <w:r>
        <w:rPr>
          <w:rStyle w:val="149"/>
          <w:rFonts w:hint="eastAsia" w:ascii="仿宋" w:hAnsi="仿宋" w:eastAsia="仿宋" w:cs="仿宋"/>
          <w:b/>
          <w:color w:val="auto"/>
          <w:sz w:val="24"/>
          <w:szCs w:val="24"/>
          <w:highlight w:val="none"/>
          <w:lang w:eastAsia="zh-CN"/>
        </w:rPr>
        <w:t>谈判文件</w:t>
      </w:r>
      <w:r>
        <w:rPr>
          <w:rStyle w:val="149"/>
          <w:rFonts w:hint="eastAsia" w:ascii="仿宋" w:hAnsi="仿宋" w:eastAsia="仿宋" w:cs="仿宋"/>
          <w:b/>
          <w:color w:val="auto"/>
          <w:sz w:val="24"/>
          <w:szCs w:val="24"/>
          <w:highlight w:val="none"/>
        </w:rPr>
        <w:t>后请仔细阅读，如对</w:t>
      </w:r>
      <w:r>
        <w:rPr>
          <w:rStyle w:val="149"/>
          <w:rFonts w:hint="eastAsia" w:ascii="仿宋" w:hAnsi="仿宋" w:eastAsia="仿宋" w:cs="仿宋"/>
          <w:b/>
          <w:color w:val="auto"/>
          <w:sz w:val="24"/>
          <w:szCs w:val="24"/>
          <w:highlight w:val="none"/>
          <w:lang w:eastAsia="zh-CN"/>
        </w:rPr>
        <w:t>谈判文件</w:t>
      </w:r>
      <w:r>
        <w:rPr>
          <w:rStyle w:val="149"/>
          <w:rFonts w:hint="eastAsia" w:ascii="仿宋" w:hAnsi="仿宋" w:eastAsia="仿宋" w:cs="仿宋"/>
          <w:b/>
          <w:color w:val="auto"/>
          <w:sz w:val="24"/>
          <w:szCs w:val="24"/>
          <w:highlight w:val="none"/>
        </w:rPr>
        <w:t>内容有质疑，供应商应当在获取采购文件或者采购文件公告期限届满之日起</w:t>
      </w:r>
      <w:r>
        <w:rPr>
          <w:rStyle w:val="149"/>
          <w:rFonts w:hint="eastAsia" w:ascii="仿宋" w:hAnsi="仿宋" w:eastAsia="仿宋" w:cs="仿宋"/>
          <w:b/>
          <w:color w:val="auto"/>
          <w:sz w:val="24"/>
          <w:szCs w:val="24"/>
          <w:highlight w:val="none"/>
          <w:lang w:val="en-US" w:eastAsia="zh-CN"/>
        </w:rPr>
        <w:t>7</w:t>
      </w:r>
      <w:r>
        <w:rPr>
          <w:rStyle w:val="149"/>
          <w:rFonts w:hint="eastAsia" w:ascii="仿宋" w:hAnsi="仿宋" w:eastAsia="仿宋" w:cs="仿宋"/>
          <w:b/>
          <w:color w:val="auto"/>
          <w:sz w:val="24"/>
          <w:szCs w:val="24"/>
          <w:highlight w:val="none"/>
        </w:rPr>
        <w:t>个工作日内</w:t>
      </w:r>
      <w:r>
        <w:rPr>
          <w:rStyle w:val="149"/>
          <w:rFonts w:hint="eastAsia" w:ascii="仿宋" w:hAnsi="仿宋" w:eastAsia="仿宋" w:cs="仿宋"/>
          <w:b/>
          <w:color w:val="auto"/>
          <w:sz w:val="24"/>
          <w:szCs w:val="24"/>
          <w:highlight w:val="none"/>
          <w:lang w:eastAsia="zh-CN"/>
        </w:rPr>
        <w:t>一次性</w:t>
      </w:r>
      <w:r>
        <w:rPr>
          <w:rStyle w:val="149"/>
          <w:rFonts w:hint="eastAsia" w:ascii="仿宋" w:hAnsi="仿宋" w:eastAsia="仿宋" w:cs="仿宋"/>
          <w:b/>
          <w:color w:val="auto"/>
          <w:sz w:val="24"/>
          <w:szCs w:val="24"/>
          <w:highlight w:val="none"/>
        </w:rPr>
        <w:t>提出，按</w:t>
      </w:r>
      <w:r>
        <w:rPr>
          <w:rStyle w:val="149"/>
          <w:rFonts w:hint="eastAsia" w:ascii="仿宋" w:hAnsi="仿宋" w:eastAsia="仿宋" w:cs="仿宋"/>
          <w:b/>
          <w:color w:val="auto"/>
          <w:sz w:val="24"/>
          <w:szCs w:val="24"/>
          <w:highlight w:val="none"/>
          <w:lang w:eastAsia="zh-CN"/>
        </w:rPr>
        <w:t>谈判文件</w:t>
      </w:r>
      <w:r>
        <w:rPr>
          <w:rStyle w:val="149"/>
          <w:rFonts w:hint="eastAsia" w:ascii="仿宋" w:hAnsi="仿宋" w:eastAsia="仿宋" w:cs="仿宋"/>
          <w:b/>
          <w:color w:val="auto"/>
          <w:sz w:val="24"/>
          <w:szCs w:val="24"/>
          <w:highlight w:val="none"/>
        </w:rPr>
        <w:t>中载明的邮箱：</w:t>
      </w:r>
      <w:r>
        <w:rPr>
          <w:rStyle w:val="149"/>
          <w:rFonts w:hint="eastAsia" w:ascii="仿宋" w:hAnsi="仿宋" w:eastAsia="仿宋" w:cs="仿宋"/>
          <w:b/>
          <w:color w:val="auto"/>
          <w:sz w:val="24"/>
          <w:szCs w:val="24"/>
          <w:highlight w:val="none"/>
          <w:lang w:eastAsia="zh-CN"/>
        </w:rPr>
        <w:t>277192567@qq.com</w:t>
      </w:r>
      <w:r>
        <w:rPr>
          <w:rStyle w:val="149"/>
          <w:rFonts w:hint="eastAsia" w:ascii="仿宋" w:hAnsi="仿宋" w:eastAsia="仿宋" w:cs="仿宋"/>
          <w:b/>
          <w:color w:val="auto"/>
          <w:sz w:val="24"/>
          <w:szCs w:val="24"/>
          <w:highlight w:val="none"/>
        </w:rPr>
        <w:t>地址，以书面形式通知采购人。采购人认为必要时，将（澄清）修改后的公告发布在新疆政府采购网，敬请供应商及时关注。在规定期限内供应商未提出质疑的视为供应商默认</w:t>
      </w:r>
      <w:r>
        <w:rPr>
          <w:rStyle w:val="149"/>
          <w:rFonts w:hint="eastAsia" w:ascii="仿宋" w:hAnsi="仿宋" w:eastAsia="仿宋" w:cs="仿宋"/>
          <w:b/>
          <w:color w:val="auto"/>
          <w:sz w:val="24"/>
          <w:szCs w:val="24"/>
          <w:highlight w:val="none"/>
          <w:lang w:eastAsia="zh-CN"/>
        </w:rPr>
        <w:t>谈判文件</w:t>
      </w:r>
      <w:r>
        <w:rPr>
          <w:rStyle w:val="149"/>
          <w:rFonts w:hint="eastAsia" w:ascii="仿宋" w:hAnsi="仿宋" w:eastAsia="仿宋" w:cs="仿宋"/>
          <w:b/>
          <w:color w:val="auto"/>
          <w:sz w:val="24"/>
          <w:szCs w:val="24"/>
          <w:highlight w:val="none"/>
        </w:rPr>
        <w:t>不存在质疑的相关问题。超过</w:t>
      </w:r>
      <w:r>
        <w:rPr>
          <w:rStyle w:val="149"/>
          <w:rFonts w:hint="eastAsia" w:ascii="仿宋" w:hAnsi="仿宋" w:eastAsia="仿宋" w:cs="仿宋"/>
          <w:b/>
          <w:color w:val="auto"/>
          <w:sz w:val="24"/>
          <w:szCs w:val="24"/>
          <w:highlight w:val="none"/>
          <w:lang w:eastAsia="zh-CN"/>
        </w:rPr>
        <w:t>谈判文件</w:t>
      </w:r>
      <w:r>
        <w:rPr>
          <w:rStyle w:val="149"/>
          <w:rFonts w:hint="eastAsia" w:ascii="仿宋" w:hAnsi="仿宋" w:eastAsia="仿宋" w:cs="仿宋"/>
          <w:b/>
          <w:color w:val="auto"/>
          <w:sz w:val="24"/>
          <w:szCs w:val="24"/>
          <w:highlight w:val="none"/>
        </w:rPr>
        <w:t>质疑时间将不再接受供应商所提出的质疑。</w:t>
      </w:r>
    </w:p>
    <w:p w14:paraId="0A12819F">
      <w:pPr>
        <w:rPr>
          <w:rFonts w:hint="eastAsia" w:ascii="仿宋" w:hAnsi="仿宋" w:eastAsia="仿宋" w:cs="仿宋"/>
          <w:lang w:val="en-US" w:eastAsia="zh-CN"/>
        </w:rPr>
      </w:pPr>
    </w:p>
    <w:bookmarkEnd w:id="13"/>
    <w:bookmarkEnd w:id="14"/>
    <w:bookmarkEnd w:id="15"/>
    <w:bookmarkEnd w:id="16"/>
    <w:bookmarkEnd w:id="17"/>
    <w:bookmarkEnd w:id="18"/>
    <w:bookmarkEnd w:id="19"/>
    <w:p w14:paraId="4050BBDA">
      <w:pPr>
        <w:rPr>
          <w:rFonts w:hint="eastAsia" w:ascii="仿宋" w:hAnsi="仿宋" w:eastAsia="仿宋" w:cs="仿宋"/>
          <w:b/>
          <w:color w:val="auto"/>
          <w:sz w:val="32"/>
          <w:szCs w:val="32"/>
          <w:lang w:val="en-US" w:eastAsia="zh-CN"/>
        </w:rPr>
      </w:pPr>
      <w:bookmarkStart w:id="21" w:name="_Toc1277"/>
      <w:bookmarkStart w:id="22" w:name="_Toc19282"/>
      <w:bookmarkStart w:id="23" w:name="_Toc5064"/>
      <w:bookmarkStart w:id="24" w:name="_Toc15231"/>
      <w:bookmarkStart w:id="25" w:name="_Toc15770"/>
      <w:bookmarkStart w:id="26" w:name="_Toc32048"/>
      <w:bookmarkStart w:id="27" w:name="_Toc30559"/>
      <w:bookmarkStart w:id="28" w:name="_Toc25035"/>
      <w:r>
        <w:rPr>
          <w:rFonts w:hint="eastAsia" w:ascii="仿宋" w:hAnsi="仿宋" w:eastAsia="仿宋" w:cs="仿宋"/>
          <w:b/>
          <w:color w:val="auto"/>
          <w:sz w:val="32"/>
          <w:szCs w:val="32"/>
          <w:lang w:val="en-US" w:eastAsia="zh-CN"/>
        </w:rPr>
        <w:br w:type="page"/>
      </w:r>
    </w:p>
    <w:p w14:paraId="2F86F800">
      <w:pPr>
        <w:pStyle w:val="14"/>
        <w:rPr>
          <w:rFonts w:hint="eastAsia" w:ascii="仿宋" w:hAnsi="仿宋" w:eastAsia="仿宋" w:cs="仿宋"/>
          <w:lang w:val="en-US" w:eastAsia="zh-CN"/>
        </w:rPr>
      </w:pPr>
    </w:p>
    <w:p w14:paraId="486A9545">
      <w:pPr>
        <w:numPr>
          <w:ilvl w:val="0"/>
          <w:numId w:val="4"/>
        </w:numPr>
        <w:jc w:val="center"/>
        <w:outlineLvl w:val="0"/>
        <w:rPr>
          <w:rFonts w:hint="eastAsia" w:ascii="仿宋" w:hAnsi="仿宋" w:eastAsia="仿宋" w:cs="仿宋"/>
          <w:b/>
          <w:color w:val="auto"/>
          <w:sz w:val="40"/>
          <w:szCs w:val="40"/>
          <w:lang w:eastAsia="zh-CN"/>
        </w:rPr>
      </w:pPr>
      <w:r>
        <w:rPr>
          <w:rFonts w:hint="eastAsia" w:ascii="仿宋" w:hAnsi="仿宋" w:eastAsia="仿宋" w:cs="仿宋"/>
          <w:b/>
          <w:color w:val="auto"/>
          <w:sz w:val="40"/>
          <w:szCs w:val="40"/>
          <w:lang w:val="en-US" w:eastAsia="zh-CN"/>
        </w:rPr>
        <w:t xml:space="preserve">  </w:t>
      </w:r>
      <w:r>
        <w:rPr>
          <w:rFonts w:hint="eastAsia" w:ascii="仿宋" w:hAnsi="仿宋" w:eastAsia="仿宋" w:cs="仿宋"/>
          <w:b/>
          <w:color w:val="auto"/>
          <w:sz w:val="40"/>
          <w:szCs w:val="40"/>
          <w:lang w:eastAsia="zh-CN"/>
        </w:rPr>
        <w:t>谈判供应商须知</w:t>
      </w:r>
      <w:bookmarkEnd w:id="9"/>
      <w:bookmarkEnd w:id="10"/>
      <w:bookmarkEnd w:id="21"/>
      <w:bookmarkEnd w:id="22"/>
      <w:bookmarkEnd w:id="23"/>
      <w:bookmarkEnd w:id="24"/>
      <w:bookmarkEnd w:id="25"/>
      <w:bookmarkEnd w:id="26"/>
      <w:bookmarkEnd w:id="27"/>
      <w:bookmarkEnd w:id="28"/>
    </w:p>
    <w:p w14:paraId="326AAF93">
      <w:pPr>
        <w:numPr>
          <w:ilvl w:val="0"/>
          <w:numId w:val="0"/>
        </w:numPr>
        <w:jc w:val="center"/>
        <w:outlineLvl w:val="0"/>
        <w:rPr>
          <w:rFonts w:hint="eastAsia" w:ascii="仿宋" w:hAnsi="仿宋" w:eastAsia="仿宋" w:cs="仿宋"/>
          <w:b/>
          <w:color w:val="auto"/>
          <w:sz w:val="40"/>
          <w:szCs w:val="40"/>
          <w:lang w:eastAsia="zh-CN"/>
        </w:rPr>
      </w:pPr>
      <w:r>
        <w:rPr>
          <w:rFonts w:hint="eastAsia" w:ascii="仿宋" w:hAnsi="仿宋" w:eastAsia="仿宋" w:cs="仿宋"/>
          <w:b/>
          <w:color w:val="auto"/>
          <w:sz w:val="40"/>
          <w:szCs w:val="40"/>
          <w:lang w:eastAsia="zh-CN"/>
        </w:rPr>
        <w:t>谈判须知前附表</w:t>
      </w:r>
    </w:p>
    <w:tbl>
      <w:tblPr>
        <w:tblStyle w:val="46"/>
        <w:tblW w:w="95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3"/>
        <w:gridCol w:w="1538"/>
        <w:gridCol w:w="7462"/>
      </w:tblGrid>
      <w:tr w14:paraId="7009C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 w:hRule="atLeast"/>
          <w:jc w:val="center"/>
        </w:trPr>
        <w:tc>
          <w:tcPr>
            <w:tcW w:w="553" w:type="dxa"/>
            <w:tcBorders>
              <w:top w:val="single" w:color="auto" w:sz="12" w:space="0"/>
            </w:tcBorders>
            <w:noWrap w:val="0"/>
            <w:vAlign w:val="center"/>
          </w:tcPr>
          <w:p w14:paraId="7E015722">
            <w:pPr>
              <w:keepNext w:val="0"/>
              <w:keepLines w:val="0"/>
              <w:suppressLineNumbers w:val="0"/>
              <w:spacing w:before="0" w:beforeAutospacing="0" w:after="0" w:afterAutospacing="0" w:line="360" w:lineRule="exac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538" w:type="dxa"/>
            <w:tcBorders>
              <w:top w:val="single" w:color="auto" w:sz="12" w:space="0"/>
              <w:right w:val="single" w:color="auto" w:sz="4" w:space="0"/>
            </w:tcBorders>
            <w:noWrap w:val="0"/>
            <w:vAlign w:val="center"/>
          </w:tcPr>
          <w:p w14:paraId="7CD2EE65">
            <w:pPr>
              <w:keepNext w:val="0"/>
              <w:keepLines w:val="0"/>
              <w:suppressLineNumbers w:val="0"/>
              <w:spacing w:before="0" w:beforeAutospacing="0" w:after="0" w:afterAutospacing="0" w:line="360" w:lineRule="exac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7462" w:type="dxa"/>
            <w:tcBorders>
              <w:top w:val="single" w:color="auto" w:sz="12" w:space="0"/>
              <w:left w:val="single" w:color="auto" w:sz="4" w:space="0"/>
            </w:tcBorders>
            <w:noWrap w:val="0"/>
            <w:vAlign w:val="center"/>
          </w:tcPr>
          <w:p w14:paraId="532C5276">
            <w:pPr>
              <w:keepNext w:val="0"/>
              <w:keepLines w:val="0"/>
              <w:suppressLineNumbers w:val="0"/>
              <w:spacing w:before="0" w:beforeAutospacing="0" w:after="0" w:afterAutospacing="0" w:line="360" w:lineRule="exac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说明和要求</w:t>
            </w:r>
          </w:p>
        </w:tc>
      </w:tr>
      <w:tr w14:paraId="29893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553" w:type="dxa"/>
            <w:noWrap w:val="0"/>
            <w:vAlign w:val="center"/>
          </w:tcPr>
          <w:p w14:paraId="3CBF7F85">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38" w:type="dxa"/>
            <w:tcBorders>
              <w:right w:val="single" w:color="auto" w:sz="4" w:space="0"/>
            </w:tcBorders>
            <w:noWrap w:val="0"/>
            <w:vAlign w:val="center"/>
          </w:tcPr>
          <w:p w14:paraId="4D2DE607">
            <w:pPr>
              <w:keepNext w:val="0"/>
              <w:keepLines w:val="0"/>
              <w:suppressLineNumbers w:val="0"/>
              <w:spacing w:before="24" w:beforeLines="10" w:beforeAutospacing="0" w:after="24" w:afterLines="10" w:afterAutospacing="0" w:line="3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7462" w:type="dxa"/>
            <w:tcBorders>
              <w:left w:val="single" w:color="auto" w:sz="4" w:space="0"/>
            </w:tcBorders>
            <w:noWrap w:val="0"/>
            <w:vAlign w:val="center"/>
          </w:tcPr>
          <w:p w14:paraId="4D111D62">
            <w:pPr>
              <w:keepNext w:val="0"/>
              <w:keepLines w:val="0"/>
              <w:suppressLineNumbers w:val="0"/>
              <w:spacing w:before="0" w:beforeAutospacing="0" w:after="0" w:afterAutospacing="0" w:line="440" w:lineRule="exact"/>
              <w:ind w:left="0" w:right="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名  称：和田市教育局</w:t>
            </w:r>
          </w:p>
          <w:p w14:paraId="54276CEC">
            <w:pPr>
              <w:keepNext w:val="0"/>
              <w:keepLines w:val="0"/>
              <w:suppressLineNumbers w:val="0"/>
              <w:spacing w:before="0" w:beforeAutospacing="0" w:after="0" w:afterAutospacing="0" w:line="440" w:lineRule="exact"/>
              <w:ind w:left="0" w:right="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联系人：</w:t>
            </w:r>
            <w:r>
              <w:rPr>
                <w:rFonts w:hint="eastAsia" w:ascii="仿宋" w:hAnsi="仿宋" w:eastAsia="仿宋" w:cs="仿宋"/>
                <w:i w:val="0"/>
                <w:iCs w:val="0"/>
                <w:caps w:val="0"/>
                <w:color w:val="000000"/>
                <w:spacing w:val="0"/>
                <w:kern w:val="0"/>
                <w:sz w:val="24"/>
                <w:szCs w:val="24"/>
                <w:lang w:val="en-US" w:eastAsia="zh-CN" w:bidi="ar-SA"/>
              </w:rPr>
              <w:t>阿不都赛买提阿不都热依木　</w:t>
            </w:r>
          </w:p>
          <w:p w14:paraId="660EBD71">
            <w:pPr>
              <w:keepNext w:val="0"/>
              <w:keepLines w:val="0"/>
              <w:suppressLineNumbers w:val="0"/>
              <w:spacing w:before="0" w:beforeAutospacing="0" w:after="0" w:afterAutospacing="0" w:line="440" w:lineRule="exact"/>
              <w:ind w:left="0" w:right="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  话：</w:t>
            </w:r>
            <w:r>
              <w:rPr>
                <w:rFonts w:hint="eastAsia" w:ascii="仿宋" w:hAnsi="仿宋" w:eastAsia="仿宋" w:cs="仿宋"/>
                <w:i w:val="0"/>
                <w:iCs w:val="0"/>
                <w:caps w:val="0"/>
                <w:color w:val="000000"/>
                <w:spacing w:val="0"/>
                <w:kern w:val="0"/>
                <w:sz w:val="24"/>
                <w:szCs w:val="24"/>
                <w:lang w:val="en-US" w:eastAsia="zh-CN" w:bidi="ar-SA"/>
              </w:rPr>
              <w:t>0903-2512576</w:t>
            </w:r>
          </w:p>
        </w:tc>
      </w:tr>
      <w:tr w14:paraId="3354B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5" w:hRule="atLeast"/>
          <w:jc w:val="center"/>
        </w:trPr>
        <w:tc>
          <w:tcPr>
            <w:tcW w:w="553" w:type="dxa"/>
            <w:noWrap w:val="0"/>
            <w:vAlign w:val="center"/>
          </w:tcPr>
          <w:p w14:paraId="288A6F05">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38" w:type="dxa"/>
            <w:tcBorders>
              <w:right w:val="single" w:color="auto" w:sz="4" w:space="0"/>
            </w:tcBorders>
            <w:noWrap w:val="0"/>
            <w:vAlign w:val="center"/>
          </w:tcPr>
          <w:p w14:paraId="1A6BE052">
            <w:pPr>
              <w:keepNext w:val="0"/>
              <w:keepLines w:val="0"/>
              <w:suppressLineNumbers w:val="0"/>
              <w:spacing w:before="24" w:beforeLines="10" w:beforeAutospacing="0" w:after="24" w:afterLines="10" w:afterAutospacing="0" w:line="3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代理机构</w:t>
            </w:r>
          </w:p>
        </w:tc>
        <w:tc>
          <w:tcPr>
            <w:tcW w:w="7462" w:type="dxa"/>
            <w:tcBorders>
              <w:left w:val="single" w:color="auto" w:sz="4" w:space="0"/>
            </w:tcBorders>
            <w:noWrap w:val="0"/>
            <w:vAlign w:val="center"/>
          </w:tcPr>
          <w:p w14:paraId="27ACC988">
            <w:pPr>
              <w:keepNext w:val="0"/>
              <w:keepLines w:val="0"/>
              <w:suppressLineNumbers w:val="0"/>
              <w:spacing w:before="0" w:beforeAutospacing="0" w:after="0" w:afterAutospacing="0" w:line="440" w:lineRule="exact"/>
              <w:ind w:left="0" w:right="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名  称： 和田启投工程项目管理有限公司</w:t>
            </w:r>
          </w:p>
          <w:p w14:paraId="1A950259">
            <w:pPr>
              <w:keepNext w:val="0"/>
              <w:keepLines w:val="0"/>
              <w:suppressLineNumbers w:val="0"/>
              <w:spacing w:before="0" w:beforeAutospacing="0" w:after="0" w:afterAutospacing="0" w:line="440" w:lineRule="exact"/>
              <w:ind w:left="0" w:right="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地  址： 和田市古江南路19号</w:t>
            </w:r>
          </w:p>
          <w:p w14:paraId="54C6D29F">
            <w:pPr>
              <w:keepNext w:val="0"/>
              <w:keepLines w:val="0"/>
              <w:suppressLineNumbers w:val="0"/>
              <w:spacing w:before="0" w:beforeAutospacing="0" w:after="0" w:afterAutospacing="0" w:line="440" w:lineRule="exact"/>
              <w:ind w:left="0" w:right="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联系人： 储鹏飞</w:t>
            </w:r>
          </w:p>
          <w:p w14:paraId="10A7B940">
            <w:pPr>
              <w:keepNext w:val="0"/>
              <w:keepLines w:val="0"/>
              <w:suppressLineNumbers w:val="0"/>
              <w:spacing w:before="0" w:beforeAutospacing="0" w:after="0" w:afterAutospacing="0" w:line="440" w:lineRule="exact"/>
              <w:ind w:left="0" w:right="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  话： 0903-2025885</w:t>
            </w:r>
          </w:p>
        </w:tc>
      </w:tr>
      <w:tr w14:paraId="08C32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5" w:hRule="atLeast"/>
          <w:jc w:val="center"/>
        </w:trPr>
        <w:tc>
          <w:tcPr>
            <w:tcW w:w="553" w:type="dxa"/>
            <w:noWrap w:val="0"/>
            <w:vAlign w:val="center"/>
          </w:tcPr>
          <w:p w14:paraId="122D96E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538" w:type="dxa"/>
            <w:tcBorders>
              <w:right w:val="single" w:color="auto" w:sz="4" w:space="0"/>
            </w:tcBorders>
            <w:noWrap w:val="0"/>
            <w:vAlign w:val="center"/>
          </w:tcPr>
          <w:p w14:paraId="4FCCF2A0">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采购项目名称及编号</w:t>
            </w:r>
          </w:p>
        </w:tc>
        <w:tc>
          <w:tcPr>
            <w:tcW w:w="7462" w:type="dxa"/>
            <w:tcBorders>
              <w:left w:val="single" w:color="auto" w:sz="4" w:space="0"/>
            </w:tcBorders>
            <w:noWrap w:val="0"/>
            <w:vAlign w:val="center"/>
          </w:tcPr>
          <w:p w14:paraId="1A4C01F0">
            <w:pPr>
              <w:keepNext w:val="0"/>
              <w:keepLines w:val="0"/>
              <w:suppressLineNumbers w:val="0"/>
              <w:spacing w:before="0" w:beforeAutospacing="0" w:after="0" w:afterAutospacing="0" w:line="440" w:lineRule="exact"/>
              <w:ind w:left="0" w:right="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项目名称：和田市教育系统2024年支持学前教育发展资金项目（设备采购）</w:t>
            </w:r>
          </w:p>
          <w:p w14:paraId="6243489B">
            <w:pPr>
              <w:keepNext w:val="0"/>
              <w:keepLines w:val="0"/>
              <w:suppressLineNumbers w:val="0"/>
              <w:spacing w:before="0" w:beforeAutospacing="0" w:after="0" w:afterAutospacing="0" w:line="440" w:lineRule="exact"/>
              <w:ind w:left="0" w:right="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项目编号：HTSZFCGZBDL-2025-044</w:t>
            </w:r>
          </w:p>
        </w:tc>
      </w:tr>
      <w:tr w14:paraId="33EB8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6458168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538" w:type="dxa"/>
            <w:tcBorders>
              <w:right w:val="single" w:color="auto" w:sz="4" w:space="0"/>
            </w:tcBorders>
            <w:noWrap w:val="0"/>
            <w:vAlign w:val="center"/>
          </w:tcPr>
          <w:p w14:paraId="583402CB">
            <w:pPr>
              <w:keepNext w:val="0"/>
              <w:keepLines w:val="0"/>
              <w:suppressLineNumbers w:val="0"/>
              <w:tabs>
                <w:tab w:val="left" w:pos="900"/>
              </w:tabs>
              <w:spacing w:before="24" w:beforeLines="10" w:beforeAutospacing="0" w:after="24" w:afterLines="1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7462" w:type="dxa"/>
            <w:tcBorders>
              <w:left w:val="single" w:color="auto" w:sz="4" w:space="0"/>
            </w:tcBorders>
            <w:noWrap w:val="0"/>
            <w:vAlign w:val="center"/>
          </w:tcPr>
          <w:p w14:paraId="532510D0">
            <w:pPr>
              <w:keepNext w:val="0"/>
              <w:keepLines w:val="0"/>
              <w:widowControl/>
              <w:suppressLineNumbers w:val="0"/>
              <w:spacing w:before="0" w:beforeAutospacing="0" w:after="0" w:afterAutospacing="0" w:line="440" w:lineRule="exact"/>
              <w:ind w:left="0" w:right="0"/>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bidi="ar-SA"/>
              </w:rPr>
              <w:t>2024年支持学前教育发展资金</w:t>
            </w:r>
          </w:p>
        </w:tc>
      </w:tr>
      <w:tr w14:paraId="6932D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2" w:hRule="atLeast"/>
          <w:jc w:val="center"/>
        </w:trPr>
        <w:tc>
          <w:tcPr>
            <w:tcW w:w="553" w:type="dxa"/>
            <w:noWrap w:val="0"/>
            <w:vAlign w:val="center"/>
          </w:tcPr>
          <w:p w14:paraId="6A38F52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538" w:type="dxa"/>
            <w:tcBorders>
              <w:right w:val="single" w:color="auto" w:sz="4" w:space="0"/>
            </w:tcBorders>
            <w:noWrap w:val="0"/>
            <w:vAlign w:val="center"/>
          </w:tcPr>
          <w:p w14:paraId="55FFA081">
            <w:pPr>
              <w:keepNext w:val="0"/>
              <w:keepLines w:val="0"/>
              <w:suppressLineNumbers w:val="0"/>
              <w:tabs>
                <w:tab w:val="left" w:pos="900"/>
              </w:tabs>
              <w:spacing w:before="24" w:beforeLines="10" w:beforeAutospacing="0" w:after="24" w:afterLines="1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采购内容</w:t>
            </w:r>
          </w:p>
        </w:tc>
        <w:tc>
          <w:tcPr>
            <w:tcW w:w="7462" w:type="dxa"/>
            <w:tcBorders>
              <w:left w:val="single" w:color="auto" w:sz="4" w:space="0"/>
            </w:tcBorders>
            <w:noWrap w:val="0"/>
            <w:vAlign w:val="center"/>
          </w:tcPr>
          <w:p w14:paraId="32BDA9A9">
            <w:pPr>
              <w:pStyle w:val="42"/>
              <w:keepNext w:val="0"/>
              <w:keepLines w:val="0"/>
              <w:suppressLineNumbers w:val="0"/>
              <w:spacing w:before="75" w:beforeAutospacing="0" w:after="75" w:afterAutospacing="0" w:line="440" w:lineRule="exact"/>
              <w:ind w:left="0" w:right="0"/>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kern w:val="0"/>
                <w:sz w:val="24"/>
                <w:szCs w:val="24"/>
                <w:lang w:val="en-US" w:eastAsia="zh-CN" w:bidi="ar-SA"/>
              </w:rPr>
              <w:t>采购供暖设施配套、活动室配套设备、教玩具等教学配套设备</w:t>
            </w:r>
            <w:r>
              <w:rPr>
                <w:rFonts w:hint="eastAsia" w:ascii="仿宋" w:hAnsi="仿宋" w:eastAsia="仿宋" w:cs="仿宋"/>
                <w:color w:val="auto"/>
                <w:sz w:val="24"/>
                <w:szCs w:val="24"/>
                <w:lang w:val="en-US" w:eastAsia="zh-CN"/>
              </w:rPr>
              <w:t>（详见采购文件）。</w:t>
            </w:r>
          </w:p>
        </w:tc>
      </w:tr>
      <w:tr w14:paraId="7D476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 w:hRule="atLeast"/>
          <w:jc w:val="center"/>
        </w:trPr>
        <w:tc>
          <w:tcPr>
            <w:tcW w:w="553" w:type="dxa"/>
            <w:noWrap w:val="0"/>
            <w:vAlign w:val="center"/>
          </w:tcPr>
          <w:p w14:paraId="5A4D73D2">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538" w:type="dxa"/>
            <w:tcBorders>
              <w:right w:val="single" w:color="auto" w:sz="4" w:space="0"/>
            </w:tcBorders>
            <w:noWrap w:val="0"/>
            <w:vAlign w:val="center"/>
          </w:tcPr>
          <w:p w14:paraId="1435D10B">
            <w:pPr>
              <w:keepNext w:val="0"/>
              <w:keepLines w:val="0"/>
              <w:suppressLineNumbers w:val="0"/>
              <w:tabs>
                <w:tab w:val="left" w:pos="900"/>
              </w:tabs>
              <w:spacing w:before="24" w:beforeLines="10" w:beforeAutospacing="0" w:after="24" w:afterLines="1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采购概算价</w:t>
            </w:r>
          </w:p>
        </w:tc>
        <w:tc>
          <w:tcPr>
            <w:tcW w:w="7462" w:type="dxa"/>
            <w:tcBorders>
              <w:left w:val="single" w:color="auto" w:sz="4" w:space="0"/>
            </w:tcBorders>
            <w:noWrap w:val="0"/>
            <w:vAlign w:val="center"/>
          </w:tcPr>
          <w:p w14:paraId="67E26DD1">
            <w:pPr>
              <w:keepNext w:val="0"/>
              <w:keepLines w:val="0"/>
              <w:suppressLineNumbers w:val="0"/>
              <w:tabs>
                <w:tab w:val="left" w:pos="900"/>
              </w:tabs>
              <w:spacing w:before="24" w:beforeLines="10" w:beforeAutospacing="0" w:after="24" w:afterLines="10" w:afterAutospacing="0" w:line="440" w:lineRule="exact"/>
              <w:ind w:left="0" w:right="0"/>
              <w:rPr>
                <w:rFonts w:hint="eastAsia" w:ascii="仿宋" w:hAnsi="仿宋" w:eastAsia="仿宋" w:cs="仿宋"/>
                <w:color w:val="auto"/>
                <w:kern w:val="0"/>
                <w:sz w:val="24"/>
                <w:szCs w:val="24"/>
              </w:rPr>
            </w:pPr>
            <w:r>
              <w:rPr>
                <w:rFonts w:hint="eastAsia" w:ascii="仿宋" w:hAnsi="仿宋" w:eastAsia="仿宋" w:cs="仿宋"/>
                <w:b/>
                <w:bCs/>
                <w:color w:val="auto"/>
                <w:sz w:val="24"/>
                <w:szCs w:val="24"/>
              </w:rPr>
              <w:t>最高限价：</w:t>
            </w:r>
            <w:r>
              <w:rPr>
                <w:rFonts w:hint="eastAsia" w:ascii="仿宋" w:hAnsi="仿宋" w:eastAsia="仿宋" w:cs="仿宋"/>
                <w:b/>
                <w:bCs/>
                <w:color w:val="auto"/>
                <w:sz w:val="24"/>
                <w:szCs w:val="24"/>
                <w:lang w:val="en-US" w:eastAsia="zh-CN"/>
              </w:rPr>
              <w:t>190万</w:t>
            </w:r>
            <w:r>
              <w:rPr>
                <w:rFonts w:hint="eastAsia" w:ascii="仿宋" w:hAnsi="仿宋" w:eastAsia="仿宋" w:cs="仿宋"/>
                <w:b/>
                <w:bCs/>
                <w:color w:val="auto"/>
                <w:sz w:val="24"/>
                <w:szCs w:val="24"/>
              </w:rPr>
              <w:t>元（超过此预算的报价为无效报价）</w:t>
            </w:r>
          </w:p>
        </w:tc>
      </w:tr>
      <w:tr w14:paraId="68409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553" w:type="dxa"/>
            <w:noWrap w:val="0"/>
            <w:vAlign w:val="center"/>
          </w:tcPr>
          <w:p w14:paraId="0741A372">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538" w:type="dxa"/>
            <w:tcBorders>
              <w:right w:val="single" w:color="auto" w:sz="4" w:space="0"/>
            </w:tcBorders>
            <w:noWrap w:val="0"/>
            <w:vAlign w:val="center"/>
          </w:tcPr>
          <w:p w14:paraId="72F3324C">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采购方式</w:t>
            </w:r>
          </w:p>
        </w:tc>
        <w:tc>
          <w:tcPr>
            <w:tcW w:w="7462" w:type="dxa"/>
            <w:tcBorders>
              <w:left w:val="single" w:color="auto" w:sz="4" w:space="0"/>
            </w:tcBorders>
            <w:noWrap w:val="0"/>
            <w:vAlign w:val="center"/>
          </w:tcPr>
          <w:p w14:paraId="49DA6A24">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竞争性谈判</w:t>
            </w:r>
          </w:p>
        </w:tc>
      </w:tr>
      <w:tr w14:paraId="213CC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61C0DA4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538" w:type="dxa"/>
            <w:tcBorders>
              <w:right w:val="single" w:color="auto" w:sz="4" w:space="0"/>
            </w:tcBorders>
            <w:noWrap w:val="0"/>
            <w:vAlign w:val="center"/>
          </w:tcPr>
          <w:p w14:paraId="22A03688">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资格要求</w:t>
            </w:r>
          </w:p>
        </w:tc>
        <w:tc>
          <w:tcPr>
            <w:tcW w:w="7462" w:type="dxa"/>
            <w:tcBorders>
              <w:left w:val="single" w:color="auto" w:sz="4" w:space="0"/>
            </w:tcBorders>
            <w:noWrap w:val="0"/>
            <w:vAlign w:val="center"/>
          </w:tcPr>
          <w:p w14:paraId="4C8A31B2">
            <w:pPr>
              <w:pStyle w:val="42"/>
              <w:keepNext w:val="0"/>
              <w:keepLines w:val="0"/>
              <w:suppressLineNumbers w:val="0"/>
              <w:spacing w:before="75" w:beforeAutospacing="0" w:after="75" w:afterAutospacing="0" w:line="36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定；</w:t>
            </w:r>
            <w:r>
              <w:rPr>
                <w:rFonts w:hint="eastAsia" w:ascii="仿宋" w:hAnsi="仿宋" w:eastAsia="仿宋" w:cs="仿宋"/>
                <w:b w:val="0"/>
                <w:bCs w:val="0"/>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2）有依法缴纳税收和社会保障资金的良好记录：提供近段时间内连续三个月的完税证明或依法报税资料（新成立不足3个月的按实际情况发生提供，成立时间超过3个月的零申报的需提供依法报税资料）；提供近段时间内法人(指本单位)连续三个月的缴纳社保证明材料（新成立的公司按实际发生提供，如依法不需要缴纳社会保障资金的，应提供相应文件证明）；</w:t>
            </w:r>
            <w:r>
              <w:rPr>
                <w:rFonts w:hint="eastAsia" w:ascii="仿宋" w:hAnsi="仿宋" w:eastAsia="仿宋" w:cs="仿宋"/>
                <w:b w:val="0"/>
                <w:bCs w:val="0"/>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3）具有良好的商业信誉和健全的财务会计制度：提供第三方审计机构出具的2024年度的审计报告（2025年新成立的公司按实际发生的情况提供银行出具的资信证明）和健全的财务会计制度（财务会计制度单列提供）；</w:t>
            </w:r>
            <w:r>
              <w:rPr>
                <w:rFonts w:hint="eastAsia" w:ascii="仿宋" w:hAnsi="仿宋" w:eastAsia="仿宋" w:cs="仿宋"/>
                <w:b w:val="0"/>
                <w:bCs w:val="0"/>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（4）履行合同所必需的设备和专业技术能力：提供《供应商资格声明函》；</w:t>
            </w:r>
            <w:r>
              <w:rPr>
                <w:rFonts w:hint="eastAsia" w:ascii="仿宋" w:hAnsi="仿宋" w:eastAsia="仿宋" w:cs="仿宋"/>
                <w:b w:val="0"/>
                <w:bCs w:val="0"/>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4F11F6C">
            <w:pPr>
              <w:pStyle w:val="42"/>
              <w:keepNext w:val="0"/>
              <w:keepLines w:val="0"/>
              <w:suppressLineNumbers w:val="0"/>
              <w:spacing w:before="75" w:beforeAutospacing="0" w:after="75" w:afterAutospacing="0" w:line="36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近三年拟参加本次采购项目的供应商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40CD4819">
            <w:pPr>
              <w:pStyle w:val="42"/>
              <w:keepNext w:val="0"/>
              <w:keepLines w:val="0"/>
              <w:suppressLineNumbers w:val="0"/>
              <w:spacing w:before="75" w:beforeAutospacing="0" w:after="75" w:afterAutospacing="0" w:line="36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企业负责人为同一人或者存在直接控股、管理关系的不同供应商，不得参加同一合同项下的政府采购活动（提供声明函），否则，皆取消投标资格；凡拟参加本次采购项目的供应商还须提供“参加政府采购活动前3年内在经营活动中没有重大违法记录的书面声明函。</w:t>
            </w:r>
            <w:r>
              <w:rPr>
                <w:rFonts w:hint="eastAsia" w:ascii="仿宋" w:hAnsi="仿宋" w:eastAsia="仿宋" w:cs="仿宋"/>
                <w:b w:val="0"/>
                <w:bCs w:val="0"/>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（8）谈判保证金或电子保函：20000.00元整（大写：贰万元整）</w:t>
            </w:r>
            <w:r>
              <w:rPr>
                <w:rFonts w:hint="eastAsia" w:ascii="仿宋" w:hAnsi="仿宋" w:eastAsia="仿宋" w:cs="仿宋"/>
                <w:b w:val="0"/>
                <w:bCs w:val="0"/>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（9）本项目不接受联合体投标。</w:t>
            </w:r>
          </w:p>
        </w:tc>
      </w:tr>
      <w:tr w14:paraId="35C9A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553" w:type="dxa"/>
            <w:noWrap w:val="0"/>
            <w:vAlign w:val="center"/>
          </w:tcPr>
          <w:p w14:paraId="6958C25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538" w:type="dxa"/>
            <w:tcBorders>
              <w:right w:val="single" w:color="auto" w:sz="4" w:space="0"/>
            </w:tcBorders>
            <w:noWrap w:val="0"/>
            <w:vAlign w:val="center"/>
          </w:tcPr>
          <w:p w14:paraId="679EFAF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评标方法</w:t>
            </w:r>
          </w:p>
        </w:tc>
        <w:tc>
          <w:tcPr>
            <w:tcW w:w="7462" w:type="dxa"/>
            <w:tcBorders>
              <w:left w:val="single" w:color="auto" w:sz="4" w:space="0"/>
            </w:tcBorders>
            <w:noWrap w:val="0"/>
            <w:vAlign w:val="center"/>
          </w:tcPr>
          <w:p w14:paraId="60419525">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最低评标价法</w:t>
            </w:r>
          </w:p>
        </w:tc>
      </w:tr>
      <w:tr w14:paraId="2E040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9" w:hRule="atLeast"/>
          <w:jc w:val="center"/>
        </w:trPr>
        <w:tc>
          <w:tcPr>
            <w:tcW w:w="553" w:type="dxa"/>
            <w:noWrap w:val="0"/>
            <w:vAlign w:val="center"/>
          </w:tcPr>
          <w:p w14:paraId="2C86EF0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538" w:type="dxa"/>
            <w:tcBorders>
              <w:right w:val="single" w:color="auto" w:sz="4" w:space="0"/>
            </w:tcBorders>
            <w:noWrap w:val="0"/>
            <w:vAlign w:val="center"/>
          </w:tcPr>
          <w:p w14:paraId="1B7AB58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合同履约期限、交货地点</w:t>
            </w:r>
          </w:p>
        </w:tc>
        <w:tc>
          <w:tcPr>
            <w:tcW w:w="7462" w:type="dxa"/>
            <w:tcBorders>
              <w:left w:val="single" w:color="auto" w:sz="4" w:space="0"/>
            </w:tcBorders>
            <w:noWrap w:val="0"/>
            <w:vAlign w:val="center"/>
          </w:tcPr>
          <w:p w14:paraId="17D07BD5">
            <w:pPr>
              <w:pStyle w:val="6"/>
              <w:suppressLineNumbers w:val="0"/>
              <w:bidi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bookmarkStart w:id="29" w:name="_Toc23449"/>
            <w:r>
              <w:rPr>
                <w:rFonts w:hint="eastAsia" w:ascii="仿宋" w:hAnsi="仿宋" w:eastAsia="仿宋" w:cs="仿宋"/>
                <w:b w:val="0"/>
                <w:bCs w:val="0"/>
                <w:color w:val="auto"/>
                <w:kern w:val="2"/>
                <w:sz w:val="24"/>
                <w:szCs w:val="24"/>
                <w:lang w:val="en-US" w:eastAsia="zh-CN" w:bidi="ar-SA"/>
              </w:rPr>
              <w:t>合同履约期限：自合同签订之日起30日内供货完毕。</w:t>
            </w:r>
            <w:bookmarkEnd w:id="29"/>
          </w:p>
          <w:p w14:paraId="6B2C32C8">
            <w:pPr>
              <w:pStyle w:val="6"/>
              <w:suppressLineNumbers w:val="0"/>
              <w:bidi w:val="0"/>
              <w:spacing w:beforeAutospacing="0" w:afterAutospacing="0" w:line="240" w:lineRule="auto"/>
              <w:ind w:left="0" w:right="0"/>
              <w:rPr>
                <w:rFonts w:hint="eastAsia" w:ascii="仿宋" w:hAnsi="仿宋" w:eastAsia="仿宋" w:cs="仿宋"/>
                <w:color w:val="auto"/>
                <w:sz w:val="24"/>
                <w:szCs w:val="24"/>
              </w:rPr>
            </w:pPr>
            <w:bookmarkStart w:id="30" w:name="_Toc10171"/>
            <w:r>
              <w:rPr>
                <w:rFonts w:hint="eastAsia" w:ascii="仿宋" w:hAnsi="仿宋" w:eastAsia="仿宋" w:cs="仿宋"/>
                <w:b w:val="0"/>
                <w:bCs w:val="0"/>
                <w:color w:val="auto"/>
                <w:kern w:val="2"/>
                <w:sz w:val="24"/>
                <w:szCs w:val="24"/>
                <w:lang w:val="en-US" w:eastAsia="zh-CN" w:bidi="ar-SA"/>
              </w:rPr>
              <w:t>交货地点：和田市教育局（具体以采购人指定地点为准）</w:t>
            </w:r>
            <w:bookmarkEnd w:id="30"/>
          </w:p>
        </w:tc>
      </w:tr>
      <w:tr w14:paraId="5C512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553" w:type="dxa"/>
            <w:noWrap w:val="0"/>
            <w:vAlign w:val="center"/>
          </w:tcPr>
          <w:p w14:paraId="787A092E">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538" w:type="dxa"/>
            <w:tcBorders>
              <w:right w:val="single" w:color="auto" w:sz="4" w:space="0"/>
            </w:tcBorders>
            <w:noWrap w:val="0"/>
            <w:vAlign w:val="center"/>
          </w:tcPr>
          <w:p w14:paraId="1278AA9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7462" w:type="dxa"/>
            <w:tcBorders>
              <w:left w:val="single" w:color="auto" w:sz="4" w:space="0"/>
            </w:tcBorders>
            <w:noWrap w:val="0"/>
            <w:vAlign w:val="center"/>
          </w:tcPr>
          <w:p w14:paraId="681B9CC1">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3年</w:t>
            </w:r>
          </w:p>
        </w:tc>
      </w:tr>
      <w:tr w14:paraId="361AD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553" w:type="dxa"/>
            <w:noWrap w:val="0"/>
            <w:vAlign w:val="center"/>
          </w:tcPr>
          <w:p w14:paraId="04C5F08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538" w:type="dxa"/>
            <w:tcBorders>
              <w:right w:val="single" w:color="auto" w:sz="4" w:space="0"/>
            </w:tcBorders>
            <w:noWrap w:val="0"/>
            <w:vAlign w:val="center"/>
          </w:tcPr>
          <w:p w14:paraId="39AD021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联合体投标</w:t>
            </w:r>
          </w:p>
        </w:tc>
        <w:tc>
          <w:tcPr>
            <w:tcW w:w="7462" w:type="dxa"/>
            <w:tcBorders>
              <w:left w:val="single" w:color="auto" w:sz="4" w:space="0"/>
            </w:tcBorders>
            <w:noWrap w:val="0"/>
            <w:vAlign w:val="center"/>
          </w:tcPr>
          <w:p w14:paraId="5A0B40C3">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不接受</w:t>
            </w:r>
          </w:p>
        </w:tc>
      </w:tr>
      <w:tr w14:paraId="2A978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553" w:type="dxa"/>
            <w:noWrap w:val="0"/>
            <w:vAlign w:val="center"/>
          </w:tcPr>
          <w:p w14:paraId="4E9B20F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538" w:type="dxa"/>
            <w:tcBorders>
              <w:right w:val="single" w:color="auto" w:sz="4" w:space="0"/>
            </w:tcBorders>
            <w:noWrap w:val="0"/>
            <w:vAlign w:val="center"/>
          </w:tcPr>
          <w:p w14:paraId="1BB4B08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7462" w:type="dxa"/>
            <w:tcBorders>
              <w:left w:val="single" w:color="auto" w:sz="4" w:space="0"/>
            </w:tcBorders>
            <w:noWrap w:val="0"/>
            <w:vAlign w:val="center"/>
          </w:tcPr>
          <w:p w14:paraId="13CDCBC4">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允许</w:t>
            </w:r>
          </w:p>
        </w:tc>
      </w:tr>
      <w:tr w14:paraId="78499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553" w:type="dxa"/>
            <w:noWrap w:val="0"/>
            <w:vAlign w:val="center"/>
          </w:tcPr>
          <w:p w14:paraId="2548E60B">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538" w:type="dxa"/>
            <w:tcBorders>
              <w:right w:val="single" w:color="auto" w:sz="4" w:space="0"/>
            </w:tcBorders>
            <w:noWrap w:val="0"/>
            <w:vAlign w:val="center"/>
          </w:tcPr>
          <w:p w14:paraId="23D10334">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谈判答疑会和</w:t>
            </w:r>
            <w:r>
              <w:rPr>
                <w:rFonts w:hint="eastAsia" w:ascii="仿宋" w:hAnsi="仿宋" w:eastAsia="仿宋" w:cs="仿宋"/>
                <w:color w:val="auto"/>
                <w:sz w:val="24"/>
                <w:szCs w:val="24"/>
              </w:rPr>
              <w:t>现场</w:t>
            </w:r>
            <w:r>
              <w:rPr>
                <w:rFonts w:hint="eastAsia" w:ascii="仿宋" w:hAnsi="仿宋" w:eastAsia="仿宋" w:cs="仿宋"/>
                <w:color w:val="auto"/>
                <w:sz w:val="24"/>
                <w:szCs w:val="24"/>
                <w:lang w:eastAsia="zh-CN"/>
              </w:rPr>
              <w:t>踏勘</w:t>
            </w:r>
          </w:p>
        </w:tc>
        <w:tc>
          <w:tcPr>
            <w:tcW w:w="7462" w:type="dxa"/>
            <w:tcBorders>
              <w:left w:val="single" w:color="auto" w:sz="4" w:space="0"/>
            </w:tcBorders>
            <w:noWrap w:val="0"/>
            <w:vAlign w:val="center"/>
          </w:tcPr>
          <w:p w14:paraId="2F0D96A1">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不组织</w:t>
            </w:r>
            <w:r>
              <w:rPr>
                <w:rFonts w:hint="eastAsia" w:ascii="仿宋" w:hAnsi="仿宋" w:eastAsia="仿宋" w:cs="仿宋"/>
                <w:color w:val="auto"/>
                <w:sz w:val="24"/>
                <w:szCs w:val="24"/>
                <w:lang w:eastAsia="zh-CN"/>
              </w:rPr>
              <w:t>，不进行</w:t>
            </w:r>
          </w:p>
        </w:tc>
      </w:tr>
      <w:tr w14:paraId="5F526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5" w:hRule="atLeast"/>
          <w:jc w:val="center"/>
        </w:trPr>
        <w:tc>
          <w:tcPr>
            <w:tcW w:w="553" w:type="dxa"/>
            <w:noWrap w:val="0"/>
            <w:vAlign w:val="center"/>
          </w:tcPr>
          <w:p w14:paraId="2D3E27E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538" w:type="dxa"/>
            <w:tcBorders>
              <w:right w:val="single" w:color="auto" w:sz="4" w:space="0"/>
            </w:tcBorders>
            <w:noWrap w:val="0"/>
            <w:vAlign w:val="center"/>
          </w:tcPr>
          <w:p w14:paraId="77071794">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提出质疑的时间</w:t>
            </w:r>
          </w:p>
        </w:tc>
        <w:tc>
          <w:tcPr>
            <w:tcW w:w="7462" w:type="dxa"/>
            <w:tcBorders>
              <w:left w:val="single" w:color="auto" w:sz="4" w:space="0"/>
            </w:tcBorders>
            <w:noWrap w:val="0"/>
            <w:vAlign w:val="center"/>
          </w:tcPr>
          <w:p w14:paraId="594647C1">
            <w:pPr>
              <w:pStyle w:val="86"/>
              <w:keepNext w:val="0"/>
              <w:keepLines w:val="0"/>
              <w:suppressLineNumbers w:val="0"/>
              <w:autoSpaceDE/>
              <w:autoSpaceDN/>
              <w:adjustRightInd/>
              <w:spacing w:before="0" w:beforeAutospacing="0" w:after="0" w:afterAutospacing="0" w:line="380" w:lineRule="exact"/>
              <w:ind w:left="0" w:right="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提出质疑函的时限：对采购文件提出质疑的，应当在获取采购文件或者采购文件公告期限届满之日起</w:t>
            </w:r>
            <w:r>
              <w:rPr>
                <w:rFonts w:hint="eastAsia" w:ascii="仿宋" w:hAnsi="仿宋" w:eastAsia="仿宋" w:cs="仿宋"/>
                <w:color w:val="auto"/>
                <w:kern w:val="2"/>
                <w:sz w:val="24"/>
                <w:szCs w:val="24"/>
                <w:lang w:val="en-US" w:eastAsia="zh-CN"/>
              </w:rPr>
              <w:t>7</w:t>
            </w:r>
            <w:r>
              <w:rPr>
                <w:rFonts w:hint="eastAsia" w:ascii="仿宋" w:hAnsi="仿宋" w:eastAsia="仿宋" w:cs="仿宋"/>
                <w:color w:val="auto"/>
                <w:kern w:val="2"/>
                <w:sz w:val="24"/>
                <w:szCs w:val="24"/>
              </w:rPr>
              <w:t>个工作日内</w:t>
            </w:r>
            <w:r>
              <w:rPr>
                <w:rFonts w:hint="eastAsia" w:ascii="仿宋" w:hAnsi="仿宋" w:eastAsia="仿宋" w:cs="仿宋"/>
                <w:color w:val="auto"/>
                <w:kern w:val="2"/>
                <w:sz w:val="24"/>
                <w:szCs w:val="24"/>
                <w:lang w:eastAsia="zh-CN"/>
              </w:rPr>
              <w:t>一次性</w:t>
            </w:r>
            <w:r>
              <w:rPr>
                <w:rFonts w:hint="eastAsia" w:ascii="仿宋" w:hAnsi="仿宋" w:eastAsia="仿宋" w:cs="仿宋"/>
                <w:color w:val="auto"/>
                <w:kern w:val="2"/>
                <w:sz w:val="24"/>
                <w:szCs w:val="24"/>
              </w:rPr>
              <w:t>提出。</w:t>
            </w:r>
          </w:p>
          <w:p w14:paraId="7EB3BADB">
            <w:pPr>
              <w:pStyle w:val="86"/>
              <w:keepNext w:val="0"/>
              <w:keepLines w:val="0"/>
              <w:suppressLineNumbers w:val="0"/>
              <w:autoSpaceDE/>
              <w:autoSpaceDN/>
              <w:adjustRightInd/>
              <w:spacing w:before="0" w:beforeAutospacing="0" w:after="0" w:afterAutospacing="0" w:line="380" w:lineRule="exact"/>
              <w:ind w:left="0" w:right="0" w:hanging="7"/>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接收质疑函的方式：将PDF格式电子版质疑文件加盖公章扫描发送至</w:t>
            </w:r>
            <w:r>
              <w:rPr>
                <w:rFonts w:hint="eastAsia" w:ascii="仿宋" w:hAnsi="仿宋" w:eastAsia="仿宋" w:cs="仿宋"/>
                <w:color w:val="auto"/>
                <w:kern w:val="2"/>
                <w:sz w:val="24"/>
                <w:szCs w:val="24"/>
                <w:lang w:val="en-US" w:eastAsia="zh-CN"/>
              </w:rPr>
              <w:t>277192567</w:t>
            </w:r>
            <w:r>
              <w:rPr>
                <w:rFonts w:hint="eastAsia" w:ascii="仿宋" w:hAnsi="仿宋" w:eastAsia="仿宋" w:cs="仿宋"/>
                <w:color w:val="auto"/>
                <w:kern w:val="2"/>
                <w:sz w:val="24"/>
                <w:szCs w:val="24"/>
                <w:lang w:eastAsia="zh-CN"/>
              </w:rPr>
              <w:t>@qq.com</w:t>
            </w:r>
            <w:r>
              <w:rPr>
                <w:rFonts w:hint="eastAsia" w:ascii="仿宋" w:hAnsi="仿宋" w:eastAsia="仿宋" w:cs="仿宋"/>
                <w:color w:val="auto"/>
                <w:kern w:val="2"/>
                <w:sz w:val="24"/>
                <w:szCs w:val="24"/>
              </w:rPr>
              <w:t>邮箱。</w:t>
            </w:r>
          </w:p>
          <w:p w14:paraId="722EC3B3">
            <w:pPr>
              <w:pStyle w:val="86"/>
              <w:keepNext w:val="0"/>
              <w:keepLines w:val="0"/>
              <w:suppressLineNumbers w:val="0"/>
              <w:autoSpaceDE/>
              <w:autoSpaceDN/>
              <w:adjustRightInd/>
              <w:spacing w:before="0" w:beforeAutospacing="0" w:after="0" w:afterAutospacing="0" w:line="380" w:lineRule="exact"/>
              <w:ind w:left="0" w:right="0"/>
              <w:jc w:val="both"/>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接受质疑的单位：</w:t>
            </w:r>
            <w:r>
              <w:rPr>
                <w:rFonts w:hint="eastAsia" w:ascii="仿宋" w:hAnsi="仿宋" w:eastAsia="仿宋" w:cs="仿宋"/>
                <w:color w:val="auto"/>
                <w:kern w:val="2"/>
                <w:sz w:val="24"/>
                <w:szCs w:val="24"/>
                <w:lang w:val="en-US" w:eastAsia="zh-CN"/>
              </w:rPr>
              <w:t>和田启投</w:t>
            </w:r>
            <w:r>
              <w:rPr>
                <w:rFonts w:hint="eastAsia" w:ascii="仿宋" w:hAnsi="仿宋" w:eastAsia="仿宋" w:cs="仿宋"/>
                <w:color w:val="auto"/>
                <w:kern w:val="2"/>
                <w:sz w:val="24"/>
                <w:szCs w:val="24"/>
                <w:lang w:eastAsia="zh-CN"/>
              </w:rPr>
              <w:t>工程项目管理有限公司</w:t>
            </w:r>
          </w:p>
          <w:p w14:paraId="613CC7B5">
            <w:pPr>
              <w:pStyle w:val="86"/>
              <w:keepNext w:val="0"/>
              <w:keepLines w:val="0"/>
              <w:suppressLineNumbers w:val="0"/>
              <w:autoSpaceDE/>
              <w:autoSpaceDN/>
              <w:adjustRightInd/>
              <w:spacing w:before="0" w:beforeAutospacing="0" w:after="0" w:afterAutospacing="0" w:line="380" w:lineRule="exact"/>
              <w:ind w:left="0" w:right="0"/>
              <w:jc w:val="both"/>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联系电话：</w:t>
            </w:r>
            <w:r>
              <w:rPr>
                <w:rFonts w:hint="eastAsia" w:ascii="仿宋" w:hAnsi="仿宋" w:eastAsia="仿宋" w:cs="仿宋"/>
                <w:color w:val="auto"/>
                <w:kern w:val="2"/>
                <w:sz w:val="24"/>
                <w:szCs w:val="24"/>
                <w:lang w:eastAsia="zh-CN"/>
              </w:rPr>
              <w:t>0903-2</w:t>
            </w:r>
            <w:r>
              <w:rPr>
                <w:rFonts w:hint="eastAsia" w:ascii="仿宋" w:hAnsi="仿宋" w:eastAsia="仿宋" w:cs="仿宋"/>
                <w:color w:val="auto"/>
                <w:kern w:val="2"/>
                <w:sz w:val="24"/>
                <w:szCs w:val="24"/>
                <w:lang w:val="en-US" w:eastAsia="zh-CN"/>
              </w:rPr>
              <w:t>0</w:t>
            </w:r>
            <w:r>
              <w:rPr>
                <w:rFonts w:hint="eastAsia" w:ascii="仿宋" w:hAnsi="仿宋" w:eastAsia="仿宋" w:cs="仿宋"/>
                <w:color w:val="auto"/>
                <w:kern w:val="2"/>
                <w:sz w:val="24"/>
                <w:szCs w:val="24"/>
                <w:lang w:eastAsia="zh-CN"/>
              </w:rPr>
              <w:t>2</w:t>
            </w:r>
            <w:r>
              <w:rPr>
                <w:rFonts w:hint="eastAsia" w:ascii="仿宋" w:hAnsi="仿宋" w:eastAsia="仿宋" w:cs="仿宋"/>
                <w:color w:val="auto"/>
                <w:kern w:val="2"/>
                <w:sz w:val="24"/>
                <w:szCs w:val="24"/>
                <w:lang w:val="en-US" w:eastAsia="zh-CN"/>
              </w:rPr>
              <w:t>5885</w:t>
            </w:r>
          </w:p>
          <w:p w14:paraId="271808EC">
            <w:pPr>
              <w:keepNext w:val="0"/>
              <w:keepLines w:val="0"/>
              <w:suppressLineNumbers w:val="0"/>
              <w:spacing w:before="0" w:beforeAutospacing="0" w:after="0" w:afterAutospacing="0" w:line="38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和田市古江南路19号</w:t>
            </w:r>
          </w:p>
        </w:tc>
      </w:tr>
      <w:tr w14:paraId="5A13A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18AC658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538" w:type="dxa"/>
            <w:tcBorders>
              <w:right w:val="single" w:color="auto" w:sz="4" w:space="0"/>
            </w:tcBorders>
            <w:noWrap w:val="0"/>
            <w:vAlign w:val="center"/>
          </w:tcPr>
          <w:p w14:paraId="316B0059">
            <w:pPr>
              <w:pStyle w:val="86"/>
              <w:keepNext w:val="0"/>
              <w:keepLines w:val="0"/>
              <w:suppressLineNumbers w:val="0"/>
              <w:spacing w:before="0" w:beforeAutospacing="0" w:after="0" w:afterAutospacing="0"/>
              <w:ind w:left="38" w:right="0"/>
              <w:jc w:val="center"/>
              <w:rPr>
                <w:rFonts w:hint="eastAsia" w:ascii="仿宋" w:hAnsi="仿宋" w:eastAsia="仿宋" w:cs="仿宋"/>
                <w:color w:val="auto"/>
                <w:sz w:val="24"/>
                <w:szCs w:val="24"/>
              </w:rPr>
            </w:pPr>
            <w:r>
              <w:rPr>
                <w:rFonts w:hint="eastAsia" w:ascii="仿宋" w:hAnsi="仿宋" w:eastAsia="仿宋" w:cs="仿宋"/>
                <w:color w:val="auto"/>
                <w:kern w:val="2"/>
                <w:sz w:val="24"/>
                <w:szCs w:val="24"/>
              </w:rPr>
              <w:t>信用情况</w:t>
            </w:r>
          </w:p>
        </w:tc>
        <w:tc>
          <w:tcPr>
            <w:tcW w:w="7462" w:type="dxa"/>
            <w:tcBorders>
              <w:left w:val="single" w:color="auto" w:sz="4" w:space="0"/>
            </w:tcBorders>
            <w:noWrap w:val="0"/>
            <w:vAlign w:val="center"/>
          </w:tcPr>
          <w:p w14:paraId="08018558">
            <w:pPr>
              <w:keepNext w:val="0"/>
              <w:keepLines w:val="0"/>
              <w:widowControl/>
              <w:suppressLineNumbers w:val="0"/>
              <w:spacing w:before="0" w:beforeAutospacing="0" w:after="0" w:afterAutospacing="0" w:line="276" w:lineRule="auto"/>
              <w:ind w:left="0" w:right="0"/>
              <w:jc w:val="left"/>
              <w:rPr>
                <w:rFonts w:hint="eastAsia" w:ascii="仿宋" w:hAnsi="仿宋" w:eastAsia="仿宋" w:cs="仿宋"/>
                <w:bCs/>
                <w:color w:val="auto"/>
                <w:sz w:val="24"/>
                <w:szCs w:val="24"/>
              </w:rPr>
            </w:pPr>
            <w:r>
              <w:rPr>
                <w:rFonts w:hint="eastAsia" w:ascii="仿宋" w:hAnsi="仿宋" w:eastAsia="仿宋" w:cs="仿宋"/>
                <w:color w:val="auto"/>
                <w:sz w:val="24"/>
                <w:szCs w:val="24"/>
              </w:rPr>
              <w:t>供应商参加政府采购活动时，应当就自己的诚信情况在响应性文件中进行承诺。</w:t>
            </w:r>
            <w:r>
              <w:rPr>
                <w:rFonts w:hint="eastAsia" w:ascii="仿宋" w:hAnsi="仿宋" w:eastAsia="仿宋" w:cs="仿宋"/>
                <w:b/>
                <w:color w:val="auto"/>
                <w:sz w:val="24"/>
                <w:szCs w:val="24"/>
              </w:rPr>
              <w:t>本项目不接受失信企业投标。</w:t>
            </w:r>
          </w:p>
        </w:tc>
      </w:tr>
      <w:tr w14:paraId="72749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8" w:hRule="atLeast"/>
          <w:jc w:val="center"/>
        </w:trPr>
        <w:tc>
          <w:tcPr>
            <w:tcW w:w="553" w:type="dxa"/>
            <w:noWrap w:val="0"/>
            <w:vAlign w:val="center"/>
          </w:tcPr>
          <w:p w14:paraId="7C5C790B">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538" w:type="dxa"/>
            <w:tcBorders>
              <w:right w:val="single" w:color="auto" w:sz="4" w:space="0"/>
            </w:tcBorders>
            <w:noWrap w:val="0"/>
            <w:vAlign w:val="center"/>
          </w:tcPr>
          <w:p w14:paraId="36AEF190">
            <w:pPr>
              <w:keepNext w:val="0"/>
              <w:keepLines w:val="0"/>
              <w:suppressLineNumbers w:val="0"/>
              <w:overflowPunct w:val="0"/>
              <w:spacing w:before="0" w:beforeAutospacing="0" w:after="0" w:afterAutospacing="0" w:line="44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获取</w:t>
            </w:r>
          </w:p>
        </w:tc>
        <w:tc>
          <w:tcPr>
            <w:tcW w:w="7462" w:type="dxa"/>
            <w:tcBorders>
              <w:left w:val="single" w:color="auto" w:sz="4" w:space="0"/>
            </w:tcBorders>
            <w:noWrap w:val="0"/>
            <w:vAlign w:val="center"/>
          </w:tcPr>
          <w:p w14:paraId="1E7BCF83">
            <w:pPr>
              <w:keepNext w:val="0"/>
              <w:keepLines w:val="0"/>
              <w:widowControl/>
              <w:suppressLineNumbers w:val="0"/>
              <w:spacing w:before="0" w:beforeAutospacing="0" w:after="0" w:afterAutospacing="0" w:line="340" w:lineRule="exact"/>
              <w:ind w:left="0" w:right="0"/>
              <w:jc w:val="left"/>
              <w:rPr>
                <w:rFonts w:hint="eastAsia" w:ascii="仿宋" w:hAnsi="仿宋" w:eastAsia="仿宋" w:cs="仿宋"/>
                <w:bCs/>
                <w:color w:val="auto"/>
                <w:sz w:val="24"/>
                <w:szCs w:val="24"/>
              </w:rPr>
            </w:pPr>
            <w:r>
              <w:rPr>
                <w:rFonts w:hint="eastAsia" w:ascii="仿宋" w:hAnsi="仿宋" w:eastAsia="仿宋" w:cs="仿宋"/>
                <w:b/>
                <w:bCs/>
                <w:color w:val="auto"/>
                <w:sz w:val="24"/>
                <w:szCs w:val="24"/>
              </w:rPr>
              <w:t>供应商</w:t>
            </w:r>
            <w:r>
              <w:rPr>
                <w:rFonts w:hint="eastAsia" w:ascii="仿宋" w:hAnsi="仿宋" w:eastAsia="仿宋" w:cs="仿宋"/>
                <w:b/>
                <w:bCs/>
                <w:color w:val="auto"/>
                <w:sz w:val="24"/>
                <w:szCs w:val="24"/>
                <w:lang w:eastAsia="zh-CN"/>
              </w:rPr>
              <w:t>登录</w:t>
            </w:r>
            <w:r>
              <w:rPr>
                <w:rFonts w:hint="eastAsia" w:ascii="仿宋" w:hAnsi="仿宋" w:eastAsia="仿宋" w:cs="仿宋"/>
                <w:b/>
                <w:bCs/>
                <w:color w:val="auto"/>
                <w:sz w:val="24"/>
                <w:szCs w:val="24"/>
              </w:rPr>
              <w:t>政采云平台</w:t>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HYPERLINK "https://www.zcygov.cn/" </w:instrText>
            </w:r>
            <w:r>
              <w:rPr>
                <w:rFonts w:hint="eastAsia" w:ascii="仿宋" w:hAnsi="仿宋" w:eastAsia="仿宋" w:cs="仿宋"/>
                <w:b/>
                <w:bCs/>
                <w:color w:val="auto"/>
                <w:sz w:val="24"/>
                <w:szCs w:val="24"/>
              </w:rPr>
              <w:fldChar w:fldCharType="separate"/>
            </w:r>
            <w:r>
              <w:rPr>
                <w:rStyle w:val="53"/>
                <w:rFonts w:hint="eastAsia" w:ascii="仿宋" w:hAnsi="仿宋" w:eastAsia="仿宋" w:cs="仿宋"/>
                <w:b/>
                <w:bCs/>
                <w:color w:val="auto"/>
                <w:sz w:val="24"/>
                <w:szCs w:val="24"/>
              </w:rPr>
              <w:t>https://www.zcygov.cn/</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t>在线申请获取采购文件（进入“项目采购”应用，在获取采购文件菜单中选择项目，申请获取采购文件）。</w:t>
            </w:r>
          </w:p>
        </w:tc>
      </w:tr>
      <w:tr w14:paraId="20D3B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3" w:hRule="atLeast"/>
          <w:jc w:val="center"/>
        </w:trPr>
        <w:tc>
          <w:tcPr>
            <w:tcW w:w="553" w:type="dxa"/>
            <w:noWrap w:val="0"/>
            <w:vAlign w:val="center"/>
          </w:tcPr>
          <w:p w14:paraId="3525AE74">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1538" w:type="dxa"/>
            <w:tcBorders>
              <w:right w:val="single" w:color="auto" w:sz="4" w:space="0"/>
            </w:tcBorders>
            <w:noWrap w:val="0"/>
            <w:vAlign w:val="center"/>
          </w:tcPr>
          <w:p w14:paraId="43DA199E">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构成</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的其他文件</w:t>
            </w:r>
          </w:p>
        </w:tc>
        <w:tc>
          <w:tcPr>
            <w:tcW w:w="7462" w:type="dxa"/>
            <w:tcBorders>
              <w:left w:val="single" w:color="auto" w:sz="4" w:space="0"/>
            </w:tcBorders>
            <w:noWrap w:val="0"/>
            <w:vAlign w:val="center"/>
          </w:tcPr>
          <w:p w14:paraId="79B2542F">
            <w:pPr>
              <w:keepNext w:val="0"/>
              <w:keepLines w:val="0"/>
              <w:suppressLineNumbers w:val="0"/>
              <w:spacing w:before="0" w:beforeAutospacing="0" w:after="0" w:afterAutospacing="0" w:line="360" w:lineRule="auto"/>
              <w:ind w:left="0" w:right="0"/>
              <w:rPr>
                <w:rFonts w:hint="eastAsia" w:ascii="仿宋" w:hAnsi="仿宋" w:eastAsia="仿宋" w:cs="仿宋"/>
                <w:b/>
                <w:color w:val="auto"/>
                <w:sz w:val="24"/>
                <w:szCs w:val="24"/>
              </w:rPr>
            </w:pPr>
            <w:r>
              <w:rPr>
                <w:rFonts w:hint="eastAsia" w:ascii="仿宋" w:hAnsi="仿宋" w:eastAsia="仿宋" w:cs="仿宋"/>
                <w:bCs/>
                <w:color w:val="auto"/>
                <w:sz w:val="24"/>
                <w:szCs w:val="24"/>
                <w:lang w:eastAsia="zh-CN"/>
              </w:rPr>
              <w:t>采购文件</w:t>
            </w:r>
            <w:r>
              <w:rPr>
                <w:rFonts w:hint="eastAsia" w:ascii="仿宋" w:hAnsi="仿宋" w:eastAsia="仿宋" w:cs="仿宋"/>
                <w:bCs/>
                <w:color w:val="auto"/>
                <w:sz w:val="24"/>
                <w:szCs w:val="24"/>
              </w:rPr>
              <w:t>的澄清、修改书及有关补充通知为</w:t>
            </w:r>
            <w:r>
              <w:rPr>
                <w:rFonts w:hint="eastAsia" w:ascii="仿宋" w:hAnsi="仿宋" w:eastAsia="仿宋" w:cs="仿宋"/>
                <w:bCs/>
                <w:color w:val="auto"/>
                <w:sz w:val="24"/>
                <w:szCs w:val="24"/>
                <w:lang w:eastAsia="zh-CN"/>
              </w:rPr>
              <w:t>采购文件</w:t>
            </w:r>
            <w:r>
              <w:rPr>
                <w:rFonts w:hint="eastAsia" w:ascii="仿宋" w:hAnsi="仿宋" w:eastAsia="仿宋" w:cs="仿宋"/>
                <w:bCs/>
                <w:color w:val="auto"/>
                <w:sz w:val="24"/>
                <w:szCs w:val="24"/>
              </w:rPr>
              <w:t>的有效组成部分</w:t>
            </w:r>
          </w:p>
        </w:tc>
      </w:tr>
      <w:tr w14:paraId="1974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4F3FFD4E">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538" w:type="dxa"/>
            <w:tcBorders>
              <w:right w:val="single" w:color="auto" w:sz="4" w:space="0"/>
            </w:tcBorders>
            <w:noWrap w:val="0"/>
            <w:vAlign w:val="center"/>
          </w:tcPr>
          <w:p w14:paraId="0338022E">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截止时间</w:t>
            </w:r>
          </w:p>
        </w:tc>
        <w:tc>
          <w:tcPr>
            <w:tcW w:w="7462" w:type="dxa"/>
            <w:tcBorders>
              <w:left w:val="single" w:color="auto" w:sz="4" w:space="0"/>
            </w:tcBorders>
            <w:noWrap w:val="0"/>
            <w:vAlign w:val="center"/>
          </w:tcPr>
          <w:p w14:paraId="2B19D858">
            <w:pPr>
              <w:keepNext w:val="0"/>
              <w:keepLines w:val="0"/>
              <w:suppressLineNumbers w:val="0"/>
              <w:spacing w:before="0" w:beforeAutospacing="0" w:after="0" w:afterAutospacing="0" w:line="360" w:lineRule="auto"/>
              <w:ind w:left="714" w:leftChars="1" w:right="0" w:hanging="712" w:hangingChars="297"/>
              <w:jc w:val="left"/>
              <w:rPr>
                <w:rFonts w:hint="eastAsia" w:ascii="仿宋" w:hAnsi="仿宋" w:eastAsia="仿宋" w:cs="仿宋"/>
                <w:bCs/>
                <w:color w:val="000000"/>
                <w:sz w:val="24"/>
                <w:szCs w:val="24"/>
              </w:rPr>
            </w:pPr>
            <w:r>
              <w:rPr>
                <w:rFonts w:hint="eastAsia" w:ascii="仿宋" w:hAnsi="仿宋" w:eastAsia="仿宋" w:cs="仿宋"/>
                <w:color w:val="000000"/>
                <w:kern w:val="0"/>
                <w:sz w:val="24"/>
                <w:szCs w:val="24"/>
                <w:lang w:eastAsia="zh-CN"/>
              </w:rPr>
              <w:t>202</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年</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月</w:t>
            </w:r>
            <w:r>
              <w:rPr>
                <w:rFonts w:hint="eastAsia" w:ascii="仿宋" w:hAnsi="仿宋" w:eastAsia="仿宋" w:cs="仿宋"/>
                <w:color w:val="000000"/>
                <w:kern w:val="0"/>
                <w:sz w:val="24"/>
                <w:szCs w:val="24"/>
                <w:lang w:val="en-US" w:eastAsia="zh-CN"/>
              </w:rPr>
              <w:t>11</w:t>
            </w:r>
            <w:r>
              <w:rPr>
                <w:rFonts w:hint="eastAsia" w:ascii="仿宋" w:hAnsi="仿宋" w:eastAsia="仿宋" w:cs="仿宋"/>
                <w:color w:val="000000"/>
                <w:kern w:val="0"/>
                <w:sz w:val="24"/>
                <w:szCs w:val="24"/>
                <w:lang w:eastAsia="zh-CN"/>
              </w:rPr>
              <w:t>日</w:t>
            </w:r>
            <w:r>
              <w:rPr>
                <w:rFonts w:hint="eastAsia" w:ascii="仿宋" w:hAnsi="仿宋" w:eastAsia="仿宋" w:cs="仿宋"/>
                <w:color w:val="000000"/>
                <w:kern w:val="0"/>
                <w:sz w:val="24"/>
                <w:szCs w:val="24"/>
                <w:lang w:val="en-US" w:eastAsia="zh-CN"/>
              </w:rPr>
              <w:t>11</w:t>
            </w:r>
            <w:r>
              <w:rPr>
                <w:rFonts w:hint="eastAsia" w:ascii="仿宋" w:hAnsi="仿宋" w:eastAsia="仿宋" w:cs="仿宋"/>
                <w:color w:val="000000"/>
                <w:kern w:val="0"/>
                <w:sz w:val="24"/>
                <w:szCs w:val="24"/>
                <w:lang w:eastAsia="zh-CN"/>
              </w:rPr>
              <w:t>点00分</w:t>
            </w:r>
            <w:r>
              <w:rPr>
                <w:rFonts w:hint="eastAsia" w:ascii="仿宋" w:hAnsi="仿宋" w:eastAsia="仿宋" w:cs="仿宋"/>
                <w:color w:val="000000"/>
                <w:kern w:val="0"/>
                <w:sz w:val="24"/>
                <w:szCs w:val="24"/>
              </w:rPr>
              <w:t>（北京时间）</w:t>
            </w:r>
          </w:p>
        </w:tc>
      </w:tr>
      <w:tr w14:paraId="650A0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6" w:hRule="atLeast"/>
          <w:jc w:val="center"/>
        </w:trPr>
        <w:tc>
          <w:tcPr>
            <w:tcW w:w="553" w:type="dxa"/>
            <w:noWrap w:val="0"/>
            <w:vAlign w:val="center"/>
          </w:tcPr>
          <w:p w14:paraId="33113D92">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1538" w:type="dxa"/>
            <w:tcBorders>
              <w:right w:val="single" w:color="auto" w:sz="4" w:space="0"/>
            </w:tcBorders>
            <w:noWrap w:val="0"/>
            <w:vAlign w:val="center"/>
          </w:tcPr>
          <w:p w14:paraId="6FAC97FD">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谈判有效期</w:t>
            </w:r>
          </w:p>
        </w:tc>
        <w:tc>
          <w:tcPr>
            <w:tcW w:w="7462" w:type="dxa"/>
            <w:tcBorders>
              <w:left w:val="single" w:color="auto" w:sz="4" w:space="0"/>
            </w:tcBorders>
            <w:noWrap w:val="0"/>
            <w:vAlign w:val="center"/>
          </w:tcPr>
          <w:p w14:paraId="128BD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自投标截止日起 </w:t>
            </w:r>
            <w:r>
              <w:rPr>
                <w:rFonts w:hint="eastAsia" w:ascii="仿宋" w:hAnsi="仿宋" w:eastAsia="仿宋" w:cs="仿宋"/>
                <w:bCs/>
                <w:color w:val="auto"/>
                <w:sz w:val="24"/>
                <w:szCs w:val="24"/>
                <w:u w:val="single"/>
              </w:rPr>
              <w:t>90</w:t>
            </w:r>
            <w:r>
              <w:rPr>
                <w:rFonts w:hint="eastAsia" w:ascii="仿宋" w:hAnsi="仿宋" w:eastAsia="仿宋" w:cs="仿宋"/>
                <w:bCs/>
                <w:color w:val="auto"/>
                <w:sz w:val="24"/>
                <w:szCs w:val="24"/>
              </w:rPr>
              <w:t xml:space="preserve"> 天</w:t>
            </w:r>
          </w:p>
        </w:tc>
      </w:tr>
      <w:tr w14:paraId="0E4CB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553" w:type="dxa"/>
            <w:noWrap w:val="0"/>
            <w:vAlign w:val="center"/>
          </w:tcPr>
          <w:p w14:paraId="7FFA253A">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538" w:type="dxa"/>
            <w:tcBorders>
              <w:right w:val="single" w:color="auto" w:sz="4" w:space="0"/>
            </w:tcBorders>
            <w:noWrap w:val="0"/>
            <w:vAlign w:val="center"/>
          </w:tcPr>
          <w:p w14:paraId="4C34D410">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谈判保证金</w:t>
            </w:r>
          </w:p>
        </w:tc>
        <w:tc>
          <w:tcPr>
            <w:tcW w:w="7462" w:type="dxa"/>
            <w:tcBorders>
              <w:left w:val="single" w:color="auto" w:sz="4" w:space="0"/>
            </w:tcBorders>
            <w:noWrap w:val="0"/>
            <w:vAlign w:val="center"/>
          </w:tcPr>
          <w:p w14:paraId="79920C88">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谈判保证金金额：20000.00元整（大写：贰万元整）</w:t>
            </w:r>
          </w:p>
          <w:p w14:paraId="7DC5315C">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递交方式：汇款、转账或保函</w:t>
            </w:r>
          </w:p>
          <w:p w14:paraId="192C37A9">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账户名称：和田启投工程项目管理有限公司</w:t>
            </w:r>
          </w:p>
          <w:p w14:paraId="23A511AE">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开户银行：中国农业银行股份有限公司和田屯垦路支行</w:t>
            </w:r>
          </w:p>
          <w:p w14:paraId="6BF449E6">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帐    号：30580701040010986</w:t>
            </w:r>
          </w:p>
          <w:p w14:paraId="369CCEAE">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注：(1) 谈判保证金请于谈判截止时间之前(北京时间) 缴入指定账户，各供应商保证金缴纳只接受企业基本帐户足额对公转帐，其他以私人名义或现金缴纳等存入、汇款方式均视为无效谈判保证金，未按规定时间交保证金的供应商不得参加本次投标(以到账时间为准)(2)供应商以保函形式缴纳谈判保证金的，须提供有效保函。(3) 投标单位须在汇款单各注栏标明:XXX 项目或项目编号(4) 保函承保期限:90 日历天。</w:t>
            </w:r>
          </w:p>
          <w:p w14:paraId="6908DDDA">
            <w:pPr>
              <w:keepNext w:val="0"/>
              <w:keepLines w:val="0"/>
              <w:suppressLineNumbers w:val="0"/>
              <w:spacing w:before="0" w:beforeAutospacing="0" w:after="0" w:afterAutospacing="0"/>
              <w:ind w:left="0" w:right="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退保证金说明:为了方便各企业谈判保证金能在公示期后及时退回，请在谈判结束后向</w:t>
            </w:r>
            <w:r>
              <w:rPr>
                <w:rFonts w:hint="eastAsia" w:ascii="仿宋" w:hAnsi="仿宋" w:eastAsia="仿宋" w:cs="仿宋"/>
                <w:b w:val="0"/>
                <w:bCs w:val="0"/>
                <w:color w:val="auto"/>
                <w:sz w:val="24"/>
                <w:szCs w:val="24"/>
                <w:lang w:val="en-US" w:eastAsia="zh-CN"/>
              </w:rPr>
              <w:t>和田启投工程项目管理有限公司</w:t>
            </w:r>
            <w:r>
              <w:rPr>
                <w:rFonts w:hint="eastAsia" w:ascii="仿宋" w:hAnsi="仿宋" w:eastAsia="仿宋" w:cs="仿宋"/>
                <w:b w:val="0"/>
                <w:bCs w:val="0"/>
                <w:color w:val="auto"/>
                <w:sz w:val="24"/>
                <w:szCs w:val="24"/>
                <w:lang w:eastAsia="zh-CN"/>
              </w:rPr>
              <w:t>提供以下材料:所有复印件上必须加盖公司公幸;(1) 开户许可证复印件或账户基本信息(与缴纳谈判保证金账户一致)(2) 法人身份证复印件或办理退付手续委托书原件:(3)该公司缴纳谈判保证金回单;(4)该公司所开具的收据。</w:t>
            </w:r>
          </w:p>
          <w:p w14:paraId="326E981A">
            <w:pPr>
              <w:keepNext w:val="0"/>
              <w:keepLines w:val="0"/>
              <w:suppressLineNumbers w:val="0"/>
              <w:spacing w:before="0" w:beforeAutospacing="0" w:after="0" w:afterAutospacing="0"/>
              <w:ind w:left="0" w:right="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eastAsia="zh-CN"/>
              </w:rPr>
              <w:t>成交企业应在签订合同后5个工作日内，另行提供，甲方单位关于退付谈判保证金证明原件、成交通知书和合同复印件(合同第一部分及质保约定部分)、缴纳履约保证金的收据复印件(不缴纳履约保证金的忽略)。</w:t>
            </w:r>
          </w:p>
        </w:tc>
      </w:tr>
      <w:tr w14:paraId="61515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53" w:type="dxa"/>
            <w:noWrap w:val="0"/>
            <w:vAlign w:val="center"/>
          </w:tcPr>
          <w:p w14:paraId="622412F2">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1538" w:type="dxa"/>
            <w:tcBorders>
              <w:right w:val="single" w:color="auto" w:sz="4" w:space="0"/>
            </w:tcBorders>
            <w:noWrap w:val="0"/>
            <w:vAlign w:val="center"/>
          </w:tcPr>
          <w:p w14:paraId="560C0584">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备选投标方案</w:t>
            </w:r>
          </w:p>
        </w:tc>
        <w:tc>
          <w:tcPr>
            <w:tcW w:w="7462" w:type="dxa"/>
            <w:tcBorders>
              <w:left w:val="single" w:color="auto" w:sz="4" w:space="0"/>
            </w:tcBorders>
            <w:noWrap w:val="0"/>
            <w:vAlign w:val="center"/>
          </w:tcPr>
          <w:p w14:paraId="5DC5BB69">
            <w:pPr>
              <w:keepNext w:val="0"/>
              <w:keepLines w:val="0"/>
              <w:suppressLineNumbers w:val="0"/>
              <w:spacing w:before="0" w:beforeAutospacing="0" w:after="0" w:afterAutospacing="0"/>
              <w:ind w:left="0" w:right="0"/>
              <w:rPr>
                <w:rFonts w:hint="eastAsia" w:ascii="仿宋" w:hAnsi="仿宋" w:eastAsia="仿宋" w:cs="仿宋"/>
                <w:b/>
                <w:bCs/>
                <w:color w:val="auto"/>
                <w:kern w:val="0"/>
                <w:sz w:val="24"/>
                <w:szCs w:val="24"/>
              </w:rPr>
            </w:pPr>
            <w:r>
              <w:rPr>
                <w:rFonts w:hint="eastAsia" w:ascii="仿宋" w:hAnsi="仿宋" w:eastAsia="仿宋" w:cs="仿宋"/>
                <w:color w:val="auto"/>
                <w:sz w:val="24"/>
                <w:szCs w:val="24"/>
              </w:rPr>
              <w:t>本项目不接受备选投标方案。</w:t>
            </w:r>
          </w:p>
        </w:tc>
      </w:tr>
      <w:tr w14:paraId="67CC5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53" w:type="dxa"/>
            <w:noWrap w:val="0"/>
            <w:vAlign w:val="center"/>
          </w:tcPr>
          <w:p w14:paraId="4BE8249B">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1538" w:type="dxa"/>
            <w:tcBorders>
              <w:right w:val="single" w:color="auto" w:sz="4" w:space="0"/>
            </w:tcBorders>
            <w:noWrap w:val="0"/>
            <w:vAlign w:val="center"/>
          </w:tcPr>
          <w:p w14:paraId="3D4D4EA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地点、递交</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的地点及方式</w:t>
            </w:r>
          </w:p>
        </w:tc>
        <w:tc>
          <w:tcPr>
            <w:tcW w:w="7462" w:type="dxa"/>
            <w:tcBorders>
              <w:left w:val="single" w:color="auto" w:sz="4" w:space="0"/>
            </w:tcBorders>
            <w:noWrap w:val="0"/>
            <w:vAlign w:val="center"/>
          </w:tcPr>
          <w:p w14:paraId="79E82B05">
            <w:pPr>
              <w:keepNext w:val="0"/>
              <w:keepLines w:val="0"/>
              <w:suppressLineNumbers w:val="0"/>
              <w:spacing w:before="0" w:beforeAutospacing="0" w:after="0" w:afterAutospacing="0"/>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en-US" w:eastAsia="zh-CN"/>
              </w:rPr>
              <w:t>和田启投工程项目管理有限公司开标室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和田市屯垦东路29号</w:t>
            </w:r>
            <w:r>
              <w:rPr>
                <w:rFonts w:hint="eastAsia" w:ascii="仿宋" w:hAnsi="仿宋" w:eastAsia="仿宋" w:cs="仿宋"/>
                <w:sz w:val="24"/>
                <w:szCs w:val="24"/>
                <w:highlight w:val="none"/>
                <w:lang w:eastAsia="zh-CN"/>
              </w:rPr>
              <w:t>） </w:t>
            </w:r>
          </w:p>
          <w:p w14:paraId="771B5527">
            <w:pPr>
              <w:keepNext w:val="0"/>
              <w:keepLines w:val="0"/>
              <w:suppressLineNumbers w:val="0"/>
              <w:spacing w:before="0" w:beforeAutospacing="0" w:after="0" w:afterAutospacing="0"/>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递交地点：同</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递交地点</w:t>
            </w:r>
            <w:r>
              <w:rPr>
                <w:rFonts w:hint="eastAsia" w:ascii="仿宋" w:hAnsi="仿宋" w:eastAsia="仿宋" w:cs="仿宋"/>
                <w:sz w:val="24"/>
                <w:szCs w:val="24"/>
                <w:highlight w:val="none"/>
                <w:lang w:eastAsia="zh-CN"/>
              </w:rPr>
              <w:t>、不见面电子开评标</w:t>
            </w:r>
          </w:p>
        </w:tc>
      </w:tr>
      <w:tr w14:paraId="4E3AF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4149F288">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1538" w:type="dxa"/>
            <w:tcBorders>
              <w:right w:val="single" w:color="auto" w:sz="4" w:space="0"/>
            </w:tcBorders>
            <w:noWrap w:val="0"/>
            <w:vAlign w:val="center"/>
          </w:tcPr>
          <w:p w14:paraId="59ABBCEF">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封套上写明</w:t>
            </w:r>
          </w:p>
        </w:tc>
        <w:tc>
          <w:tcPr>
            <w:tcW w:w="7462" w:type="dxa"/>
            <w:tcBorders>
              <w:left w:val="single" w:color="auto" w:sz="4" w:space="0"/>
            </w:tcBorders>
            <w:noWrap w:val="0"/>
            <w:vAlign w:val="center"/>
          </w:tcPr>
          <w:p w14:paraId="030B5A73">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                                                                    </w:t>
            </w:r>
          </w:p>
        </w:tc>
      </w:tr>
      <w:tr w14:paraId="0E4BF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8" w:hRule="atLeast"/>
          <w:jc w:val="center"/>
        </w:trPr>
        <w:tc>
          <w:tcPr>
            <w:tcW w:w="553" w:type="dxa"/>
            <w:noWrap w:val="0"/>
            <w:vAlign w:val="center"/>
          </w:tcPr>
          <w:p w14:paraId="03402D63">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5</w:t>
            </w:r>
          </w:p>
        </w:tc>
        <w:tc>
          <w:tcPr>
            <w:tcW w:w="1538" w:type="dxa"/>
            <w:tcBorders>
              <w:right w:val="single" w:color="auto" w:sz="4" w:space="0"/>
            </w:tcBorders>
            <w:noWrap w:val="0"/>
            <w:vAlign w:val="center"/>
          </w:tcPr>
          <w:p w14:paraId="423990FE">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sz w:val="24"/>
                <w:szCs w:val="24"/>
                <w:highlight w:val="none"/>
                <w:lang w:eastAsia="zh-CN"/>
              </w:rPr>
              <w:t>谈判小组</w:t>
            </w:r>
            <w:r>
              <w:rPr>
                <w:rFonts w:hint="eastAsia" w:ascii="仿宋" w:hAnsi="仿宋" w:eastAsia="仿宋" w:cs="仿宋"/>
                <w:color w:val="auto"/>
                <w:sz w:val="24"/>
                <w:szCs w:val="24"/>
              </w:rPr>
              <w:t>的</w:t>
            </w:r>
          </w:p>
          <w:p w14:paraId="07881D1C">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组建</w:t>
            </w:r>
          </w:p>
        </w:tc>
        <w:tc>
          <w:tcPr>
            <w:tcW w:w="7462" w:type="dxa"/>
            <w:tcBorders>
              <w:left w:val="single" w:color="auto" w:sz="4" w:space="0"/>
            </w:tcBorders>
            <w:noWrap w:val="0"/>
            <w:vAlign w:val="center"/>
          </w:tcPr>
          <w:p w14:paraId="42B07C71">
            <w:pPr>
              <w:keepNext w:val="0"/>
              <w:keepLines w:val="0"/>
              <w:suppressLineNumbers w:val="0"/>
              <w:spacing w:before="0" w:beforeAutospacing="0" w:after="0" w:afterAutospacing="0"/>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谈判小组</w:t>
            </w:r>
            <w:r>
              <w:rPr>
                <w:rFonts w:hint="eastAsia" w:ascii="仿宋" w:hAnsi="仿宋" w:eastAsia="仿宋" w:cs="仿宋"/>
                <w:sz w:val="24"/>
                <w:szCs w:val="24"/>
                <w:highlight w:val="none"/>
              </w:rPr>
              <w:t>构成：</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人</w:t>
            </w:r>
          </w:p>
          <w:p w14:paraId="237C11FD">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专家确定方式：</w:t>
            </w:r>
            <w:r>
              <w:rPr>
                <w:rFonts w:hint="eastAsia" w:ascii="仿宋" w:hAnsi="仿宋" w:eastAsia="仿宋" w:cs="仿宋"/>
                <w:sz w:val="24"/>
                <w:szCs w:val="24"/>
                <w:highlight w:val="none"/>
                <w:lang w:val="en-US" w:eastAsia="zh-CN"/>
              </w:rPr>
              <w:t>采购人代表1人，其余的</w:t>
            </w:r>
            <w:r>
              <w:rPr>
                <w:rFonts w:hint="eastAsia" w:ascii="仿宋" w:hAnsi="仿宋" w:eastAsia="仿宋" w:cs="仿宋"/>
                <w:sz w:val="24"/>
                <w:szCs w:val="24"/>
                <w:highlight w:val="none"/>
              </w:rPr>
              <w:t>由招标代理</w:t>
            </w:r>
            <w:r>
              <w:rPr>
                <w:rFonts w:hint="eastAsia" w:ascii="仿宋" w:hAnsi="仿宋" w:eastAsia="仿宋" w:cs="仿宋"/>
                <w:sz w:val="24"/>
                <w:szCs w:val="24"/>
                <w:highlight w:val="none"/>
                <w:lang w:val="en-US" w:eastAsia="zh-CN"/>
              </w:rPr>
              <w:t>机构</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48小时前在</w:t>
            </w:r>
            <w:r>
              <w:rPr>
                <w:rFonts w:hint="eastAsia" w:ascii="仿宋" w:hAnsi="仿宋" w:eastAsia="仿宋" w:cs="仿宋"/>
                <w:sz w:val="24"/>
                <w:szCs w:val="24"/>
                <w:highlight w:val="none"/>
                <w:lang w:eastAsia="zh-CN"/>
              </w:rPr>
              <w:t>政采云</w:t>
            </w:r>
            <w:r>
              <w:rPr>
                <w:rFonts w:hint="eastAsia" w:ascii="仿宋" w:hAnsi="仿宋" w:eastAsia="仿宋" w:cs="仿宋"/>
                <w:sz w:val="24"/>
                <w:szCs w:val="24"/>
                <w:highlight w:val="none"/>
              </w:rPr>
              <w:t>专家库中随机抽取。</w:t>
            </w:r>
          </w:p>
        </w:tc>
      </w:tr>
      <w:tr w14:paraId="7CE9D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 w:hRule="atLeast"/>
          <w:jc w:val="center"/>
        </w:trPr>
        <w:tc>
          <w:tcPr>
            <w:tcW w:w="553" w:type="dxa"/>
            <w:noWrap w:val="0"/>
            <w:vAlign w:val="center"/>
          </w:tcPr>
          <w:p w14:paraId="02477EAE">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p>
        </w:tc>
        <w:tc>
          <w:tcPr>
            <w:tcW w:w="1538" w:type="dxa"/>
            <w:tcBorders>
              <w:right w:val="single" w:color="auto" w:sz="4" w:space="0"/>
            </w:tcBorders>
            <w:noWrap w:val="0"/>
            <w:vAlign w:val="center"/>
          </w:tcPr>
          <w:p w14:paraId="23DEB648">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招标代理</w:t>
            </w:r>
          </w:p>
          <w:p w14:paraId="24E1FD68">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服务费</w:t>
            </w:r>
          </w:p>
        </w:tc>
        <w:tc>
          <w:tcPr>
            <w:tcW w:w="7462" w:type="dxa"/>
            <w:tcBorders>
              <w:left w:val="single" w:color="auto" w:sz="4" w:space="0"/>
            </w:tcBorders>
            <w:noWrap w:val="0"/>
            <w:vAlign w:val="center"/>
          </w:tcPr>
          <w:p w14:paraId="2F48E7F5">
            <w:pPr>
              <w:keepNext w:val="0"/>
              <w:keepLines w:val="0"/>
              <w:suppressLineNumbers w:val="0"/>
              <w:snapToGrid w:val="0"/>
              <w:spacing w:before="0" w:beforeAutospacing="0" w:after="0" w:afterAutospacing="0"/>
              <w:ind w:left="0" w:right="0"/>
              <w:rPr>
                <w:rFonts w:hint="eastAsia" w:ascii="仿宋" w:hAnsi="仿宋" w:eastAsia="仿宋" w:cs="仿宋"/>
                <w:b w:val="0"/>
                <w:bCs/>
                <w:color w:val="auto"/>
                <w:sz w:val="24"/>
                <w:szCs w:val="24"/>
                <w:lang w:val="en-US" w:eastAsia="zh-CN"/>
              </w:rPr>
            </w:pPr>
            <w:bookmarkStart w:id="31" w:name="_Toc1111"/>
            <w:bookmarkStart w:id="32" w:name="_Toc4387"/>
            <w:bookmarkStart w:id="33" w:name="_Toc115435535"/>
            <w:bookmarkStart w:id="34" w:name="_Toc25777"/>
            <w:bookmarkStart w:id="35" w:name="_Toc24743"/>
            <w:r>
              <w:rPr>
                <w:rFonts w:hint="eastAsia" w:ascii="仿宋" w:hAnsi="仿宋" w:eastAsia="仿宋" w:cs="仿宋"/>
                <w:b w:val="0"/>
                <w:bCs/>
                <w:color w:val="auto"/>
                <w:sz w:val="24"/>
                <w:szCs w:val="24"/>
                <w:lang w:val="en-US" w:eastAsia="zh-CN"/>
              </w:rPr>
              <w:t>代理费用收取方式及标准，采用以下方式：</w:t>
            </w:r>
          </w:p>
          <w:p w14:paraId="210B2BF6">
            <w:pPr>
              <w:keepNext w:val="0"/>
              <w:keepLines w:val="0"/>
              <w:suppressLineNumbers w:val="0"/>
              <w:snapToGrid w:val="0"/>
              <w:spacing w:before="0" w:beforeAutospacing="0" w:after="0" w:afterAutospacing="0"/>
              <w:ind w:left="0" w:right="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标准：参照国家发改委[2011]534号文、[2015]299号文作为协商价格的基础收取，不高于此标准。</w:t>
            </w:r>
          </w:p>
          <w:p w14:paraId="066F2F5E">
            <w:pPr>
              <w:keepNext w:val="0"/>
              <w:keepLines w:val="0"/>
              <w:suppressLineNumbers w:val="0"/>
              <w:snapToGrid w:val="0"/>
              <w:spacing w:before="0" w:beforeAutospacing="0" w:after="0" w:afterAutospacing="0"/>
              <w:ind w:left="0" w:right="0"/>
              <w:rPr>
                <w:rFonts w:hint="eastAsia" w:ascii="仿宋" w:hAnsi="仿宋" w:eastAsia="仿宋" w:cs="仿宋"/>
                <w:b/>
                <w:color w:val="auto"/>
                <w:sz w:val="24"/>
                <w:szCs w:val="24"/>
              </w:rPr>
            </w:pPr>
            <w:r>
              <w:rPr>
                <w:rFonts w:hint="eastAsia" w:ascii="仿宋" w:hAnsi="仿宋" w:eastAsia="仿宋" w:cs="仿宋"/>
                <w:b w:val="0"/>
                <w:bCs/>
                <w:color w:val="auto"/>
                <w:sz w:val="24"/>
                <w:szCs w:val="24"/>
                <w:lang w:val="en-US" w:eastAsia="zh-CN"/>
              </w:rPr>
              <w:t>本项目招标代理服务费：</w:t>
            </w:r>
            <w:r>
              <w:rPr>
                <w:rFonts w:hint="eastAsia" w:ascii="仿宋" w:hAnsi="仿宋" w:eastAsia="仿宋" w:cs="仿宋"/>
                <w:b w:val="0"/>
                <w:bCs/>
                <w:color w:val="000000" w:themeColor="text1"/>
                <w:sz w:val="24"/>
                <w:szCs w:val="24"/>
                <w:lang w:val="en-US" w:eastAsia="zh-CN"/>
                <w14:textFill>
                  <w14:solidFill>
                    <w14:schemeClr w14:val="tx1"/>
                  </w14:solidFill>
                </w14:textFill>
              </w:rPr>
              <w:t>由成交供应商支付。</w:t>
            </w:r>
            <w:bookmarkEnd w:id="31"/>
            <w:bookmarkEnd w:id="32"/>
            <w:bookmarkEnd w:id="33"/>
            <w:bookmarkEnd w:id="34"/>
            <w:bookmarkEnd w:id="35"/>
          </w:p>
        </w:tc>
      </w:tr>
      <w:tr w14:paraId="07C2C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1FE72931">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p>
        </w:tc>
        <w:tc>
          <w:tcPr>
            <w:tcW w:w="1538" w:type="dxa"/>
            <w:tcBorders>
              <w:right w:val="single" w:color="auto" w:sz="4" w:space="0"/>
            </w:tcBorders>
            <w:noWrap w:val="0"/>
            <w:vAlign w:val="center"/>
          </w:tcPr>
          <w:p w14:paraId="74498674">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w:t>
            </w:r>
          </w:p>
        </w:tc>
        <w:tc>
          <w:tcPr>
            <w:tcW w:w="7462" w:type="dxa"/>
            <w:tcBorders>
              <w:left w:val="single" w:color="auto" w:sz="4" w:space="0"/>
            </w:tcBorders>
            <w:noWrap w:val="0"/>
            <w:vAlign w:val="center"/>
          </w:tcPr>
          <w:p w14:paraId="303A2D9C">
            <w:pPr>
              <w:keepNext w:val="0"/>
              <w:keepLines w:val="0"/>
              <w:widowControl/>
              <w:suppressLineNumbers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合同总价的</w:t>
            </w:r>
            <w:r>
              <w:rPr>
                <w:rFonts w:hint="eastAsia" w:ascii="仿宋" w:hAnsi="仿宋" w:eastAsia="仿宋" w:cs="仿宋"/>
                <w:color w:val="000000"/>
                <w:sz w:val="24"/>
                <w:szCs w:val="24"/>
                <w:highlight w:val="none"/>
                <w:u w:val="single"/>
                <w:lang w:val="en-US" w:eastAsia="zh-CN"/>
              </w:rPr>
              <w:t>5%</w:t>
            </w:r>
            <w:r>
              <w:rPr>
                <w:rFonts w:hint="eastAsia" w:ascii="仿宋" w:hAnsi="仿宋" w:eastAsia="仿宋" w:cs="仿宋"/>
                <w:color w:val="000000"/>
                <w:sz w:val="24"/>
                <w:szCs w:val="24"/>
                <w:highlight w:val="none"/>
                <w:u w:val="single"/>
              </w:rPr>
              <w:t>　</w:t>
            </w:r>
          </w:p>
          <w:p w14:paraId="722E9D91">
            <w:pPr>
              <w:keepNext w:val="0"/>
              <w:keepLines w:val="0"/>
              <w:widowControl/>
              <w:suppressLineNumbers w:val="0"/>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履约保证金形式：支票、汇票、本票、或者金融机构、担保机构出具的保函等非现金形式提交（履约赔付地点为项目所在地）</w:t>
            </w:r>
          </w:p>
          <w:p w14:paraId="5E08D34B">
            <w:pPr>
              <w:keepNext w:val="0"/>
              <w:keepLines w:val="0"/>
              <w:suppressLineNumbers w:val="0"/>
              <w:spacing w:before="0" w:beforeAutospacing="0" w:after="0" w:afterAutospacing="0" w:line="360" w:lineRule="exact"/>
              <w:ind w:left="0" w:right="0"/>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 xml:space="preserve">提交履约保证金的时间：签订合同后 </w:t>
            </w:r>
            <w:r>
              <w:rPr>
                <w:rFonts w:hint="eastAsia" w:ascii="仿宋" w:hAnsi="仿宋" w:eastAsia="仿宋" w:cs="仿宋"/>
                <w:color w:val="000000"/>
                <w:sz w:val="24"/>
                <w:szCs w:val="24"/>
                <w:highlight w:val="none"/>
                <w:u w:val="single"/>
              </w:rPr>
              <w:t xml:space="preserve"> 3 </w:t>
            </w:r>
            <w:r>
              <w:rPr>
                <w:rFonts w:hint="eastAsia" w:ascii="仿宋" w:hAnsi="仿宋" w:eastAsia="仿宋" w:cs="仿宋"/>
                <w:color w:val="000000"/>
                <w:sz w:val="24"/>
                <w:szCs w:val="24"/>
                <w:highlight w:val="none"/>
              </w:rPr>
              <w:t>日历日</w:t>
            </w:r>
          </w:p>
        </w:tc>
      </w:tr>
      <w:tr w14:paraId="5B60E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158467D6">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p>
        </w:tc>
        <w:tc>
          <w:tcPr>
            <w:tcW w:w="1538" w:type="dxa"/>
            <w:tcBorders>
              <w:right w:val="single" w:color="auto" w:sz="4" w:space="0"/>
            </w:tcBorders>
            <w:noWrap w:val="0"/>
            <w:vAlign w:val="center"/>
          </w:tcPr>
          <w:p w14:paraId="30BA50DC">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验收方式</w:t>
            </w:r>
          </w:p>
        </w:tc>
        <w:tc>
          <w:tcPr>
            <w:tcW w:w="7462" w:type="dxa"/>
            <w:tcBorders>
              <w:left w:val="single" w:color="auto" w:sz="4" w:space="0"/>
            </w:tcBorders>
            <w:noWrap w:val="0"/>
            <w:vAlign w:val="center"/>
          </w:tcPr>
          <w:p w14:paraId="59CBDBF8">
            <w:pPr>
              <w:keepNext w:val="0"/>
              <w:keepLines w:val="0"/>
              <w:suppressLineNumbers w:val="0"/>
              <w:spacing w:before="0" w:beforeAutospacing="0" w:after="0" w:afterAutospacing="0" w:line="360" w:lineRule="exact"/>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采购人按货物标准和技术要求及国家、行业的相关规定及</w:t>
            </w:r>
            <w:r>
              <w:rPr>
                <w:rFonts w:hint="eastAsia" w:ascii="仿宋" w:hAnsi="仿宋" w:eastAsia="仿宋" w:cs="仿宋"/>
                <w:bCs/>
                <w:color w:val="auto"/>
                <w:sz w:val="24"/>
                <w:szCs w:val="24"/>
                <w:lang w:eastAsia="zh-CN"/>
              </w:rPr>
              <w:t>采购文件</w:t>
            </w:r>
            <w:r>
              <w:rPr>
                <w:rFonts w:hint="eastAsia" w:ascii="仿宋" w:hAnsi="仿宋" w:eastAsia="仿宋" w:cs="仿宋"/>
                <w:bCs/>
                <w:color w:val="auto"/>
                <w:sz w:val="24"/>
                <w:szCs w:val="24"/>
              </w:rPr>
              <w:t>和合同要求进行验收。</w:t>
            </w:r>
          </w:p>
        </w:tc>
      </w:tr>
      <w:tr w14:paraId="0EE99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noWrap w:val="0"/>
            <w:vAlign w:val="center"/>
          </w:tcPr>
          <w:p w14:paraId="04B0EA12">
            <w:pPr>
              <w:keepNext w:val="0"/>
              <w:keepLines w:val="0"/>
              <w:suppressLineNumbers w:val="0"/>
              <w:spacing w:before="0" w:beforeAutospacing="0" w:after="0" w:afterAutospacing="0" w:line="360" w:lineRule="exac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1538" w:type="dxa"/>
            <w:tcBorders>
              <w:right w:val="single" w:color="auto" w:sz="4" w:space="0"/>
            </w:tcBorders>
            <w:noWrap w:val="0"/>
            <w:vAlign w:val="center"/>
          </w:tcPr>
          <w:p w14:paraId="1C04DFC4">
            <w:pPr>
              <w:keepNext w:val="0"/>
              <w:keepLines w:val="0"/>
              <w:suppressLineNumbers w:val="0"/>
              <w:spacing w:before="0" w:beforeAutospacing="0" w:after="0" w:afterAutospacing="0" w:line="360" w:lineRule="exact"/>
              <w:ind w:left="0" w:right="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谈判报价</w:t>
            </w:r>
          </w:p>
        </w:tc>
        <w:tc>
          <w:tcPr>
            <w:tcW w:w="7462" w:type="dxa"/>
            <w:tcBorders>
              <w:left w:val="single" w:color="auto" w:sz="4" w:space="0"/>
            </w:tcBorders>
            <w:noWrap w:val="0"/>
            <w:vAlign w:val="center"/>
          </w:tcPr>
          <w:p w14:paraId="0EE0BC7A">
            <w:pPr>
              <w:keepNext w:val="0"/>
              <w:keepLines w:val="0"/>
              <w:suppressLineNumbers w:val="0"/>
              <w:spacing w:before="0" w:beforeAutospacing="0" w:after="0" w:afterAutospacing="0" w:line="360" w:lineRule="exact"/>
              <w:ind w:left="0" w:right="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采用两轮报价，第二次报价为最终报价</w:t>
            </w:r>
          </w:p>
        </w:tc>
      </w:tr>
      <w:tr w14:paraId="52007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8" w:hRule="atLeast"/>
          <w:jc w:val="center"/>
        </w:trPr>
        <w:tc>
          <w:tcPr>
            <w:tcW w:w="553" w:type="dxa"/>
            <w:tcBorders>
              <w:bottom w:val="single" w:color="auto" w:sz="4" w:space="0"/>
            </w:tcBorders>
            <w:noWrap w:val="0"/>
            <w:vAlign w:val="center"/>
          </w:tcPr>
          <w:p w14:paraId="60DF22CB">
            <w:pPr>
              <w:keepNext w:val="0"/>
              <w:keepLines w:val="0"/>
              <w:suppressLineNumbers w:val="0"/>
              <w:spacing w:before="0" w:beforeAutospacing="0" w:after="0" w:afterAutospacing="0" w:line="360" w:lineRule="exac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538" w:type="dxa"/>
            <w:tcBorders>
              <w:bottom w:val="single" w:color="auto" w:sz="4" w:space="0"/>
              <w:right w:val="single" w:color="auto" w:sz="4" w:space="0"/>
            </w:tcBorders>
            <w:noWrap w:val="0"/>
            <w:vAlign w:val="center"/>
          </w:tcPr>
          <w:p w14:paraId="1978A85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政府采购政策支持</w:t>
            </w:r>
          </w:p>
        </w:tc>
        <w:tc>
          <w:tcPr>
            <w:tcW w:w="7462" w:type="dxa"/>
            <w:tcBorders>
              <w:left w:val="single" w:color="auto" w:sz="4" w:space="0"/>
              <w:bottom w:val="single" w:color="auto" w:sz="4" w:space="0"/>
            </w:tcBorders>
            <w:noWrap w:val="0"/>
            <w:vAlign w:val="top"/>
          </w:tcPr>
          <w:p w14:paraId="05DE4ABA">
            <w:pPr>
              <w:pStyle w:val="2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482" w:firstLineChars="200"/>
              <w:textAlignment w:val="auto"/>
              <w:outlineLvl w:val="2"/>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caps w:val="0"/>
                <w:color w:val="000000"/>
                <w:spacing w:val="0"/>
                <w:kern w:val="0"/>
                <w:sz w:val="24"/>
                <w:szCs w:val="24"/>
                <w:lang w:val="en-US" w:eastAsia="zh-CN" w:bidi="ar-SA"/>
              </w:rPr>
              <w:t>本项目专门面向中小/小微企业采购。即：提供的货物或服务全部由符合政策要求的中小/小微企业制造、服务全部由符合政策要求的中小/小微企业承接</w:t>
            </w:r>
            <w:r>
              <w:rPr>
                <w:rFonts w:hint="eastAsia" w:ascii="仿宋" w:hAnsi="仿宋" w:eastAsia="仿宋" w:cs="仿宋"/>
                <w:b/>
                <w:bCs/>
                <w:color w:val="000000" w:themeColor="text1"/>
                <w:sz w:val="24"/>
                <w:szCs w:val="24"/>
                <w:lang w:val="en-US" w:eastAsia="zh-CN"/>
                <w14:textFill>
                  <w14:solidFill>
                    <w14:schemeClr w14:val="tx1"/>
                  </w14:solidFill>
                </w14:textFill>
              </w:rPr>
              <w:t>。残疾人福利性单、监狱企业视同为小微企业。</w:t>
            </w:r>
          </w:p>
          <w:p w14:paraId="1FC647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1）小微业以供应商填写的《小微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14:paraId="046DD609">
            <w:pPr>
              <w:keepNext w:val="0"/>
              <w:keepLines w:val="0"/>
              <w:widowControl/>
              <w:numPr>
                <w:ilvl w:val="0"/>
                <w:numId w:val="0"/>
              </w:numPr>
              <w:suppressLineNumbers w:val="0"/>
              <w:spacing w:before="0" w:beforeAutospacing="0" w:after="0" w:afterAutospacing="0" w:line="320" w:lineRule="exact"/>
              <w:ind w:left="0" w:right="0" w:right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供应商应当对《小微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小微企业应当提供《小微企业声明函》。</w:t>
            </w:r>
          </w:p>
          <w:p w14:paraId="55595D7F">
            <w:pPr>
              <w:keepNext w:val="0"/>
              <w:keepLines w:val="0"/>
              <w:widowControl/>
              <w:numPr>
                <w:ilvl w:val="0"/>
                <w:numId w:val="0"/>
              </w:numPr>
              <w:suppressLineNumbers w:val="0"/>
              <w:spacing w:before="0" w:beforeAutospacing="0" w:after="0" w:afterAutospacing="0" w:line="320" w:lineRule="exact"/>
              <w:ind w:left="0" w:right="0" w:right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（3）本项目对应的小微企业划分标准所属行业为：工业。</w:t>
            </w:r>
          </w:p>
        </w:tc>
      </w:tr>
      <w:tr w14:paraId="3F08D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7" w:hRule="atLeast"/>
          <w:jc w:val="center"/>
        </w:trPr>
        <w:tc>
          <w:tcPr>
            <w:tcW w:w="553" w:type="dxa"/>
            <w:tcBorders>
              <w:bottom w:val="single" w:color="auto" w:sz="4" w:space="0"/>
            </w:tcBorders>
            <w:noWrap w:val="0"/>
            <w:vAlign w:val="center"/>
          </w:tcPr>
          <w:p w14:paraId="5E151EAF">
            <w:pPr>
              <w:keepNext w:val="0"/>
              <w:keepLines w:val="0"/>
              <w:suppressLineNumbers w:val="0"/>
              <w:spacing w:before="0" w:beforeAutospacing="0" w:after="0" w:afterAutospacing="0" w:line="360" w:lineRule="exac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p>
        </w:tc>
        <w:tc>
          <w:tcPr>
            <w:tcW w:w="1538" w:type="dxa"/>
            <w:tcBorders>
              <w:bottom w:val="single" w:color="auto" w:sz="4" w:space="0"/>
              <w:right w:val="single" w:color="auto" w:sz="4" w:space="0"/>
            </w:tcBorders>
            <w:noWrap w:val="0"/>
            <w:vAlign w:val="center"/>
          </w:tcPr>
          <w:p w14:paraId="4F84C5DA">
            <w:pPr>
              <w:keepNext w:val="0"/>
              <w:keepLines w:val="0"/>
              <w:suppressLineNumbers w:val="0"/>
              <w:spacing w:before="0" w:beforeAutospacing="0" w:after="0" w:afterAutospacing="0" w:line="360" w:lineRule="exact"/>
              <w:ind w:left="0" w:right="0"/>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关于小微企业报价扣除</w:t>
            </w:r>
          </w:p>
          <w:p w14:paraId="58032606">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比例说明</w:t>
            </w:r>
          </w:p>
        </w:tc>
        <w:tc>
          <w:tcPr>
            <w:tcW w:w="7462" w:type="dxa"/>
            <w:tcBorders>
              <w:left w:val="single" w:color="auto" w:sz="4" w:space="0"/>
              <w:bottom w:val="single" w:color="auto" w:sz="4" w:space="0"/>
            </w:tcBorders>
            <w:noWrap w:val="0"/>
            <w:vAlign w:val="top"/>
          </w:tcPr>
          <w:p w14:paraId="6468C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b/>
                <w:bCs/>
                <w:color w:val="000000" w:themeColor="text1"/>
                <w:sz w:val="24"/>
                <w:szCs w:val="24"/>
                <w:lang w:val="en-US" w:eastAsia="zh-CN"/>
                <w14:textFill>
                  <w14:solidFill>
                    <w14:schemeClr w14:val="tx1"/>
                  </w14:solidFill>
                </w14:textFill>
              </w:rPr>
              <w:t>.本项目对其投标货物的制造商为小微型企业的给予</w:t>
            </w:r>
            <w:r>
              <w:rPr>
                <w:rFonts w:hint="eastAsia" w:ascii="仿宋" w:hAnsi="仿宋" w:eastAsia="仿宋" w:cs="仿宋"/>
                <w:b/>
                <w:bCs/>
                <w:color w:val="000000" w:themeColor="text1"/>
                <w:sz w:val="24"/>
                <w:szCs w:val="24"/>
                <w:u w:val="single"/>
                <w:lang w:val="en-US"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的扣除，以扣除后的报价参与评审。</w:t>
            </w:r>
          </w:p>
          <w:p w14:paraId="58883C94">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2.本项目监狱企业、残疾人福利性单位视同小型、微型企业。</w:t>
            </w:r>
          </w:p>
        </w:tc>
      </w:tr>
      <w:tr w14:paraId="51C79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553" w:type="dxa"/>
            <w:tcBorders>
              <w:bottom w:val="single" w:color="auto" w:sz="4" w:space="0"/>
            </w:tcBorders>
            <w:noWrap w:val="0"/>
            <w:vAlign w:val="center"/>
          </w:tcPr>
          <w:p w14:paraId="1F432DD2">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p>
        </w:tc>
        <w:tc>
          <w:tcPr>
            <w:tcW w:w="1538" w:type="dxa"/>
            <w:tcBorders>
              <w:bottom w:val="single" w:color="auto" w:sz="4" w:space="0"/>
              <w:right w:val="single" w:color="auto" w:sz="4" w:space="0"/>
            </w:tcBorders>
            <w:noWrap w:val="0"/>
            <w:vAlign w:val="center"/>
          </w:tcPr>
          <w:p w14:paraId="35AECAB6">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合同备案</w:t>
            </w:r>
          </w:p>
        </w:tc>
        <w:tc>
          <w:tcPr>
            <w:tcW w:w="7462" w:type="dxa"/>
            <w:tcBorders>
              <w:left w:val="single" w:color="auto" w:sz="4" w:space="0"/>
              <w:bottom w:val="single" w:color="auto" w:sz="4" w:space="0"/>
            </w:tcBorders>
            <w:noWrap w:val="0"/>
            <w:vAlign w:val="top"/>
          </w:tcPr>
          <w:p w14:paraId="309117CA">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供应商须在</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通知书发出之日起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日内与采购人签订合同。</w:t>
            </w:r>
          </w:p>
          <w:p w14:paraId="77ED0403">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供应商与采购人签订合同后，2日历天内将合同扫描件电子版发给</w:t>
            </w:r>
            <w:r>
              <w:rPr>
                <w:rFonts w:hint="eastAsia" w:ascii="仿宋" w:hAnsi="仿宋" w:eastAsia="仿宋" w:cs="仿宋"/>
                <w:color w:val="auto"/>
                <w:sz w:val="24"/>
                <w:szCs w:val="24"/>
                <w:lang w:val="en-US" w:eastAsia="zh-CN"/>
              </w:rPr>
              <w:t>和田启投</w:t>
            </w:r>
            <w:r>
              <w:rPr>
                <w:rFonts w:hint="eastAsia" w:ascii="仿宋" w:hAnsi="仿宋" w:eastAsia="仿宋" w:cs="仿宋"/>
                <w:color w:val="auto"/>
                <w:sz w:val="24"/>
                <w:szCs w:val="24"/>
                <w:lang w:eastAsia="zh-CN"/>
              </w:rPr>
              <w:t>工程项目管理有限公司</w:t>
            </w:r>
            <w:r>
              <w:rPr>
                <w:rFonts w:hint="eastAsia" w:ascii="仿宋" w:hAnsi="仿宋" w:eastAsia="仿宋" w:cs="仿宋"/>
                <w:color w:val="auto"/>
                <w:sz w:val="24"/>
                <w:szCs w:val="24"/>
              </w:rPr>
              <w:t>：邮箱：</w:t>
            </w:r>
            <w:r>
              <w:rPr>
                <w:rFonts w:hint="eastAsia" w:ascii="仿宋" w:hAnsi="仿宋" w:eastAsia="仿宋" w:cs="仿宋"/>
                <w:color w:val="auto"/>
                <w:sz w:val="24"/>
                <w:szCs w:val="24"/>
                <w:lang w:val="en-US" w:eastAsia="zh-CN"/>
              </w:rPr>
              <w:t>277192567</w:t>
            </w:r>
            <w:r>
              <w:rPr>
                <w:rFonts w:hint="eastAsia" w:ascii="仿宋" w:hAnsi="仿宋" w:eastAsia="仿宋" w:cs="仿宋"/>
                <w:color w:val="auto"/>
                <w:sz w:val="24"/>
                <w:szCs w:val="24"/>
                <w:lang w:eastAsia="zh-CN"/>
              </w:rPr>
              <w:t>@qq.com</w:t>
            </w:r>
            <w:r>
              <w:rPr>
                <w:rFonts w:hint="eastAsia" w:ascii="仿宋" w:hAnsi="仿宋" w:eastAsia="仿宋" w:cs="仿宋"/>
                <w:color w:val="auto"/>
                <w:sz w:val="24"/>
                <w:szCs w:val="24"/>
              </w:rPr>
              <w:t>；</w:t>
            </w:r>
          </w:p>
          <w:p w14:paraId="25D622AD">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本项目政府采购合同按规定在</w:t>
            </w:r>
            <w:r>
              <w:rPr>
                <w:rFonts w:hint="eastAsia" w:ascii="仿宋" w:hAnsi="仿宋" w:eastAsia="仿宋" w:cs="仿宋"/>
                <w:color w:val="auto"/>
                <w:sz w:val="24"/>
                <w:szCs w:val="24"/>
                <w:lang w:eastAsia="zh-CN"/>
              </w:rPr>
              <w:t>新疆政府采购网（http://www.ccgp-xinjiang.gov.cn//）</w:t>
            </w:r>
            <w:r>
              <w:rPr>
                <w:rFonts w:hint="eastAsia" w:ascii="仿宋" w:hAnsi="仿宋" w:eastAsia="仿宋" w:cs="仿宋"/>
                <w:color w:val="auto"/>
                <w:sz w:val="24"/>
                <w:szCs w:val="24"/>
              </w:rPr>
              <w:t>予以公告。</w:t>
            </w:r>
          </w:p>
        </w:tc>
      </w:tr>
      <w:tr w14:paraId="1F096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tcBorders>
              <w:top w:val="single" w:color="auto" w:sz="4" w:space="0"/>
            </w:tcBorders>
            <w:noWrap w:val="0"/>
            <w:vAlign w:val="center"/>
          </w:tcPr>
          <w:p w14:paraId="6C3C21DC">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p>
        </w:tc>
        <w:tc>
          <w:tcPr>
            <w:tcW w:w="1538" w:type="dxa"/>
            <w:tcBorders>
              <w:top w:val="single" w:color="auto" w:sz="4" w:space="0"/>
              <w:right w:val="single" w:color="auto" w:sz="4" w:space="0"/>
            </w:tcBorders>
            <w:noWrap w:val="0"/>
            <w:vAlign w:val="center"/>
          </w:tcPr>
          <w:p w14:paraId="2A5D1EFE">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其他说明1</w:t>
            </w:r>
          </w:p>
        </w:tc>
        <w:tc>
          <w:tcPr>
            <w:tcW w:w="7462" w:type="dxa"/>
            <w:tcBorders>
              <w:top w:val="single" w:color="auto" w:sz="4" w:space="0"/>
              <w:left w:val="single" w:color="auto" w:sz="4" w:space="0"/>
            </w:tcBorders>
            <w:noWrap w:val="0"/>
            <w:vAlign w:val="center"/>
          </w:tcPr>
          <w:p w14:paraId="760D99B0">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特别提醒：</w:t>
            </w:r>
          </w:p>
          <w:p w14:paraId="2A89A6FE">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的报价高于</w:t>
            </w:r>
            <w:r>
              <w:rPr>
                <w:rFonts w:hint="eastAsia" w:ascii="仿宋" w:hAnsi="仿宋" w:eastAsia="仿宋" w:cs="仿宋"/>
                <w:color w:val="auto"/>
                <w:sz w:val="24"/>
                <w:szCs w:val="24"/>
                <w:lang w:val="en-US" w:eastAsia="zh-CN"/>
              </w:rPr>
              <w:t>本项目最高限价</w:t>
            </w:r>
            <w:r>
              <w:rPr>
                <w:rFonts w:hint="eastAsia" w:ascii="仿宋" w:hAnsi="仿宋" w:eastAsia="仿宋" w:cs="仿宋"/>
                <w:color w:val="auto"/>
                <w:sz w:val="24"/>
                <w:szCs w:val="24"/>
              </w:rPr>
              <w:t>视为无效报价（即作否决投标处理）。</w:t>
            </w:r>
          </w:p>
          <w:p w14:paraId="45836A3D">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2、相同品牌产品且通过资格审查、符合性审查的不同</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参加同一合同项下投标的，按一家</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计算，评审后报价最低的同品牌</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获得</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人推荐资格；评审得分相同的，按照随机抽取方式确定一个</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获得</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人推荐资格，其他同品牌</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不作为</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w:t>
            </w:r>
          </w:p>
          <w:p w14:paraId="13730D33">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的报价明显低于其他投标报价或者在设有标底时明显低于标底，使得其投标报价可能低于其个别成本的，应当要求该</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作出书面说明并提供相应证明材料。</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不能合理或者不能提供相应证明材料的，由</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认定该</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以低于成本报价竞标，其投标视为无效标处理。</w:t>
            </w:r>
          </w:p>
          <w:p w14:paraId="0BF301E5">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4、更正补充公告请自行登录</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查看下载。</w:t>
            </w:r>
          </w:p>
          <w:p w14:paraId="48688260">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5、采购代理机构将拒绝接受未在政采云平台获取</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投标供应商</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tc>
      </w:tr>
      <w:tr w14:paraId="22927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4" w:hRule="atLeast"/>
          <w:jc w:val="center"/>
        </w:trPr>
        <w:tc>
          <w:tcPr>
            <w:tcW w:w="553" w:type="dxa"/>
            <w:tcBorders>
              <w:top w:val="single" w:color="auto" w:sz="4" w:space="0"/>
            </w:tcBorders>
            <w:noWrap w:val="0"/>
            <w:vAlign w:val="center"/>
          </w:tcPr>
          <w:p w14:paraId="718BB269">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4</w:t>
            </w:r>
          </w:p>
        </w:tc>
        <w:tc>
          <w:tcPr>
            <w:tcW w:w="1538" w:type="dxa"/>
            <w:tcBorders>
              <w:top w:val="single" w:color="auto" w:sz="4" w:space="0"/>
              <w:right w:val="single" w:color="auto" w:sz="4" w:space="0"/>
            </w:tcBorders>
            <w:noWrap w:val="0"/>
            <w:vAlign w:val="center"/>
          </w:tcPr>
          <w:p w14:paraId="3B64AE41">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其他说明2</w:t>
            </w:r>
          </w:p>
        </w:tc>
        <w:tc>
          <w:tcPr>
            <w:tcW w:w="7462" w:type="dxa"/>
            <w:tcBorders>
              <w:top w:val="single" w:color="auto" w:sz="4" w:space="0"/>
              <w:left w:val="single" w:color="auto" w:sz="4" w:space="0"/>
            </w:tcBorders>
            <w:noWrap w:val="0"/>
            <w:vAlign w:val="center"/>
          </w:tcPr>
          <w:p w14:paraId="2B402B68">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的报价，有可能影响产品质量或者不能诚信履约的，</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105F5885">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E7BAC3D">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供应商提供书面说明后，</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应当结合采购项目采购需求、专业实际情况、供应商提供的书面材料等就供应商书面说明进行审查评价。供应商拒绝或者变相拒绝提供有效书面说明或者书面说明不能证明其报价合理性的，</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应当将其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作为无效处理。</w:t>
            </w:r>
          </w:p>
        </w:tc>
      </w:tr>
      <w:tr w14:paraId="14271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53" w:type="dxa"/>
            <w:tcBorders>
              <w:top w:val="single" w:color="auto" w:sz="4" w:space="0"/>
            </w:tcBorders>
            <w:noWrap w:val="0"/>
            <w:vAlign w:val="center"/>
          </w:tcPr>
          <w:p w14:paraId="4A90C3AE">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w:t>
            </w:r>
          </w:p>
        </w:tc>
        <w:tc>
          <w:tcPr>
            <w:tcW w:w="1538" w:type="dxa"/>
            <w:tcBorders>
              <w:top w:val="single" w:color="auto" w:sz="4" w:space="0"/>
              <w:right w:val="single" w:color="auto" w:sz="4" w:space="0"/>
            </w:tcBorders>
            <w:noWrap w:val="0"/>
            <w:vAlign w:val="center"/>
          </w:tcPr>
          <w:p w14:paraId="56773974">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重要提示</w:t>
            </w:r>
          </w:p>
        </w:tc>
        <w:tc>
          <w:tcPr>
            <w:tcW w:w="7462" w:type="dxa"/>
            <w:tcBorders>
              <w:top w:val="single" w:color="auto" w:sz="4" w:space="0"/>
              <w:left w:val="single" w:color="auto" w:sz="4" w:space="0"/>
            </w:tcBorders>
            <w:noWrap w:val="0"/>
            <w:vAlign w:val="center"/>
          </w:tcPr>
          <w:p w14:paraId="29CC4B6D">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供应商应在规定期限内领取《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通知书》，若</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供应商未在规定期限内领取《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通知书》，采购人有权取消</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 xml:space="preserve">资格，并将相关违约行为报送监管部门，实施信用惩戒； </w:t>
            </w:r>
          </w:p>
          <w:p w14:paraId="609A48E8">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供应商应在规定期限内提交履约担保并与采购人签订合同，若</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供应商未能在规定期限内提交履约担保或签订合同，采购人有权取消</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 xml:space="preserve">资格，并将相关违约行为报送监管部门，实施信用惩戒； </w:t>
            </w:r>
          </w:p>
          <w:p w14:paraId="42194120">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（3）合同签订后，</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 xml:space="preserve">供应商存在规定时间内不组织人员进场开工，不履行供货、安装或服务义务等情况，采购人有权解除合同，并追究违约责任，同时将相关违约行为报送监管部门，记不良行为记录，实施信用惩戒； </w:t>
            </w:r>
          </w:p>
          <w:p w14:paraId="589F6007">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后被监管部门查实存在违法行为，不满足</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条件的，由采购人取消</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 xml:space="preserve">资格，并做好项目后续工作； </w:t>
            </w:r>
          </w:p>
          <w:p w14:paraId="2223C246">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供应商在</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项目发生投诉、信访举报案件、履约存在争议时，拒绝协助配合执法部门调查案件的，采购人可以取消其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资格或解除合同，并追究其违约责任。</w:t>
            </w:r>
          </w:p>
        </w:tc>
      </w:tr>
      <w:tr w14:paraId="35937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8" w:hRule="atLeast"/>
          <w:jc w:val="center"/>
        </w:trPr>
        <w:tc>
          <w:tcPr>
            <w:tcW w:w="553" w:type="dxa"/>
            <w:tcBorders>
              <w:top w:val="single" w:color="auto" w:sz="4" w:space="0"/>
            </w:tcBorders>
            <w:noWrap w:val="0"/>
            <w:vAlign w:val="center"/>
          </w:tcPr>
          <w:p w14:paraId="1A1C600D">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6</w:t>
            </w:r>
          </w:p>
        </w:tc>
        <w:tc>
          <w:tcPr>
            <w:tcW w:w="1538" w:type="dxa"/>
            <w:tcBorders>
              <w:top w:val="single" w:color="auto" w:sz="4" w:space="0"/>
              <w:right w:val="single" w:color="auto" w:sz="4" w:space="0"/>
            </w:tcBorders>
            <w:noWrap w:val="0"/>
            <w:vAlign w:val="center"/>
          </w:tcPr>
          <w:p w14:paraId="2E8B047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政府采购</w:t>
            </w:r>
          </w:p>
          <w:p w14:paraId="38FC802A">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合同融资</w:t>
            </w:r>
          </w:p>
        </w:tc>
        <w:tc>
          <w:tcPr>
            <w:tcW w:w="7462" w:type="dxa"/>
            <w:tcBorders>
              <w:top w:val="single" w:color="auto" w:sz="4" w:space="0"/>
              <w:left w:val="single" w:color="auto" w:sz="4" w:space="0"/>
            </w:tcBorders>
            <w:noWrap w:val="0"/>
            <w:vAlign w:val="center"/>
          </w:tcPr>
          <w:p w14:paraId="638885DF">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为优化政府采购营商环境，缓解供应商资金难题，新疆维吾尔自治区试行政府采购信用融资制度，</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供应商如有融资需求，可凭政府采购合同在“</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”官网（网址：</w:t>
            </w:r>
            <w:r>
              <w:rPr>
                <w:rFonts w:hint="eastAsia" w:ascii="仿宋" w:hAnsi="仿宋" w:eastAsia="仿宋" w:cs="仿宋"/>
                <w:color w:val="auto"/>
                <w:sz w:val="24"/>
                <w:szCs w:val="24"/>
                <w:lang w:eastAsia="zh-CN"/>
              </w:rPr>
              <w:t>http://www.ccgp-xinjiang.gov.cn//</w:t>
            </w:r>
            <w:r>
              <w:rPr>
                <w:rFonts w:hint="eastAsia" w:ascii="仿宋" w:hAnsi="仿宋" w:eastAsia="仿宋" w:cs="仿宋"/>
                <w:color w:val="auto"/>
                <w:sz w:val="24"/>
                <w:szCs w:val="24"/>
              </w:rPr>
              <w:t>）“交易信息-政府采购-政府采购信用融资”申请政府采购信用融资。具体详见《</w:t>
            </w:r>
            <w:r>
              <w:rPr>
                <w:rFonts w:hint="eastAsia" w:ascii="仿宋" w:hAnsi="仿宋" w:eastAsia="仿宋" w:cs="仿宋"/>
                <w:color w:val="auto"/>
                <w:sz w:val="24"/>
                <w:szCs w:val="24"/>
                <w:lang w:eastAsia="zh-CN"/>
              </w:rPr>
              <w:t>关于开展政府采购合同信用融资工作的通知</w:t>
            </w:r>
            <w:r>
              <w:rPr>
                <w:rFonts w:hint="eastAsia" w:ascii="仿宋" w:hAnsi="仿宋" w:eastAsia="仿宋" w:cs="仿宋"/>
                <w:color w:val="auto"/>
                <w:sz w:val="24"/>
                <w:szCs w:val="24"/>
              </w:rPr>
              <w:t>》</w:t>
            </w:r>
          </w:p>
        </w:tc>
      </w:tr>
      <w:tr w14:paraId="47E82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53" w:type="dxa"/>
            <w:tcBorders>
              <w:top w:val="single" w:color="auto" w:sz="4" w:space="0"/>
            </w:tcBorders>
            <w:noWrap w:val="0"/>
            <w:vAlign w:val="center"/>
          </w:tcPr>
          <w:p w14:paraId="1C8B2FFF">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p>
        </w:tc>
        <w:tc>
          <w:tcPr>
            <w:tcW w:w="1538" w:type="dxa"/>
            <w:tcBorders>
              <w:top w:val="single" w:color="auto" w:sz="4" w:space="0"/>
              <w:right w:val="single" w:color="auto" w:sz="4" w:space="0"/>
            </w:tcBorders>
            <w:noWrap w:val="0"/>
            <w:vAlign w:val="center"/>
          </w:tcPr>
          <w:p w14:paraId="3EDC21B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其他方式采购</w:t>
            </w:r>
          </w:p>
        </w:tc>
        <w:tc>
          <w:tcPr>
            <w:tcW w:w="7462" w:type="dxa"/>
            <w:tcBorders>
              <w:top w:val="single" w:color="auto" w:sz="4" w:space="0"/>
              <w:left w:val="single" w:color="auto" w:sz="4" w:space="0"/>
            </w:tcBorders>
            <w:noWrap w:val="0"/>
            <w:vAlign w:val="center"/>
          </w:tcPr>
          <w:p w14:paraId="3778C88F">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公开采购数额标准以上的采购项目，投标截止后供应商不足3家或者通过资格审查或符合性审查的供应商不足3家的，除采购任务取消情形外，根据《政府采购货物和服务采购投标管理办法》</w:t>
            </w:r>
            <w:r>
              <w:rPr>
                <w:rFonts w:hint="eastAsia" w:ascii="仿宋" w:hAnsi="仿宋" w:eastAsia="仿宋" w:cs="仿宋"/>
                <w:color w:val="auto"/>
                <w:sz w:val="24"/>
                <w:szCs w:val="24"/>
                <w:lang w:eastAsia="zh-CN"/>
              </w:rPr>
              <w:t>及参照</w:t>
            </w:r>
            <w:r>
              <w:rPr>
                <w:rFonts w:hint="eastAsia" w:ascii="仿宋" w:hAnsi="仿宋" w:eastAsia="仿宋" w:cs="仿宋"/>
                <w:color w:val="auto"/>
                <w:sz w:val="24"/>
                <w:szCs w:val="24"/>
              </w:rPr>
              <w:t>（中华人民共和国财政部令第87号）第四十三条规定，按照以下方式处理：</w:t>
            </w:r>
          </w:p>
          <w:p w14:paraId="0D9C1152">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存在不合理条款或者采购程序不符合规定的，采购人、采购代理机构改正后依法重新采购；</w:t>
            </w:r>
          </w:p>
          <w:p w14:paraId="5E537D14">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没有不合理条款、采购程序符合规定，需要采用其他采购方式采购的，采购人应当依法报财政部门批准。</w:t>
            </w:r>
          </w:p>
        </w:tc>
      </w:tr>
      <w:tr w14:paraId="69609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53" w:type="dxa"/>
            <w:tcBorders>
              <w:top w:val="single" w:color="auto" w:sz="4" w:space="0"/>
            </w:tcBorders>
            <w:noWrap w:val="0"/>
            <w:vAlign w:val="center"/>
          </w:tcPr>
          <w:p w14:paraId="0730C240">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8</w:t>
            </w:r>
          </w:p>
        </w:tc>
        <w:tc>
          <w:tcPr>
            <w:tcW w:w="1538" w:type="dxa"/>
            <w:tcBorders>
              <w:top w:val="single" w:color="auto" w:sz="4" w:space="0"/>
              <w:right w:val="single" w:color="auto" w:sz="4" w:space="0"/>
            </w:tcBorders>
            <w:noWrap w:val="0"/>
            <w:vAlign w:val="center"/>
          </w:tcPr>
          <w:p w14:paraId="7FEB006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质疑</w:t>
            </w:r>
          </w:p>
        </w:tc>
        <w:tc>
          <w:tcPr>
            <w:tcW w:w="7462" w:type="dxa"/>
            <w:tcBorders>
              <w:top w:val="single" w:color="auto" w:sz="4" w:space="0"/>
              <w:left w:val="single" w:color="auto" w:sz="4" w:space="0"/>
            </w:tcBorders>
            <w:noWrap w:val="0"/>
            <w:vAlign w:val="center"/>
          </w:tcPr>
          <w:p w14:paraId="7CDDBE01">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采购过程或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使自己的合法权益受到损害的，应当在知道或者应知其权益受到损害之日起在规定的期限内，一次性以书面或邮件形式向采购人（采购代理机构）提出质疑或供应商对采购人（采购代理机构）的质疑答复不满意或者采购人（采购代理机构）未在规定时间内做出答复的，可以在答复期满后五个工作日内向有关监管部门投诉。</w:t>
            </w:r>
          </w:p>
        </w:tc>
      </w:tr>
      <w:tr w14:paraId="42195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53" w:type="dxa"/>
            <w:tcBorders>
              <w:top w:val="single" w:color="auto" w:sz="4" w:space="0"/>
            </w:tcBorders>
            <w:noWrap w:val="0"/>
            <w:vAlign w:val="center"/>
          </w:tcPr>
          <w:p w14:paraId="1E5438C1">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39</w:t>
            </w:r>
          </w:p>
        </w:tc>
        <w:tc>
          <w:tcPr>
            <w:tcW w:w="1538" w:type="dxa"/>
            <w:tcBorders>
              <w:top w:val="single" w:color="auto" w:sz="4" w:space="0"/>
              <w:right w:val="single" w:color="auto" w:sz="4" w:space="0"/>
            </w:tcBorders>
            <w:noWrap w:val="0"/>
            <w:vAlign w:val="center"/>
          </w:tcPr>
          <w:p w14:paraId="7F8FD91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投诉</w:t>
            </w:r>
          </w:p>
        </w:tc>
        <w:tc>
          <w:tcPr>
            <w:tcW w:w="7462" w:type="dxa"/>
            <w:tcBorders>
              <w:top w:val="single" w:color="auto" w:sz="4" w:space="0"/>
              <w:left w:val="single" w:color="auto" w:sz="4" w:space="0"/>
            </w:tcBorders>
            <w:noWrap w:val="0"/>
            <w:vAlign w:val="center"/>
          </w:tcPr>
          <w:p w14:paraId="5C6AF804">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（1）质疑供应商对采购人、采购代理机构的答复不满意或者采购人、采购代理机构未在规定的时间内作出答复的，可以在答复期满后十五个工作日内一次性向同级政府采购监督管理部门投诉。</w:t>
            </w:r>
          </w:p>
          <w:p w14:paraId="361AE943">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（2）质疑、投诉应当采用书面或邮件形式，质疑书、投诉书均应明确阐述采购文件 、采购过程或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结果中使自己合法权益受到损害的实质性内容，提供相关事实、依据和证据及其来源或线索，便于有关单位调查、答复和处理。</w:t>
            </w:r>
          </w:p>
        </w:tc>
      </w:tr>
      <w:tr w14:paraId="11F99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53" w:type="dxa"/>
            <w:vMerge w:val="restart"/>
            <w:tcBorders>
              <w:top w:val="single" w:color="auto" w:sz="4" w:space="0"/>
            </w:tcBorders>
            <w:noWrap w:val="0"/>
            <w:vAlign w:val="center"/>
          </w:tcPr>
          <w:p w14:paraId="6F2DB92C">
            <w:pPr>
              <w:keepNext w:val="0"/>
              <w:keepLines w:val="0"/>
              <w:suppressLineNumbers w:val="0"/>
              <w:spacing w:before="0" w:beforeAutospacing="0" w:after="0" w:afterAutospacing="0" w:line="360" w:lineRule="exac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1538" w:type="dxa"/>
            <w:vMerge w:val="restart"/>
            <w:tcBorders>
              <w:top w:val="single" w:color="auto" w:sz="4" w:space="0"/>
              <w:right w:val="single" w:color="auto" w:sz="4" w:space="0"/>
            </w:tcBorders>
            <w:noWrap w:val="0"/>
            <w:vAlign w:val="center"/>
          </w:tcPr>
          <w:p w14:paraId="08A79A60">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执行政策</w:t>
            </w:r>
          </w:p>
        </w:tc>
        <w:tc>
          <w:tcPr>
            <w:tcW w:w="7462" w:type="dxa"/>
            <w:tcBorders>
              <w:top w:val="single" w:color="auto" w:sz="4" w:space="0"/>
              <w:left w:val="single" w:color="auto" w:sz="4" w:space="0"/>
            </w:tcBorders>
            <w:noWrap w:val="0"/>
            <w:vAlign w:val="center"/>
          </w:tcPr>
          <w:p w14:paraId="686E1B88">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依据《政府采购促进中小企业发展管理办法》，享受扶持政策获得政府采购合同的，小微企业不得将合同分包给大中型企业，中型企业不得将合同分包给大型企业。</w:t>
            </w:r>
          </w:p>
        </w:tc>
      </w:tr>
      <w:tr w14:paraId="1A043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53" w:type="dxa"/>
            <w:vMerge w:val="continue"/>
            <w:noWrap w:val="0"/>
            <w:vAlign w:val="center"/>
          </w:tcPr>
          <w:p w14:paraId="2B12FA1A">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p>
        </w:tc>
        <w:tc>
          <w:tcPr>
            <w:tcW w:w="1538" w:type="dxa"/>
            <w:vMerge w:val="continue"/>
            <w:tcBorders>
              <w:right w:val="single" w:color="auto" w:sz="4" w:space="0"/>
            </w:tcBorders>
            <w:noWrap w:val="0"/>
            <w:vAlign w:val="center"/>
          </w:tcPr>
          <w:p w14:paraId="76AAA6A0">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p>
        </w:tc>
        <w:tc>
          <w:tcPr>
            <w:tcW w:w="7462" w:type="dxa"/>
            <w:tcBorders>
              <w:top w:val="single" w:color="auto" w:sz="4" w:space="0"/>
              <w:left w:val="single" w:color="auto" w:sz="4" w:space="0"/>
            </w:tcBorders>
            <w:noWrap w:val="0"/>
            <w:vAlign w:val="center"/>
          </w:tcPr>
          <w:p w14:paraId="518B2678">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成交供应商享受本办法规定的</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rPr>
              <w:t>企业扶持政策的，采购人、采购代理机构应当随成交结果公开成交供应商的《</w:t>
            </w:r>
            <w:r>
              <w:rPr>
                <w:rFonts w:hint="eastAsia" w:ascii="仿宋" w:hAnsi="仿宋" w:eastAsia="仿宋" w:cs="仿宋"/>
                <w:color w:val="auto"/>
                <w:sz w:val="24"/>
                <w:szCs w:val="24"/>
                <w:highlight w:val="none"/>
                <w:lang w:val="en-US" w:eastAsia="zh-CN"/>
              </w:rPr>
              <w:t>小微</w:t>
            </w:r>
            <w:r>
              <w:rPr>
                <w:rFonts w:hint="eastAsia" w:ascii="仿宋" w:hAnsi="仿宋" w:eastAsia="仿宋" w:cs="仿宋"/>
                <w:color w:val="auto"/>
                <w:sz w:val="24"/>
                <w:szCs w:val="24"/>
                <w:highlight w:val="none"/>
              </w:rPr>
              <w:t>企业声明函》。</w:t>
            </w:r>
          </w:p>
        </w:tc>
      </w:tr>
      <w:tr w14:paraId="1CC2C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53" w:type="dxa"/>
            <w:vMerge w:val="continue"/>
            <w:noWrap w:val="0"/>
            <w:vAlign w:val="center"/>
          </w:tcPr>
          <w:p w14:paraId="2480F809">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rPr>
            </w:pPr>
          </w:p>
        </w:tc>
        <w:tc>
          <w:tcPr>
            <w:tcW w:w="1538" w:type="dxa"/>
            <w:vMerge w:val="continue"/>
            <w:tcBorders>
              <w:right w:val="single" w:color="auto" w:sz="4" w:space="0"/>
            </w:tcBorders>
            <w:noWrap w:val="0"/>
            <w:vAlign w:val="center"/>
          </w:tcPr>
          <w:p w14:paraId="7773F071">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p>
        </w:tc>
        <w:tc>
          <w:tcPr>
            <w:tcW w:w="7462" w:type="dxa"/>
            <w:tcBorders>
              <w:top w:val="single" w:color="auto" w:sz="4" w:space="0"/>
              <w:left w:val="single" w:color="auto" w:sz="4" w:space="0"/>
            </w:tcBorders>
            <w:noWrap w:val="0"/>
            <w:vAlign w:val="center"/>
          </w:tcPr>
          <w:p w14:paraId="36B32260">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供应商按照本办法规定提供声明函内容不实的，属于提供虚假材料谋取成交，依照《中华人民共和国政府采购法》等国家有关规定追究相应责任。</w:t>
            </w:r>
          </w:p>
        </w:tc>
      </w:tr>
      <w:tr w14:paraId="22626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2091" w:type="dxa"/>
            <w:gridSpan w:val="2"/>
            <w:tcBorders>
              <w:top w:val="single" w:color="auto" w:sz="4" w:space="0"/>
              <w:right w:val="single" w:color="auto" w:sz="4" w:space="0"/>
            </w:tcBorders>
            <w:noWrap w:val="0"/>
            <w:vAlign w:val="center"/>
          </w:tcPr>
          <w:p w14:paraId="2E7B3EC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462" w:type="dxa"/>
            <w:tcBorders>
              <w:top w:val="single" w:color="auto" w:sz="4" w:space="0"/>
              <w:left w:val="single" w:color="auto" w:sz="4" w:space="0"/>
            </w:tcBorders>
            <w:noWrap w:val="0"/>
            <w:vAlign w:val="center"/>
          </w:tcPr>
          <w:p w14:paraId="3D9BD12D">
            <w:pPr>
              <w:keepNext w:val="0"/>
              <w:keepLines w:val="0"/>
              <w:suppressLineNumbers w:val="0"/>
              <w:spacing w:before="0" w:beforeAutospacing="0" w:after="0" w:afterAutospacing="0" w:line="360" w:lineRule="exact"/>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中部分加“★”、</w:t>
            </w:r>
            <w:r>
              <w:rPr>
                <w:rFonts w:hint="eastAsia" w:ascii="仿宋" w:hAnsi="仿宋" w:eastAsia="仿宋" w:cs="仿宋"/>
                <w:b/>
                <w:bCs/>
                <w:color w:val="auto"/>
                <w:sz w:val="24"/>
                <w:szCs w:val="24"/>
                <w:highlight w:val="none"/>
                <w:lang w:eastAsia="zh-CN"/>
              </w:rPr>
              <w:t>加粗、</w:t>
            </w:r>
            <w:r>
              <w:rPr>
                <w:rFonts w:hint="eastAsia" w:ascii="仿宋" w:hAnsi="仿宋" w:eastAsia="仿宋" w:cs="仿宋"/>
                <w:b/>
                <w:bCs/>
                <w:color w:val="auto"/>
                <w:sz w:val="24"/>
                <w:szCs w:val="24"/>
                <w:highlight w:val="none"/>
              </w:rPr>
              <w:t>废标、无效标、投标被拒绝字样的条款，为</w:t>
            </w:r>
            <w:r>
              <w:rPr>
                <w:rFonts w:hint="eastAsia" w:ascii="仿宋" w:hAnsi="仿宋" w:eastAsia="仿宋" w:cs="仿宋"/>
                <w:b/>
                <w:bCs/>
                <w:color w:val="auto"/>
                <w:sz w:val="24"/>
                <w:szCs w:val="24"/>
                <w:highlight w:val="none"/>
                <w:lang w:eastAsia="zh-CN"/>
              </w:rPr>
              <w:t>采购</w:t>
            </w:r>
            <w:r>
              <w:rPr>
                <w:rFonts w:hint="eastAsia" w:ascii="仿宋" w:hAnsi="仿宋" w:eastAsia="仿宋" w:cs="仿宋"/>
                <w:b/>
                <w:bCs/>
                <w:color w:val="auto"/>
                <w:sz w:val="24"/>
                <w:szCs w:val="24"/>
                <w:highlight w:val="none"/>
              </w:rPr>
              <w:t>的实质性要求和条件，着重提醒各</w:t>
            </w:r>
            <w:r>
              <w:rPr>
                <w:rFonts w:hint="eastAsia" w:ascii="仿宋" w:hAnsi="仿宋" w:eastAsia="仿宋" w:cs="仿宋"/>
                <w:b/>
                <w:bCs/>
                <w:color w:val="auto"/>
                <w:sz w:val="24"/>
                <w:szCs w:val="24"/>
                <w:highlight w:val="none"/>
                <w:lang w:eastAsia="zh-CN"/>
              </w:rPr>
              <w:t>投标供应商</w:t>
            </w:r>
            <w:r>
              <w:rPr>
                <w:rFonts w:hint="eastAsia" w:ascii="仿宋" w:hAnsi="仿宋" w:eastAsia="仿宋" w:cs="仿宋"/>
                <w:b/>
                <w:bCs/>
                <w:color w:val="auto"/>
                <w:sz w:val="24"/>
                <w:szCs w:val="24"/>
                <w:highlight w:val="none"/>
              </w:rPr>
              <w:t>注意，并认真查看</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中的每一个条款及要求，因误读</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而造成的后果，</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概不负责。</w:t>
            </w:r>
          </w:p>
          <w:p w14:paraId="5A364911">
            <w:pPr>
              <w:keepNext w:val="0"/>
              <w:keepLines w:val="0"/>
              <w:suppressLineNumbers w:val="0"/>
              <w:spacing w:before="0" w:beforeAutospacing="0" w:after="0" w:afterAutospacing="0" w:line="360" w:lineRule="exact"/>
              <w:ind w:left="0" w:right="0"/>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中有弄虚作假的内容，其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作废。（如假证书、假业绩、隐瞒不良行为记录、夸大荣誉、使用非本单位在职员工的相关证件及不符合</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规定的条款等）；在签订合同之前，</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如发现</w:t>
            </w:r>
            <w:r>
              <w:rPr>
                <w:rFonts w:hint="eastAsia" w:ascii="仿宋" w:hAnsi="仿宋" w:eastAsia="仿宋" w:cs="仿宋"/>
                <w:b/>
                <w:bCs/>
                <w:color w:val="auto"/>
                <w:sz w:val="24"/>
                <w:szCs w:val="24"/>
                <w:highlight w:val="none"/>
                <w:lang w:eastAsia="zh-CN"/>
              </w:rPr>
              <w:t>投标供应商</w:t>
            </w:r>
            <w:r>
              <w:rPr>
                <w:rFonts w:hint="eastAsia" w:ascii="仿宋" w:hAnsi="仿宋" w:eastAsia="仿宋" w:cs="仿宋"/>
                <w:b/>
                <w:bCs/>
                <w:color w:val="auto"/>
                <w:sz w:val="24"/>
                <w:szCs w:val="24"/>
                <w:highlight w:val="none"/>
              </w:rPr>
              <w:t>的</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有弄虚作假内容，</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可拒绝与其签订合同。并将其列入政府采购黑名单库。</w:t>
            </w:r>
          </w:p>
        </w:tc>
      </w:tr>
      <w:tr w14:paraId="34B4E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3" w:type="dxa"/>
            <w:gridSpan w:val="3"/>
            <w:noWrap w:val="0"/>
            <w:vAlign w:val="top"/>
          </w:tcPr>
          <w:p w14:paraId="2D5ECA43">
            <w:pPr>
              <w:keepNext w:val="0"/>
              <w:keepLines w:val="0"/>
              <w:suppressLineNumbers w:val="0"/>
              <w:spacing w:before="0" w:beforeAutospacing="0" w:after="0" w:afterAutospacing="0" w:line="360" w:lineRule="exact"/>
              <w:ind w:left="105" w:leftChars="50"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投标供应商</w:t>
            </w:r>
            <w:r>
              <w:rPr>
                <w:rFonts w:hint="eastAsia" w:ascii="仿宋" w:hAnsi="仿宋" w:eastAsia="仿宋" w:cs="仿宋"/>
                <w:b/>
                <w:bCs/>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b/>
                <w:bCs/>
                <w:color w:val="auto"/>
                <w:sz w:val="24"/>
                <w:szCs w:val="24"/>
                <w:lang w:eastAsia="zh-CN"/>
              </w:rPr>
              <w:t>投标供应商</w:t>
            </w:r>
            <w:r>
              <w:rPr>
                <w:rFonts w:hint="eastAsia" w:ascii="仿宋" w:hAnsi="仿宋" w:eastAsia="仿宋" w:cs="仿宋"/>
                <w:b/>
                <w:bCs/>
                <w:color w:val="auto"/>
                <w:sz w:val="24"/>
                <w:szCs w:val="24"/>
              </w:rPr>
              <w:t>承担所有相关责任的同时不得耽误本项目供货。</w:t>
            </w:r>
          </w:p>
        </w:tc>
      </w:tr>
    </w:tbl>
    <w:p w14:paraId="42BE31DD">
      <w:pPr>
        <w:pStyle w:val="14"/>
        <w:numPr>
          <w:ilvl w:val="0"/>
          <w:numId w:val="0"/>
        </w:numPr>
        <w:rPr>
          <w:rFonts w:hint="eastAsia" w:ascii="仿宋" w:hAnsi="仿宋" w:eastAsia="仿宋" w:cs="仿宋"/>
          <w:sz w:val="24"/>
          <w:szCs w:val="24"/>
          <w:lang w:eastAsia="zh-CN"/>
        </w:rPr>
      </w:pPr>
    </w:p>
    <w:p w14:paraId="3A970A20">
      <w:pPr>
        <w:spacing w:line="360" w:lineRule="exact"/>
        <w:rPr>
          <w:rFonts w:hint="eastAsia" w:ascii="仿宋" w:hAnsi="仿宋" w:eastAsia="仿宋" w:cs="仿宋"/>
          <w:color w:val="auto"/>
          <w:sz w:val="24"/>
          <w:szCs w:val="24"/>
        </w:rPr>
      </w:pPr>
      <w:bookmarkStart w:id="36" w:name="_Toc3877"/>
      <w:r>
        <w:rPr>
          <w:rFonts w:hint="eastAsia" w:ascii="仿宋" w:hAnsi="仿宋" w:eastAsia="仿宋" w:cs="仿宋"/>
          <w:color w:val="auto"/>
          <w:sz w:val="24"/>
          <w:szCs w:val="24"/>
        </w:rPr>
        <w:t>备注：1、本须知前附表内容与</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的内容相对应，如有矛盾，应以投标须知前附表为准。</w:t>
      </w:r>
    </w:p>
    <w:p w14:paraId="656FF714">
      <w:pPr>
        <w:rPr>
          <w:rFonts w:hint="eastAsia" w:ascii="仿宋" w:hAnsi="仿宋" w:eastAsia="仿宋" w:cs="仿宋"/>
          <w:sz w:val="24"/>
          <w:szCs w:val="24"/>
        </w:rPr>
      </w:pPr>
    </w:p>
    <w:p w14:paraId="60BA24A6">
      <w:pPr>
        <w:spacing w:line="360" w:lineRule="auto"/>
        <w:jc w:val="center"/>
        <w:outlineLvl w:val="9"/>
        <w:rPr>
          <w:rFonts w:hint="eastAsia" w:ascii="仿宋" w:hAnsi="仿宋" w:eastAsia="仿宋" w:cs="仿宋"/>
          <w:b/>
          <w:color w:val="auto"/>
          <w:sz w:val="21"/>
          <w:szCs w:val="21"/>
        </w:rPr>
      </w:pPr>
    </w:p>
    <w:p w14:paraId="296CFF9B">
      <w:pPr>
        <w:rPr>
          <w:rFonts w:hint="eastAsia" w:ascii="仿宋" w:hAnsi="仿宋" w:eastAsia="仿宋" w:cs="仿宋"/>
          <w:color w:val="auto"/>
          <w:sz w:val="21"/>
          <w:szCs w:val="21"/>
        </w:rPr>
      </w:pPr>
      <w:bookmarkStart w:id="37" w:name="_Toc27167"/>
      <w:bookmarkStart w:id="38" w:name="_Toc24863"/>
      <w:bookmarkStart w:id="39" w:name="_Toc32496"/>
      <w:bookmarkStart w:id="40" w:name="_Toc22081"/>
      <w:bookmarkStart w:id="41" w:name="_Toc31564"/>
      <w:bookmarkStart w:id="42" w:name="_Toc27509"/>
      <w:bookmarkStart w:id="43" w:name="_Toc17755"/>
      <w:bookmarkStart w:id="44" w:name="_Toc3745"/>
      <w:r>
        <w:rPr>
          <w:rFonts w:hint="eastAsia" w:ascii="仿宋" w:hAnsi="仿宋" w:eastAsia="仿宋" w:cs="仿宋"/>
          <w:color w:val="auto"/>
          <w:sz w:val="21"/>
          <w:szCs w:val="21"/>
        </w:rPr>
        <w:br w:type="page"/>
      </w:r>
    </w:p>
    <w:bookmarkEnd w:id="36"/>
    <w:bookmarkEnd w:id="37"/>
    <w:bookmarkEnd w:id="38"/>
    <w:bookmarkEnd w:id="39"/>
    <w:bookmarkEnd w:id="40"/>
    <w:bookmarkEnd w:id="41"/>
    <w:bookmarkEnd w:id="42"/>
    <w:bookmarkEnd w:id="43"/>
    <w:bookmarkEnd w:id="44"/>
    <w:p w14:paraId="780680F5">
      <w:pPr>
        <w:spacing w:line="460" w:lineRule="exact"/>
        <w:jc w:val="center"/>
        <w:outlineLvl w:val="1"/>
        <w:rPr>
          <w:rFonts w:hint="eastAsia" w:ascii="仿宋" w:hAnsi="仿宋" w:eastAsia="仿宋" w:cs="仿宋"/>
          <w:b/>
          <w:sz w:val="44"/>
          <w:szCs w:val="44"/>
          <w:lang w:eastAsia="zh-CN"/>
        </w:rPr>
      </w:pPr>
      <w:bookmarkStart w:id="45" w:name="_Toc20624"/>
      <w:bookmarkStart w:id="46" w:name="_Toc4485"/>
      <w:bookmarkStart w:id="47" w:name="_Toc25605"/>
      <w:bookmarkStart w:id="48" w:name="_Toc13351"/>
      <w:bookmarkStart w:id="49" w:name="_Toc2805"/>
      <w:r>
        <w:rPr>
          <w:rFonts w:hint="eastAsia" w:ascii="仿宋" w:hAnsi="仿宋" w:eastAsia="仿宋" w:cs="仿宋"/>
          <w:b/>
          <w:sz w:val="44"/>
          <w:szCs w:val="44"/>
          <w:lang w:eastAsia="zh-CN"/>
        </w:rPr>
        <w:t>说</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lang w:eastAsia="zh-CN"/>
        </w:rPr>
        <w:t>明</w:t>
      </w:r>
    </w:p>
    <w:p w14:paraId="7A6E400D">
      <w:pPr>
        <w:spacing w:line="460" w:lineRule="exact"/>
        <w:jc w:val="center"/>
        <w:outlineLvl w:val="1"/>
        <w:rPr>
          <w:rFonts w:hint="eastAsia" w:ascii="仿宋" w:hAnsi="仿宋" w:eastAsia="仿宋" w:cs="仿宋"/>
          <w:b/>
          <w:sz w:val="32"/>
          <w:szCs w:val="32"/>
        </w:rPr>
      </w:pPr>
      <w:r>
        <w:rPr>
          <w:rFonts w:hint="eastAsia" w:ascii="仿宋" w:hAnsi="仿宋" w:eastAsia="仿宋" w:cs="仿宋"/>
          <w:b/>
          <w:sz w:val="32"/>
          <w:szCs w:val="32"/>
        </w:rPr>
        <w:t xml:space="preserve">（一） </w:t>
      </w:r>
      <w:bookmarkStart w:id="50" w:name="_Toc3855"/>
      <w:bookmarkStart w:id="51" w:name="_Toc20677"/>
      <w:r>
        <w:rPr>
          <w:rFonts w:hint="eastAsia" w:ascii="仿宋" w:hAnsi="仿宋" w:eastAsia="仿宋" w:cs="仿宋"/>
          <w:b/>
          <w:sz w:val="32"/>
          <w:szCs w:val="32"/>
        </w:rPr>
        <w:t>总  则</w:t>
      </w:r>
      <w:bookmarkEnd w:id="50"/>
      <w:bookmarkEnd w:id="51"/>
    </w:p>
    <w:p w14:paraId="1306D0AC">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 项目说明</w:t>
      </w:r>
    </w:p>
    <w:p w14:paraId="70D12FA6">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 本项目的说明详见供应商须知前附表（以下简称“前附表”）所述。</w:t>
      </w:r>
    </w:p>
    <w:p w14:paraId="7BAE6F3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1.2本采购项目已经批准，采购人为</w:t>
      </w:r>
      <w:r>
        <w:rPr>
          <w:rFonts w:hint="eastAsia" w:ascii="仿宋" w:hAnsi="仿宋" w:eastAsia="仿宋" w:cs="仿宋"/>
          <w:b/>
          <w:bCs/>
          <w:color w:val="auto"/>
          <w:sz w:val="24"/>
          <w:szCs w:val="24"/>
          <w:u w:val="single"/>
          <w:lang w:val="en-US" w:eastAsia="zh-CN"/>
        </w:rPr>
        <w:t>和田市教育局</w:t>
      </w:r>
      <w:r>
        <w:rPr>
          <w:rFonts w:hint="eastAsia" w:ascii="仿宋" w:hAnsi="仿宋" w:eastAsia="仿宋" w:cs="仿宋"/>
          <w:sz w:val="24"/>
          <w:szCs w:val="24"/>
        </w:rPr>
        <w:t>，该项目已具备采购条件，现对该项目进行</w:t>
      </w:r>
      <w:r>
        <w:rPr>
          <w:rFonts w:hint="eastAsia" w:ascii="仿宋" w:hAnsi="仿宋" w:eastAsia="仿宋" w:cs="仿宋"/>
          <w:sz w:val="24"/>
          <w:szCs w:val="24"/>
          <w:lang w:eastAsia="zh-CN"/>
        </w:rPr>
        <w:t>竞争性谈判</w:t>
      </w:r>
      <w:r>
        <w:rPr>
          <w:rFonts w:hint="eastAsia" w:ascii="仿宋" w:hAnsi="仿宋" w:eastAsia="仿宋" w:cs="仿宋"/>
          <w:sz w:val="24"/>
          <w:szCs w:val="24"/>
        </w:rPr>
        <w:t>。</w:t>
      </w:r>
    </w:p>
    <w:p w14:paraId="3CDE0F7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1.3本采购项目供应商的资格审查采取资格后审方式。本次</w:t>
      </w:r>
      <w:r>
        <w:rPr>
          <w:rFonts w:hint="eastAsia" w:ascii="仿宋" w:hAnsi="仿宋" w:eastAsia="仿宋" w:cs="仿宋"/>
          <w:sz w:val="24"/>
          <w:szCs w:val="24"/>
          <w:lang w:eastAsia="zh-CN"/>
        </w:rPr>
        <w:t>谈判</w:t>
      </w:r>
      <w:r>
        <w:rPr>
          <w:rFonts w:hint="eastAsia" w:ascii="仿宋" w:hAnsi="仿宋" w:eastAsia="仿宋" w:cs="仿宋"/>
          <w:sz w:val="24"/>
          <w:szCs w:val="24"/>
          <w:u w:val="single"/>
        </w:rPr>
        <w:t>不接受</w:t>
      </w:r>
      <w:r>
        <w:rPr>
          <w:rFonts w:hint="eastAsia" w:ascii="仿宋" w:hAnsi="仿宋" w:eastAsia="仿宋" w:cs="仿宋"/>
          <w:sz w:val="24"/>
          <w:szCs w:val="24"/>
        </w:rPr>
        <w:t>联合体、不接受备选方案。</w:t>
      </w:r>
    </w:p>
    <w:p w14:paraId="4CAF642A">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供应商资格必须符合供应商须知前附表说明，通过资格后审的供应商为合格的供应商。合格的供应商必须符合</w:t>
      </w:r>
      <w:r>
        <w:rPr>
          <w:rFonts w:hint="eastAsia" w:ascii="仿宋" w:hAnsi="仿宋" w:eastAsia="仿宋" w:cs="仿宋"/>
          <w:sz w:val="24"/>
          <w:szCs w:val="24"/>
          <w:lang w:eastAsia="zh-CN"/>
        </w:rPr>
        <w:t>竞争性谈判</w:t>
      </w:r>
      <w:r>
        <w:rPr>
          <w:rFonts w:hint="eastAsia" w:ascii="仿宋" w:hAnsi="仿宋" w:eastAsia="仿宋" w:cs="仿宋"/>
          <w:sz w:val="24"/>
          <w:szCs w:val="24"/>
        </w:rPr>
        <w:t>文件中对供应商的规定，且具备独立完成所投项目或所投标项的</w:t>
      </w:r>
      <w:r>
        <w:rPr>
          <w:rFonts w:hint="eastAsia" w:ascii="仿宋" w:hAnsi="仿宋" w:eastAsia="仿宋" w:cs="仿宋"/>
          <w:kern w:val="10"/>
          <w:sz w:val="24"/>
          <w:szCs w:val="24"/>
        </w:rPr>
        <w:t>能</w:t>
      </w:r>
      <w:r>
        <w:rPr>
          <w:rFonts w:hint="eastAsia" w:ascii="仿宋" w:hAnsi="仿宋" w:eastAsia="仿宋" w:cs="仿宋"/>
          <w:sz w:val="24"/>
          <w:szCs w:val="24"/>
        </w:rPr>
        <w:t>力，成交后不允许转包、违法分包。</w:t>
      </w:r>
    </w:p>
    <w:p w14:paraId="3131894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 资格后审包括下列的内容</w:t>
      </w:r>
    </w:p>
    <w:p w14:paraId="336C09F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 供应商具有独立法人资格并满足“前附表”规定的资格要求；</w:t>
      </w:r>
    </w:p>
    <w:p w14:paraId="5075932C">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文件有要求供应商法定代表人或其授权代表签字或盖章和加盖供应商公章要求的，供应商须按</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文件要求签署；</w:t>
      </w:r>
    </w:p>
    <w:p w14:paraId="5DD2741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1.4.3服务期限符合</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w:t>
      </w:r>
    </w:p>
    <w:p w14:paraId="19E7ED2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1.4.4服务地点符合</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文件规定；</w:t>
      </w:r>
    </w:p>
    <w:p w14:paraId="28ED788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1.4.5投标内容质量、服务等满足</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w:t>
      </w:r>
    </w:p>
    <w:p w14:paraId="76C31CD9">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1.4.6响应文件中所提条件均须符合采购人的要求；</w:t>
      </w:r>
    </w:p>
    <w:p w14:paraId="54F530E6">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1.4.7符合</w:t>
      </w:r>
      <w:r>
        <w:rPr>
          <w:rFonts w:hint="eastAsia" w:ascii="仿宋" w:hAnsi="仿宋" w:eastAsia="仿宋" w:cs="仿宋"/>
          <w:sz w:val="24"/>
          <w:szCs w:val="24"/>
          <w:lang w:eastAsia="zh-CN"/>
        </w:rPr>
        <w:t>竞争性谈判</w:t>
      </w:r>
      <w:r>
        <w:rPr>
          <w:rFonts w:hint="eastAsia" w:ascii="仿宋" w:hAnsi="仿宋" w:eastAsia="仿宋" w:cs="仿宋"/>
          <w:sz w:val="24"/>
          <w:szCs w:val="24"/>
        </w:rPr>
        <w:t>文件中规定的其他实质性要求；</w:t>
      </w:r>
    </w:p>
    <w:p w14:paraId="0C19943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1.4.8无法律、法规和规章禁止的其他情况。</w:t>
      </w:r>
    </w:p>
    <w:p w14:paraId="2EA83281">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 采购范围</w:t>
      </w:r>
    </w:p>
    <w:p w14:paraId="78EFF38B">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2.1本采购项目的采购范围已通过“前附表”第1项采购内容所述，指本项目</w:t>
      </w:r>
      <w:r>
        <w:rPr>
          <w:rFonts w:hint="eastAsia" w:ascii="仿宋" w:hAnsi="仿宋" w:eastAsia="仿宋" w:cs="仿宋"/>
          <w:sz w:val="24"/>
          <w:szCs w:val="24"/>
          <w:lang w:eastAsia="zh-CN"/>
        </w:rPr>
        <w:t>竞争性谈判</w:t>
      </w:r>
      <w:r>
        <w:rPr>
          <w:rFonts w:hint="eastAsia" w:ascii="仿宋" w:hAnsi="仿宋" w:eastAsia="仿宋" w:cs="仿宋"/>
          <w:sz w:val="24"/>
          <w:szCs w:val="24"/>
        </w:rPr>
        <w:t>文件中范围内所要求的所有工作内容。</w:t>
      </w:r>
    </w:p>
    <w:p w14:paraId="1548B9A7">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 适用法律及约束力</w:t>
      </w:r>
    </w:p>
    <w:p w14:paraId="3EBFC11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本次</w:t>
      </w:r>
      <w:r>
        <w:rPr>
          <w:rFonts w:hint="eastAsia" w:ascii="仿宋" w:hAnsi="仿宋" w:eastAsia="仿宋" w:cs="仿宋"/>
          <w:sz w:val="24"/>
          <w:szCs w:val="24"/>
          <w:lang w:eastAsia="zh-CN"/>
        </w:rPr>
        <w:t>谈判</w:t>
      </w:r>
      <w:r>
        <w:rPr>
          <w:rFonts w:hint="eastAsia" w:ascii="仿宋" w:hAnsi="仿宋" w:eastAsia="仿宋" w:cs="仿宋"/>
          <w:sz w:val="24"/>
          <w:szCs w:val="24"/>
        </w:rPr>
        <w:t>及由本次</w:t>
      </w:r>
      <w:r>
        <w:rPr>
          <w:rFonts w:hint="eastAsia" w:ascii="仿宋" w:hAnsi="仿宋" w:eastAsia="仿宋" w:cs="仿宋"/>
          <w:sz w:val="24"/>
          <w:szCs w:val="24"/>
          <w:lang w:eastAsia="zh-CN"/>
        </w:rPr>
        <w:t>谈判</w:t>
      </w:r>
      <w:r>
        <w:rPr>
          <w:rFonts w:hint="eastAsia" w:ascii="仿宋" w:hAnsi="仿宋" w:eastAsia="仿宋" w:cs="仿宋"/>
          <w:sz w:val="24"/>
          <w:szCs w:val="24"/>
        </w:rPr>
        <w:t>产生的合同受中华人民共和国的相关法律、法规制约和保护。供应商一旦领取了</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文件并参加本项目，即被认为接受了</w:t>
      </w:r>
      <w:r>
        <w:rPr>
          <w:rFonts w:hint="eastAsia" w:ascii="仿宋" w:hAnsi="仿宋" w:eastAsia="仿宋" w:cs="仿宋"/>
          <w:sz w:val="24"/>
          <w:szCs w:val="24"/>
          <w:lang w:eastAsia="zh-CN"/>
        </w:rPr>
        <w:t>竞争性谈判</w:t>
      </w:r>
      <w:r>
        <w:rPr>
          <w:rFonts w:hint="eastAsia" w:ascii="仿宋" w:hAnsi="仿宋" w:eastAsia="仿宋" w:cs="仿宋"/>
          <w:sz w:val="24"/>
          <w:szCs w:val="24"/>
        </w:rPr>
        <w:t>文件中的所有条件和规定。</w:t>
      </w:r>
    </w:p>
    <w:p w14:paraId="24FBD56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3.2供应商应保证，在中华人民共和国境内使用投标成果、服务或其任何一部分时，不会产生因第三方提出侵犯其专利权或其它知识产权而引起的法律和经济纠纷。</w:t>
      </w:r>
    </w:p>
    <w:p w14:paraId="773740C4">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 采购项目实施要求</w:t>
      </w:r>
    </w:p>
    <w:p w14:paraId="465A4B97">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4.1质量标准已通过“前附表”所述，本采购项目的质量等级标准为合格（通过采购人及有关部门组织的项目验收）。</w:t>
      </w:r>
    </w:p>
    <w:p w14:paraId="0FC9217B">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供应方与采购人签订合同后，按照</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文件及合同相关的要求编制现场服务计划。</w:t>
      </w:r>
    </w:p>
    <w:p w14:paraId="5D635B2C">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 服务期限及服务地点</w:t>
      </w:r>
    </w:p>
    <w:p w14:paraId="7F832F69">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服务期限已通过“前附表”所述，是指完成本项目采购内容及配套服务工作、验收合格并移交采购人的时间；服务地点已通过“前附表”所述。</w:t>
      </w:r>
    </w:p>
    <w:p w14:paraId="51667CB1">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6. 资金来源</w:t>
      </w:r>
    </w:p>
    <w:p w14:paraId="3F241D42">
      <w:pPr>
        <w:shd w:val="clear" w:color="auto" w:fill="FFFFFF"/>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6.1采购单位的资金通过“前附表”第1项所述的方式获得，并将部分资金用于本项目合同下的合格支付。</w:t>
      </w:r>
    </w:p>
    <w:p w14:paraId="68AFBC66">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7. 供应商资格要求</w:t>
      </w:r>
    </w:p>
    <w:p w14:paraId="316782D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供应商资格要求须满足“前附表”要求。</w:t>
      </w:r>
    </w:p>
    <w:p w14:paraId="4B5B04A8">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 投标费用</w:t>
      </w:r>
    </w:p>
    <w:p w14:paraId="30D22919">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供应商应承担其编制响应文件与递交响应文件所涉及的一切费用，不论投标结果如何，采购人或采购代理机构均无义务和责任承担这些费用。</w:t>
      </w:r>
    </w:p>
    <w:p w14:paraId="709ADCA0">
      <w:pPr>
        <w:pStyle w:val="153"/>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9.合格供应商的条件</w:t>
      </w:r>
    </w:p>
    <w:p w14:paraId="31B0D639">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9.1具有本项目实施能力，符合、承认并承诺履行本文件各项规定的国内法人、其他组织或自然人均可参加投标。</w:t>
      </w:r>
    </w:p>
    <w:p w14:paraId="7DCDF967">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 遵守有关的国家法律、法规和条例，具备《中华人民共和国政府采购法》和本文件中规定的条件：</w:t>
      </w:r>
    </w:p>
    <w:p w14:paraId="5B7A045B">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9.2.1具有独立承担民事责任的能力； </w:t>
      </w:r>
    </w:p>
    <w:p w14:paraId="69297C51">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9.2.2具有良好的商业信誉和健全的财务会计制度；</w:t>
      </w:r>
    </w:p>
    <w:p w14:paraId="0B9B7868">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9.2.3具有履行合同所必需的设备和专业技术能力；</w:t>
      </w:r>
    </w:p>
    <w:p w14:paraId="1CE9B459">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9.2.4具有依法缴纳税收和社会保障资金的良好记录；</w:t>
      </w:r>
    </w:p>
    <w:p w14:paraId="621E1330">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9.2.5参加政府采购活动前三年内，在经营活动中没有重大违法记录；</w:t>
      </w:r>
    </w:p>
    <w:p w14:paraId="5BDCC2CA">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9.2.6法律、行政法规规定的其他条件；</w:t>
      </w:r>
    </w:p>
    <w:p w14:paraId="21102D80">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9.2.7具有本</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文件第二部分“供应商须知前附表”中规定的资格条件。</w:t>
      </w:r>
    </w:p>
    <w:p w14:paraId="5D4983FD">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9.3供应商之间如果存在下列情形之一的，不得同时参加同一包（标段）或者不分包（标段）的同一项目投标：</w:t>
      </w:r>
    </w:p>
    <w:p w14:paraId="1C64BB8A">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9.3.1法定代表人为同一个人的两个及两个以上法人；</w:t>
      </w:r>
    </w:p>
    <w:p w14:paraId="3389BA9D">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9.3.2母公司、全资子公司及其控股公司；</w:t>
      </w:r>
    </w:p>
    <w:p w14:paraId="04DEBED2">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9.3.3参加投标的其他组织之间存在特殊的利害关系的；</w:t>
      </w:r>
    </w:p>
    <w:p w14:paraId="6194FFA5">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9.3.4法律和行政法规规定的其他情形。</w:t>
      </w:r>
    </w:p>
    <w:p w14:paraId="0F210CEE">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9.4供应商授权代表须持有《法定代表人授权委托书》。</w:t>
      </w:r>
    </w:p>
    <w:p w14:paraId="39BE3014">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9.5供应商</w:t>
      </w:r>
      <w:r>
        <w:rPr>
          <w:rFonts w:hint="eastAsia" w:ascii="仿宋" w:hAnsi="仿宋" w:eastAsia="仿宋" w:cs="仿宋"/>
          <w:bCs/>
          <w:kern w:val="0"/>
          <w:sz w:val="24"/>
          <w:szCs w:val="24"/>
        </w:rPr>
        <w:t>通过政府采购网</w:t>
      </w:r>
      <w:r>
        <w:rPr>
          <w:rFonts w:hint="eastAsia" w:ascii="仿宋" w:hAnsi="仿宋" w:eastAsia="仿宋" w:cs="仿宋"/>
          <w:bCs/>
          <w:kern w:val="0"/>
          <w:sz w:val="24"/>
          <w:szCs w:val="24"/>
          <w:lang w:eastAsia="zh-CN"/>
        </w:rPr>
        <w:t>（http://www.ccgp-xinjiang.gov.cn/）</w:t>
      </w:r>
      <w:r>
        <w:rPr>
          <w:rFonts w:hint="eastAsia" w:ascii="仿宋" w:hAnsi="仿宋" w:eastAsia="仿宋" w:cs="仿宋"/>
          <w:bCs/>
          <w:kern w:val="0"/>
          <w:sz w:val="24"/>
          <w:szCs w:val="24"/>
        </w:rPr>
        <w:t>的”政采云登录入口”登录后，在</w:t>
      </w:r>
      <w:r>
        <w:rPr>
          <w:rFonts w:hint="eastAsia" w:ascii="仿宋" w:hAnsi="仿宋" w:eastAsia="仿宋" w:cs="仿宋"/>
          <w:sz w:val="24"/>
          <w:szCs w:val="24"/>
        </w:rPr>
        <w:t>“项目采购”项下的“获取采购文件”自行领取</w:t>
      </w:r>
      <w:r>
        <w:rPr>
          <w:rFonts w:hint="eastAsia" w:ascii="仿宋" w:hAnsi="仿宋" w:eastAsia="仿宋" w:cs="仿宋"/>
          <w:sz w:val="24"/>
          <w:szCs w:val="24"/>
          <w:lang w:eastAsia="zh-CN"/>
        </w:rPr>
        <w:t>竞争性谈判</w:t>
      </w:r>
      <w:r>
        <w:rPr>
          <w:rFonts w:hint="eastAsia" w:ascii="仿宋" w:hAnsi="仿宋" w:eastAsia="仿宋" w:cs="仿宋"/>
          <w:sz w:val="24"/>
          <w:szCs w:val="24"/>
        </w:rPr>
        <w:t>文件。</w:t>
      </w:r>
    </w:p>
    <w:p w14:paraId="2200E640">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9.6供应商按时足额</w:t>
      </w:r>
      <w:r>
        <w:rPr>
          <w:rFonts w:hint="eastAsia" w:ascii="仿宋" w:hAnsi="仿宋" w:eastAsia="仿宋" w:cs="仿宋"/>
          <w:sz w:val="24"/>
          <w:szCs w:val="24"/>
          <w:lang w:eastAsia="zh-CN"/>
        </w:rPr>
        <w:t>缴纳谈判</w:t>
      </w:r>
      <w:r>
        <w:rPr>
          <w:rFonts w:hint="eastAsia" w:ascii="仿宋" w:hAnsi="仿宋" w:eastAsia="仿宋" w:cs="仿宋"/>
          <w:sz w:val="24"/>
          <w:szCs w:val="24"/>
        </w:rPr>
        <w:t>保证金。</w:t>
      </w:r>
    </w:p>
    <w:p w14:paraId="7E2ABE4D">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10. 联合体</w:t>
      </w:r>
    </w:p>
    <w:p w14:paraId="5B7B432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10.1供应商须知前附表中接受联合体的，供应商可以联合体形式参加</w:t>
      </w:r>
      <w:r>
        <w:rPr>
          <w:rFonts w:hint="eastAsia" w:ascii="仿宋" w:hAnsi="仿宋" w:eastAsia="仿宋" w:cs="仿宋"/>
          <w:sz w:val="24"/>
          <w:szCs w:val="24"/>
          <w:lang w:eastAsia="zh-CN"/>
        </w:rPr>
        <w:t>谈判</w:t>
      </w:r>
      <w:r>
        <w:rPr>
          <w:rFonts w:hint="eastAsia" w:ascii="仿宋" w:hAnsi="仿宋" w:eastAsia="仿宋" w:cs="仿宋"/>
          <w:sz w:val="24"/>
          <w:szCs w:val="24"/>
        </w:rPr>
        <w:t>，否则联合体投标视为无效响应；接受联合体的，除应符合本章第7</w:t>
      </w:r>
      <w:r>
        <w:rPr>
          <w:rFonts w:hint="eastAsia" w:ascii="仿宋" w:hAnsi="仿宋" w:eastAsia="仿宋" w:cs="仿宋"/>
          <w:sz w:val="24"/>
          <w:szCs w:val="24"/>
          <w:lang w:val="zh-CN"/>
        </w:rPr>
        <w:t>款</w:t>
      </w:r>
      <w:r>
        <w:rPr>
          <w:rFonts w:hint="eastAsia" w:ascii="仿宋" w:hAnsi="仿宋" w:eastAsia="仿宋" w:cs="仿宋"/>
          <w:sz w:val="24"/>
          <w:szCs w:val="24"/>
        </w:rPr>
        <w:t xml:space="preserve">规定外，还应遵守以下规定： </w:t>
      </w:r>
    </w:p>
    <w:p w14:paraId="71AE3F1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10.1.1联合体各方应按</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文件提供的格式签订</w:t>
      </w:r>
      <w:r>
        <w:rPr>
          <w:rFonts w:hint="eastAsia" w:ascii="仿宋" w:hAnsi="仿宋" w:eastAsia="仿宋" w:cs="仿宋"/>
          <w:sz w:val="24"/>
          <w:szCs w:val="24"/>
          <w:u w:val="single"/>
        </w:rPr>
        <w:t>联合体协议</w:t>
      </w:r>
      <w:r>
        <w:rPr>
          <w:rFonts w:hint="eastAsia" w:ascii="仿宋" w:hAnsi="仿宋" w:eastAsia="仿宋" w:cs="仿宋"/>
          <w:sz w:val="24"/>
          <w:szCs w:val="24"/>
        </w:rPr>
        <w:t>，明确联合体牵头人和各方的权利义务、合同工作量比例；</w:t>
      </w:r>
    </w:p>
    <w:p w14:paraId="15B0551C">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10.1.2联合体各方签订联合体协议书后，不得再单独参加或者与其他供应商组成新的联合体参加同一项目的采购活动。</w:t>
      </w:r>
    </w:p>
    <w:p w14:paraId="644DF264">
      <w:pPr>
        <w:shd w:val="clear" w:color="auto" w:fill="FFFFFF"/>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11.信用信息查询</w:t>
      </w:r>
    </w:p>
    <w:p w14:paraId="76D2D1E6">
      <w:pPr>
        <w:shd w:val="clear" w:color="auto" w:fill="FFFFFF"/>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11.1查询渠道：“信用中国” 网站</w:t>
      </w:r>
      <w:r>
        <w:rPr>
          <w:rFonts w:hint="eastAsia" w:ascii="仿宋" w:hAnsi="仿宋" w:eastAsia="仿宋" w:cs="仿宋"/>
          <w:sz w:val="24"/>
          <w:szCs w:val="24"/>
          <w:lang w:eastAsia="zh-CN"/>
        </w:rPr>
        <w:t>（</w:t>
      </w:r>
      <w:r>
        <w:rPr>
          <w:rFonts w:hint="eastAsia" w:ascii="仿宋" w:hAnsi="仿宋" w:eastAsia="仿宋" w:cs="仿宋"/>
          <w:sz w:val="24"/>
          <w:szCs w:val="24"/>
        </w:rPr>
        <w:t xml:space="preserve"> www.creditchina.gov.cn ) 、中国政府采购网</w:t>
      </w:r>
      <w:r>
        <w:rPr>
          <w:rFonts w:hint="eastAsia" w:ascii="仿宋" w:hAnsi="仿宋" w:eastAsia="仿宋" w:cs="仿宋"/>
          <w:sz w:val="24"/>
          <w:szCs w:val="24"/>
          <w:lang w:eastAsia="zh-CN"/>
        </w:rPr>
        <w:t>（</w:t>
      </w:r>
      <w:r>
        <w:rPr>
          <w:rFonts w:hint="eastAsia" w:ascii="仿宋" w:hAnsi="仿宋" w:eastAsia="仿宋" w:cs="仿宋"/>
          <w:sz w:val="24"/>
          <w:szCs w:val="24"/>
        </w:rPr>
        <w:t>www.ccgp.gov.cn)</w:t>
      </w:r>
      <w:r>
        <w:rPr>
          <w:rFonts w:hint="eastAsia" w:ascii="仿宋" w:hAnsi="仿宋" w:eastAsia="仿宋" w:cs="仿宋"/>
          <w:sz w:val="24"/>
          <w:szCs w:val="24"/>
          <w:lang w:eastAsia="zh-CN"/>
        </w:rPr>
        <w:t>。</w:t>
      </w:r>
    </w:p>
    <w:p w14:paraId="08CDBD7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11.2查询截止时间：即递交响应文件截止时间。</w:t>
      </w:r>
    </w:p>
    <w:p w14:paraId="7A9065B5">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11.3根据《关于在政府采购活动中查询及使用信用记录有关问题的通知》</w:t>
      </w:r>
      <w:r>
        <w:rPr>
          <w:rFonts w:hint="eastAsia" w:ascii="仿宋" w:hAnsi="仿宋" w:eastAsia="仿宋" w:cs="仿宋"/>
          <w:sz w:val="24"/>
          <w:szCs w:val="24"/>
          <w:lang w:eastAsia="zh-CN"/>
        </w:rPr>
        <w:t>（</w:t>
      </w:r>
      <w:r>
        <w:rPr>
          <w:rFonts w:hint="eastAsia" w:ascii="仿宋" w:hAnsi="仿宋" w:eastAsia="仿宋" w:cs="仿宋"/>
          <w:sz w:val="24"/>
          <w:szCs w:val="24"/>
        </w:rPr>
        <w:t>财库[2016]125号</w:t>
      </w:r>
      <w:r>
        <w:rPr>
          <w:rFonts w:hint="eastAsia" w:ascii="仿宋" w:hAnsi="仿宋" w:eastAsia="仿宋" w:cs="仿宋"/>
          <w:sz w:val="24"/>
          <w:szCs w:val="24"/>
          <w:lang w:eastAsia="zh-CN"/>
        </w:rPr>
        <w:t>）</w:t>
      </w:r>
      <w:r>
        <w:rPr>
          <w:rFonts w:hint="eastAsia" w:ascii="仿宋" w:hAnsi="仿宋" w:eastAsia="仿宋" w:cs="仿宋"/>
          <w:sz w:val="24"/>
          <w:szCs w:val="24"/>
        </w:rPr>
        <w:t>的规定，对被列入“失信被执行人”、“重大税收违法案件当事人名单”、“政府采购严重违法失信行为记录名单”的供应商，拒绝参与本项目政府采购活动。</w:t>
      </w:r>
    </w:p>
    <w:p w14:paraId="1E01E1E6">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11.4信用信息查询由采购代理机构在</w:t>
      </w:r>
      <w:r>
        <w:rPr>
          <w:rFonts w:hint="eastAsia" w:ascii="仿宋" w:hAnsi="仿宋" w:eastAsia="仿宋" w:cs="仿宋"/>
          <w:sz w:val="24"/>
          <w:szCs w:val="24"/>
          <w:lang w:eastAsia="zh-CN"/>
        </w:rPr>
        <w:t>谈判</w:t>
      </w:r>
      <w:r>
        <w:rPr>
          <w:rFonts w:hint="eastAsia" w:ascii="仿宋" w:hAnsi="仿宋" w:eastAsia="仿宋" w:cs="仿宋"/>
          <w:sz w:val="24"/>
          <w:szCs w:val="24"/>
        </w:rPr>
        <w:t>后通过本须知11.1所述渠道进行网上查询，对存在本须知11.3所述情形的供应商，将对其查询结果的网页截图作为查询记录和证据留存。</w:t>
      </w:r>
    </w:p>
    <w:p w14:paraId="50C60295">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578836AE">
      <w:pPr>
        <w:spacing w:line="460" w:lineRule="exact"/>
        <w:jc w:val="center"/>
        <w:outlineLvl w:val="1"/>
        <w:rPr>
          <w:rFonts w:hint="eastAsia" w:ascii="仿宋" w:hAnsi="仿宋" w:eastAsia="仿宋" w:cs="仿宋"/>
          <w:b/>
          <w:sz w:val="32"/>
          <w:szCs w:val="32"/>
          <w:lang w:val="zh-CN"/>
        </w:rPr>
      </w:pPr>
      <w:r>
        <w:rPr>
          <w:rFonts w:hint="eastAsia" w:ascii="仿宋" w:hAnsi="仿宋" w:eastAsia="仿宋" w:cs="仿宋"/>
          <w:b/>
          <w:sz w:val="32"/>
          <w:szCs w:val="32"/>
          <w:lang w:val="zh-CN"/>
        </w:rPr>
        <w:t>（二）竞争性谈判文件</w:t>
      </w:r>
      <w:bookmarkEnd w:id="45"/>
      <w:bookmarkEnd w:id="46"/>
      <w:bookmarkEnd w:id="47"/>
    </w:p>
    <w:p w14:paraId="1EFE0C18">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12. </w:t>
      </w:r>
      <w:r>
        <w:rPr>
          <w:rFonts w:hint="eastAsia" w:ascii="仿宋" w:hAnsi="仿宋" w:eastAsia="仿宋" w:cs="仿宋"/>
          <w:b/>
          <w:bCs/>
          <w:sz w:val="24"/>
          <w:szCs w:val="24"/>
          <w:lang w:eastAsia="zh-CN"/>
        </w:rPr>
        <w:t>竞争性谈判</w:t>
      </w:r>
      <w:r>
        <w:rPr>
          <w:rFonts w:hint="eastAsia" w:ascii="仿宋" w:hAnsi="仿宋" w:eastAsia="仿宋" w:cs="仿宋"/>
          <w:b/>
          <w:bCs/>
          <w:sz w:val="24"/>
          <w:szCs w:val="24"/>
        </w:rPr>
        <w:t>文件的组成</w:t>
      </w:r>
    </w:p>
    <w:p w14:paraId="0A921CF5">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文件包括下列内容</w:t>
      </w:r>
    </w:p>
    <w:p w14:paraId="746E242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第一章 </w:t>
      </w:r>
      <w:r>
        <w:rPr>
          <w:rFonts w:hint="eastAsia" w:ascii="仿宋" w:hAnsi="仿宋" w:eastAsia="仿宋" w:cs="仿宋"/>
          <w:sz w:val="24"/>
          <w:szCs w:val="24"/>
          <w:lang w:eastAsia="zh-CN"/>
        </w:rPr>
        <w:t>竞争性谈判</w:t>
      </w:r>
      <w:r>
        <w:rPr>
          <w:rFonts w:hint="eastAsia" w:ascii="仿宋" w:hAnsi="仿宋" w:eastAsia="仿宋" w:cs="仿宋"/>
          <w:sz w:val="24"/>
          <w:szCs w:val="24"/>
        </w:rPr>
        <w:t>公告</w:t>
      </w:r>
    </w:p>
    <w:p w14:paraId="3488A20A">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第二章 供应商须知</w:t>
      </w:r>
    </w:p>
    <w:p w14:paraId="3CCA705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第三章 采购需求</w:t>
      </w:r>
    </w:p>
    <w:p w14:paraId="44B39A20">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第四章 </w:t>
      </w:r>
      <w:r>
        <w:rPr>
          <w:rFonts w:hint="eastAsia" w:ascii="仿宋" w:hAnsi="仿宋" w:eastAsia="仿宋" w:cs="仿宋"/>
          <w:sz w:val="24"/>
          <w:szCs w:val="24"/>
          <w:lang w:eastAsia="zh-CN"/>
        </w:rPr>
        <w:t>谈判规则</w:t>
      </w:r>
      <w:r>
        <w:rPr>
          <w:rFonts w:hint="eastAsia" w:ascii="仿宋" w:hAnsi="仿宋" w:eastAsia="仿宋" w:cs="仿宋"/>
          <w:sz w:val="24"/>
          <w:szCs w:val="24"/>
        </w:rPr>
        <w:t>及标准</w:t>
      </w:r>
    </w:p>
    <w:p w14:paraId="31AA27C0">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第五章 合同条款</w:t>
      </w:r>
    </w:p>
    <w:p w14:paraId="1A9E300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第六章 响应文件格式</w:t>
      </w:r>
    </w:p>
    <w:p w14:paraId="4E628343">
      <w:pPr>
        <w:shd w:val="clear" w:color="auto" w:fill="FFFFFF"/>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12.2 </w:t>
      </w:r>
      <w:r>
        <w:rPr>
          <w:rFonts w:hint="eastAsia" w:ascii="仿宋" w:hAnsi="仿宋" w:eastAsia="仿宋" w:cs="仿宋"/>
          <w:b/>
          <w:bCs/>
          <w:sz w:val="24"/>
          <w:szCs w:val="24"/>
        </w:rPr>
        <w:t>本次</w:t>
      </w:r>
      <w:r>
        <w:rPr>
          <w:rFonts w:hint="eastAsia" w:ascii="仿宋" w:hAnsi="仿宋" w:eastAsia="仿宋" w:cs="仿宋"/>
          <w:b/>
          <w:bCs/>
          <w:sz w:val="24"/>
          <w:szCs w:val="24"/>
          <w:lang w:eastAsia="zh-CN"/>
        </w:rPr>
        <w:t>谈判</w:t>
      </w:r>
      <w:r>
        <w:rPr>
          <w:rFonts w:hint="eastAsia" w:ascii="仿宋" w:hAnsi="仿宋" w:eastAsia="仿宋" w:cs="仿宋"/>
          <w:b/>
          <w:sz w:val="24"/>
          <w:szCs w:val="24"/>
          <w:lang w:val="zh-CN"/>
        </w:rPr>
        <w:t>的最小单位是标项。竞争性谈判文件未分标项的，供应商须对全部</w:t>
      </w:r>
      <w:r>
        <w:rPr>
          <w:rFonts w:hint="eastAsia" w:ascii="仿宋" w:hAnsi="仿宋" w:eastAsia="仿宋" w:cs="仿宋"/>
          <w:b/>
          <w:sz w:val="24"/>
          <w:szCs w:val="24"/>
        </w:rPr>
        <w:t>采购</w:t>
      </w:r>
      <w:r>
        <w:rPr>
          <w:rFonts w:hint="eastAsia" w:ascii="仿宋" w:hAnsi="仿宋" w:eastAsia="仿宋" w:cs="仿宋"/>
          <w:b/>
          <w:sz w:val="24"/>
          <w:szCs w:val="24"/>
          <w:lang w:val="zh-CN"/>
        </w:rPr>
        <w:t>内容投标，不得部分投标；竞争性谈判文件分标项的，供应商应当以标项为单位编制并提交响应文件</w:t>
      </w:r>
      <w:r>
        <w:rPr>
          <w:rFonts w:hint="eastAsia" w:ascii="仿宋" w:hAnsi="仿宋" w:eastAsia="仿宋" w:cs="仿宋"/>
          <w:sz w:val="24"/>
          <w:szCs w:val="24"/>
          <w:lang w:val="zh-CN"/>
        </w:rPr>
        <w:t>。</w:t>
      </w:r>
    </w:p>
    <w:p w14:paraId="091B1E10">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12.3 竞争性谈判文件如果要求供应商提交备选投标方案的，供应商可以提交备选方案；否则，备选方案将被拒绝。</w:t>
      </w:r>
    </w:p>
    <w:p w14:paraId="7A8A8EF2">
      <w:pPr>
        <w:shd w:val="clear" w:color="auto" w:fill="FFFFFF"/>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12.4 竞争性谈判文件由本文件及由采购人按竞争性谈判文件有关规定发出的竞争性谈判文件补充构成。</w:t>
      </w:r>
    </w:p>
    <w:p w14:paraId="69220B5C">
      <w:pPr>
        <w:shd w:val="clear" w:color="auto" w:fill="FFFFFF"/>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12.5 竞争性谈判文件的澄清、修改、</w:t>
      </w:r>
      <w:r>
        <w:rPr>
          <w:rFonts w:hint="eastAsia" w:ascii="仿宋" w:hAnsi="仿宋" w:eastAsia="仿宋" w:cs="仿宋"/>
          <w:sz w:val="24"/>
          <w:szCs w:val="24"/>
          <w:lang w:eastAsia="zh-CN"/>
        </w:rPr>
        <w:t>谈判</w:t>
      </w:r>
      <w:r>
        <w:rPr>
          <w:rFonts w:hint="eastAsia" w:ascii="仿宋" w:hAnsi="仿宋" w:eastAsia="仿宋" w:cs="仿宋"/>
          <w:sz w:val="24"/>
          <w:szCs w:val="24"/>
          <w:lang w:val="zh-CN"/>
        </w:rPr>
        <w:t>答疑会纪要等书面材料在本采购项目中均称竞争性谈判文件补充。</w:t>
      </w:r>
    </w:p>
    <w:p w14:paraId="3E854E68">
      <w:pPr>
        <w:shd w:val="clear" w:color="auto" w:fill="FFFFFF"/>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12.6 竞争性谈判文件补充作为竞争性谈判文件的组成部分，对供应商起同等约束作用。如果竞争性谈判文件补充内容与在此竞争性谈判文件补充发出之前的竞争性谈判文件等书面材料中相关内容相冲突，请供应商执行竞争性谈判文件补充的相关内容，先前发出的竞争性谈判文件等书面材料中相关内容自动废止。</w:t>
      </w:r>
    </w:p>
    <w:p w14:paraId="3E78DE02">
      <w:pPr>
        <w:shd w:val="clear" w:color="auto" w:fill="FFFFFF"/>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12.7 供应商应认真审阅和理解竞争性谈判文件所有内容，尤其注意可能引起“否决投标”、“拒绝评审”、“无效响应”、“评审不予通过”等的条款，按照竞争性谈判文件要求编制响应文件。任何对竞争性谈判文件的忽略或误解不能作为响应文件存在缺陷或瑕疵的理由，其风险由供应商承担。</w:t>
      </w:r>
    </w:p>
    <w:p w14:paraId="35375A04">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13. 竞争性谈判文件的获取</w:t>
      </w:r>
    </w:p>
    <w:p w14:paraId="4FCA263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文件的提供期限自开始发出之日起不得少于</w:t>
      </w:r>
      <w:r>
        <w:rPr>
          <w:rFonts w:hint="eastAsia" w:ascii="仿宋" w:hAnsi="仿宋" w:eastAsia="仿宋" w:cs="仿宋"/>
          <w:sz w:val="24"/>
          <w:szCs w:val="24"/>
          <w:lang w:eastAsia="zh-CN"/>
        </w:rPr>
        <w:t>三</w:t>
      </w:r>
      <w:r>
        <w:rPr>
          <w:rFonts w:hint="eastAsia" w:ascii="仿宋" w:hAnsi="仿宋" w:eastAsia="仿宋" w:cs="仿宋"/>
          <w:sz w:val="24"/>
          <w:szCs w:val="24"/>
        </w:rPr>
        <w:t>个工作日。具体提供期限见</w:t>
      </w:r>
      <w:r>
        <w:rPr>
          <w:rFonts w:hint="eastAsia" w:ascii="仿宋" w:hAnsi="仿宋" w:eastAsia="仿宋" w:cs="仿宋"/>
          <w:b/>
          <w:sz w:val="24"/>
          <w:szCs w:val="24"/>
          <w:lang w:eastAsia="zh-CN"/>
        </w:rPr>
        <w:t>竞争性谈判</w:t>
      </w:r>
      <w:r>
        <w:rPr>
          <w:rFonts w:hint="eastAsia" w:ascii="仿宋" w:hAnsi="仿宋" w:eastAsia="仿宋" w:cs="仿宋"/>
          <w:b/>
          <w:sz w:val="24"/>
          <w:szCs w:val="24"/>
        </w:rPr>
        <w:t>公告</w:t>
      </w:r>
      <w:r>
        <w:rPr>
          <w:rFonts w:hint="eastAsia" w:ascii="仿宋" w:hAnsi="仿宋" w:eastAsia="仿宋" w:cs="仿宋"/>
          <w:sz w:val="24"/>
          <w:szCs w:val="24"/>
        </w:rPr>
        <w:t>。</w:t>
      </w:r>
    </w:p>
    <w:p w14:paraId="47FE05F7">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13.2凡符合资格要求并有意参加</w:t>
      </w:r>
      <w:r>
        <w:rPr>
          <w:rFonts w:hint="eastAsia" w:ascii="仿宋" w:hAnsi="仿宋" w:eastAsia="仿宋" w:cs="仿宋"/>
          <w:sz w:val="24"/>
          <w:szCs w:val="24"/>
          <w:lang w:eastAsia="zh-CN"/>
        </w:rPr>
        <w:t>谈判</w:t>
      </w:r>
      <w:r>
        <w:rPr>
          <w:rFonts w:hint="eastAsia" w:ascii="仿宋" w:hAnsi="仿宋" w:eastAsia="仿宋" w:cs="仿宋"/>
          <w:sz w:val="24"/>
          <w:szCs w:val="24"/>
        </w:rPr>
        <w:t>的供应商</w:t>
      </w:r>
      <w:r>
        <w:rPr>
          <w:rFonts w:hint="eastAsia" w:ascii="仿宋" w:hAnsi="仿宋" w:eastAsia="仿宋" w:cs="仿宋"/>
          <w:sz w:val="24"/>
          <w:szCs w:val="24"/>
          <w:lang w:eastAsia="zh-CN"/>
        </w:rPr>
        <w:t>，</w:t>
      </w:r>
      <w:r>
        <w:rPr>
          <w:rFonts w:hint="eastAsia" w:ascii="仿宋" w:hAnsi="仿宋" w:eastAsia="仿宋" w:cs="仿宋"/>
          <w:bCs/>
          <w:sz w:val="24"/>
          <w:szCs w:val="24"/>
        </w:rPr>
        <w:t>通过政府采购网</w:t>
      </w:r>
      <w:r>
        <w:rPr>
          <w:rFonts w:hint="eastAsia" w:ascii="仿宋" w:hAnsi="仿宋" w:eastAsia="仿宋" w:cs="仿宋"/>
          <w:bCs/>
          <w:sz w:val="24"/>
          <w:szCs w:val="24"/>
          <w:lang w:eastAsia="zh-CN"/>
        </w:rPr>
        <w:t>（http://www.ccgp-xinjiang.gov.cn/）</w:t>
      </w:r>
      <w:r>
        <w:rPr>
          <w:rFonts w:hint="eastAsia" w:ascii="仿宋" w:hAnsi="仿宋" w:eastAsia="仿宋" w:cs="仿宋"/>
          <w:bCs/>
          <w:sz w:val="24"/>
          <w:szCs w:val="24"/>
        </w:rPr>
        <w:t>的”政采云登录入口”登录递交申请资料，经采购代理机构审核通过后，在</w:t>
      </w:r>
      <w:r>
        <w:rPr>
          <w:rFonts w:hint="eastAsia" w:ascii="仿宋" w:hAnsi="仿宋" w:eastAsia="仿宋" w:cs="仿宋"/>
          <w:sz w:val="24"/>
          <w:szCs w:val="24"/>
        </w:rPr>
        <w:t>“项目采购”项下的“获取采购文件”自行领取</w:t>
      </w:r>
      <w:r>
        <w:rPr>
          <w:rFonts w:hint="eastAsia" w:ascii="仿宋" w:hAnsi="仿宋" w:eastAsia="仿宋" w:cs="仿宋"/>
          <w:sz w:val="24"/>
          <w:szCs w:val="24"/>
          <w:lang w:eastAsia="zh-CN"/>
        </w:rPr>
        <w:t>竞争性谈判</w:t>
      </w:r>
      <w:r>
        <w:rPr>
          <w:rFonts w:hint="eastAsia" w:ascii="仿宋" w:hAnsi="仿宋" w:eastAsia="仿宋" w:cs="仿宋"/>
          <w:sz w:val="24"/>
          <w:szCs w:val="24"/>
        </w:rPr>
        <w:t>文件。</w:t>
      </w:r>
    </w:p>
    <w:p w14:paraId="44AE45E2">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14. 竞争性谈判文件的澄清或修改</w:t>
      </w:r>
    </w:p>
    <w:p w14:paraId="542C2306">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14.1供应商若对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文件有任何疑问，应当在获取</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文件或者</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文件公告期限届满之日起</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个工作日内提出。本项目接受对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文件质疑的截止时间见“前附表”，供应商须在截止时间前一次性提出对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文件质疑内容。供应商提出质疑应当提交质疑函和必要的证明材料。质疑函应当包括下列内容：</w:t>
      </w:r>
    </w:p>
    <w:p w14:paraId="3CE6E3C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14.1.1供应商的姓名或者名称、地址、邮编、联系人及联系电话；</w:t>
      </w:r>
    </w:p>
    <w:p w14:paraId="07AA5C7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14.1.2质疑项目的名称、编号；</w:t>
      </w:r>
    </w:p>
    <w:p w14:paraId="129B5116">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14.1.3具体、明确的质疑事项和与质疑事项相关的请求；</w:t>
      </w:r>
    </w:p>
    <w:p w14:paraId="73FF397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14.1.4事实依据；</w:t>
      </w:r>
    </w:p>
    <w:p w14:paraId="2E7387D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14.1.5必要的法律依据；</w:t>
      </w:r>
    </w:p>
    <w:p w14:paraId="705A5B7A">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14.1.6提出质疑的日期。</w:t>
      </w:r>
    </w:p>
    <w:p w14:paraId="2378239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供应商为自然人的，应当由本人签字；供应商为法人或者其他组织的，应当由法定代表人、主要负责人，或者其授权代表签字或者盖章，并加盖投标单位公章。</w:t>
      </w:r>
    </w:p>
    <w:p w14:paraId="6B2BBCD5">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14.2</w:t>
      </w:r>
      <w:r>
        <w:rPr>
          <w:rFonts w:hint="eastAsia" w:ascii="仿宋" w:hAnsi="仿宋" w:eastAsia="仿宋" w:cs="仿宋"/>
          <w:sz w:val="24"/>
          <w:szCs w:val="24"/>
        </w:rPr>
        <w:t xml:space="preserve"> 在响应文件递交截止期前的任何时候，无论出于何种原因，采购人均可主动地或在解答供应商提出的澄清问题时对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文件进行修改。</w:t>
      </w:r>
    </w:p>
    <w:p w14:paraId="4638739A">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14.3 </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文件的修改将以书面形式通知所有参与</w:t>
      </w:r>
      <w:r>
        <w:rPr>
          <w:rFonts w:hint="eastAsia" w:ascii="仿宋" w:hAnsi="仿宋" w:eastAsia="仿宋" w:cs="仿宋"/>
          <w:sz w:val="24"/>
          <w:szCs w:val="24"/>
          <w:lang w:eastAsia="zh-CN"/>
        </w:rPr>
        <w:t>谈判</w:t>
      </w:r>
      <w:r>
        <w:rPr>
          <w:rFonts w:hint="eastAsia" w:ascii="仿宋" w:hAnsi="仿宋" w:eastAsia="仿宋" w:cs="仿宋"/>
          <w:sz w:val="24"/>
          <w:szCs w:val="24"/>
        </w:rPr>
        <w:t>的供应商，并对其具有约束力，供应商应立即以传真形式回复采购人，确认已收到修改文件。</w:t>
      </w:r>
    </w:p>
    <w:p w14:paraId="774248A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14.4为使供应商有充分的时间对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文件的修改文件进行研究，采购人有权推迟</w:t>
      </w:r>
      <w:r>
        <w:rPr>
          <w:rFonts w:hint="eastAsia" w:ascii="仿宋" w:hAnsi="仿宋" w:eastAsia="仿宋" w:cs="仿宋"/>
          <w:sz w:val="24"/>
          <w:szCs w:val="24"/>
          <w:lang w:eastAsia="zh-CN"/>
        </w:rPr>
        <w:t>谈判</w:t>
      </w:r>
      <w:r>
        <w:rPr>
          <w:rFonts w:hint="eastAsia" w:ascii="仿宋" w:hAnsi="仿宋" w:eastAsia="仿宋" w:cs="仿宋"/>
          <w:sz w:val="24"/>
          <w:szCs w:val="24"/>
        </w:rPr>
        <w:t>时间，并将此变更书面通知所有参与</w:t>
      </w:r>
      <w:r>
        <w:rPr>
          <w:rFonts w:hint="eastAsia" w:ascii="仿宋" w:hAnsi="仿宋" w:eastAsia="仿宋" w:cs="仿宋"/>
          <w:sz w:val="24"/>
          <w:szCs w:val="24"/>
          <w:lang w:eastAsia="zh-CN"/>
        </w:rPr>
        <w:t>谈判</w:t>
      </w:r>
      <w:r>
        <w:rPr>
          <w:rFonts w:hint="eastAsia" w:ascii="仿宋" w:hAnsi="仿宋" w:eastAsia="仿宋" w:cs="仿宋"/>
          <w:sz w:val="24"/>
          <w:szCs w:val="24"/>
        </w:rPr>
        <w:t>的供应商。</w:t>
      </w:r>
    </w:p>
    <w:p w14:paraId="055CF370">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14.5 在上述情况下，采购人与供应商响应文件递交截止日前的全部权利、责任和义务，将适用于延长后的响应文件递交截止期。</w:t>
      </w:r>
    </w:p>
    <w:p w14:paraId="7E8A886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14.6 供应商领取</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文件后，应仔细检查</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文件的所有内容，如有残缺应在领到</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文件后5日内向采购代理机构提出，否则，由此引起的损失自负；供应商同时应认真审阅</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文件所有的事项、格式、条款和规范要求等，如果供应商没有按</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文件要求提交全部资料或者没有对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文件做出实质性响应，其风险应由供应商自行承担。</w:t>
      </w:r>
    </w:p>
    <w:p w14:paraId="6E32462E">
      <w:pPr>
        <w:shd w:val="clear" w:color="auto" w:fill="FFFFFF"/>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14.6响应文件递交截止时间前，供应商须随时关注本项目</w:t>
      </w:r>
      <w:r>
        <w:rPr>
          <w:rFonts w:hint="eastAsia" w:ascii="仿宋" w:hAnsi="仿宋" w:eastAsia="仿宋" w:cs="仿宋"/>
          <w:sz w:val="24"/>
          <w:szCs w:val="24"/>
          <w:lang w:eastAsia="zh-CN"/>
        </w:rPr>
        <w:t>竞争性谈判</w:t>
      </w:r>
      <w:r>
        <w:rPr>
          <w:rFonts w:hint="eastAsia" w:ascii="仿宋" w:hAnsi="仿宋" w:eastAsia="仿宋" w:cs="仿宋"/>
          <w:sz w:val="24"/>
          <w:szCs w:val="24"/>
        </w:rPr>
        <w:t>公告发布网站（</w:t>
      </w:r>
      <w:r>
        <w:rPr>
          <w:rFonts w:hint="eastAsia" w:ascii="仿宋" w:hAnsi="仿宋" w:eastAsia="仿宋" w:cs="仿宋"/>
          <w:sz w:val="24"/>
          <w:szCs w:val="24"/>
          <w:lang w:eastAsia="zh-CN"/>
        </w:rPr>
        <w:t>新疆</w:t>
      </w:r>
      <w:r>
        <w:rPr>
          <w:rFonts w:hint="eastAsia" w:ascii="仿宋" w:hAnsi="仿宋" w:eastAsia="仿宋" w:cs="仿宋"/>
          <w:sz w:val="24"/>
          <w:szCs w:val="24"/>
        </w:rPr>
        <w:t>政府采购网</w:t>
      </w:r>
      <w:r>
        <w:rPr>
          <w:rFonts w:hint="eastAsia" w:ascii="仿宋" w:hAnsi="仿宋" w:eastAsia="仿宋" w:cs="仿宋"/>
          <w:kern w:val="0"/>
          <w:sz w:val="24"/>
          <w:szCs w:val="24"/>
          <w:lang w:val="en-US" w:eastAsia="zh-CN" w:bidi="ar-SA"/>
        </w:rPr>
        <w:t>http://www.ccgp-xinjiang.gov.cn/</w:t>
      </w:r>
      <w:r>
        <w:rPr>
          <w:rFonts w:hint="eastAsia" w:ascii="仿宋" w:hAnsi="仿宋" w:eastAsia="仿宋" w:cs="仿宋"/>
          <w:sz w:val="24"/>
          <w:szCs w:val="24"/>
        </w:rPr>
        <w:t>）上本项目的最新的变更公告、更正公告、澄清公告等相关信息，并对上述查看行为自行承担责任；供应商对索取书面修改或者澄清文件或者查阅电子修改或者澄清文件的行为自行承担责任，在响应文件递交截止时间后递交的响应文件视为无效响应文件。</w:t>
      </w:r>
    </w:p>
    <w:p w14:paraId="1A376F93">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 xml:space="preserve">15. </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谈判</w:t>
      </w:r>
      <w:r>
        <w:rPr>
          <w:rFonts w:hint="eastAsia" w:ascii="仿宋" w:hAnsi="仿宋" w:eastAsia="仿宋" w:cs="仿宋"/>
          <w:b/>
          <w:bCs/>
          <w:sz w:val="24"/>
          <w:szCs w:val="24"/>
          <w:lang w:val="zh-CN"/>
        </w:rPr>
        <w:t>报价</w:t>
      </w:r>
    </w:p>
    <w:p w14:paraId="088DAF4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本采购项目使用的货币为</w:t>
      </w:r>
      <w:r>
        <w:rPr>
          <w:rFonts w:hint="eastAsia" w:ascii="仿宋" w:hAnsi="仿宋" w:eastAsia="仿宋" w:cs="仿宋"/>
          <w:sz w:val="24"/>
          <w:szCs w:val="24"/>
          <w:u w:val="single"/>
        </w:rPr>
        <w:t xml:space="preserve"> 人民币 </w:t>
      </w:r>
      <w:r>
        <w:rPr>
          <w:rFonts w:hint="eastAsia" w:ascii="仿宋" w:hAnsi="仿宋" w:eastAsia="仿宋" w:cs="仿宋"/>
          <w:sz w:val="24"/>
          <w:szCs w:val="24"/>
        </w:rPr>
        <w:t>，实施时亦以</w:t>
      </w:r>
      <w:r>
        <w:rPr>
          <w:rFonts w:hint="eastAsia" w:ascii="仿宋" w:hAnsi="仿宋" w:eastAsia="仿宋" w:cs="仿宋"/>
          <w:sz w:val="24"/>
          <w:szCs w:val="24"/>
          <w:u w:val="single"/>
        </w:rPr>
        <w:t xml:space="preserve"> 人民币 </w:t>
      </w:r>
      <w:r>
        <w:rPr>
          <w:rFonts w:hint="eastAsia" w:ascii="仿宋" w:hAnsi="仿宋" w:eastAsia="仿宋" w:cs="仿宋"/>
          <w:sz w:val="24"/>
          <w:szCs w:val="24"/>
        </w:rPr>
        <w:t>支付。</w:t>
      </w:r>
    </w:p>
    <w:p w14:paraId="22431D0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15.2 </w:t>
      </w:r>
      <w:r>
        <w:rPr>
          <w:rFonts w:hint="eastAsia" w:ascii="仿宋" w:hAnsi="仿宋" w:eastAsia="仿宋" w:cs="仿宋"/>
          <w:sz w:val="24"/>
          <w:szCs w:val="24"/>
          <w:lang w:eastAsia="zh-CN"/>
        </w:rPr>
        <w:t>谈判</w:t>
      </w:r>
      <w:r>
        <w:rPr>
          <w:rFonts w:hint="eastAsia" w:ascii="仿宋" w:hAnsi="仿宋" w:eastAsia="仿宋" w:cs="仿宋"/>
          <w:sz w:val="24"/>
          <w:szCs w:val="24"/>
        </w:rPr>
        <w:t>报价为本</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文件所确定的采购范围内的全部工作内容的价格体现。任何有选择的报价将不予接受（除非采购人另有约定），否则，在评审时将其视为无效响应。</w:t>
      </w:r>
    </w:p>
    <w:p w14:paraId="20F23C1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15.3 </w:t>
      </w:r>
      <w:r>
        <w:rPr>
          <w:rFonts w:hint="eastAsia" w:ascii="仿宋" w:hAnsi="仿宋" w:eastAsia="仿宋" w:cs="仿宋"/>
          <w:sz w:val="24"/>
          <w:szCs w:val="24"/>
          <w:lang w:eastAsia="zh-CN"/>
        </w:rPr>
        <w:t>谈判</w:t>
      </w:r>
      <w:r>
        <w:rPr>
          <w:rFonts w:hint="eastAsia" w:ascii="仿宋" w:hAnsi="仿宋" w:eastAsia="仿宋" w:cs="仿宋"/>
          <w:sz w:val="24"/>
          <w:szCs w:val="24"/>
        </w:rPr>
        <w:t>价格应包括：价格部分是对</w:t>
      </w:r>
      <w:r>
        <w:rPr>
          <w:rFonts w:hint="eastAsia" w:ascii="仿宋" w:hAnsi="仿宋" w:eastAsia="仿宋" w:cs="仿宋"/>
          <w:sz w:val="24"/>
          <w:szCs w:val="24"/>
          <w:lang w:eastAsia="zh-CN"/>
        </w:rPr>
        <w:t>谈判</w:t>
      </w:r>
      <w:r>
        <w:rPr>
          <w:rFonts w:hint="eastAsia" w:ascii="仿宋" w:hAnsi="仿宋" w:eastAsia="仿宋" w:cs="仿宋"/>
          <w:sz w:val="24"/>
          <w:szCs w:val="24"/>
        </w:rPr>
        <w:t>服务价格构成的说明，每一项服务仅接受一个价格。</w:t>
      </w:r>
      <w:r>
        <w:rPr>
          <w:rFonts w:hint="eastAsia" w:ascii="仿宋" w:hAnsi="仿宋" w:eastAsia="仿宋" w:cs="仿宋"/>
          <w:sz w:val="24"/>
          <w:szCs w:val="24"/>
          <w:lang w:eastAsia="zh-CN"/>
        </w:rPr>
        <w:t>谈判</w:t>
      </w:r>
      <w:r>
        <w:rPr>
          <w:rFonts w:hint="eastAsia" w:ascii="仿宋" w:hAnsi="仿宋" w:eastAsia="仿宋" w:cs="仿宋"/>
          <w:sz w:val="24"/>
          <w:szCs w:val="24"/>
        </w:rPr>
        <w:t>报价包括供应商为实施本项目提供全部服务内容所包括的全部价格的体现。</w:t>
      </w:r>
    </w:p>
    <w:p w14:paraId="79A03D50">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15.3.1</w:t>
      </w:r>
      <w:r>
        <w:rPr>
          <w:rFonts w:hint="eastAsia" w:ascii="仿宋" w:hAnsi="仿宋" w:eastAsia="仿宋" w:cs="仿宋"/>
          <w:sz w:val="24"/>
          <w:szCs w:val="24"/>
          <w:lang w:eastAsia="zh-CN"/>
        </w:rPr>
        <w:t>谈判</w:t>
      </w:r>
      <w:r>
        <w:rPr>
          <w:rFonts w:hint="eastAsia" w:ascii="仿宋" w:hAnsi="仿宋" w:eastAsia="仿宋" w:cs="仿宋"/>
          <w:sz w:val="24"/>
          <w:szCs w:val="24"/>
        </w:rPr>
        <w:t>报价为含税价，应是完成</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文件及合同条款上所列采购范围及所需的全部服务费用，供应商不得以任何理由予以重复，未列和没有填写的项目费用，视为已考虑在</w:t>
      </w:r>
      <w:r>
        <w:rPr>
          <w:rFonts w:hint="eastAsia" w:ascii="仿宋" w:hAnsi="仿宋" w:eastAsia="仿宋" w:cs="仿宋"/>
          <w:sz w:val="24"/>
          <w:szCs w:val="24"/>
          <w:lang w:eastAsia="zh-CN"/>
        </w:rPr>
        <w:t>谈判</w:t>
      </w:r>
      <w:r>
        <w:rPr>
          <w:rFonts w:hint="eastAsia" w:ascii="仿宋" w:hAnsi="仿宋" w:eastAsia="仿宋" w:cs="仿宋"/>
          <w:sz w:val="24"/>
          <w:szCs w:val="24"/>
        </w:rPr>
        <w:t>总报价中。</w:t>
      </w:r>
    </w:p>
    <w:p w14:paraId="37FE9978">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15.3.2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76CCCB9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15.3.3供应商应在《响应文件报价一览表》标明供应商</w:t>
      </w:r>
      <w:r>
        <w:rPr>
          <w:rFonts w:hint="eastAsia" w:ascii="仿宋" w:hAnsi="仿宋" w:eastAsia="仿宋" w:cs="仿宋"/>
          <w:sz w:val="24"/>
          <w:szCs w:val="24"/>
          <w:lang w:eastAsia="zh-CN"/>
        </w:rPr>
        <w:t>谈判</w:t>
      </w:r>
      <w:r>
        <w:rPr>
          <w:rFonts w:hint="eastAsia" w:ascii="仿宋" w:hAnsi="仿宋" w:eastAsia="仿宋" w:cs="仿宋"/>
          <w:sz w:val="24"/>
          <w:szCs w:val="24"/>
        </w:rPr>
        <w:t>报价；在《报价明细表》提供明细报价。</w:t>
      </w:r>
    </w:p>
    <w:p w14:paraId="6BA3C68E">
      <w:pPr>
        <w:pStyle w:val="45"/>
        <w:spacing w:line="440" w:lineRule="exact"/>
        <w:ind w:firstLine="482"/>
        <w:rPr>
          <w:rFonts w:hint="eastAsia" w:ascii="仿宋" w:hAnsi="仿宋" w:eastAsia="仿宋" w:cs="仿宋"/>
          <w:b/>
          <w:bCs/>
          <w:sz w:val="24"/>
          <w:szCs w:val="24"/>
        </w:rPr>
      </w:pPr>
      <w:r>
        <w:rPr>
          <w:rFonts w:hint="eastAsia" w:ascii="仿宋" w:hAnsi="仿宋" w:eastAsia="仿宋" w:cs="仿宋"/>
          <w:b/>
          <w:bCs/>
          <w:sz w:val="24"/>
          <w:szCs w:val="24"/>
        </w:rPr>
        <w:t>15.3.4本次</w:t>
      </w:r>
      <w:r>
        <w:rPr>
          <w:rFonts w:hint="eastAsia" w:ascii="仿宋" w:hAnsi="仿宋" w:eastAsia="仿宋" w:cs="仿宋"/>
          <w:b/>
          <w:bCs/>
          <w:sz w:val="24"/>
          <w:szCs w:val="24"/>
          <w:lang w:eastAsia="zh-CN"/>
        </w:rPr>
        <w:t>谈判</w:t>
      </w:r>
      <w:r>
        <w:rPr>
          <w:rFonts w:hint="eastAsia" w:ascii="仿宋" w:hAnsi="仿宋" w:eastAsia="仿宋" w:cs="仿宋"/>
          <w:b/>
          <w:bCs/>
          <w:sz w:val="24"/>
          <w:szCs w:val="24"/>
        </w:rPr>
        <w:t>实行两次报价，加密的响应文件中提供的供应商报价为一次报价，在</w:t>
      </w:r>
      <w:r>
        <w:rPr>
          <w:rFonts w:hint="eastAsia" w:ascii="仿宋" w:hAnsi="仿宋" w:eastAsia="仿宋" w:cs="仿宋"/>
          <w:b/>
          <w:bCs/>
          <w:sz w:val="24"/>
          <w:szCs w:val="24"/>
          <w:lang w:eastAsia="zh-CN"/>
        </w:rPr>
        <w:t>谈判小组</w:t>
      </w:r>
      <w:r>
        <w:rPr>
          <w:rFonts w:hint="eastAsia" w:ascii="仿宋" w:hAnsi="仿宋" w:eastAsia="仿宋" w:cs="仿宋"/>
          <w:b/>
          <w:bCs/>
          <w:sz w:val="24"/>
          <w:szCs w:val="24"/>
        </w:rPr>
        <w:t>对各供应商的响应文件进行初步评审（资格评审、符合性评审）后，由</w:t>
      </w:r>
      <w:r>
        <w:rPr>
          <w:rFonts w:hint="eastAsia" w:ascii="仿宋" w:hAnsi="仿宋" w:eastAsia="仿宋" w:cs="仿宋"/>
          <w:b/>
          <w:bCs/>
          <w:sz w:val="24"/>
          <w:szCs w:val="24"/>
          <w:lang w:eastAsia="zh-CN"/>
        </w:rPr>
        <w:t>谈判小组</w:t>
      </w:r>
      <w:r>
        <w:rPr>
          <w:rFonts w:hint="eastAsia" w:ascii="仿宋" w:hAnsi="仿宋" w:eastAsia="仿宋" w:cs="仿宋"/>
          <w:b/>
          <w:bCs/>
          <w:sz w:val="24"/>
          <w:szCs w:val="24"/>
        </w:rPr>
        <w:t>开启二次报价，各供应商须在二次报价开启后的</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分钟内登录政采云系统进行二次（最后）报价。因供应商自身原因未在系统内及时填报二次报价的，其责任由供应商承担。</w:t>
      </w:r>
    </w:p>
    <w:p w14:paraId="21972658">
      <w:pPr>
        <w:shd w:val="clear" w:color="auto" w:fill="FFFFFF"/>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提示：</w:t>
      </w:r>
      <w:r>
        <w:rPr>
          <w:rFonts w:hint="eastAsia" w:ascii="仿宋" w:hAnsi="仿宋" w:eastAsia="仿宋" w:cs="仿宋"/>
          <w:b/>
          <w:bCs/>
          <w:sz w:val="24"/>
          <w:szCs w:val="24"/>
          <w:lang w:eastAsia="zh-CN"/>
        </w:rPr>
        <w:t>谈判</w:t>
      </w:r>
      <w:r>
        <w:rPr>
          <w:rFonts w:hint="eastAsia" w:ascii="仿宋" w:hAnsi="仿宋" w:eastAsia="仿宋" w:cs="仿宋"/>
          <w:b/>
          <w:bCs/>
          <w:sz w:val="24"/>
          <w:szCs w:val="24"/>
        </w:rPr>
        <w:t>时，请供应商随时关注政采云账号内的站内信</w:t>
      </w:r>
      <w:r>
        <w:rPr>
          <w:rFonts w:hint="eastAsia" w:ascii="仿宋" w:hAnsi="仿宋" w:eastAsia="仿宋" w:cs="仿宋"/>
          <w:b/>
          <w:bCs/>
          <w:sz w:val="24"/>
          <w:szCs w:val="24"/>
          <w:lang w:val="en-US" w:eastAsia="zh-CN"/>
        </w:rPr>
        <w:t>息</w:t>
      </w:r>
      <w:r>
        <w:rPr>
          <w:rFonts w:hint="eastAsia" w:ascii="仿宋" w:hAnsi="仿宋" w:eastAsia="仿宋" w:cs="仿宋"/>
          <w:b/>
          <w:bCs/>
          <w:sz w:val="24"/>
          <w:szCs w:val="24"/>
        </w:rPr>
        <w:t>；注册时留下的注册人的手机短</w:t>
      </w:r>
      <w:r>
        <w:rPr>
          <w:rFonts w:hint="eastAsia" w:ascii="仿宋" w:hAnsi="仿宋" w:eastAsia="仿宋" w:cs="仿宋"/>
          <w:b/>
          <w:bCs/>
          <w:sz w:val="24"/>
          <w:szCs w:val="24"/>
          <w:lang w:eastAsia="zh-CN"/>
        </w:rPr>
        <w:t>信</w:t>
      </w:r>
      <w:r>
        <w:rPr>
          <w:rFonts w:hint="eastAsia" w:ascii="仿宋" w:hAnsi="仿宋" w:eastAsia="仿宋" w:cs="仿宋"/>
          <w:b/>
          <w:bCs/>
          <w:sz w:val="24"/>
          <w:szCs w:val="24"/>
        </w:rPr>
        <w:t>（系统会推送短信至注册联系人的手机），但此短信仅系友情提示，并不具有任何约束性和必要性，采购代理机构不承担供应商未收到短信而引起的一切后果和法律责任。</w:t>
      </w:r>
    </w:p>
    <w:p w14:paraId="58C14AF3">
      <w:pPr>
        <w:shd w:val="clear" w:color="auto" w:fill="FFFFFF"/>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16.</w:t>
      </w:r>
      <w:r>
        <w:rPr>
          <w:rFonts w:hint="eastAsia" w:ascii="仿宋" w:hAnsi="仿宋" w:eastAsia="仿宋" w:cs="仿宋"/>
          <w:b/>
          <w:sz w:val="24"/>
          <w:szCs w:val="24"/>
          <w:lang w:eastAsia="zh-CN"/>
        </w:rPr>
        <w:t>谈判</w:t>
      </w:r>
      <w:r>
        <w:rPr>
          <w:rFonts w:hint="eastAsia" w:ascii="仿宋" w:hAnsi="仿宋" w:eastAsia="仿宋" w:cs="仿宋"/>
          <w:b/>
          <w:sz w:val="24"/>
          <w:szCs w:val="24"/>
        </w:rPr>
        <w:t>保证金</w:t>
      </w:r>
    </w:p>
    <w:p w14:paraId="6725A7B6">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w:t>
      </w:r>
      <w:r>
        <w:rPr>
          <w:rFonts w:hint="eastAsia" w:ascii="仿宋" w:hAnsi="仿宋" w:eastAsia="仿宋" w:cs="仿宋"/>
          <w:sz w:val="24"/>
          <w:szCs w:val="24"/>
          <w:lang w:eastAsia="zh-CN"/>
        </w:rPr>
        <w:t>谈判</w:t>
      </w:r>
      <w:r>
        <w:rPr>
          <w:rFonts w:hint="eastAsia" w:ascii="仿宋" w:hAnsi="仿宋" w:eastAsia="仿宋" w:cs="仿宋"/>
          <w:sz w:val="24"/>
          <w:szCs w:val="24"/>
        </w:rPr>
        <w:t>保证金是为了保护采购人和采购代理机构免遭因供应商的违规、违约行为而引起的风险，采购人/代理机构在受到损害时可根据本须知的有关规定没收供应商的</w:t>
      </w:r>
      <w:r>
        <w:rPr>
          <w:rFonts w:hint="eastAsia" w:ascii="仿宋" w:hAnsi="仿宋" w:eastAsia="仿宋" w:cs="仿宋"/>
          <w:sz w:val="24"/>
          <w:szCs w:val="24"/>
          <w:lang w:eastAsia="zh-CN"/>
        </w:rPr>
        <w:t>谈判</w:t>
      </w:r>
      <w:r>
        <w:rPr>
          <w:rFonts w:hint="eastAsia" w:ascii="仿宋" w:hAnsi="仿宋" w:eastAsia="仿宋" w:cs="仿宋"/>
          <w:sz w:val="24"/>
          <w:szCs w:val="24"/>
        </w:rPr>
        <w:t>保证金。成交供应商如未能按</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文件要求与采购人签署项目合同并提交建设履约保证金，视为供应商违约，则采购人有权提取成交供应商</w:t>
      </w:r>
      <w:r>
        <w:rPr>
          <w:rFonts w:hint="eastAsia" w:ascii="仿宋" w:hAnsi="仿宋" w:eastAsia="仿宋" w:cs="仿宋"/>
          <w:sz w:val="24"/>
          <w:szCs w:val="24"/>
          <w:lang w:eastAsia="zh-CN"/>
        </w:rPr>
        <w:t>谈判</w:t>
      </w:r>
      <w:r>
        <w:rPr>
          <w:rFonts w:hint="eastAsia" w:ascii="仿宋" w:hAnsi="仿宋" w:eastAsia="仿宋" w:cs="仿宋"/>
          <w:sz w:val="24"/>
          <w:szCs w:val="24"/>
        </w:rPr>
        <w:t>保证金。</w:t>
      </w:r>
    </w:p>
    <w:p w14:paraId="535E7B4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 供应商应提交</w:t>
      </w:r>
      <w:r>
        <w:rPr>
          <w:rFonts w:hint="eastAsia" w:ascii="仿宋" w:hAnsi="仿宋" w:eastAsia="仿宋" w:cs="仿宋"/>
          <w:sz w:val="24"/>
          <w:szCs w:val="24"/>
          <w:lang w:eastAsia="zh-CN"/>
        </w:rPr>
        <w:t>谈判</w:t>
      </w:r>
      <w:r>
        <w:rPr>
          <w:rFonts w:hint="eastAsia" w:ascii="仿宋" w:hAnsi="仿宋" w:eastAsia="仿宋" w:cs="仿宋"/>
          <w:sz w:val="24"/>
          <w:szCs w:val="24"/>
        </w:rPr>
        <w:t>保证金，并作为其响应文件的一部分。</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文件前附表规定交纳</w:t>
      </w:r>
      <w:r>
        <w:rPr>
          <w:rFonts w:hint="eastAsia" w:ascii="仿宋" w:hAnsi="仿宋" w:eastAsia="仿宋" w:cs="仿宋"/>
          <w:sz w:val="24"/>
          <w:szCs w:val="24"/>
          <w:lang w:eastAsia="zh-CN"/>
        </w:rPr>
        <w:t>谈判</w:t>
      </w:r>
      <w:r>
        <w:rPr>
          <w:rFonts w:hint="eastAsia" w:ascii="仿宋" w:hAnsi="仿宋" w:eastAsia="仿宋" w:cs="仿宋"/>
          <w:sz w:val="24"/>
          <w:szCs w:val="24"/>
        </w:rPr>
        <w:t>保证金的，供应商应按</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文件前附表规定的要求提交保证金，</w:t>
      </w:r>
      <w:r>
        <w:rPr>
          <w:rFonts w:hint="eastAsia" w:ascii="仿宋" w:hAnsi="仿宋" w:eastAsia="仿宋" w:cs="仿宋"/>
          <w:sz w:val="24"/>
          <w:szCs w:val="24"/>
          <w:lang w:eastAsia="zh-CN"/>
        </w:rPr>
        <w:t>谈判</w:t>
      </w:r>
      <w:r>
        <w:rPr>
          <w:rFonts w:hint="eastAsia" w:ascii="仿宋" w:hAnsi="仿宋" w:eastAsia="仿宋" w:cs="仿宋"/>
          <w:sz w:val="24"/>
          <w:szCs w:val="24"/>
        </w:rPr>
        <w:t>保证金有效期应与</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文件规定的</w:t>
      </w:r>
      <w:r>
        <w:rPr>
          <w:rFonts w:hint="eastAsia" w:ascii="仿宋" w:hAnsi="仿宋" w:eastAsia="仿宋" w:cs="仿宋"/>
          <w:sz w:val="24"/>
          <w:szCs w:val="24"/>
          <w:lang w:eastAsia="zh-CN"/>
        </w:rPr>
        <w:t>谈判</w:t>
      </w:r>
      <w:r>
        <w:rPr>
          <w:rFonts w:hint="eastAsia" w:ascii="仿宋" w:hAnsi="仿宋" w:eastAsia="仿宋" w:cs="仿宋"/>
          <w:sz w:val="24"/>
          <w:szCs w:val="24"/>
        </w:rPr>
        <w:t>有效期一致。供应商未按照</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文件要求提交</w:t>
      </w:r>
      <w:r>
        <w:rPr>
          <w:rFonts w:hint="eastAsia" w:ascii="仿宋" w:hAnsi="仿宋" w:eastAsia="仿宋" w:cs="仿宋"/>
          <w:sz w:val="24"/>
          <w:szCs w:val="24"/>
          <w:lang w:eastAsia="zh-CN"/>
        </w:rPr>
        <w:t>谈判</w:t>
      </w:r>
      <w:r>
        <w:rPr>
          <w:rFonts w:hint="eastAsia" w:ascii="仿宋" w:hAnsi="仿宋" w:eastAsia="仿宋" w:cs="仿宋"/>
          <w:sz w:val="24"/>
          <w:szCs w:val="24"/>
        </w:rPr>
        <w:t>保证金的，投标无效。</w:t>
      </w:r>
    </w:p>
    <w:p w14:paraId="114C4E0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16.3 </w:t>
      </w:r>
      <w:r>
        <w:rPr>
          <w:rFonts w:hint="eastAsia" w:ascii="仿宋" w:hAnsi="仿宋" w:eastAsia="仿宋" w:cs="仿宋"/>
          <w:sz w:val="24"/>
          <w:szCs w:val="24"/>
          <w:lang w:eastAsia="zh-CN"/>
        </w:rPr>
        <w:t>谈判</w:t>
      </w:r>
      <w:r>
        <w:rPr>
          <w:rFonts w:hint="eastAsia" w:ascii="仿宋" w:hAnsi="仿宋" w:eastAsia="仿宋" w:cs="仿宋"/>
          <w:sz w:val="24"/>
          <w:szCs w:val="24"/>
        </w:rPr>
        <w:t>保证金缴纳方式要求见供应商须知前附表。</w:t>
      </w:r>
      <w:r>
        <w:rPr>
          <w:rFonts w:hint="eastAsia" w:ascii="仿宋" w:hAnsi="仿宋" w:eastAsia="仿宋" w:cs="仿宋"/>
          <w:b/>
          <w:bCs/>
          <w:sz w:val="24"/>
          <w:szCs w:val="24"/>
        </w:rPr>
        <w:t>凡未按</w:t>
      </w:r>
      <w:r>
        <w:rPr>
          <w:rFonts w:hint="eastAsia" w:ascii="仿宋" w:hAnsi="仿宋" w:eastAsia="仿宋" w:cs="仿宋"/>
          <w:b/>
          <w:bCs/>
          <w:sz w:val="24"/>
          <w:szCs w:val="24"/>
          <w:lang w:eastAsia="zh-CN"/>
        </w:rPr>
        <w:t>竞争性谈判</w:t>
      </w:r>
      <w:r>
        <w:rPr>
          <w:rFonts w:hint="eastAsia" w:ascii="仿宋" w:hAnsi="仿宋" w:eastAsia="仿宋" w:cs="仿宋"/>
          <w:b/>
          <w:bCs/>
          <w:sz w:val="24"/>
          <w:szCs w:val="24"/>
        </w:rPr>
        <w:t>文件要求提交</w:t>
      </w:r>
      <w:r>
        <w:rPr>
          <w:rFonts w:hint="eastAsia" w:ascii="仿宋" w:hAnsi="仿宋" w:eastAsia="仿宋" w:cs="仿宋"/>
          <w:b/>
          <w:bCs/>
          <w:sz w:val="24"/>
          <w:szCs w:val="24"/>
          <w:lang w:eastAsia="zh-CN"/>
        </w:rPr>
        <w:t>谈判</w:t>
      </w:r>
      <w:r>
        <w:rPr>
          <w:rFonts w:hint="eastAsia" w:ascii="仿宋" w:hAnsi="仿宋" w:eastAsia="仿宋" w:cs="仿宋"/>
          <w:b/>
          <w:bCs/>
          <w:sz w:val="24"/>
          <w:szCs w:val="24"/>
        </w:rPr>
        <w:t>保证金的，将视为非实质性响应性</w:t>
      </w:r>
      <w:r>
        <w:rPr>
          <w:rFonts w:hint="eastAsia" w:ascii="仿宋" w:hAnsi="仿宋" w:eastAsia="仿宋" w:cs="仿宋"/>
          <w:b/>
          <w:bCs/>
          <w:sz w:val="24"/>
          <w:szCs w:val="24"/>
          <w:lang w:eastAsia="zh-CN"/>
        </w:rPr>
        <w:t>谈判</w:t>
      </w:r>
      <w:r>
        <w:rPr>
          <w:rFonts w:hint="eastAsia" w:ascii="仿宋" w:hAnsi="仿宋" w:eastAsia="仿宋" w:cs="仿宋"/>
          <w:b/>
          <w:bCs/>
          <w:sz w:val="24"/>
          <w:szCs w:val="24"/>
        </w:rPr>
        <w:t>文件要求，其响应文件将被拒绝。</w:t>
      </w:r>
    </w:p>
    <w:p w14:paraId="4709CE0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文件接受联合体投标的，可以由联合体中的一方或者共同提交</w:t>
      </w:r>
      <w:r>
        <w:rPr>
          <w:rFonts w:hint="eastAsia" w:ascii="仿宋" w:hAnsi="仿宋" w:eastAsia="仿宋" w:cs="仿宋"/>
          <w:sz w:val="24"/>
          <w:szCs w:val="24"/>
          <w:lang w:eastAsia="zh-CN"/>
        </w:rPr>
        <w:t>谈判</w:t>
      </w:r>
      <w:r>
        <w:rPr>
          <w:rFonts w:hint="eastAsia" w:ascii="仿宋" w:hAnsi="仿宋" w:eastAsia="仿宋" w:cs="仿宋"/>
          <w:sz w:val="24"/>
          <w:szCs w:val="24"/>
        </w:rPr>
        <w:t>保证金。以一方名义提交</w:t>
      </w:r>
      <w:r>
        <w:rPr>
          <w:rFonts w:hint="eastAsia" w:ascii="仿宋" w:hAnsi="仿宋" w:eastAsia="仿宋" w:cs="仿宋"/>
          <w:sz w:val="24"/>
          <w:szCs w:val="24"/>
          <w:lang w:eastAsia="zh-CN"/>
        </w:rPr>
        <w:t>谈判</w:t>
      </w:r>
      <w:r>
        <w:rPr>
          <w:rFonts w:hint="eastAsia" w:ascii="仿宋" w:hAnsi="仿宋" w:eastAsia="仿宋" w:cs="仿宋"/>
          <w:sz w:val="24"/>
          <w:szCs w:val="24"/>
        </w:rPr>
        <w:t>保证金的，对联合体各方均具有约束力。</w:t>
      </w:r>
    </w:p>
    <w:p w14:paraId="0E028D4A">
      <w:pPr>
        <w:shd w:val="clear" w:color="auto" w:fill="FFFFFF"/>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16.5 未成交供应商的</w:t>
      </w:r>
      <w:r>
        <w:rPr>
          <w:rFonts w:hint="eastAsia" w:ascii="仿宋" w:hAnsi="仿宋" w:eastAsia="仿宋" w:cs="仿宋"/>
          <w:sz w:val="24"/>
          <w:szCs w:val="24"/>
          <w:lang w:eastAsia="zh-CN"/>
        </w:rPr>
        <w:t>谈判</w:t>
      </w:r>
      <w:r>
        <w:rPr>
          <w:rFonts w:hint="eastAsia" w:ascii="仿宋" w:hAnsi="仿宋" w:eastAsia="仿宋" w:cs="仿宋"/>
          <w:sz w:val="24"/>
          <w:szCs w:val="24"/>
        </w:rPr>
        <w:t>保证金，将在《成交通知书》发出5个工作日内退还。因违反规定被没收的</w:t>
      </w:r>
      <w:r>
        <w:rPr>
          <w:rFonts w:hint="eastAsia" w:ascii="仿宋" w:hAnsi="仿宋" w:eastAsia="仿宋" w:cs="仿宋"/>
          <w:sz w:val="24"/>
          <w:szCs w:val="24"/>
          <w:lang w:eastAsia="zh-CN"/>
        </w:rPr>
        <w:t>谈判</w:t>
      </w:r>
      <w:r>
        <w:rPr>
          <w:rFonts w:hint="eastAsia" w:ascii="仿宋" w:hAnsi="仿宋" w:eastAsia="仿宋" w:cs="仿宋"/>
          <w:sz w:val="24"/>
          <w:szCs w:val="24"/>
        </w:rPr>
        <w:t>保证金不予退回。</w:t>
      </w:r>
    </w:p>
    <w:p w14:paraId="4600B3D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成交供应商的</w:t>
      </w:r>
      <w:r>
        <w:rPr>
          <w:rFonts w:hint="eastAsia" w:ascii="仿宋" w:hAnsi="仿宋" w:eastAsia="仿宋" w:cs="仿宋"/>
          <w:sz w:val="24"/>
          <w:szCs w:val="24"/>
          <w:lang w:eastAsia="zh-CN"/>
        </w:rPr>
        <w:t>谈判</w:t>
      </w:r>
      <w:r>
        <w:rPr>
          <w:rFonts w:hint="eastAsia" w:ascii="仿宋" w:hAnsi="仿宋" w:eastAsia="仿宋" w:cs="仿宋"/>
          <w:sz w:val="24"/>
          <w:szCs w:val="24"/>
        </w:rPr>
        <w:t>保证金自采购合同签订之日起5个工作日内退还。</w:t>
      </w:r>
    </w:p>
    <w:p w14:paraId="4C5F4D5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16.7 </w:t>
      </w:r>
      <w:r>
        <w:rPr>
          <w:rFonts w:hint="eastAsia" w:ascii="仿宋" w:hAnsi="仿宋" w:eastAsia="仿宋" w:cs="仿宋"/>
          <w:b/>
          <w:sz w:val="24"/>
          <w:szCs w:val="24"/>
        </w:rPr>
        <w:t>下列任何情况发生时，</w:t>
      </w:r>
      <w:r>
        <w:rPr>
          <w:rFonts w:hint="eastAsia" w:ascii="仿宋" w:hAnsi="仿宋" w:eastAsia="仿宋" w:cs="仿宋"/>
          <w:b/>
          <w:sz w:val="24"/>
          <w:szCs w:val="24"/>
          <w:lang w:eastAsia="zh-CN"/>
        </w:rPr>
        <w:t>谈判</w:t>
      </w:r>
      <w:r>
        <w:rPr>
          <w:rFonts w:hint="eastAsia" w:ascii="仿宋" w:hAnsi="仿宋" w:eastAsia="仿宋" w:cs="仿宋"/>
          <w:b/>
          <w:sz w:val="24"/>
          <w:szCs w:val="24"/>
        </w:rPr>
        <w:t>保证金将可能被没收：</w:t>
      </w:r>
    </w:p>
    <w:p w14:paraId="3890BB68">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16.7.1 供应商在规定的</w:t>
      </w:r>
      <w:r>
        <w:rPr>
          <w:rFonts w:hint="eastAsia" w:ascii="仿宋" w:hAnsi="仿宋" w:eastAsia="仿宋" w:cs="仿宋"/>
          <w:sz w:val="24"/>
          <w:szCs w:val="24"/>
          <w:lang w:eastAsia="zh-CN"/>
        </w:rPr>
        <w:t>谈判</w:t>
      </w:r>
      <w:r>
        <w:rPr>
          <w:rFonts w:hint="eastAsia" w:ascii="仿宋" w:hAnsi="仿宋" w:eastAsia="仿宋" w:cs="仿宋"/>
          <w:sz w:val="24"/>
          <w:szCs w:val="24"/>
        </w:rPr>
        <w:t>有效期内撤回其响应文件的；</w:t>
      </w:r>
    </w:p>
    <w:p w14:paraId="5ABD2A55">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16.7.2 成交供应商无正当理由拒绝按规定与采购人签订合同或未能在规定期限内签署合同的或未按</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文件要求提交履约保证金的；</w:t>
      </w:r>
    </w:p>
    <w:p w14:paraId="3C020321">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16.8 </w:t>
      </w:r>
      <w:r>
        <w:rPr>
          <w:rFonts w:hint="eastAsia" w:ascii="仿宋" w:hAnsi="仿宋" w:eastAsia="仿宋" w:cs="仿宋"/>
          <w:b/>
          <w:sz w:val="24"/>
          <w:szCs w:val="24"/>
        </w:rPr>
        <w:t>供应商办理</w:t>
      </w:r>
      <w:r>
        <w:rPr>
          <w:rFonts w:hint="eastAsia" w:ascii="仿宋" w:hAnsi="仿宋" w:eastAsia="仿宋" w:cs="仿宋"/>
          <w:b/>
          <w:sz w:val="24"/>
          <w:szCs w:val="24"/>
          <w:lang w:eastAsia="zh-CN"/>
        </w:rPr>
        <w:t>谈判</w:t>
      </w:r>
      <w:r>
        <w:rPr>
          <w:rFonts w:hint="eastAsia" w:ascii="仿宋" w:hAnsi="仿宋" w:eastAsia="仿宋" w:cs="仿宋"/>
          <w:b/>
          <w:sz w:val="24"/>
          <w:szCs w:val="24"/>
        </w:rPr>
        <w:t>保证金退款申请手续</w:t>
      </w:r>
      <w:r>
        <w:rPr>
          <w:rFonts w:hint="eastAsia" w:ascii="仿宋" w:hAnsi="仿宋" w:eastAsia="仿宋" w:cs="仿宋"/>
          <w:b/>
          <w:sz w:val="24"/>
          <w:szCs w:val="24"/>
          <w:lang w:eastAsia="zh-CN"/>
        </w:rPr>
        <w:t>需</w:t>
      </w:r>
      <w:r>
        <w:rPr>
          <w:rFonts w:hint="eastAsia" w:ascii="仿宋" w:hAnsi="仿宋" w:eastAsia="仿宋" w:cs="仿宋"/>
          <w:b/>
          <w:sz w:val="24"/>
          <w:szCs w:val="24"/>
        </w:rPr>
        <w:t>提供以下资料：</w:t>
      </w:r>
    </w:p>
    <w:p w14:paraId="3A2B52C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16.8.1供应商须给采购代理机构提供账户信息（单位名称、开户银行名称、银行账号、银行行号）</w:t>
      </w:r>
    </w:p>
    <w:p w14:paraId="7A6E849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16.8.2 成交供应商办理</w:t>
      </w:r>
      <w:r>
        <w:rPr>
          <w:rFonts w:hint="eastAsia" w:ascii="仿宋" w:hAnsi="仿宋" w:eastAsia="仿宋" w:cs="仿宋"/>
          <w:sz w:val="24"/>
          <w:szCs w:val="24"/>
          <w:lang w:eastAsia="zh-CN"/>
        </w:rPr>
        <w:t>谈判</w:t>
      </w:r>
      <w:r>
        <w:rPr>
          <w:rFonts w:hint="eastAsia" w:ascii="仿宋" w:hAnsi="仿宋" w:eastAsia="仿宋" w:cs="仿宋"/>
          <w:sz w:val="24"/>
          <w:szCs w:val="24"/>
        </w:rPr>
        <w:t>保证金退款申请时，除16.8.1项要求外，还须提供与采购人签订的已加盖成交供应商公章的合同全本复印件一份及PDF扫描件一份（代理机构存档备查）。</w:t>
      </w:r>
    </w:p>
    <w:p w14:paraId="160D3D51">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 xml:space="preserve">17. </w:t>
      </w:r>
      <w:r>
        <w:rPr>
          <w:rFonts w:hint="eastAsia" w:ascii="仿宋" w:hAnsi="仿宋" w:eastAsia="仿宋" w:cs="仿宋"/>
          <w:b/>
          <w:bCs/>
          <w:sz w:val="24"/>
          <w:szCs w:val="24"/>
          <w:lang w:eastAsia="zh-CN"/>
        </w:rPr>
        <w:t>谈判</w:t>
      </w:r>
      <w:r>
        <w:rPr>
          <w:rFonts w:hint="eastAsia" w:ascii="仿宋" w:hAnsi="仿宋" w:eastAsia="仿宋" w:cs="仿宋"/>
          <w:b/>
          <w:bCs/>
          <w:sz w:val="24"/>
          <w:szCs w:val="24"/>
          <w:lang w:val="zh-CN"/>
        </w:rPr>
        <w:t>答疑会和现场踏勘</w:t>
      </w:r>
    </w:p>
    <w:p w14:paraId="44678A0E">
      <w:pPr>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17.1</w:t>
      </w:r>
      <w:r>
        <w:rPr>
          <w:rFonts w:hint="eastAsia" w:ascii="仿宋" w:hAnsi="仿宋" w:eastAsia="仿宋" w:cs="仿宋"/>
          <w:sz w:val="24"/>
          <w:szCs w:val="24"/>
          <w:lang w:val="zh-CN"/>
        </w:rPr>
        <w:t xml:space="preserve"> 谈判须知前附表规定组织谈判答疑会和现场踏勘的，采购人按谈判须知前附表规定的时间、地点组织供应商</w:t>
      </w:r>
      <w:r>
        <w:rPr>
          <w:rFonts w:hint="eastAsia" w:ascii="仿宋" w:hAnsi="仿宋" w:eastAsia="仿宋" w:cs="仿宋"/>
          <w:sz w:val="24"/>
          <w:szCs w:val="24"/>
          <w:lang w:eastAsia="zh-CN"/>
        </w:rPr>
        <w:t>谈判</w:t>
      </w:r>
      <w:r>
        <w:rPr>
          <w:rFonts w:hint="eastAsia" w:ascii="仿宋" w:hAnsi="仿宋" w:eastAsia="仿宋" w:cs="仿宋"/>
          <w:sz w:val="24"/>
          <w:szCs w:val="24"/>
          <w:lang w:val="zh-CN"/>
        </w:rPr>
        <w:t>答疑会</w:t>
      </w:r>
      <w:r>
        <w:rPr>
          <w:rFonts w:hint="eastAsia" w:ascii="仿宋" w:hAnsi="仿宋" w:eastAsia="仿宋" w:cs="仿宋"/>
          <w:sz w:val="24"/>
          <w:szCs w:val="24"/>
        </w:rPr>
        <w:t>及</w:t>
      </w:r>
      <w:r>
        <w:rPr>
          <w:rFonts w:hint="eastAsia" w:ascii="仿宋" w:hAnsi="仿宋" w:eastAsia="仿宋" w:cs="仿宋"/>
          <w:sz w:val="24"/>
          <w:szCs w:val="24"/>
          <w:lang w:val="zh-CN"/>
        </w:rPr>
        <w:t xml:space="preserve">踏勘项目现场。 </w:t>
      </w:r>
    </w:p>
    <w:p w14:paraId="1B68F3A9">
      <w:pPr>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17.2</w:t>
      </w:r>
      <w:r>
        <w:rPr>
          <w:rFonts w:hint="eastAsia" w:ascii="仿宋" w:hAnsi="仿宋" w:eastAsia="仿宋" w:cs="仿宋"/>
          <w:sz w:val="24"/>
          <w:szCs w:val="24"/>
          <w:lang w:val="zh-CN"/>
        </w:rPr>
        <w:t xml:space="preserve"> 供应商踏勘现场发生的费用自理。</w:t>
      </w:r>
    </w:p>
    <w:p w14:paraId="621973EF">
      <w:pPr>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17.3</w:t>
      </w:r>
      <w:r>
        <w:rPr>
          <w:rFonts w:hint="eastAsia" w:ascii="仿宋" w:hAnsi="仿宋" w:eastAsia="仿宋" w:cs="仿宋"/>
          <w:sz w:val="24"/>
          <w:szCs w:val="24"/>
          <w:lang w:val="zh-CN"/>
        </w:rPr>
        <w:t xml:space="preserve"> 除采购人的原因外，供应商自行负责在踏勘现场中所发生的人员伤亡和财产损失。</w:t>
      </w:r>
    </w:p>
    <w:p w14:paraId="7132FC44">
      <w:pPr>
        <w:spacing w:line="440" w:lineRule="exact"/>
        <w:ind w:firstLine="480" w:firstLineChars="200"/>
        <w:rPr>
          <w:rFonts w:hint="eastAsia" w:ascii="仿宋" w:hAnsi="仿宋" w:eastAsia="仿宋" w:cs="仿宋"/>
          <w:b/>
          <w:bCs/>
          <w:sz w:val="24"/>
          <w:szCs w:val="24"/>
          <w:lang w:val="zh-CN"/>
        </w:rPr>
      </w:pPr>
      <w:r>
        <w:rPr>
          <w:rFonts w:hint="eastAsia" w:ascii="仿宋" w:hAnsi="仿宋" w:eastAsia="仿宋" w:cs="仿宋"/>
          <w:sz w:val="24"/>
          <w:szCs w:val="24"/>
        </w:rPr>
        <w:t>17.4</w:t>
      </w:r>
      <w:r>
        <w:rPr>
          <w:rFonts w:hint="eastAsia" w:ascii="仿宋" w:hAnsi="仿宋" w:eastAsia="仿宋" w:cs="仿宋"/>
          <w:sz w:val="24"/>
          <w:szCs w:val="24"/>
          <w:lang w:val="zh-CN"/>
        </w:rPr>
        <w:t xml:space="preserve"> 采购人在踏勘现场中介绍的工程场地和相关的周边环境情况，供应商在编制响应文件时参考，采购人不对供应商据此作出的判断和决策负责</w:t>
      </w:r>
      <w:r>
        <w:rPr>
          <w:rFonts w:hint="eastAsia" w:ascii="仿宋" w:hAnsi="仿宋" w:eastAsia="仿宋" w:cs="仿宋"/>
          <w:b/>
          <w:bCs/>
          <w:sz w:val="24"/>
          <w:szCs w:val="24"/>
          <w:lang w:val="zh-CN"/>
        </w:rPr>
        <w:t>。</w:t>
      </w:r>
    </w:p>
    <w:p w14:paraId="4BE06C36">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18. 谈判有效期</w:t>
      </w:r>
    </w:p>
    <w:p w14:paraId="4814D0D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18.1 </w:t>
      </w:r>
      <w:r>
        <w:rPr>
          <w:rFonts w:hint="eastAsia" w:ascii="仿宋" w:hAnsi="仿宋" w:eastAsia="仿宋" w:cs="仿宋"/>
          <w:sz w:val="24"/>
          <w:szCs w:val="24"/>
          <w:lang w:eastAsia="zh-CN"/>
        </w:rPr>
        <w:t>谈判</w:t>
      </w:r>
      <w:r>
        <w:rPr>
          <w:rFonts w:hint="eastAsia" w:ascii="仿宋" w:hAnsi="仿宋" w:eastAsia="仿宋" w:cs="仿宋"/>
          <w:sz w:val="24"/>
          <w:szCs w:val="24"/>
        </w:rPr>
        <w:t>有效期见本须知前附表所规定的期限，在此期限内，凡符合本</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文件要求的响应文件均保持有效。</w:t>
      </w:r>
      <w:r>
        <w:rPr>
          <w:rFonts w:hint="eastAsia" w:ascii="仿宋" w:hAnsi="仿宋" w:eastAsia="仿宋" w:cs="仿宋"/>
          <w:sz w:val="24"/>
          <w:szCs w:val="24"/>
          <w:lang w:eastAsia="zh-CN"/>
        </w:rPr>
        <w:t>谈判</w:t>
      </w:r>
      <w:r>
        <w:rPr>
          <w:rFonts w:hint="eastAsia" w:ascii="仿宋" w:hAnsi="仿宋" w:eastAsia="仿宋" w:cs="仿宋"/>
          <w:sz w:val="24"/>
          <w:szCs w:val="24"/>
        </w:rPr>
        <w:t>有效期不足的，在评审时将其视为无效响应。</w:t>
      </w:r>
    </w:p>
    <w:p w14:paraId="6656C49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18.2 在特殊情况下，采购人在原定的</w:t>
      </w:r>
      <w:r>
        <w:rPr>
          <w:rFonts w:hint="eastAsia" w:ascii="仿宋" w:hAnsi="仿宋" w:eastAsia="仿宋" w:cs="仿宋"/>
          <w:sz w:val="24"/>
          <w:szCs w:val="24"/>
          <w:lang w:eastAsia="zh-CN"/>
        </w:rPr>
        <w:t>谈判</w:t>
      </w:r>
      <w:r>
        <w:rPr>
          <w:rFonts w:hint="eastAsia" w:ascii="仿宋" w:hAnsi="仿宋" w:eastAsia="仿宋" w:cs="仿宋"/>
          <w:sz w:val="24"/>
          <w:szCs w:val="24"/>
        </w:rPr>
        <w:t>有效期内，可以根据需要以书面形式向供应商提出延长</w:t>
      </w:r>
      <w:r>
        <w:rPr>
          <w:rFonts w:hint="eastAsia" w:ascii="仿宋" w:hAnsi="仿宋" w:eastAsia="仿宋" w:cs="仿宋"/>
          <w:sz w:val="24"/>
          <w:szCs w:val="24"/>
          <w:lang w:eastAsia="zh-CN"/>
        </w:rPr>
        <w:t>谈判</w:t>
      </w:r>
      <w:r>
        <w:rPr>
          <w:rFonts w:hint="eastAsia" w:ascii="仿宋" w:hAnsi="仿宋" w:eastAsia="仿宋" w:cs="仿宋"/>
          <w:sz w:val="24"/>
          <w:szCs w:val="24"/>
        </w:rPr>
        <w:t>有效期的要求，对此要求供应商须以书面形式予以答复。供应商拒绝延长的，其投标在原</w:t>
      </w:r>
      <w:r>
        <w:rPr>
          <w:rFonts w:hint="eastAsia" w:ascii="仿宋" w:hAnsi="仿宋" w:eastAsia="仿宋" w:cs="仿宋"/>
          <w:sz w:val="24"/>
          <w:szCs w:val="24"/>
          <w:lang w:eastAsia="zh-CN"/>
        </w:rPr>
        <w:t>谈判</w:t>
      </w:r>
      <w:r>
        <w:rPr>
          <w:rFonts w:hint="eastAsia" w:ascii="仿宋" w:hAnsi="仿宋" w:eastAsia="仿宋" w:cs="仿宋"/>
          <w:sz w:val="24"/>
          <w:szCs w:val="24"/>
        </w:rPr>
        <w:t>有效期届满后将不再有效，但有权收回其</w:t>
      </w:r>
      <w:r>
        <w:rPr>
          <w:rFonts w:hint="eastAsia" w:ascii="仿宋" w:hAnsi="仿宋" w:eastAsia="仿宋" w:cs="仿宋"/>
          <w:sz w:val="24"/>
          <w:szCs w:val="24"/>
          <w:lang w:eastAsia="zh-CN"/>
        </w:rPr>
        <w:t>谈判</w:t>
      </w:r>
      <w:r>
        <w:rPr>
          <w:rFonts w:hint="eastAsia" w:ascii="仿宋" w:hAnsi="仿宋" w:eastAsia="仿宋" w:cs="仿宋"/>
          <w:sz w:val="24"/>
          <w:szCs w:val="24"/>
        </w:rPr>
        <w:t>保证金；同意延长</w:t>
      </w:r>
      <w:r>
        <w:rPr>
          <w:rFonts w:hint="eastAsia" w:ascii="仿宋" w:hAnsi="仿宋" w:eastAsia="仿宋" w:cs="仿宋"/>
          <w:sz w:val="24"/>
          <w:szCs w:val="24"/>
          <w:lang w:eastAsia="zh-CN"/>
        </w:rPr>
        <w:t>谈判</w:t>
      </w:r>
      <w:r>
        <w:rPr>
          <w:rFonts w:hint="eastAsia" w:ascii="仿宋" w:hAnsi="仿宋" w:eastAsia="仿宋" w:cs="仿宋"/>
          <w:sz w:val="24"/>
          <w:szCs w:val="24"/>
        </w:rPr>
        <w:t>有效期的供应商既不能要求也不允许修改或撤回其响应文件。</w:t>
      </w:r>
    </w:p>
    <w:p w14:paraId="30A345DA">
      <w:pPr>
        <w:spacing w:line="460" w:lineRule="exact"/>
        <w:jc w:val="center"/>
        <w:outlineLvl w:val="1"/>
        <w:rPr>
          <w:rFonts w:hint="eastAsia" w:ascii="仿宋" w:hAnsi="仿宋" w:eastAsia="仿宋" w:cs="仿宋"/>
          <w:b/>
          <w:sz w:val="32"/>
          <w:szCs w:val="32"/>
          <w:lang w:val="zh-CN"/>
        </w:rPr>
      </w:pPr>
      <w:bookmarkStart w:id="52" w:name="_Toc9635"/>
      <w:bookmarkStart w:id="53" w:name="_Toc575"/>
      <w:bookmarkStart w:id="54" w:name="_Toc27366"/>
      <w:r>
        <w:rPr>
          <w:rFonts w:hint="eastAsia" w:ascii="仿宋" w:hAnsi="仿宋" w:eastAsia="仿宋" w:cs="仿宋"/>
          <w:b/>
          <w:sz w:val="32"/>
          <w:szCs w:val="32"/>
          <w:lang w:val="zh-CN"/>
        </w:rPr>
        <w:t>（三）响应文件的编制</w:t>
      </w:r>
      <w:bookmarkEnd w:id="52"/>
      <w:bookmarkEnd w:id="53"/>
      <w:bookmarkEnd w:id="54"/>
    </w:p>
    <w:p w14:paraId="01B39850">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19. 响应文件编制要求</w:t>
      </w:r>
    </w:p>
    <w:p w14:paraId="3F53E369">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19.1供应商提交的响应文件及供应商与采购代理机构就有关投标的所有来往函电均使用中文。</w:t>
      </w:r>
    </w:p>
    <w:p w14:paraId="7112ACCD">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20. 响应文件编制的依据</w:t>
      </w:r>
    </w:p>
    <w:p w14:paraId="69115FBA">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 采购人提供的采购需求及有关资料；</w:t>
      </w:r>
    </w:p>
    <w:p w14:paraId="133B10E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 本</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文件及</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文件的修改或者澄清；</w:t>
      </w:r>
    </w:p>
    <w:p w14:paraId="5FC62A7D">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20.3 相关的法律、法规和规定。</w:t>
      </w:r>
    </w:p>
    <w:p w14:paraId="4F5A460E">
      <w:pPr>
        <w:shd w:val="clear" w:color="auto" w:fill="FFFFFF"/>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21. 响应文件的组成：详见第六章“响应文件格式”。</w:t>
      </w:r>
    </w:p>
    <w:p w14:paraId="6D59C307">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22. 响应文件的编制及格式</w:t>
      </w:r>
    </w:p>
    <w:p w14:paraId="24981DCA">
      <w:pPr>
        <w:shd w:val="clear" w:color="auto" w:fill="FFFFFF"/>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22.1 供应商提供的响应文件应按照本须知规定的内容编制，供应商在响应文件中必须提供有关材料，如果缺项，或不符合要求，将导致响应文件无效。</w:t>
      </w:r>
    </w:p>
    <w:p w14:paraId="31428B66">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22.2供应商提供的响应文件应当使用</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文件所提供响应文件格式（表格可按照同样格式扩展），并保证所提供的资料的真实性。未提供格式的，供应商可自行编制。</w:t>
      </w:r>
    </w:p>
    <w:p w14:paraId="7EB684E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22.3本</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文件规定的响应文件编制中所需提交的证明材料须加盖供应商电子公章，且内容须</w:t>
      </w:r>
      <w:r>
        <w:rPr>
          <w:rFonts w:hint="eastAsia" w:ascii="仿宋" w:hAnsi="仿宋" w:eastAsia="仿宋" w:cs="仿宋"/>
          <w:sz w:val="24"/>
          <w:szCs w:val="24"/>
          <w:lang w:eastAsia="zh-CN"/>
        </w:rPr>
        <w:t>清晰可辨</w:t>
      </w:r>
      <w:r>
        <w:rPr>
          <w:rFonts w:hint="eastAsia" w:ascii="仿宋" w:hAnsi="仿宋" w:eastAsia="仿宋" w:cs="仿宋"/>
          <w:b/>
          <w:sz w:val="24"/>
          <w:szCs w:val="24"/>
        </w:rPr>
        <w:t>。</w:t>
      </w:r>
    </w:p>
    <w:p w14:paraId="475211E7">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22.4 响应文件严禁涂改或行间插字和增删。除非这些修改是根据采购人的指示进行的，或者是供应商造成的必须修改的错误，必要的修改处必须有供应商</w:t>
      </w:r>
      <w:r>
        <w:rPr>
          <w:rFonts w:hint="eastAsia" w:ascii="仿宋" w:hAnsi="仿宋" w:eastAsia="仿宋" w:cs="仿宋"/>
          <w:sz w:val="24"/>
          <w:szCs w:val="24"/>
          <w:lang w:eastAsia="zh-CN"/>
        </w:rPr>
        <w:t>法定代表人</w:t>
      </w:r>
      <w:r>
        <w:rPr>
          <w:rFonts w:hint="eastAsia" w:ascii="仿宋" w:hAnsi="仿宋" w:eastAsia="仿宋" w:cs="仿宋"/>
          <w:sz w:val="24"/>
          <w:szCs w:val="24"/>
        </w:rPr>
        <w:t>或其授权代表人签字。</w:t>
      </w:r>
    </w:p>
    <w:p w14:paraId="55F298ED">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22.5 </w:t>
      </w:r>
      <w:r>
        <w:rPr>
          <w:rFonts w:hint="eastAsia" w:ascii="仿宋" w:hAnsi="仿宋" w:eastAsia="仿宋" w:cs="仿宋"/>
          <w:sz w:val="24"/>
          <w:szCs w:val="24"/>
          <w:lang w:eastAsia="zh-CN"/>
        </w:rPr>
        <w:t>竞争性谈判</w:t>
      </w:r>
      <w:r>
        <w:rPr>
          <w:rFonts w:hint="eastAsia" w:ascii="仿宋" w:hAnsi="仿宋" w:eastAsia="仿宋" w:cs="仿宋"/>
          <w:sz w:val="24"/>
          <w:szCs w:val="24"/>
        </w:rPr>
        <w:t>文件中分标段的，</w:t>
      </w:r>
      <w:r>
        <w:rPr>
          <w:rFonts w:hint="eastAsia" w:ascii="仿宋" w:hAnsi="仿宋" w:eastAsia="仿宋" w:cs="仿宋"/>
          <w:sz w:val="24"/>
          <w:szCs w:val="24"/>
          <w:lang w:val="zh-CN"/>
        </w:rPr>
        <w:t>供应商须针对本单位所投标段分别编制响应文件并单独提交。</w:t>
      </w:r>
      <w:r>
        <w:rPr>
          <w:rFonts w:hint="eastAsia" w:ascii="仿宋" w:hAnsi="仿宋" w:eastAsia="仿宋" w:cs="仿宋"/>
          <w:sz w:val="24"/>
          <w:szCs w:val="24"/>
        </w:rPr>
        <w:t>供应商应当按照</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文件的要求编制响应文件。响应文件应当对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文件提出的要求和条件作出明确响应。</w:t>
      </w:r>
    </w:p>
    <w:p w14:paraId="0B5A5FC3">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22.6电子响应文件制作时，按照</w:t>
      </w:r>
      <w:r>
        <w:rPr>
          <w:rFonts w:hint="eastAsia" w:ascii="仿宋" w:hAnsi="仿宋" w:eastAsia="仿宋" w:cs="仿宋"/>
          <w:sz w:val="24"/>
          <w:szCs w:val="24"/>
          <w:lang w:eastAsia="zh-CN"/>
        </w:rPr>
        <w:t>竞争性谈判</w:t>
      </w:r>
      <w:r>
        <w:rPr>
          <w:rFonts w:hint="eastAsia" w:ascii="仿宋" w:hAnsi="仿宋" w:eastAsia="仿宋" w:cs="仿宋"/>
          <w:sz w:val="24"/>
          <w:szCs w:val="24"/>
        </w:rPr>
        <w:t xml:space="preserve">文件中明确的响应文件目录和格式进行编制，保证目录清晰、内容完整。操作方法详见本须知前附表第24项。           </w:t>
      </w:r>
    </w:p>
    <w:p w14:paraId="5057F6C0">
      <w:pPr>
        <w:pStyle w:val="153"/>
        <w:spacing w:line="440" w:lineRule="exact"/>
        <w:ind w:firstLine="480" w:firstLineChars="200"/>
        <w:rPr>
          <w:rFonts w:hint="eastAsia" w:ascii="仿宋" w:hAnsi="仿宋" w:eastAsia="仿宋" w:cs="仿宋"/>
          <w:b w:val="0"/>
          <w:bCs/>
          <w:sz w:val="24"/>
          <w:szCs w:val="24"/>
        </w:rPr>
      </w:pPr>
      <w:r>
        <w:rPr>
          <w:rFonts w:hint="eastAsia" w:ascii="仿宋" w:hAnsi="仿宋" w:eastAsia="仿宋" w:cs="仿宋"/>
          <w:sz w:val="24"/>
          <w:szCs w:val="24"/>
        </w:rPr>
        <w:t>22.7电子响应文件须使用供应商电子公章以及法定代表人的电子签名（或手写签名的扫描件）。</w:t>
      </w:r>
      <w:r>
        <w:rPr>
          <w:rFonts w:hint="eastAsia" w:ascii="仿宋" w:hAnsi="仿宋" w:eastAsia="仿宋" w:cs="仿宋"/>
          <w:b w:val="0"/>
          <w:bCs/>
          <w:sz w:val="24"/>
          <w:szCs w:val="24"/>
        </w:rPr>
        <w:t>若无电子签章/签名，则视为无效响应。</w:t>
      </w:r>
    </w:p>
    <w:p w14:paraId="7698B3E8">
      <w:pPr>
        <w:pStyle w:val="153"/>
        <w:spacing w:line="44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22.8电子响应文件具有法律效力，与其他形式的招响应文件在内容和格式上等同，若响应文件与</w:t>
      </w:r>
      <w:r>
        <w:rPr>
          <w:rFonts w:hint="eastAsia" w:ascii="仿宋" w:hAnsi="仿宋" w:eastAsia="仿宋" w:cs="仿宋"/>
          <w:b w:val="0"/>
          <w:bCs/>
          <w:sz w:val="24"/>
          <w:szCs w:val="24"/>
          <w:lang w:eastAsia="zh-CN"/>
        </w:rPr>
        <w:t>竞争性谈判</w:t>
      </w:r>
      <w:r>
        <w:rPr>
          <w:rFonts w:hint="eastAsia" w:ascii="仿宋" w:hAnsi="仿宋" w:eastAsia="仿宋" w:cs="仿宋"/>
          <w:b w:val="0"/>
          <w:bCs/>
          <w:sz w:val="24"/>
          <w:szCs w:val="24"/>
        </w:rPr>
        <w:t>文件要求不一致，其内容影响成交结果时，责任由供应商自行承担。供应商递交的电子响应文件因供应商自身原因而导致无法导入电子辅助评审系统，该响应文件视为无效响应文件，将导致其投标被拒绝。</w:t>
      </w:r>
    </w:p>
    <w:p w14:paraId="2D2DD2B9">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23. 响应文件的份数和签署</w:t>
      </w:r>
    </w:p>
    <w:p w14:paraId="4BAE0D6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23.1 供应商应当按照本须知前附表规定的</w:t>
      </w:r>
      <w:r>
        <w:rPr>
          <w:rFonts w:hint="eastAsia" w:ascii="仿宋" w:hAnsi="仿宋" w:eastAsia="仿宋" w:cs="仿宋"/>
          <w:sz w:val="24"/>
          <w:szCs w:val="24"/>
        </w:rPr>
        <w:t>响应文件递交截止时间前</w:t>
      </w:r>
      <w:r>
        <w:rPr>
          <w:rFonts w:hint="eastAsia" w:ascii="仿宋" w:hAnsi="仿宋" w:eastAsia="仿宋" w:cs="仿宋"/>
          <w:b/>
          <w:sz w:val="24"/>
          <w:szCs w:val="24"/>
        </w:rPr>
        <w:t>通过</w:t>
      </w:r>
      <w:r>
        <w:rPr>
          <w:rFonts w:hint="eastAsia" w:ascii="仿宋" w:hAnsi="仿宋" w:eastAsia="仿宋" w:cs="仿宋"/>
          <w:b/>
          <w:sz w:val="24"/>
          <w:szCs w:val="24"/>
          <w:lang w:eastAsia="zh-CN"/>
        </w:rPr>
        <w:t>新疆政府采购网（http://www.ccgp-xinjiang.gov.cn/）</w:t>
      </w:r>
      <w:r>
        <w:rPr>
          <w:rFonts w:hint="eastAsia" w:ascii="仿宋" w:hAnsi="仿宋" w:eastAsia="仿宋" w:cs="仿宋"/>
          <w:b/>
          <w:sz w:val="24"/>
          <w:szCs w:val="24"/>
        </w:rPr>
        <w:t>的”政采云登录入口”登录后，将加密</w:t>
      </w:r>
      <w:r>
        <w:rPr>
          <w:rFonts w:hint="eastAsia" w:ascii="仿宋" w:hAnsi="仿宋" w:eastAsia="仿宋" w:cs="仿宋"/>
          <w:b/>
          <w:sz w:val="24"/>
          <w:szCs w:val="24"/>
          <w:lang w:val="zh-CN"/>
        </w:rPr>
        <w:t>电子</w:t>
      </w:r>
      <w:r>
        <w:rPr>
          <w:rFonts w:hint="eastAsia" w:ascii="仿宋" w:hAnsi="仿宋" w:eastAsia="仿宋" w:cs="仿宋"/>
          <w:b/>
          <w:sz w:val="24"/>
          <w:szCs w:val="24"/>
        </w:rPr>
        <w:t>响应文件</w:t>
      </w:r>
      <w:r>
        <w:rPr>
          <w:rFonts w:hint="eastAsia" w:ascii="仿宋" w:hAnsi="仿宋" w:eastAsia="仿宋" w:cs="仿宋"/>
          <w:b/>
          <w:sz w:val="24"/>
          <w:szCs w:val="24"/>
          <w:lang w:val="zh-CN"/>
        </w:rPr>
        <w:t>（</w:t>
      </w:r>
      <w:r>
        <w:rPr>
          <w:rFonts w:hint="eastAsia" w:ascii="仿宋" w:hAnsi="仿宋" w:eastAsia="仿宋" w:cs="仿宋"/>
          <w:b/>
          <w:sz w:val="24"/>
          <w:szCs w:val="24"/>
        </w:rPr>
        <w:t>为.jmbs后缀格式</w:t>
      </w:r>
      <w:r>
        <w:rPr>
          <w:rFonts w:hint="eastAsia" w:ascii="仿宋" w:hAnsi="仿宋" w:eastAsia="仿宋" w:cs="仿宋"/>
          <w:b/>
          <w:sz w:val="24"/>
          <w:szCs w:val="24"/>
          <w:lang w:val="zh-CN"/>
        </w:rPr>
        <w:t>）</w:t>
      </w:r>
      <w:r>
        <w:rPr>
          <w:rFonts w:hint="eastAsia" w:ascii="仿宋" w:hAnsi="仿宋" w:eastAsia="仿宋" w:cs="仿宋"/>
          <w:b/>
          <w:sz w:val="24"/>
          <w:szCs w:val="24"/>
        </w:rPr>
        <w:t>上</w:t>
      </w:r>
      <w:r>
        <w:rPr>
          <w:rFonts w:hint="eastAsia" w:ascii="仿宋" w:hAnsi="仿宋" w:eastAsia="仿宋" w:cs="仿宋"/>
          <w:b/>
          <w:sz w:val="24"/>
          <w:szCs w:val="24"/>
          <w:lang w:val="zh-CN"/>
        </w:rPr>
        <w:t>传到</w:t>
      </w:r>
      <w:r>
        <w:rPr>
          <w:rFonts w:hint="eastAsia" w:ascii="仿宋" w:hAnsi="仿宋" w:eastAsia="仿宋" w:cs="仿宋"/>
          <w:b/>
          <w:sz w:val="24"/>
          <w:szCs w:val="24"/>
        </w:rPr>
        <w:t>对应项目的</w:t>
      </w:r>
      <w:r>
        <w:rPr>
          <w:rFonts w:hint="eastAsia" w:ascii="仿宋" w:hAnsi="仿宋" w:eastAsia="仿宋" w:cs="仿宋"/>
          <w:b/>
          <w:sz w:val="24"/>
          <w:szCs w:val="24"/>
          <w:lang w:val="zh-CN"/>
        </w:rPr>
        <w:t>指定</w:t>
      </w:r>
      <w:r>
        <w:rPr>
          <w:rFonts w:hint="eastAsia" w:ascii="仿宋" w:hAnsi="仿宋" w:eastAsia="仿宋" w:cs="仿宋"/>
          <w:b/>
          <w:sz w:val="24"/>
          <w:szCs w:val="24"/>
        </w:rPr>
        <w:t>位置。</w:t>
      </w:r>
    </w:p>
    <w:p w14:paraId="6D95B81E">
      <w:pPr>
        <w:pStyle w:val="153"/>
        <w:spacing w:line="440" w:lineRule="exact"/>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rPr>
        <w:t>23.2</w:t>
      </w:r>
      <w:r>
        <w:rPr>
          <w:rFonts w:hint="eastAsia" w:ascii="仿宋" w:hAnsi="仿宋" w:eastAsia="仿宋" w:cs="仿宋"/>
          <w:sz w:val="24"/>
          <w:szCs w:val="24"/>
          <w:lang w:val="zh-CN"/>
        </w:rPr>
        <w:t>成交</w:t>
      </w:r>
      <w:r>
        <w:rPr>
          <w:rFonts w:hint="eastAsia" w:ascii="仿宋" w:hAnsi="仿宋" w:eastAsia="仿宋" w:cs="仿宋"/>
          <w:sz w:val="24"/>
          <w:szCs w:val="24"/>
        </w:rPr>
        <w:t>的供应商</w:t>
      </w:r>
      <w:r>
        <w:rPr>
          <w:rFonts w:hint="eastAsia" w:ascii="仿宋" w:hAnsi="仿宋" w:eastAsia="仿宋" w:cs="仿宋"/>
          <w:sz w:val="24"/>
          <w:szCs w:val="24"/>
          <w:lang w:val="zh-CN"/>
        </w:rPr>
        <w:t>在领取成交通知书时须向</w:t>
      </w:r>
      <w:r>
        <w:rPr>
          <w:rFonts w:hint="eastAsia" w:ascii="仿宋" w:hAnsi="仿宋" w:eastAsia="仿宋" w:cs="仿宋"/>
          <w:sz w:val="24"/>
          <w:szCs w:val="24"/>
        </w:rPr>
        <w:t>采购</w:t>
      </w:r>
      <w:r>
        <w:rPr>
          <w:rFonts w:hint="eastAsia" w:ascii="仿宋" w:hAnsi="仿宋" w:eastAsia="仿宋" w:cs="仿宋"/>
          <w:sz w:val="24"/>
          <w:szCs w:val="24"/>
          <w:lang w:val="zh-CN"/>
        </w:rPr>
        <w:t>代理机构递交纸质响应文件三份、格式为PDF的电子响应文件一份（U盘存储）。</w:t>
      </w:r>
    </w:p>
    <w:p w14:paraId="222ECF0B">
      <w:pPr>
        <w:spacing w:line="460" w:lineRule="exact"/>
        <w:jc w:val="center"/>
        <w:outlineLvl w:val="1"/>
        <w:rPr>
          <w:rFonts w:hint="eastAsia" w:ascii="仿宋" w:hAnsi="仿宋" w:eastAsia="仿宋" w:cs="仿宋"/>
          <w:b/>
          <w:sz w:val="32"/>
          <w:szCs w:val="32"/>
          <w:lang w:val="zh-CN"/>
        </w:rPr>
      </w:pPr>
      <w:bookmarkStart w:id="55" w:name="_Toc31071"/>
      <w:bookmarkStart w:id="56" w:name="_Toc10886"/>
      <w:bookmarkStart w:id="57" w:name="_Toc301"/>
      <w:r>
        <w:rPr>
          <w:rFonts w:hint="eastAsia" w:ascii="仿宋" w:hAnsi="仿宋" w:eastAsia="仿宋" w:cs="仿宋"/>
          <w:b/>
          <w:sz w:val="32"/>
          <w:szCs w:val="32"/>
          <w:lang w:val="zh-CN"/>
        </w:rPr>
        <w:t>（四） 响应文件的递交</w:t>
      </w:r>
      <w:bookmarkEnd w:id="55"/>
      <w:bookmarkEnd w:id="56"/>
      <w:bookmarkEnd w:id="57"/>
    </w:p>
    <w:p w14:paraId="08C168DD">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rPr>
        <w:t>24</w:t>
      </w:r>
      <w:r>
        <w:rPr>
          <w:rFonts w:hint="eastAsia" w:ascii="仿宋" w:hAnsi="仿宋" w:eastAsia="仿宋" w:cs="仿宋"/>
          <w:b/>
          <w:bCs/>
          <w:sz w:val="24"/>
          <w:szCs w:val="24"/>
          <w:lang w:val="zh-CN"/>
        </w:rPr>
        <w:t>. 响应文件的提交</w:t>
      </w:r>
    </w:p>
    <w:p w14:paraId="24EE6CEC">
      <w:pPr>
        <w:shd w:val="clear" w:color="auto" w:fill="FFFFFF"/>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24.1 供应商在响应文件递交截</w:t>
      </w:r>
      <w:r>
        <w:rPr>
          <w:rFonts w:hint="eastAsia" w:ascii="仿宋" w:hAnsi="仿宋" w:eastAsia="仿宋" w:cs="仿宋"/>
          <w:sz w:val="24"/>
          <w:szCs w:val="24"/>
          <w:lang w:eastAsia="zh-CN"/>
        </w:rPr>
        <w:t>止</w:t>
      </w:r>
      <w:r>
        <w:rPr>
          <w:rFonts w:hint="eastAsia" w:ascii="仿宋" w:hAnsi="仿宋" w:eastAsia="仿宋" w:cs="仿宋"/>
          <w:sz w:val="24"/>
          <w:szCs w:val="24"/>
        </w:rPr>
        <w:t>时间前通过</w:t>
      </w:r>
      <w:r>
        <w:rPr>
          <w:rFonts w:hint="eastAsia" w:ascii="仿宋" w:hAnsi="仿宋" w:eastAsia="仿宋" w:cs="仿宋"/>
          <w:sz w:val="24"/>
          <w:szCs w:val="24"/>
          <w:lang w:eastAsia="zh-CN"/>
        </w:rPr>
        <w:t>新疆政府采购网（http://www.ccgp-xinjiang.gov.cn/）</w:t>
      </w:r>
      <w:r>
        <w:rPr>
          <w:rFonts w:hint="eastAsia" w:ascii="仿宋" w:hAnsi="仿宋" w:eastAsia="仿宋" w:cs="仿宋"/>
          <w:sz w:val="24"/>
          <w:szCs w:val="24"/>
        </w:rPr>
        <w:t>的”政采云登录入口”登录后，将加密电子响应文件（为.jmbs后缀格式）上传到对应项目的指定位置</w:t>
      </w:r>
    </w:p>
    <w:p w14:paraId="74D4A139">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25. 响应文件提交的截止时间</w:t>
      </w:r>
    </w:p>
    <w:p w14:paraId="5F727FA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 响应文件提交的截止时间详见本供应商须知前附表规定。</w:t>
      </w:r>
    </w:p>
    <w:p w14:paraId="573CA1FC">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采购人可按本须知规定以修改补充通知的方式，酌情延长提交投标书的截止时间。在上述情况下，采购人与供应商在原响应文件递交截止时间前的全部</w:t>
      </w:r>
      <w:r>
        <w:rPr>
          <w:rFonts w:hint="eastAsia" w:ascii="仿宋" w:hAnsi="仿宋" w:eastAsia="仿宋" w:cs="仿宋"/>
          <w:sz w:val="24"/>
          <w:szCs w:val="24"/>
          <w:lang w:eastAsia="zh-CN"/>
        </w:rPr>
        <w:t>权利和义务</w:t>
      </w:r>
      <w:r>
        <w:rPr>
          <w:rFonts w:hint="eastAsia" w:ascii="仿宋" w:hAnsi="仿宋" w:eastAsia="仿宋" w:cs="仿宋"/>
          <w:sz w:val="24"/>
          <w:szCs w:val="24"/>
        </w:rPr>
        <w:t>，将适用于延长后新的响应文件递交截止时间。</w:t>
      </w:r>
    </w:p>
    <w:p w14:paraId="6DEAA190">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25.3 </w:t>
      </w:r>
      <w:r>
        <w:rPr>
          <w:rFonts w:hint="eastAsia" w:ascii="仿宋" w:hAnsi="仿宋" w:eastAsia="仿宋" w:cs="仿宋"/>
          <w:sz w:val="24"/>
          <w:szCs w:val="24"/>
          <w:lang w:eastAsia="zh-CN"/>
        </w:rPr>
        <w:t>截止</w:t>
      </w:r>
      <w:r>
        <w:rPr>
          <w:rFonts w:hint="eastAsia" w:ascii="仿宋" w:hAnsi="仿宋" w:eastAsia="仿宋" w:cs="仿宋"/>
          <w:sz w:val="24"/>
          <w:szCs w:val="24"/>
        </w:rPr>
        <w:t>响应文件递交截止时间，采购人收到的响应文件少于3个的，采购人将依法重新组织采购活动。评审过程中有效供应商少于3个的，应终止评审，由采购人依法重新组织采购活动，政府购买服务项目（含政府和社会资本合作项目），在采购过程中符合要求的供应商（社会资本）只有2家的，</w:t>
      </w:r>
      <w:r>
        <w:rPr>
          <w:rFonts w:hint="eastAsia" w:ascii="仿宋" w:hAnsi="仿宋" w:eastAsia="仿宋" w:cs="仿宋"/>
          <w:sz w:val="24"/>
          <w:szCs w:val="24"/>
          <w:lang w:eastAsia="zh-CN"/>
        </w:rPr>
        <w:t>竞争性谈判</w:t>
      </w:r>
      <w:r>
        <w:rPr>
          <w:rFonts w:hint="eastAsia" w:ascii="仿宋" w:hAnsi="仿宋" w:eastAsia="仿宋" w:cs="仿宋"/>
          <w:sz w:val="24"/>
          <w:szCs w:val="24"/>
        </w:rPr>
        <w:t>采购活动可以继续进行。</w:t>
      </w:r>
    </w:p>
    <w:p w14:paraId="53FA5E0F">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26. 迟交的响应文件</w:t>
      </w:r>
    </w:p>
    <w:p w14:paraId="0EEDD6B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供应商在本供应商须知前附表规定的响应文件递交截止时间以后送达的响应文件，“政采云平台”将拒绝接受，采购人对于逾期未上传到指定位置的响应文件不予受理。</w:t>
      </w:r>
    </w:p>
    <w:p w14:paraId="1376E55E">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27. 响应文件的补充、修改与撤回</w:t>
      </w:r>
    </w:p>
    <w:p w14:paraId="1B36F0E8">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27.1 供应商在供应商须知前附表规定的响应文件递交截止时间之前，可在政采云平台上随时撤回已上传的电子响应文件，将修改好的电子响应文件在响应文件递交截止时间前重新上传到政采云平台</w:t>
      </w:r>
      <w:r>
        <w:rPr>
          <w:rFonts w:hint="eastAsia" w:ascii="仿宋" w:hAnsi="仿宋" w:eastAsia="仿宋" w:cs="仿宋"/>
          <w:sz w:val="24"/>
          <w:szCs w:val="24"/>
          <w:lang w:eastAsia="zh-CN"/>
        </w:rPr>
        <w:t>的指定位置</w:t>
      </w:r>
      <w:r>
        <w:rPr>
          <w:rFonts w:hint="eastAsia" w:ascii="仿宋" w:hAnsi="仿宋" w:eastAsia="仿宋" w:cs="仿宋"/>
          <w:sz w:val="24"/>
          <w:szCs w:val="24"/>
        </w:rPr>
        <w:t>。</w:t>
      </w:r>
    </w:p>
    <w:p w14:paraId="317E97CB">
      <w:pPr>
        <w:spacing w:line="460" w:lineRule="exact"/>
        <w:jc w:val="center"/>
        <w:outlineLvl w:val="1"/>
        <w:rPr>
          <w:rFonts w:hint="eastAsia" w:ascii="仿宋" w:hAnsi="仿宋" w:eastAsia="仿宋" w:cs="仿宋"/>
          <w:b/>
          <w:sz w:val="32"/>
          <w:szCs w:val="32"/>
          <w:lang w:val="zh-CN"/>
        </w:rPr>
      </w:pPr>
      <w:bookmarkStart w:id="58" w:name="_Toc10384"/>
      <w:bookmarkStart w:id="59" w:name="_Toc26150"/>
      <w:bookmarkStart w:id="60" w:name="_Toc2704"/>
      <w:r>
        <w:rPr>
          <w:rFonts w:hint="eastAsia" w:ascii="仿宋" w:hAnsi="仿宋" w:eastAsia="仿宋" w:cs="仿宋"/>
          <w:b/>
          <w:sz w:val="32"/>
          <w:szCs w:val="32"/>
          <w:lang w:val="zh-CN"/>
        </w:rPr>
        <w:t xml:space="preserve">（五） </w:t>
      </w:r>
      <w:bookmarkEnd w:id="58"/>
      <w:bookmarkEnd w:id="59"/>
      <w:bookmarkEnd w:id="60"/>
      <w:r>
        <w:rPr>
          <w:rFonts w:hint="eastAsia" w:ascii="仿宋" w:hAnsi="仿宋" w:eastAsia="仿宋" w:cs="仿宋"/>
          <w:b/>
          <w:sz w:val="32"/>
          <w:szCs w:val="32"/>
          <w:lang w:val="zh-CN"/>
        </w:rPr>
        <w:t>谈判</w:t>
      </w:r>
    </w:p>
    <w:p w14:paraId="476291C9">
      <w:pPr>
        <w:spacing w:line="44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28.</w:t>
      </w:r>
      <w:r>
        <w:rPr>
          <w:rFonts w:hint="eastAsia" w:ascii="仿宋" w:hAnsi="仿宋" w:eastAsia="仿宋" w:cs="仿宋"/>
          <w:b/>
          <w:bCs/>
          <w:sz w:val="24"/>
          <w:szCs w:val="24"/>
          <w:lang w:eastAsia="zh-CN"/>
        </w:rPr>
        <w:t>谈判</w:t>
      </w:r>
    </w:p>
    <w:p w14:paraId="5A8816A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28.1采购人在规定的响应文件递交截止时间（</w:t>
      </w:r>
      <w:r>
        <w:rPr>
          <w:rFonts w:hint="eastAsia" w:ascii="仿宋" w:hAnsi="仿宋" w:eastAsia="仿宋" w:cs="仿宋"/>
          <w:sz w:val="24"/>
          <w:szCs w:val="24"/>
          <w:lang w:eastAsia="zh-CN"/>
        </w:rPr>
        <w:t>谈判</w:t>
      </w:r>
      <w:r>
        <w:rPr>
          <w:rFonts w:hint="eastAsia" w:ascii="仿宋" w:hAnsi="仿宋" w:eastAsia="仿宋" w:cs="仿宋"/>
          <w:sz w:val="24"/>
          <w:szCs w:val="24"/>
        </w:rPr>
        <w:t>时间）和供应商须知前附表规定的地点进行不见面远程</w:t>
      </w:r>
      <w:r>
        <w:rPr>
          <w:rFonts w:hint="eastAsia" w:ascii="仿宋" w:hAnsi="仿宋" w:eastAsia="仿宋" w:cs="仿宋"/>
          <w:sz w:val="24"/>
          <w:szCs w:val="24"/>
          <w:lang w:eastAsia="zh-CN"/>
        </w:rPr>
        <w:t>谈判</w:t>
      </w:r>
      <w:r>
        <w:rPr>
          <w:rFonts w:hint="eastAsia" w:ascii="仿宋" w:hAnsi="仿宋" w:eastAsia="仿宋" w:cs="仿宋"/>
          <w:sz w:val="24"/>
          <w:szCs w:val="24"/>
        </w:rPr>
        <w:t>。供应商的法定代表人或其委托代理人无需到达</w:t>
      </w:r>
      <w:r>
        <w:rPr>
          <w:rFonts w:hint="eastAsia" w:ascii="仿宋" w:hAnsi="仿宋" w:eastAsia="仿宋" w:cs="仿宋"/>
          <w:sz w:val="24"/>
          <w:szCs w:val="24"/>
          <w:lang w:eastAsia="zh-CN"/>
        </w:rPr>
        <w:t>谈判</w:t>
      </w:r>
      <w:r>
        <w:rPr>
          <w:rFonts w:hint="eastAsia" w:ascii="仿宋" w:hAnsi="仿宋" w:eastAsia="仿宋" w:cs="仿宋"/>
          <w:sz w:val="24"/>
          <w:szCs w:val="24"/>
        </w:rPr>
        <w:t>现场，仅需在任意地点</w:t>
      </w:r>
      <w:r>
        <w:rPr>
          <w:rFonts w:hint="eastAsia" w:ascii="仿宋" w:hAnsi="仿宋" w:eastAsia="仿宋" w:cs="仿宋"/>
          <w:b/>
          <w:sz w:val="24"/>
          <w:szCs w:val="24"/>
        </w:rPr>
        <w:t>通过</w:t>
      </w:r>
      <w:r>
        <w:rPr>
          <w:rFonts w:hint="eastAsia" w:ascii="仿宋" w:hAnsi="仿宋" w:eastAsia="仿宋" w:cs="仿宋"/>
          <w:b/>
          <w:sz w:val="24"/>
          <w:szCs w:val="24"/>
          <w:lang w:eastAsia="zh-CN"/>
        </w:rPr>
        <w:t>新疆</w:t>
      </w:r>
      <w:r>
        <w:rPr>
          <w:rFonts w:hint="eastAsia" w:ascii="仿宋" w:hAnsi="仿宋" w:eastAsia="仿宋" w:cs="仿宋"/>
          <w:b/>
          <w:sz w:val="24"/>
          <w:szCs w:val="24"/>
        </w:rPr>
        <w:t>政府采购网</w:t>
      </w:r>
      <w:r>
        <w:rPr>
          <w:rFonts w:hint="eastAsia" w:ascii="仿宋" w:hAnsi="仿宋" w:eastAsia="仿宋" w:cs="仿宋"/>
          <w:b/>
          <w:sz w:val="24"/>
          <w:szCs w:val="24"/>
          <w:lang w:eastAsia="zh-CN"/>
        </w:rPr>
        <w:t>（http://www.ccgp-xinjiang.gov.cn/）</w:t>
      </w:r>
      <w:r>
        <w:rPr>
          <w:rFonts w:hint="eastAsia" w:ascii="仿宋" w:hAnsi="仿宋" w:eastAsia="仿宋" w:cs="仿宋"/>
          <w:b/>
          <w:sz w:val="24"/>
          <w:szCs w:val="24"/>
        </w:rPr>
        <w:t>的”政采云登录入口”登录后，</w:t>
      </w:r>
      <w:r>
        <w:rPr>
          <w:rFonts w:hint="eastAsia" w:ascii="仿宋" w:hAnsi="仿宋" w:eastAsia="仿宋" w:cs="仿宋"/>
          <w:sz w:val="24"/>
          <w:szCs w:val="24"/>
        </w:rPr>
        <w:t>参加</w:t>
      </w:r>
      <w:r>
        <w:rPr>
          <w:rFonts w:hint="eastAsia" w:ascii="仿宋" w:hAnsi="仿宋" w:eastAsia="仿宋" w:cs="仿宋"/>
          <w:sz w:val="24"/>
          <w:szCs w:val="24"/>
          <w:lang w:eastAsia="zh-CN"/>
        </w:rPr>
        <w:t>谈判</w:t>
      </w:r>
      <w:r>
        <w:rPr>
          <w:rFonts w:hint="eastAsia" w:ascii="仿宋" w:hAnsi="仿宋" w:eastAsia="仿宋" w:cs="仿宋"/>
          <w:sz w:val="24"/>
          <w:szCs w:val="24"/>
        </w:rPr>
        <w:t>会议，并使用CA密钥完成远程解密、提疑澄清、</w:t>
      </w:r>
      <w:r>
        <w:rPr>
          <w:rFonts w:hint="eastAsia" w:ascii="仿宋" w:hAnsi="仿宋" w:eastAsia="仿宋" w:cs="仿宋"/>
          <w:sz w:val="24"/>
          <w:szCs w:val="24"/>
          <w:lang w:eastAsia="zh-CN"/>
        </w:rPr>
        <w:t>谈判</w:t>
      </w:r>
      <w:r>
        <w:rPr>
          <w:rFonts w:hint="eastAsia" w:ascii="仿宋" w:hAnsi="仿宋" w:eastAsia="仿宋" w:cs="仿宋"/>
          <w:sz w:val="24"/>
          <w:szCs w:val="24"/>
        </w:rPr>
        <w:t>唱标、二次报价、结果公布等交互环节。</w:t>
      </w:r>
    </w:p>
    <w:p w14:paraId="6031BBF9">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w:t>
      </w:r>
      <w:r>
        <w:rPr>
          <w:rFonts w:hint="eastAsia" w:ascii="仿宋" w:hAnsi="仿宋" w:eastAsia="仿宋" w:cs="仿宋"/>
          <w:sz w:val="24"/>
          <w:szCs w:val="24"/>
          <w:lang w:eastAsia="zh-CN"/>
        </w:rPr>
        <w:t>谈判</w:t>
      </w:r>
      <w:r>
        <w:rPr>
          <w:rFonts w:hint="eastAsia" w:ascii="仿宋" w:hAnsi="仿宋" w:eastAsia="仿宋" w:cs="仿宋"/>
          <w:sz w:val="24"/>
          <w:szCs w:val="24"/>
        </w:rPr>
        <w:t>时，各供应商应在规定的解密时间（</w:t>
      </w:r>
      <w:r>
        <w:rPr>
          <w:rFonts w:hint="eastAsia" w:ascii="仿宋" w:hAnsi="仿宋" w:eastAsia="仿宋" w:cs="仿宋"/>
          <w:sz w:val="24"/>
          <w:szCs w:val="24"/>
          <w:lang w:val="en-US" w:eastAsia="zh-CN"/>
        </w:rPr>
        <w:t>3</w:t>
      </w:r>
      <w:r>
        <w:rPr>
          <w:rFonts w:hint="eastAsia" w:ascii="仿宋" w:hAnsi="仿宋" w:eastAsia="仿宋" w:cs="仿宋"/>
          <w:sz w:val="24"/>
          <w:szCs w:val="24"/>
        </w:rPr>
        <w:t>0分钟）内对本单位加密的电子响应文件进行解密，如在规定的解密时间内仍有供应商未解密，采购代理机构将采取“异常处理”，开启该单位的备份标书。采购代理机构工作人员在监督人员或公证人员监督下开启响应文件。</w:t>
      </w:r>
    </w:p>
    <w:p w14:paraId="6B885250">
      <w:pPr>
        <w:pStyle w:val="153"/>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28.3公证员对</w:t>
      </w:r>
      <w:r>
        <w:rPr>
          <w:rFonts w:hint="eastAsia" w:ascii="仿宋" w:hAnsi="仿宋" w:eastAsia="仿宋" w:cs="仿宋"/>
          <w:sz w:val="24"/>
          <w:szCs w:val="24"/>
          <w:lang w:eastAsia="zh-CN"/>
        </w:rPr>
        <w:t>谈判</w:t>
      </w:r>
      <w:r>
        <w:rPr>
          <w:rFonts w:hint="eastAsia" w:ascii="仿宋" w:hAnsi="仿宋" w:eastAsia="仿宋" w:cs="仿宋"/>
          <w:sz w:val="24"/>
          <w:szCs w:val="24"/>
        </w:rPr>
        <w:t>过程进行全程公证。</w:t>
      </w:r>
    </w:p>
    <w:p w14:paraId="33907F5F">
      <w:pPr>
        <w:spacing w:line="460" w:lineRule="exact"/>
        <w:jc w:val="center"/>
        <w:outlineLvl w:val="1"/>
        <w:rPr>
          <w:rFonts w:hint="eastAsia" w:ascii="仿宋" w:hAnsi="仿宋" w:eastAsia="仿宋" w:cs="仿宋"/>
          <w:b/>
          <w:sz w:val="32"/>
          <w:szCs w:val="32"/>
          <w:lang w:val="zh-CN"/>
        </w:rPr>
      </w:pPr>
      <w:bookmarkStart w:id="61" w:name="_Toc19158"/>
      <w:bookmarkStart w:id="62" w:name="_Toc1356"/>
      <w:bookmarkStart w:id="63" w:name="_Toc12116"/>
      <w:r>
        <w:rPr>
          <w:rFonts w:hint="eastAsia" w:ascii="仿宋" w:hAnsi="仿宋" w:eastAsia="仿宋" w:cs="仿宋"/>
          <w:b/>
          <w:sz w:val="32"/>
          <w:szCs w:val="32"/>
          <w:lang w:val="zh-CN"/>
        </w:rPr>
        <w:t>（</w:t>
      </w:r>
      <w:r>
        <w:rPr>
          <w:rFonts w:hint="eastAsia" w:ascii="仿宋" w:hAnsi="仿宋" w:eastAsia="仿宋" w:cs="仿宋"/>
          <w:b/>
          <w:sz w:val="32"/>
          <w:szCs w:val="32"/>
        </w:rPr>
        <w:t>六</w:t>
      </w:r>
      <w:r>
        <w:rPr>
          <w:rFonts w:hint="eastAsia" w:ascii="仿宋" w:hAnsi="仿宋" w:eastAsia="仿宋" w:cs="仿宋"/>
          <w:b/>
          <w:sz w:val="32"/>
          <w:szCs w:val="32"/>
          <w:lang w:val="zh-CN"/>
        </w:rPr>
        <w:t>） 谈判小组与评审</w:t>
      </w:r>
      <w:bookmarkEnd w:id="61"/>
      <w:bookmarkEnd w:id="62"/>
      <w:bookmarkEnd w:id="63"/>
    </w:p>
    <w:p w14:paraId="29B50E5A">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29.评审工作由采购人依法组建的</w:t>
      </w:r>
      <w:r>
        <w:rPr>
          <w:rFonts w:hint="eastAsia" w:ascii="仿宋" w:hAnsi="仿宋" w:eastAsia="仿宋" w:cs="仿宋"/>
          <w:sz w:val="24"/>
          <w:szCs w:val="24"/>
          <w:lang w:eastAsia="zh-CN"/>
        </w:rPr>
        <w:t>谈判小组</w:t>
      </w:r>
      <w:r>
        <w:rPr>
          <w:rFonts w:hint="eastAsia" w:ascii="仿宋" w:hAnsi="仿宋" w:eastAsia="仿宋" w:cs="仿宋"/>
          <w:sz w:val="24"/>
          <w:szCs w:val="24"/>
        </w:rPr>
        <w:t>负责。</w:t>
      </w:r>
      <w:r>
        <w:rPr>
          <w:rFonts w:hint="eastAsia" w:ascii="仿宋" w:hAnsi="仿宋" w:eastAsia="仿宋" w:cs="仿宋"/>
          <w:sz w:val="24"/>
          <w:szCs w:val="24"/>
          <w:lang w:eastAsia="zh-CN"/>
        </w:rPr>
        <w:t>谈判小组</w:t>
      </w:r>
      <w:r>
        <w:rPr>
          <w:rFonts w:hint="eastAsia" w:ascii="仿宋" w:hAnsi="仿宋" w:eastAsia="仿宋" w:cs="仿宋"/>
          <w:sz w:val="24"/>
          <w:szCs w:val="24"/>
        </w:rPr>
        <w:t>的名单在评审结果公告前应当保密。</w:t>
      </w:r>
    </w:p>
    <w:p w14:paraId="4A8AA127">
      <w:pPr>
        <w:shd w:val="clear" w:color="auto" w:fill="FFFFFF"/>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29.1 本项目</w:t>
      </w:r>
      <w:r>
        <w:rPr>
          <w:rFonts w:hint="eastAsia" w:ascii="仿宋" w:hAnsi="仿宋" w:eastAsia="仿宋" w:cs="仿宋"/>
          <w:b/>
          <w:bCs/>
          <w:sz w:val="24"/>
          <w:szCs w:val="24"/>
          <w:highlight w:val="none"/>
          <w:lang w:eastAsia="zh-CN"/>
        </w:rPr>
        <w:t>谈判小组</w:t>
      </w:r>
      <w:r>
        <w:rPr>
          <w:rFonts w:hint="eastAsia" w:ascii="仿宋" w:hAnsi="仿宋" w:eastAsia="仿宋" w:cs="仿宋"/>
          <w:b/>
          <w:bCs/>
          <w:sz w:val="24"/>
          <w:szCs w:val="24"/>
          <w:highlight w:val="none"/>
        </w:rPr>
        <w:t>由</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3</w:t>
      </w:r>
      <w:r>
        <w:rPr>
          <w:rFonts w:hint="eastAsia" w:ascii="仿宋" w:hAnsi="仿宋" w:eastAsia="仿宋" w:cs="仿宋"/>
          <w:b/>
          <w:bCs/>
          <w:sz w:val="24"/>
          <w:szCs w:val="24"/>
          <w:highlight w:val="none"/>
        </w:rPr>
        <w:t>人组成，其中：专家库中随机抽取专家</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rPr>
        <w:t>人,采购人代表</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人。</w:t>
      </w:r>
    </w:p>
    <w:p w14:paraId="1CD3D673">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29.2参与过本项目的论证专家不得作为评审专家参加评审，采购人不得以专家身份参与评审。</w:t>
      </w:r>
    </w:p>
    <w:p w14:paraId="510CAC7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29.3 </w:t>
      </w:r>
      <w:r>
        <w:rPr>
          <w:rFonts w:hint="eastAsia" w:ascii="仿宋" w:hAnsi="仿宋" w:eastAsia="仿宋" w:cs="仿宋"/>
          <w:sz w:val="24"/>
          <w:szCs w:val="24"/>
          <w:lang w:eastAsia="zh-CN"/>
        </w:rPr>
        <w:t>谈判小组</w:t>
      </w:r>
      <w:r>
        <w:rPr>
          <w:rFonts w:hint="eastAsia" w:ascii="仿宋" w:hAnsi="仿宋" w:eastAsia="仿宋" w:cs="仿宋"/>
          <w:sz w:val="24"/>
          <w:szCs w:val="24"/>
        </w:rPr>
        <w:t>主任由</w:t>
      </w:r>
      <w:r>
        <w:rPr>
          <w:rFonts w:hint="eastAsia" w:ascii="仿宋" w:hAnsi="仿宋" w:eastAsia="仿宋" w:cs="仿宋"/>
          <w:sz w:val="24"/>
          <w:szCs w:val="24"/>
          <w:lang w:eastAsia="zh-CN"/>
        </w:rPr>
        <w:t>谈判小组</w:t>
      </w:r>
      <w:r>
        <w:rPr>
          <w:rFonts w:hint="eastAsia" w:ascii="仿宋" w:hAnsi="仿宋" w:eastAsia="仿宋" w:cs="仿宋"/>
          <w:sz w:val="24"/>
          <w:szCs w:val="24"/>
        </w:rPr>
        <w:t>成员推举产生，并与</w:t>
      </w:r>
      <w:r>
        <w:rPr>
          <w:rFonts w:hint="eastAsia" w:ascii="仿宋" w:hAnsi="仿宋" w:eastAsia="仿宋" w:cs="仿宋"/>
          <w:sz w:val="24"/>
          <w:szCs w:val="24"/>
          <w:lang w:eastAsia="zh-CN"/>
        </w:rPr>
        <w:t>谈判小组</w:t>
      </w:r>
      <w:r>
        <w:rPr>
          <w:rFonts w:hint="eastAsia" w:ascii="仿宋" w:hAnsi="仿宋" w:eastAsia="仿宋" w:cs="仿宋"/>
          <w:sz w:val="24"/>
          <w:szCs w:val="24"/>
        </w:rPr>
        <w:t>其他成员有同等的权利和义务。采购人代表不得担任</w:t>
      </w:r>
      <w:r>
        <w:rPr>
          <w:rFonts w:hint="eastAsia" w:ascii="仿宋" w:hAnsi="仿宋" w:eastAsia="仿宋" w:cs="仿宋"/>
          <w:sz w:val="24"/>
          <w:szCs w:val="24"/>
          <w:lang w:eastAsia="zh-CN"/>
        </w:rPr>
        <w:t>谈判小组</w:t>
      </w:r>
      <w:r>
        <w:rPr>
          <w:rFonts w:hint="eastAsia" w:ascii="仿宋" w:hAnsi="仿宋" w:eastAsia="仿宋" w:cs="仿宋"/>
          <w:sz w:val="24"/>
          <w:szCs w:val="24"/>
        </w:rPr>
        <w:t>组长。</w:t>
      </w:r>
    </w:p>
    <w:p w14:paraId="41562ABD">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29.4 </w:t>
      </w:r>
      <w:r>
        <w:rPr>
          <w:rFonts w:hint="eastAsia" w:ascii="仿宋" w:hAnsi="仿宋" w:eastAsia="仿宋" w:cs="仿宋"/>
          <w:sz w:val="24"/>
          <w:szCs w:val="24"/>
          <w:lang w:eastAsia="zh-CN"/>
        </w:rPr>
        <w:t>谈判小组</w:t>
      </w:r>
      <w:r>
        <w:rPr>
          <w:rFonts w:hint="eastAsia" w:ascii="仿宋" w:hAnsi="仿宋" w:eastAsia="仿宋" w:cs="仿宋"/>
          <w:sz w:val="24"/>
          <w:szCs w:val="24"/>
        </w:rPr>
        <w:t>成员应当客观、公正地履行职责，遵守职业道德，对所提出的评审意见承担个人责任。</w:t>
      </w:r>
    </w:p>
    <w:p w14:paraId="5F647B87">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29.5 </w:t>
      </w:r>
      <w:r>
        <w:rPr>
          <w:rFonts w:hint="eastAsia" w:ascii="仿宋" w:hAnsi="仿宋" w:eastAsia="仿宋" w:cs="仿宋"/>
          <w:sz w:val="24"/>
          <w:szCs w:val="24"/>
          <w:lang w:eastAsia="zh-CN"/>
        </w:rPr>
        <w:t>谈判小组</w:t>
      </w:r>
      <w:r>
        <w:rPr>
          <w:rFonts w:hint="eastAsia" w:ascii="仿宋" w:hAnsi="仿宋" w:eastAsia="仿宋" w:cs="仿宋"/>
          <w:sz w:val="24"/>
          <w:szCs w:val="24"/>
        </w:rPr>
        <w:t>根据</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文件确定的评比标准和方法，对响应文件进行系统</w:t>
      </w:r>
      <w:r>
        <w:rPr>
          <w:rFonts w:hint="eastAsia" w:ascii="仿宋" w:hAnsi="仿宋" w:eastAsia="仿宋" w:cs="仿宋"/>
          <w:sz w:val="24"/>
          <w:szCs w:val="24"/>
          <w:lang w:eastAsia="zh-CN"/>
        </w:rPr>
        <w:t>的</w:t>
      </w:r>
      <w:r>
        <w:rPr>
          <w:rFonts w:hint="eastAsia" w:ascii="仿宋" w:hAnsi="仿宋" w:eastAsia="仿宋" w:cs="仿宋"/>
          <w:sz w:val="24"/>
          <w:szCs w:val="24"/>
        </w:rPr>
        <w:t>评审和比较。</w:t>
      </w:r>
      <w:r>
        <w:rPr>
          <w:rFonts w:hint="eastAsia" w:ascii="仿宋" w:hAnsi="仿宋" w:eastAsia="仿宋" w:cs="仿宋"/>
          <w:sz w:val="24"/>
          <w:szCs w:val="24"/>
          <w:lang w:eastAsia="zh-CN"/>
        </w:rPr>
        <w:t>竞争性谈判</w:t>
      </w:r>
      <w:r>
        <w:rPr>
          <w:rFonts w:hint="eastAsia" w:ascii="仿宋" w:hAnsi="仿宋" w:eastAsia="仿宋" w:cs="仿宋"/>
          <w:sz w:val="24"/>
          <w:szCs w:val="24"/>
        </w:rPr>
        <w:t>文件中没有规定的标准和方法不得作为评审的依据。</w:t>
      </w:r>
    </w:p>
    <w:p w14:paraId="02474714">
      <w:pPr>
        <w:shd w:val="clear" w:color="auto" w:fill="FFFFFF"/>
        <w:spacing w:line="440" w:lineRule="exact"/>
        <w:ind w:firstLine="480" w:firstLineChars="200"/>
        <w:rPr>
          <w:rFonts w:hint="eastAsia" w:ascii="仿宋" w:hAnsi="仿宋" w:eastAsia="仿宋" w:cs="仿宋"/>
          <w:sz w:val="32"/>
          <w:szCs w:val="32"/>
          <w:u w:val="single"/>
        </w:rPr>
      </w:pPr>
      <w:r>
        <w:rPr>
          <w:rFonts w:hint="eastAsia" w:ascii="仿宋" w:hAnsi="仿宋" w:eastAsia="仿宋" w:cs="仿宋"/>
          <w:sz w:val="24"/>
          <w:szCs w:val="24"/>
        </w:rPr>
        <w:t>29.6在评审过程中，</w:t>
      </w:r>
      <w:r>
        <w:rPr>
          <w:rFonts w:hint="eastAsia" w:ascii="仿宋" w:hAnsi="仿宋" w:eastAsia="仿宋" w:cs="仿宋"/>
          <w:sz w:val="24"/>
          <w:szCs w:val="24"/>
          <w:lang w:eastAsia="zh-CN"/>
        </w:rPr>
        <w:t>谈判小组</w:t>
      </w:r>
      <w:r>
        <w:rPr>
          <w:rFonts w:hint="eastAsia" w:ascii="仿宋" w:hAnsi="仿宋" w:eastAsia="仿宋" w:cs="仿宋"/>
          <w:sz w:val="24"/>
          <w:szCs w:val="24"/>
        </w:rPr>
        <w:t>发现有证据表明供应商以他人的名义投标、串通投标、以行贿手段谋取成交或者以其他弄虚作假方式参加</w:t>
      </w:r>
      <w:r>
        <w:rPr>
          <w:rFonts w:hint="eastAsia" w:ascii="仿宋" w:hAnsi="仿宋" w:eastAsia="仿宋" w:cs="仿宋"/>
          <w:sz w:val="24"/>
          <w:szCs w:val="24"/>
          <w:lang w:eastAsia="zh-CN"/>
        </w:rPr>
        <w:t>谈判</w:t>
      </w:r>
      <w:r>
        <w:rPr>
          <w:rFonts w:hint="eastAsia" w:ascii="仿宋" w:hAnsi="仿宋" w:eastAsia="仿宋" w:cs="仿宋"/>
          <w:sz w:val="24"/>
          <w:szCs w:val="24"/>
        </w:rPr>
        <w:t>的，该供应商的响应文件作无效处理。并在评审报告中说明。</w:t>
      </w:r>
    </w:p>
    <w:p w14:paraId="00469D25">
      <w:pPr>
        <w:spacing w:line="460" w:lineRule="exact"/>
        <w:jc w:val="center"/>
        <w:outlineLvl w:val="1"/>
        <w:rPr>
          <w:rFonts w:hint="eastAsia" w:ascii="仿宋" w:hAnsi="仿宋" w:eastAsia="仿宋" w:cs="仿宋"/>
          <w:b/>
          <w:sz w:val="32"/>
          <w:szCs w:val="32"/>
          <w:lang w:val="zh-CN"/>
        </w:rPr>
      </w:pPr>
      <w:bookmarkStart w:id="64" w:name="_Toc2881"/>
      <w:bookmarkStart w:id="65" w:name="_Toc32620"/>
      <w:bookmarkStart w:id="66" w:name="_Toc9107"/>
      <w:r>
        <w:rPr>
          <w:rFonts w:hint="eastAsia" w:ascii="仿宋" w:hAnsi="仿宋" w:eastAsia="仿宋" w:cs="仿宋"/>
          <w:b/>
          <w:sz w:val="32"/>
          <w:szCs w:val="32"/>
          <w:lang w:val="zh-CN"/>
        </w:rPr>
        <w:t>（</w:t>
      </w:r>
      <w:r>
        <w:rPr>
          <w:rFonts w:hint="eastAsia" w:ascii="仿宋" w:hAnsi="仿宋" w:eastAsia="仿宋" w:cs="仿宋"/>
          <w:b/>
          <w:sz w:val="32"/>
          <w:szCs w:val="32"/>
        </w:rPr>
        <w:t>七</w:t>
      </w:r>
      <w:r>
        <w:rPr>
          <w:rFonts w:hint="eastAsia" w:ascii="仿宋" w:hAnsi="仿宋" w:eastAsia="仿宋" w:cs="仿宋"/>
          <w:b/>
          <w:sz w:val="32"/>
          <w:szCs w:val="32"/>
          <w:lang w:val="zh-CN"/>
        </w:rPr>
        <w:t>） 授予合同</w:t>
      </w:r>
      <w:bookmarkEnd w:id="64"/>
      <w:bookmarkEnd w:id="65"/>
      <w:bookmarkEnd w:id="66"/>
    </w:p>
    <w:p w14:paraId="482D28C4">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30. 确定成交供应商</w:t>
      </w:r>
    </w:p>
    <w:p w14:paraId="21595D71">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30.1 成交的标准</w:t>
      </w:r>
    </w:p>
    <w:p w14:paraId="7EC13C2D">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30.1.1响应文件满足</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文件全部实质性要求；</w:t>
      </w:r>
    </w:p>
    <w:p w14:paraId="02EF34D1">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30.1.2 具有良好的履行合同的能力和条件；</w:t>
      </w:r>
    </w:p>
    <w:p w14:paraId="13B7399C">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30.1.3 能够最大限度满足</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文件的各项要求；</w:t>
      </w:r>
    </w:p>
    <w:p w14:paraId="2B93C545">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30.2 采购人将确定资格合格的成交候选人为成交供应商。</w:t>
      </w:r>
    </w:p>
    <w:p w14:paraId="53988096">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31. 授予合同的准则</w:t>
      </w:r>
    </w:p>
    <w:p w14:paraId="3F5C6A20">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31.1 采购人将把合同授予经确认的成交供应商。</w:t>
      </w:r>
    </w:p>
    <w:p w14:paraId="269D25A8">
      <w:pPr>
        <w:spacing w:line="460" w:lineRule="exact"/>
        <w:jc w:val="center"/>
        <w:outlineLvl w:val="1"/>
        <w:rPr>
          <w:rFonts w:hint="eastAsia" w:ascii="仿宋" w:hAnsi="仿宋" w:eastAsia="仿宋" w:cs="仿宋"/>
          <w:b/>
          <w:sz w:val="32"/>
          <w:szCs w:val="32"/>
          <w:lang w:val="zh-CN"/>
        </w:rPr>
      </w:pPr>
      <w:bookmarkStart w:id="67" w:name="_Toc4360"/>
      <w:bookmarkStart w:id="68" w:name="_Toc4200"/>
      <w:bookmarkStart w:id="69" w:name="_Toc5436"/>
      <w:r>
        <w:rPr>
          <w:rFonts w:hint="eastAsia" w:ascii="仿宋" w:hAnsi="仿宋" w:eastAsia="仿宋" w:cs="仿宋"/>
          <w:b/>
          <w:sz w:val="32"/>
          <w:szCs w:val="32"/>
          <w:lang w:val="zh-CN"/>
        </w:rPr>
        <w:t>（</w:t>
      </w:r>
      <w:r>
        <w:rPr>
          <w:rFonts w:hint="eastAsia" w:ascii="仿宋" w:hAnsi="仿宋" w:eastAsia="仿宋" w:cs="仿宋"/>
          <w:b/>
          <w:sz w:val="32"/>
          <w:szCs w:val="32"/>
        </w:rPr>
        <w:t>八</w:t>
      </w:r>
      <w:r>
        <w:rPr>
          <w:rFonts w:hint="eastAsia" w:ascii="仿宋" w:hAnsi="仿宋" w:eastAsia="仿宋" w:cs="仿宋"/>
          <w:b/>
          <w:sz w:val="32"/>
          <w:szCs w:val="32"/>
          <w:lang w:val="zh-CN"/>
        </w:rPr>
        <w:t>） 成交通知书</w:t>
      </w:r>
      <w:bookmarkEnd w:id="67"/>
      <w:bookmarkEnd w:id="68"/>
      <w:bookmarkEnd w:id="69"/>
    </w:p>
    <w:p w14:paraId="1B29C189">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32.成交通知书</w:t>
      </w:r>
    </w:p>
    <w:p w14:paraId="55BD5FDB">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32.1采购人依据</w:t>
      </w:r>
      <w:r>
        <w:rPr>
          <w:rFonts w:hint="eastAsia" w:ascii="仿宋" w:hAnsi="仿宋" w:eastAsia="仿宋" w:cs="仿宋"/>
          <w:sz w:val="24"/>
          <w:szCs w:val="24"/>
          <w:lang w:eastAsia="zh-CN"/>
        </w:rPr>
        <w:t>谈判小组</w:t>
      </w:r>
      <w:r>
        <w:rPr>
          <w:rFonts w:hint="eastAsia" w:ascii="仿宋" w:hAnsi="仿宋" w:eastAsia="仿宋" w:cs="仿宋"/>
          <w:sz w:val="24"/>
          <w:szCs w:val="24"/>
        </w:rPr>
        <w:t>推荐的成交候选人排序确定排名第一的成交候选人为成交供应商后，将对成交结果公示1工作日，同时向成交供应商发出《成交通知书》。</w:t>
      </w:r>
    </w:p>
    <w:p w14:paraId="14AED526">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 xml:space="preserve">32.2《成交通知书》对成交供应商和成交供应商具有法律约束力。《成交通知书》发出后，采购人不得违法改变成交结果，成交供应商无正当理由不得放弃成交。 </w:t>
      </w:r>
    </w:p>
    <w:p w14:paraId="02AB2D23">
      <w:pPr>
        <w:spacing w:line="460" w:lineRule="exact"/>
        <w:jc w:val="center"/>
        <w:outlineLvl w:val="1"/>
        <w:rPr>
          <w:rFonts w:hint="eastAsia" w:ascii="仿宋" w:hAnsi="仿宋" w:eastAsia="仿宋" w:cs="仿宋"/>
          <w:b/>
          <w:sz w:val="32"/>
          <w:szCs w:val="32"/>
          <w:lang w:val="zh-CN"/>
        </w:rPr>
      </w:pPr>
      <w:bookmarkStart w:id="70" w:name="_Toc25692"/>
      <w:bookmarkStart w:id="71" w:name="_Toc32130"/>
      <w:bookmarkStart w:id="72" w:name="_Toc4804"/>
      <w:r>
        <w:rPr>
          <w:rFonts w:hint="eastAsia" w:ascii="仿宋" w:hAnsi="仿宋" w:eastAsia="仿宋" w:cs="仿宋"/>
          <w:b/>
          <w:sz w:val="32"/>
          <w:szCs w:val="32"/>
          <w:lang w:val="zh-CN"/>
        </w:rPr>
        <w:t>（九）合同的签订</w:t>
      </w:r>
      <w:bookmarkEnd w:id="70"/>
      <w:bookmarkEnd w:id="71"/>
      <w:bookmarkEnd w:id="72"/>
    </w:p>
    <w:p w14:paraId="4AC3AEC3">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33. 合同的签订</w:t>
      </w:r>
    </w:p>
    <w:p w14:paraId="19C25B88">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33.1采购人应当自《成交通知书》发出之日起30日内，按照</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文件和成交供应商响应文件的规定，与成交供应商签订书面合同。所签订的合同不得对</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文件确定的事项和成交供应商响应文件作实质性修改。</w:t>
      </w:r>
    </w:p>
    <w:p w14:paraId="5BE72C4C">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 xml:space="preserve">33.2 </w:t>
      </w:r>
      <w:r>
        <w:rPr>
          <w:rFonts w:hint="eastAsia" w:ascii="仿宋" w:hAnsi="仿宋" w:eastAsia="仿宋" w:cs="仿宋"/>
          <w:sz w:val="24"/>
          <w:szCs w:val="24"/>
          <w:lang w:eastAsia="zh-CN"/>
        </w:rPr>
        <w:t>竞争性谈判</w:t>
      </w:r>
      <w:r>
        <w:rPr>
          <w:rFonts w:hint="eastAsia" w:ascii="仿宋" w:hAnsi="仿宋" w:eastAsia="仿宋" w:cs="仿宋"/>
          <w:sz w:val="24"/>
          <w:szCs w:val="24"/>
        </w:rPr>
        <w:t>文件要求成交供应商提交履约保证金或者其他形式履约担保的，成交供应商应当提交；拒绝提交的，视为放弃成交项目。</w:t>
      </w:r>
    </w:p>
    <w:p w14:paraId="27110DC4">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 xml:space="preserve">33.3 </w:t>
      </w:r>
      <w:r>
        <w:rPr>
          <w:rFonts w:hint="eastAsia" w:ascii="仿宋" w:hAnsi="仿宋" w:eastAsia="仿宋" w:cs="仿宋"/>
          <w:sz w:val="24"/>
          <w:szCs w:val="24"/>
          <w:lang w:eastAsia="zh-CN"/>
        </w:rPr>
        <w:t>竞争性谈判</w:t>
      </w:r>
      <w:r>
        <w:rPr>
          <w:rFonts w:hint="eastAsia" w:ascii="仿宋" w:hAnsi="仿宋" w:eastAsia="仿宋" w:cs="仿宋"/>
          <w:sz w:val="24"/>
          <w:szCs w:val="24"/>
        </w:rPr>
        <w:t>文件和成交供应商的响应文件均是该书面合同的附件。</w:t>
      </w:r>
    </w:p>
    <w:p w14:paraId="2BF419A3">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33.4 成交供应商因不可抗力或自身原因不能履行采购合同的，采购人可以与排位在成交供应商之后第一位的成交候选人签订采购合同，以此类推。或采购人重新组织采购活动。</w:t>
      </w:r>
    </w:p>
    <w:p w14:paraId="7EC49581">
      <w:pPr>
        <w:spacing w:line="460" w:lineRule="exact"/>
        <w:jc w:val="center"/>
        <w:outlineLvl w:val="1"/>
        <w:rPr>
          <w:rFonts w:hint="eastAsia" w:ascii="仿宋" w:hAnsi="仿宋" w:eastAsia="仿宋" w:cs="仿宋"/>
          <w:b/>
          <w:sz w:val="32"/>
          <w:szCs w:val="32"/>
          <w:lang w:val="zh-CN"/>
        </w:rPr>
      </w:pPr>
      <w:bookmarkStart w:id="73" w:name="_Toc12409"/>
      <w:bookmarkStart w:id="74" w:name="_Toc29626"/>
      <w:bookmarkStart w:id="75" w:name="_Toc4149"/>
      <w:r>
        <w:rPr>
          <w:rFonts w:hint="eastAsia" w:ascii="仿宋" w:hAnsi="仿宋" w:eastAsia="仿宋" w:cs="仿宋"/>
          <w:b/>
          <w:sz w:val="32"/>
          <w:szCs w:val="32"/>
          <w:lang w:val="zh-CN"/>
        </w:rPr>
        <w:t>（十）买方授标时更改采购服务数量的权利</w:t>
      </w:r>
      <w:bookmarkEnd w:id="73"/>
      <w:bookmarkEnd w:id="74"/>
      <w:bookmarkEnd w:id="75"/>
    </w:p>
    <w:p w14:paraId="6476D867">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34.采购人在授予合同时有权按“供应商须知前附表”约定的内容对采购需求中规定物资数量予以局部增加或减少，但不得实质性内容做任何改变，对增减的数量按同类型成交服务价结算。</w:t>
      </w:r>
    </w:p>
    <w:p w14:paraId="41C2FD76">
      <w:pPr>
        <w:spacing w:line="460" w:lineRule="exact"/>
        <w:jc w:val="center"/>
        <w:outlineLvl w:val="1"/>
        <w:rPr>
          <w:rFonts w:hint="eastAsia" w:ascii="仿宋" w:hAnsi="仿宋" w:eastAsia="仿宋" w:cs="仿宋"/>
          <w:b/>
          <w:sz w:val="32"/>
          <w:szCs w:val="32"/>
          <w:lang w:val="zh-CN"/>
        </w:rPr>
      </w:pPr>
      <w:bookmarkStart w:id="76" w:name="_Toc10644"/>
      <w:bookmarkStart w:id="77" w:name="_Toc7284"/>
      <w:bookmarkStart w:id="78" w:name="_Toc1057"/>
      <w:r>
        <w:rPr>
          <w:rFonts w:hint="eastAsia" w:ascii="仿宋" w:hAnsi="仿宋" w:eastAsia="仿宋" w:cs="仿宋"/>
          <w:b/>
          <w:sz w:val="32"/>
          <w:szCs w:val="32"/>
          <w:lang w:val="zh-CN"/>
        </w:rPr>
        <w:t>（十一）质疑与投诉</w:t>
      </w:r>
      <w:bookmarkEnd w:id="76"/>
      <w:bookmarkEnd w:id="77"/>
      <w:bookmarkEnd w:id="78"/>
    </w:p>
    <w:p w14:paraId="1ACE2979">
      <w:pPr>
        <w:shd w:val="clear" w:color="auto" w:fill="FFFFFF"/>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35.质疑与投诉</w:t>
      </w:r>
    </w:p>
    <w:p w14:paraId="7CCDFB00">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35.1供应商认为</w:t>
      </w:r>
      <w:r>
        <w:rPr>
          <w:rFonts w:hint="eastAsia" w:ascii="仿宋" w:hAnsi="仿宋" w:eastAsia="仿宋" w:cs="仿宋"/>
          <w:sz w:val="24"/>
          <w:szCs w:val="24"/>
          <w:lang w:eastAsia="zh-CN"/>
        </w:rPr>
        <w:t>竞争性谈判</w:t>
      </w:r>
      <w:r>
        <w:rPr>
          <w:rFonts w:hint="eastAsia" w:ascii="仿宋" w:hAnsi="仿宋" w:eastAsia="仿宋" w:cs="仿宋"/>
          <w:sz w:val="24"/>
          <w:szCs w:val="24"/>
        </w:rPr>
        <w:t>文件、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131BD9C9">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35.2质疑函的必备内容</w:t>
      </w:r>
    </w:p>
    <w:p w14:paraId="047990A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35.2.1供应商提交的质疑函必须注明单位名称、地址、邮编、可供查询的单位和法定代表人的电话号码、联系人电话；</w:t>
      </w:r>
    </w:p>
    <w:p w14:paraId="15EE6775">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35.2.2质疑项目的名称、编号；</w:t>
      </w:r>
    </w:p>
    <w:p w14:paraId="54E5BBAA">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35.2.3具体质疑事项和与质疑事项相关的请求；</w:t>
      </w:r>
    </w:p>
    <w:p w14:paraId="4B28DB3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35.2.4事实依据；</w:t>
      </w:r>
    </w:p>
    <w:p w14:paraId="7E70208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35.2.5提起质疑的日期；</w:t>
      </w:r>
    </w:p>
    <w:p w14:paraId="2914E95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35.2.6质疑函须加盖单位公章，由法定代表人签章。</w:t>
      </w:r>
    </w:p>
    <w:p w14:paraId="4371AFDC">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35.2.7委托代理人递交质疑函的，还须提交委托质疑事项的授权委托书（附法定代表人和被授权人的身份证正反面），加盖单位公章和法定代表人签章和被授权人签字，同时出示被授权人身份证。</w:t>
      </w:r>
    </w:p>
    <w:p w14:paraId="14CB264F">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35.3质疑应符合下列条件：</w:t>
      </w:r>
    </w:p>
    <w:p w14:paraId="353009F8">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35.3.1质疑人是参与所质疑项目的采购活动的供应商；</w:t>
      </w:r>
    </w:p>
    <w:p w14:paraId="699A8B74">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35.3.2质疑函内容符合相关的规定；</w:t>
      </w:r>
    </w:p>
    <w:p w14:paraId="78D40695">
      <w:pPr>
        <w:shd w:val="clear" w:color="auto" w:fill="FFFFFF"/>
        <w:tabs>
          <w:tab w:val="left" w:pos="929"/>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35.3.3在规定的有效期限内提起质疑；</w:t>
      </w:r>
    </w:p>
    <w:p w14:paraId="37D345F0">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35.3.4招投标监管部门规定的其他条件。</w:t>
      </w:r>
    </w:p>
    <w:p w14:paraId="34153319">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35.4采购人在收到供应商的书面质疑后七个工作日内作出答复，并以书面形式通知质疑供应商和其他有关供应商，但答复的内容不涉及商业秘密。作出答复前，将暂停采购活动。</w:t>
      </w:r>
    </w:p>
    <w:p w14:paraId="4FF44035">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35.5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14:paraId="30981D1F">
      <w:pPr>
        <w:spacing w:line="460" w:lineRule="exact"/>
        <w:jc w:val="center"/>
        <w:outlineLvl w:val="1"/>
        <w:rPr>
          <w:rFonts w:hint="eastAsia" w:ascii="仿宋" w:hAnsi="仿宋" w:eastAsia="仿宋" w:cs="仿宋"/>
          <w:b/>
          <w:sz w:val="32"/>
          <w:szCs w:val="32"/>
          <w:lang w:val="zh-CN"/>
        </w:rPr>
      </w:pPr>
      <w:bookmarkStart w:id="79" w:name="_Toc22193"/>
      <w:bookmarkStart w:id="80" w:name="_Toc30193"/>
      <w:r>
        <w:rPr>
          <w:rFonts w:hint="eastAsia" w:ascii="仿宋" w:hAnsi="仿宋" w:eastAsia="仿宋" w:cs="仿宋"/>
          <w:b/>
          <w:sz w:val="32"/>
          <w:szCs w:val="32"/>
          <w:lang w:val="zh-CN"/>
        </w:rPr>
        <w:t>（十二）履约担保（本项目不适用）</w:t>
      </w:r>
      <w:bookmarkEnd w:id="79"/>
      <w:bookmarkEnd w:id="80"/>
    </w:p>
    <w:p w14:paraId="79BB5E18">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36. 履约担保</w:t>
      </w:r>
    </w:p>
    <w:p w14:paraId="1E5139F2">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36.1 成交供应商须在与采购人签署合同前按</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文件有关要求提交履约担保。成交供应商应按照下列规定的方式和金额向采购人提交履约担保。</w:t>
      </w:r>
    </w:p>
    <w:p w14:paraId="1160D69E">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36.2 履约担保采用下列</w:t>
      </w:r>
      <w:r>
        <w:rPr>
          <w:rFonts w:hint="eastAsia" w:ascii="仿宋" w:hAnsi="仿宋" w:eastAsia="仿宋" w:cs="仿宋"/>
          <w:sz w:val="24"/>
          <w:szCs w:val="24"/>
          <w:u w:val="single"/>
        </w:rPr>
        <w:t xml:space="preserve">  /  </w:t>
      </w:r>
      <w:r>
        <w:rPr>
          <w:rFonts w:hint="eastAsia" w:ascii="仿宋" w:hAnsi="仿宋" w:eastAsia="仿宋" w:cs="仿宋"/>
          <w:sz w:val="24"/>
          <w:szCs w:val="24"/>
        </w:rPr>
        <w:t>方式</w:t>
      </w:r>
    </w:p>
    <w:p w14:paraId="54323E2A">
      <w:pPr>
        <w:shd w:val="clear" w:color="auto" w:fill="FFFFFF"/>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36.2.1 履约保证金担保方式：</w:t>
      </w:r>
      <w:r>
        <w:rPr>
          <w:rFonts w:hint="eastAsia" w:ascii="仿宋" w:hAnsi="仿宋" w:eastAsia="仿宋" w:cs="仿宋"/>
          <w:sz w:val="24"/>
          <w:szCs w:val="24"/>
          <w:u w:val="single"/>
          <w:lang w:val="en-US" w:eastAsia="zh-CN"/>
        </w:rPr>
        <w:t xml:space="preserve">以合同签订为准      </w:t>
      </w:r>
      <w:r>
        <w:rPr>
          <w:rFonts w:hint="eastAsia" w:ascii="仿宋" w:hAnsi="仿宋" w:eastAsia="仿宋" w:cs="仿宋"/>
          <w:sz w:val="24"/>
          <w:szCs w:val="24"/>
          <w:u w:val="single"/>
        </w:rPr>
        <w:t xml:space="preserve">   </w:t>
      </w:r>
    </w:p>
    <w:p w14:paraId="69F001C9">
      <w:pPr>
        <w:shd w:val="clear" w:color="auto" w:fill="FFFFFF"/>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银行汇票；2） 支票；3）银行转账；4）担保公司担保；5）采购人与供应商协商确定的其他担保方式。</w:t>
      </w:r>
    </w:p>
    <w:p w14:paraId="4BDC4A3A">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36.2.3 如成交供应商不能按照供应商须知第35条的规定执行，采购人将视为成交供应商放弃成交项目；已经订立合同的，采购人有充分理由解除合同，给采购人造成损失的，放弃成交项目的成交供应商应当赔偿。</w:t>
      </w:r>
    </w:p>
    <w:p w14:paraId="232212CD">
      <w:pPr>
        <w:spacing w:line="460" w:lineRule="exact"/>
        <w:jc w:val="center"/>
        <w:outlineLvl w:val="1"/>
        <w:rPr>
          <w:rFonts w:hint="eastAsia" w:ascii="仿宋" w:hAnsi="仿宋" w:eastAsia="仿宋" w:cs="仿宋"/>
          <w:b/>
          <w:sz w:val="32"/>
          <w:szCs w:val="32"/>
          <w:lang w:val="zh-CN"/>
        </w:rPr>
      </w:pPr>
      <w:bookmarkStart w:id="81" w:name="_Toc2814"/>
      <w:bookmarkStart w:id="82" w:name="_Toc23231"/>
      <w:bookmarkStart w:id="83" w:name="_Toc21659"/>
      <w:r>
        <w:rPr>
          <w:rFonts w:hint="eastAsia" w:ascii="仿宋" w:hAnsi="仿宋" w:eastAsia="仿宋" w:cs="仿宋"/>
          <w:b/>
          <w:sz w:val="32"/>
          <w:szCs w:val="32"/>
          <w:lang w:val="zh-CN"/>
        </w:rPr>
        <w:t>（十三）其他</w:t>
      </w:r>
      <w:bookmarkEnd w:id="81"/>
      <w:bookmarkEnd w:id="82"/>
      <w:bookmarkEnd w:id="83"/>
    </w:p>
    <w:p w14:paraId="0BC72F67">
      <w:pPr>
        <w:shd w:val="clear" w:color="auto" w:fill="FFFFFF"/>
        <w:spacing w:line="440" w:lineRule="exact"/>
        <w:ind w:firstLine="487" w:firstLineChars="202"/>
        <w:rPr>
          <w:rFonts w:hint="eastAsia" w:ascii="仿宋" w:hAnsi="仿宋" w:eastAsia="仿宋" w:cs="仿宋"/>
          <w:b/>
          <w:sz w:val="24"/>
          <w:szCs w:val="24"/>
        </w:rPr>
      </w:pPr>
      <w:r>
        <w:rPr>
          <w:rFonts w:hint="eastAsia" w:ascii="仿宋" w:hAnsi="仿宋" w:eastAsia="仿宋" w:cs="仿宋"/>
          <w:b/>
          <w:sz w:val="24"/>
          <w:szCs w:val="24"/>
        </w:rPr>
        <w:t>37.</w:t>
      </w:r>
      <w:r>
        <w:rPr>
          <w:rFonts w:hint="eastAsia" w:ascii="仿宋" w:hAnsi="仿宋" w:eastAsia="仿宋" w:cs="仿宋"/>
          <w:b/>
          <w:sz w:val="24"/>
          <w:szCs w:val="24"/>
          <w:lang w:eastAsia="zh-CN"/>
        </w:rPr>
        <w:t>代理</w:t>
      </w:r>
      <w:r>
        <w:rPr>
          <w:rFonts w:hint="eastAsia" w:ascii="仿宋" w:hAnsi="仿宋" w:eastAsia="仿宋" w:cs="仿宋"/>
          <w:b/>
          <w:sz w:val="24"/>
          <w:szCs w:val="24"/>
        </w:rPr>
        <w:t>服务费</w:t>
      </w:r>
    </w:p>
    <w:p w14:paraId="2A54937F">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37.1 成交供应商应按本</w:t>
      </w:r>
      <w:r>
        <w:rPr>
          <w:rFonts w:hint="eastAsia" w:ascii="仿宋" w:hAnsi="仿宋" w:eastAsia="仿宋" w:cs="仿宋"/>
          <w:sz w:val="24"/>
          <w:szCs w:val="24"/>
          <w:lang w:eastAsia="zh-CN"/>
        </w:rPr>
        <w:t>竞争性谈判</w:t>
      </w:r>
      <w:r>
        <w:rPr>
          <w:rFonts w:hint="eastAsia" w:ascii="仿宋" w:hAnsi="仿宋" w:eastAsia="仿宋" w:cs="仿宋"/>
          <w:sz w:val="24"/>
          <w:szCs w:val="24"/>
        </w:rPr>
        <w:t>文件的规定，在领取成交通知书时向采购代理机构一次性支付</w:t>
      </w:r>
      <w:r>
        <w:rPr>
          <w:rFonts w:hint="eastAsia" w:ascii="仿宋" w:hAnsi="仿宋" w:eastAsia="仿宋" w:cs="仿宋"/>
          <w:sz w:val="24"/>
          <w:szCs w:val="24"/>
          <w:lang w:eastAsia="zh-CN"/>
        </w:rPr>
        <w:t>代理</w:t>
      </w:r>
      <w:r>
        <w:rPr>
          <w:rFonts w:hint="eastAsia" w:ascii="仿宋" w:hAnsi="仿宋" w:eastAsia="仿宋" w:cs="仿宋"/>
          <w:sz w:val="24"/>
          <w:szCs w:val="24"/>
        </w:rPr>
        <w:t>服务费。</w:t>
      </w:r>
      <w:r>
        <w:rPr>
          <w:rFonts w:hint="eastAsia" w:ascii="仿宋" w:hAnsi="仿宋" w:eastAsia="仿宋" w:cs="仿宋"/>
          <w:sz w:val="24"/>
          <w:szCs w:val="24"/>
          <w:lang w:val="en-US" w:eastAsia="zh-CN"/>
        </w:rPr>
        <w:t>代理费用收取标准，参照国家发改委[2011]534号文、[2015]299号文作为协商价格的基础收取，不高于此标准。</w:t>
      </w:r>
    </w:p>
    <w:p w14:paraId="2CAA789B">
      <w:pPr>
        <w:shd w:val="clear" w:color="auto" w:fill="FFFFFF"/>
        <w:spacing w:line="440" w:lineRule="exact"/>
        <w:ind w:firstLine="487" w:firstLineChars="202"/>
        <w:rPr>
          <w:rFonts w:hint="eastAsia" w:ascii="仿宋" w:hAnsi="仿宋" w:eastAsia="仿宋" w:cs="仿宋"/>
          <w:b/>
          <w:sz w:val="24"/>
          <w:szCs w:val="24"/>
        </w:rPr>
      </w:pPr>
      <w:r>
        <w:rPr>
          <w:rFonts w:hint="eastAsia" w:ascii="仿宋" w:hAnsi="仿宋" w:eastAsia="仿宋" w:cs="仿宋"/>
          <w:b/>
          <w:sz w:val="24"/>
          <w:szCs w:val="24"/>
        </w:rPr>
        <w:t xml:space="preserve">37.2 </w:t>
      </w:r>
      <w:r>
        <w:rPr>
          <w:rFonts w:hint="eastAsia" w:ascii="仿宋" w:hAnsi="仿宋" w:eastAsia="仿宋" w:cs="仿宋"/>
          <w:b/>
          <w:sz w:val="24"/>
          <w:szCs w:val="24"/>
          <w:lang w:eastAsia="zh-CN"/>
        </w:rPr>
        <w:t>代理</w:t>
      </w:r>
      <w:r>
        <w:rPr>
          <w:rFonts w:hint="eastAsia" w:ascii="仿宋" w:hAnsi="仿宋" w:eastAsia="仿宋" w:cs="仿宋"/>
          <w:b/>
          <w:sz w:val="24"/>
          <w:szCs w:val="24"/>
        </w:rPr>
        <w:t>服务费的计算基数是成交总金额，即成交通知书中载明的成交金额。</w:t>
      </w:r>
    </w:p>
    <w:p w14:paraId="63B158C2">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38. </w:t>
      </w:r>
      <w:r>
        <w:rPr>
          <w:rFonts w:hint="eastAsia" w:ascii="仿宋" w:hAnsi="仿宋" w:eastAsia="仿宋" w:cs="仿宋"/>
          <w:b/>
          <w:bCs/>
          <w:sz w:val="24"/>
          <w:szCs w:val="24"/>
          <w:lang w:eastAsia="zh-CN"/>
        </w:rPr>
        <w:t>竞争性谈判</w:t>
      </w:r>
      <w:r>
        <w:rPr>
          <w:rFonts w:hint="eastAsia" w:ascii="仿宋" w:hAnsi="仿宋" w:eastAsia="仿宋" w:cs="仿宋"/>
          <w:b/>
          <w:bCs/>
          <w:sz w:val="24"/>
          <w:szCs w:val="24"/>
        </w:rPr>
        <w:t>文件的解释权</w:t>
      </w:r>
    </w:p>
    <w:p w14:paraId="66C0AED6">
      <w:pPr>
        <w:shd w:val="clear" w:color="auto" w:fill="FFFFFF"/>
        <w:spacing w:line="4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竞争性谈判</w:t>
      </w:r>
      <w:r>
        <w:rPr>
          <w:rFonts w:hint="eastAsia" w:ascii="仿宋" w:hAnsi="仿宋" w:eastAsia="仿宋" w:cs="仿宋"/>
          <w:sz w:val="24"/>
          <w:szCs w:val="24"/>
        </w:rPr>
        <w:t>文件是根据《中华人民共和国政府采购法》及其实施条例（658号令）及《关于印发&lt;政府采购</w:t>
      </w:r>
      <w:r>
        <w:rPr>
          <w:rFonts w:hint="eastAsia" w:ascii="仿宋" w:hAnsi="仿宋" w:eastAsia="仿宋" w:cs="仿宋"/>
          <w:sz w:val="24"/>
          <w:szCs w:val="24"/>
          <w:lang w:eastAsia="zh-CN"/>
        </w:rPr>
        <w:t>竞争性谈判</w:t>
      </w:r>
      <w:r>
        <w:rPr>
          <w:rFonts w:hint="eastAsia" w:ascii="仿宋" w:hAnsi="仿宋" w:eastAsia="仿宋" w:cs="仿宋"/>
          <w:sz w:val="24"/>
          <w:szCs w:val="24"/>
        </w:rPr>
        <w:t>采购方式管理暂行办法&gt;的通知》（财库〔2014〕214号）及《财政部关于政府采购</w:t>
      </w:r>
      <w:r>
        <w:rPr>
          <w:rFonts w:hint="eastAsia" w:ascii="仿宋" w:hAnsi="仿宋" w:eastAsia="仿宋" w:cs="仿宋"/>
          <w:sz w:val="24"/>
          <w:szCs w:val="24"/>
          <w:lang w:eastAsia="zh-CN"/>
        </w:rPr>
        <w:t>竞争性谈判</w:t>
      </w:r>
      <w:r>
        <w:rPr>
          <w:rFonts w:hint="eastAsia" w:ascii="仿宋" w:hAnsi="仿宋" w:eastAsia="仿宋" w:cs="仿宋"/>
          <w:sz w:val="24"/>
          <w:szCs w:val="24"/>
        </w:rPr>
        <w:t>采购方式管理暂行办法有关问题的补充通知》（财库〔2015〕124号）的规定编制，解释权属采购人。</w:t>
      </w:r>
    </w:p>
    <w:p w14:paraId="41B4AF90">
      <w:pPr>
        <w:rPr>
          <w:rFonts w:hint="eastAsia" w:ascii="仿宋" w:hAnsi="仿宋" w:eastAsia="仿宋" w:cs="仿宋"/>
          <w:sz w:val="21"/>
          <w:szCs w:val="21"/>
        </w:rPr>
      </w:pPr>
      <w:r>
        <w:rPr>
          <w:rFonts w:hint="eastAsia" w:ascii="仿宋" w:hAnsi="仿宋" w:eastAsia="仿宋" w:cs="仿宋"/>
          <w:sz w:val="21"/>
          <w:szCs w:val="21"/>
        </w:rPr>
        <w:br w:type="page"/>
      </w:r>
    </w:p>
    <w:p w14:paraId="4D0AA545">
      <w:pPr>
        <w:spacing w:before="101" w:line="224" w:lineRule="auto"/>
        <w:outlineLvl w:val="2"/>
        <w:rPr>
          <w:rFonts w:hint="eastAsia" w:ascii="仿宋" w:hAnsi="仿宋" w:eastAsia="仿宋" w:cs="仿宋"/>
          <w:sz w:val="21"/>
          <w:szCs w:val="21"/>
        </w:rPr>
      </w:pPr>
      <w:bookmarkStart w:id="84" w:name="_Toc110010424"/>
      <w:bookmarkStart w:id="85" w:name="_Toc29832"/>
      <w:bookmarkStart w:id="86" w:name="_Toc21178"/>
      <w:bookmarkStart w:id="87" w:name="_Toc28238"/>
      <w:r>
        <w:rPr>
          <w:rFonts w:hint="eastAsia" w:ascii="仿宋" w:hAnsi="仿宋" w:eastAsia="仿宋" w:cs="仿宋"/>
          <w:spacing w:val="8"/>
          <w:sz w:val="21"/>
          <w:szCs w:val="21"/>
        </w:rPr>
        <w:t>附</w:t>
      </w:r>
      <w:r>
        <w:rPr>
          <w:rFonts w:hint="eastAsia" w:ascii="仿宋" w:hAnsi="仿宋" w:eastAsia="仿宋" w:cs="仿宋"/>
          <w:spacing w:val="6"/>
          <w:sz w:val="21"/>
          <w:szCs w:val="21"/>
        </w:rPr>
        <w:t>件：质疑函范本</w:t>
      </w:r>
      <w:bookmarkEnd w:id="84"/>
      <w:bookmarkEnd w:id="85"/>
      <w:bookmarkEnd w:id="86"/>
      <w:bookmarkEnd w:id="87"/>
    </w:p>
    <w:p w14:paraId="25931E3D">
      <w:pPr>
        <w:spacing w:line="250" w:lineRule="auto"/>
        <w:rPr>
          <w:rFonts w:hint="eastAsia" w:ascii="仿宋" w:hAnsi="仿宋" w:eastAsia="仿宋" w:cs="仿宋"/>
          <w:sz w:val="21"/>
          <w:szCs w:val="21"/>
        </w:rPr>
      </w:pPr>
    </w:p>
    <w:p w14:paraId="16AD042C">
      <w:pPr>
        <w:spacing w:before="101" w:line="225" w:lineRule="auto"/>
        <w:jc w:val="center"/>
        <w:rPr>
          <w:rFonts w:hint="eastAsia" w:ascii="仿宋" w:hAnsi="仿宋" w:eastAsia="仿宋" w:cs="仿宋"/>
          <w:b/>
          <w:bCs/>
          <w:sz w:val="32"/>
          <w:szCs w:val="32"/>
        </w:rPr>
      </w:pPr>
      <w:r>
        <w:rPr>
          <w:rFonts w:hint="eastAsia" w:ascii="仿宋" w:hAnsi="仿宋" w:eastAsia="仿宋" w:cs="仿宋"/>
          <w:b/>
          <w:bCs/>
          <w:spacing w:val="25"/>
          <w:sz w:val="32"/>
          <w:szCs w:val="32"/>
        </w:rPr>
        <w:t>质</w:t>
      </w:r>
      <w:r>
        <w:rPr>
          <w:rFonts w:hint="eastAsia" w:ascii="仿宋" w:hAnsi="仿宋" w:eastAsia="仿宋" w:cs="仿宋"/>
          <w:b/>
          <w:bCs/>
          <w:spacing w:val="24"/>
          <w:sz w:val="32"/>
          <w:szCs w:val="32"/>
        </w:rPr>
        <w:t>疑函</w:t>
      </w:r>
    </w:p>
    <w:p w14:paraId="64822544">
      <w:pPr>
        <w:spacing w:before="237" w:line="468" w:lineRule="exact"/>
        <w:ind w:left="27"/>
        <w:outlineLvl w:val="2"/>
        <w:rPr>
          <w:rFonts w:hint="eastAsia" w:ascii="仿宋" w:hAnsi="仿宋" w:eastAsia="仿宋" w:cs="仿宋"/>
          <w:sz w:val="24"/>
          <w:szCs w:val="24"/>
        </w:rPr>
      </w:pPr>
      <w:bookmarkStart w:id="88" w:name="_Toc25739"/>
      <w:bookmarkStart w:id="89" w:name="_Toc6234"/>
      <w:bookmarkStart w:id="90" w:name="_Toc110010425"/>
      <w:bookmarkStart w:id="91" w:name="_Toc20136"/>
      <w:r>
        <w:rPr>
          <w:rFonts w:hint="eastAsia" w:ascii="仿宋" w:hAnsi="仿宋" w:eastAsia="仿宋" w:cs="仿宋"/>
          <w:spacing w:val="-2"/>
          <w:position w:val="2"/>
          <w:sz w:val="24"/>
          <w:szCs w:val="24"/>
        </w:rPr>
        <w:t>一、质</w:t>
      </w:r>
      <w:r>
        <w:rPr>
          <w:rFonts w:hint="eastAsia" w:ascii="仿宋" w:hAnsi="仿宋" w:eastAsia="仿宋" w:cs="仿宋"/>
          <w:spacing w:val="-1"/>
          <w:position w:val="2"/>
          <w:sz w:val="24"/>
          <w:szCs w:val="24"/>
        </w:rPr>
        <w:t>疑供应商基本信息</w:t>
      </w:r>
      <w:bookmarkEnd w:id="88"/>
      <w:bookmarkEnd w:id="89"/>
      <w:bookmarkEnd w:id="90"/>
      <w:bookmarkEnd w:id="91"/>
    </w:p>
    <w:p w14:paraId="7A6433FE">
      <w:pPr>
        <w:spacing w:before="77" w:line="219" w:lineRule="auto"/>
        <w:ind w:left="506"/>
        <w:rPr>
          <w:rFonts w:hint="eastAsia" w:ascii="仿宋" w:hAnsi="仿宋" w:eastAsia="仿宋" w:cs="仿宋"/>
          <w:sz w:val="24"/>
          <w:szCs w:val="24"/>
        </w:rPr>
      </w:pPr>
      <w:r>
        <w:rPr>
          <w:rFonts w:hint="eastAsia" w:ascii="仿宋" w:hAnsi="仿宋" w:eastAsia="仿宋" w:cs="仿宋"/>
          <w:spacing w:val="-3"/>
          <w:sz w:val="24"/>
          <w:szCs w:val="24"/>
        </w:rPr>
        <w:t>质</w:t>
      </w:r>
      <w:r>
        <w:rPr>
          <w:rFonts w:hint="eastAsia" w:ascii="仿宋" w:hAnsi="仿宋" w:eastAsia="仿宋" w:cs="仿宋"/>
          <w:spacing w:val="-2"/>
          <w:sz w:val="24"/>
          <w:szCs w:val="24"/>
        </w:rPr>
        <w:t>疑供应商：</w:t>
      </w:r>
      <w:r>
        <w:rPr>
          <w:rFonts w:hint="eastAsia" w:ascii="仿宋" w:hAnsi="仿宋" w:eastAsia="仿宋" w:cs="仿宋"/>
          <w:sz w:val="24"/>
          <w:szCs w:val="24"/>
          <w:u w:val="dotted"/>
        </w:rPr>
        <w:t xml:space="preserve">                                       </w:t>
      </w:r>
    </w:p>
    <w:p w14:paraId="67CE3BA1">
      <w:pPr>
        <w:spacing w:before="212" w:line="220" w:lineRule="auto"/>
        <w:ind w:left="505"/>
        <w:rPr>
          <w:rFonts w:hint="eastAsia" w:ascii="仿宋" w:hAnsi="仿宋" w:eastAsia="仿宋" w:cs="仿宋"/>
          <w:sz w:val="24"/>
          <w:szCs w:val="24"/>
        </w:rPr>
      </w:pPr>
      <w:r>
        <w:rPr>
          <w:rFonts w:hint="eastAsia" w:ascii="仿宋" w:hAnsi="仿宋" w:eastAsia="仿宋" w:cs="仿宋"/>
          <w:spacing w:val="-8"/>
          <w:sz w:val="24"/>
          <w:szCs w:val="24"/>
        </w:rPr>
        <w:t>地址：</w:t>
      </w:r>
      <w:r>
        <w:rPr>
          <w:rFonts w:hint="eastAsia" w:ascii="仿宋" w:hAnsi="仿宋" w:eastAsia="仿宋" w:cs="仿宋"/>
          <w:spacing w:val="-8"/>
          <w:sz w:val="24"/>
          <w:szCs w:val="24"/>
          <w:u w:val="dotted"/>
        </w:rPr>
        <w:t xml:space="preserve">  </w:t>
      </w:r>
      <w:r>
        <w:rPr>
          <w:rFonts w:hint="eastAsia" w:ascii="仿宋" w:hAnsi="仿宋" w:eastAsia="仿宋" w:cs="仿宋"/>
          <w:spacing w:val="-5"/>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邮编：</w:t>
      </w:r>
      <w:r>
        <w:rPr>
          <w:rFonts w:hint="eastAsia" w:ascii="仿宋" w:hAnsi="仿宋" w:eastAsia="仿宋" w:cs="仿宋"/>
          <w:sz w:val="24"/>
          <w:szCs w:val="24"/>
          <w:u w:val="dotted"/>
        </w:rPr>
        <w:t xml:space="preserve">                   </w:t>
      </w:r>
    </w:p>
    <w:p w14:paraId="1B76CC40">
      <w:pPr>
        <w:spacing w:before="211" w:line="222" w:lineRule="auto"/>
        <w:ind w:left="506"/>
        <w:rPr>
          <w:rFonts w:hint="eastAsia" w:ascii="仿宋" w:hAnsi="仿宋" w:eastAsia="仿宋" w:cs="仿宋"/>
          <w:sz w:val="24"/>
          <w:szCs w:val="24"/>
        </w:rPr>
      </w:pPr>
      <w:r>
        <w:rPr>
          <w:rFonts w:hint="eastAsia" w:ascii="仿宋" w:hAnsi="仿宋" w:eastAsia="仿宋" w:cs="仿宋"/>
          <w:spacing w:val="-8"/>
          <w:sz w:val="24"/>
          <w:szCs w:val="24"/>
        </w:rPr>
        <w:t>联系人：</w:t>
      </w:r>
      <w:r>
        <w:rPr>
          <w:rFonts w:hint="eastAsia" w:ascii="仿宋" w:hAnsi="仿宋" w:eastAsia="仿宋" w:cs="仿宋"/>
          <w:spacing w:val="-8"/>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联系电话：</w:t>
      </w:r>
      <w:r>
        <w:rPr>
          <w:rFonts w:hint="eastAsia" w:ascii="仿宋" w:hAnsi="仿宋" w:eastAsia="仿宋" w:cs="仿宋"/>
          <w:sz w:val="24"/>
          <w:szCs w:val="24"/>
          <w:u w:val="dotted"/>
        </w:rPr>
        <w:t xml:space="preserve">                 </w:t>
      </w:r>
    </w:p>
    <w:p w14:paraId="3FB716CF">
      <w:pPr>
        <w:spacing w:before="205" w:line="220" w:lineRule="auto"/>
        <w:ind w:left="503"/>
        <w:rPr>
          <w:rFonts w:hint="eastAsia" w:ascii="仿宋" w:hAnsi="仿宋" w:eastAsia="仿宋" w:cs="仿宋"/>
          <w:sz w:val="24"/>
          <w:szCs w:val="24"/>
        </w:rPr>
      </w:pPr>
      <w:r>
        <w:rPr>
          <w:rFonts w:hint="eastAsia" w:ascii="仿宋" w:hAnsi="仿宋" w:eastAsia="仿宋" w:cs="仿宋"/>
          <w:spacing w:val="-3"/>
          <w:sz w:val="24"/>
          <w:szCs w:val="24"/>
        </w:rPr>
        <w:t>授</w:t>
      </w:r>
      <w:r>
        <w:rPr>
          <w:rFonts w:hint="eastAsia" w:ascii="仿宋" w:hAnsi="仿宋" w:eastAsia="仿宋" w:cs="仿宋"/>
          <w:spacing w:val="-2"/>
          <w:sz w:val="24"/>
          <w:szCs w:val="24"/>
        </w:rPr>
        <w:t>权代表：</w:t>
      </w:r>
      <w:r>
        <w:rPr>
          <w:rFonts w:hint="eastAsia" w:ascii="仿宋" w:hAnsi="仿宋" w:eastAsia="仿宋" w:cs="仿宋"/>
          <w:sz w:val="24"/>
          <w:szCs w:val="24"/>
          <w:u w:val="dotted"/>
        </w:rPr>
        <w:t xml:space="preserve">                                         </w:t>
      </w:r>
    </w:p>
    <w:p w14:paraId="595200E3">
      <w:pPr>
        <w:spacing w:before="214" w:line="222" w:lineRule="auto"/>
        <w:ind w:left="506"/>
        <w:rPr>
          <w:rFonts w:hint="eastAsia" w:ascii="仿宋" w:hAnsi="仿宋" w:eastAsia="仿宋" w:cs="仿宋"/>
          <w:sz w:val="24"/>
          <w:szCs w:val="24"/>
        </w:rPr>
      </w:pPr>
      <w:r>
        <w:rPr>
          <w:rFonts w:hint="eastAsia" w:ascii="仿宋" w:hAnsi="仿宋" w:eastAsia="仿宋" w:cs="仿宋"/>
          <w:spacing w:val="-4"/>
          <w:sz w:val="24"/>
          <w:szCs w:val="24"/>
        </w:rPr>
        <w:t>联系</w:t>
      </w:r>
      <w:r>
        <w:rPr>
          <w:rFonts w:hint="eastAsia" w:ascii="仿宋" w:hAnsi="仿宋" w:eastAsia="仿宋" w:cs="仿宋"/>
          <w:spacing w:val="-2"/>
          <w:sz w:val="24"/>
          <w:szCs w:val="24"/>
        </w:rPr>
        <w:t>电话：</w:t>
      </w:r>
      <w:r>
        <w:rPr>
          <w:rFonts w:hint="eastAsia" w:ascii="仿宋" w:hAnsi="仿宋" w:eastAsia="仿宋" w:cs="仿宋"/>
          <w:sz w:val="24"/>
          <w:szCs w:val="24"/>
          <w:u w:val="dotted"/>
        </w:rPr>
        <w:t xml:space="preserve">                                          </w:t>
      </w:r>
    </w:p>
    <w:p w14:paraId="171F490B">
      <w:pPr>
        <w:spacing w:before="208" w:line="220" w:lineRule="auto"/>
        <w:ind w:left="505"/>
        <w:rPr>
          <w:rFonts w:hint="eastAsia" w:ascii="仿宋" w:hAnsi="仿宋" w:eastAsia="仿宋" w:cs="仿宋"/>
          <w:sz w:val="24"/>
          <w:szCs w:val="24"/>
        </w:rPr>
      </w:pPr>
      <w:r>
        <w:rPr>
          <w:rFonts w:hint="eastAsia" w:ascii="仿宋" w:hAnsi="仿宋" w:eastAsia="仿宋" w:cs="仿宋"/>
          <w:spacing w:val="-8"/>
          <w:sz w:val="24"/>
          <w:szCs w:val="24"/>
        </w:rPr>
        <w:t>地址：</w:t>
      </w:r>
      <w:r>
        <w:rPr>
          <w:rFonts w:hint="eastAsia" w:ascii="仿宋" w:hAnsi="仿宋" w:eastAsia="仿宋" w:cs="仿宋"/>
          <w:spacing w:val="-8"/>
          <w:sz w:val="24"/>
          <w:szCs w:val="24"/>
          <w:u w:val="dotted"/>
        </w:rPr>
        <w:t xml:space="preserve">   </w:t>
      </w:r>
      <w:r>
        <w:rPr>
          <w:rFonts w:hint="eastAsia" w:ascii="仿宋" w:hAnsi="仿宋" w:eastAsia="仿宋" w:cs="仿宋"/>
          <w:spacing w:val="-5"/>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邮编：</w:t>
      </w:r>
      <w:r>
        <w:rPr>
          <w:rFonts w:hint="eastAsia" w:ascii="仿宋" w:hAnsi="仿宋" w:eastAsia="仿宋" w:cs="仿宋"/>
          <w:sz w:val="24"/>
          <w:szCs w:val="24"/>
          <w:u w:val="dotted"/>
        </w:rPr>
        <w:t xml:space="preserve">                    </w:t>
      </w:r>
    </w:p>
    <w:p w14:paraId="4DA3AC92">
      <w:pPr>
        <w:spacing w:before="209" w:line="371" w:lineRule="exact"/>
        <w:ind w:left="27"/>
        <w:outlineLvl w:val="2"/>
        <w:rPr>
          <w:rFonts w:hint="eastAsia" w:ascii="仿宋" w:hAnsi="仿宋" w:eastAsia="仿宋" w:cs="仿宋"/>
          <w:sz w:val="24"/>
          <w:szCs w:val="24"/>
        </w:rPr>
      </w:pPr>
      <w:bookmarkStart w:id="92" w:name="_Toc110010426"/>
      <w:bookmarkStart w:id="93" w:name="_Toc5252"/>
      <w:bookmarkStart w:id="94" w:name="_Toc11768"/>
      <w:bookmarkStart w:id="95" w:name="_Toc15098"/>
      <w:r>
        <w:rPr>
          <w:rFonts w:hint="eastAsia" w:ascii="仿宋" w:hAnsi="仿宋" w:eastAsia="仿宋" w:cs="仿宋"/>
          <w:spacing w:val="-2"/>
          <w:position w:val="1"/>
          <w:sz w:val="24"/>
          <w:szCs w:val="24"/>
        </w:rPr>
        <w:t>二、质疑项</w:t>
      </w:r>
      <w:r>
        <w:rPr>
          <w:rFonts w:hint="eastAsia" w:ascii="仿宋" w:hAnsi="仿宋" w:eastAsia="仿宋" w:cs="仿宋"/>
          <w:spacing w:val="-1"/>
          <w:position w:val="1"/>
          <w:sz w:val="24"/>
          <w:szCs w:val="24"/>
        </w:rPr>
        <w:t>目基本情况</w:t>
      </w:r>
      <w:bookmarkEnd w:id="92"/>
      <w:bookmarkEnd w:id="93"/>
      <w:bookmarkEnd w:id="94"/>
      <w:bookmarkEnd w:id="95"/>
    </w:p>
    <w:p w14:paraId="6E8F95F2">
      <w:pPr>
        <w:spacing w:before="173" w:line="221" w:lineRule="auto"/>
        <w:ind w:left="506"/>
        <w:rPr>
          <w:rFonts w:hint="eastAsia" w:ascii="仿宋" w:hAnsi="仿宋" w:eastAsia="仿宋" w:cs="仿宋"/>
          <w:sz w:val="24"/>
          <w:szCs w:val="24"/>
        </w:rPr>
      </w:pPr>
      <w:r>
        <w:rPr>
          <w:rFonts w:hint="eastAsia" w:ascii="仿宋" w:hAnsi="仿宋" w:eastAsia="仿宋" w:cs="仿宋"/>
          <w:spacing w:val="-2"/>
          <w:sz w:val="24"/>
          <w:szCs w:val="24"/>
        </w:rPr>
        <w:t>质疑项目</w:t>
      </w:r>
      <w:r>
        <w:rPr>
          <w:rFonts w:hint="eastAsia" w:ascii="仿宋" w:hAnsi="仿宋" w:eastAsia="仿宋" w:cs="仿宋"/>
          <w:spacing w:val="-1"/>
          <w:sz w:val="24"/>
          <w:szCs w:val="24"/>
        </w:rPr>
        <w:t>的名称：</w:t>
      </w:r>
      <w:r>
        <w:rPr>
          <w:rFonts w:hint="eastAsia" w:ascii="仿宋" w:hAnsi="仿宋" w:eastAsia="仿宋" w:cs="仿宋"/>
          <w:sz w:val="24"/>
          <w:szCs w:val="24"/>
          <w:u w:val="dotted"/>
        </w:rPr>
        <w:t xml:space="preserve">                                         </w:t>
      </w:r>
    </w:p>
    <w:p w14:paraId="106C42E1">
      <w:pPr>
        <w:spacing w:before="210" w:line="220" w:lineRule="auto"/>
        <w:ind w:left="506"/>
        <w:rPr>
          <w:rFonts w:hint="eastAsia" w:ascii="仿宋" w:hAnsi="仿宋" w:eastAsia="仿宋" w:cs="仿宋"/>
          <w:sz w:val="24"/>
          <w:szCs w:val="24"/>
        </w:rPr>
      </w:pPr>
      <w:r>
        <w:rPr>
          <w:rFonts w:hint="eastAsia" w:ascii="仿宋" w:hAnsi="仿宋" w:eastAsia="仿宋" w:cs="仿宋"/>
          <w:spacing w:val="-10"/>
          <w:sz w:val="24"/>
          <w:szCs w:val="24"/>
        </w:rPr>
        <w:t>质疑项</w:t>
      </w:r>
      <w:r>
        <w:rPr>
          <w:rFonts w:hint="eastAsia" w:ascii="仿宋" w:hAnsi="仿宋" w:eastAsia="仿宋" w:cs="仿宋"/>
          <w:spacing w:val="-9"/>
          <w:sz w:val="24"/>
          <w:szCs w:val="24"/>
        </w:rPr>
        <w:t>目</w:t>
      </w:r>
      <w:r>
        <w:rPr>
          <w:rFonts w:hint="eastAsia" w:ascii="仿宋" w:hAnsi="仿宋" w:eastAsia="仿宋" w:cs="仿宋"/>
          <w:spacing w:val="-5"/>
          <w:sz w:val="24"/>
          <w:szCs w:val="24"/>
        </w:rPr>
        <w:t>的编号：</w:t>
      </w:r>
      <w:r>
        <w:rPr>
          <w:rFonts w:hint="eastAsia" w:ascii="仿宋" w:hAnsi="仿宋" w:eastAsia="仿宋" w:cs="仿宋"/>
          <w:spacing w:val="-5"/>
          <w:sz w:val="24"/>
          <w:szCs w:val="24"/>
          <w:u w:val="dotted"/>
        </w:rPr>
        <w:t xml:space="preserve">                </w:t>
      </w:r>
      <w:r>
        <w:rPr>
          <w:rFonts w:hint="eastAsia" w:ascii="仿宋" w:hAnsi="仿宋" w:eastAsia="仿宋" w:cs="仿宋"/>
          <w:spacing w:val="-5"/>
          <w:sz w:val="24"/>
          <w:szCs w:val="24"/>
        </w:rPr>
        <w:t>包号：</w:t>
      </w:r>
      <w:r>
        <w:rPr>
          <w:rFonts w:hint="eastAsia" w:ascii="仿宋" w:hAnsi="仿宋" w:eastAsia="仿宋" w:cs="仿宋"/>
          <w:sz w:val="24"/>
          <w:szCs w:val="24"/>
          <w:u w:val="dotted"/>
        </w:rPr>
        <w:t xml:space="preserve">                    </w:t>
      </w:r>
    </w:p>
    <w:p w14:paraId="4C16A82D">
      <w:pPr>
        <w:spacing w:before="212" w:line="219" w:lineRule="auto"/>
        <w:ind w:left="503"/>
        <w:rPr>
          <w:rFonts w:hint="eastAsia" w:ascii="仿宋" w:hAnsi="仿宋" w:eastAsia="仿宋" w:cs="仿宋"/>
          <w:sz w:val="24"/>
          <w:szCs w:val="24"/>
        </w:rPr>
      </w:pPr>
      <w:r>
        <w:rPr>
          <w:rFonts w:hint="eastAsia" w:ascii="仿宋" w:hAnsi="仿宋" w:eastAsia="仿宋" w:cs="仿宋"/>
          <w:spacing w:val="-2"/>
          <w:sz w:val="24"/>
          <w:szCs w:val="24"/>
        </w:rPr>
        <w:t>采购人名</w:t>
      </w:r>
      <w:r>
        <w:rPr>
          <w:rFonts w:hint="eastAsia" w:ascii="仿宋" w:hAnsi="仿宋" w:eastAsia="仿宋" w:cs="仿宋"/>
          <w:spacing w:val="-1"/>
          <w:sz w:val="24"/>
          <w:szCs w:val="24"/>
        </w:rPr>
        <w:t>称：</w:t>
      </w:r>
      <w:r>
        <w:rPr>
          <w:rFonts w:hint="eastAsia" w:ascii="仿宋" w:hAnsi="仿宋" w:eastAsia="仿宋" w:cs="仿宋"/>
          <w:sz w:val="24"/>
          <w:szCs w:val="24"/>
          <w:u w:val="dotted"/>
        </w:rPr>
        <w:t xml:space="preserve">                                           </w:t>
      </w:r>
    </w:p>
    <w:p w14:paraId="1AA8F17E">
      <w:pPr>
        <w:spacing w:before="212" w:line="219" w:lineRule="auto"/>
        <w:ind w:left="503"/>
        <w:rPr>
          <w:rFonts w:hint="eastAsia" w:ascii="仿宋" w:hAnsi="仿宋" w:eastAsia="仿宋" w:cs="仿宋"/>
          <w:sz w:val="24"/>
          <w:szCs w:val="24"/>
        </w:rPr>
      </w:pPr>
      <w:r>
        <w:rPr>
          <w:rFonts w:hint="eastAsia" w:ascii="仿宋" w:hAnsi="仿宋" w:eastAsia="仿宋" w:cs="仿宋"/>
          <w:spacing w:val="-2"/>
          <w:sz w:val="24"/>
          <w:szCs w:val="24"/>
        </w:rPr>
        <w:t>采购</w:t>
      </w:r>
      <w:r>
        <w:rPr>
          <w:rFonts w:hint="eastAsia" w:ascii="仿宋" w:hAnsi="仿宋" w:eastAsia="仿宋" w:cs="仿宋"/>
          <w:spacing w:val="-1"/>
          <w:sz w:val="24"/>
          <w:szCs w:val="24"/>
        </w:rPr>
        <w:t>文件获取日期：</w:t>
      </w:r>
      <w:r>
        <w:rPr>
          <w:rFonts w:hint="eastAsia" w:ascii="仿宋" w:hAnsi="仿宋" w:eastAsia="仿宋" w:cs="仿宋"/>
          <w:sz w:val="24"/>
          <w:szCs w:val="24"/>
          <w:u w:val="dotted"/>
        </w:rPr>
        <w:t xml:space="preserve">                                       </w:t>
      </w:r>
    </w:p>
    <w:p w14:paraId="13CA67AD">
      <w:pPr>
        <w:spacing w:before="213" w:line="237" w:lineRule="auto"/>
        <w:ind w:left="22"/>
        <w:outlineLvl w:val="2"/>
        <w:rPr>
          <w:rFonts w:hint="eastAsia" w:ascii="仿宋" w:hAnsi="仿宋" w:eastAsia="仿宋" w:cs="仿宋"/>
          <w:sz w:val="24"/>
          <w:szCs w:val="24"/>
        </w:rPr>
      </w:pPr>
      <w:bookmarkStart w:id="96" w:name="_Toc110010427"/>
      <w:bookmarkStart w:id="97" w:name="_Toc20943"/>
      <w:bookmarkStart w:id="98" w:name="_Toc23194"/>
      <w:bookmarkStart w:id="99" w:name="_Toc32569"/>
      <w:r>
        <w:rPr>
          <w:rFonts w:hint="eastAsia" w:ascii="仿宋" w:hAnsi="仿宋" w:eastAsia="仿宋" w:cs="仿宋"/>
          <w:spacing w:val="-2"/>
          <w:sz w:val="24"/>
          <w:szCs w:val="24"/>
        </w:rPr>
        <w:t>三</w:t>
      </w:r>
      <w:r>
        <w:rPr>
          <w:rFonts w:hint="eastAsia" w:ascii="仿宋" w:hAnsi="仿宋" w:eastAsia="仿宋" w:cs="仿宋"/>
          <w:spacing w:val="-1"/>
          <w:sz w:val="24"/>
          <w:szCs w:val="24"/>
        </w:rPr>
        <w:t>、质疑事项具体内容</w:t>
      </w:r>
      <w:bookmarkEnd w:id="96"/>
      <w:bookmarkEnd w:id="97"/>
      <w:bookmarkEnd w:id="98"/>
      <w:bookmarkEnd w:id="99"/>
    </w:p>
    <w:p w14:paraId="65E44019">
      <w:pPr>
        <w:spacing w:before="184" w:line="221" w:lineRule="auto"/>
        <w:ind w:left="506"/>
        <w:rPr>
          <w:rFonts w:hint="eastAsia" w:ascii="仿宋" w:hAnsi="仿宋" w:eastAsia="仿宋" w:cs="仿宋"/>
          <w:sz w:val="24"/>
          <w:szCs w:val="24"/>
        </w:rPr>
      </w:pPr>
      <w:r>
        <w:rPr>
          <w:rFonts w:hint="eastAsia" w:ascii="仿宋" w:hAnsi="仿宋" w:eastAsia="仿宋" w:cs="仿宋"/>
          <w:spacing w:val="-17"/>
          <w:sz w:val="24"/>
          <w:szCs w:val="24"/>
        </w:rPr>
        <w:t>质</w:t>
      </w:r>
      <w:r>
        <w:rPr>
          <w:rFonts w:hint="eastAsia" w:ascii="仿宋" w:hAnsi="仿宋" w:eastAsia="仿宋" w:cs="仿宋"/>
          <w:spacing w:val="-11"/>
          <w:sz w:val="24"/>
          <w:szCs w:val="24"/>
        </w:rPr>
        <w:t>疑事项 1：</w:t>
      </w:r>
      <w:r>
        <w:rPr>
          <w:rFonts w:hint="eastAsia" w:ascii="仿宋" w:hAnsi="仿宋" w:eastAsia="仿宋" w:cs="仿宋"/>
          <w:sz w:val="24"/>
          <w:szCs w:val="24"/>
          <w:u w:val="dotted"/>
        </w:rPr>
        <w:t xml:space="preserve">                                             </w:t>
      </w:r>
    </w:p>
    <w:p w14:paraId="153D1C91">
      <w:pPr>
        <w:spacing w:before="211" w:line="219" w:lineRule="auto"/>
        <w:ind w:left="505"/>
        <w:rPr>
          <w:rFonts w:hint="eastAsia" w:ascii="仿宋" w:hAnsi="仿宋" w:eastAsia="仿宋" w:cs="仿宋"/>
          <w:sz w:val="24"/>
          <w:szCs w:val="24"/>
        </w:rPr>
      </w:pPr>
      <w:r>
        <w:rPr>
          <w:rFonts w:hint="eastAsia" w:ascii="仿宋" w:hAnsi="仿宋" w:eastAsia="仿宋" w:cs="仿宋"/>
          <w:spacing w:val="-4"/>
          <w:sz w:val="24"/>
          <w:szCs w:val="24"/>
        </w:rPr>
        <w:t>事</w:t>
      </w:r>
      <w:r>
        <w:rPr>
          <w:rFonts w:hint="eastAsia" w:ascii="仿宋" w:hAnsi="仿宋" w:eastAsia="仿宋" w:cs="仿宋"/>
          <w:spacing w:val="-2"/>
          <w:sz w:val="24"/>
          <w:szCs w:val="24"/>
        </w:rPr>
        <w:t>实依据：</w:t>
      </w:r>
      <w:r>
        <w:rPr>
          <w:rFonts w:hint="eastAsia" w:ascii="仿宋" w:hAnsi="仿宋" w:eastAsia="仿宋" w:cs="仿宋"/>
          <w:sz w:val="24"/>
          <w:szCs w:val="24"/>
          <w:u w:val="dotted"/>
        </w:rPr>
        <w:t xml:space="preserve">                                             </w:t>
      </w:r>
    </w:p>
    <w:p w14:paraId="57915F06">
      <w:pPr>
        <w:tabs>
          <w:tab w:val="left" w:pos="8322"/>
        </w:tabs>
        <w:spacing w:before="286" w:line="241" w:lineRule="exact"/>
        <w:ind w:left="494"/>
        <w:rPr>
          <w:rFonts w:hint="eastAsia" w:ascii="仿宋" w:hAnsi="仿宋" w:eastAsia="仿宋" w:cs="仿宋"/>
          <w:sz w:val="24"/>
          <w:szCs w:val="24"/>
        </w:rPr>
      </w:pPr>
      <w:r>
        <w:rPr>
          <w:rFonts w:hint="eastAsia" w:ascii="仿宋" w:hAnsi="仿宋" w:eastAsia="仿宋" w:cs="仿宋"/>
          <w:sz w:val="24"/>
          <w:szCs w:val="24"/>
          <w:u w:val="single"/>
        </w:rPr>
        <w:tab/>
      </w:r>
    </w:p>
    <w:p w14:paraId="685E3AB2">
      <w:pPr>
        <w:spacing w:before="230" w:line="219" w:lineRule="auto"/>
        <w:ind w:left="506"/>
        <w:rPr>
          <w:rFonts w:hint="eastAsia" w:ascii="仿宋" w:hAnsi="仿宋" w:eastAsia="仿宋" w:cs="仿宋"/>
          <w:sz w:val="24"/>
          <w:szCs w:val="24"/>
        </w:rPr>
      </w:pPr>
      <w:r>
        <w:rPr>
          <w:rFonts w:hint="eastAsia" w:ascii="仿宋" w:hAnsi="仿宋" w:eastAsia="仿宋" w:cs="仿宋"/>
          <w:spacing w:val="-4"/>
          <w:sz w:val="24"/>
          <w:szCs w:val="24"/>
        </w:rPr>
        <w:t>法律</w:t>
      </w:r>
      <w:r>
        <w:rPr>
          <w:rFonts w:hint="eastAsia" w:ascii="仿宋" w:hAnsi="仿宋" w:eastAsia="仿宋" w:cs="仿宋"/>
          <w:spacing w:val="-2"/>
          <w:sz w:val="24"/>
          <w:szCs w:val="24"/>
        </w:rPr>
        <w:t>依据：</w:t>
      </w:r>
      <w:r>
        <w:rPr>
          <w:rFonts w:hint="eastAsia" w:ascii="仿宋" w:hAnsi="仿宋" w:eastAsia="仿宋" w:cs="仿宋"/>
          <w:sz w:val="24"/>
          <w:szCs w:val="24"/>
          <w:u w:val="dotted"/>
        </w:rPr>
        <w:t xml:space="preserve">                                             </w:t>
      </w:r>
    </w:p>
    <w:p w14:paraId="7100F454">
      <w:pPr>
        <w:tabs>
          <w:tab w:val="left" w:pos="8322"/>
        </w:tabs>
        <w:spacing w:before="289" w:line="241" w:lineRule="exact"/>
        <w:ind w:left="494"/>
        <w:rPr>
          <w:rFonts w:hint="eastAsia" w:ascii="仿宋" w:hAnsi="仿宋" w:eastAsia="仿宋" w:cs="仿宋"/>
          <w:sz w:val="24"/>
          <w:szCs w:val="24"/>
        </w:rPr>
      </w:pPr>
      <w:r>
        <w:rPr>
          <w:rFonts w:hint="eastAsia" w:ascii="仿宋" w:hAnsi="仿宋" w:eastAsia="仿宋" w:cs="仿宋"/>
          <w:sz w:val="24"/>
          <w:szCs w:val="24"/>
          <w:u w:val="single"/>
        </w:rPr>
        <w:tab/>
      </w:r>
    </w:p>
    <w:p w14:paraId="692A58E0">
      <w:pPr>
        <w:spacing w:before="227" w:line="545" w:lineRule="exact"/>
        <w:ind w:left="506"/>
        <w:rPr>
          <w:rFonts w:hint="eastAsia" w:ascii="仿宋" w:hAnsi="仿宋" w:eastAsia="仿宋" w:cs="仿宋"/>
          <w:sz w:val="24"/>
          <w:szCs w:val="24"/>
        </w:rPr>
      </w:pPr>
      <w:r>
        <w:rPr>
          <w:rFonts w:hint="eastAsia" w:ascii="仿宋" w:hAnsi="仿宋" w:eastAsia="仿宋" w:cs="仿宋"/>
          <w:spacing w:val="-15"/>
          <w:position w:val="19"/>
          <w:sz w:val="24"/>
          <w:szCs w:val="24"/>
        </w:rPr>
        <w:t>质</w:t>
      </w:r>
      <w:r>
        <w:rPr>
          <w:rFonts w:hint="eastAsia" w:ascii="仿宋" w:hAnsi="仿宋" w:eastAsia="仿宋" w:cs="仿宋"/>
          <w:spacing w:val="-11"/>
          <w:position w:val="19"/>
          <w:sz w:val="24"/>
          <w:szCs w:val="24"/>
        </w:rPr>
        <w:t>疑事项 2</w:t>
      </w:r>
    </w:p>
    <w:p w14:paraId="7BBA0AE4">
      <w:pPr>
        <w:spacing w:line="442" w:lineRule="exact"/>
        <w:ind w:left="522"/>
        <w:rPr>
          <w:rFonts w:hint="eastAsia" w:ascii="仿宋" w:hAnsi="仿宋" w:eastAsia="仿宋" w:cs="仿宋"/>
          <w:sz w:val="24"/>
          <w:szCs w:val="24"/>
        </w:rPr>
      </w:pPr>
      <w:r>
        <w:rPr>
          <w:rFonts w:hint="eastAsia" w:ascii="仿宋" w:hAnsi="仿宋" w:eastAsia="仿宋" w:cs="仿宋"/>
          <w:position w:val="3"/>
          <w:sz w:val="24"/>
          <w:szCs w:val="24"/>
        </w:rPr>
        <w:t>……</w:t>
      </w:r>
    </w:p>
    <w:p w14:paraId="5C20C45E">
      <w:pPr>
        <w:jc w:val="center"/>
        <w:rPr>
          <w:rFonts w:hint="eastAsia" w:ascii="仿宋" w:hAnsi="仿宋" w:eastAsia="仿宋" w:cs="仿宋"/>
          <w:sz w:val="24"/>
          <w:szCs w:val="24"/>
        </w:rPr>
      </w:pPr>
    </w:p>
    <w:p w14:paraId="503A6B8C">
      <w:pPr>
        <w:spacing w:before="54" w:line="185" w:lineRule="auto"/>
        <w:rPr>
          <w:rFonts w:hint="eastAsia" w:ascii="仿宋" w:hAnsi="仿宋" w:eastAsia="仿宋" w:cs="仿宋"/>
          <w:sz w:val="24"/>
          <w:szCs w:val="24"/>
        </w:rPr>
      </w:pPr>
      <w:r>
        <w:rPr>
          <w:rFonts w:hint="eastAsia" w:ascii="仿宋" w:hAnsi="仿宋" w:eastAsia="仿宋" w:cs="仿宋"/>
          <w:spacing w:val="-2"/>
          <w:sz w:val="24"/>
          <w:szCs w:val="24"/>
        </w:rPr>
        <w:t>签字</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签</w:t>
      </w:r>
      <w:r>
        <w:rPr>
          <w:rFonts w:hint="eastAsia" w:ascii="仿宋" w:hAnsi="仿宋" w:eastAsia="仿宋" w:cs="仿宋"/>
          <w:spacing w:val="-1"/>
          <w:sz w:val="24"/>
          <w:szCs w:val="24"/>
        </w:rPr>
        <w:t>章</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                          日期</w:t>
      </w:r>
      <w:r>
        <w:rPr>
          <w:rFonts w:hint="eastAsia" w:ascii="仿宋" w:hAnsi="仿宋" w:eastAsia="仿宋" w:cs="仿宋"/>
          <w:spacing w:val="-6"/>
          <w:sz w:val="24"/>
          <w:szCs w:val="24"/>
        </w:rPr>
        <w:t>：</w:t>
      </w:r>
    </w:p>
    <w:p w14:paraId="46642226">
      <w:pPr>
        <w:spacing w:before="56" w:line="185" w:lineRule="auto"/>
        <w:rPr>
          <w:rFonts w:hint="eastAsia" w:ascii="仿宋" w:hAnsi="仿宋" w:eastAsia="仿宋" w:cs="仿宋"/>
          <w:sz w:val="24"/>
          <w:szCs w:val="24"/>
        </w:rPr>
      </w:pPr>
    </w:p>
    <w:p w14:paraId="3ECB5D6A">
      <w:pPr>
        <w:spacing w:line="14" w:lineRule="auto"/>
        <w:rPr>
          <w:rFonts w:hint="eastAsia" w:ascii="仿宋" w:hAnsi="仿宋" w:eastAsia="仿宋" w:cs="仿宋"/>
          <w:sz w:val="24"/>
          <w:szCs w:val="24"/>
        </w:rPr>
        <w:sectPr>
          <w:footerReference r:id="rId5" w:type="default"/>
          <w:pgSz w:w="11906" w:h="16839"/>
          <w:pgMar w:top="1440" w:right="1080" w:bottom="1440" w:left="1080" w:header="0" w:footer="994" w:gutter="0"/>
          <w:pgNumType w:fmt="decimal"/>
          <w:cols w:space="720" w:num="1"/>
        </w:sectPr>
      </w:pPr>
    </w:p>
    <w:p w14:paraId="7E269FFC">
      <w:pPr>
        <w:rPr>
          <w:rFonts w:hint="eastAsia" w:ascii="仿宋" w:hAnsi="仿宋" w:eastAsia="仿宋" w:cs="仿宋"/>
          <w:sz w:val="24"/>
          <w:szCs w:val="24"/>
        </w:rPr>
        <w:sectPr>
          <w:footerReference r:id="rId6" w:type="default"/>
          <w:type w:val="continuous"/>
          <w:pgSz w:w="11906" w:h="16839"/>
          <w:pgMar w:top="1440" w:right="1800" w:bottom="1440" w:left="1800" w:header="0" w:footer="994" w:gutter="0"/>
          <w:pgNumType w:fmt="decimal"/>
          <w:cols w:equalWidth="0" w:num="2">
            <w:col w:w="4738" w:space="100"/>
            <w:col w:w="3467"/>
          </w:cols>
        </w:sectPr>
      </w:pPr>
    </w:p>
    <w:p w14:paraId="4064F1C3">
      <w:pPr>
        <w:spacing w:line="478" w:lineRule="auto"/>
        <w:rPr>
          <w:rFonts w:hint="eastAsia" w:ascii="仿宋" w:hAnsi="仿宋" w:eastAsia="仿宋" w:cs="仿宋"/>
          <w:sz w:val="24"/>
          <w:szCs w:val="24"/>
        </w:rPr>
      </w:pPr>
    </w:p>
    <w:p w14:paraId="22273D50">
      <w:pPr>
        <w:spacing w:before="91" w:line="220" w:lineRule="auto"/>
        <w:ind w:left="506"/>
        <w:rPr>
          <w:rFonts w:hint="eastAsia" w:ascii="仿宋" w:hAnsi="仿宋" w:eastAsia="仿宋" w:cs="仿宋"/>
          <w:sz w:val="24"/>
          <w:szCs w:val="24"/>
        </w:rPr>
      </w:pPr>
      <w:r>
        <w:rPr>
          <w:rFonts w:hint="eastAsia" w:ascii="仿宋" w:hAnsi="仿宋" w:eastAsia="仿宋" w:cs="仿宋"/>
          <w:spacing w:val="-2"/>
          <w:sz w:val="24"/>
          <w:szCs w:val="24"/>
        </w:rPr>
        <w:t>质疑函制</w:t>
      </w:r>
      <w:r>
        <w:rPr>
          <w:rFonts w:hint="eastAsia" w:ascii="仿宋" w:hAnsi="仿宋" w:eastAsia="仿宋" w:cs="仿宋"/>
          <w:spacing w:val="-1"/>
          <w:sz w:val="24"/>
          <w:szCs w:val="24"/>
        </w:rPr>
        <w:t>作说明：</w:t>
      </w:r>
    </w:p>
    <w:p w14:paraId="2FF97198">
      <w:pPr>
        <w:spacing w:before="31" w:line="239" w:lineRule="auto"/>
        <w:ind w:left="525"/>
        <w:rPr>
          <w:rFonts w:hint="eastAsia" w:ascii="仿宋" w:hAnsi="仿宋" w:eastAsia="仿宋" w:cs="仿宋"/>
          <w:sz w:val="24"/>
          <w:szCs w:val="24"/>
        </w:rPr>
      </w:pPr>
      <w:r>
        <w:rPr>
          <w:rFonts w:hint="eastAsia" w:ascii="仿宋" w:hAnsi="仿宋" w:eastAsia="仿宋" w:cs="仿宋"/>
          <w:spacing w:val="-2"/>
          <w:sz w:val="24"/>
          <w:szCs w:val="24"/>
        </w:rPr>
        <w:t>1.供应商提</w:t>
      </w:r>
      <w:r>
        <w:rPr>
          <w:rFonts w:hint="eastAsia" w:ascii="仿宋" w:hAnsi="仿宋" w:eastAsia="仿宋" w:cs="仿宋"/>
          <w:spacing w:val="-1"/>
          <w:sz w:val="24"/>
          <w:szCs w:val="24"/>
        </w:rPr>
        <w:t>出质疑时，应提交质疑函和必要的证明材料。</w:t>
      </w:r>
    </w:p>
    <w:p w14:paraId="75FBB26E">
      <w:pPr>
        <w:spacing w:before="2" w:line="239" w:lineRule="auto"/>
        <w:ind w:left="3" w:right="8" w:firstLine="504"/>
        <w:rPr>
          <w:rFonts w:hint="eastAsia" w:ascii="仿宋" w:hAnsi="仿宋" w:eastAsia="仿宋" w:cs="仿宋"/>
          <w:sz w:val="24"/>
          <w:szCs w:val="24"/>
        </w:rPr>
      </w:pPr>
      <w:r>
        <w:rPr>
          <w:rFonts w:hint="eastAsia" w:ascii="仿宋" w:hAnsi="仿宋" w:eastAsia="仿宋" w:cs="仿宋"/>
          <w:spacing w:val="11"/>
          <w:sz w:val="24"/>
          <w:szCs w:val="24"/>
        </w:rPr>
        <w:t>2</w:t>
      </w:r>
      <w:r>
        <w:rPr>
          <w:rFonts w:hint="eastAsia" w:ascii="仿宋" w:hAnsi="仿宋" w:eastAsia="仿宋" w:cs="仿宋"/>
          <w:spacing w:val="9"/>
          <w:sz w:val="24"/>
          <w:szCs w:val="24"/>
        </w:rPr>
        <w:t>.质疑供应商若委托代理人进行质疑的，质疑函应按要求列明</w:t>
      </w:r>
      <w:r>
        <w:rPr>
          <w:rFonts w:hint="eastAsia" w:ascii="仿宋" w:hAnsi="仿宋" w:eastAsia="仿宋" w:cs="仿宋"/>
          <w:spacing w:val="-4"/>
          <w:sz w:val="24"/>
          <w:szCs w:val="24"/>
        </w:rPr>
        <w:t>“授权代表”的有关内</w:t>
      </w:r>
      <w:r>
        <w:rPr>
          <w:rFonts w:hint="eastAsia" w:ascii="仿宋" w:hAnsi="仿宋" w:eastAsia="仿宋" w:cs="仿宋"/>
          <w:spacing w:val="-3"/>
          <w:sz w:val="24"/>
          <w:szCs w:val="24"/>
        </w:rPr>
        <w:t>容</w:t>
      </w:r>
      <w:r>
        <w:rPr>
          <w:rFonts w:hint="eastAsia" w:ascii="仿宋" w:hAnsi="仿宋" w:eastAsia="仿宋" w:cs="仿宋"/>
          <w:spacing w:val="-2"/>
          <w:sz w:val="24"/>
          <w:szCs w:val="24"/>
        </w:rPr>
        <w:t>，并在附件中提交由质疑供应商签署的授权</w:t>
      </w:r>
      <w:r>
        <w:rPr>
          <w:rFonts w:hint="eastAsia" w:ascii="仿宋" w:hAnsi="仿宋" w:eastAsia="仿宋" w:cs="仿宋"/>
          <w:spacing w:val="-4"/>
          <w:sz w:val="24"/>
          <w:szCs w:val="24"/>
        </w:rPr>
        <w:t>委托书。授权委托书</w:t>
      </w:r>
      <w:r>
        <w:rPr>
          <w:rFonts w:hint="eastAsia" w:ascii="仿宋" w:hAnsi="仿宋" w:eastAsia="仿宋" w:cs="仿宋"/>
          <w:spacing w:val="-2"/>
          <w:sz w:val="24"/>
          <w:szCs w:val="24"/>
        </w:rPr>
        <w:t>应载明代理人的姓名或者名称、代理事项、具体</w:t>
      </w:r>
      <w:r>
        <w:rPr>
          <w:rFonts w:hint="eastAsia" w:ascii="仿宋" w:hAnsi="仿宋" w:eastAsia="仿宋" w:cs="仿宋"/>
          <w:sz w:val="24"/>
          <w:szCs w:val="24"/>
        </w:rPr>
        <w:t xml:space="preserve"> </w:t>
      </w:r>
      <w:r>
        <w:rPr>
          <w:rFonts w:hint="eastAsia" w:ascii="仿宋" w:hAnsi="仿宋" w:eastAsia="仿宋" w:cs="仿宋"/>
          <w:spacing w:val="1"/>
          <w:sz w:val="24"/>
          <w:szCs w:val="24"/>
        </w:rPr>
        <w:t>权限、期限和相关事</w:t>
      </w:r>
      <w:r>
        <w:rPr>
          <w:rFonts w:hint="eastAsia" w:ascii="仿宋" w:hAnsi="仿宋" w:eastAsia="仿宋" w:cs="仿宋"/>
          <w:sz w:val="24"/>
          <w:szCs w:val="24"/>
        </w:rPr>
        <w:t>项。</w:t>
      </w:r>
    </w:p>
    <w:p w14:paraId="1330C3F8">
      <w:pPr>
        <w:spacing w:before="2" w:line="239" w:lineRule="auto"/>
        <w:ind w:left="22" w:right="8" w:firstLine="488"/>
        <w:rPr>
          <w:rFonts w:hint="eastAsia" w:ascii="仿宋" w:hAnsi="仿宋" w:eastAsia="仿宋" w:cs="仿宋"/>
          <w:sz w:val="24"/>
          <w:szCs w:val="24"/>
        </w:rPr>
      </w:pPr>
      <w:r>
        <w:rPr>
          <w:rFonts w:hint="eastAsia" w:ascii="仿宋" w:hAnsi="仿宋" w:eastAsia="仿宋" w:cs="仿宋"/>
          <w:spacing w:val="-1"/>
          <w:sz w:val="24"/>
          <w:szCs w:val="24"/>
        </w:rPr>
        <w:t>3.质疑供应商若对项目的某一分包进行质疑，质疑函中应</w:t>
      </w:r>
      <w:r>
        <w:rPr>
          <w:rFonts w:hint="eastAsia" w:ascii="仿宋" w:hAnsi="仿宋" w:eastAsia="仿宋" w:cs="仿宋"/>
          <w:sz w:val="24"/>
          <w:szCs w:val="24"/>
        </w:rPr>
        <w:t>列明具</w:t>
      </w:r>
      <w:r>
        <w:rPr>
          <w:rFonts w:hint="eastAsia" w:ascii="仿宋" w:hAnsi="仿宋" w:eastAsia="仿宋" w:cs="仿宋"/>
          <w:spacing w:val="-2"/>
          <w:sz w:val="24"/>
          <w:szCs w:val="24"/>
        </w:rPr>
        <w:t>体分包号。</w:t>
      </w:r>
    </w:p>
    <w:p w14:paraId="63622612">
      <w:pPr>
        <w:spacing w:before="2" w:line="239" w:lineRule="auto"/>
        <w:ind w:left="24" w:right="11" w:firstLine="479"/>
        <w:rPr>
          <w:rFonts w:hint="eastAsia" w:ascii="仿宋" w:hAnsi="仿宋" w:eastAsia="仿宋" w:cs="仿宋"/>
          <w:sz w:val="24"/>
          <w:szCs w:val="24"/>
        </w:rPr>
      </w:pPr>
      <w:r>
        <w:rPr>
          <w:rFonts w:hint="eastAsia" w:ascii="仿宋" w:hAnsi="仿宋" w:eastAsia="仿宋" w:cs="仿宋"/>
          <w:spacing w:val="-1"/>
          <w:sz w:val="24"/>
          <w:szCs w:val="24"/>
        </w:rPr>
        <w:t>4.质疑函的质疑事项应具体、明确，并有必要</w:t>
      </w:r>
      <w:r>
        <w:rPr>
          <w:rFonts w:hint="eastAsia" w:ascii="仿宋" w:hAnsi="仿宋" w:eastAsia="仿宋" w:cs="仿宋"/>
          <w:sz w:val="24"/>
          <w:szCs w:val="24"/>
        </w:rPr>
        <w:t>的事实依据和法律</w:t>
      </w:r>
      <w:r>
        <w:rPr>
          <w:rFonts w:hint="eastAsia" w:ascii="仿宋" w:hAnsi="仿宋" w:eastAsia="仿宋" w:cs="仿宋"/>
          <w:spacing w:val="-4"/>
          <w:sz w:val="24"/>
          <w:szCs w:val="24"/>
        </w:rPr>
        <w:t>依据。</w:t>
      </w:r>
    </w:p>
    <w:p w14:paraId="30791FA5">
      <w:pPr>
        <w:spacing w:before="1" w:line="238" w:lineRule="auto"/>
        <w:ind w:left="510"/>
        <w:rPr>
          <w:rFonts w:hint="eastAsia" w:ascii="仿宋" w:hAnsi="仿宋" w:eastAsia="仿宋" w:cs="仿宋"/>
          <w:sz w:val="24"/>
          <w:szCs w:val="24"/>
        </w:rPr>
      </w:pPr>
      <w:r>
        <w:rPr>
          <w:rFonts w:hint="eastAsia" w:ascii="仿宋" w:hAnsi="仿宋" w:eastAsia="仿宋" w:cs="仿宋"/>
          <w:spacing w:val="-1"/>
          <w:sz w:val="24"/>
          <w:szCs w:val="24"/>
        </w:rPr>
        <w:t>5.质疑函的质疑请求应与质疑事项相关</w:t>
      </w:r>
      <w:r>
        <w:rPr>
          <w:rFonts w:hint="eastAsia" w:ascii="仿宋" w:hAnsi="仿宋" w:eastAsia="仿宋" w:cs="仿宋"/>
          <w:sz w:val="24"/>
          <w:szCs w:val="24"/>
        </w:rPr>
        <w:t>。</w:t>
      </w:r>
    </w:p>
    <w:p w14:paraId="402E90F2">
      <w:pPr>
        <w:spacing w:before="3" w:line="248" w:lineRule="auto"/>
        <w:ind w:left="21" w:right="11" w:firstLine="485"/>
        <w:rPr>
          <w:rFonts w:hint="eastAsia" w:ascii="仿宋" w:hAnsi="仿宋" w:eastAsia="仿宋" w:cs="仿宋"/>
          <w:sz w:val="24"/>
          <w:szCs w:val="24"/>
        </w:rPr>
      </w:pPr>
      <w:r>
        <w:rPr>
          <w:rFonts w:hint="eastAsia" w:ascii="仿宋" w:hAnsi="仿宋" w:eastAsia="仿宋" w:cs="仿宋"/>
          <w:spacing w:val="-1"/>
          <w:sz w:val="24"/>
          <w:szCs w:val="24"/>
        </w:rPr>
        <w:t>6.质疑供应商为自然人的，质疑函应由本人签字；质疑</w:t>
      </w:r>
      <w:r>
        <w:rPr>
          <w:rFonts w:hint="eastAsia" w:ascii="仿宋" w:hAnsi="仿宋" w:eastAsia="仿宋" w:cs="仿宋"/>
          <w:sz w:val="24"/>
          <w:szCs w:val="24"/>
        </w:rPr>
        <w:t>供应商为</w:t>
      </w:r>
      <w:r>
        <w:rPr>
          <w:rFonts w:hint="eastAsia" w:ascii="仿宋" w:hAnsi="仿宋" w:eastAsia="仿宋" w:cs="仿宋"/>
          <w:spacing w:val="-6"/>
          <w:sz w:val="24"/>
          <w:szCs w:val="24"/>
        </w:rPr>
        <w:t>法人或</w:t>
      </w:r>
      <w:r>
        <w:rPr>
          <w:rFonts w:hint="eastAsia" w:ascii="仿宋" w:hAnsi="仿宋" w:eastAsia="仿宋" w:cs="仿宋"/>
          <w:spacing w:val="-3"/>
          <w:sz w:val="24"/>
          <w:szCs w:val="24"/>
        </w:rPr>
        <w:t>者其他组织的，质疑函应由法定代表人、主要负责人，或者其</w:t>
      </w:r>
      <w:r>
        <w:rPr>
          <w:rFonts w:hint="eastAsia" w:ascii="仿宋" w:hAnsi="仿宋" w:eastAsia="仿宋" w:cs="仿宋"/>
          <w:sz w:val="24"/>
          <w:szCs w:val="24"/>
        </w:rPr>
        <w:t xml:space="preserve"> </w:t>
      </w:r>
      <w:r>
        <w:rPr>
          <w:rFonts w:hint="eastAsia" w:ascii="仿宋" w:hAnsi="仿宋" w:eastAsia="仿宋" w:cs="仿宋"/>
          <w:spacing w:val="-1"/>
          <w:sz w:val="24"/>
          <w:szCs w:val="24"/>
        </w:rPr>
        <w:t>授权代表签字或者盖</w:t>
      </w:r>
      <w:r>
        <w:rPr>
          <w:rFonts w:hint="eastAsia" w:ascii="仿宋" w:hAnsi="仿宋" w:eastAsia="仿宋" w:cs="仿宋"/>
          <w:sz w:val="24"/>
          <w:szCs w:val="24"/>
        </w:rPr>
        <w:t>章，并加盖公章。</w:t>
      </w:r>
    </w:p>
    <w:p w14:paraId="2FD6BA4F">
      <w:pPr>
        <w:rPr>
          <w:rFonts w:hint="eastAsia" w:ascii="仿宋" w:hAnsi="仿宋" w:eastAsia="仿宋" w:cs="仿宋"/>
          <w:sz w:val="24"/>
          <w:szCs w:val="24"/>
        </w:rPr>
        <w:sectPr>
          <w:footerReference r:id="rId7" w:type="default"/>
          <w:pgSz w:w="11906" w:h="16839"/>
          <w:pgMar w:top="1440" w:right="1800" w:bottom="1440" w:left="1800" w:header="0" w:footer="994" w:gutter="0"/>
          <w:pgNumType w:fmt="decimal" w:chapStyle="1"/>
          <w:cols w:space="720" w:num="1"/>
        </w:sectPr>
      </w:pPr>
    </w:p>
    <w:p w14:paraId="361D5238">
      <w:pPr>
        <w:spacing w:before="101" w:line="224" w:lineRule="auto"/>
        <w:ind w:left="49"/>
        <w:outlineLvl w:val="2"/>
        <w:rPr>
          <w:rFonts w:hint="eastAsia" w:ascii="仿宋" w:hAnsi="仿宋" w:eastAsia="仿宋" w:cs="仿宋"/>
          <w:sz w:val="21"/>
          <w:szCs w:val="21"/>
        </w:rPr>
      </w:pPr>
      <w:bookmarkStart w:id="100" w:name="_Toc110010428"/>
      <w:bookmarkStart w:id="101" w:name="_Toc2693"/>
      <w:bookmarkStart w:id="102" w:name="_Toc20973"/>
      <w:bookmarkStart w:id="103" w:name="_Toc23110"/>
      <w:r>
        <w:rPr>
          <w:rFonts w:hint="eastAsia" w:ascii="仿宋" w:hAnsi="仿宋" w:eastAsia="仿宋" w:cs="仿宋"/>
          <w:spacing w:val="8"/>
          <w:sz w:val="21"/>
          <w:szCs w:val="21"/>
        </w:rPr>
        <w:t>附</w:t>
      </w:r>
      <w:r>
        <w:rPr>
          <w:rFonts w:hint="eastAsia" w:ascii="仿宋" w:hAnsi="仿宋" w:eastAsia="仿宋" w:cs="仿宋"/>
          <w:spacing w:val="6"/>
          <w:sz w:val="21"/>
          <w:szCs w:val="21"/>
        </w:rPr>
        <w:t>件：投诉书范本</w:t>
      </w:r>
      <w:bookmarkEnd w:id="100"/>
      <w:bookmarkEnd w:id="101"/>
      <w:bookmarkEnd w:id="102"/>
      <w:bookmarkEnd w:id="103"/>
    </w:p>
    <w:p w14:paraId="41BA0D6E">
      <w:pPr>
        <w:spacing w:line="393" w:lineRule="auto"/>
        <w:rPr>
          <w:rFonts w:hint="eastAsia" w:ascii="仿宋" w:hAnsi="仿宋" w:eastAsia="仿宋" w:cs="仿宋"/>
          <w:sz w:val="21"/>
          <w:szCs w:val="21"/>
        </w:rPr>
      </w:pPr>
    </w:p>
    <w:p w14:paraId="0A659E5D">
      <w:pPr>
        <w:spacing w:before="115" w:line="224" w:lineRule="auto"/>
        <w:ind w:left="3601"/>
        <w:rPr>
          <w:rFonts w:hint="eastAsia" w:ascii="仿宋" w:hAnsi="仿宋" w:eastAsia="仿宋" w:cs="仿宋"/>
          <w:b/>
          <w:bCs/>
          <w:sz w:val="32"/>
          <w:szCs w:val="32"/>
        </w:rPr>
      </w:pPr>
      <w:r>
        <w:rPr>
          <w:rFonts w:hint="eastAsia" w:ascii="仿宋" w:hAnsi="仿宋" w:eastAsia="仿宋" w:cs="仿宋"/>
          <w:b/>
          <w:bCs/>
          <w:spacing w:val="24"/>
          <w:sz w:val="32"/>
          <w:szCs w:val="32"/>
        </w:rPr>
        <w:t>投诉</w:t>
      </w:r>
      <w:r>
        <w:rPr>
          <w:rFonts w:hint="eastAsia" w:ascii="仿宋" w:hAnsi="仿宋" w:eastAsia="仿宋" w:cs="仿宋"/>
          <w:b/>
          <w:bCs/>
          <w:spacing w:val="23"/>
          <w:sz w:val="32"/>
          <w:szCs w:val="32"/>
        </w:rPr>
        <w:t>书</w:t>
      </w:r>
    </w:p>
    <w:p w14:paraId="429358C0">
      <w:pPr>
        <w:spacing w:before="265" w:line="434" w:lineRule="exact"/>
        <w:ind w:left="27"/>
        <w:outlineLvl w:val="2"/>
        <w:rPr>
          <w:rFonts w:hint="eastAsia" w:ascii="仿宋" w:hAnsi="仿宋" w:eastAsia="仿宋" w:cs="仿宋"/>
          <w:sz w:val="24"/>
          <w:szCs w:val="24"/>
        </w:rPr>
      </w:pPr>
      <w:bookmarkStart w:id="104" w:name="_Toc5746"/>
      <w:bookmarkStart w:id="105" w:name="_Toc110010429"/>
      <w:bookmarkStart w:id="106" w:name="_Toc15570"/>
      <w:bookmarkStart w:id="107" w:name="_Toc7548"/>
      <w:r>
        <w:rPr>
          <w:rFonts w:hint="eastAsia" w:ascii="仿宋" w:hAnsi="仿宋" w:eastAsia="仿宋" w:cs="仿宋"/>
          <w:spacing w:val="-2"/>
          <w:position w:val="1"/>
          <w:sz w:val="24"/>
          <w:szCs w:val="24"/>
        </w:rPr>
        <w:t>一、投诉</w:t>
      </w:r>
      <w:r>
        <w:rPr>
          <w:rFonts w:hint="eastAsia" w:ascii="仿宋" w:hAnsi="仿宋" w:eastAsia="仿宋" w:cs="仿宋"/>
          <w:spacing w:val="-1"/>
          <w:position w:val="1"/>
          <w:sz w:val="24"/>
          <w:szCs w:val="24"/>
        </w:rPr>
        <w:t>相关主体基本情况</w:t>
      </w:r>
      <w:bookmarkEnd w:id="104"/>
      <w:bookmarkEnd w:id="105"/>
      <w:bookmarkEnd w:id="106"/>
      <w:bookmarkEnd w:id="107"/>
    </w:p>
    <w:p w14:paraId="7FEE20EF">
      <w:pPr>
        <w:spacing w:before="1" w:line="220" w:lineRule="auto"/>
        <w:ind w:left="508"/>
        <w:rPr>
          <w:rFonts w:hint="eastAsia" w:ascii="仿宋" w:hAnsi="仿宋" w:eastAsia="仿宋" w:cs="仿宋"/>
          <w:sz w:val="24"/>
          <w:szCs w:val="24"/>
        </w:rPr>
      </w:pPr>
      <w:r>
        <w:rPr>
          <w:rFonts w:hint="eastAsia" w:ascii="仿宋" w:hAnsi="仿宋" w:eastAsia="仿宋" w:cs="仿宋"/>
          <w:spacing w:val="-6"/>
          <w:sz w:val="24"/>
          <w:szCs w:val="24"/>
        </w:rPr>
        <w:t>投</w:t>
      </w:r>
      <w:r>
        <w:rPr>
          <w:rFonts w:hint="eastAsia" w:ascii="仿宋" w:hAnsi="仿宋" w:eastAsia="仿宋" w:cs="仿宋"/>
          <w:spacing w:val="-3"/>
          <w:sz w:val="24"/>
          <w:szCs w:val="24"/>
        </w:rPr>
        <w:t>诉人：</w:t>
      </w:r>
      <w:r>
        <w:rPr>
          <w:rFonts w:hint="eastAsia" w:ascii="仿宋" w:hAnsi="仿宋" w:eastAsia="仿宋" w:cs="仿宋"/>
          <w:sz w:val="24"/>
          <w:szCs w:val="24"/>
          <w:u w:val="dotted"/>
        </w:rPr>
        <w:t xml:space="preserve">                                                 </w:t>
      </w:r>
    </w:p>
    <w:p w14:paraId="7972B832">
      <w:pPr>
        <w:spacing w:before="102" w:line="220" w:lineRule="auto"/>
        <w:ind w:left="505"/>
        <w:rPr>
          <w:rFonts w:hint="eastAsia" w:ascii="仿宋" w:hAnsi="仿宋" w:eastAsia="仿宋" w:cs="仿宋"/>
          <w:sz w:val="24"/>
          <w:szCs w:val="24"/>
        </w:rPr>
      </w:pPr>
      <w:r>
        <w:rPr>
          <w:rFonts w:hint="eastAsia" w:ascii="仿宋" w:hAnsi="仿宋" w:eastAsia="仿宋" w:cs="仿宋"/>
          <w:spacing w:val="-8"/>
          <w:sz w:val="24"/>
          <w:szCs w:val="24"/>
        </w:rPr>
        <w:t>地址：</w:t>
      </w:r>
      <w:r>
        <w:rPr>
          <w:rFonts w:hint="eastAsia" w:ascii="仿宋" w:hAnsi="仿宋" w:eastAsia="仿宋" w:cs="仿宋"/>
          <w:spacing w:val="-8"/>
          <w:sz w:val="24"/>
          <w:szCs w:val="24"/>
          <w:u w:val="dotted"/>
        </w:rPr>
        <w:t xml:space="preserve">  </w:t>
      </w:r>
      <w:r>
        <w:rPr>
          <w:rFonts w:hint="eastAsia" w:ascii="仿宋" w:hAnsi="仿宋" w:eastAsia="仿宋" w:cs="仿宋"/>
          <w:spacing w:val="-5"/>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邮编：</w:t>
      </w:r>
      <w:r>
        <w:rPr>
          <w:rFonts w:hint="eastAsia" w:ascii="仿宋" w:hAnsi="仿宋" w:eastAsia="仿宋" w:cs="仿宋"/>
          <w:sz w:val="24"/>
          <w:szCs w:val="24"/>
          <w:u w:val="dotted"/>
        </w:rPr>
        <w:t xml:space="preserve">                   </w:t>
      </w:r>
    </w:p>
    <w:p w14:paraId="746A36B4">
      <w:pPr>
        <w:spacing w:before="101" w:line="220" w:lineRule="auto"/>
        <w:ind w:left="506"/>
        <w:rPr>
          <w:rFonts w:hint="eastAsia" w:ascii="仿宋" w:hAnsi="仿宋" w:eastAsia="仿宋" w:cs="仿宋"/>
          <w:sz w:val="24"/>
          <w:szCs w:val="24"/>
        </w:rPr>
      </w:pPr>
      <w:r>
        <w:rPr>
          <w:rFonts w:hint="eastAsia" w:ascii="仿宋" w:hAnsi="仿宋" w:eastAsia="仿宋" w:cs="仿宋"/>
          <w:spacing w:val="-2"/>
          <w:sz w:val="24"/>
          <w:szCs w:val="24"/>
        </w:rPr>
        <w:t>法定代</w:t>
      </w:r>
      <w:r>
        <w:rPr>
          <w:rFonts w:hint="eastAsia" w:ascii="仿宋" w:hAnsi="仿宋" w:eastAsia="仿宋" w:cs="仿宋"/>
          <w:spacing w:val="-1"/>
          <w:sz w:val="24"/>
          <w:szCs w:val="24"/>
        </w:rPr>
        <w:t>表人/主要负责人：</w:t>
      </w:r>
      <w:r>
        <w:rPr>
          <w:rFonts w:hint="eastAsia" w:ascii="仿宋" w:hAnsi="仿宋" w:eastAsia="仿宋" w:cs="仿宋"/>
          <w:sz w:val="24"/>
          <w:szCs w:val="24"/>
          <w:u w:val="dotted"/>
        </w:rPr>
        <w:t xml:space="preserve">                                  </w:t>
      </w:r>
    </w:p>
    <w:p w14:paraId="3F60DCB1">
      <w:pPr>
        <w:spacing w:before="104" w:line="222" w:lineRule="auto"/>
        <w:ind w:left="506"/>
        <w:rPr>
          <w:rFonts w:hint="eastAsia" w:ascii="仿宋" w:hAnsi="仿宋" w:eastAsia="仿宋" w:cs="仿宋"/>
          <w:sz w:val="24"/>
          <w:szCs w:val="24"/>
        </w:rPr>
      </w:pPr>
      <w:r>
        <w:rPr>
          <w:rFonts w:hint="eastAsia" w:ascii="仿宋" w:hAnsi="仿宋" w:eastAsia="仿宋" w:cs="仿宋"/>
          <w:spacing w:val="-4"/>
          <w:sz w:val="24"/>
          <w:szCs w:val="24"/>
        </w:rPr>
        <w:t>联系</w:t>
      </w:r>
      <w:r>
        <w:rPr>
          <w:rFonts w:hint="eastAsia" w:ascii="仿宋" w:hAnsi="仿宋" w:eastAsia="仿宋" w:cs="仿宋"/>
          <w:spacing w:val="-2"/>
          <w:sz w:val="24"/>
          <w:szCs w:val="24"/>
        </w:rPr>
        <w:t>电话：</w:t>
      </w:r>
      <w:r>
        <w:rPr>
          <w:rFonts w:hint="eastAsia" w:ascii="仿宋" w:hAnsi="仿宋" w:eastAsia="仿宋" w:cs="仿宋"/>
          <w:sz w:val="24"/>
          <w:szCs w:val="24"/>
          <w:u w:val="dotted"/>
        </w:rPr>
        <w:t xml:space="preserve">                                             </w:t>
      </w:r>
    </w:p>
    <w:p w14:paraId="76C3344F">
      <w:pPr>
        <w:spacing w:before="99" w:line="220" w:lineRule="auto"/>
        <w:ind w:left="503"/>
        <w:rPr>
          <w:rFonts w:hint="eastAsia" w:ascii="仿宋" w:hAnsi="仿宋" w:eastAsia="仿宋" w:cs="仿宋"/>
          <w:sz w:val="24"/>
          <w:szCs w:val="24"/>
        </w:rPr>
      </w:pPr>
      <w:r>
        <w:rPr>
          <w:rFonts w:hint="eastAsia" w:ascii="仿宋" w:hAnsi="仿宋" w:eastAsia="仿宋" w:cs="仿宋"/>
          <w:spacing w:val="-8"/>
          <w:sz w:val="24"/>
          <w:szCs w:val="24"/>
        </w:rPr>
        <w:t>授权代表：</w:t>
      </w:r>
      <w:r>
        <w:rPr>
          <w:rFonts w:hint="eastAsia" w:ascii="仿宋" w:hAnsi="仿宋" w:eastAsia="仿宋" w:cs="仿宋"/>
          <w:spacing w:val="-6"/>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联系电话：</w:t>
      </w:r>
      <w:r>
        <w:rPr>
          <w:rFonts w:hint="eastAsia" w:ascii="仿宋" w:hAnsi="仿宋" w:eastAsia="仿宋" w:cs="仿宋"/>
          <w:sz w:val="24"/>
          <w:szCs w:val="24"/>
          <w:u w:val="dotted"/>
        </w:rPr>
        <w:t xml:space="preserve">                </w:t>
      </w:r>
    </w:p>
    <w:p w14:paraId="632E8022">
      <w:pPr>
        <w:spacing w:before="101" w:line="220" w:lineRule="auto"/>
        <w:ind w:left="505"/>
        <w:rPr>
          <w:rFonts w:hint="eastAsia" w:ascii="仿宋" w:hAnsi="仿宋" w:eastAsia="仿宋" w:cs="仿宋"/>
          <w:sz w:val="24"/>
          <w:szCs w:val="24"/>
        </w:rPr>
      </w:pPr>
      <w:r>
        <w:rPr>
          <w:rFonts w:hint="eastAsia" w:ascii="仿宋" w:hAnsi="仿宋" w:eastAsia="仿宋" w:cs="仿宋"/>
          <w:spacing w:val="-8"/>
          <w:sz w:val="24"/>
          <w:szCs w:val="24"/>
        </w:rPr>
        <w:t>地址：</w:t>
      </w:r>
      <w:r>
        <w:rPr>
          <w:rFonts w:hint="eastAsia" w:ascii="仿宋" w:hAnsi="仿宋" w:eastAsia="仿宋" w:cs="仿宋"/>
          <w:spacing w:val="-8"/>
          <w:sz w:val="24"/>
          <w:szCs w:val="24"/>
          <w:u w:val="dotted"/>
        </w:rPr>
        <w:t xml:space="preserve">   </w:t>
      </w:r>
      <w:r>
        <w:rPr>
          <w:rFonts w:hint="eastAsia" w:ascii="仿宋" w:hAnsi="仿宋" w:eastAsia="仿宋" w:cs="仿宋"/>
          <w:spacing w:val="-5"/>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邮编：</w:t>
      </w:r>
      <w:r>
        <w:rPr>
          <w:rFonts w:hint="eastAsia" w:ascii="仿宋" w:hAnsi="仿宋" w:eastAsia="仿宋" w:cs="仿宋"/>
          <w:sz w:val="24"/>
          <w:szCs w:val="24"/>
          <w:u w:val="dotted"/>
        </w:rPr>
        <w:t xml:space="preserve">                    </w:t>
      </w:r>
    </w:p>
    <w:p w14:paraId="75C971B3">
      <w:pPr>
        <w:spacing w:before="103" w:line="220" w:lineRule="auto"/>
        <w:ind w:left="505"/>
        <w:rPr>
          <w:rFonts w:hint="eastAsia" w:ascii="仿宋" w:hAnsi="仿宋" w:eastAsia="仿宋" w:cs="仿宋"/>
          <w:sz w:val="24"/>
          <w:szCs w:val="24"/>
        </w:rPr>
      </w:pPr>
      <w:r>
        <w:rPr>
          <w:rFonts w:hint="eastAsia" w:ascii="仿宋" w:hAnsi="仿宋" w:eastAsia="仿宋" w:cs="仿宋"/>
          <w:spacing w:val="-17"/>
          <w:sz w:val="24"/>
          <w:szCs w:val="24"/>
        </w:rPr>
        <w:t>被</w:t>
      </w:r>
      <w:r>
        <w:rPr>
          <w:rFonts w:hint="eastAsia" w:ascii="仿宋" w:hAnsi="仿宋" w:eastAsia="仿宋" w:cs="仿宋"/>
          <w:spacing w:val="-11"/>
          <w:sz w:val="24"/>
          <w:szCs w:val="24"/>
        </w:rPr>
        <w:t>投诉人 1：</w:t>
      </w:r>
    </w:p>
    <w:p w14:paraId="5BBF3B9E">
      <w:pPr>
        <w:spacing w:before="101" w:line="185" w:lineRule="auto"/>
        <w:ind w:left="505"/>
        <w:rPr>
          <w:rFonts w:hint="eastAsia" w:ascii="仿宋" w:hAnsi="仿宋" w:eastAsia="仿宋" w:cs="仿宋"/>
          <w:sz w:val="24"/>
          <w:szCs w:val="24"/>
        </w:rPr>
      </w:pPr>
      <w:r>
        <w:rPr>
          <w:rFonts w:hint="eastAsia" w:ascii="仿宋" w:hAnsi="仿宋" w:eastAsia="仿宋" w:cs="仿宋"/>
          <w:spacing w:val="-8"/>
          <w:sz w:val="24"/>
          <w:szCs w:val="24"/>
        </w:rPr>
        <w:t>地址：</w:t>
      </w:r>
      <w:r>
        <w:rPr>
          <w:rFonts w:hint="eastAsia" w:ascii="仿宋" w:hAnsi="仿宋" w:eastAsia="仿宋" w:cs="仿宋"/>
          <w:spacing w:val="-8"/>
          <w:sz w:val="24"/>
          <w:szCs w:val="24"/>
          <w:u w:val="dotted"/>
        </w:rPr>
        <w:t xml:space="preserve">   </w:t>
      </w:r>
      <w:r>
        <w:rPr>
          <w:rFonts w:hint="eastAsia" w:ascii="仿宋" w:hAnsi="仿宋" w:eastAsia="仿宋" w:cs="仿宋"/>
          <w:spacing w:val="-5"/>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邮编：</w:t>
      </w:r>
      <w:r>
        <w:rPr>
          <w:rFonts w:hint="eastAsia" w:ascii="仿宋" w:hAnsi="仿宋" w:eastAsia="仿宋" w:cs="仿宋"/>
          <w:sz w:val="24"/>
          <w:szCs w:val="24"/>
          <w:u w:val="dotted"/>
        </w:rPr>
        <w:t xml:space="preserve">                    </w:t>
      </w:r>
    </w:p>
    <w:p w14:paraId="219DECEF">
      <w:pPr>
        <w:rPr>
          <w:rFonts w:hint="eastAsia" w:ascii="仿宋" w:hAnsi="仿宋" w:eastAsia="仿宋" w:cs="仿宋"/>
          <w:sz w:val="24"/>
          <w:szCs w:val="24"/>
        </w:rPr>
      </w:pPr>
    </w:p>
    <w:p w14:paraId="4667AA1D">
      <w:pPr>
        <w:spacing w:before="56" w:line="222"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联系人：</w:t>
      </w:r>
      <w:r>
        <w:rPr>
          <w:rFonts w:hint="eastAsia" w:ascii="仿宋" w:hAnsi="仿宋" w:eastAsia="仿宋" w:cs="仿宋"/>
          <w:spacing w:val="-8"/>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联系电话：</w:t>
      </w:r>
      <w:r>
        <w:rPr>
          <w:rFonts w:hint="eastAsia" w:ascii="仿宋" w:hAnsi="仿宋" w:eastAsia="仿宋" w:cs="仿宋"/>
          <w:sz w:val="24"/>
          <w:szCs w:val="24"/>
          <w:u w:val="dotted"/>
        </w:rPr>
        <w:t xml:space="preserve">                </w:t>
      </w:r>
    </w:p>
    <w:p w14:paraId="6EA6DD2B">
      <w:pPr>
        <w:spacing w:before="101" w:line="222" w:lineRule="auto"/>
        <w:ind w:left="506"/>
        <w:rPr>
          <w:rFonts w:hint="eastAsia" w:ascii="仿宋" w:hAnsi="仿宋" w:eastAsia="仿宋" w:cs="仿宋"/>
          <w:sz w:val="24"/>
          <w:szCs w:val="24"/>
        </w:rPr>
      </w:pPr>
      <w:r>
        <w:rPr>
          <w:rFonts w:hint="eastAsia" w:ascii="仿宋" w:hAnsi="仿宋" w:eastAsia="仿宋" w:cs="仿宋"/>
          <w:spacing w:val="-8"/>
          <w:sz w:val="24"/>
          <w:szCs w:val="24"/>
        </w:rPr>
        <w:t>联系人：</w:t>
      </w:r>
      <w:r>
        <w:rPr>
          <w:rFonts w:hint="eastAsia" w:ascii="仿宋" w:hAnsi="仿宋" w:eastAsia="仿宋" w:cs="仿宋"/>
          <w:spacing w:val="-8"/>
          <w:sz w:val="24"/>
          <w:szCs w:val="24"/>
          <w:u w:val="dotted"/>
        </w:rPr>
        <w:t xml:space="preserve"> </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联系电话：</w:t>
      </w:r>
      <w:r>
        <w:rPr>
          <w:rFonts w:hint="eastAsia" w:ascii="仿宋" w:hAnsi="仿宋" w:eastAsia="仿宋" w:cs="仿宋"/>
          <w:sz w:val="24"/>
          <w:szCs w:val="24"/>
          <w:u w:val="dotted"/>
        </w:rPr>
        <w:t xml:space="preserve">                </w:t>
      </w:r>
    </w:p>
    <w:p w14:paraId="1554184C">
      <w:pPr>
        <w:spacing w:before="100" w:line="371" w:lineRule="exact"/>
        <w:ind w:left="27"/>
        <w:outlineLvl w:val="2"/>
        <w:rPr>
          <w:rFonts w:hint="eastAsia" w:ascii="仿宋" w:hAnsi="仿宋" w:eastAsia="仿宋" w:cs="仿宋"/>
          <w:sz w:val="24"/>
          <w:szCs w:val="24"/>
        </w:rPr>
      </w:pPr>
      <w:bookmarkStart w:id="108" w:name="_Toc17934"/>
      <w:bookmarkStart w:id="109" w:name="_Toc27309"/>
      <w:bookmarkStart w:id="110" w:name="_Toc110010430"/>
      <w:bookmarkStart w:id="111" w:name="_Toc27620"/>
      <w:r>
        <w:rPr>
          <w:rFonts w:hint="eastAsia" w:ascii="仿宋" w:hAnsi="仿宋" w:eastAsia="仿宋" w:cs="仿宋"/>
          <w:spacing w:val="-2"/>
          <w:position w:val="1"/>
          <w:sz w:val="24"/>
          <w:szCs w:val="24"/>
        </w:rPr>
        <w:t>二、投诉项目</w:t>
      </w:r>
      <w:r>
        <w:rPr>
          <w:rFonts w:hint="eastAsia" w:ascii="仿宋" w:hAnsi="仿宋" w:eastAsia="仿宋" w:cs="仿宋"/>
          <w:spacing w:val="-1"/>
          <w:position w:val="1"/>
          <w:sz w:val="24"/>
          <w:szCs w:val="24"/>
        </w:rPr>
        <w:t>基本情况</w:t>
      </w:r>
      <w:bookmarkEnd w:id="108"/>
      <w:bookmarkEnd w:id="109"/>
      <w:bookmarkEnd w:id="110"/>
      <w:bookmarkEnd w:id="111"/>
    </w:p>
    <w:p w14:paraId="47F6E001">
      <w:pPr>
        <w:spacing w:before="64" w:line="219" w:lineRule="auto"/>
        <w:ind w:left="503"/>
        <w:rPr>
          <w:rFonts w:hint="eastAsia" w:ascii="仿宋" w:hAnsi="仿宋" w:eastAsia="仿宋" w:cs="仿宋"/>
          <w:sz w:val="24"/>
          <w:szCs w:val="24"/>
        </w:rPr>
      </w:pPr>
      <w:r>
        <w:rPr>
          <w:rFonts w:hint="eastAsia" w:ascii="仿宋" w:hAnsi="仿宋" w:eastAsia="仿宋" w:cs="仿宋"/>
          <w:spacing w:val="-2"/>
          <w:sz w:val="24"/>
          <w:szCs w:val="24"/>
        </w:rPr>
        <w:t>采购项</w:t>
      </w:r>
      <w:r>
        <w:rPr>
          <w:rFonts w:hint="eastAsia" w:ascii="仿宋" w:hAnsi="仿宋" w:eastAsia="仿宋" w:cs="仿宋"/>
          <w:spacing w:val="-1"/>
          <w:sz w:val="24"/>
          <w:szCs w:val="24"/>
        </w:rPr>
        <w:t>目名称：</w:t>
      </w:r>
      <w:r>
        <w:rPr>
          <w:rFonts w:hint="eastAsia" w:ascii="仿宋" w:hAnsi="仿宋" w:eastAsia="仿宋" w:cs="仿宋"/>
          <w:sz w:val="24"/>
          <w:szCs w:val="24"/>
          <w:u w:val="dotted"/>
        </w:rPr>
        <w:t xml:space="preserve">                                           </w:t>
      </w:r>
    </w:p>
    <w:p w14:paraId="501E6A6A">
      <w:pPr>
        <w:spacing w:before="104" w:line="219" w:lineRule="auto"/>
        <w:ind w:left="503"/>
        <w:rPr>
          <w:rFonts w:hint="eastAsia" w:ascii="仿宋" w:hAnsi="仿宋" w:eastAsia="仿宋" w:cs="仿宋"/>
          <w:sz w:val="24"/>
          <w:szCs w:val="24"/>
        </w:rPr>
      </w:pPr>
      <w:r>
        <w:rPr>
          <w:rFonts w:hint="eastAsia" w:ascii="仿宋" w:hAnsi="仿宋" w:eastAsia="仿宋" w:cs="仿宋"/>
          <w:spacing w:val="-8"/>
          <w:sz w:val="24"/>
          <w:szCs w:val="24"/>
        </w:rPr>
        <w:t>采购项目</w:t>
      </w:r>
      <w:r>
        <w:rPr>
          <w:rFonts w:hint="eastAsia" w:ascii="仿宋" w:hAnsi="仿宋" w:eastAsia="仿宋" w:cs="仿宋"/>
          <w:spacing w:val="-4"/>
          <w:sz w:val="24"/>
          <w:szCs w:val="24"/>
        </w:rPr>
        <w:t>编号：</w:t>
      </w:r>
      <w:r>
        <w:rPr>
          <w:rFonts w:hint="eastAsia" w:ascii="仿宋" w:hAnsi="仿宋" w:eastAsia="仿宋" w:cs="仿宋"/>
          <w:spacing w:val="-4"/>
          <w:sz w:val="24"/>
          <w:szCs w:val="24"/>
          <w:u w:val="dotted"/>
        </w:rPr>
        <w:t xml:space="preserve">                        </w:t>
      </w:r>
      <w:r>
        <w:rPr>
          <w:rFonts w:hint="eastAsia" w:ascii="仿宋" w:hAnsi="仿宋" w:eastAsia="仿宋" w:cs="仿宋"/>
          <w:spacing w:val="-4"/>
          <w:sz w:val="24"/>
          <w:szCs w:val="24"/>
        </w:rPr>
        <w:t>包号：</w:t>
      </w:r>
      <w:r>
        <w:rPr>
          <w:rFonts w:hint="eastAsia" w:ascii="仿宋" w:hAnsi="仿宋" w:eastAsia="仿宋" w:cs="仿宋"/>
          <w:sz w:val="24"/>
          <w:szCs w:val="24"/>
          <w:u w:val="dotted"/>
        </w:rPr>
        <w:t xml:space="preserve">              </w:t>
      </w:r>
    </w:p>
    <w:p w14:paraId="58D733A3">
      <w:pPr>
        <w:spacing w:before="102" w:line="219" w:lineRule="auto"/>
        <w:ind w:left="503"/>
        <w:rPr>
          <w:rFonts w:hint="eastAsia" w:ascii="仿宋" w:hAnsi="仿宋" w:eastAsia="仿宋" w:cs="仿宋"/>
          <w:sz w:val="24"/>
          <w:szCs w:val="24"/>
        </w:rPr>
      </w:pPr>
      <w:r>
        <w:rPr>
          <w:rFonts w:hint="eastAsia" w:ascii="仿宋" w:hAnsi="仿宋" w:eastAsia="仿宋" w:cs="仿宋"/>
          <w:spacing w:val="-2"/>
          <w:sz w:val="24"/>
          <w:szCs w:val="24"/>
        </w:rPr>
        <w:t>采购人名</w:t>
      </w:r>
      <w:r>
        <w:rPr>
          <w:rFonts w:hint="eastAsia" w:ascii="仿宋" w:hAnsi="仿宋" w:eastAsia="仿宋" w:cs="仿宋"/>
          <w:spacing w:val="-1"/>
          <w:sz w:val="24"/>
          <w:szCs w:val="24"/>
        </w:rPr>
        <w:t>称：</w:t>
      </w:r>
      <w:r>
        <w:rPr>
          <w:rFonts w:hint="eastAsia" w:ascii="仿宋" w:hAnsi="仿宋" w:eastAsia="仿宋" w:cs="仿宋"/>
          <w:sz w:val="24"/>
          <w:szCs w:val="24"/>
          <w:u w:val="dotted"/>
        </w:rPr>
        <w:t xml:space="preserve">                                           </w:t>
      </w:r>
    </w:p>
    <w:p w14:paraId="65D5769E">
      <w:pPr>
        <w:spacing w:before="105" w:line="219" w:lineRule="auto"/>
        <w:ind w:left="503"/>
        <w:rPr>
          <w:rFonts w:hint="eastAsia" w:ascii="仿宋" w:hAnsi="仿宋" w:eastAsia="仿宋" w:cs="仿宋"/>
          <w:sz w:val="24"/>
          <w:szCs w:val="24"/>
        </w:rPr>
      </w:pPr>
      <w:r>
        <w:rPr>
          <w:rFonts w:hint="eastAsia" w:ascii="仿宋" w:hAnsi="仿宋" w:eastAsia="仿宋" w:cs="仿宋"/>
          <w:spacing w:val="-2"/>
          <w:sz w:val="24"/>
          <w:szCs w:val="24"/>
        </w:rPr>
        <w:t>代理机构名</w:t>
      </w:r>
      <w:r>
        <w:rPr>
          <w:rFonts w:hint="eastAsia" w:ascii="仿宋" w:hAnsi="仿宋" w:eastAsia="仿宋" w:cs="仿宋"/>
          <w:spacing w:val="-1"/>
          <w:sz w:val="24"/>
          <w:szCs w:val="24"/>
        </w:rPr>
        <w:t>称：</w:t>
      </w:r>
      <w:r>
        <w:rPr>
          <w:rFonts w:hint="eastAsia" w:ascii="仿宋" w:hAnsi="仿宋" w:eastAsia="仿宋" w:cs="仿宋"/>
          <w:sz w:val="24"/>
          <w:szCs w:val="24"/>
          <w:u w:val="dotted"/>
        </w:rPr>
        <w:t xml:space="preserve">                                           </w:t>
      </w:r>
    </w:p>
    <w:p w14:paraId="177EE891">
      <w:pPr>
        <w:spacing w:before="104" w:line="219" w:lineRule="auto"/>
        <w:ind w:left="503"/>
        <w:rPr>
          <w:rFonts w:hint="eastAsia" w:ascii="仿宋" w:hAnsi="仿宋" w:eastAsia="仿宋" w:cs="仿宋"/>
          <w:sz w:val="24"/>
          <w:szCs w:val="24"/>
        </w:rPr>
      </w:pPr>
      <w:r>
        <w:rPr>
          <w:rFonts w:hint="eastAsia" w:ascii="仿宋" w:hAnsi="仿宋" w:eastAsia="仿宋" w:cs="仿宋"/>
          <w:spacing w:val="7"/>
          <w:sz w:val="24"/>
          <w:szCs w:val="24"/>
        </w:rPr>
        <w:t>采购文件公告:</w:t>
      </w:r>
      <w:r>
        <w:rPr>
          <w:rFonts w:hint="eastAsia" w:ascii="仿宋" w:hAnsi="仿宋" w:eastAsia="仿宋" w:cs="仿宋"/>
          <w:spacing w:val="7"/>
          <w:sz w:val="24"/>
          <w:szCs w:val="24"/>
          <w:u w:val="single"/>
        </w:rPr>
        <w:t xml:space="preserve">  是/否 </w:t>
      </w:r>
      <w:r>
        <w:rPr>
          <w:rFonts w:hint="eastAsia" w:ascii="仿宋" w:hAnsi="仿宋" w:eastAsia="仿宋" w:cs="仿宋"/>
          <w:spacing w:val="7"/>
          <w:sz w:val="24"/>
          <w:szCs w:val="24"/>
        </w:rPr>
        <w:t xml:space="preserve"> 公告期限</w:t>
      </w:r>
      <w:r>
        <w:rPr>
          <w:rFonts w:hint="eastAsia" w:ascii="仿宋" w:hAnsi="仿宋" w:eastAsia="仿宋" w:cs="仿宋"/>
          <w:spacing w:val="3"/>
          <w:sz w:val="24"/>
          <w:szCs w:val="24"/>
        </w:rPr>
        <w:t>：</w:t>
      </w:r>
      <w:r>
        <w:rPr>
          <w:rFonts w:hint="eastAsia" w:ascii="仿宋" w:hAnsi="仿宋" w:eastAsia="仿宋" w:cs="仿宋"/>
          <w:sz w:val="24"/>
          <w:szCs w:val="24"/>
          <w:u w:val="dotted"/>
        </w:rPr>
        <w:t xml:space="preserve">                        </w:t>
      </w:r>
    </w:p>
    <w:p w14:paraId="251492BA">
      <w:pPr>
        <w:spacing w:before="103" w:line="287" w:lineRule="auto"/>
        <w:ind w:left="22" w:right="12" w:firstLine="481"/>
        <w:rPr>
          <w:rFonts w:hint="eastAsia" w:ascii="仿宋" w:hAnsi="仿宋" w:eastAsia="仿宋" w:cs="仿宋"/>
          <w:sz w:val="24"/>
          <w:szCs w:val="24"/>
        </w:rPr>
      </w:pPr>
      <w:r>
        <w:rPr>
          <w:rFonts w:hint="eastAsia" w:ascii="仿宋" w:hAnsi="仿宋" w:eastAsia="仿宋" w:cs="仿宋"/>
          <w:spacing w:val="-1"/>
          <w:sz w:val="24"/>
          <w:szCs w:val="24"/>
        </w:rPr>
        <w:t>采购结果公告：</w:t>
      </w:r>
      <w:r>
        <w:rPr>
          <w:rFonts w:hint="eastAsia" w:ascii="仿宋" w:hAnsi="仿宋" w:eastAsia="仿宋" w:cs="仿宋"/>
          <w:spacing w:val="-1"/>
          <w:sz w:val="24"/>
          <w:szCs w:val="24"/>
          <w:u w:val="single"/>
        </w:rPr>
        <w:t xml:space="preserve">  是/否 </w:t>
      </w:r>
      <w:r>
        <w:rPr>
          <w:rFonts w:hint="eastAsia" w:ascii="仿宋" w:hAnsi="仿宋" w:eastAsia="仿宋" w:cs="仿宋"/>
          <w:spacing w:val="-1"/>
          <w:sz w:val="24"/>
          <w:szCs w:val="24"/>
        </w:rPr>
        <w:t xml:space="preserve"> 公告期限：</w:t>
      </w:r>
      <w:r>
        <w:rPr>
          <w:rFonts w:hint="eastAsia" w:ascii="仿宋" w:hAnsi="仿宋" w:eastAsia="仿宋" w:cs="仿宋"/>
          <w:spacing w:val="-1"/>
          <w:sz w:val="24"/>
          <w:szCs w:val="24"/>
          <w:u w:val="dotted"/>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r>
        <w:rPr>
          <w:rFonts w:hint="eastAsia" w:ascii="仿宋" w:hAnsi="仿宋" w:eastAsia="仿宋" w:cs="仿宋"/>
          <w:spacing w:val="-2"/>
          <w:sz w:val="24"/>
          <w:szCs w:val="24"/>
        </w:rPr>
        <w:t>三、</w:t>
      </w:r>
      <w:r>
        <w:rPr>
          <w:rFonts w:hint="eastAsia" w:ascii="仿宋" w:hAnsi="仿宋" w:eastAsia="仿宋" w:cs="仿宋"/>
          <w:spacing w:val="-1"/>
          <w:sz w:val="24"/>
          <w:szCs w:val="24"/>
        </w:rPr>
        <w:t>质疑基本情况</w:t>
      </w:r>
    </w:p>
    <w:p w14:paraId="69E99C31">
      <w:pPr>
        <w:spacing w:before="1" w:line="287" w:lineRule="auto"/>
        <w:ind w:left="23" w:right="11" w:firstLine="484"/>
        <w:rPr>
          <w:rFonts w:hint="eastAsia" w:ascii="仿宋" w:hAnsi="仿宋" w:eastAsia="仿宋" w:cs="仿宋"/>
          <w:sz w:val="24"/>
          <w:szCs w:val="24"/>
        </w:rPr>
      </w:pPr>
      <w:r>
        <w:rPr>
          <w:rFonts w:hint="eastAsia" w:ascii="仿宋" w:hAnsi="仿宋" w:eastAsia="仿宋" w:cs="仿宋"/>
          <w:spacing w:val="-12"/>
          <w:sz w:val="24"/>
          <w:szCs w:val="24"/>
        </w:rPr>
        <w:t>投</w:t>
      </w:r>
      <w:r>
        <w:rPr>
          <w:rFonts w:hint="eastAsia" w:ascii="仿宋" w:hAnsi="仿宋" w:eastAsia="仿宋" w:cs="仿宋"/>
          <w:spacing w:val="-6"/>
          <w:sz w:val="24"/>
          <w:szCs w:val="24"/>
        </w:rPr>
        <w:t>诉人于</w:t>
      </w:r>
      <w:r>
        <w:rPr>
          <w:rFonts w:hint="eastAsia" w:ascii="仿宋" w:hAnsi="仿宋" w:eastAsia="仿宋" w:cs="仿宋"/>
          <w:spacing w:val="-6"/>
          <w:sz w:val="24"/>
          <w:szCs w:val="24"/>
          <w:u w:val="dotted"/>
        </w:rPr>
        <w:t xml:space="preserve">           </w:t>
      </w:r>
      <w:r>
        <w:rPr>
          <w:rFonts w:hint="eastAsia" w:ascii="仿宋" w:hAnsi="仿宋" w:eastAsia="仿宋" w:cs="仿宋"/>
          <w:spacing w:val="-6"/>
          <w:sz w:val="24"/>
          <w:szCs w:val="24"/>
        </w:rPr>
        <w:t>年</w:t>
      </w:r>
      <w:r>
        <w:rPr>
          <w:rFonts w:hint="eastAsia" w:ascii="仿宋" w:hAnsi="仿宋" w:eastAsia="仿宋" w:cs="仿宋"/>
          <w:spacing w:val="-6"/>
          <w:sz w:val="24"/>
          <w:szCs w:val="24"/>
          <w:u w:val="dotted"/>
        </w:rPr>
        <w:t xml:space="preserve">           </w:t>
      </w:r>
      <w:r>
        <w:rPr>
          <w:rFonts w:hint="eastAsia" w:ascii="仿宋" w:hAnsi="仿宋" w:eastAsia="仿宋" w:cs="仿宋"/>
          <w:spacing w:val="-6"/>
          <w:sz w:val="24"/>
          <w:szCs w:val="24"/>
        </w:rPr>
        <w:t>月</w:t>
      </w:r>
      <w:r>
        <w:rPr>
          <w:rFonts w:hint="eastAsia" w:ascii="仿宋" w:hAnsi="仿宋" w:eastAsia="仿宋" w:cs="仿宋"/>
          <w:spacing w:val="-6"/>
          <w:sz w:val="24"/>
          <w:szCs w:val="24"/>
          <w:u w:val="dotted"/>
        </w:rPr>
        <w:t xml:space="preserve">            </w:t>
      </w:r>
      <w:r>
        <w:rPr>
          <w:rFonts w:hint="eastAsia" w:ascii="仿宋" w:hAnsi="仿宋" w:eastAsia="仿宋" w:cs="仿宋"/>
          <w:spacing w:val="-6"/>
          <w:sz w:val="24"/>
          <w:szCs w:val="24"/>
        </w:rPr>
        <w:t>日 ，向</w:t>
      </w:r>
      <w:r>
        <w:rPr>
          <w:rFonts w:hint="eastAsia" w:ascii="仿宋" w:hAnsi="仿宋" w:eastAsia="仿宋" w:cs="仿宋"/>
          <w:spacing w:val="-4"/>
          <w:sz w:val="24"/>
          <w:szCs w:val="24"/>
        </w:rPr>
        <w:t>提</w:t>
      </w:r>
      <w:r>
        <w:rPr>
          <w:rFonts w:hint="eastAsia" w:ascii="仿宋" w:hAnsi="仿宋" w:eastAsia="仿宋" w:cs="仿宋"/>
          <w:spacing w:val="-2"/>
          <w:sz w:val="24"/>
          <w:szCs w:val="24"/>
        </w:rPr>
        <w:t>出质疑，</w:t>
      </w:r>
    </w:p>
    <w:p w14:paraId="32F3D6AC">
      <w:pPr>
        <w:spacing w:before="1" w:line="220" w:lineRule="auto"/>
        <w:ind w:left="506"/>
        <w:rPr>
          <w:rFonts w:hint="eastAsia" w:ascii="仿宋" w:hAnsi="仿宋" w:eastAsia="仿宋" w:cs="仿宋"/>
          <w:sz w:val="24"/>
          <w:szCs w:val="24"/>
        </w:rPr>
      </w:pPr>
      <w:r>
        <w:rPr>
          <w:rFonts w:hint="eastAsia" w:ascii="仿宋" w:hAnsi="仿宋" w:eastAsia="仿宋" w:cs="仿宋"/>
          <w:spacing w:val="-3"/>
          <w:sz w:val="24"/>
          <w:szCs w:val="24"/>
        </w:rPr>
        <w:t>质</w:t>
      </w:r>
      <w:r>
        <w:rPr>
          <w:rFonts w:hint="eastAsia" w:ascii="仿宋" w:hAnsi="仿宋" w:eastAsia="仿宋" w:cs="仿宋"/>
          <w:spacing w:val="-2"/>
          <w:sz w:val="24"/>
          <w:szCs w:val="24"/>
        </w:rPr>
        <w:t>疑事项为：</w:t>
      </w:r>
      <w:r>
        <w:rPr>
          <w:rFonts w:hint="eastAsia" w:ascii="仿宋" w:hAnsi="仿宋" w:eastAsia="仿宋" w:cs="仿宋"/>
          <w:sz w:val="24"/>
          <w:szCs w:val="24"/>
          <w:u w:val="dotted"/>
        </w:rPr>
        <w:t xml:space="preserve">                                           </w:t>
      </w:r>
    </w:p>
    <w:p w14:paraId="70C9F515">
      <w:pPr>
        <w:spacing w:before="103" w:line="287" w:lineRule="auto"/>
        <w:ind w:left="459" w:right="11" w:firstLine="109"/>
        <w:rPr>
          <w:rFonts w:hint="eastAsia" w:ascii="仿宋" w:hAnsi="仿宋" w:eastAsia="仿宋" w:cs="仿宋"/>
          <w:sz w:val="24"/>
          <w:szCs w:val="24"/>
        </w:rPr>
      </w:pPr>
      <w:r>
        <w:rPr>
          <w:rFonts w:hint="eastAsia" w:ascii="仿宋" w:hAnsi="仿宋" w:eastAsia="仿宋" w:cs="仿宋"/>
          <w:spacing w:val="-4"/>
          <w:sz w:val="24"/>
          <w:szCs w:val="24"/>
        </w:rPr>
        <w:t>采购人/</w:t>
      </w:r>
      <w:r>
        <w:rPr>
          <w:rFonts w:hint="eastAsia" w:ascii="仿宋" w:hAnsi="仿宋" w:eastAsia="仿宋" w:cs="仿宋"/>
          <w:spacing w:val="-2"/>
          <w:sz w:val="24"/>
          <w:szCs w:val="24"/>
        </w:rPr>
        <w:t>采购代理机构于</w:t>
      </w:r>
      <w:r>
        <w:rPr>
          <w:rFonts w:hint="eastAsia" w:ascii="仿宋" w:hAnsi="仿宋" w:eastAsia="仿宋" w:cs="仿宋"/>
          <w:spacing w:val="-2"/>
          <w:sz w:val="24"/>
          <w:szCs w:val="24"/>
          <w:u w:val="dotted"/>
        </w:rPr>
        <w:t xml:space="preserve">      </w:t>
      </w:r>
      <w:r>
        <w:rPr>
          <w:rFonts w:hint="eastAsia" w:ascii="仿宋" w:hAnsi="仿宋" w:eastAsia="仿宋" w:cs="仿宋"/>
          <w:spacing w:val="-2"/>
          <w:sz w:val="24"/>
          <w:szCs w:val="24"/>
        </w:rPr>
        <w:t xml:space="preserve"> 年</w:t>
      </w:r>
      <w:r>
        <w:rPr>
          <w:rFonts w:hint="eastAsia" w:ascii="仿宋" w:hAnsi="仿宋" w:eastAsia="仿宋" w:cs="仿宋"/>
          <w:spacing w:val="-2"/>
          <w:sz w:val="24"/>
          <w:szCs w:val="24"/>
          <w:u w:val="dotted"/>
        </w:rPr>
        <w:t xml:space="preserve">      </w:t>
      </w:r>
      <w:r>
        <w:rPr>
          <w:rFonts w:hint="eastAsia" w:ascii="仿宋" w:hAnsi="仿宋" w:eastAsia="仿宋" w:cs="仿宋"/>
          <w:spacing w:val="-2"/>
          <w:sz w:val="24"/>
          <w:szCs w:val="24"/>
        </w:rPr>
        <w:t xml:space="preserve"> 月</w:t>
      </w:r>
      <w:r>
        <w:rPr>
          <w:rFonts w:hint="eastAsia" w:ascii="仿宋" w:hAnsi="仿宋" w:eastAsia="仿宋" w:cs="仿宋"/>
          <w:spacing w:val="-2"/>
          <w:sz w:val="24"/>
          <w:szCs w:val="24"/>
          <w:u w:val="dotted"/>
        </w:rPr>
        <w:t xml:space="preserve">      </w:t>
      </w:r>
      <w:r>
        <w:rPr>
          <w:rFonts w:hint="eastAsia" w:ascii="仿宋" w:hAnsi="仿宋" w:eastAsia="仿宋" w:cs="仿宋"/>
          <w:spacing w:val="-2"/>
          <w:sz w:val="24"/>
          <w:szCs w:val="24"/>
        </w:rPr>
        <w:t xml:space="preserve"> 日，就质疑</w:t>
      </w:r>
      <w:r>
        <w:rPr>
          <w:rFonts w:hint="eastAsia" w:ascii="仿宋" w:hAnsi="仿宋" w:eastAsia="仿宋" w:cs="仿宋"/>
          <w:sz w:val="24"/>
          <w:szCs w:val="24"/>
        </w:rPr>
        <w:t xml:space="preserve"> </w:t>
      </w:r>
      <w:r>
        <w:rPr>
          <w:rFonts w:hint="eastAsia" w:ascii="仿宋" w:hAnsi="仿宋" w:eastAsia="仿宋" w:cs="仿宋"/>
          <w:spacing w:val="-1"/>
          <w:sz w:val="24"/>
          <w:szCs w:val="24"/>
        </w:rPr>
        <w:t>事项做出了答复/没有在</w:t>
      </w:r>
      <w:r>
        <w:rPr>
          <w:rFonts w:hint="eastAsia" w:ascii="仿宋" w:hAnsi="仿宋" w:eastAsia="仿宋" w:cs="仿宋"/>
          <w:sz w:val="24"/>
          <w:szCs w:val="24"/>
        </w:rPr>
        <w:t>法定期限内做出答复。</w:t>
      </w:r>
    </w:p>
    <w:p w14:paraId="1F49D453">
      <w:pPr>
        <w:spacing w:before="100" w:line="371" w:lineRule="exact"/>
        <w:ind w:left="27"/>
        <w:outlineLvl w:val="2"/>
        <w:rPr>
          <w:rFonts w:hint="eastAsia" w:ascii="仿宋" w:hAnsi="仿宋" w:eastAsia="仿宋" w:cs="仿宋"/>
          <w:spacing w:val="-2"/>
          <w:position w:val="1"/>
          <w:sz w:val="24"/>
          <w:szCs w:val="24"/>
        </w:rPr>
      </w:pPr>
      <w:bookmarkStart w:id="112" w:name="_Toc27039"/>
      <w:bookmarkStart w:id="113" w:name="_Toc110010431"/>
      <w:bookmarkStart w:id="114" w:name="_Toc26163"/>
      <w:bookmarkStart w:id="115" w:name="_Toc14303"/>
      <w:r>
        <w:rPr>
          <w:rFonts w:hint="eastAsia" w:ascii="仿宋" w:hAnsi="仿宋" w:eastAsia="仿宋" w:cs="仿宋"/>
          <w:spacing w:val="-2"/>
          <w:position w:val="1"/>
          <w:sz w:val="24"/>
          <w:szCs w:val="24"/>
        </w:rPr>
        <w:t>三、投诉事项具体内容</w:t>
      </w:r>
      <w:bookmarkEnd w:id="112"/>
      <w:bookmarkEnd w:id="113"/>
      <w:bookmarkEnd w:id="114"/>
      <w:bookmarkEnd w:id="115"/>
    </w:p>
    <w:p w14:paraId="450CDFD9">
      <w:pPr>
        <w:spacing w:before="98" w:line="221" w:lineRule="auto"/>
        <w:ind w:left="508"/>
        <w:rPr>
          <w:rFonts w:hint="eastAsia" w:ascii="仿宋" w:hAnsi="仿宋" w:eastAsia="仿宋" w:cs="仿宋"/>
          <w:sz w:val="24"/>
          <w:szCs w:val="24"/>
        </w:rPr>
      </w:pPr>
      <w:r>
        <w:rPr>
          <w:rFonts w:hint="eastAsia" w:ascii="仿宋" w:hAnsi="仿宋" w:eastAsia="仿宋" w:cs="仿宋"/>
          <w:spacing w:val="-16"/>
          <w:sz w:val="24"/>
          <w:szCs w:val="24"/>
        </w:rPr>
        <w:t>投</w:t>
      </w:r>
      <w:r>
        <w:rPr>
          <w:rFonts w:hint="eastAsia" w:ascii="仿宋" w:hAnsi="仿宋" w:eastAsia="仿宋" w:cs="仿宋"/>
          <w:spacing w:val="-10"/>
          <w:sz w:val="24"/>
          <w:szCs w:val="24"/>
        </w:rPr>
        <w:t>诉事项 1 ：</w:t>
      </w:r>
      <w:r>
        <w:rPr>
          <w:rFonts w:hint="eastAsia" w:ascii="仿宋" w:hAnsi="仿宋" w:eastAsia="仿宋" w:cs="仿宋"/>
          <w:sz w:val="24"/>
          <w:szCs w:val="24"/>
          <w:u w:val="dotted"/>
        </w:rPr>
        <w:t xml:space="preserve">                                            </w:t>
      </w:r>
    </w:p>
    <w:p w14:paraId="030E291F">
      <w:pPr>
        <w:spacing w:before="100" w:line="219" w:lineRule="auto"/>
        <w:ind w:left="505"/>
        <w:rPr>
          <w:rFonts w:hint="eastAsia" w:ascii="仿宋" w:hAnsi="仿宋" w:eastAsia="仿宋" w:cs="仿宋"/>
          <w:sz w:val="24"/>
          <w:szCs w:val="24"/>
        </w:rPr>
      </w:pPr>
      <w:r>
        <w:rPr>
          <w:rFonts w:hint="eastAsia" w:ascii="仿宋" w:hAnsi="仿宋" w:eastAsia="仿宋" w:cs="仿宋"/>
          <w:spacing w:val="-4"/>
          <w:sz w:val="24"/>
          <w:szCs w:val="24"/>
        </w:rPr>
        <w:t>事</w:t>
      </w:r>
      <w:r>
        <w:rPr>
          <w:rFonts w:hint="eastAsia" w:ascii="仿宋" w:hAnsi="仿宋" w:eastAsia="仿宋" w:cs="仿宋"/>
          <w:spacing w:val="-2"/>
          <w:sz w:val="24"/>
          <w:szCs w:val="24"/>
        </w:rPr>
        <w:t>实依据：</w:t>
      </w:r>
      <w:r>
        <w:rPr>
          <w:rFonts w:hint="eastAsia" w:ascii="仿宋" w:hAnsi="仿宋" w:eastAsia="仿宋" w:cs="仿宋"/>
          <w:sz w:val="24"/>
          <w:szCs w:val="24"/>
          <w:u w:val="dotted"/>
        </w:rPr>
        <w:t xml:space="preserve">                                             </w:t>
      </w:r>
    </w:p>
    <w:p w14:paraId="5BDFAA3D">
      <w:pPr>
        <w:tabs>
          <w:tab w:val="left" w:pos="8322"/>
        </w:tabs>
        <w:spacing w:before="179" w:line="242" w:lineRule="exact"/>
        <w:ind w:left="494"/>
        <w:rPr>
          <w:rFonts w:hint="eastAsia" w:ascii="仿宋" w:hAnsi="仿宋" w:eastAsia="仿宋" w:cs="仿宋"/>
          <w:sz w:val="24"/>
          <w:szCs w:val="24"/>
        </w:rPr>
      </w:pPr>
      <w:r>
        <w:rPr>
          <w:rFonts w:hint="eastAsia" w:ascii="仿宋" w:hAnsi="仿宋" w:eastAsia="仿宋" w:cs="仿宋"/>
          <w:sz w:val="24"/>
          <w:szCs w:val="24"/>
          <w:u w:val="single"/>
        </w:rPr>
        <w:tab/>
      </w:r>
    </w:p>
    <w:p w14:paraId="2F659AF6">
      <w:pPr>
        <w:spacing w:before="118" w:line="219" w:lineRule="auto"/>
        <w:ind w:left="506"/>
        <w:rPr>
          <w:rFonts w:hint="eastAsia" w:ascii="仿宋" w:hAnsi="仿宋" w:eastAsia="仿宋" w:cs="仿宋"/>
          <w:sz w:val="24"/>
          <w:szCs w:val="24"/>
        </w:rPr>
      </w:pPr>
      <w:r>
        <w:rPr>
          <w:rFonts w:hint="eastAsia" w:ascii="仿宋" w:hAnsi="仿宋" w:eastAsia="仿宋" w:cs="仿宋"/>
          <w:spacing w:val="-4"/>
          <w:sz w:val="24"/>
          <w:szCs w:val="24"/>
        </w:rPr>
        <w:t>法律</w:t>
      </w:r>
      <w:r>
        <w:rPr>
          <w:rFonts w:hint="eastAsia" w:ascii="仿宋" w:hAnsi="仿宋" w:eastAsia="仿宋" w:cs="仿宋"/>
          <w:spacing w:val="-2"/>
          <w:sz w:val="24"/>
          <w:szCs w:val="24"/>
        </w:rPr>
        <w:t>依据：</w:t>
      </w:r>
      <w:r>
        <w:rPr>
          <w:rFonts w:hint="eastAsia" w:ascii="仿宋" w:hAnsi="仿宋" w:eastAsia="仿宋" w:cs="仿宋"/>
          <w:sz w:val="24"/>
          <w:szCs w:val="24"/>
          <w:u w:val="dotted"/>
        </w:rPr>
        <w:t xml:space="preserve">                                             </w:t>
      </w:r>
    </w:p>
    <w:p w14:paraId="091AD602">
      <w:pPr>
        <w:tabs>
          <w:tab w:val="left" w:pos="8322"/>
        </w:tabs>
        <w:spacing w:before="179" w:line="242" w:lineRule="exact"/>
        <w:ind w:left="494"/>
        <w:rPr>
          <w:rFonts w:hint="eastAsia" w:ascii="仿宋" w:hAnsi="仿宋" w:eastAsia="仿宋" w:cs="仿宋"/>
          <w:sz w:val="24"/>
          <w:szCs w:val="24"/>
        </w:rPr>
      </w:pPr>
      <w:r>
        <w:rPr>
          <w:rFonts w:hint="eastAsia" w:ascii="仿宋" w:hAnsi="仿宋" w:eastAsia="仿宋" w:cs="仿宋"/>
          <w:sz w:val="24"/>
          <w:szCs w:val="24"/>
          <w:u w:val="single"/>
        </w:rPr>
        <w:tab/>
      </w:r>
    </w:p>
    <w:p w14:paraId="002F8D40">
      <w:pPr>
        <w:spacing w:before="118" w:line="437" w:lineRule="exact"/>
        <w:ind w:left="508"/>
        <w:rPr>
          <w:rFonts w:hint="eastAsia" w:ascii="仿宋" w:hAnsi="仿宋" w:eastAsia="仿宋" w:cs="仿宋"/>
          <w:sz w:val="24"/>
          <w:szCs w:val="24"/>
        </w:rPr>
      </w:pPr>
      <w:r>
        <w:rPr>
          <w:rFonts w:hint="eastAsia" w:ascii="仿宋" w:hAnsi="仿宋" w:eastAsia="仿宋" w:cs="仿宋"/>
          <w:spacing w:val="-13"/>
          <w:position w:val="11"/>
          <w:sz w:val="24"/>
          <w:szCs w:val="24"/>
        </w:rPr>
        <w:t>投</w:t>
      </w:r>
      <w:r>
        <w:rPr>
          <w:rFonts w:hint="eastAsia" w:ascii="仿宋" w:hAnsi="仿宋" w:eastAsia="仿宋" w:cs="仿宋"/>
          <w:spacing w:val="-12"/>
          <w:position w:val="11"/>
          <w:sz w:val="24"/>
          <w:szCs w:val="24"/>
        </w:rPr>
        <w:t>诉事项 2</w:t>
      </w:r>
    </w:p>
    <w:p w14:paraId="4CC694E4">
      <w:pPr>
        <w:spacing w:line="437" w:lineRule="exact"/>
        <w:ind w:left="522"/>
        <w:rPr>
          <w:rFonts w:hint="eastAsia" w:ascii="仿宋" w:hAnsi="仿宋" w:eastAsia="仿宋" w:cs="仿宋"/>
          <w:sz w:val="24"/>
          <w:szCs w:val="24"/>
        </w:rPr>
      </w:pPr>
      <w:r>
        <w:rPr>
          <w:rFonts w:hint="eastAsia" w:ascii="仿宋" w:hAnsi="仿宋" w:eastAsia="仿宋" w:cs="仿宋"/>
          <w:position w:val="3"/>
          <w:sz w:val="24"/>
          <w:szCs w:val="24"/>
        </w:rPr>
        <w:t>……</w:t>
      </w:r>
    </w:p>
    <w:p w14:paraId="630EA484">
      <w:pPr>
        <w:spacing w:line="239" w:lineRule="exact"/>
        <w:rPr>
          <w:rFonts w:hint="eastAsia" w:ascii="仿宋" w:hAnsi="仿宋" w:eastAsia="仿宋" w:cs="仿宋"/>
          <w:sz w:val="24"/>
          <w:szCs w:val="24"/>
        </w:rPr>
      </w:pPr>
    </w:p>
    <w:p w14:paraId="208AED8E">
      <w:pPr>
        <w:spacing w:before="56" w:line="437" w:lineRule="exact"/>
        <w:ind w:left="505"/>
        <w:rPr>
          <w:rFonts w:hint="eastAsia" w:ascii="仿宋" w:hAnsi="仿宋" w:eastAsia="仿宋" w:cs="仿宋"/>
          <w:spacing w:val="-1"/>
          <w:position w:val="11"/>
          <w:sz w:val="24"/>
          <w:szCs w:val="24"/>
        </w:rPr>
      </w:pPr>
      <w:r>
        <w:rPr>
          <w:rFonts w:hint="eastAsia" w:ascii="仿宋" w:hAnsi="仿宋" w:eastAsia="仿宋" w:cs="仿宋"/>
          <w:spacing w:val="-2"/>
          <w:position w:val="11"/>
          <w:sz w:val="24"/>
          <w:szCs w:val="24"/>
        </w:rPr>
        <w:t>签字</w:t>
      </w:r>
      <w:r>
        <w:rPr>
          <w:rFonts w:hint="eastAsia" w:ascii="仿宋" w:hAnsi="仿宋" w:eastAsia="仿宋" w:cs="仿宋"/>
          <w:spacing w:val="-2"/>
          <w:position w:val="11"/>
          <w:sz w:val="24"/>
          <w:szCs w:val="24"/>
          <w:lang w:eastAsia="zh-CN"/>
        </w:rPr>
        <w:t>（</w:t>
      </w:r>
      <w:r>
        <w:rPr>
          <w:rFonts w:hint="eastAsia" w:ascii="仿宋" w:hAnsi="仿宋" w:eastAsia="仿宋" w:cs="仿宋"/>
          <w:spacing w:val="-2"/>
          <w:position w:val="11"/>
          <w:sz w:val="24"/>
          <w:szCs w:val="24"/>
        </w:rPr>
        <w:t>签</w:t>
      </w:r>
      <w:r>
        <w:rPr>
          <w:rFonts w:hint="eastAsia" w:ascii="仿宋" w:hAnsi="仿宋" w:eastAsia="仿宋" w:cs="仿宋"/>
          <w:spacing w:val="-1"/>
          <w:position w:val="11"/>
          <w:sz w:val="24"/>
          <w:szCs w:val="24"/>
        </w:rPr>
        <w:t>章</w:t>
      </w:r>
      <w:r>
        <w:rPr>
          <w:rFonts w:hint="eastAsia" w:ascii="仿宋" w:hAnsi="仿宋" w:eastAsia="仿宋" w:cs="仿宋"/>
          <w:spacing w:val="-1"/>
          <w:position w:val="11"/>
          <w:sz w:val="24"/>
          <w:szCs w:val="24"/>
          <w:lang w:eastAsia="zh-CN"/>
        </w:rPr>
        <w:t>）</w:t>
      </w:r>
      <w:r>
        <w:rPr>
          <w:rFonts w:hint="eastAsia" w:ascii="仿宋" w:hAnsi="仿宋" w:eastAsia="仿宋" w:cs="仿宋"/>
          <w:spacing w:val="-1"/>
          <w:position w:val="11"/>
          <w:sz w:val="24"/>
          <w:szCs w:val="24"/>
        </w:rPr>
        <w:t xml:space="preserve">： </w:t>
      </w:r>
    </w:p>
    <w:p w14:paraId="168B31DB">
      <w:pPr>
        <w:spacing w:before="56" w:line="437" w:lineRule="exact"/>
        <w:ind w:left="505"/>
        <w:rPr>
          <w:rFonts w:hint="eastAsia" w:ascii="仿宋" w:hAnsi="仿宋" w:eastAsia="仿宋" w:cs="仿宋"/>
          <w:spacing w:val="-1"/>
          <w:position w:val="11"/>
          <w:sz w:val="24"/>
          <w:szCs w:val="24"/>
        </w:rPr>
      </w:pPr>
      <w:r>
        <w:rPr>
          <w:rFonts w:hint="eastAsia" w:ascii="仿宋" w:hAnsi="仿宋" w:eastAsia="仿宋" w:cs="仿宋"/>
          <w:spacing w:val="-20"/>
          <w:sz w:val="24"/>
          <w:szCs w:val="24"/>
        </w:rPr>
        <w:t>日</w:t>
      </w:r>
      <w:r>
        <w:rPr>
          <w:rFonts w:hint="eastAsia" w:ascii="仿宋" w:hAnsi="仿宋" w:eastAsia="仿宋" w:cs="仿宋"/>
          <w:spacing w:val="-19"/>
          <w:sz w:val="24"/>
          <w:szCs w:val="24"/>
        </w:rPr>
        <w:t>期：</w:t>
      </w:r>
      <w:r>
        <w:rPr>
          <w:rFonts w:hint="eastAsia" w:ascii="仿宋" w:hAnsi="仿宋" w:eastAsia="仿宋" w:cs="仿宋"/>
          <w:spacing w:val="-1"/>
          <w:position w:val="11"/>
          <w:sz w:val="24"/>
          <w:szCs w:val="24"/>
        </w:rPr>
        <w:t xml:space="preserve"> </w:t>
      </w:r>
    </w:p>
    <w:p w14:paraId="55063A17">
      <w:pPr>
        <w:spacing w:line="392" w:lineRule="auto"/>
        <w:rPr>
          <w:rFonts w:hint="eastAsia" w:ascii="仿宋" w:hAnsi="仿宋" w:eastAsia="仿宋" w:cs="仿宋"/>
          <w:sz w:val="24"/>
          <w:szCs w:val="24"/>
        </w:rPr>
      </w:pPr>
    </w:p>
    <w:p w14:paraId="323BF567">
      <w:pPr>
        <w:spacing w:before="91" w:line="219" w:lineRule="auto"/>
        <w:ind w:left="508"/>
        <w:rPr>
          <w:rFonts w:hint="eastAsia" w:ascii="仿宋" w:hAnsi="仿宋" w:eastAsia="仿宋" w:cs="仿宋"/>
          <w:sz w:val="24"/>
          <w:szCs w:val="24"/>
        </w:rPr>
      </w:pPr>
      <w:r>
        <w:rPr>
          <w:rFonts w:hint="eastAsia" w:ascii="仿宋" w:hAnsi="仿宋" w:eastAsia="仿宋" w:cs="仿宋"/>
          <w:spacing w:val="-2"/>
          <w:sz w:val="24"/>
          <w:szCs w:val="24"/>
        </w:rPr>
        <w:t>投诉书制作说</w:t>
      </w:r>
      <w:r>
        <w:rPr>
          <w:rFonts w:hint="eastAsia" w:ascii="仿宋" w:hAnsi="仿宋" w:eastAsia="仿宋" w:cs="仿宋"/>
          <w:spacing w:val="-1"/>
          <w:sz w:val="24"/>
          <w:szCs w:val="24"/>
        </w:rPr>
        <w:t>明：</w:t>
      </w:r>
    </w:p>
    <w:p w14:paraId="464A0CF2">
      <w:pPr>
        <w:spacing w:before="101" w:line="288" w:lineRule="auto"/>
        <w:ind w:left="31" w:right="8" w:firstLine="494"/>
        <w:rPr>
          <w:rFonts w:hint="eastAsia" w:ascii="仿宋" w:hAnsi="仿宋" w:eastAsia="仿宋" w:cs="仿宋"/>
          <w:sz w:val="24"/>
          <w:szCs w:val="24"/>
        </w:rPr>
      </w:pPr>
      <w:r>
        <w:rPr>
          <w:rFonts w:hint="eastAsia" w:ascii="仿宋" w:hAnsi="仿宋" w:eastAsia="仿宋" w:cs="仿宋"/>
          <w:spacing w:val="-2"/>
          <w:sz w:val="24"/>
          <w:szCs w:val="24"/>
        </w:rPr>
        <w:t>1.投诉人提起投诉时，应</w:t>
      </w:r>
      <w:r>
        <w:rPr>
          <w:rFonts w:hint="eastAsia" w:ascii="仿宋" w:hAnsi="仿宋" w:eastAsia="仿宋" w:cs="仿宋"/>
          <w:spacing w:val="-1"/>
          <w:sz w:val="24"/>
          <w:szCs w:val="24"/>
        </w:rPr>
        <w:t>当提交投诉书和必要的证明材料，并按</w:t>
      </w:r>
      <w:r>
        <w:rPr>
          <w:rFonts w:hint="eastAsia" w:ascii="仿宋" w:hAnsi="仿宋" w:eastAsia="仿宋" w:cs="仿宋"/>
          <w:sz w:val="24"/>
          <w:szCs w:val="24"/>
        </w:rPr>
        <w:t xml:space="preserve"> </w:t>
      </w:r>
      <w:r>
        <w:rPr>
          <w:rFonts w:hint="eastAsia" w:ascii="仿宋" w:hAnsi="仿宋" w:eastAsia="仿宋" w:cs="仿宋"/>
          <w:spacing w:val="-1"/>
          <w:sz w:val="24"/>
          <w:szCs w:val="24"/>
        </w:rPr>
        <w:t>照被投诉人和与投诉事项有关的供应商数</w:t>
      </w:r>
      <w:r>
        <w:rPr>
          <w:rFonts w:hint="eastAsia" w:ascii="仿宋" w:hAnsi="仿宋" w:eastAsia="仿宋" w:cs="仿宋"/>
          <w:sz w:val="24"/>
          <w:szCs w:val="24"/>
        </w:rPr>
        <w:t>量提供投诉书副本。</w:t>
      </w:r>
    </w:p>
    <w:p w14:paraId="5A05AE01">
      <w:pPr>
        <w:spacing w:before="1" w:line="287" w:lineRule="auto"/>
        <w:ind w:left="21" w:right="8" w:firstLine="486"/>
        <w:rPr>
          <w:rFonts w:hint="eastAsia" w:ascii="仿宋" w:hAnsi="仿宋" w:eastAsia="仿宋" w:cs="仿宋"/>
          <w:sz w:val="24"/>
          <w:szCs w:val="24"/>
        </w:rPr>
      </w:pPr>
      <w:r>
        <w:rPr>
          <w:rFonts w:hint="eastAsia" w:ascii="仿宋" w:hAnsi="仿宋" w:eastAsia="仿宋" w:cs="仿宋"/>
          <w:spacing w:val="-1"/>
          <w:sz w:val="24"/>
          <w:szCs w:val="24"/>
        </w:rPr>
        <w:t>2.投诉人若委托代理人进行投诉的，投诉书应按要</w:t>
      </w:r>
      <w:r>
        <w:rPr>
          <w:rFonts w:hint="eastAsia" w:ascii="仿宋" w:hAnsi="仿宋" w:eastAsia="仿宋" w:cs="仿宋"/>
          <w:sz w:val="24"/>
          <w:szCs w:val="24"/>
        </w:rPr>
        <w:t xml:space="preserve">求列明“授权 </w:t>
      </w:r>
      <w:r>
        <w:rPr>
          <w:rFonts w:hint="eastAsia" w:ascii="仿宋" w:hAnsi="仿宋" w:eastAsia="仿宋" w:cs="仿宋"/>
          <w:spacing w:val="-6"/>
          <w:sz w:val="24"/>
          <w:szCs w:val="24"/>
        </w:rPr>
        <w:t>代表</w:t>
      </w:r>
      <w:r>
        <w:rPr>
          <w:rFonts w:hint="eastAsia" w:ascii="仿宋" w:hAnsi="仿宋" w:eastAsia="仿宋" w:cs="仿宋"/>
          <w:spacing w:val="-4"/>
          <w:sz w:val="24"/>
          <w:szCs w:val="24"/>
        </w:rPr>
        <w:t>”</w:t>
      </w:r>
      <w:r>
        <w:rPr>
          <w:rFonts w:hint="eastAsia" w:ascii="仿宋" w:hAnsi="仿宋" w:eastAsia="仿宋" w:cs="仿宋"/>
          <w:spacing w:val="-3"/>
          <w:sz w:val="24"/>
          <w:szCs w:val="24"/>
        </w:rPr>
        <w:t>的有关内容，并在附件中提交由投诉人签署的授权委托书。授</w:t>
      </w:r>
      <w:r>
        <w:rPr>
          <w:rFonts w:hint="eastAsia" w:ascii="仿宋" w:hAnsi="仿宋" w:eastAsia="仿宋" w:cs="仿宋"/>
          <w:sz w:val="24"/>
          <w:szCs w:val="24"/>
        </w:rPr>
        <w:t xml:space="preserve"> </w:t>
      </w:r>
      <w:r>
        <w:rPr>
          <w:rFonts w:hint="eastAsia" w:ascii="仿宋" w:hAnsi="仿宋" w:eastAsia="仿宋" w:cs="仿宋"/>
          <w:spacing w:val="-6"/>
          <w:sz w:val="24"/>
          <w:szCs w:val="24"/>
        </w:rPr>
        <w:t>权委</w:t>
      </w:r>
      <w:r>
        <w:rPr>
          <w:rFonts w:hint="eastAsia" w:ascii="仿宋" w:hAnsi="仿宋" w:eastAsia="仿宋" w:cs="仿宋"/>
          <w:spacing w:val="-4"/>
          <w:sz w:val="24"/>
          <w:szCs w:val="24"/>
        </w:rPr>
        <w:t>托</w:t>
      </w:r>
      <w:r>
        <w:rPr>
          <w:rFonts w:hint="eastAsia" w:ascii="仿宋" w:hAnsi="仿宋" w:eastAsia="仿宋" w:cs="仿宋"/>
          <w:spacing w:val="-3"/>
          <w:sz w:val="24"/>
          <w:szCs w:val="24"/>
        </w:rPr>
        <w:t>书应载明代理人的姓名或者名称、代理事项、具体权限、期限</w:t>
      </w:r>
      <w:r>
        <w:rPr>
          <w:rFonts w:hint="eastAsia" w:ascii="仿宋" w:hAnsi="仿宋" w:eastAsia="仿宋" w:cs="仿宋"/>
          <w:sz w:val="24"/>
          <w:szCs w:val="24"/>
        </w:rPr>
        <w:t xml:space="preserve"> </w:t>
      </w:r>
      <w:r>
        <w:rPr>
          <w:rFonts w:hint="eastAsia" w:ascii="仿宋" w:hAnsi="仿宋" w:eastAsia="仿宋" w:cs="仿宋"/>
          <w:spacing w:val="-2"/>
          <w:sz w:val="24"/>
          <w:szCs w:val="24"/>
        </w:rPr>
        <w:t>和相关</w:t>
      </w:r>
      <w:r>
        <w:rPr>
          <w:rFonts w:hint="eastAsia" w:ascii="仿宋" w:hAnsi="仿宋" w:eastAsia="仿宋" w:cs="仿宋"/>
          <w:spacing w:val="-1"/>
          <w:sz w:val="24"/>
          <w:szCs w:val="24"/>
        </w:rPr>
        <w:t>事项。</w:t>
      </w:r>
    </w:p>
    <w:p w14:paraId="362C322E">
      <w:pPr>
        <w:spacing w:line="287" w:lineRule="auto"/>
        <w:ind w:left="22" w:right="11" w:firstLine="488"/>
        <w:rPr>
          <w:rFonts w:hint="eastAsia" w:ascii="仿宋" w:hAnsi="仿宋" w:eastAsia="仿宋" w:cs="仿宋"/>
          <w:sz w:val="24"/>
          <w:szCs w:val="24"/>
        </w:rPr>
      </w:pPr>
      <w:r>
        <w:rPr>
          <w:rFonts w:hint="eastAsia" w:ascii="仿宋" w:hAnsi="仿宋" w:eastAsia="仿宋" w:cs="仿宋"/>
          <w:spacing w:val="-1"/>
          <w:sz w:val="24"/>
          <w:szCs w:val="24"/>
        </w:rPr>
        <w:t>3.投诉人若对项目的某一分包进行投诉，投诉书中应列明具体</w:t>
      </w:r>
      <w:r>
        <w:rPr>
          <w:rFonts w:hint="eastAsia" w:ascii="仿宋" w:hAnsi="仿宋" w:eastAsia="仿宋" w:cs="仿宋"/>
          <w:sz w:val="24"/>
          <w:szCs w:val="24"/>
        </w:rPr>
        <w:t xml:space="preserve">分 </w:t>
      </w:r>
      <w:r>
        <w:rPr>
          <w:rFonts w:hint="eastAsia" w:ascii="仿宋" w:hAnsi="仿宋" w:eastAsia="仿宋" w:cs="仿宋"/>
          <w:spacing w:val="-4"/>
          <w:sz w:val="24"/>
          <w:szCs w:val="24"/>
        </w:rPr>
        <w:t>包</w:t>
      </w:r>
      <w:r>
        <w:rPr>
          <w:rFonts w:hint="eastAsia" w:ascii="仿宋" w:hAnsi="仿宋" w:eastAsia="仿宋" w:cs="仿宋"/>
          <w:spacing w:val="-3"/>
          <w:sz w:val="24"/>
          <w:szCs w:val="24"/>
        </w:rPr>
        <w:t>号。</w:t>
      </w:r>
    </w:p>
    <w:p w14:paraId="758F090A">
      <w:pPr>
        <w:spacing w:before="1" w:line="287" w:lineRule="auto"/>
        <w:ind w:left="22" w:right="11" w:firstLine="481"/>
        <w:rPr>
          <w:rFonts w:hint="eastAsia" w:ascii="仿宋" w:hAnsi="仿宋" w:eastAsia="仿宋" w:cs="仿宋"/>
          <w:sz w:val="24"/>
          <w:szCs w:val="24"/>
        </w:rPr>
      </w:pPr>
      <w:r>
        <w:rPr>
          <w:rFonts w:hint="eastAsia" w:ascii="仿宋" w:hAnsi="仿宋" w:eastAsia="仿宋" w:cs="仿宋"/>
          <w:spacing w:val="-1"/>
          <w:sz w:val="24"/>
          <w:szCs w:val="24"/>
        </w:rPr>
        <w:t>4.投诉书应简要列明质疑事项，质疑函、质疑</w:t>
      </w:r>
      <w:r>
        <w:rPr>
          <w:rFonts w:hint="eastAsia" w:ascii="仿宋" w:hAnsi="仿宋" w:eastAsia="仿宋" w:cs="仿宋"/>
          <w:sz w:val="24"/>
          <w:szCs w:val="24"/>
        </w:rPr>
        <w:t xml:space="preserve">答复等作为附件材 </w:t>
      </w:r>
      <w:r>
        <w:rPr>
          <w:rFonts w:hint="eastAsia" w:ascii="仿宋" w:hAnsi="仿宋" w:eastAsia="仿宋" w:cs="仿宋"/>
          <w:spacing w:val="-4"/>
          <w:sz w:val="24"/>
          <w:szCs w:val="24"/>
        </w:rPr>
        <w:t>料</w:t>
      </w:r>
      <w:r>
        <w:rPr>
          <w:rFonts w:hint="eastAsia" w:ascii="仿宋" w:hAnsi="仿宋" w:eastAsia="仿宋" w:cs="仿宋"/>
          <w:spacing w:val="-3"/>
          <w:sz w:val="24"/>
          <w:szCs w:val="24"/>
        </w:rPr>
        <w:t>提</w:t>
      </w:r>
      <w:r>
        <w:rPr>
          <w:rFonts w:hint="eastAsia" w:ascii="仿宋" w:hAnsi="仿宋" w:eastAsia="仿宋" w:cs="仿宋"/>
          <w:spacing w:val="-2"/>
          <w:sz w:val="24"/>
          <w:szCs w:val="24"/>
        </w:rPr>
        <w:t>供。</w:t>
      </w:r>
    </w:p>
    <w:p w14:paraId="20B5A9D8">
      <w:pPr>
        <w:spacing w:line="287" w:lineRule="auto"/>
        <w:ind w:left="24" w:right="11" w:firstLine="485"/>
        <w:rPr>
          <w:rFonts w:hint="eastAsia" w:ascii="仿宋" w:hAnsi="仿宋" w:eastAsia="仿宋" w:cs="仿宋"/>
          <w:sz w:val="24"/>
          <w:szCs w:val="24"/>
        </w:rPr>
      </w:pPr>
      <w:r>
        <w:rPr>
          <w:rFonts w:hint="eastAsia" w:ascii="仿宋" w:hAnsi="仿宋" w:eastAsia="仿宋" w:cs="仿宋"/>
          <w:spacing w:val="-1"/>
          <w:sz w:val="24"/>
          <w:szCs w:val="24"/>
        </w:rPr>
        <w:t>5.投诉书的投诉事项应具体、明确，并有必要的事实依据和法</w:t>
      </w:r>
      <w:r>
        <w:rPr>
          <w:rFonts w:hint="eastAsia" w:ascii="仿宋" w:hAnsi="仿宋" w:eastAsia="仿宋" w:cs="仿宋"/>
          <w:sz w:val="24"/>
          <w:szCs w:val="24"/>
        </w:rPr>
        <w:t xml:space="preserve">律 </w:t>
      </w:r>
      <w:r>
        <w:rPr>
          <w:rFonts w:hint="eastAsia" w:ascii="仿宋" w:hAnsi="仿宋" w:eastAsia="仿宋" w:cs="仿宋"/>
          <w:spacing w:val="-4"/>
          <w:sz w:val="24"/>
          <w:szCs w:val="24"/>
        </w:rPr>
        <w:t>依据。</w:t>
      </w:r>
    </w:p>
    <w:p w14:paraId="6189813C">
      <w:pPr>
        <w:spacing w:before="1"/>
        <w:ind w:left="507"/>
        <w:rPr>
          <w:rFonts w:hint="eastAsia" w:ascii="仿宋" w:hAnsi="仿宋" w:eastAsia="仿宋" w:cs="仿宋"/>
          <w:sz w:val="24"/>
          <w:szCs w:val="24"/>
        </w:rPr>
      </w:pPr>
      <w:r>
        <w:rPr>
          <w:rFonts w:hint="eastAsia" w:ascii="仿宋" w:hAnsi="仿宋" w:eastAsia="仿宋" w:cs="仿宋"/>
          <w:spacing w:val="-1"/>
          <w:sz w:val="24"/>
          <w:szCs w:val="24"/>
        </w:rPr>
        <w:t>6.投诉书的投诉请求应与投诉</w:t>
      </w:r>
      <w:r>
        <w:rPr>
          <w:rFonts w:hint="eastAsia" w:ascii="仿宋" w:hAnsi="仿宋" w:eastAsia="仿宋" w:cs="仿宋"/>
          <w:sz w:val="24"/>
          <w:szCs w:val="24"/>
        </w:rPr>
        <w:t>事项相关。</w:t>
      </w:r>
    </w:p>
    <w:p w14:paraId="65F3BB2D">
      <w:pPr>
        <w:spacing w:before="73" w:line="295" w:lineRule="auto"/>
        <w:ind w:left="21" w:right="8" w:firstLine="490"/>
        <w:rPr>
          <w:rFonts w:hint="eastAsia" w:ascii="仿宋" w:hAnsi="仿宋" w:eastAsia="仿宋" w:cs="仿宋"/>
          <w:sz w:val="24"/>
          <w:szCs w:val="24"/>
        </w:rPr>
      </w:pPr>
      <w:r>
        <w:rPr>
          <w:rFonts w:hint="eastAsia" w:ascii="仿宋" w:hAnsi="仿宋" w:eastAsia="仿宋" w:cs="仿宋"/>
          <w:spacing w:val="-1"/>
          <w:sz w:val="24"/>
          <w:szCs w:val="24"/>
        </w:rPr>
        <w:t>7.投诉人为自然人的，投诉书应由本人签字；投诉人为法人</w:t>
      </w:r>
      <w:r>
        <w:rPr>
          <w:rFonts w:hint="eastAsia" w:ascii="仿宋" w:hAnsi="仿宋" w:eastAsia="仿宋" w:cs="仿宋"/>
          <w:sz w:val="24"/>
          <w:szCs w:val="24"/>
        </w:rPr>
        <w:t xml:space="preserve">或者 </w:t>
      </w:r>
      <w:r>
        <w:rPr>
          <w:rFonts w:hint="eastAsia" w:ascii="仿宋" w:hAnsi="仿宋" w:eastAsia="仿宋" w:cs="仿宋"/>
          <w:spacing w:val="-6"/>
          <w:sz w:val="24"/>
          <w:szCs w:val="24"/>
        </w:rPr>
        <w:t>其他组</w:t>
      </w:r>
      <w:r>
        <w:rPr>
          <w:rFonts w:hint="eastAsia" w:ascii="仿宋" w:hAnsi="仿宋" w:eastAsia="仿宋" w:cs="仿宋"/>
          <w:spacing w:val="-3"/>
          <w:sz w:val="24"/>
          <w:szCs w:val="24"/>
        </w:rPr>
        <w:t>织的，投诉书应当由法定代表人、主要负责人，或者其授权代</w:t>
      </w:r>
      <w:r>
        <w:rPr>
          <w:rFonts w:hint="eastAsia" w:ascii="仿宋" w:hAnsi="仿宋" w:eastAsia="仿宋" w:cs="仿宋"/>
          <w:sz w:val="24"/>
          <w:szCs w:val="24"/>
        </w:rPr>
        <w:t xml:space="preserve"> </w:t>
      </w:r>
      <w:r>
        <w:rPr>
          <w:rFonts w:hint="eastAsia" w:ascii="仿宋" w:hAnsi="仿宋" w:eastAsia="仿宋" w:cs="仿宋"/>
          <w:spacing w:val="-1"/>
          <w:sz w:val="24"/>
          <w:szCs w:val="24"/>
        </w:rPr>
        <w:t>表签字或者盖章，并</w:t>
      </w:r>
      <w:r>
        <w:rPr>
          <w:rFonts w:hint="eastAsia" w:ascii="仿宋" w:hAnsi="仿宋" w:eastAsia="仿宋" w:cs="仿宋"/>
          <w:sz w:val="24"/>
          <w:szCs w:val="24"/>
        </w:rPr>
        <w:t>加盖公章。</w:t>
      </w:r>
    </w:p>
    <w:p w14:paraId="00D5BC92">
      <w:pPr>
        <w:pStyle w:val="5"/>
        <w:keepNext/>
        <w:keepLines/>
        <w:pageBreakBefore w:val="0"/>
        <w:widowControl w:val="0"/>
        <w:numPr>
          <w:ilvl w:val="0"/>
          <w:numId w:val="0"/>
        </w:numPr>
        <w:tabs>
          <w:tab w:val="left" w:pos="5852"/>
        </w:tabs>
        <w:kinsoku/>
        <w:wordWrap/>
        <w:overflowPunct/>
        <w:topLinePunct w:val="0"/>
        <w:autoSpaceDE/>
        <w:autoSpaceDN/>
        <w:bidi w:val="0"/>
        <w:adjustRightInd/>
        <w:snapToGrid/>
        <w:spacing w:line="416" w:lineRule="auto"/>
        <w:ind w:leftChars="0"/>
        <w:jc w:val="center"/>
        <w:textAlignment w:val="auto"/>
        <w:outlineLvl w:val="1"/>
        <w:rPr>
          <w:rFonts w:hint="eastAsia" w:ascii="仿宋" w:hAnsi="仿宋" w:eastAsia="仿宋" w:cs="仿宋"/>
          <w:sz w:val="32"/>
          <w:szCs w:val="32"/>
        </w:rPr>
      </w:pPr>
      <w:r>
        <w:rPr>
          <w:rFonts w:hint="eastAsia" w:ascii="仿宋" w:hAnsi="仿宋" w:eastAsia="仿宋" w:cs="仿宋"/>
          <w:sz w:val="24"/>
          <w:szCs w:val="24"/>
        </w:rPr>
        <w:br w:type="page"/>
      </w:r>
      <w:bookmarkStart w:id="116" w:name="_Toc16557"/>
      <w:bookmarkStart w:id="117" w:name="_Toc28928"/>
      <w:bookmarkStart w:id="118" w:name="_Toc9878"/>
      <w:bookmarkStart w:id="119" w:name="_Toc12869"/>
      <w:bookmarkStart w:id="120" w:name="_Toc8722"/>
      <w:r>
        <w:rPr>
          <w:rFonts w:hint="eastAsia" w:ascii="仿宋" w:hAnsi="仿宋" w:eastAsia="仿宋" w:cs="仿宋"/>
          <w:sz w:val="32"/>
          <w:szCs w:val="32"/>
        </w:rPr>
        <w:t>中小企业划分标准</w:t>
      </w:r>
      <w:bookmarkEnd w:id="116"/>
      <w:bookmarkEnd w:id="117"/>
      <w:bookmarkEnd w:id="118"/>
      <w:bookmarkEnd w:id="119"/>
      <w:bookmarkEnd w:id="120"/>
    </w:p>
    <w:p w14:paraId="3D096522">
      <w:pPr>
        <w:ind w:firstLine="480" w:firstLineChars="200"/>
        <w:rPr>
          <w:rFonts w:hint="eastAsia" w:ascii="仿宋" w:hAnsi="仿宋" w:eastAsia="仿宋" w:cs="仿宋"/>
          <w:sz w:val="24"/>
          <w:szCs w:val="24"/>
        </w:rPr>
      </w:pPr>
      <w:r>
        <w:rPr>
          <w:rFonts w:hint="eastAsia" w:ascii="仿宋" w:hAnsi="仿宋" w:eastAsia="仿宋" w:cs="仿宋"/>
          <w:sz w:val="24"/>
          <w:szCs w:val="24"/>
        </w:rPr>
        <w:t>工业和信息化部、国家统计局、发展改革委、财政部等四部门《关于印发中小企业划型标准规定的通知》（工信部联企业〔2011〕300号）规定中小企业划型标准如表所示：</w:t>
      </w:r>
    </w:p>
    <w:tbl>
      <w:tblPr>
        <w:tblStyle w:val="46"/>
        <w:tblW w:w="5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42"/>
        <w:gridCol w:w="1828"/>
        <w:gridCol w:w="6523"/>
      </w:tblGrid>
      <w:tr w14:paraId="0F32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07E6DC27">
            <w:pPr>
              <w:pStyle w:val="154"/>
              <w:keepNext w:val="0"/>
              <w:keepLines w:val="0"/>
              <w:suppressLineNumbers w:val="0"/>
              <w:shd w:val="clear" w:color="auto" w:fill="auto"/>
              <w:spacing w:before="0" w:beforeAutospacing="0" w:after="0" w:afterAutospacing="0" w:line="240" w:lineRule="auto"/>
              <w:ind w:left="0" w:right="0" w:firstLine="240"/>
              <w:jc w:val="center"/>
              <w:rPr>
                <w:rFonts w:hint="eastAsia" w:ascii="仿宋" w:hAnsi="仿宋" w:eastAsia="仿宋" w:cs="仿宋"/>
                <w:sz w:val="24"/>
                <w:szCs w:val="24"/>
              </w:rPr>
            </w:pPr>
            <w:r>
              <w:rPr>
                <w:rFonts w:hint="eastAsia" w:ascii="仿宋" w:hAnsi="仿宋" w:eastAsia="仿宋" w:cs="仿宋"/>
                <w:color w:val="000000"/>
                <w:sz w:val="24"/>
                <w:szCs w:val="24"/>
              </w:rPr>
              <w:t>农、林、牧、渔业</w:t>
            </w:r>
          </w:p>
        </w:tc>
        <w:tc>
          <w:tcPr>
            <w:tcW w:w="4263" w:type="pct"/>
            <w:gridSpan w:val="2"/>
            <w:shd w:val="clear" w:color="auto" w:fill="FFFFFF"/>
            <w:noWrap w:val="0"/>
            <w:vAlign w:val="center"/>
          </w:tcPr>
          <w:p w14:paraId="2100ABB4">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营业收入20000万元以下的为中小微型企业。</w:t>
            </w:r>
          </w:p>
        </w:tc>
      </w:tr>
      <w:tr w14:paraId="4472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B53173A">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4BC54FF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60C7E804">
            <w:pPr>
              <w:pStyle w:val="154"/>
              <w:keepNext w:val="0"/>
              <w:keepLines w:val="0"/>
              <w:suppressLineNumbers w:val="0"/>
              <w:shd w:val="clear" w:color="auto" w:fill="auto"/>
              <w:tabs>
                <w:tab w:val="left" w:pos="1930"/>
              </w:tabs>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500万元</w:t>
            </w:r>
            <w:r>
              <w:rPr>
                <w:rFonts w:hint="eastAsia" w:ascii="仿宋" w:hAnsi="仿宋" w:eastAsia="仿宋" w:cs="仿宋"/>
                <w:color w:val="000000"/>
                <w:sz w:val="24"/>
                <w:szCs w:val="24"/>
                <w:lang w:val="en-US"/>
              </w:rPr>
              <w:t>-</w:t>
            </w:r>
            <w:r>
              <w:rPr>
                <w:rFonts w:hint="eastAsia" w:ascii="仿宋" w:hAnsi="仿宋" w:eastAsia="仿宋" w:cs="仿宋"/>
                <w:color w:val="000000"/>
                <w:sz w:val="24"/>
                <w:szCs w:val="24"/>
              </w:rPr>
              <w:t>20 000万元</w:t>
            </w:r>
          </w:p>
        </w:tc>
      </w:tr>
      <w:tr w14:paraId="4A30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3B4E7AF">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4F76C298">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6CDCAC88">
            <w:pPr>
              <w:pStyle w:val="154"/>
              <w:keepNext w:val="0"/>
              <w:keepLines w:val="0"/>
              <w:suppressLineNumbers w:val="0"/>
              <w:shd w:val="clear" w:color="auto" w:fill="auto"/>
              <w:tabs>
                <w:tab w:val="left" w:pos="1752"/>
              </w:tabs>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50万元</w:t>
            </w:r>
            <w:r>
              <w:rPr>
                <w:rFonts w:hint="eastAsia" w:ascii="仿宋" w:hAnsi="仿宋" w:eastAsia="仿宋" w:cs="仿宋"/>
                <w:color w:val="000000"/>
                <w:sz w:val="24"/>
                <w:szCs w:val="24"/>
                <w:lang w:val="en-US"/>
              </w:rPr>
              <w:t>-</w:t>
            </w:r>
            <w:r>
              <w:rPr>
                <w:rFonts w:hint="eastAsia" w:ascii="仿宋" w:hAnsi="仿宋" w:eastAsia="仿宋" w:cs="仿宋"/>
                <w:color w:val="000000"/>
                <w:sz w:val="24"/>
                <w:szCs w:val="24"/>
              </w:rPr>
              <w:t>500万元</w:t>
            </w:r>
          </w:p>
        </w:tc>
      </w:tr>
      <w:tr w14:paraId="3377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F2D278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4862E5CA">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3CEC8A2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50万元以下</w:t>
            </w:r>
          </w:p>
        </w:tc>
      </w:tr>
      <w:tr w14:paraId="003E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6103BF4B">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工业</w:t>
            </w:r>
          </w:p>
          <w:p w14:paraId="61BA76C7">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（包括采矿业，制造业，电力、热力、燃气及水生产和供应</w:t>
            </w:r>
          </w:p>
          <w:p w14:paraId="48BE14B4">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业）</w:t>
            </w:r>
          </w:p>
        </w:tc>
        <w:tc>
          <w:tcPr>
            <w:tcW w:w="4263" w:type="pct"/>
            <w:gridSpan w:val="2"/>
            <w:shd w:val="clear" w:color="auto" w:fill="FFFFFF"/>
            <w:noWrap w:val="0"/>
            <w:vAlign w:val="center"/>
          </w:tcPr>
          <w:p w14:paraId="5F2D131E">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从业人员1 000人以下或营业收入 40000万元以下的为中小微型企业。</w:t>
            </w:r>
          </w:p>
        </w:tc>
      </w:tr>
      <w:tr w14:paraId="3DEB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A0788B3">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6E90FC57">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3B68F13C">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 300人一1 000人，且营业收入 2 000万元一40 000万元</w:t>
            </w:r>
          </w:p>
        </w:tc>
      </w:tr>
      <w:tr w14:paraId="6532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12930EE8">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09124A89">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3DD1A438">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从业人员20人一300人，且营业收入 300万元一2 000万元</w:t>
            </w:r>
          </w:p>
        </w:tc>
      </w:tr>
      <w:tr w14:paraId="2332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7D078E5">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7551485E">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5BDEDFC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从业人员20人以下或营业收入 300万元以下</w:t>
            </w:r>
          </w:p>
        </w:tc>
      </w:tr>
      <w:tr w14:paraId="41A0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0700189E">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建筑业</w:t>
            </w:r>
          </w:p>
        </w:tc>
        <w:tc>
          <w:tcPr>
            <w:tcW w:w="4263" w:type="pct"/>
            <w:gridSpan w:val="2"/>
            <w:shd w:val="clear" w:color="auto" w:fill="FFFFFF"/>
            <w:noWrap w:val="0"/>
            <w:vAlign w:val="center"/>
          </w:tcPr>
          <w:p w14:paraId="6906BE8A">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营业收入80000万元以下或资产总额 80000万元以下的为中小微型企业。</w:t>
            </w:r>
          </w:p>
        </w:tc>
      </w:tr>
      <w:tr w14:paraId="151B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B53F7E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136152E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3A3C6637">
            <w:pPr>
              <w:pStyle w:val="154"/>
              <w:keepNext w:val="0"/>
              <w:keepLines w:val="0"/>
              <w:suppressLineNumbers w:val="0"/>
              <w:shd w:val="clear" w:color="auto" w:fill="auto"/>
              <w:spacing w:before="0" w:beforeAutospacing="0" w:after="0" w:afterAutospacing="0" w:line="240" w:lineRule="auto"/>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营业收入6000万元一80000万元，且资产总额 5 000万元一80 000 万元</w:t>
            </w:r>
          </w:p>
        </w:tc>
      </w:tr>
      <w:tr w14:paraId="2AB8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4166604">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789C3CD4">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36A5B3AC">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营业收入 300万元一6 000万元，且资产总额 300万一5 000万元</w:t>
            </w:r>
          </w:p>
        </w:tc>
      </w:tr>
      <w:tr w14:paraId="7045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AD2CF5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7DB88566">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493F16DB">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营业收入300万元以下或资产总额 300万元以下</w:t>
            </w:r>
          </w:p>
        </w:tc>
      </w:tr>
      <w:tr w14:paraId="713B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082F84FD">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批发业</w:t>
            </w:r>
          </w:p>
        </w:tc>
        <w:tc>
          <w:tcPr>
            <w:tcW w:w="4263" w:type="pct"/>
            <w:gridSpan w:val="2"/>
            <w:shd w:val="clear" w:color="auto" w:fill="FFFFFF"/>
            <w:noWrap w:val="0"/>
            <w:vAlign w:val="center"/>
          </w:tcPr>
          <w:p w14:paraId="27EC8184">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从业人员200人以下或营业收入 40 000万元以下的为中小微型企业。</w:t>
            </w:r>
          </w:p>
        </w:tc>
      </w:tr>
      <w:tr w14:paraId="4138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6E4B0C2">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0664DE98">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09635FB8">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从业人员20人一200人，且营业收入 5 000万元一40 000万元</w:t>
            </w:r>
          </w:p>
        </w:tc>
      </w:tr>
      <w:tr w14:paraId="2E13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CE6335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33EF8B84">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62110D94">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从业人员5人一20人，且营业收入 1 000万元一5 000万元</w:t>
            </w:r>
          </w:p>
        </w:tc>
      </w:tr>
      <w:tr w14:paraId="21BB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0A0F66A">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23D8180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17B7A597">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从业人员5人以下或营业收入 1 000万元以下</w:t>
            </w:r>
          </w:p>
        </w:tc>
      </w:tr>
      <w:tr w14:paraId="7BBE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14D28288">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零售业</w:t>
            </w:r>
          </w:p>
        </w:tc>
        <w:tc>
          <w:tcPr>
            <w:tcW w:w="4263" w:type="pct"/>
            <w:gridSpan w:val="2"/>
            <w:shd w:val="clear" w:color="auto" w:fill="FFFFFF"/>
            <w:noWrap w:val="0"/>
            <w:vAlign w:val="center"/>
          </w:tcPr>
          <w:p w14:paraId="32A7315A">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从业人员300人以下或营业收入 20 000万元以下的为中小微型企业。</w:t>
            </w:r>
          </w:p>
        </w:tc>
      </w:tr>
      <w:tr w14:paraId="549B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491C0A0">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16CE4401">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581282B6">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 50人一300人，且营业收入 500万元一20 000万元</w:t>
            </w:r>
          </w:p>
        </w:tc>
      </w:tr>
      <w:tr w14:paraId="10BF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2CA92D5">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2E2030F5">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3A177786">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从业人员10人一50人，且营业收入 100万元一500万元</w:t>
            </w:r>
          </w:p>
        </w:tc>
      </w:tr>
      <w:tr w14:paraId="0FBC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2CDFF1E7">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27499DBB">
            <w:pPr>
              <w:pStyle w:val="154"/>
              <w:keepNext w:val="0"/>
              <w:keepLines w:val="0"/>
              <w:suppressLineNumbers w:val="0"/>
              <w:shd w:val="clear" w:color="auto" w:fill="auto"/>
              <w:spacing w:before="8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6D4B5F4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从业人员10人以下或营业收入 100万元以下</w:t>
            </w:r>
          </w:p>
        </w:tc>
      </w:tr>
      <w:tr w14:paraId="4812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0EF2A84D">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交通运输业 （不含铁路运输业）</w:t>
            </w:r>
          </w:p>
        </w:tc>
        <w:tc>
          <w:tcPr>
            <w:tcW w:w="4263" w:type="pct"/>
            <w:gridSpan w:val="2"/>
            <w:shd w:val="clear" w:color="auto" w:fill="FFFFFF"/>
            <w:noWrap w:val="0"/>
            <w:vAlign w:val="center"/>
          </w:tcPr>
          <w:p w14:paraId="72391AE0">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从业人员1 000人以下或营业收入 30 000万元以下的为中小微型企业。</w:t>
            </w:r>
          </w:p>
        </w:tc>
      </w:tr>
      <w:tr w14:paraId="3A1E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5669DE23">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3B82D9BA">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0D73BA7B">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 300人一1 000人，且营业收入 3 000万元一30 000万元</w:t>
            </w:r>
          </w:p>
        </w:tc>
      </w:tr>
      <w:tr w14:paraId="67B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111B852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4A135B89">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5D4852B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从业人员20人一300人，且营业收入 200万元一3 000万元</w:t>
            </w:r>
          </w:p>
        </w:tc>
      </w:tr>
      <w:tr w14:paraId="5544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14D6FE59">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00CE1753">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6BBCE0E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从业人员20人以下或营业收入 200万元以下</w:t>
            </w:r>
          </w:p>
        </w:tc>
      </w:tr>
      <w:tr w14:paraId="7AB0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4118F12C">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仓储业</w:t>
            </w:r>
          </w:p>
        </w:tc>
        <w:tc>
          <w:tcPr>
            <w:tcW w:w="4263" w:type="pct"/>
            <w:gridSpan w:val="2"/>
            <w:shd w:val="clear" w:color="auto" w:fill="FFFFFF"/>
            <w:noWrap w:val="0"/>
            <w:vAlign w:val="center"/>
          </w:tcPr>
          <w:p w14:paraId="57A3A1FD">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从业人员200人以下或营业收入 30 000万元以下的为中小微型企业。</w:t>
            </w:r>
          </w:p>
        </w:tc>
      </w:tr>
      <w:tr w14:paraId="508F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0061EA03">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2742226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5AC8EE3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从业人员100人一200人，且营业收入 1 000万元一30 000万元</w:t>
            </w:r>
          </w:p>
        </w:tc>
      </w:tr>
      <w:tr w14:paraId="1415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D146A61">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4479042A">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31186F38">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从业人员20人一100人，且营业收入 100万元一1 000万元</w:t>
            </w:r>
          </w:p>
        </w:tc>
      </w:tr>
      <w:tr w14:paraId="7D08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49D15AA2">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57C720EB">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41F8E1B7">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从业人员20人以下或营业收入 100万元以下</w:t>
            </w:r>
          </w:p>
        </w:tc>
      </w:tr>
      <w:tr w14:paraId="33BB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restart"/>
            <w:shd w:val="clear" w:color="auto" w:fill="FFFFFF"/>
            <w:noWrap w:val="0"/>
            <w:vAlign w:val="center"/>
          </w:tcPr>
          <w:p w14:paraId="05125997">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邮政业</w:t>
            </w:r>
          </w:p>
        </w:tc>
        <w:tc>
          <w:tcPr>
            <w:tcW w:w="4263" w:type="pct"/>
            <w:gridSpan w:val="2"/>
            <w:shd w:val="clear" w:color="auto" w:fill="FFFFFF"/>
            <w:noWrap w:val="0"/>
            <w:vAlign w:val="center"/>
          </w:tcPr>
          <w:p w14:paraId="2986E1EE">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从业人员1 000人以下或营业收入 30 000万元以下的为中小微型企业。</w:t>
            </w:r>
          </w:p>
        </w:tc>
      </w:tr>
      <w:tr w14:paraId="4317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3A08F973">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07FFCD46">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3330" w:type="pct"/>
            <w:shd w:val="clear" w:color="auto" w:fill="FFFFFF"/>
            <w:noWrap w:val="0"/>
            <w:vAlign w:val="center"/>
          </w:tcPr>
          <w:p w14:paraId="58219934">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 300人一1 000人，且营业收入 2 000万元一30 000万元</w:t>
            </w:r>
          </w:p>
        </w:tc>
      </w:tr>
      <w:tr w14:paraId="0AF3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00E06A2">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70150C37">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3330" w:type="pct"/>
            <w:shd w:val="clear" w:color="auto" w:fill="FFFFFF"/>
            <w:noWrap w:val="0"/>
            <w:vAlign w:val="center"/>
          </w:tcPr>
          <w:p w14:paraId="0576090A">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从业人员20人一300人，且营业收入 100万元一2 000万元</w:t>
            </w:r>
          </w:p>
        </w:tc>
      </w:tr>
      <w:tr w14:paraId="582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736" w:type="pct"/>
            <w:vMerge w:val="continue"/>
            <w:shd w:val="clear" w:color="auto" w:fill="FFFFFF"/>
            <w:noWrap w:val="0"/>
            <w:vAlign w:val="center"/>
          </w:tcPr>
          <w:p w14:paraId="7FF96AEB">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933" w:type="pct"/>
            <w:shd w:val="clear" w:color="auto" w:fill="FFFFFF"/>
            <w:noWrap w:val="0"/>
            <w:vAlign w:val="center"/>
          </w:tcPr>
          <w:p w14:paraId="78A3D532">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3330" w:type="pct"/>
            <w:shd w:val="clear" w:color="auto" w:fill="FFFFFF"/>
            <w:noWrap w:val="0"/>
            <w:vAlign w:val="center"/>
          </w:tcPr>
          <w:p w14:paraId="639BD909">
            <w:pPr>
              <w:pStyle w:val="154"/>
              <w:keepNext w:val="0"/>
              <w:keepLines w:val="0"/>
              <w:suppressLineNumbers w:val="0"/>
              <w:shd w:val="clear" w:color="auto" w:fill="auto"/>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从业人员20人以下或营业收入 100万元以下</w:t>
            </w:r>
          </w:p>
        </w:tc>
      </w:tr>
    </w:tbl>
    <w:p w14:paraId="2D280C62">
      <w:pPr>
        <w:spacing w:line="1" w:lineRule="exact"/>
        <w:jc w:val="center"/>
        <w:rPr>
          <w:rFonts w:hint="eastAsia" w:ascii="仿宋" w:hAnsi="仿宋" w:eastAsia="仿宋" w:cs="仿宋"/>
          <w:sz w:val="24"/>
          <w:szCs w:val="24"/>
        </w:rPr>
      </w:pPr>
    </w:p>
    <w:tbl>
      <w:tblPr>
        <w:tblStyle w:val="46"/>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40"/>
        <w:gridCol w:w="1173"/>
        <w:gridCol w:w="7181"/>
      </w:tblGrid>
      <w:tr w14:paraId="5342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5EDBCE27">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住宿业</w:t>
            </w:r>
          </w:p>
        </w:tc>
        <w:tc>
          <w:tcPr>
            <w:tcW w:w="8354" w:type="dxa"/>
            <w:gridSpan w:val="2"/>
            <w:shd w:val="clear" w:color="auto" w:fill="FFFFFF"/>
            <w:noWrap w:val="0"/>
            <w:vAlign w:val="center"/>
          </w:tcPr>
          <w:p w14:paraId="23BA9B5E">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从业人员300人以下或营业收入 10000万元以下的为中小微型企业。</w:t>
            </w:r>
          </w:p>
        </w:tc>
      </w:tr>
      <w:tr w14:paraId="1F58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2FFD22FC">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2991B61E">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6B95AFBD">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从业人员100人一300人，且营业收入 2 000万元一10 000万元</w:t>
            </w:r>
          </w:p>
        </w:tc>
      </w:tr>
      <w:tr w14:paraId="1424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FF1FB7F">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63185E08">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6F200B4A">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从业人员10人一100人，且营业收入 100万元一2 000万元</w:t>
            </w:r>
          </w:p>
        </w:tc>
      </w:tr>
      <w:tr w14:paraId="3BAB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1D972DD">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502C48B9">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646251C7">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从业人员10人以下或营业收入 100万元以下</w:t>
            </w:r>
          </w:p>
        </w:tc>
      </w:tr>
      <w:tr w14:paraId="1BE4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058C20A0">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餐饮业</w:t>
            </w:r>
          </w:p>
        </w:tc>
        <w:tc>
          <w:tcPr>
            <w:tcW w:w="8354" w:type="dxa"/>
            <w:gridSpan w:val="2"/>
            <w:shd w:val="clear" w:color="auto" w:fill="FFFFFF"/>
            <w:noWrap w:val="0"/>
            <w:vAlign w:val="center"/>
          </w:tcPr>
          <w:p w14:paraId="0D045576">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从业人员300人以下或营业收入 10 000万元以下的为中小微型企业。</w:t>
            </w:r>
          </w:p>
        </w:tc>
      </w:tr>
      <w:tr w14:paraId="49A1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73DF779">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57C308F1">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22BB8BEE">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 300人，且营业收入 2 000万元一10 000万元</w:t>
            </w:r>
          </w:p>
        </w:tc>
      </w:tr>
      <w:tr w14:paraId="3662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F55914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16C971F7">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2C019620">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从业人员10人一100人，且营业收入 100万元一2 000万元</w:t>
            </w:r>
          </w:p>
        </w:tc>
      </w:tr>
      <w:tr w14:paraId="0406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28A82C6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3B09ADC9">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33114FC7">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从业人员10人以下或营业收入 100万元以下</w:t>
            </w:r>
          </w:p>
        </w:tc>
      </w:tr>
      <w:tr w14:paraId="3F39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77F4FB3E">
            <w:pPr>
              <w:pStyle w:val="154"/>
              <w:keepNext w:val="0"/>
              <w:keepLines w:val="0"/>
              <w:suppressLineNumbers w:val="0"/>
              <w:shd w:val="clear" w:color="auto" w:fill="auto"/>
              <w:spacing w:before="0" w:beforeAutospacing="0" w:after="0" w:afterAutospacing="0" w:line="492" w:lineRule="exact"/>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信息传输业 （包括电信、互联网 和相关服务）</w:t>
            </w:r>
          </w:p>
        </w:tc>
        <w:tc>
          <w:tcPr>
            <w:tcW w:w="8354" w:type="dxa"/>
            <w:gridSpan w:val="2"/>
            <w:shd w:val="clear" w:color="auto" w:fill="FFFFFF"/>
            <w:noWrap w:val="0"/>
            <w:vAlign w:val="center"/>
          </w:tcPr>
          <w:p w14:paraId="6466FEAC">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从业人员2 000人以下或营业收入 100 000万元以下的为中小微型企业。</w:t>
            </w:r>
          </w:p>
        </w:tc>
      </w:tr>
      <w:tr w14:paraId="6276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FCDF8B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6F8C6B59">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5A74A10A">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从业人员100人一2 000人，且营业收入 1 000万元一10 000万元</w:t>
            </w:r>
          </w:p>
        </w:tc>
      </w:tr>
      <w:tr w14:paraId="00CA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573F1F0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382761FE">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6C5BA530">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从业人员10人一100人，且营业收入 100万元一1 000万元</w:t>
            </w:r>
          </w:p>
        </w:tc>
      </w:tr>
      <w:tr w14:paraId="211E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74374B59">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43909C32">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451229B8">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从业人员10人以下或营业收入 100万元以下</w:t>
            </w:r>
          </w:p>
        </w:tc>
      </w:tr>
      <w:tr w14:paraId="21B4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0AE4561A">
            <w:pPr>
              <w:pStyle w:val="154"/>
              <w:keepNext w:val="0"/>
              <w:keepLines w:val="0"/>
              <w:suppressLineNumbers w:val="0"/>
              <w:shd w:val="clear" w:color="auto" w:fill="auto"/>
              <w:spacing w:before="0" w:beforeAutospacing="0" w:after="0" w:afterAutospacing="0" w:line="509" w:lineRule="exact"/>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软件和信息技术服务业</w:t>
            </w:r>
          </w:p>
        </w:tc>
        <w:tc>
          <w:tcPr>
            <w:tcW w:w="8354" w:type="dxa"/>
            <w:gridSpan w:val="2"/>
            <w:shd w:val="clear" w:color="auto" w:fill="FFFFFF"/>
            <w:noWrap w:val="0"/>
            <w:vAlign w:val="center"/>
          </w:tcPr>
          <w:p w14:paraId="51ED4612">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从业人员300人以下或营业收入 10 000万元以下的为中小微型企业。</w:t>
            </w:r>
          </w:p>
        </w:tc>
      </w:tr>
      <w:tr w14:paraId="7909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31F29032">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688439D9">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7781A45D">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 300人，且营业收入 1 000万元一10 000万元</w:t>
            </w:r>
          </w:p>
        </w:tc>
      </w:tr>
      <w:tr w14:paraId="5A36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F9179C6">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751B36F5">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72A70030">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从业人员10人一100人，且营业收入 50万元一1 000万元</w:t>
            </w:r>
          </w:p>
        </w:tc>
      </w:tr>
      <w:tr w14:paraId="4AD2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65DB43A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3F00C835">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0FEFAE69">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从业人员10人以下或营业收入 50万元以下</w:t>
            </w:r>
          </w:p>
        </w:tc>
      </w:tr>
      <w:tr w14:paraId="4490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2ADFA367">
            <w:pPr>
              <w:pStyle w:val="154"/>
              <w:keepNext w:val="0"/>
              <w:keepLines w:val="0"/>
              <w:suppressLineNumbers w:val="0"/>
              <w:shd w:val="clear" w:color="auto" w:fill="auto"/>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color w:val="000000"/>
                <w:sz w:val="24"/>
                <w:szCs w:val="24"/>
              </w:rPr>
              <w:t>房地产开发经营</w:t>
            </w:r>
          </w:p>
        </w:tc>
        <w:tc>
          <w:tcPr>
            <w:tcW w:w="8354" w:type="dxa"/>
            <w:gridSpan w:val="2"/>
            <w:shd w:val="clear" w:color="auto" w:fill="FFFFFF"/>
            <w:noWrap w:val="0"/>
            <w:vAlign w:val="center"/>
          </w:tcPr>
          <w:p w14:paraId="26B5B9D1">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营业收入200 000万元以下或资产总额 10 000万元以下的为中小微型企业。</w:t>
            </w:r>
          </w:p>
        </w:tc>
      </w:tr>
      <w:tr w14:paraId="041C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71B4DA8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457383D1">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3B43D9AD">
            <w:pPr>
              <w:pStyle w:val="154"/>
              <w:keepNext w:val="0"/>
              <w:keepLines w:val="0"/>
              <w:suppressLineNumbers w:val="0"/>
              <w:shd w:val="clear" w:color="auto" w:fill="auto"/>
              <w:spacing w:before="0" w:beforeAutospacing="0" w:after="12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营业收入1 000万元一200 000万元，且资产总额 5 000万元一10000万元</w:t>
            </w:r>
          </w:p>
        </w:tc>
      </w:tr>
      <w:tr w14:paraId="3E1F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529FDA0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32B37F9C">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0E4C1ECB">
            <w:pPr>
              <w:pStyle w:val="154"/>
              <w:keepNext w:val="0"/>
              <w:keepLines w:val="0"/>
              <w:suppressLineNumbers w:val="0"/>
              <w:shd w:val="clear" w:color="auto" w:fill="auto"/>
              <w:spacing w:before="0" w:beforeAutospacing="0" w:after="0" w:afterAutospacing="0" w:line="240" w:lineRule="auto"/>
              <w:ind w:left="140" w:right="0"/>
              <w:jc w:val="center"/>
              <w:rPr>
                <w:rFonts w:hint="eastAsia" w:ascii="仿宋" w:hAnsi="仿宋" w:eastAsia="仿宋" w:cs="仿宋"/>
                <w:sz w:val="24"/>
                <w:szCs w:val="24"/>
              </w:rPr>
            </w:pPr>
            <w:r>
              <w:rPr>
                <w:rFonts w:hint="eastAsia" w:ascii="仿宋" w:hAnsi="仿宋" w:eastAsia="仿宋" w:cs="仿宋"/>
                <w:color w:val="000000"/>
                <w:sz w:val="24"/>
                <w:szCs w:val="24"/>
              </w:rPr>
              <w:t>营业收入100万元一1 000万元，且资产总额 2 000万元一5 000 万元</w:t>
            </w:r>
          </w:p>
        </w:tc>
      </w:tr>
      <w:tr w14:paraId="623D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F24683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6675E500">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49CB121C">
            <w:pPr>
              <w:pStyle w:val="154"/>
              <w:keepNext w:val="0"/>
              <w:keepLines w:val="0"/>
              <w:suppressLineNumbers w:val="0"/>
              <w:shd w:val="clear" w:color="auto" w:fill="auto"/>
              <w:tabs>
                <w:tab w:val="left" w:pos="5256"/>
              </w:tabs>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营业收入100万元以下或资产总额2 000万元以下的为微型企业</w:t>
            </w:r>
          </w:p>
        </w:tc>
      </w:tr>
      <w:tr w14:paraId="66D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51AAC6FC">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物业管理</w:t>
            </w:r>
          </w:p>
        </w:tc>
        <w:tc>
          <w:tcPr>
            <w:tcW w:w="8354" w:type="dxa"/>
            <w:gridSpan w:val="2"/>
            <w:shd w:val="clear" w:color="auto" w:fill="FFFFFF"/>
            <w:noWrap w:val="0"/>
            <w:vAlign w:val="center"/>
          </w:tcPr>
          <w:p w14:paraId="3AC235E9">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从业人员1 000人以下或营业收入 5 000万元以下的为中小微型企业。</w:t>
            </w:r>
          </w:p>
        </w:tc>
      </w:tr>
      <w:tr w14:paraId="425B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65B47CC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5C3CE580">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4ACB55FF">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 300人一1 000人，且营业收入 1000万元一5 000万元</w:t>
            </w:r>
          </w:p>
        </w:tc>
      </w:tr>
      <w:tr w14:paraId="26A9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B57C4C9">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611D4401">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504BAFDB">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从业人员100人一300人，且营业收入 500万元一1 000万元</w:t>
            </w:r>
          </w:p>
        </w:tc>
      </w:tr>
      <w:tr w14:paraId="766C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7F55B8B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1F770AA2">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1AC17DC4">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从业人员100人以下或营业收入 500万元以下</w:t>
            </w:r>
          </w:p>
        </w:tc>
      </w:tr>
      <w:tr w14:paraId="1E44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2427BB59">
            <w:pPr>
              <w:pStyle w:val="154"/>
              <w:keepNext w:val="0"/>
              <w:keepLines w:val="0"/>
              <w:suppressLineNumbers w:val="0"/>
              <w:shd w:val="clear" w:color="auto" w:fill="auto"/>
              <w:spacing w:before="0" w:beforeAutospacing="0" w:after="0" w:afterAutospacing="0"/>
              <w:ind w:left="0" w:right="0" w:firstLine="240"/>
              <w:jc w:val="center"/>
              <w:rPr>
                <w:rFonts w:hint="eastAsia" w:ascii="仿宋" w:hAnsi="仿宋" w:eastAsia="仿宋" w:cs="仿宋"/>
                <w:sz w:val="24"/>
                <w:szCs w:val="24"/>
              </w:rPr>
            </w:pPr>
            <w:r>
              <w:rPr>
                <w:rFonts w:hint="eastAsia" w:ascii="仿宋" w:hAnsi="仿宋" w:eastAsia="仿宋" w:cs="仿宋"/>
                <w:color w:val="000000"/>
                <w:sz w:val="24"/>
                <w:szCs w:val="24"/>
              </w:rPr>
              <w:t>租赁和商务服务业</w:t>
            </w:r>
          </w:p>
        </w:tc>
        <w:tc>
          <w:tcPr>
            <w:tcW w:w="8354" w:type="dxa"/>
            <w:gridSpan w:val="2"/>
            <w:shd w:val="clear" w:color="auto" w:fill="FFFFFF"/>
            <w:noWrap w:val="0"/>
            <w:vAlign w:val="center"/>
          </w:tcPr>
          <w:p w14:paraId="5DF22122">
            <w:pPr>
              <w:pStyle w:val="154"/>
              <w:keepNext w:val="0"/>
              <w:keepLines w:val="0"/>
              <w:suppressLineNumbers w:val="0"/>
              <w:shd w:val="clear" w:color="auto" w:fill="auto"/>
              <w:tabs>
                <w:tab w:val="left" w:pos="10666"/>
              </w:tabs>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000000"/>
                <w:sz w:val="24"/>
                <w:szCs w:val="24"/>
                <w:lang w:val="en-US"/>
              </w:rPr>
              <w:t>10</w:t>
            </w:r>
            <w:r>
              <w:rPr>
                <w:rFonts w:hint="eastAsia" w:ascii="仿宋" w:hAnsi="仿宋" w:eastAsia="仿宋" w:cs="仿宋"/>
                <w:color w:val="000000"/>
                <w:sz w:val="24"/>
                <w:szCs w:val="24"/>
              </w:rPr>
              <w:t>人以下或资产总额 100万元以下的为微型企业。</w:t>
            </w:r>
          </w:p>
        </w:tc>
      </w:tr>
      <w:tr w14:paraId="5184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EF5F09F">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5B0198DB">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54F2DB1A">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从业人员100人一300人，且资产总额 8 000万元一120 000万元</w:t>
            </w:r>
          </w:p>
        </w:tc>
      </w:tr>
      <w:tr w14:paraId="1073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16F9650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47C49565">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6BCEF276">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从业人员10人一100人，且资产总额 100万元一8 000万元</w:t>
            </w:r>
          </w:p>
        </w:tc>
      </w:tr>
      <w:tr w14:paraId="060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0BADD80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318D0DED">
            <w:pPr>
              <w:pStyle w:val="154"/>
              <w:keepNext w:val="0"/>
              <w:keepLines w:val="0"/>
              <w:suppressLineNumbers w:val="0"/>
              <w:shd w:val="clear" w:color="auto" w:fill="auto"/>
              <w:spacing w:before="10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131E7565">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从业人员10人以下或资产总额 100万元以下</w:t>
            </w:r>
          </w:p>
        </w:tc>
      </w:tr>
      <w:tr w14:paraId="34A6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restart"/>
            <w:shd w:val="clear" w:color="auto" w:fill="FFFFFF"/>
            <w:noWrap w:val="0"/>
            <w:vAlign w:val="center"/>
          </w:tcPr>
          <w:p w14:paraId="1A11D63E">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其他未列明行业</w:t>
            </w:r>
          </w:p>
        </w:tc>
        <w:tc>
          <w:tcPr>
            <w:tcW w:w="8354" w:type="dxa"/>
            <w:gridSpan w:val="2"/>
            <w:shd w:val="clear" w:color="auto" w:fill="FFFFFF"/>
            <w:noWrap w:val="0"/>
            <w:vAlign w:val="center"/>
          </w:tcPr>
          <w:p w14:paraId="137BF8A6">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从业人员300人以下的为中小微型企业。</w:t>
            </w:r>
          </w:p>
        </w:tc>
      </w:tr>
      <w:tr w14:paraId="0818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6E5E3C00">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4EE9DD7D">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中型</w:t>
            </w:r>
          </w:p>
        </w:tc>
        <w:tc>
          <w:tcPr>
            <w:tcW w:w="7181" w:type="dxa"/>
            <w:shd w:val="clear" w:color="auto" w:fill="FFFFFF"/>
            <w:noWrap w:val="0"/>
            <w:vAlign w:val="center"/>
          </w:tcPr>
          <w:p w14:paraId="3C116EC5">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从业人员100— 300人</w:t>
            </w:r>
          </w:p>
        </w:tc>
      </w:tr>
      <w:tr w14:paraId="1864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4FCE922">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1B6EF80A">
            <w:pPr>
              <w:pStyle w:val="154"/>
              <w:keepNext w:val="0"/>
              <w:keepLines w:val="0"/>
              <w:suppressLineNumbers w:val="0"/>
              <w:shd w:val="clear" w:color="auto" w:fill="auto"/>
              <w:spacing w:before="8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小型</w:t>
            </w:r>
          </w:p>
        </w:tc>
        <w:tc>
          <w:tcPr>
            <w:tcW w:w="7181" w:type="dxa"/>
            <w:shd w:val="clear" w:color="auto" w:fill="FFFFFF"/>
            <w:noWrap w:val="0"/>
            <w:vAlign w:val="center"/>
          </w:tcPr>
          <w:p w14:paraId="23A970A9">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从业人员10人一100人</w:t>
            </w:r>
          </w:p>
        </w:tc>
      </w:tr>
      <w:tr w14:paraId="287E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40" w:type="dxa"/>
            <w:vMerge w:val="continue"/>
            <w:shd w:val="clear" w:color="auto" w:fill="FFFFFF"/>
            <w:noWrap w:val="0"/>
            <w:vAlign w:val="center"/>
          </w:tcPr>
          <w:p w14:paraId="4E59D823">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73" w:type="dxa"/>
            <w:shd w:val="clear" w:color="auto" w:fill="FFFFFF"/>
            <w:noWrap w:val="0"/>
            <w:vAlign w:val="center"/>
          </w:tcPr>
          <w:p w14:paraId="533FC2B2">
            <w:pPr>
              <w:pStyle w:val="154"/>
              <w:keepNext w:val="0"/>
              <w:keepLines w:val="0"/>
              <w:suppressLineNumbers w:val="0"/>
              <w:shd w:val="clear" w:color="auto" w:fill="auto"/>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微型</w:t>
            </w:r>
          </w:p>
        </w:tc>
        <w:tc>
          <w:tcPr>
            <w:tcW w:w="7181" w:type="dxa"/>
            <w:shd w:val="clear" w:color="auto" w:fill="FFFFFF"/>
            <w:noWrap w:val="0"/>
            <w:vAlign w:val="center"/>
          </w:tcPr>
          <w:p w14:paraId="7E260882">
            <w:pPr>
              <w:pStyle w:val="154"/>
              <w:keepNext w:val="0"/>
              <w:keepLines w:val="0"/>
              <w:suppressLineNumbers w:val="0"/>
              <w:shd w:val="clear" w:color="auto" w:fill="auto"/>
              <w:spacing w:before="0" w:beforeAutospacing="0" w:after="0" w:afterAutospacing="0"/>
              <w:ind w:left="0" w:right="0" w:firstLine="140"/>
              <w:jc w:val="center"/>
              <w:rPr>
                <w:rFonts w:hint="eastAsia" w:ascii="仿宋" w:hAnsi="仿宋" w:eastAsia="仿宋" w:cs="仿宋"/>
                <w:sz w:val="24"/>
                <w:szCs w:val="24"/>
              </w:rPr>
            </w:pPr>
            <w:r>
              <w:rPr>
                <w:rFonts w:hint="eastAsia" w:ascii="仿宋" w:hAnsi="仿宋" w:eastAsia="仿宋" w:cs="仿宋"/>
                <w:color w:val="000000"/>
                <w:sz w:val="24"/>
                <w:szCs w:val="24"/>
              </w:rPr>
              <w:t>从业人员10人以下</w:t>
            </w:r>
          </w:p>
        </w:tc>
      </w:tr>
    </w:tbl>
    <w:p w14:paraId="16608B62">
      <w:pPr>
        <w:pStyle w:val="16"/>
        <w:rPr>
          <w:rFonts w:hint="eastAsia" w:ascii="仿宋" w:hAnsi="仿宋" w:eastAsia="仿宋" w:cs="仿宋"/>
          <w:sz w:val="24"/>
          <w:szCs w:val="24"/>
        </w:rPr>
        <w:sectPr>
          <w:headerReference r:id="rId8" w:type="default"/>
          <w:pgSz w:w="11906" w:h="16838"/>
          <w:pgMar w:top="1440" w:right="1797" w:bottom="1440" w:left="1797" w:header="851" w:footer="992" w:gutter="0"/>
          <w:cols w:space="720" w:num="1"/>
          <w:docGrid w:linePitch="312" w:charSpace="0"/>
        </w:sectPr>
      </w:pPr>
    </w:p>
    <w:p w14:paraId="0EEB5DDB">
      <w:pPr>
        <w:pStyle w:val="4"/>
        <w:numPr>
          <w:ilvl w:val="0"/>
          <w:numId w:val="0"/>
        </w:numPr>
        <w:bidi w:val="0"/>
        <w:spacing w:line="360" w:lineRule="auto"/>
        <w:jc w:val="center"/>
        <w:rPr>
          <w:rFonts w:hint="eastAsia" w:ascii="仿宋" w:hAnsi="仿宋" w:eastAsia="仿宋" w:cs="仿宋"/>
          <w:sz w:val="44"/>
          <w:szCs w:val="44"/>
          <w:lang w:val="en-US" w:eastAsia="zh-CN"/>
        </w:rPr>
      </w:pPr>
      <w:bookmarkStart w:id="121" w:name="_Toc12308"/>
      <w:r>
        <w:rPr>
          <w:rFonts w:hint="eastAsia" w:ascii="仿宋" w:hAnsi="仿宋" w:eastAsia="仿宋" w:cs="仿宋"/>
          <w:sz w:val="44"/>
          <w:szCs w:val="44"/>
          <w:lang w:val="en-US" w:eastAsia="zh-CN"/>
        </w:rPr>
        <w:t>第三章 采购需求</w:t>
      </w:r>
      <w:bookmarkEnd w:id="121"/>
    </w:p>
    <w:p w14:paraId="0E816E9B">
      <w:pPr>
        <w:pStyle w:val="42"/>
        <w:spacing w:before="75" w:beforeAutospacing="0" w:after="75" w:afterAutospacing="0" w:line="360" w:lineRule="auto"/>
        <w:ind w:firstLine="482" w:firstLineChars="200"/>
        <w:outlineLvl w:val="1"/>
        <w:rPr>
          <w:rFonts w:hint="eastAsia" w:ascii="仿宋" w:hAnsi="仿宋" w:eastAsia="仿宋" w:cs="仿宋"/>
          <w:b/>
          <w:bCs/>
          <w:sz w:val="24"/>
          <w:szCs w:val="24"/>
        </w:rPr>
      </w:pPr>
      <w:bookmarkStart w:id="122" w:name="_Toc23164"/>
      <w:bookmarkStart w:id="123" w:name="_Toc9429"/>
      <w:bookmarkStart w:id="124" w:name="_Toc11527"/>
      <w:r>
        <w:rPr>
          <w:rFonts w:hint="eastAsia" w:ascii="仿宋" w:hAnsi="仿宋" w:eastAsia="仿宋" w:cs="仿宋"/>
          <w:b/>
          <w:bCs/>
          <w:sz w:val="24"/>
          <w:szCs w:val="24"/>
        </w:rPr>
        <w:t>一、总则</w:t>
      </w:r>
      <w:bookmarkEnd w:id="122"/>
      <w:bookmarkEnd w:id="123"/>
      <w:bookmarkEnd w:id="124"/>
    </w:p>
    <w:p w14:paraId="102600D1">
      <w:pPr>
        <w:spacing w:line="360" w:lineRule="auto"/>
        <w:ind w:left="22" w:right="11" w:firstLine="488"/>
        <w:rPr>
          <w:rFonts w:hint="eastAsia" w:ascii="仿宋" w:hAnsi="仿宋" w:eastAsia="仿宋" w:cs="仿宋"/>
          <w:spacing w:val="-1"/>
          <w:sz w:val="24"/>
          <w:szCs w:val="24"/>
        </w:rPr>
      </w:pPr>
      <w:r>
        <w:rPr>
          <w:rFonts w:hint="eastAsia" w:ascii="仿宋" w:hAnsi="仿宋" w:eastAsia="仿宋" w:cs="仿宋"/>
          <w:spacing w:val="-1"/>
          <w:sz w:val="24"/>
          <w:szCs w:val="24"/>
        </w:rPr>
        <w:t>1.1本章条款仅限于：和田市教育系统2024年支持学前教育发展资金项目</w:t>
      </w:r>
      <w:r>
        <w:rPr>
          <w:rFonts w:hint="eastAsia" w:ascii="仿宋" w:hAnsi="仿宋" w:eastAsia="仿宋" w:cs="仿宋"/>
          <w:spacing w:val="-1"/>
          <w:sz w:val="24"/>
          <w:szCs w:val="24"/>
          <w:lang w:val="en-US" w:eastAsia="zh-CN"/>
        </w:rPr>
        <w:t>（设备采购）</w:t>
      </w:r>
      <w:r>
        <w:rPr>
          <w:rFonts w:hint="eastAsia" w:ascii="仿宋" w:hAnsi="仿宋" w:eastAsia="仿宋" w:cs="仿宋"/>
          <w:spacing w:val="-1"/>
          <w:sz w:val="24"/>
          <w:szCs w:val="24"/>
        </w:rPr>
        <w:t>。</w:t>
      </w:r>
    </w:p>
    <w:p w14:paraId="30D6DB2D">
      <w:pPr>
        <w:spacing w:line="360" w:lineRule="auto"/>
        <w:ind w:left="22" w:right="11" w:firstLine="488"/>
        <w:rPr>
          <w:rFonts w:hint="eastAsia" w:ascii="仿宋" w:hAnsi="仿宋" w:eastAsia="仿宋" w:cs="仿宋"/>
          <w:spacing w:val="-1"/>
          <w:sz w:val="24"/>
          <w:szCs w:val="24"/>
        </w:rPr>
      </w:pPr>
      <w:r>
        <w:rPr>
          <w:rFonts w:hint="eastAsia" w:ascii="仿宋" w:hAnsi="仿宋" w:eastAsia="仿宋" w:cs="仿宋"/>
          <w:spacing w:val="-1"/>
          <w:sz w:val="24"/>
          <w:szCs w:val="24"/>
        </w:rPr>
        <w:t>1.2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14:paraId="1B13CCFB">
      <w:pPr>
        <w:spacing w:line="360" w:lineRule="auto"/>
        <w:ind w:left="22" w:right="11" w:firstLine="488"/>
        <w:rPr>
          <w:rFonts w:hint="eastAsia" w:ascii="仿宋" w:hAnsi="仿宋" w:eastAsia="仿宋" w:cs="仿宋"/>
          <w:spacing w:val="-1"/>
          <w:sz w:val="24"/>
          <w:szCs w:val="24"/>
        </w:rPr>
      </w:pPr>
      <w:r>
        <w:rPr>
          <w:rFonts w:hint="eastAsia" w:ascii="仿宋" w:hAnsi="仿宋" w:eastAsia="仿宋" w:cs="仿宋"/>
          <w:spacing w:val="-1"/>
          <w:sz w:val="24"/>
          <w:szCs w:val="24"/>
        </w:rPr>
        <w:t>1.3如果供应商没有以书面形式对本章条款提出异议，采购人就可以认为供应商提供的成果符合本章条款的要求。</w:t>
      </w:r>
    </w:p>
    <w:p w14:paraId="1A91EF20">
      <w:pPr>
        <w:spacing w:line="360" w:lineRule="auto"/>
        <w:ind w:left="22" w:right="11" w:firstLine="488"/>
        <w:rPr>
          <w:rFonts w:hint="eastAsia" w:ascii="仿宋" w:hAnsi="仿宋" w:eastAsia="仿宋" w:cs="仿宋"/>
          <w:spacing w:val="-1"/>
          <w:sz w:val="24"/>
          <w:szCs w:val="24"/>
        </w:rPr>
      </w:pPr>
      <w:r>
        <w:rPr>
          <w:rFonts w:hint="eastAsia" w:ascii="仿宋" w:hAnsi="仿宋" w:eastAsia="仿宋" w:cs="仿宋"/>
          <w:spacing w:val="-1"/>
          <w:sz w:val="24"/>
          <w:szCs w:val="24"/>
        </w:rPr>
        <w:t>1.4供应商在响应文件中，应对采购文件中的服务进行详细的说明。</w:t>
      </w:r>
    </w:p>
    <w:p w14:paraId="1EEECEC2">
      <w:pPr>
        <w:spacing w:line="360" w:lineRule="auto"/>
        <w:ind w:left="22" w:right="11" w:firstLine="488"/>
        <w:rPr>
          <w:rFonts w:hint="eastAsia" w:ascii="仿宋" w:hAnsi="仿宋" w:eastAsia="仿宋" w:cs="仿宋"/>
          <w:spacing w:val="-1"/>
          <w:sz w:val="24"/>
          <w:szCs w:val="24"/>
        </w:rPr>
      </w:pPr>
      <w:r>
        <w:rPr>
          <w:rFonts w:hint="eastAsia" w:ascii="仿宋" w:hAnsi="仿宋" w:eastAsia="仿宋" w:cs="仿宋"/>
          <w:spacing w:val="-1"/>
          <w:sz w:val="24"/>
          <w:szCs w:val="24"/>
        </w:rPr>
        <w:t>1.5在签订合同之后，采购人有权提出因规范标准有变化而产生的一些补充要求。</w:t>
      </w:r>
    </w:p>
    <w:p w14:paraId="41DAD645">
      <w:pPr>
        <w:spacing w:line="360" w:lineRule="auto"/>
        <w:ind w:left="22" w:right="11" w:firstLine="488"/>
        <w:rPr>
          <w:rFonts w:hint="eastAsia" w:ascii="仿宋" w:hAnsi="仿宋" w:eastAsia="仿宋" w:cs="仿宋"/>
          <w:spacing w:val="-1"/>
          <w:sz w:val="24"/>
          <w:szCs w:val="24"/>
        </w:rPr>
      </w:pPr>
      <w:r>
        <w:rPr>
          <w:rFonts w:hint="eastAsia" w:ascii="仿宋" w:hAnsi="仿宋" w:eastAsia="仿宋" w:cs="仿宋"/>
          <w:spacing w:val="-1"/>
          <w:sz w:val="24"/>
          <w:szCs w:val="24"/>
        </w:rPr>
        <w:t>1.6本章条款使用标准如与供应商所执行标准发生矛盾时，按较高标准执行。</w:t>
      </w:r>
    </w:p>
    <w:p w14:paraId="57353509">
      <w:pPr>
        <w:pStyle w:val="42"/>
        <w:spacing w:before="75" w:beforeAutospacing="0" w:after="75" w:afterAutospacing="0" w:line="360" w:lineRule="auto"/>
        <w:ind w:firstLine="482" w:firstLineChars="200"/>
        <w:outlineLvl w:val="1"/>
        <w:rPr>
          <w:rFonts w:hint="eastAsia" w:ascii="仿宋" w:hAnsi="仿宋" w:eastAsia="仿宋" w:cs="仿宋"/>
          <w:b/>
          <w:bCs/>
          <w:sz w:val="24"/>
          <w:szCs w:val="24"/>
        </w:rPr>
      </w:pPr>
      <w:bookmarkStart w:id="125" w:name="_Toc28548"/>
      <w:bookmarkStart w:id="126" w:name="_Toc20836"/>
      <w:bookmarkStart w:id="127" w:name="_Toc1795"/>
      <w:r>
        <w:rPr>
          <w:rFonts w:hint="eastAsia" w:ascii="仿宋" w:hAnsi="仿宋" w:eastAsia="仿宋" w:cs="仿宋"/>
          <w:b/>
          <w:bCs/>
          <w:sz w:val="24"/>
          <w:szCs w:val="24"/>
        </w:rPr>
        <w:t>二、执行的规范和标准</w:t>
      </w:r>
      <w:bookmarkEnd w:id="125"/>
      <w:bookmarkEnd w:id="126"/>
      <w:bookmarkEnd w:id="127"/>
    </w:p>
    <w:p w14:paraId="3AC19209">
      <w:pPr>
        <w:spacing w:line="360" w:lineRule="auto"/>
        <w:ind w:left="22" w:right="11" w:firstLine="488"/>
        <w:rPr>
          <w:rFonts w:hint="eastAsia" w:ascii="仿宋" w:hAnsi="仿宋" w:eastAsia="仿宋" w:cs="仿宋"/>
          <w:spacing w:val="-1"/>
          <w:sz w:val="24"/>
          <w:szCs w:val="24"/>
        </w:rPr>
      </w:pPr>
      <w:r>
        <w:rPr>
          <w:rFonts w:hint="eastAsia" w:ascii="仿宋" w:hAnsi="仿宋" w:eastAsia="仿宋" w:cs="仿宋"/>
          <w:spacing w:val="-1"/>
          <w:sz w:val="24"/>
          <w:szCs w:val="24"/>
        </w:rPr>
        <w:t>本项目必须遵循国家规范和标准并应按最新版本执行，若标准、规范出现矛盾时，以最新、最高标准规范执行。</w:t>
      </w:r>
    </w:p>
    <w:p w14:paraId="44984E7C">
      <w:pPr>
        <w:pStyle w:val="22"/>
        <w:numPr>
          <w:ilvl w:val="0"/>
          <w:numId w:val="5"/>
        </w:numPr>
        <w:tabs>
          <w:tab w:val="left" w:pos="9214"/>
        </w:tabs>
        <w:spacing w:line="360" w:lineRule="auto"/>
        <w:ind w:right="-58" w:rightChars="0" w:firstLine="482" w:firstLineChars="200"/>
        <w:outlineLvl w:val="1"/>
        <w:rPr>
          <w:rFonts w:hint="eastAsia" w:ascii="仿宋" w:hAnsi="仿宋" w:eastAsia="仿宋" w:cs="仿宋"/>
          <w:b/>
          <w:bCs/>
          <w:sz w:val="24"/>
          <w:szCs w:val="24"/>
        </w:rPr>
      </w:pPr>
      <w:bookmarkStart w:id="128" w:name="_Toc28382"/>
      <w:bookmarkStart w:id="129" w:name="_Toc15927"/>
      <w:bookmarkStart w:id="130" w:name="_Toc32526"/>
      <w:r>
        <w:rPr>
          <w:rFonts w:hint="eastAsia" w:ascii="仿宋" w:hAnsi="仿宋" w:eastAsia="仿宋" w:cs="仿宋"/>
          <w:b/>
          <w:bCs/>
          <w:sz w:val="24"/>
          <w:szCs w:val="24"/>
        </w:rPr>
        <w:t>项目基本情况及服务内容</w:t>
      </w:r>
      <w:bookmarkEnd w:id="128"/>
      <w:bookmarkEnd w:id="129"/>
      <w:bookmarkEnd w:id="130"/>
    </w:p>
    <w:p w14:paraId="1701F7E5">
      <w:pPr>
        <w:pStyle w:val="22"/>
        <w:numPr>
          <w:ilvl w:val="0"/>
          <w:numId w:val="0"/>
        </w:numPr>
        <w:tabs>
          <w:tab w:val="left" w:pos="9214"/>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采购内容及要求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886"/>
        <w:gridCol w:w="1932"/>
        <w:gridCol w:w="2585"/>
        <w:gridCol w:w="1394"/>
      </w:tblGrid>
      <w:tr w14:paraId="29F8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32" w:type="pct"/>
            <w:noWrap w:val="0"/>
            <w:vAlign w:val="bottom"/>
          </w:tcPr>
          <w:p w14:paraId="01F15C32">
            <w:pPr>
              <w:pStyle w:val="22"/>
              <w:keepNext w:val="0"/>
              <w:keepLines w:val="0"/>
              <w:numPr>
                <w:ilvl w:val="0"/>
                <w:numId w:val="0"/>
              </w:numPr>
              <w:suppressLineNumbers w:val="0"/>
              <w:tabs>
                <w:tab w:val="left" w:pos="9214"/>
              </w:tabs>
              <w:spacing w:before="0" w:beforeAutospacing="0" w:afterAutospacing="0" w:line="360" w:lineRule="auto"/>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序号</w:t>
            </w:r>
          </w:p>
        </w:tc>
        <w:tc>
          <w:tcPr>
            <w:tcW w:w="1498" w:type="pct"/>
            <w:noWrap w:val="0"/>
            <w:vAlign w:val="bottom"/>
          </w:tcPr>
          <w:p w14:paraId="7123E662">
            <w:pPr>
              <w:pStyle w:val="22"/>
              <w:keepNext w:val="0"/>
              <w:keepLines w:val="0"/>
              <w:numPr>
                <w:ilvl w:val="0"/>
                <w:numId w:val="0"/>
              </w:numPr>
              <w:suppressLineNumbers w:val="0"/>
              <w:tabs>
                <w:tab w:val="left" w:pos="9214"/>
              </w:tabs>
              <w:spacing w:before="0" w:beforeAutospacing="0" w:afterAutospacing="0" w:line="360" w:lineRule="auto"/>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项目名称</w:t>
            </w:r>
          </w:p>
        </w:tc>
        <w:tc>
          <w:tcPr>
            <w:tcW w:w="1003" w:type="pct"/>
            <w:noWrap w:val="0"/>
            <w:vAlign w:val="bottom"/>
          </w:tcPr>
          <w:p w14:paraId="716460B1">
            <w:pPr>
              <w:pStyle w:val="22"/>
              <w:keepNext w:val="0"/>
              <w:keepLines w:val="0"/>
              <w:numPr>
                <w:ilvl w:val="0"/>
                <w:numId w:val="0"/>
              </w:numPr>
              <w:suppressLineNumbers w:val="0"/>
              <w:tabs>
                <w:tab w:val="left" w:pos="9214"/>
              </w:tabs>
              <w:spacing w:before="0" w:beforeAutospacing="0" w:afterAutospacing="0" w:line="360" w:lineRule="auto"/>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采购预算（万元）</w:t>
            </w:r>
          </w:p>
        </w:tc>
        <w:tc>
          <w:tcPr>
            <w:tcW w:w="1342" w:type="pct"/>
            <w:noWrap w:val="0"/>
            <w:vAlign w:val="bottom"/>
          </w:tcPr>
          <w:p w14:paraId="22D0BBD0">
            <w:pPr>
              <w:pStyle w:val="22"/>
              <w:keepNext w:val="0"/>
              <w:keepLines w:val="0"/>
              <w:numPr>
                <w:ilvl w:val="0"/>
                <w:numId w:val="0"/>
              </w:numPr>
              <w:suppressLineNumbers w:val="0"/>
              <w:tabs>
                <w:tab w:val="left" w:pos="9214"/>
              </w:tabs>
              <w:spacing w:before="0" w:beforeAutospacing="0" w:afterAutospacing="0" w:line="360" w:lineRule="auto"/>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供货期限</w:t>
            </w:r>
          </w:p>
        </w:tc>
        <w:tc>
          <w:tcPr>
            <w:tcW w:w="723" w:type="pct"/>
            <w:noWrap w:val="0"/>
            <w:vAlign w:val="bottom"/>
          </w:tcPr>
          <w:p w14:paraId="534F777F">
            <w:pPr>
              <w:pStyle w:val="22"/>
              <w:keepNext w:val="0"/>
              <w:keepLines w:val="0"/>
              <w:numPr>
                <w:ilvl w:val="0"/>
                <w:numId w:val="0"/>
              </w:numPr>
              <w:suppressLineNumbers w:val="0"/>
              <w:tabs>
                <w:tab w:val="left" w:pos="9214"/>
              </w:tabs>
              <w:spacing w:before="0" w:beforeAutospacing="0" w:afterAutospacing="0" w:line="360" w:lineRule="auto"/>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备注</w:t>
            </w:r>
          </w:p>
        </w:tc>
      </w:tr>
      <w:tr w14:paraId="6E9F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32" w:type="pct"/>
            <w:noWrap w:val="0"/>
            <w:vAlign w:val="center"/>
          </w:tcPr>
          <w:p w14:paraId="690BDE7F">
            <w:pPr>
              <w:pStyle w:val="22"/>
              <w:keepNext w:val="0"/>
              <w:keepLines w:val="0"/>
              <w:numPr>
                <w:ilvl w:val="0"/>
                <w:numId w:val="0"/>
              </w:numPr>
              <w:suppressLineNumbers w:val="0"/>
              <w:tabs>
                <w:tab w:val="left" w:pos="9214"/>
              </w:tabs>
              <w:spacing w:before="0" w:beforeAutospacing="0" w:afterAutospacing="0" w:line="360" w:lineRule="auto"/>
              <w:ind w:left="0" w:right="-58" w:rightChars="0" w:firstLine="240" w:firstLineChars="1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1498" w:type="pct"/>
            <w:noWrap w:val="0"/>
            <w:vAlign w:val="center"/>
          </w:tcPr>
          <w:p w14:paraId="49AF4768">
            <w:pPr>
              <w:pStyle w:val="22"/>
              <w:keepNext w:val="0"/>
              <w:keepLines w:val="0"/>
              <w:numPr>
                <w:ilvl w:val="0"/>
                <w:numId w:val="0"/>
              </w:numPr>
              <w:suppressLineNumbers w:val="0"/>
              <w:tabs>
                <w:tab w:val="left" w:pos="9214"/>
              </w:tabs>
              <w:spacing w:before="0" w:beforeAutospacing="0" w:afterAutospacing="0" w:line="360" w:lineRule="auto"/>
              <w:ind w:left="0" w:right="-58" w:right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和田市教育系统2024年支持学前教育发展资金项目</w:t>
            </w:r>
          </w:p>
          <w:p w14:paraId="3C754ACD">
            <w:pPr>
              <w:pStyle w:val="40"/>
              <w:keepNext w:val="0"/>
              <w:keepLines w:val="0"/>
              <w:suppressLineNumbers w:val="0"/>
              <w:spacing w:before="0" w:beforeAutospacing="0" w:afterAutospacing="0"/>
              <w:ind w:left="0" w:right="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（设备采购）</w:t>
            </w:r>
          </w:p>
          <w:p w14:paraId="629EB4AD">
            <w:pPr>
              <w:pStyle w:val="40"/>
              <w:keepNext w:val="0"/>
              <w:keepLines w:val="0"/>
              <w:suppressLineNumbers w:val="0"/>
              <w:spacing w:before="0" w:beforeAutospacing="0" w:afterAutospacing="0"/>
              <w:ind w:left="0" w:right="0"/>
              <w:rPr>
                <w:rFonts w:hint="eastAsia"/>
                <w:szCs w:val="20"/>
                <w:lang w:val="en-US" w:eastAsia="zh-CN"/>
              </w:rPr>
            </w:pPr>
          </w:p>
        </w:tc>
        <w:tc>
          <w:tcPr>
            <w:tcW w:w="1003" w:type="pct"/>
            <w:noWrap w:val="0"/>
            <w:vAlign w:val="center"/>
          </w:tcPr>
          <w:p w14:paraId="06B247C8">
            <w:pPr>
              <w:pStyle w:val="22"/>
              <w:keepNext w:val="0"/>
              <w:keepLines w:val="0"/>
              <w:numPr>
                <w:ilvl w:val="0"/>
                <w:numId w:val="0"/>
              </w:numPr>
              <w:suppressLineNumbers w:val="0"/>
              <w:tabs>
                <w:tab w:val="left" w:pos="9214"/>
              </w:tabs>
              <w:spacing w:before="0" w:beforeAutospacing="0" w:afterAutospacing="0" w:line="360" w:lineRule="auto"/>
              <w:ind w:left="0" w:right="-58" w:rightChars="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190.00</w:t>
            </w:r>
          </w:p>
        </w:tc>
        <w:tc>
          <w:tcPr>
            <w:tcW w:w="1342" w:type="pct"/>
            <w:noWrap w:val="0"/>
            <w:vAlign w:val="center"/>
          </w:tcPr>
          <w:p w14:paraId="354DECBA">
            <w:pPr>
              <w:pStyle w:val="22"/>
              <w:keepNext w:val="0"/>
              <w:keepLines w:val="0"/>
              <w:numPr>
                <w:ilvl w:val="0"/>
                <w:numId w:val="0"/>
              </w:numPr>
              <w:suppressLineNumbers w:val="0"/>
              <w:tabs>
                <w:tab w:val="left" w:pos="9214"/>
              </w:tabs>
              <w:spacing w:before="0" w:beforeAutospacing="0" w:afterAutospacing="0" w:line="360" w:lineRule="auto"/>
              <w:ind w:left="0" w:right="-58" w:right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自合同签订之日</w:t>
            </w:r>
            <w:r>
              <w:rPr>
                <w:rFonts w:hint="eastAsia" w:ascii="仿宋" w:hAnsi="仿宋" w:eastAsia="仿宋" w:cs="仿宋"/>
                <w:color w:val="auto"/>
                <w:kern w:val="0"/>
                <w:sz w:val="24"/>
                <w:szCs w:val="24"/>
                <w:lang w:val="en-US" w:eastAsia="zh-CN"/>
              </w:rPr>
              <w:t>起</w:t>
            </w:r>
          </w:p>
          <w:p w14:paraId="2D4A2DC3">
            <w:pPr>
              <w:pStyle w:val="22"/>
              <w:keepNext w:val="0"/>
              <w:keepLines w:val="0"/>
              <w:numPr>
                <w:ilvl w:val="0"/>
                <w:numId w:val="0"/>
              </w:numPr>
              <w:suppressLineNumbers w:val="0"/>
              <w:tabs>
                <w:tab w:val="left" w:pos="9214"/>
              </w:tabs>
              <w:spacing w:before="0" w:beforeAutospacing="0" w:afterAutospacing="0" w:line="360" w:lineRule="auto"/>
              <w:ind w:left="0" w:right="-58" w:right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30日供货完毕</w:t>
            </w:r>
          </w:p>
        </w:tc>
        <w:tc>
          <w:tcPr>
            <w:tcW w:w="723" w:type="pct"/>
            <w:noWrap w:val="0"/>
            <w:vAlign w:val="center"/>
          </w:tcPr>
          <w:p w14:paraId="464A4D61">
            <w:pPr>
              <w:pStyle w:val="22"/>
              <w:keepNext w:val="0"/>
              <w:keepLines w:val="0"/>
              <w:numPr>
                <w:ilvl w:val="0"/>
                <w:numId w:val="0"/>
              </w:numPr>
              <w:suppressLineNumbers w:val="0"/>
              <w:tabs>
                <w:tab w:val="left" w:pos="9214"/>
              </w:tabs>
              <w:spacing w:before="0" w:beforeAutospacing="0" w:afterAutospacing="0" w:line="360" w:lineRule="auto"/>
              <w:ind w:left="0" w:right="-58" w:rightChars="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质保期：3年</w:t>
            </w:r>
          </w:p>
        </w:tc>
      </w:tr>
    </w:tbl>
    <w:p w14:paraId="5E3B3FF8">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（1）自合同签订之日</w:t>
      </w:r>
      <w:r>
        <w:rPr>
          <w:rFonts w:hint="eastAsia" w:ascii="仿宋" w:hAnsi="仿宋" w:eastAsia="仿宋" w:cs="仿宋"/>
          <w:color w:val="auto"/>
          <w:kern w:val="0"/>
          <w:sz w:val="24"/>
          <w:szCs w:val="24"/>
          <w:lang w:val="en-US" w:eastAsia="zh-CN"/>
        </w:rPr>
        <w:t>起15日</w:t>
      </w:r>
      <w:r>
        <w:rPr>
          <w:rFonts w:hint="eastAsia" w:ascii="仿宋" w:hAnsi="仿宋" w:eastAsia="仿宋" w:cs="仿宋"/>
          <w:color w:val="auto"/>
          <w:kern w:val="0"/>
          <w:sz w:val="24"/>
          <w:szCs w:val="24"/>
        </w:rPr>
        <w:t>完成全部供货、安装、调试，并投入使用（具体以合同签订为准）。</w:t>
      </w:r>
    </w:p>
    <w:p w14:paraId="5020162E">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（2）安装调试完毕，对采购方人员进行相关技术培训。</w:t>
      </w:r>
    </w:p>
    <w:p w14:paraId="13ABD95A">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（3）建立定期回访机制，主动发现问题并及时处理。</w:t>
      </w:r>
    </w:p>
    <w:p w14:paraId="66C12B77">
      <w:p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人不得擅自变更投标货品（含商标、名称、产地、包装、规格和重量等），严格按采购人要求供应，否则，采购人有权拒收。如因市场流通问题确实需要变更的，应事先书面申请，并经采购人同意后方可改变</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并作出承诺。</w:t>
      </w:r>
    </w:p>
    <w:p w14:paraId="0C2502F6">
      <w:pPr>
        <w:spacing w:line="360" w:lineRule="auto"/>
        <w:ind w:left="22" w:right="11" w:firstLine="488"/>
        <w:outlineLvl w:val="1"/>
        <w:rPr>
          <w:rFonts w:hint="eastAsia" w:ascii="仿宋" w:hAnsi="仿宋" w:eastAsia="仿宋" w:cs="仿宋"/>
          <w:b/>
          <w:bCs/>
          <w:sz w:val="24"/>
          <w:szCs w:val="24"/>
          <w:lang w:val="en-US" w:eastAsia="zh-CN"/>
        </w:rPr>
        <w:sectPr>
          <w:headerReference r:id="rId9" w:type="default"/>
          <w:footerReference r:id="rId10" w:type="default"/>
          <w:pgSz w:w="11907" w:h="16840"/>
          <w:pgMar w:top="1440" w:right="1247" w:bottom="1361" w:left="1247" w:header="851" w:footer="850" w:gutter="0"/>
          <w:pgNumType w:fmt="decimal"/>
          <w:cols w:space="720" w:num="1"/>
          <w:docGrid w:linePitch="462" w:charSpace="0"/>
        </w:sectPr>
      </w:pPr>
      <w:bookmarkStart w:id="131" w:name="_Toc8380"/>
      <w:bookmarkStart w:id="132" w:name="_Toc5782"/>
    </w:p>
    <w:p w14:paraId="531E20D3">
      <w:pPr>
        <w:numPr>
          <w:ilvl w:val="0"/>
          <w:numId w:val="5"/>
        </w:numPr>
        <w:spacing w:line="360" w:lineRule="auto"/>
        <w:ind w:left="0" w:leftChars="0" w:right="11" w:firstLine="643" w:firstLineChars="200"/>
        <w:jc w:val="left"/>
        <w:outlineLvl w:val="1"/>
        <w:rPr>
          <w:rFonts w:hint="eastAsia" w:ascii="仿宋" w:hAnsi="仿宋" w:eastAsia="仿宋" w:cs="仿宋"/>
          <w:b/>
          <w:bCs/>
          <w:sz w:val="32"/>
          <w:szCs w:val="32"/>
        </w:rPr>
      </w:pPr>
      <w:r>
        <w:rPr>
          <w:rFonts w:hint="eastAsia" w:ascii="仿宋" w:hAnsi="仿宋" w:eastAsia="仿宋" w:cs="仿宋"/>
          <w:b/>
          <w:bCs/>
          <w:sz w:val="32"/>
          <w:szCs w:val="32"/>
        </w:rPr>
        <w:t>采购清单及技术要求</w:t>
      </w:r>
    </w:p>
    <w:tbl>
      <w:tblPr>
        <w:tblStyle w:val="46"/>
        <w:tblW w:w="10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449"/>
        <w:gridCol w:w="4326"/>
        <w:gridCol w:w="615"/>
        <w:gridCol w:w="675"/>
        <w:gridCol w:w="600"/>
        <w:gridCol w:w="675"/>
        <w:gridCol w:w="1335"/>
      </w:tblGrid>
      <w:tr w14:paraId="282C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CB561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38B8F9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名称</w:t>
            </w: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048BC8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4FA4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56C8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EDE1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65D09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总价</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CFAF3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参考图片</w:t>
            </w:r>
          </w:p>
        </w:tc>
      </w:tr>
      <w:tr w14:paraId="4D64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75" w:type="dxa"/>
            <w:gridSpan w:val="8"/>
            <w:tcBorders>
              <w:top w:val="single" w:color="000000" w:sz="4" w:space="0"/>
              <w:left w:val="single" w:color="000000" w:sz="4" w:space="0"/>
              <w:bottom w:val="single" w:color="000000" w:sz="4" w:space="0"/>
              <w:right w:val="single" w:color="000000" w:sz="4" w:space="0"/>
            </w:tcBorders>
            <w:noWrap/>
            <w:vAlign w:val="center"/>
          </w:tcPr>
          <w:p w14:paraId="06FCB9B9">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仿宋" w:hAnsi="仿宋" w:eastAsia="仿宋" w:cs="仿宋"/>
                <w:b/>
                <w:bCs/>
                <w:i w:val="0"/>
                <w:iCs w:val="0"/>
                <w:color w:val="000000"/>
                <w:sz w:val="20"/>
                <w:szCs w:val="20"/>
                <w:u w:val="none"/>
                <w:lang w:val="en-US" w:eastAsia="zh-CN"/>
              </w:rPr>
              <w:t>一、锅炉系列</w:t>
            </w:r>
          </w:p>
        </w:tc>
      </w:tr>
      <w:tr w14:paraId="0D01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3"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64F8FE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B6042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锅炉</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02EAC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全预混冷凝不锈钢锅炉：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1:额定功率：≥720KW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2:PLC显示屏7寸及以上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3:热效率100%及以上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4:配电功率：≈1300W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5:耗气量：≈70Nm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t>/H</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6:燃烧调节方式：变频电子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7:锅炉为免检锅炉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8:实验1.0MPA试运行不损坏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9:接口≥DN80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10:氮氧化物排放＜30mg/m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11:锅炉自带316L不锈钢换热器，换热管厚度≥1.1mm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12:外壳彩钢厚度≥1.5mm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b/>
                <w:bCs/>
                <w:i w:val="0"/>
                <w:iCs w:val="0"/>
                <w:color w:val="000000"/>
                <w:kern w:val="0"/>
                <w:sz w:val="16"/>
                <w:szCs w:val="16"/>
                <w:u w:val="none"/>
                <w:lang w:val="en-US" w:eastAsia="zh-CN" w:bidi="ar"/>
              </w:rPr>
              <w:t>提供以下印证材料：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锅炉自带316L不锈钢换热器，换热管厚度≥1.1mm、外壳彩钢厚度≥1.5mm证明材料（不限于检测报告或者生产厂家证明材料）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14:相关《氮氧化物排放＜30mg/m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t>》检验报告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15:《热效率100%及以上》检验报告</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8258F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762E3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D92D50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35E471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B051E9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410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3"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62F0F7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6EF386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锅炉</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1C1AE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全预混冷凝不锈钢锅炉：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1:额定功率：≥1400KW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2:PLC显示屏7寸及以上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3:热效率100%及以上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4:配电功率：≈3100W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5:耗气量：≈140Nm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t>/H</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6:燃烧调节方式：变频电子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7:锅炉为免检锅炉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8:实验1.0MPA试运行不损坏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9:接口≥DN100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10:氮氧化物排放＜30mg/m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11:锅炉自带316L不锈钢换热器，换热管厚度≥1.1mm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12:外壳彩钢厚度≥1.5mm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b/>
                <w:bCs/>
                <w:i w:val="0"/>
                <w:iCs w:val="0"/>
                <w:color w:val="000000"/>
                <w:kern w:val="0"/>
                <w:sz w:val="16"/>
                <w:szCs w:val="16"/>
                <w:u w:val="none"/>
                <w:lang w:val="en-US" w:eastAsia="zh-CN" w:bidi="ar"/>
              </w:rPr>
              <w:t>提供以下印证材料：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锅炉自带316L不锈钢换热器，换热管厚度≥1.1mm、外壳彩钢厚度≥1.5mm证明材料（不限于检测报告或者生产厂家证明材料）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14:相关《氮氧化物排放＜30mg/m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t>》检验报告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15:《热效率100%及以上》检验报告</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07C15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D2769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81A5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5011B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C60064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FAA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233357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78BF4D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单级泵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（卧式不锈钢）</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1741C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1:参数50m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t>-32M-7.5KW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2:水泵为卧式单级泵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3:电机选用一级能效电机</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4:防护板选用304不锈钢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5:泵体304不锈钢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6:叶轮304不锈钢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7:机械密封碳化硅</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8:DN65口径。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9:单级泵检验报告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10:单级噪音检验报告</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D7A17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F9CCD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00760F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D3908D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EFDD38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D50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8"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09C66A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06526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多级泵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（变频补水装置）</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88B9B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1:参数5m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t>-37M-1.1KW-2台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2:水泵为立式多级泵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3:电机选用一级能效电机</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4:防护板选用304不锈钢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5:泵体304不锈钢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6:叶轮304不锈钢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7:机械密封碳化硅,</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8:DN32口径。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9:气压罐≥100L-1.0mpa</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10:304不锈钢成套附件：DN50-DN32*2</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11:含碳钢成套底座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12:多级泵检验报告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13:多级泵噪音检验报告</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29DDB1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4301D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BFCEF7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5402B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D01615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FDB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1C2493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2B58B5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软化水设备</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B2951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1：参数：≥4t/h</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2：流量型，润新机头</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3：含300KG工业盐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4：玻璃钢罐体</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5：出水硬度限值为≤0.6mmol/L，</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5AB41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C608E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09D03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89B2A8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8328F1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203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6228A5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0E9C93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软化水箱</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4245F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1:有效容积：2吨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2:尺寸1*1*2米</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3:316L不锈钢、耐酸，耐碱。</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5C998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F8233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D28582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98581B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13CB0B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C91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210EA2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2BFCA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立式精密除污器</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47C770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1:口径:DN150-1.6MP:</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2:过流量≥100m</w:t>
            </w:r>
            <w:r>
              <w:rPr>
                <w:rFonts w:hint="eastAsia" w:ascii="宋体" w:hAnsi="宋体" w:eastAsia="宋体" w:cs="宋体"/>
                <w:i w:val="0"/>
                <w:iCs w:val="0"/>
                <w:color w:val="000000"/>
                <w:kern w:val="0"/>
                <w:sz w:val="16"/>
                <w:szCs w:val="16"/>
                <w:u w:val="none"/>
                <w:lang w:val="en-US" w:eastAsia="zh-CN" w:bidi="ar"/>
              </w:rPr>
              <w:t>³</w:t>
            </w:r>
            <w:r>
              <w:rPr>
                <w:rFonts w:hint="eastAsia" w:ascii="仿宋" w:hAnsi="仿宋" w:eastAsia="仿宋" w:cs="仿宋"/>
                <w:i w:val="0"/>
                <w:iCs w:val="0"/>
                <w:color w:val="000000"/>
                <w:kern w:val="0"/>
                <w:sz w:val="16"/>
                <w:szCs w:val="16"/>
                <w:u w:val="none"/>
                <w:lang w:val="en-US" w:eastAsia="zh-CN" w:bidi="ar"/>
              </w:rPr>
              <w:t>/H,304不锈钢滤网，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3:含自动排污球阀，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4:含电气控制柜</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D135B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76983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0685A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A4B922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675B73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94E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46773E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4A76C7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铸钢闸阀（关断）</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47195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1：口径:DN150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2：承压1.6mpa，</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3：耐温160℃及以上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4：材质铸钢</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AEC32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2A5CF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84FF8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83B927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F63335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798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7538DD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09FA9A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法兰涡轮钢蝶阀</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A0F21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1：口径:DN100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2：承压1.6mpa，</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3：耐温160℃及以上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4：材质铸钢</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2BE084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F2934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CEAF6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73D232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394263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DA4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59F5C1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28170C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法兰涡轮钢蝶阀</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456A670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1：口径:DN80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2：承压1.6mpa</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3：耐温160℃及以上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4：材质铸钢</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FD2E1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73A11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BB59BB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9033B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EBA016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F6C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01D265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4BC72C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旋启式止回阀</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4CA585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1：口径:DN65</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2：承压1.6mpa，</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3：耐温160℃及以上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5：材质铸钢</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4904B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5E3AF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8D83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973F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696EE6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A35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54901B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43DBCB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变频控制柜</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3995A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空范围不限于：</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1:尺寸GBL400*600*1500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2:7.5KW循环泵变频器2台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3:1.5KW补水泵变频器1台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4:720KW燃气锅炉控制电路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5:1400KW燃气锅炉控制电路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6:控制电路及元器件</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C2EF6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B7142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347A06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7268A4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8BC012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45B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336294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673E86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设备成套附件</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020D9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1：含锅炉槽钢底座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2：DN150主管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3：DN100锅炉支管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4：DN100排烟管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5：压力表、温度表、安全阀、软连接、电线、电缆、支架，油漆螺栓、耗材、燃气锅炉吊装、运输、安装实验、调试使用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6：设备间内全套钢管制造安装（含不限于含槽钢底座、支架）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7：拆除两台1-2吨燃气锅炉、6米DN150排烟管以及其他配件，需要破除门窗及恢复原样,设备间室内外粉刷，混泥土地面恢复、房顶屋面防水。</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F2A81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A44D4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451750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6A537C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547639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80D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275" w:type="dxa"/>
            <w:gridSpan w:val="8"/>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4329BE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仿宋" w:hAnsi="仿宋" w:eastAsia="仿宋" w:cs="仿宋"/>
                <w:b/>
                <w:bCs/>
                <w:i w:val="0"/>
                <w:iCs w:val="0"/>
                <w:color w:val="000000"/>
                <w:kern w:val="0"/>
                <w:sz w:val="20"/>
                <w:szCs w:val="20"/>
                <w:u w:val="none"/>
                <w:lang w:val="en-US" w:eastAsia="zh-CN" w:bidi="ar"/>
              </w:rPr>
              <w:t>二、显示系统（显示屏净尺寸：4480*2560,显示屏分辨率为：2987*1707）</w:t>
            </w:r>
          </w:p>
        </w:tc>
      </w:tr>
      <w:tr w14:paraId="6A91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1" w:hRule="atLeast"/>
        </w:trPr>
        <w:tc>
          <w:tcPr>
            <w:tcW w:w="600" w:type="dxa"/>
            <w:tcBorders>
              <w:top w:val="single" w:color="000000" w:sz="4" w:space="0"/>
              <w:left w:val="single" w:color="000000" w:sz="4" w:space="0"/>
              <w:bottom w:val="nil"/>
              <w:right w:val="single" w:color="000000" w:sz="4" w:space="0"/>
            </w:tcBorders>
            <w:noWrap w:val="0"/>
            <w:vAlign w:val="center"/>
          </w:tcPr>
          <w:p w14:paraId="705FE03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6E3CD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室内全彩LED屏</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B5807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1.LED显示屏灯珠采用表贴三合一铜线封装；LED封装形式：SMD1212黑灯；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2.LED显示屏采用≤1.53mm点间距；</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3.LED显示屏模组尺寸320mm*160mm±10mm；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4.LED显示屏采用前/后维护方式，可正面拆卸模组、接收卡、电源等低压器件，具备热插拔能力；</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5.LED显示屏符合等同或优于IP5X防护等级；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6.LED显示屏亮度可达到200-800cd/m</w:t>
            </w:r>
            <w:r>
              <w:rPr>
                <w:rFonts w:hint="eastAsia" w:ascii="宋体" w:hAnsi="宋体" w:eastAsia="宋体" w:cs="宋体"/>
                <w:i w:val="0"/>
                <w:iCs w:val="0"/>
                <w:color w:val="000000"/>
                <w:kern w:val="0"/>
                <w:sz w:val="16"/>
                <w:szCs w:val="16"/>
                <w:u w:val="none"/>
                <w:lang w:val="en-US" w:eastAsia="zh-CN" w:bidi="ar"/>
              </w:rPr>
              <w:t>²</w:t>
            </w:r>
            <w:r>
              <w:rPr>
                <w:rFonts w:hint="eastAsia" w:ascii="仿宋" w:hAnsi="仿宋" w:eastAsia="仿宋" w:cs="仿宋"/>
                <w:i w:val="0"/>
                <w:iCs w:val="0"/>
                <w:color w:val="000000"/>
                <w:kern w:val="0"/>
                <w:sz w:val="16"/>
                <w:szCs w:val="16"/>
                <w:u w:val="none"/>
                <w:lang w:val="en-US" w:eastAsia="zh-CN" w:bidi="ar"/>
              </w:rPr>
              <w:t>，可通过配套软件0-100%调节，设置亮度定时调节；</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8.LED显示屏刷新频率≥4200Hz，可通过配套控制软件调节刷新率设置选项；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9.LED显示屏峰值功耗为≤500W/㎡；LED显示屏平均功耗为≤125W/㎡；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10.LED显示屏色温100K-20000K连续可调，可设冷色、暖色、标准等多档白场调节,色温为8500K时，100%、75%、50%、25%四档电平白场调节色温误差≤100K；</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11.LED显示屏为防止金属离子迁移、线路短路现象，PCB采用FR-4四层板同等级或更高材料，PCB导线更宽、导线间距和过孔间距更大，能更好的杜绝模块黑屏、显示异常、灯珠缺色、毛毛虫等现象，表面沉金处理，板厚≥1.6mm，铜厚≥1盎司，TG≥170℃，PCB板表面具备防潮/防尘/防静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12.LED显示屏具备低蓝光模式，可在控制软件中选择30%、40%、70%三挡调节显示屏蓝光输出，有效减少蓝光辐射对眼睛的伤害；</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13.具备LED显示屏开关机次数、使用时长记录，可形成数据保存周期≥100天，并支持对现场温湿度的监测，可在控制软件端实时显示数据，方便用户了解现场屏体、环境温湿度数据情况；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14.包含led包装材料以及LED施工调试服务；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15.要求采用8mm胶合免熏蒸木箱运输</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15.为了确保产品质量，中标单位供货时提供制造商具有符合GB/T19001标准或ISO9001标准的《质量管理体系认证证书》（提供第三方认证机构颁发的在有效期内的证书复印件及证书编号在全国认证认可信息公共服务平台的查询结果截图作为证明材料）</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2DEC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3939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Style w:val="119"/>
                <w:rFonts w:hint="eastAsia"/>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3EB65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BDF41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B98302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668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600" w:type="dxa"/>
            <w:tcBorders>
              <w:top w:val="single" w:color="000000" w:sz="4" w:space="0"/>
              <w:left w:val="single" w:color="000000" w:sz="4" w:space="0"/>
              <w:bottom w:val="nil"/>
              <w:right w:val="single" w:color="000000" w:sz="4" w:space="0"/>
            </w:tcBorders>
            <w:noWrap w:val="0"/>
            <w:vAlign w:val="center"/>
          </w:tcPr>
          <w:p w14:paraId="0C10171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39230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发送盒</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150DF5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1.具备带载面积≥520万像素，宽度≥8192点，高度≥4096点；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2.具备输入分辨率≥1920×1200@60Hz，支持控制范围内自定义分辨率设置；</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3.具备对视频信号任意切换，裁剪，拼接，缩放；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4.具备≥3画面显示，位置、大小可自由调节；</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5.具备独立音频输入和音频输出及HDMI音频解析输出；</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6.具备RS232串口协议控制；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7.具备亮度和色温调节；</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8.具备低亮高灰；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D4AC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4F38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AA64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A7511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09236F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32B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6" w:hRule="atLeast"/>
        </w:trPr>
        <w:tc>
          <w:tcPr>
            <w:tcW w:w="600" w:type="dxa"/>
            <w:tcBorders>
              <w:top w:val="single" w:color="000000" w:sz="4" w:space="0"/>
              <w:left w:val="single" w:color="000000" w:sz="4" w:space="0"/>
              <w:bottom w:val="nil"/>
              <w:right w:val="single" w:color="000000" w:sz="4" w:space="0"/>
            </w:tcBorders>
            <w:noWrap w:val="0"/>
            <w:vAlign w:val="center"/>
          </w:tcPr>
          <w:p w14:paraId="3A76341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16</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7A70D6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配电柜</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F37DED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1.额定功率：≥10kW，输出路数：≥3路；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2.输入电压：三相五线制AC380V±10%，频率50Hz±5%；</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3.输出电压：单相220VAC；</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4.具备过流、短路、断路、过载、浪涌电气保护措施；</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5.具备实体按键、手持遥控器、电脑远控多种控制方式；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6.具备单台、集群管理功能，采用RS485有线以太网远程通信端口，在局域网内任意一台电脑进行控制；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7.具备设置≥4组开关时间，支持每天定时通电和断电功能；</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8.具备通过PLC软件实现实时温度、湿度监测，实时烟雾监测，高温、高湿、烟雾告警自动断电；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9.具备触发告警后，电脑自动强制弹屏提示，PLC模块、电脑蜂鸣器长鸣多种告警方式；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10.具备继电器回路整体上下电，也可通过PLC软件单独控制每个接触器的上下电；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11.内置避雷器，具有避雷防雷功能；</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9DC5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E807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398D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EC486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B3B768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672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single" w:color="000000" w:sz="4" w:space="0"/>
            </w:tcBorders>
            <w:noWrap w:val="0"/>
            <w:vAlign w:val="center"/>
          </w:tcPr>
          <w:p w14:paraId="593595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088FD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光纤收发器</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E5303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1、产品介绍：</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2、端口：1个1000MRJ45、1个SC光口(1*9/SFP)；</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3、核心主控：YT8521；</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4、储存转发：直通非存储转发；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5、背板带宽/MAC：2G/8K；</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6、使用环境：工作温度：-20℃～75℃、存储温度：-40℃～85℃、工作湿度：10%～90%RH不凝结、存储湿度：5%～90%RH不凝结；</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7、输入电源：5V1A/5V2A</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8、支持的标准和协议：IEEE802.3以太网介质访问控制协议、IEEE802.3x1000BASE-TX快速以太网；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9、默认系统模式：LED光纤收发器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10、可选配系统模式：内置死机重启功能(持续2分钟无数据将自动重启)；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11、数据传输速率：快速以太网全双工/半双工；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12、网络介质：10Base-T:2对3类（Cat3)或以上UTP/STP(≤100m)、100Base-TX:2对5类（Cat5）或以上UTP/STP(≤100m)、1000Base-TX:2对6类（Cat6）或以上UTP/STP(≤100m)；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8F4F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7D29F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596E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E7B5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ED3C32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8AE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nil"/>
              <w:right w:val="single" w:color="000000" w:sz="4" w:space="0"/>
            </w:tcBorders>
            <w:noWrap w:val="0"/>
            <w:vAlign w:val="center"/>
          </w:tcPr>
          <w:p w14:paraId="2F06B0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E568C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配电柜动力电缆</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CD184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1、强弱电材料，特征描述：强弱电材料动力电缆YJV-0.6/1kV－4*10+1*6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CD84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4D3F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73124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45F30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2AACA9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377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nil"/>
              <w:right w:val="single" w:color="000000" w:sz="4" w:space="0"/>
            </w:tcBorders>
            <w:noWrap w:val="0"/>
            <w:vAlign w:val="center"/>
          </w:tcPr>
          <w:p w14:paraId="50BFCF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6968F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屏体主电缆线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A7EDE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1、3*2.5mm</w:t>
            </w:r>
            <w:r>
              <w:rPr>
                <w:rFonts w:hint="eastAsia" w:ascii="宋体" w:hAnsi="宋体" w:eastAsia="宋体" w:cs="宋体"/>
                <w:i w:val="0"/>
                <w:iCs w:val="0"/>
                <w:color w:val="000000"/>
                <w:kern w:val="0"/>
                <w:sz w:val="16"/>
                <w:szCs w:val="16"/>
                <w:u w:val="none"/>
                <w:lang w:val="en-US" w:eastAsia="zh-CN" w:bidi="ar"/>
              </w:rPr>
              <w:t>²</w:t>
            </w:r>
            <w:r>
              <w:rPr>
                <w:rFonts w:hint="eastAsia" w:ascii="仿宋" w:hAnsi="仿宋" w:eastAsia="仿宋" w:cs="仿宋"/>
                <w:i w:val="0"/>
                <w:iCs w:val="0"/>
                <w:color w:val="000000"/>
                <w:kern w:val="0"/>
                <w:sz w:val="16"/>
                <w:szCs w:val="16"/>
                <w:u w:val="none"/>
                <w:lang w:val="en-US" w:eastAsia="zh-CN" w:bidi="ar"/>
              </w:rPr>
              <w:t>三芯电缆线；根据现场实际长度核算</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36E4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46FB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45960A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33C86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45AB03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ED0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nil"/>
              <w:right w:val="single" w:color="000000" w:sz="4" w:space="0"/>
            </w:tcBorders>
            <w:noWrap w:val="0"/>
            <w:vAlign w:val="center"/>
          </w:tcPr>
          <w:p w14:paraId="3C6644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D0F6B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屏体主网线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B756D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1、超五类工业级信号传输线；根据现场实际长度核算</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53D8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AA64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3512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9427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5077FC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12D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nil"/>
              <w:right w:val="single" w:color="000000" w:sz="4" w:space="0"/>
            </w:tcBorders>
            <w:noWrap w:val="0"/>
            <w:vAlign w:val="center"/>
          </w:tcPr>
          <w:p w14:paraId="361E74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4A242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布线施工</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736ED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1、根据现场实际情况核算</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F734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B8C8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9FBCF2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A73B5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8B93E5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9F7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nil"/>
              <w:right w:val="single" w:color="000000" w:sz="4" w:space="0"/>
            </w:tcBorders>
            <w:noWrap w:val="0"/>
            <w:vAlign w:val="center"/>
          </w:tcPr>
          <w:p w14:paraId="4FAE439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22</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637354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槽式电缆桥架</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6C88A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1、槽式电缆桥架XQJC100*100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E07B3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5DDF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678EF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3B7FC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AEA271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A74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00" w:type="dxa"/>
            <w:tcBorders>
              <w:top w:val="single" w:color="000000" w:sz="4" w:space="0"/>
              <w:left w:val="single" w:color="000000" w:sz="4" w:space="0"/>
              <w:bottom w:val="nil"/>
              <w:right w:val="nil"/>
            </w:tcBorders>
            <w:noWrap w:val="0"/>
            <w:vAlign w:val="center"/>
          </w:tcPr>
          <w:p w14:paraId="0AC6153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9A943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舞台</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AD009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舞台采用50*100MM钢管制作支撑架，链接距离不大于50cm，高度30cm，舞台上面采用颗粒板固定以后，铺原木实木地板，厚度≥1.2cm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F622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EE80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AC81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CAE1E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bookmarkStart w:id="409" w:name="_GoBack"/>
            <w:bookmarkEnd w:id="409"/>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9DD254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C88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275" w:type="dxa"/>
            <w:gridSpan w:val="8"/>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0C77A2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仿宋" w:hAnsi="仿宋" w:eastAsia="仿宋" w:cs="仿宋"/>
                <w:b/>
                <w:bCs/>
                <w:i w:val="0"/>
                <w:iCs w:val="0"/>
                <w:color w:val="000000"/>
                <w:kern w:val="0"/>
                <w:sz w:val="20"/>
                <w:szCs w:val="20"/>
                <w:u w:val="none"/>
                <w:lang w:val="en-US" w:eastAsia="zh-CN" w:bidi="ar"/>
              </w:rPr>
              <w:t>三、音箱扩声系统</w:t>
            </w:r>
          </w:p>
        </w:tc>
      </w:tr>
      <w:tr w14:paraId="0700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01B5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725FC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专业音箱</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50FF4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1.阻抗≤8Ω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2.频响等同或优于60Hz-20KHz</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3.额定功率≥350W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4.灵敏度≥95dB/W/M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5.水平覆盖角≥90°，垂直覆盖角≥70°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6.高音≥1.4"压缩高音单元×1</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7.低音≥12"低音×1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318C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B755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C0F3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82630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5DDE75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AFC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567C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2B976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专业音箱</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6C67B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1.阻抗≤8Ω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2.频响等同或优于65Hz-20KHz</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3.额定功率≥250W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4.灵敏度≥95dB/W/M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5.水平覆盖角≥80°，垂直覆盖角≥60°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6.高音≥1.4"压缩高音单元×1</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7.低音≥10"低音×1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1DCC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FABA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02B0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8C75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3F5463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6A2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22D9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26</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45450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专业功放</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9EDAE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1.标准≤1U机柜式设计；采用PFC+开关电源+D类数字功放设计方案；输出功率：立体声@8Ω：≥500W×2；立体声@4Ω：≥850W×2；桥接@8Ω：≥1700W。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2.开关电源采用LLC谐振电源短路保护电路和D类数字功放一体模块化设计，保证半桥LLC开关电源稳定性和可靠性。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3.支持开机软启动功能，软启动过程中电源需求缓慢上升，减少对电网和其他电子设备的电流冲击。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4.开关电源内置EMI电路，有效的抑制电源谐波，达到欧盟绿色电源标准。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5.数字功放核心的调制和匹配电路技术，让功放还原真实原声。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6.整机转换效率达到85%以上。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7.数字功放电源自适应音频调整节能功能，实现智能削峰限幅器，控制功率模块及扬声器系统在安全范围内工作。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8.MONO/STEREO/BRIDGE三种模式可选择切换。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9.开机软启动，防止开机时向电网吸收大电流，干扰其它用电设备。</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10.内置六大保护电路模块，为功放的可靠性保驾护航，具有：过压保护，欠压保护，过流保护，直流保护，输出短路保护，温控风扇等功能。</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0972E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2BDE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6AEAD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5159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38F996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DFA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6D4D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27</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29B2B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专业功放</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1884C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1.标准≤1U机箱设计，采用D类数字功放设计方案。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2.标准XLR输入接口，和LINK输出口。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3.电源采用开关电源技术，效率高，有效的抑制电源谐波。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4.内置智能削峰限幅器，支持开机软启动，防止开机时向电网吸收大电流，干扰其它用电设备。</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5.具有：过压保护，欠压保护，过流保护，直流保护，输出短路保护，温控风扇等功能。</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6.输出功率：立体声@8Ω：≥350W×2；立体声@4Ω：≥500W×2。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6605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4BDA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FB786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7B0F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E17D94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BE4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A6E7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A41BE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专业音箱</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96BA2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1.阻抗≤8Ω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2.频响等同或优于60Hz-20KHz</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3.额定功率≥300W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4.灵敏度≥95dB/W/M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5.水平覆盖角≥80°，垂直覆盖角≥60°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6.高音≤1.4"压缩高音单元×1；低音：10"低音×1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CC64C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B840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42146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300A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983FA0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274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DA0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8"/>
                <w:szCs w:val="18"/>
                <w:u w:val="none"/>
                <w:lang w:val="en-US" w:eastAsia="zh-CN" w:bidi="ar"/>
              </w:rPr>
              <w:t>29</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51750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专业功放</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4F3BFE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1.标准≤1U机柜式设计；采用PFC+开关电源+D类数字功放设计方案；输出功率：立体声@8Ω：≥500W×2；立体声@4Ω：≥800W×2；桥接@8Ω：≥1500W。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2.开关电源采用LLC谐振电源短路保护电路和D类数字功放一体模块化设计，保证半桥LLC开关电源稳定性和可靠性。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3.支持开机软启动功能，软启动过程中电源需求缓慢上升，减少对电网和其他电子设备的电流冲击。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4.开关电源内置EMI电路，有效的抑制电源谐波，达到欧盟绿色电源标准。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5.数字功放核心的调制和匹配电路技术，让功放还原真实原声。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6.整机转换效率达到85%以上。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7.数字功放电源自适应音频调整节能功能，实现智能削峰限幅器，控制功率模块及扬声器系统在安全范围内工作。</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BDA7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0414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2EC8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35E0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431DED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9AB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FAF6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DAEDF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专业音箱</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B5FB1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1.阻抗：≤8Ω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2.频响等同或优于40Hz~400Hz</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3.额定功率≥600W</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4.灵敏度≥95dB/W/M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5.低音：≥18"低音×1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35C3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F117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9DBD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52D69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4B99F6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8F1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4A4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6CCF16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专业功放</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A6782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1.标准≤1U机柜式设计机柜式设计，采用PFC+开关电源+D类数字功放设计方案。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2.开机软启动功能，软启动过程中电源需求缓慢上升，减少对电网和其他电子设备的电流冲击。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采用数字功放双环路压限保护电路，避免开机瞬间的大电流冲击扬声器，减少对扬声器的损害风险，为功放全方位系统保护。（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4.采用开关电源输出电压自启停动态节能的功能，自适应动态功率高效转换功能。（供货时需提供得到CMA或CNAS认可的检测机构出具的检测报告作为该技术参数证明材料）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支持过压保护、欠压保护、过流保护、输出短路保护、温度压限、信号压限、温度自动控风扇等功能，很大程度提高功放稳定性和可靠性。（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6.XLR平衡式输入/XLR平衡式LINK输出；SPEAKON音响插座输出。</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7.MONO/STEREO/BRIDGE三种模式可选择切换。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8.灵敏度1V/2V可选择切换。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9.输出功率（1KHz/THD≤1％）：连续功率：立体声8Ω×2：≥2*1000W；立体声4Ω×2：≥2*1700W；立体声2Ω×2：≥2*2900W；桥接16Ω：≥2000W；桥接8Ω：≥3400W；桥接4Ω：≥5800W。</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5E6E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9DA6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C4D7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D8C9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07B802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838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D87D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6416E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音频处理器</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54F66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可有显示屏、≥1个USB存储设备接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输入通道支持前级放大、信号发生器、扩展器、压缩器、均衡器（≥12段参量均衡、可选10/15/31段图示均衡器可调，图示均衡器可用于单独调节带宽）、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3.具有矩阵增益调节功能，每个输入通道参与混音的增益可调，增益调节范围等同或优于-72db到12db。</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4.音频处理器具有跨平台软件，可运行的操作系统版本≥8种，包括Windows7/10/11；（供货时需提供得到CMA或CNAS认可的检测机构出具的检测报告作为该技术参数证明材料）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5.产品具有PC客户端、手机移动端、安卓平板端不同控制方式，可以通同时登入APP软件、PC客户端同时连接设备，并实现多端数据的同步。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为了确保产品质量，中标单位供货时提供制造商具有符合GB/T19001标准或ISO9001标准的《质量管理体系认证证书》（提供第三方认证机构颁发的在有效期内的证书复印件及证书编号在全国认证认可信息公共服务平台的查询结果截图作为证明材料）</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8FFD5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FEB2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4ED0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6D66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689AEB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552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F820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10F5B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抑制器</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366DD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1.基于啸叫检测门限更新法，具有移频+陷波反馈抑制功能，可以使用≥48个可编程陷波点。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2.前面板具有≥48个LED灯陷波状态指示灯（具有≥2×12个静态点和≥2×12个动态点）、≥2英寸IPS真彩显示屏、≥1个编码旋钮；后面板具有≥1个船形开关、≥2路XLR母座、≥2路XLR公座。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3.设备具有编码旋钮和≥2.0英寸IPS屏幕，可用于控制和配置设备直通、场景。IPS屏幕能够显示IP地址，输入和输出通道的实时电平。</w:t>
            </w:r>
            <w:r>
              <w:rPr>
                <w:rFonts w:hint="eastAsia" w:ascii="仿宋" w:hAnsi="仿宋" w:eastAsia="仿宋" w:cs="仿宋"/>
                <w:i w:val="0"/>
                <w:iCs w:val="0"/>
                <w:color w:val="000000"/>
                <w:kern w:val="0"/>
                <w:sz w:val="16"/>
                <w:szCs w:val="16"/>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CE11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4587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23CB5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74B6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3A16F2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67A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F71DB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BD286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调音台</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F973E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1.支持≥10路MIC输入兼容8路线路输入接口，支持≥2组立体声输入接口，≥4路RCA输入，话筒接口幻象电源：+48V。</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2.具有≥2组立体声输出、≥4路编组输出、≥4路辅助输出、≥1个耳机监听输出、≥1个接口双路效果输出、≥1组控制室输出、≥1组主混音断点插入、≥8个断点插入。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3.内置≥24位DSP效果器，提供≥100种预设效果。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4.具备≥15个60mm行程的高精密碳膜推子。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5.内置USB声卡模块，支持连接电脑进行音乐播放和声音录音；内置MP3播放器，支持≥1个USB接口接U盘播放音乐。</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C3ED3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BA2F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12213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859B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30F425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93C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C584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63BF1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电源管理器</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D671E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2.当远程控制有效时同时控制后板ALARM（报警）端口导通以起到级联控制ALARM（报警）功能。</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3.单个通道最大负载功率≥3500W，所有通道负载总功率达≥6000W，输入连接器：大功率线码式电源连接器。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4.输出连接器：≥2个16A，≥2个16A接线端子和≥4个10A电源插座。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5.具有≥1路USB接口。</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5CEE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7C59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6691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EA9E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F8FF34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347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87D1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3"/>
                <w:szCs w:val="13"/>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6C7B67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话筒</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4CD01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1.专业演讲合唱麦克风采用独特的电路设计，输出阻抗（欧姆）：平衡≥75Ω。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2.心型指向、双电容式，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3.供电电压：幻象≥48V</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4.可调节高度：≥0.1米~1.65米</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C0D6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15C3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8F7A7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2F28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4912A1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AA5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275" w:type="dxa"/>
            <w:gridSpan w:val="8"/>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3CB64B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仿宋" w:hAnsi="仿宋" w:eastAsia="仿宋" w:cs="仿宋"/>
                <w:b/>
                <w:bCs/>
                <w:i w:val="0"/>
                <w:iCs w:val="0"/>
                <w:color w:val="000000"/>
                <w:kern w:val="0"/>
                <w:sz w:val="20"/>
                <w:szCs w:val="20"/>
                <w:u w:val="none"/>
                <w:lang w:val="en-US" w:eastAsia="zh-CN" w:bidi="ar"/>
              </w:rPr>
              <w:t>四、发言系统</w:t>
            </w:r>
          </w:p>
        </w:tc>
      </w:tr>
      <w:tr w14:paraId="7495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AD722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37</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12CAA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无线话筒</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BC02AB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2.具有≥1台接收主机、≥2只头戴腰包；频率范围等同或优于470MHz-510MHz、540MHz-590MHz、640MHz-690MHz、807MHz-830MHz四个频段使用。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发射机具有≥1个显示屏、≥4个实体按键（包括≥1个静音键、≥1个音量减少键、≥1个音量增加键、≥1个电源开关键）、≥1个电源状态指示灯、≥1个静音指示灯。（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4.具有长时间续航，发射机连续使用时长≥10小时。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5.具有ID码防串扰功能，采用32位唯一ID码，用于接收和发射配对，收发ID码必须相同才能对码，能够有效防止相同频率的信号相互串台。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6.接收机具有≥2个2.2英寸的TFT-LCD显示屏；发射机具有≥0.96英寸OLED显示屏，能够显示频率信息、音频加密状态、功率挡位、静音状态、电量格数信息。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7B97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16DE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8ECA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081B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77603C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A25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7EA6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38</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C454D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无线话筒</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B473A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2.具有≥1台接收主机、≥2只手持发射机；频率范围等同或优于470MHz-510MHz、540MHz-590MHz、640MHz-690MHz、807MHz-830MHz四个频段使用。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显示屏、≥1个开关机/静音按键、≥2个工作状态指示灯。（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具有自动静音功能，麦克风跌落、抛掷时，毫秒级自动静音，避免冲击声；实时监测设备姿态，静置≥5秒静音，≥8分钟关机，无需手动干预。（供货时需提供得到CMA或CNAS认可的检测机构出具的检测报告作为该技术参数证明材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5.具有长时间续航，发射机使用时长≥10小时。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6.具有ID码防串扰功能，采用32位唯一ID码，用于接收和发射配对，收发ID码必须相同才能对码，能够有效防止相同频率的信号相互串台。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7.接收机具有≥2个2.2英寸的TFT-LCD显示屏；发射机具有≥0.96英寸OLED显示屏，能够显示频率信息、音频加密状态、功率挡位、静音状态、电量格数信息。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D37B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7F9A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150F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A63F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2A6CF4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A36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E867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DC675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天线分配器</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7CCFE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1.具备≥2个天线输入接口，支持接收天线信号，实现分配多路射频信号的效果。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2.具备放大射频信号，补偿因信号功率被分配至多个输出而造成的插入损耗。</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3.具备≥2个天线级联接口，支持无限制级联分配器，可实现扩展无线话筒的目的。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4.具备≥4个直流电源输出接口，支持给≥4台接收机供电，减少适配器数量和免去繁琐布线。</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B03F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1FEC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2F6BD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99ED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13A50D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509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1DF3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1EB93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话筒天线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20CFE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1.射频频率范围等同或优于470～950MHz</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2.驻波比：≤2.0</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3.输入阻抗：≤50Ω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4.指向性：≥180度指向</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EE0C4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7EEE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4446F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61055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C99D4D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DF8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275" w:type="dxa"/>
            <w:gridSpan w:val="8"/>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178783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仿宋" w:hAnsi="仿宋" w:eastAsia="仿宋" w:cs="仿宋"/>
                <w:b/>
                <w:bCs/>
                <w:i w:val="0"/>
                <w:iCs w:val="0"/>
                <w:color w:val="000000"/>
                <w:kern w:val="0"/>
                <w:sz w:val="20"/>
                <w:szCs w:val="20"/>
                <w:u w:val="none"/>
                <w:lang w:val="en-US" w:eastAsia="zh-CN" w:bidi="ar"/>
              </w:rPr>
              <w:t>五、辅材</w:t>
            </w:r>
          </w:p>
        </w:tc>
      </w:tr>
      <w:tr w14:paraId="4BAD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2148C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41</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4AFFB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机柜</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54ABB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1、42U，600*600*2055mm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CD496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E9DB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4996E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81A3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1FF86A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EEE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F200D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42</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7BDF0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音频连接线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8E6F3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1.8米音频连接线：卡侬头（母）*1卡侬头（公）*1，线径：0.3mm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9AACB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E1B5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FC5F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1912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FF8C6D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707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9AAD3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43</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F9E57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音频连接线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18B58D1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3米音频连接线：3.5（耳机插头）*1,6.35话筒插头*2,线径：0.3mm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65EF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8950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7DE28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6F57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54663B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0BD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D4BA8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44</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11686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音频连接线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1520C8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1.8米音频连接线：6.35话筒插头*1，卡侬头（公）*1，线径：0.3mm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D709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18AA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33CE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8D70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D1A3FB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744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AAF608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45</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73AB96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音箱线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9A76E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1、音响金银喇叭线纯铜2*300芯，100米/卷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2A38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1276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7EBD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5004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2CC5B4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4A4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79711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46</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203FA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多媒体地插</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64412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1、含1个电源口、1个网口、1个HDMI口、1个音频口</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521B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B4A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D3D6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CA12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750289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098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DC7CE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47</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5E2D3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话筒地插盒</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40DB67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1、地面插座，双卡侬头</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7373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0247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858B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0F98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1DAC28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4A0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A8447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48</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9EA7F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视频线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1ADE87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1、15米视频连接线：HDMI2.0版高清线</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1922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1CEA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540A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6FB7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4CDCBE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98F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386B6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49</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2E9C0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音频话筒线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60628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1、双芯咪卡侬线RVPE2*0.5平方，100米/卷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1D940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1A89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5705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8936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C8EFD6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55EE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001D1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50</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35A49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8FF85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1、超五类网线，200米/卷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1F5E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8FF4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0FB6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492E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5D1D12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C82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9B12E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51</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78D1B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水晶头</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01DC9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1、超五类水晶头，100个/盒</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A094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FB521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AFF9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BF6E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E0E138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579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B8B8F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52</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718D20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电缆线</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83778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1、带屏蔽国标电源线/通信控制线RVVP3*1.5平方，100米/卷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26D27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4306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905A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3519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1D6D57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24D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F82F9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53</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F2820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管材</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B73C9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1、DN=25mm，厚度：2.0mm，每支钢管通常定尺长度为6000mm</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EF72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6EE9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429C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6A1E0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798F7D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765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0275" w:type="dxa"/>
            <w:gridSpan w:val="8"/>
            <w:tcBorders>
              <w:top w:val="single" w:color="000000" w:sz="4" w:space="0"/>
              <w:left w:val="single" w:color="000000" w:sz="4" w:space="0"/>
              <w:bottom w:val="single" w:color="000000" w:sz="4" w:space="0"/>
              <w:right w:val="single" w:color="000000" w:sz="4" w:space="0"/>
            </w:tcBorders>
            <w:noWrap/>
            <w:vAlign w:val="center"/>
          </w:tcPr>
          <w:p w14:paraId="4A6B04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bdr w:val="single" w:color="000000" w:sz="4" w:space="0"/>
                <w:lang w:val="en-US" w:eastAsia="zh-CN" w:bidi="ar"/>
              </w:rPr>
            </w:pPr>
            <w:r>
              <w:rPr>
                <w:rFonts w:hint="eastAsia" w:ascii="仿宋" w:hAnsi="仿宋" w:eastAsia="仿宋" w:cs="仿宋"/>
                <w:b/>
                <w:bCs/>
                <w:i w:val="0"/>
                <w:iCs w:val="0"/>
                <w:color w:val="000000"/>
                <w:kern w:val="0"/>
                <w:sz w:val="20"/>
                <w:szCs w:val="20"/>
                <w:u w:val="none"/>
                <w:lang w:val="en-US" w:eastAsia="zh-CN" w:bidi="ar"/>
              </w:rPr>
              <w:t>六、教玩具</w:t>
            </w:r>
          </w:p>
        </w:tc>
      </w:tr>
      <w:tr w14:paraId="2606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14:paraId="1DC9E5B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54</w:t>
            </w:r>
          </w:p>
        </w:tc>
        <w:tc>
          <w:tcPr>
            <w:tcW w:w="1449" w:type="dxa"/>
            <w:vMerge w:val="restart"/>
            <w:tcBorders>
              <w:top w:val="single" w:color="000000" w:sz="4" w:space="0"/>
              <w:left w:val="single" w:color="000000" w:sz="4" w:space="0"/>
              <w:bottom w:val="single" w:color="000000" w:sz="4" w:space="0"/>
              <w:right w:val="single" w:color="000000" w:sz="4" w:space="0"/>
            </w:tcBorders>
            <w:noWrap/>
            <w:vAlign w:val="center"/>
          </w:tcPr>
          <w:p w14:paraId="682311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大型木质积木</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1D65CC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1.长条板（开槽）:尺寸：120*10*2.5，优质松碳化+水性清漆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C76B7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DD9F7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872C999">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CCC077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FE655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13335</wp:posOffset>
                  </wp:positionH>
                  <wp:positionV relativeFrom="paragraph">
                    <wp:posOffset>12700</wp:posOffset>
                  </wp:positionV>
                  <wp:extent cx="656590" cy="407035"/>
                  <wp:effectExtent l="0" t="0" r="10160" b="12065"/>
                  <wp:wrapNone/>
                  <wp:docPr id="29" name="图片_4"/>
                  <wp:cNvGraphicFramePr/>
                  <a:graphic xmlns:a="http://schemas.openxmlformats.org/drawingml/2006/main">
                    <a:graphicData uri="http://schemas.openxmlformats.org/drawingml/2006/picture">
                      <pic:pic xmlns:pic="http://schemas.openxmlformats.org/drawingml/2006/picture">
                        <pic:nvPicPr>
                          <pic:cNvPr id="29" name="图片_4"/>
                          <pic:cNvPicPr/>
                        </pic:nvPicPr>
                        <pic:blipFill>
                          <a:blip r:embed="rId18"/>
                          <a:stretch>
                            <a:fillRect/>
                          </a:stretch>
                        </pic:blipFill>
                        <pic:spPr>
                          <a:xfrm>
                            <a:off x="0" y="0"/>
                            <a:ext cx="656590" cy="40703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11430</wp:posOffset>
                  </wp:positionH>
                  <wp:positionV relativeFrom="paragraph">
                    <wp:posOffset>118110</wp:posOffset>
                  </wp:positionV>
                  <wp:extent cx="648335" cy="138430"/>
                  <wp:effectExtent l="0" t="0" r="18415" b="13970"/>
                  <wp:wrapNone/>
                  <wp:docPr id="34" name="图片_3"/>
                  <wp:cNvGraphicFramePr/>
                  <a:graphic xmlns:a="http://schemas.openxmlformats.org/drawingml/2006/main">
                    <a:graphicData uri="http://schemas.openxmlformats.org/drawingml/2006/picture">
                      <pic:pic xmlns:pic="http://schemas.openxmlformats.org/drawingml/2006/picture">
                        <pic:nvPicPr>
                          <pic:cNvPr id="34" name="图片_3"/>
                          <pic:cNvPicPr/>
                        </pic:nvPicPr>
                        <pic:blipFill>
                          <a:blip r:embed="rId19"/>
                          <a:stretch>
                            <a:fillRect/>
                          </a:stretch>
                        </pic:blipFill>
                        <pic:spPr>
                          <a:xfrm>
                            <a:off x="0" y="0"/>
                            <a:ext cx="648335" cy="138430"/>
                          </a:xfrm>
                          <a:prstGeom prst="rect">
                            <a:avLst/>
                          </a:prstGeom>
                          <a:noFill/>
                          <a:ln>
                            <a:noFill/>
                          </a:ln>
                        </pic:spPr>
                      </pic:pic>
                    </a:graphicData>
                  </a:graphic>
                </wp:anchor>
              </w:drawing>
            </w:r>
          </w:p>
        </w:tc>
      </w:tr>
      <w:tr w14:paraId="5652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018683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1A3E688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1956A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2.正方形:尺寸：10*10*5，优质松碳化+水性清漆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B18A3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BB34F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36E825C">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36FD9E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DC403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133985</wp:posOffset>
                  </wp:positionH>
                  <wp:positionV relativeFrom="paragraph">
                    <wp:posOffset>46990</wp:posOffset>
                  </wp:positionV>
                  <wp:extent cx="440055" cy="419100"/>
                  <wp:effectExtent l="0" t="0" r="17145" b="0"/>
                  <wp:wrapNone/>
                  <wp:docPr id="26" name="图片_5"/>
                  <wp:cNvGraphicFramePr/>
                  <a:graphic xmlns:a="http://schemas.openxmlformats.org/drawingml/2006/main">
                    <a:graphicData uri="http://schemas.openxmlformats.org/drawingml/2006/picture">
                      <pic:pic xmlns:pic="http://schemas.openxmlformats.org/drawingml/2006/picture">
                        <pic:nvPicPr>
                          <pic:cNvPr id="26" name="图片_5"/>
                          <pic:cNvPicPr/>
                        </pic:nvPicPr>
                        <pic:blipFill>
                          <a:blip r:embed="rId20"/>
                          <a:stretch>
                            <a:fillRect/>
                          </a:stretch>
                        </pic:blipFill>
                        <pic:spPr>
                          <a:xfrm>
                            <a:off x="0" y="0"/>
                            <a:ext cx="440055" cy="419100"/>
                          </a:xfrm>
                          <a:prstGeom prst="rect">
                            <a:avLst/>
                          </a:prstGeom>
                          <a:noFill/>
                          <a:ln>
                            <a:noFill/>
                          </a:ln>
                        </pic:spPr>
                      </pic:pic>
                    </a:graphicData>
                  </a:graphic>
                </wp:anchor>
              </w:drawing>
            </w:r>
          </w:p>
        </w:tc>
      </w:tr>
      <w:tr w14:paraId="018D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4AA282E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667ED65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87B8D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3.正方形:尺寸：10*10*2.5，优质松碳化+水性清漆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00A72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2600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FCF43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026D727">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DECB4F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36BAF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140335</wp:posOffset>
                  </wp:positionH>
                  <wp:positionV relativeFrom="paragraph">
                    <wp:posOffset>33655</wp:posOffset>
                  </wp:positionV>
                  <wp:extent cx="427355" cy="438150"/>
                  <wp:effectExtent l="0" t="0" r="10795" b="0"/>
                  <wp:wrapNone/>
                  <wp:docPr id="24" name="图片_6"/>
                  <wp:cNvGraphicFramePr/>
                  <a:graphic xmlns:a="http://schemas.openxmlformats.org/drawingml/2006/main">
                    <a:graphicData uri="http://schemas.openxmlformats.org/drawingml/2006/picture">
                      <pic:pic xmlns:pic="http://schemas.openxmlformats.org/drawingml/2006/picture">
                        <pic:nvPicPr>
                          <pic:cNvPr id="24" name="图片_6"/>
                          <pic:cNvPicPr/>
                        </pic:nvPicPr>
                        <pic:blipFill>
                          <a:blip r:embed="rId21"/>
                          <a:stretch>
                            <a:fillRect/>
                          </a:stretch>
                        </pic:blipFill>
                        <pic:spPr>
                          <a:xfrm>
                            <a:off x="0" y="0"/>
                            <a:ext cx="427355" cy="438150"/>
                          </a:xfrm>
                          <a:prstGeom prst="rect">
                            <a:avLst/>
                          </a:prstGeom>
                          <a:noFill/>
                          <a:ln>
                            <a:noFill/>
                          </a:ln>
                        </pic:spPr>
                      </pic:pic>
                    </a:graphicData>
                  </a:graphic>
                </wp:anchor>
              </w:drawing>
            </w:r>
          </w:p>
        </w:tc>
      </w:tr>
      <w:tr w14:paraId="01F4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F7F53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6724B99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438364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4.长方形:尺寸：20*10*5，优质松碳化+水性清漆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85BDA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B05F9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A80F6D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9332677">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38A9C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57150</wp:posOffset>
                  </wp:positionH>
                  <wp:positionV relativeFrom="paragraph">
                    <wp:posOffset>131445</wp:posOffset>
                  </wp:positionV>
                  <wp:extent cx="596900" cy="330200"/>
                  <wp:effectExtent l="0" t="0" r="12700" b="12700"/>
                  <wp:wrapNone/>
                  <wp:docPr id="27" name="图片_7"/>
                  <wp:cNvGraphicFramePr/>
                  <a:graphic xmlns:a="http://schemas.openxmlformats.org/drawingml/2006/main">
                    <a:graphicData uri="http://schemas.openxmlformats.org/drawingml/2006/picture">
                      <pic:pic xmlns:pic="http://schemas.openxmlformats.org/drawingml/2006/picture">
                        <pic:nvPicPr>
                          <pic:cNvPr id="27" name="图片_7"/>
                          <pic:cNvPicPr/>
                        </pic:nvPicPr>
                        <pic:blipFill>
                          <a:blip r:embed="rId22"/>
                          <a:stretch>
                            <a:fillRect/>
                          </a:stretch>
                        </pic:blipFill>
                        <pic:spPr>
                          <a:xfrm>
                            <a:off x="0" y="0"/>
                            <a:ext cx="596900" cy="330200"/>
                          </a:xfrm>
                          <a:prstGeom prst="rect">
                            <a:avLst/>
                          </a:prstGeom>
                          <a:noFill/>
                          <a:ln>
                            <a:noFill/>
                          </a:ln>
                        </pic:spPr>
                      </pic:pic>
                    </a:graphicData>
                  </a:graphic>
                </wp:anchor>
              </w:drawing>
            </w:r>
          </w:p>
        </w:tc>
      </w:tr>
      <w:tr w14:paraId="695A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00DB73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34D5BD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C26A7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5.长方形:尺寸：20*10*2.5，优质松碳化+水性清漆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B702D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1368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BA88C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5CB010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C9C0149">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496FC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37465</wp:posOffset>
                  </wp:positionH>
                  <wp:positionV relativeFrom="paragraph">
                    <wp:posOffset>82550</wp:posOffset>
                  </wp:positionV>
                  <wp:extent cx="582295" cy="282575"/>
                  <wp:effectExtent l="0" t="0" r="8255" b="3175"/>
                  <wp:wrapNone/>
                  <wp:docPr id="28" name="图片_8"/>
                  <wp:cNvGraphicFramePr/>
                  <a:graphic xmlns:a="http://schemas.openxmlformats.org/drawingml/2006/main">
                    <a:graphicData uri="http://schemas.openxmlformats.org/drawingml/2006/picture">
                      <pic:pic xmlns:pic="http://schemas.openxmlformats.org/drawingml/2006/picture">
                        <pic:nvPicPr>
                          <pic:cNvPr id="28" name="图片_8"/>
                          <pic:cNvPicPr/>
                        </pic:nvPicPr>
                        <pic:blipFill>
                          <a:blip r:embed="rId23"/>
                          <a:stretch>
                            <a:fillRect/>
                          </a:stretch>
                        </pic:blipFill>
                        <pic:spPr>
                          <a:xfrm>
                            <a:off x="0" y="0"/>
                            <a:ext cx="582295" cy="282575"/>
                          </a:xfrm>
                          <a:prstGeom prst="rect">
                            <a:avLst/>
                          </a:prstGeom>
                          <a:noFill/>
                          <a:ln>
                            <a:noFill/>
                          </a:ln>
                        </pic:spPr>
                      </pic:pic>
                    </a:graphicData>
                  </a:graphic>
                </wp:anchor>
              </w:drawing>
            </w:r>
          </w:p>
        </w:tc>
      </w:tr>
      <w:tr w14:paraId="0536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2D086CA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59E4F26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BDBFD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6.长方形:尺寸：40*10*2.5，优质松碳化+水性清漆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FC38F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9E707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5F16D06">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C1A504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8B646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50165</wp:posOffset>
                  </wp:positionH>
                  <wp:positionV relativeFrom="paragraph">
                    <wp:posOffset>9525</wp:posOffset>
                  </wp:positionV>
                  <wp:extent cx="561975" cy="279400"/>
                  <wp:effectExtent l="0" t="0" r="9525" b="6350"/>
                  <wp:wrapNone/>
                  <wp:docPr id="37" name="图片_9"/>
                  <wp:cNvGraphicFramePr/>
                  <a:graphic xmlns:a="http://schemas.openxmlformats.org/drawingml/2006/main">
                    <a:graphicData uri="http://schemas.openxmlformats.org/drawingml/2006/picture">
                      <pic:pic xmlns:pic="http://schemas.openxmlformats.org/drawingml/2006/picture">
                        <pic:nvPicPr>
                          <pic:cNvPr id="37" name="图片_9"/>
                          <pic:cNvPicPr/>
                        </pic:nvPicPr>
                        <pic:blipFill>
                          <a:blip r:embed="rId24"/>
                          <a:stretch>
                            <a:fillRect/>
                          </a:stretch>
                        </pic:blipFill>
                        <pic:spPr>
                          <a:xfrm>
                            <a:off x="0" y="0"/>
                            <a:ext cx="561975" cy="279400"/>
                          </a:xfrm>
                          <a:prstGeom prst="rect">
                            <a:avLst/>
                          </a:prstGeom>
                          <a:noFill/>
                          <a:ln>
                            <a:noFill/>
                          </a:ln>
                        </pic:spPr>
                      </pic:pic>
                    </a:graphicData>
                  </a:graphic>
                </wp:anchor>
              </w:drawing>
            </w:r>
          </w:p>
        </w:tc>
      </w:tr>
      <w:tr w14:paraId="27A0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92B5A7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74DA241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541E38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7.长方形:尺寸：60*10*2.5，优质松碳化+水性清漆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2A65E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B5FAC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53C3B7">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616667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659AC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31115</wp:posOffset>
                  </wp:positionH>
                  <wp:positionV relativeFrom="paragraph">
                    <wp:posOffset>12700</wp:posOffset>
                  </wp:positionV>
                  <wp:extent cx="608965" cy="372110"/>
                  <wp:effectExtent l="0" t="0" r="635" b="8890"/>
                  <wp:wrapNone/>
                  <wp:docPr id="36" name="图片_10"/>
                  <wp:cNvGraphicFramePr/>
                  <a:graphic xmlns:a="http://schemas.openxmlformats.org/drawingml/2006/main">
                    <a:graphicData uri="http://schemas.openxmlformats.org/drawingml/2006/picture">
                      <pic:pic xmlns:pic="http://schemas.openxmlformats.org/drawingml/2006/picture">
                        <pic:nvPicPr>
                          <pic:cNvPr id="36" name="图片_10"/>
                          <pic:cNvPicPr/>
                        </pic:nvPicPr>
                        <pic:blipFill>
                          <a:blip r:embed="rId25"/>
                          <a:stretch>
                            <a:fillRect/>
                          </a:stretch>
                        </pic:blipFill>
                        <pic:spPr>
                          <a:xfrm>
                            <a:off x="0" y="0"/>
                            <a:ext cx="608965" cy="372110"/>
                          </a:xfrm>
                          <a:prstGeom prst="rect">
                            <a:avLst/>
                          </a:prstGeom>
                          <a:noFill/>
                          <a:ln>
                            <a:noFill/>
                          </a:ln>
                        </pic:spPr>
                      </pic:pic>
                    </a:graphicData>
                  </a:graphic>
                </wp:anchor>
              </w:drawing>
            </w:r>
          </w:p>
        </w:tc>
      </w:tr>
      <w:tr w14:paraId="1158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0A158B2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37A88E7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96C62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8.长方形（开槽）:尺寸：60*10*2.5，优质松碳化+水性清漆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58EF0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2251B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04DA0F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141238F">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E0DF4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56515</wp:posOffset>
                  </wp:positionH>
                  <wp:positionV relativeFrom="paragraph">
                    <wp:posOffset>37465</wp:posOffset>
                  </wp:positionV>
                  <wp:extent cx="577215" cy="307975"/>
                  <wp:effectExtent l="0" t="0" r="13335" b="15875"/>
                  <wp:wrapNone/>
                  <wp:docPr id="8" name="图片_25"/>
                  <wp:cNvGraphicFramePr/>
                  <a:graphic xmlns:a="http://schemas.openxmlformats.org/drawingml/2006/main">
                    <a:graphicData uri="http://schemas.openxmlformats.org/drawingml/2006/picture">
                      <pic:pic xmlns:pic="http://schemas.openxmlformats.org/drawingml/2006/picture">
                        <pic:nvPicPr>
                          <pic:cNvPr id="8" name="图片_25"/>
                          <pic:cNvPicPr/>
                        </pic:nvPicPr>
                        <pic:blipFill>
                          <a:blip r:embed="rId26"/>
                          <a:stretch>
                            <a:fillRect/>
                          </a:stretch>
                        </pic:blipFill>
                        <pic:spPr>
                          <a:xfrm>
                            <a:off x="0" y="0"/>
                            <a:ext cx="577215" cy="307975"/>
                          </a:xfrm>
                          <a:prstGeom prst="rect">
                            <a:avLst/>
                          </a:prstGeom>
                          <a:noFill/>
                          <a:ln>
                            <a:noFill/>
                          </a:ln>
                        </pic:spPr>
                      </pic:pic>
                    </a:graphicData>
                  </a:graphic>
                </wp:anchor>
              </w:drawing>
            </w:r>
          </w:p>
        </w:tc>
      </w:tr>
      <w:tr w14:paraId="624E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E2EE7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2D1A4FB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FFE3D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9.长方形:尺寸：80*10*2.5，优质松碳化+水性清漆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4B953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129DD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1BB1B0">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18671F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066C3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36830</wp:posOffset>
                  </wp:positionH>
                  <wp:positionV relativeFrom="paragraph">
                    <wp:posOffset>40005</wp:posOffset>
                  </wp:positionV>
                  <wp:extent cx="633095" cy="269240"/>
                  <wp:effectExtent l="0" t="0" r="14605" b="16510"/>
                  <wp:wrapNone/>
                  <wp:docPr id="22" name="图片_11"/>
                  <wp:cNvGraphicFramePr/>
                  <a:graphic xmlns:a="http://schemas.openxmlformats.org/drawingml/2006/main">
                    <a:graphicData uri="http://schemas.openxmlformats.org/drawingml/2006/picture">
                      <pic:pic xmlns:pic="http://schemas.openxmlformats.org/drawingml/2006/picture">
                        <pic:nvPicPr>
                          <pic:cNvPr id="22" name="图片_11"/>
                          <pic:cNvPicPr/>
                        </pic:nvPicPr>
                        <pic:blipFill>
                          <a:blip r:embed="rId27"/>
                          <a:stretch>
                            <a:fillRect/>
                          </a:stretch>
                        </pic:blipFill>
                        <pic:spPr>
                          <a:xfrm>
                            <a:off x="0" y="0"/>
                            <a:ext cx="633095" cy="269240"/>
                          </a:xfrm>
                          <a:prstGeom prst="rect">
                            <a:avLst/>
                          </a:prstGeom>
                          <a:noFill/>
                          <a:ln>
                            <a:noFill/>
                          </a:ln>
                        </pic:spPr>
                      </pic:pic>
                    </a:graphicData>
                  </a:graphic>
                </wp:anchor>
              </w:drawing>
            </w:r>
          </w:p>
        </w:tc>
      </w:tr>
      <w:tr w14:paraId="627D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5D0ED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1F0C4A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84FB2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10.三角形:尺寸：39*20*2.5，优质松碳化+水性清漆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B424C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207A8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76E801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2BA87C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91BD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41910</wp:posOffset>
                  </wp:positionH>
                  <wp:positionV relativeFrom="paragraph">
                    <wp:posOffset>27305</wp:posOffset>
                  </wp:positionV>
                  <wp:extent cx="606425" cy="291465"/>
                  <wp:effectExtent l="0" t="0" r="3175" b="13335"/>
                  <wp:wrapNone/>
                  <wp:docPr id="17" name="图片_12"/>
                  <wp:cNvGraphicFramePr/>
                  <a:graphic xmlns:a="http://schemas.openxmlformats.org/drawingml/2006/main">
                    <a:graphicData uri="http://schemas.openxmlformats.org/drawingml/2006/picture">
                      <pic:pic xmlns:pic="http://schemas.openxmlformats.org/drawingml/2006/picture">
                        <pic:nvPicPr>
                          <pic:cNvPr id="17" name="图片_12"/>
                          <pic:cNvPicPr/>
                        </pic:nvPicPr>
                        <pic:blipFill>
                          <a:blip r:embed="rId28"/>
                          <a:stretch>
                            <a:fillRect/>
                          </a:stretch>
                        </pic:blipFill>
                        <pic:spPr>
                          <a:xfrm>
                            <a:off x="0" y="0"/>
                            <a:ext cx="606425" cy="291465"/>
                          </a:xfrm>
                          <a:prstGeom prst="rect">
                            <a:avLst/>
                          </a:prstGeom>
                          <a:noFill/>
                          <a:ln>
                            <a:noFill/>
                          </a:ln>
                        </pic:spPr>
                      </pic:pic>
                    </a:graphicData>
                  </a:graphic>
                </wp:anchor>
              </w:drawing>
            </w:r>
          </w:p>
        </w:tc>
      </w:tr>
      <w:tr w14:paraId="4558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3F6DE2B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7F73B3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8D8E8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11.直角三角形:尺寸：40*20*2.5，优质松碳化+水性清漆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E793A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027A2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9B0317F">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B9C7B32">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55920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30480</wp:posOffset>
                  </wp:positionH>
                  <wp:positionV relativeFrom="paragraph">
                    <wp:posOffset>14605</wp:posOffset>
                  </wp:positionV>
                  <wp:extent cx="651510" cy="298450"/>
                  <wp:effectExtent l="0" t="0" r="15240" b="6350"/>
                  <wp:wrapNone/>
                  <wp:docPr id="30" name="图片_4_SpCnt_1"/>
                  <wp:cNvGraphicFramePr/>
                  <a:graphic xmlns:a="http://schemas.openxmlformats.org/drawingml/2006/main">
                    <a:graphicData uri="http://schemas.openxmlformats.org/drawingml/2006/picture">
                      <pic:pic xmlns:pic="http://schemas.openxmlformats.org/drawingml/2006/picture">
                        <pic:nvPicPr>
                          <pic:cNvPr id="30" name="图片_4_SpCnt_1"/>
                          <pic:cNvPicPr/>
                        </pic:nvPicPr>
                        <pic:blipFill>
                          <a:blip r:embed="rId29"/>
                          <a:stretch>
                            <a:fillRect/>
                          </a:stretch>
                        </pic:blipFill>
                        <pic:spPr>
                          <a:xfrm>
                            <a:off x="0" y="0"/>
                            <a:ext cx="651510" cy="298450"/>
                          </a:xfrm>
                          <a:prstGeom prst="rect">
                            <a:avLst/>
                          </a:prstGeom>
                          <a:noFill/>
                          <a:ln>
                            <a:noFill/>
                          </a:ln>
                        </pic:spPr>
                      </pic:pic>
                    </a:graphicData>
                  </a:graphic>
                </wp:anchor>
              </w:drawing>
            </w:r>
          </w:p>
        </w:tc>
      </w:tr>
      <w:tr w14:paraId="69ED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4BA690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253FD38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1107A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12.圆柱积木:尺寸：Φ10*20，优质松碳化+水性清漆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9AAD3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0703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ECEC0E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EA6C1C0">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F830D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34290</wp:posOffset>
                  </wp:positionH>
                  <wp:positionV relativeFrom="paragraph">
                    <wp:posOffset>15240</wp:posOffset>
                  </wp:positionV>
                  <wp:extent cx="635635" cy="322580"/>
                  <wp:effectExtent l="0" t="0" r="12065" b="1270"/>
                  <wp:wrapNone/>
                  <wp:docPr id="31" name="图片_27"/>
                  <wp:cNvGraphicFramePr/>
                  <a:graphic xmlns:a="http://schemas.openxmlformats.org/drawingml/2006/main">
                    <a:graphicData uri="http://schemas.openxmlformats.org/drawingml/2006/picture">
                      <pic:pic xmlns:pic="http://schemas.openxmlformats.org/drawingml/2006/picture">
                        <pic:nvPicPr>
                          <pic:cNvPr id="31" name="图片_27"/>
                          <pic:cNvPicPr/>
                        </pic:nvPicPr>
                        <pic:blipFill>
                          <a:blip r:embed="rId30"/>
                          <a:stretch>
                            <a:fillRect/>
                          </a:stretch>
                        </pic:blipFill>
                        <pic:spPr>
                          <a:xfrm>
                            <a:off x="0" y="0"/>
                            <a:ext cx="635635" cy="322580"/>
                          </a:xfrm>
                          <a:prstGeom prst="rect">
                            <a:avLst/>
                          </a:prstGeom>
                          <a:noFill/>
                          <a:ln>
                            <a:noFill/>
                          </a:ln>
                        </pic:spPr>
                      </pic:pic>
                    </a:graphicData>
                  </a:graphic>
                </wp:anchor>
              </w:drawing>
            </w:r>
          </w:p>
        </w:tc>
      </w:tr>
      <w:tr w14:paraId="3164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72EE5C0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6BBEBC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DEBC7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13.圆柱积木:尺寸：Φ10*40，优质松碳化+水性清漆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5821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1DF4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8E8E46C">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C6091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10A9E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35560</wp:posOffset>
                  </wp:positionH>
                  <wp:positionV relativeFrom="paragraph">
                    <wp:posOffset>74295</wp:posOffset>
                  </wp:positionV>
                  <wp:extent cx="586105" cy="357505"/>
                  <wp:effectExtent l="0" t="0" r="4445" b="4445"/>
                  <wp:wrapNone/>
                  <wp:docPr id="32" name="图片_13"/>
                  <wp:cNvGraphicFramePr/>
                  <a:graphic xmlns:a="http://schemas.openxmlformats.org/drawingml/2006/main">
                    <a:graphicData uri="http://schemas.openxmlformats.org/drawingml/2006/picture">
                      <pic:pic xmlns:pic="http://schemas.openxmlformats.org/drawingml/2006/picture">
                        <pic:nvPicPr>
                          <pic:cNvPr id="32" name="图片_13"/>
                          <pic:cNvPicPr/>
                        </pic:nvPicPr>
                        <pic:blipFill>
                          <a:blip r:embed="rId31"/>
                          <a:stretch>
                            <a:fillRect/>
                          </a:stretch>
                        </pic:blipFill>
                        <pic:spPr>
                          <a:xfrm>
                            <a:off x="0" y="0"/>
                            <a:ext cx="586105" cy="357505"/>
                          </a:xfrm>
                          <a:prstGeom prst="rect">
                            <a:avLst/>
                          </a:prstGeom>
                          <a:noFill/>
                          <a:ln>
                            <a:noFill/>
                          </a:ln>
                        </pic:spPr>
                      </pic:pic>
                    </a:graphicData>
                  </a:graphic>
                </wp:anchor>
              </w:drawing>
            </w:r>
          </w:p>
        </w:tc>
      </w:tr>
      <w:tr w14:paraId="2E70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3EFFC52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40EEA80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9875D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14.圆柱积木:尺寸：Φ5*10，优质松碳化+水性清漆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4F0C0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F30C7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52477B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AB1BD47">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70337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31115</wp:posOffset>
                  </wp:positionH>
                  <wp:positionV relativeFrom="paragraph">
                    <wp:posOffset>140335</wp:posOffset>
                  </wp:positionV>
                  <wp:extent cx="621665" cy="312420"/>
                  <wp:effectExtent l="0" t="0" r="6985" b="11430"/>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32"/>
                          <a:stretch>
                            <a:fillRect/>
                          </a:stretch>
                        </pic:blipFill>
                        <pic:spPr>
                          <a:xfrm>
                            <a:off x="0" y="0"/>
                            <a:ext cx="621665" cy="312420"/>
                          </a:xfrm>
                          <a:prstGeom prst="rect">
                            <a:avLst/>
                          </a:prstGeom>
                          <a:noFill/>
                          <a:ln>
                            <a:noFill/>
                          </a:ln>
                        </pic:spPr>
                      </pic:pic>
                    </a:graphicData>
                  </a:graphic>
                </wp:anchor>
              </w:drawing>
            </w:r>
          </w:p>
        </w:tc>
      </w:tr>
      <w:tr w14:paraId="60F5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461D1F3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35F56A5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828DB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15.圆柱积木:尺寸：Φ5*20，优质松碳化+水性清漆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4F75F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54CD7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AE90116">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77FCF5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063E2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13970</wp:posOffset>
                  </wp:positionH>
                  <wp:positionV relativeFrom="paragraph">
                    <wp:posOffset>142875</wp:posOffset>
                  </wp:positionV>
                  <wp:extent cx="659130" cy="241935"/>
                  <wp:effectExtent l="0" t="0" r="7620" b="5715"/>
                  <wp:wrapNone/>
                  <wp:docPr id="19" name="图片_15"/>
                  <wp:cNvGraphicFramePr/>
                  <a:graphic xmlns:a="http://schemas.openxmlformats.org/drawingml/2006/main">
                    <a:graphicData uri="http://schemas.openxmlformats.org/drawingml/2006/picture">
                      <pic:pic xmlns:pic="http://schemas.openxmlformats.org/drawingml/2006/picture">
                        <pic:nvPicPr>
                          <pic:cNvPr id="19" name="图片_15"/>
                          <pic:cNvPicPr/>
                        </pic:nvPicPr>
                        <pic:blipFill>
                          <a:blip r:embed="rId33"/>
                          <a:stretch>
                            <a:fillRect/>
                          </a:stretch>
                        </pic:blipFill>
                        <pic:spPr>
                          <a:xfrm>
                            <a:off x="0" y="0"/>
                            <a:ext cx="659130" cy="241935"/>
                          </a:xfrm>
                          <a:prstGeom prst="rect">
                            <a:avLst/>
                          </a:prstGeom>
                          <a:noFill/>
                          <a:ln>
                            <a:noFill/>
                          </a:ln>
                        </pic:spPr>
                      </pic:pic>
                    </a:graphicData>
                  </a:graphic>
                </wp:anchor>
              </w:drawing>
            </w:r>
          </w:p>
        </w:tc>
      </w:tr>
      <w:tr w14:paraId="65C7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3889900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3864BD9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17198D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16.圆柱积木:尺寸：Φ5*40，优质松碳化+水性清漆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A3E8B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0F9FD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AF39C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5BE6783">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C859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51435</wp:posOffset>
                  </wp:positionH>
                  <wp:positionV relativeFrom="paragraph">
                    <wp:posOffset>110490</wp:posOffset>
                  </wp:positionV>
                  <wp:extent cx="607060" cy="150495"/>
                  <wp:effectExtent l="0" t="0" r="2540" b="1905"/>
                  <wp:wrapNone/>
                  <wp:docPr id="33" name="图片_16"/>
                  <wp:cNvGraphicFramePr/>
                  <a:graphic xmlns:a="http://schemas.openxmlformats.org/drawingml/2006/main">
                    <a:graphicData uri="http://schemas.openxmlformats.org/drawingml/2006/picture">
                      <pic:pic xmlns:pic="http://schemas.openxmlformats.org/drawingml/2006/picture">
                        <pic:nvPicPr>
                          <pic:cNvPr id="33" name="图片_16"/>
                          <pic:cNvPicPr/>
                        </pic:nvPicPr>
                        <pic:blipFill>
                          <a:blip r:embed="rId34"/>
                          <a:stretch>
                            <a:fillRect/>
                          </a:stretch>
                        </pic:blipFill>
                        <pic:spPr>
                          <a:xfrm>
                            <a:off x="0" y="0"/>
                            <a:ext cx="607060" cy="150495"/>
                          </a:xfrm>
                          <a:prstGeom prst="rect">
                            <a:avLst/>
                          </a:prstGeom>
                          <a:noFill/>
                          <a:ln>
                            <a:noFill/>
                          </a:ln>
                        </pic:spPr>
                      </pic:pic>
                    </a:graphicData>
                  </a:graphic>
                </wp:anchor>
              </w:drawing>
            </w:r>
          </w:p>
        </w:tc>
      </w:tr>
      <w:tr w14:paraId="3117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26D1ACF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68DE40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367957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17.半圆环积木:尺寸：30*15*2.5，优质松碳化+水性清漆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4C6D9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FD545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3B016A3">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6143E1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E5677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40005</wp:posOffset>
                  </wp:positionH>
                  <wp:positionV relativeFrom="paragraph">
                    <wp:posOffset>60960</wp:posOffset>
                  </wp:positionV>
                  <wp:extent cx="610235" cy="315595"/>
                  <wp:effectExtent l="0" t="0" r="18415" b="8255"/>
                  <wp:wrapNone/>
                  <wp:docPr id="21" name="图片_17"/>
                  <wp:cNvGraphicFramePr/>
                  <a:graphic xmlns:a="http://schemas.openxmlformats.org/drawingml/2006/main">
                    <a:graphicData uri="http://schemas.openxmlformats.org/drawingml/2006/picture">
                      <pic:pic xmlns:pic="http://schemas.openxmlformats.org/drawingml/2006/picture">
                        <pic:nvPicPr>
                          <pic:cNvPr id="21" name="图片_17"/>
                          <pic:cNvPicPr/>
                        </pic:nvPicPr>
                        <pic:blipFill>
                          <a:blip r:embed="rId35"/>
                          <a:stretch>
                            <a:fillRect/>
                          </a:stretch>
                        </pic:blipFill>
                        <pic:spPr>
                          <a:xfrm>
                            <a:off x="0" y="0"/>
                            <a:ext cx="610235" cy="315595"/>
                          </a:xfrm>
                          <a:prstGeom prst="rect">
                            <a:avLst/>
                          </a:prstGeom>
                          <a:noFill/>
                          <a:ln>
                            <a:noFill/>
                          </a:ln>
                        </pic:spPr>
                      </pic:pic>
                    </a:graphicData>
                  </a:graphic>
                </wp:anchor>
              </w:drawing>
            </w:r>
          </w:p>
        </w:tc>
      </w:tr>
      <w:tr w14:paraId="27F7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0DF8198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62DD20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FE6596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18.半圆积木:尺寸：15*7.5*2.5，优质松碳化+水性清漆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FF3D5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A37B4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8E246C">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3F2DE03">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2D6F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26670</wp:posOffset>
                  </wp:positionH>
                  <wp:positionV relativeFrom="paragraph">
                    <wp:posOffset>46355</wp:posOffset>
                  </wp:positionV>
                  <wp:extent cx="638810" cy="334010"/>
                  <wp:effectExtent l="0" t="0" r="8890" b="8890"/>
                  <wp:wrapNone/>
                  <wp:docPr id="23" name="图片_18"/>
                  <wp:cNvGraphicFramePr/>
                  <a:graphic xmlns:a="http://schemas.openxmlformats.org/drawingml/2006/main">
                    <a:graphicData uri="http://schemas.openxmlformats.org/drawingml/2006/picture">
                      <pic:pic xmlns:pic="http://schemas.openxmlformats.org/drawingml/2006/picture">
                        <pic:nvPicPr>
                          <pic:cNvPr id="23" name="图片_18"/>
                          <pic:cNvPicPr/>
                        </pic:nvPicPr>
                        <pic:blipFill>
                          <a:blip r:embed="rId36"/>
                          <a:stretch>
                            <a:fillRect/>
                          </a:stretch>
                        </pic:blipFill>
                        <pic:spPr>
                          <a:xfrm>
                            <a:off x="0" y="0"/>
                            <a:ext cx="638810" cy="334010"/>
                          </a:xfrm>
                          <a:prstGeom prst="rect">
                            <a:avLst/>
                          </a:prstGeom>
                          <a:noFill/>
                          <a:ln>
                            <a:noFill/>
                          </a:ln>
                        </pic:spPr>
                      </pic:pic>
                    </a:graphicData>
                  </a:graphic>
                </wp:anchor>
              </w:drawing>
            </w:r>
          </w:p>
        </w:tc>
      </w:tr>
      <w:tr w14:paraId="3598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1F9F4F2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133AE3E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82A63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19.弧形积木:尺寸：40*14*2.5，优质松碳化+水性清漆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7054C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93030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D1F4A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9EDA01F">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9C152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34290</wp:posOffset>
                  </wp:positionH>
                  <wp:positionV relativeFrom="paragraph">
                    <wp:posOffset>67310</wp:posOffset>
                  </wp:positionV>
                  <wp:extent cx="610235" cy="278130"/>
                  <wp:effectExtent l="0" t="0" r="18415" b="7620"/>
                  <wp:wrapNone/>
                  <wp:docPr id="35" name="图片_19"/>
                  <wp:cNvGraphicFramePr/>
                  <a:graphic xmlns:a="http://schemas.openxmlformats.org/drawingml/2006/main">
                    <a:graphicData uri="http://schemas.openxmlformats.org/drawingml/2006/picture">
                      <pic:pic xmlns:pic="http://schemas.openxmlformats.org/drawingml/2006/picture">
                        <pic:nvPicPr>
                          <pic:cNvPr id="35" name="图片_19"/>
                          <pic:cNvPicPr/>
                        </pic:nvPicPr>
                        <pic:blipFill>
                          <a:blip r:embed="rId37"/>
                          <a:stretch>
                            <a:fillRect/>
                          </a:stretch>
                        </pic:blipFill>
                        <pic:spPr>
                          <a:xfrm>
                            <a:off x="0" y="0"/>
                            <a:ext cx="610235" cy="278130"/>
                          </a:xfrm>
                          <a:prstGeom prst="rect">
                            <a:avLst/>
                          </a:prstGeom>
                          <a:noFill/>
                          <a:ln>
                            <a:noFill/>
                          </a:ln>
                        </pic:spPr>
                      </pic:pic>
                    </a:graphicData>
                  </a:graphic>
                </wp:anchor>
              </w:drawing>
            </w:r>
          </w:p>
        </w:tc>
      </w:tr>
      <w:tr w14:paraId="5C10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3690DAE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4466FE2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D371C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20.扇形积木:尺寸：半径为20cm，优质松碳化+水性清漆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96AF2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1FBBF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A4BBFE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923CFAC">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FE4A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127635</wp:posOffset>
                  </wp:positionH>
                  <wp:positionV relativeFrom="paragraph">
                    <wp:posOffset>26035</wp:posOffset>
                  </wp:positionV>
                  <wp:extent cx="462915" cy="417830"/>
                  <wp:effectExtent l="0" t="0" r="13335" b="1270"/>
                  <wp:wrapNone/>
                  <wp:docPr id="38" name="图片_20"/>
                  <wp:cNvGraphicFramePr/>
                  <a:graphic xmlns:a="http://schemas.openxmlformats.org/drawingml/2006/main">
                    <a:graphicData uri="http://schemas.openxmlformats.org/drawingml/2006/picture">
                      <pic:pic xmlns:pic="http://schemas.openxmlformats.org/drawingml/2006/picture">
                        <pic:nvPicPr>
                          <pic:cNvPr id="38" name="图片_20"/>
                          <pic:cNvPicPr/>
                        </pic:nvPicPr>
                        <pic:blipFill>
                          <a:blip r:embed="rId38"/>
                          <a:stretch>
                            <a:fillRect/>
                          </a:stretch>
                        </pic:blipFill>
                        <pic:spPr>
                          <a:xfrm>
                            <a:off x="0" y="0"/>
                            <a:ext cx="462915" cy="417830"/>
                          </a:xfrm>
                          <a:prstGeom prst="rect">
                            <a:avLst/>
                          </a:prstGeom>
                          <a:noFill/>
                          <a:ln>
                            <a:noFill/>
                          </a:ln>
                        </pic:spPr>
                      </pic:pic>
                    </a:graphicData>
                  </a:graphic>
                </wp:anchor>
              </w:drawing>
            </w:r>
          </w:p>
        </w:tc>
      </w:tr>
      <w:tr w14:paraId="1ADC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35DCA58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0D21340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202C76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21.Y型:尺寸：40*30*2.5，优质松碳化+水性清漆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761D2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21F38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613FD16">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E68D879">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1ED0A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22225</wp:posOffset>
                  </wp:positionH>
                  <wp:positionV relativeFrom="paragraph">
                    <wp:posOffset>28575</wp:posOffset>
                  </wp:positionV>
                  <wp:extent cx="617855" cy="417195"/>
                  <wp:effectExtent l="0" t="0" r="10795" b="1905"/>
                  <wp:wrapNone/>
                  <wp:docPr id="39" name="图片_21"/>
                  <wp:cNvGraphicFramePr/>
                  <a:graphic xmlns:a="http://schemas.openxmlformats.org/drawingml/2006/main">
                    <a:graphicData uri="http://schemas.openxmlformats.org/drawingml/2006/picture">
                      <pic:pic xmlns:pic="http://schemas.openxmlformats.org/drawingml/2006/picture">
                        <pic:nvPicPr>
                          <pic:cNvPr id="39" name="图片_21"/>
                          <pic:cNvPicPr/>
                        </pic:nvPicPr>
                        <pic:blipFill>
                          <a:blip r:embed="rId39"/>
                          <a:stretch>
                            <a:fillRect/>
                          </a:stretch>
                        </pic:blipFill>
                        <pic:spPr>
                          <a:xfrm>
                            <a:off x="0" y="0"/>
                            <a:ext cx="617855" cy="417195"/>
                          </a:xfrm>
                          <a:prstGeom prst="rect">
                            <a:avLst/>
                          </a:prstGeom>
                          <a:noFill/>
                          <a:ln>
                            <a:noFill/>
                          </a:ln>
                        </pic:spPr>
                      </pic:pic>
                    </a:graphicData>
                  </a:graphic>
                </wp:anchor>
              </w:drawing>
            </w:r>
          </w:p>
        </w:tc>
      </w:tr>
      <w:tr w14:paraId="0653E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2EF11B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0690CF5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4518F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22.三叉路:尺寸：40*30*2.5，优质松碳化+水性清漆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B6B5A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55408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3F03D7F">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1ECCD00">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311F4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51435</wp:posOffset>
                  </wp:positionH>
                  <wp:positionV relativeFrom="paragraph">
                    <wp:posOffset>70485</wp:posOffset>
                  </wp:positionV>
                  <wp:extent cx="612775" cy="357505"/>
                  <wp:effectExtent l="0" t="0" r="15875" b="4445"/>
                  <wp:wrapNone/>
                  <wp:docPr id="9" name="图片_22"/>
                  <wp:cNvGraphicFramePr/>
                  <a:graphic xmlns:a="http://schemas.openxmlformats.org/drawingml/2006/main">
                    <a:graphicData uri="http://schemas.openxmlformats.org/drawingml/2006/picture">
                      <pic:pic xmlns:pic="http://schemas.openxmlformats.org/drawingml/2006/picture">
                        <pic:nvPicPr>
                          <pic:cNvPr id="9" name="图片_22"/>
                          <pic:cNvPicPr/>
                        </pic:nvPicPr>
                        <pic:blipFill>
                          <a:blip r:embed="rId40"/>
                          <a:stretch>
                            <a:fillRect/>
                          </a:stretch>
                        </pic:blipFill>
                        <pic:spPr>
                          <a:xfrm>
                            <a:off x="0" y="0"/>
                            <a:ext cx="612775" cy="357505"/>
                          </a:xfrm>
                          <a:prstGeom prst="rect">
                            <a:avLst/>
                          </a:prstGeom>
                          <a:noFill/>
                          <a:ln>
                            <a:noFill/>
                          </a:ln>
                        </pic:spPr>
                      </pic:pic>
                    </a:graphicData>
                  </a:graphic>
                </wp:anchor>
              </w:drawing>
            </w:r>
          </w:p>
        </w:tc>
      </w:tr>
      <w:tr w14:paraId="24D3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1BFEBA1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2F3938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693D67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23.锥形:尺寸：10*10*15，优质松碳化+水性清漆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6D3EB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8B0CF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F3E87E1">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C757F05">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616A1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148590</wp:posOffset>
                  </wp:positionH>
                  <wp:positionV relativeFrom="paragraph">
                    <wp:posOffset>27940</wp:posOffset>
                  </wp:positionV>
                  <wp:extent cx="298450" cy="363855"/>
                  <wp:effectExtent l="0" t="0" r="6350" b="17145"/>
                  <wp:wrapNone/>
                  <wp:docPr id="10" name="图片_23"/>
                  <wp:cNvGraphicFramePr/>
                  <a:graphic xmlns:a="http://schemas.openxmlformats.org/drawingml/2006/main">
                    <a:graphicData uri="http://schemas.openxmlformats.org/drawingml/2006/picture">
                      <pic:pic xmlns:pic="http://schemas.openxmlformats.org/drawingml/2006/picture">
                        <pic:nvPicPr>
                          <pic:cNvPr id="10" name="图片_23"/>
                          <pic:cNvPicPr/>
                        </pic:nvPicPr>
                        <pic:blipFill>
                          <a:blip r:embed="rId41"/>
                          <a:stretch>
                            <a:fillRect/>
                          </a:stretch>
                        </pic:blipFill>
                        <pic:spPr>
                          <a:xfrm>
                            <a:off x="0" y="0"/>
                            <a:ext cx="298450" cy="363855"/>
                          </a:xfrm>
                          <a:prstGeom prst="rect">
                            <a:avLst/>
                          </a:prstGeom>
                          <a:noFill/>
                          <a:ln>
                            <a:noFill/>
                          </a:ln>
                        </pic:spPr>
                      </pic:pic>
                    </a:graphicData>
                  </a:graphic>
                </wp:anchor>
              </w:drawing>
            </w:r>
          </w:p>
        </w:tc>
      </w:tr>
      <w:tr w14:paraId="07FE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06C75E3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10276D9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7FB7BC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24.推车:尺寸：59*48*56，优质松碳化+水性清漆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84C71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7B0D9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F8DD27F">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DFFF6B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60C05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83185</wp:posOffset>
                  </wp:positionH>
                  <wp:positionV relativeFrom="paragraph">
                    <wp:posOffset>72390</wp:posOffset>
                  </wp:positionV>
                  <wp:extent cx="533400" cy="358775"/>
                  <wp:effectExtent l="0" t="0" r="0" b="3175"/>
                  <wp:wrapNone/>
                  <wp:docPr id="20" name="图片_24"/>
                  <wp:cNvGraphicFramePr/>
                  <a:graphic xmlns:a="http://schemas.openxmlformats.org/drawingml/2006/main">
                    <a:graphicData uri="http://schemas.openxmlformats.org/drawingml/2006/picture">
                      <pic:pic xmlns:pic="http://schemas.openxmlformats.org/drawingml/2006/picture">
                        <pic:nvPicPr>
                          <pic:cNvPr id="20" name="图片_24"/>
                          <pic:cNvPicPr/>
                        </pic:nvPicPr>
                        <pic:blipFill>
                          <a:blip r:embed="rId42"/>
                          <a:stretch>
                            <a:fillRect/>
                          </a:stretch>
                        </pic:blipFill>
                        <pic:spPr>
                          <a:xfrm>
                            <a:off x="0" y="0"/>
                            <a:ext cx="533400" cy="358775"/>
                          </a:xfrm>
                          <a:prstGeom prst="rect">
                            <a:avLst/>
                          </a:prstGeom>
                          <a:noFill/>
                          <a:ln>
                            <a:noFill/>
                          </a:ln>
                        </pic:spPr>
                      </pic:pic>
                    </a:graphicData>
                  </a:graphic>
                </wp:anchor>
              </w:drawing>
            </w:r>
          </w:p>
        </w:tc>
      </w:tr>
      <w:tr w14:paraId="296D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1D09D0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ign w:val="center"/>
          </w:tcPr>
          <w:p w14:paraId="153D5EE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51EAD8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25一字梯:尺寸：150*50*5，优质松碳化+水性清漆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01242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68FC9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A144028">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2F7873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D57B4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59690</wp:posOffset>
                  </wp:positionH>
                  <wp:positionV relativeFrom="paragraph">
                    <wp:posOffset>107950</wp:posOffset>
                  </wp:positionV>
                  <wp:extent cx="582295" cy="203835"/>
                  <wp:effectExtent l="0" t="0" r="8255" b="5715"/>
                  <wp:wrapNone/>
                  <wp:docPr id="57" name="Picture_4"/>
                  <wp:cNvGraphicFramePr/>
                  <a:graphic xmlns:a="http://schemas.openxmlformats.org/drawingml/2006/main">
                    <a:graphicData uri="http://schemas.openxmlformats.org/drawingml/2006/picture">
                      <pic:pic xmlns:pic="http://schemas.openxmlformats.org/drawingml/2006/picture">
                        <pic:nvPicPr>
                          <pic:cNvPr id="57" name="Picture_4"/>
                          <pic:cNvPicPr/>
                        </pic:nvPicPr>
                        <pic:blipFill>
                          <a:blip r:embed="rId43"/>
                          <a:stretch>
                            <a:fillRect/>
                          </a:stretch>
                        </pic:blipFill>
                        <pic:spPr>
                          <a:xfrm>
                            <a:off x="0" y="0"/>
                            <a:ext cx="582295" cy="203835"/>
                          </a:xfrm>
                          <a:prstGeom prst="rect">
                            <a:avLst/>
                          </a:prstGeom>
                          <a:noFill/>
                          <a:ln>
                            <a:noFill/>
                          </a:ln>
                        </pic:spPr>
                      </pic:pic>
                    </a:graphicData>
                  </a:graphic>
                </wp:anchor>
              </w:drawing>
            </w:r>
          </w:p>
        </w:tc>
      </w:tr>
      <w:tr w14:paraId="540D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9"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7413BA1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55</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777679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户外游戏材料包</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4E7DB5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细参数：平衡推车3辆，彩虹伞1个，过河石1套，花生球3个，按摩球3个，彩虹通道2套，触觉平衡板1套，高跷20套，彩虹桥套装2个，充气棒4个，爬爬垫套装爬爬垫1套，爬爬垫套装束口袋1个，揪尾巴6套，投掷套装投掷套装·木质类1套，沙包24个，投掷套装束口袋1个，套圈游戏·木质类1套，九宫格1套</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套圈12个，套圈游戏束口袋1个，平衡杠套装2套，万象组合单元筒12个，单元砖6块，平衡桥3块，多功能连接器3个8个，5种尺寸体能棒28根，,5种尺寸体能环20个，体能条16根，手脚印5对，打气筒1个，坐位体前屈测试仪1套，网球8个，立定跳远垫1个</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产品资质及服务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（1）供货时需提供依据GB6675-2014产品检验报告以及相关环保检验报告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（2）供货商安装调试完提供详细的活动实施方案，能够帮助教师对幼儿操作进行指导和观察。</w:t>
            </w:r>
          </w:p>
        </w:tc>
        <w:tc>
          <w:tcPr>
            <w:tcW w:w="615" w:type="dxa"/>
            <w:tcBorders>
              <w:top w:val="single" w:color="000000" w:sz="4" w:space="0"/>
              <w:left w:val="single" w:color="000000" w:sz="4" w:space="0"/>
              <w:bottom w:val="nil"/>
              <w:right w:val="single" w:color="000000" w:sz="4" w:space="0"/>
            </w:tcBorders>
            <w:noWrap/>
            <w:vAlign w:val="center"/>
          </w:tcPr>
          <w:p w14:paraId="26C8F3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392E5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2C3E69">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E8AB68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D3323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55245</wp:posOffset>
                  </wp:positionH>
                  <wp:positionV relativeFrom="paragraph">
                    <wp:posOffset>29845</wp:posOffset>
                  </wp:positionV>
                  <wp:extent cx="593725" cy="1375410"/>
                  <wp:effectExtent l="0" t="0" r="15875" b="15240"/>
                  <wp:wrapNone/>
                  <wp:docPr id="25" name="图片_2"/>
                  <wp:cNvGraphicFramePr/>
                  <a:graphic xmlns:a="http://schemas.openxmlformats.org/drawingml/2006/main">
                    <a:graphicData uri="http://schemas.openxmlformats.org/drawingml/2006/picture">
                      <pic:pic xmlns:pic="http://schemas.openxmlformats.org/drawingml/2006/picture">
                        <pic:nvPicPr>
                          <pic:cNvPr id="25" name="图片_2"/>
                          <pic:cNvPicPr/>
                        </pic:nvPicPr>
                        <pic:blipFill>
                          <a:blip r:embed="rId44"/>
                          <a:stretch>
                            <a:fillRect/>
                          </a:stretch>
                        </pic:blipFill>
                        <pic:spPr>
                          <a:xfrm>
                            <a:off x="0" y="0"/>
                            <a:ext cx="593725" cy="1375410"/>
                          </a:xfrm>
                          <a:prstGeom prst="rect">
                            <a:avLst/>
                          </a:prstGeom>
                          <a:noFill/>
                          <a:ln>
                            <a:noFill/>
                          </a:ln>
                        </pic:spPr>
                      </pic:pic>
                    </a:graphicData>
                  </a:graphic>
                </wp:anchor>
              </w:drawing>
            </w:r>
          </w:p>
        </w:tc>
      </w:tr>
      <w:tr w14:paraId="5185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9"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14:paraId="205A752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56</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0C6E3D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户外游戏材料包</w:t>
            </w:r>
          </w:p>
        </w:tc>
        <w:tc>
          <w:tcPr>
            <w:tcW w:w="4326" w:type="dxa"/>
            <w:tcBorders>
              <w:top w:val="single" w:color="000000" w:sz="4" w:space="0"/>
              <w:left w:val="single" w:color="000000" w:sz="4" w:space="0"/>
              <w:bottom w:val="single" w:color="000000" w:sz="4" w:space="0"/>
              <w:right w:val="single" w:color="000000" w:sz="4" w:space="0"/>
            </w:tcBorders>
            <w:noWrap w:val="0"/>
            <w:vAlign w:val="center"/>
          </w:tcPr>
          <w:p w14:paraId="032515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细参数：滑板车6个，跳袋6个，跳绳6个，幼儿篮球6个，巨人脚步4套，小鸡快跳套装小鸡快跳·骰子1个，小鸡快跳·布类1套，小鸡快跳·投掷卡1套，小鸡快跳·路径卡1套，扣环1个，束口袋1个，平衡车2辆，兔子舞套装6套，套圈18个，乒乓球2袋，运送杯套装运送杯12套，乒乓球6袋，储球箱6个，高跷石6套，花瓣鼓套装花瓣鼓2套，橡筋球4个，弹力球4套，动作对对碰套装动作对对碰·转盘1套，动作对对碰·木墩1套，动作对对碰·游戏卡1套，万象组合单元筒12个，单元砖6块，平衡桥3块，多功能连接器3个，功能夹8根，5种尺寸体能棒28根，5种尺寸形状体能环20个，体能条16根，手脚印5对篮球架1套，捡球器1个1个，打气筒1个，收纳箱1个，坐位体前屈测试仪1套1套，网球8个，立定跳远垫1个</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产品资质及服务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（1）供货时需提供依据GB6675-2014产品检验报告以及相关环保检验报告</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（2）供货商安装调试完提供详细的活动实施方案，能够帮助教师对幼儿操作进行指导和观察。</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44247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E07C5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C50A2F3">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8683FC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EB568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54610</wp:posOffset>
                  </wp:positionH>
                  <wp:positionV relativeFrom="paragraph">
                    <wp:posOffset>47625</wp:posOffset>
                  </wp:positionV>
                  <wp:extent cx="585470" cy="1485265"/>
                  <wp:effectExtent l="0" t="0" r="5080" b="635"/>
                  <wp:wrapNone/>
                  <wp:docPr id="48" name="图片_3_SpCnt_1"/>
                  <wp:cNvGraphicFramePr/>
                  <a:graphic xmlns:a="http://schemas.openxmlformats.org/drawingml/2006/main">
                    <a:graphicData uri="http://schemas.openxmlformats.org/drawingml/2006/picture">
                      <pic:pic xmlns:pic="http://schemas.openxmlformats.org/drawingml/2006/picture">
                        <pic:nvPicPr>
                          <pic:cNvPr id="48" name="图片_3_SpCnt_1"/>
                          <pic:cNvPicPr/>
                        </pic:nvPicPr>
                        <pic:blipFill>
                          <a:blip r:embed="rId45"/>
                          <a:stretch>
                            <a:fillRect/>
                          </a:stretch>
                        </pic:blipFill>
                        <pic:spPr>
                          <a:xfrm>
                            <a:off x="0" y="0"/>
                            <a:ext cx="585470" cy="1485265"/>
                          </a:xfrm>
                          <a:prstGeom prst="rect">
                            <a:avLst/>
                          </a:prstGeom>
                          <a:noFill/>
                          <a:ln>
                            <a:noFill/>
                          </a:ln>
                        </pic:spPr>
                      </pic:pic>
                    </a:graphicData>
                  </a:graphic>
                </wp:anchor>
              </w:drawing>
            </w:r>
          </w:p>
        </w:tc>
      </w:tr>
      <w:tr w14:paraId="19F3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14:paraId="12720AE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57</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9CF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大型木质积木</w:t>
            </w: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6290A4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1.正方形:尺寸：10*10*5，材料及工艺：优质松碳化+水性清漆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8F1C9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40F20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1608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17016B2">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F131EF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5539A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47625</wp:posOffset>
                  </wp:positionH>
                  <wp:positionV relativeFrom="paragraph">
                    <wp:posOffset>76200</wp:posOffset>
                  </wp:positionV>
                  <wp:extent cx="612140" cy="448945"/>
                  <wp:effectExtent l="0" t="0" r="16510" b="8255"/>
                  <wp:wrapNone/>
                  <wp:docPr id="54" name="图片_4_SpCnt_2"/>
                  <wp:cNvGraphicFramePr/>
                  <a:graphic xmlns:a="http://schemas.openxmlformats.org/drawingml/2006/main">
                    <a:graphicData uri="http://schemas.openxmlformats.org/drawingml/2006/picture">
                      <pic:pic xmlns:pic="http://schemas.openxmlformats.org/drawingml/2006/picture">
                        <pic:nvPicPr>
                          <pic:cNvPr id="54" name="图片_4_SpCnt_2"/>
                          <pic:cNvPicPr/>
                        </pic:nvPicPr>
                        <pic:blipFill>
                          <a:blip r:embed="rId46"/>
                          <a:stretch>
                            <a:fillRect/>
                          </a:stretch>
                        </pic:blipFill>
                        <pic:spPr>
                          <a:xfrm>
                            <a:off x="0" y="0"/>
                            <a:ext cx="612140" cy="4489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107950</wp:posOffset>
                  </wp:positionH>
                  <wp:positionV relativeFrom="paragraph">
                    <wp:posOffset>102235</wp:posOffset>
                  </wp:positionV>
                  <wp:extent cx="466090" cy="417830"/>
                  <wp:effectExtent l="0" t="0" r="10160" b="1270"/>
                  <wp:wrapNone/>
                  <wp:docPr id="58" name="图片_26"/>
                  <wp:cNvGraphicFramePr/>
                  <a:graphic xmlns:a="http://schemas.openxmlformats.org/drawingml/2006/main">
                    <a:graphicData uri="http://schemas.openxmlformats.org/drawingml/2006/picture">
                      <pic:pic xmlns:pic="http://schemas.openxmlformats.org/drawingml/2006/picture">
                        <pic:nvPicPr>
                          <pic:cNvPr id="58" name="图片_26"/>
                          <pic:cNvPicPr/>
                        </pic:nvPicPr>
                        <pic:blipFill>
                          <a:blip r:embed="rId47"/>
                          <a:stretch>
                            <a:fillRect/>
                          </a:stretch>
                        </pic:blipFill>
                        <pic:spPr>
                          <a:xfrm>
                            <a:off x="0" y="0"/>
                            <a:ext cx="466090" cy="417830"/>
                          </a:xfrm>
                          <a:prstGeom prst="rect">
                            <a:avLst/>
                          </a:prstGeom>
                          <a:noFill/>
                          <a:ln>
                            <a:noFill/>
                          </a:ln>
                        </pic:spPr>
                      </pic:pic>
                    </a:graphicData>
                  </a:graphic>
                </wp:anchor>
              </w:drawing>
            </w:r>
          </w:p>
        </w:tc>
      </w:tr>
      <w:tr w14:paraId="5A67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1C832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81F0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46C85A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2.正方形:尺寸：10*10*2.5，材料及工艺：优质松碳化+水性清漆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56BC2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E445A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1400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A5FBC2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7F1121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9CEC1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68580</wp:posOffset>
                  </wp:positionH>
                  <wp:positionV relativeFrom="paragraph">
                    <wp:posOffset>60960</wp:posOffset>
                  </wp:positionV>
                  <wp:extent cx="466090" cy="436245"/>
                  <wp:effectExtent l="0" t="0" r="10160" b="1905"/>
                  <wp:wrapNone/>
                  <wp:docPr id="59" name="图片_27_SpCnt_1"/>
                  <wp:cNvGraphicFramePr/>
                  <a:graphic xmlns:a="http://schemas.openxmlformats.org/drawingml/2006/main">
                    <a:graphicData uri="http://schemas.openxmlformats.org/drawingml/2006/picture">
                      <pic:pic xmlns:pic="http://schemas.openxmlformats.org/drawingml/2006/picture">
                        <pic:nvPicPr>
                          <pic:cNvPr id="59" name="图片_27_SpCnt_1"/>
                          <pic:cNvPicPr/>
                        </pic:nvPicPr>
                        <pic:blipFill>
                          <a:blip r:embed="rId48"/>
                          <a:stretch>
                            <a:fillRect/>
                          </a:stretch>
                        </pic:blipFill>
                        <pic:spPr>
                          <a:xfrm>
                            <a:off x="0" y="0"/>
                            <a:ext cx="466090" cy="436245"/>
                          </a:xfrm>
                          <a:prstGeom prst="rect">
                            <a:avLst/>
                          </a:prstGeom>
                          <a:noFill/>
                          <a:ln>
                            <a:noFill/>
                          </a:ln>
                        </pic:spPr>
                      </pic:pic>
                    </a:graphicData>
                  </a:graphic>
                </wp:anchor>
              </w:drawing>
            </w:r>
          </w:p>
        </w:tc>
      </w:tr>
      <w:tr w14:paraId="6B84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1B8CB9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9CB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72A72C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3.长方形:尺寸：20*10*5，材料及工艺：优质松碳化+水性清漆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6F881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1091D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900F6E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3EF7A3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F8C72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23495</wp:posOffset>
                  </wp:positionH>
                  <wp:positionV relativeFrom="paragraph">
                    <wp:posOffset>92710</wp:posOffset>
                  </wp:positionV>
                  <wp:extent cx="599440" cy="328930"/>
                  <wp:effectExtent l="0" t="0" r="10160" b="13970"/>
                  <wp:wrapNone/>
                  <wp:docPr id="60" name="图片_28"/>
                  <wp:cNvGraphicFramePr/>
                  <a:graphic xmlns:a="http://schemas.openxmlformats.org/drawingml/2006/main">
                    <a:graphicData uri="http://schemas.openxmlformats.org/drawingml/2006/picture">
                      <pic:pic xmlns:pic="http://schemas.openxmlformats.org/drawingml/2006/picture">
                        <pic:nvPicPr>
                          <pic:cNvPr id="60" name="图片_28"/>
                          <pic:cNvPicPr/>
                        </pic:nvPicPr>
                        <pic:blipFill>
                          <a:blip r:embed="rId22"/>
                          <a:stretch>
                            <a:fillRect/>
                          </a:stretch>
                        </pic:blipFill>
                        <pic:spPr>
                          <a:xfrm>
                            <a:off x="0" y="0"/>
                            <a:ext cx="599440" cy="328930"/>
                          </a:xfrm>
                          <a:prstGeom prst="rect">
                            <a:avLst/>
                          </a:prstGeom>
                          <a:noFill/>
                          <a:ln>
                            <a:noFill/>
                          </a:ln>
                        </pic:spPr>
                      </pic:pic>
                    </a:graphicData>
                  </a:graphic>
                </wp:anchor>
              </w:drawing>
            </w:r>
          </w:p>
        </w:tc>
      </w:tr>
      <w:tr w14:paraId="43D4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7D27D4D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FC38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65A8D4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4.长方形:尺寸：20*10*2.5，材料及工艺：优质松碳化+水性清漆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07695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C85AF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20CD79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D28044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7300A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58420</wp:posOffset>
                  </wp:positionH>
                  <wp:positionV relativeFrom="paragraph">
                    <wp:posOffset>112395</wp:posOffset>
                  </wp:positionV>
                  <wp:extent cx="575945" cy="279400"/>
                  <wp:effectExtent l="0" t="0" r="14605" b="6350"/>
                  <wp:wrapNone/>
                  <wp:docPr id="53" name="图片_29"/>
                  <wp:cNvGraphicFramePr/>
                  <a:graphic xmlns:a="http://schemas.openxmlformats.org/drawingml/2006/main">
                    <a:graphicData uri="http://schemas.openxmlformats.org/drawingml/2006/picture">
                      <pic:pic xmlns:pic="http://schemas.openxmlformats.org/drawingml/2006/picture">
                        <pic:nvPicPr>
                          <pic:cNvPr id="53" name="图片_29"/>
                          <pic:cNvPicPr/>
                        </pic:nvPicPr>
                        <pic:blipFill>
                          <a:blip r:embed="rId49"/>
                          <a:stretch>
                            <a:fillRect/>
                          </a:stretch>
                        </pic:blipFill>
                        <pic:spPr>
                          <a:xfrm>
                            <a:off x="0" y="0"/>
                            <a:ext cx="575945" cy="279400"/>
                          </a:xfrm>
                          <a:prstGeom prst="rect">
                            <a:avLst/>
                          </a:prstGeom>
                          <a:noFill/>
                          <a:ln>
                            <a:noFill/>
                          </a:ln>
                        </pic:spPr>
                      </pic:pic>
                    </a:graphicData>
                  </a:graphic>
                </wp:anchor>
              </w:drawing>
            </w:r>
          </w:p>
        </w:tc>
      </w:tr>
      <w:tr w14:paraId="5E2F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3B2A0B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6CC5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4B69C62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5.长方形:尺寸：40*10*2.5，材料及工艺：优质松碳化+水性清漆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BC5A9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DC622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ABFCCA">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64C2F6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D42AF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50165</wp:posOffset>
                  </wp:positionH>
                  <wp:positionV relativeFrom="paragraph">
                    <wp:posOffset>41275</wp:posOffset>
                  </wp:positionV>
                  <wp:extent cx="588010" cy="247015"/>
                  <wp:effectExtent l="0" t="0" r="2540" b="635"/>
                  <wp:wrapNone/>
                  <wp:docPr id="64" name="图片_30"/>
                  <wp:cNvGraphicFramePr/>
                  <a:graphic xmlns:a="http://schemas.openxmlformats.org/drawingml/2006/main">
                    <a:graphicData uri="http://schemas.openxmlformats.org/drawingml/2006/picture">
                      <pic:pic xmlns:pic="http://schemas.openxmlformats.org/drawingml/2006/picture">
                        <pic:nvPicPr>
                          <pic:cNvPr id="64" name="图片_30"/>
                          <pic:cNvPicPr/>
                        </pic:nvPicPr>
                        <pic:blipFill>
                          <a:blip r:embed="rId50"/>
                          <a:stretch>
                            <a:fillRect/>
                          </a:stretch>
                        </pic:blipFill>
                        <pic:spPr>
                          <a:xfrm>
                            <a:off x="0" y="0"/>
                            <a:ext cx="588010" cy="247015"/>
                          </a:xfrm>
                          <a:prstGeom prst="rect">
                            <a:avLst/>
                          </a:prstGeom>
                          <a:noFill/>
                          <a:ln>
                            <a:noFill/>
                          </a:ln>
                        </pic:spPr>
                      </pic:pic>
                    </a:graphicData>
                  </a:graphic>
                </wp:anchor>
              </w:drawing>
            </w:r>
          </w:p>
        </w:tc>
      </w:tr>
      <w:tr w14:paraId="7061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76A906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F8D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38CD96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6.长方形:尺寸：60*10*2.5，材料及工艺：优质松碳化+水性清漆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11CD3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94FA9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7153929">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7F593F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5E2A6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6985</wp:posOffset>
                  </wp:positionH>
                  <wp:positionV relativeFrom="paragraph">
                    <wp:posOffset>78740</wp:posOffset>
                  </wp:positionV>
                  <wp:extent cx="641350" cy="201930"/>
                  <wp:effectExtent l="0" t="0" r="6350" b="7620"/>
                  <wp:wrapNone/>
                  <wp:docPr id="61" name="图片_31"/>
                  <wp:cNvGraphicFramePr/>
                  <a:graphic xmlns:a="http://schemas.openxmlformats.org/drawingml/2006/main">
                    <a:graphicData uri="http://schemas.openxmlformats.org/drawingml/2006/picture">
                      <pic:pic xmlns:pic="http://schemas.openxmlformats.org/drawingml/2006/picture">
                        <pic:nvPicPr>
                          <pic:cNvPr id="61" name="图片_31"/>
                          <pic:cNvPicPr/>
                        </pic:nvPicPr>
                        <pic:blipFill>
                          <a:blip r:embed="rId51"/>
                          <a:stretch>
                            <a:fillRect/>
                          </a:stretch>
                        </pic:blipFill>
                        <pic:spPr>
                          <a:xfrm>
                            <a:off x="0" y="0"/>
                            <a:ext cx="641350" cy="201930"/>
                          </a:xfrm>
                          <a:prstGeom prst="rect">
                            <a:avLst/>
                          </a:prstGeom>
                          <a:noFill/>
                          <a:ln>
                            <a:noFill/>
                          </a:ln>
                        </pic:spPr>
                      </pic:pic>
                    </a:graphicData>
                  </a:graphic>
                </wp:anchor>
              </w:drawing>
            </w:r>
          </w:p>
        </w:tc>
      </w:tr>
      <w:tr w14:paraId="7B8F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24DBF87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B89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3C4A5ED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7.长方形（开槽）:尺寸：60*10*2.5，材料及工艺：优质松碳化+水性清漆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D54BF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9930F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9CF7B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0BFB38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905D9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44450</wp:posOffset>
                  </wp:positionH>
                  <wp:positionV relativeFrom="paragraph">
                    <wp:posOffset>120015</wp:posOffset>
                  </wp:positionV>
                  <wp:extent cx="624205" cy="195580"/>
                  <wp:effectExtent l="0" t="0" r="4445" b="13970"/>
                  <wp:wrapNone/>
                  <wp:docPr id="45" name="图片_45"/>
                  <wp:cNvGraphicFramePr/>
                  <a:graphic xmlns:a="http://schemas.openxmlformats.org/drawingml/2006/main">
                    <a:graphicData uri="http://schemas.openxmlformats.org/drawingml/2006/picture">
                      <pic:pic xmlns:pic="http://schemas.openxmlformats.org/drawingml/2006/picture">
                        <pic:nvPicPr>
                          <pic:cNvPr id="45" name="图片_45"/>
                          <pic:cNvPicPr/>
                        </pic:nvPicPr>
                        <pic:blipFill>
                          <a:blip r:embed="rId52"/>
                          <a:stretch>
                            <a:fillRect/>
                          </a:stretch>
                        </pic:blipFill>
                        <pic:spPr>
                          <a:xfrm>
                            <a:off x="0" y="0"/>
                            <a:ext cx="624205" cy="195580"/>
                          </a:xfrm>
                          <a:prstGeom prst="rect">
                            <a:avLst/>
                          </a:prstGeom>
                          <a:noFill/>
                          <a:ln>
                            <a:noFill/>
                          </a:ln>
                        </pic:spPr>
                      </pic:pic>
                    </a:graphicData>
                  </a:graphic>
                </wp:anchor>
              </w:drawing>
            </w:r>
          </w:p>
        </w:tc>
      </w:tr>
      <w:tr w14:paraId="292D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A4DDAF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8F7E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52511C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8.长方形:尺寸：80*10*2.5，材料及工艺：优质松碳化+水性清漆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56669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26B92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92911C9">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B6C4B6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47E53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32385</wp:posOffset>
                  </wp:positionH>
                  <wp:positionV relativeFrom="paragraph">
                    <wp:posOffset>122555</wp:posOffset>
                  </wp:positionV>
                  <wp:extent cx="655955" cy="170180"/>
                  <wp:effectExtent l="0" t="0" r="10795" b="1270"/>
                  <wp:wrapNone/>
                  <wp:docPr id="51" name="图片_32"/>
                  <wp:cNvGraphicFramePr/>
                  <a:graphic xmlns:a="http://schemas.openxmlformats.org/drawingml/2006/main">
                    <a:graphicData uri="http://schemas.openxmlformats.org/drawingml/2006/picture">
                      <pic:pic xmlns:pic="http://schemas.openxmlformats.org/drawingml/2006/picture">
                        <pic:nvPicPr>
                          <pic:cNvPr id="51" name="图片_32"/>
                          <pic:cNvPicPr/>
                        </pic:nvPicPr>
                        <pic:blipFill>
                          <a:blip r:embed="rId53"/>
                          <a:stretch>
                            <a:fillRect/>
                          </a:stretch>
                        </pic:blipFill>
                        <pic:spPr>
                          <a:xfrm>
                            <a:off x="0" y="0"/>
                            <a:ext cx="655955" cy="170180"/>
                          </a:xfrm>
                          <a:prstGeom prst="rect">
                            <a:avLst/>
                          </a:prstGeom>
                          <a:noFill/>
                          <a:ln>
                            <a:noFill/>
                          </a:ln>
                        </pic:spPr>
                      </pic:pic>
                    </a:graphicData>
                  </a:graphic>
                </wp:anchor>
              </w:drawing>
            </w:r>
          </w:p>
        </w:tc>
      </w:tr>
      <w:tr w14:paraId="3A59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1AF9FD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890D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36E728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9.三角形:尺寸：39*20*2.5，材料及工艺：优质松碳化+水性清漆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D1C7B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8B6C9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D46D6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5B7FFF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D1299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45085</wp:posOffset>
                  </wp:positionH>
                  <wp:positionV relativeFrom="paragraph">
                    <wp:posOffset>147955</wp:posOffset>
                  </wp:positionV>
                  <wp:extent cx="610235" cy="286385"/>
                  <wp:effectExtent l="0" t="0" r="18415" b="18415"/>
                  <wp:wrapNone/>
                  <wp:docPr id="49" name="图片_33"/>
                  <wp:cNvGraphicFramePr/>
                  <a:graphic xmlns:a="http://schemas.openxmlformats.org/drawingml/2006/main">
                    <a:graphicData uri="http://schemas.openxmlformats.org/drawingml/2006/picture">
                      <pic:pic xmlns:pic="http://schemas.openxmlformats.org/drawingml/2006/picture">
                        <pic:nvPicPr>
                          <pic:cNvPr id="49" name="图片_33"/>
                          <pic:cNvPicPr/>
                        </pic:nvPicPr>
                        <pic:blipFill>
                          <a:blip r:embed="rId54"/>
                          <a:stretch>
                            <a:fillRect/>
                          </a:stretch>
                        </pic:blipFill>
                        <pic:spPr>
                          <a:xfrm>
                            <a:off x="0" y="0"/>
                            <a:ext cx="610235" cy="286385"/>
                          </a:xfrm>
                          <a:prstGeom prst="rect">
                            <a:avLst/>
                          </a:prstGeom>
                          <a:noFill/>
                          <a:ln>
                            <a:noFill/>
                          </a:ln>
                        </pic:spPr>
                      </pic:pic>
                    </a:graphicData>
                  </a:graphic>
                </wp:anchor>
              </w:drawing>
            </w:r>
          </w:p>
        </w:tc>
      </w:tr>
      <w:tr w14:paraId="7A5D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5331C3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9B0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1E184C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10.直角三角形:尺寸：40*20*2.5，材料及工艺：优质松碳化+水性清漆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55348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260BA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36E2D3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C29582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965C2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41910</wp:posOffset>
                  </wp:positionH>
                  <wp:positionV relativeFrom="paragraph">
                    <wp:posOffset>73025</wp:posOffset>
                  </wp:positionV>
                  <wp:extent cx="640715" cy="330200"/>
                  <wp:effectExtent l="0" t="0" r="6985" b="12700"/>
                  <wp:wrapNone/>
                  <wp:docPr id="62" name="图片_25_SpCnt_1"/>
                  <wp:cNvGraphicFramePr/>
                  <a:graphic xmlns:a="http://schemas.openxmlformats.org/drawingml/2006/main">
                    <a:graphicData uri="http://schemas.openxmlformats.org/drawingml/2006/picture">
                      <pic:pic xmlns:pic="http://schemas.openxmlformats.org/drawingml/2006/picture">
                        <pic:nvPicPr>
                          <pic:cNvPr id="62" name="图片_25_SpCnt_1"/>
                          <pic:cNvPicPr/>
                        </pic:nvPicPr>
                        <pic:blipFill>
                          <a:blip r:embed="rId55"/>
                          <a:stretch>
                            <a:fillRect/>
                          </a:stretch>
                        </pic:blipFill>
                        <pic:spPr>
                          <a:xfrm>
                            <a:off x="0" y="0"/>
                            <a:ext cx="640715" cy="330200"/>
                          </a:xfrm>
                          <a:prstGeom prst="rect">
                            <a:avLst/>
                          </a:prstGeom>
                          <a:noFill/>
                          <a:ln>
                            <a:noFill/>
                          </a:ln>
                        </pic:spPr>
                      </pic:pic>
                    </a:graphicData>
                  </a:graphic>
                </wp:anchor>
              </w:drawing>
            </w:r>
          </w:p>
        </w:tc>
      </w:tr>
      <w:tr w14:paraId="720F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454B39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9C5B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35FD6D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11.圆柱积木:尺寸：Φ10*20，材料及工艺：优质松碳化+水性清漆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2AAB51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5D8AC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8BD7055">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58DD28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F7B83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27305</wp:posOffset>
                  </wp:positionH>
                  <wp:positionV relativeFrom="paragraph">
                    <wp:posOffset>78740</wp:posOffset>
                  </wp:positionV>
                  <wp:extent cx="639445" cy="322580"/>
                  <wp:effectExtent l="0" t="0" r="8255" b="1270"/>
                  <wp:wrapNone/>
                  <wp:docPr id="63" name="图片_46"/>
                  <wp:cNvGraphicFramePr/>
                  <a:graphic xmlns:a="http://schemas.openxmlformats.org/drawingml/2006/main">
                    <a:graphicData uri="http://schemas.openxmlformats.org/drawingml/2006/picture">
                      <pic:pic xmlns:pic="http://schemas.openxmlformats.org/drawingml/2006/picture">
                        <pic:nvPicPr>
                          <pic:cNvPr id="63" name="图片_46"/>
                          <pic:cNvPicPr/>
                        </pic:nvPicPr>
                        <pic:blipFill>
                          <a:blip r:embed="rId56"/>
                          <a:stretch>
                            <a:fillRect/>
                          </a:stretch>
                        </pic:blipFill>
                        <pic:spPr>
                          <a:xfrm>
                            <a:off x="0" y="0"/>
                            <a:ext cx="639445" cy="322580"/>
                          </a:xfrm>
                          <a:prstGeom prst="rect">
                            <a:avLst/>
                          </a:prstGeom>
                          <a:noFill/>
                          <a:ln>
                            <a:noFill/>
                          </a:ln>
                        </pic:spPr>
                      </pic:pic>
                    </a:graphicData>
                  </a:graphic>
                </wp:anchor>
              </w:drawing>
            </w:r>
          </w:p>
        </w:tc>
      </w:tr>
      <w:tr w14:paraId="0392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10B09E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A071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72423A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12.圆柱积木:尺寸：Φ10*40，材料及工艺：优质松碳化+水性清漆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3702C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2C845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03E7E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7D2654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4A950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29845</wp:posOffset>
                  </wp:positionH>
                  <wp:positionV relativeFrom="paragraph">
                    <wp:posOffset>41275</wp:posOffset>
                  </wp:positionV>
                  <wp:extent cx="635635" cy="234950"/>
                  <wp:effectExtent l="0" t="0" r="12065" b="12700"/>
                  <wp:wrapNone/>
                  <wp:docPr id="56" name="图片_34"/>
                  <wp:cNvGraphicFramePr/>
                  <a:graphic xmlns:a="http://schemas.openxmlformats.org/drawingml/2006/main">
                    <a:graphicData uri="http://schemas.openxmlformats.org/drawingml/2006/picture">
                      <pic:pic xmlns:pic="http://schemas.openxmlformats.org/drawingml/2006/picture">
                        <pic:nvPicPr>
                          <pic:cNvPr id="56" name="图片_34"/>
                          <pic:cNvPicPr/>
                        </pic:nvPicPr>
                        <pic:blipFill>
                          <a:blip r:embed="rId57"/>
                          <a:stretch>
                            <a:fillRect/>
                          </a:stretch>
                        </pic:blipFill>
                        <pic:spPr>
                          <a:xfrm>
                            <a:off x="0" y="0"/>
                            <a:ext cx="635635" cy="234950"/>
                          </a:xfrm>
                          <a:prstGeom prst="rect">
                            <a:avLst/>
                          </a:prstGeom>
                          <a:noFill/>
                          <a:ln>
                            <a:noFill/>
                          </a:ln>
                        </pic:spPr>
                      </pic:pic>
                    </a:graphicData>
                  </a:graphic>
                </wp:anchor>
              </w:drawing>
            </w:r>
          </w:p>
        </w:tc>
      </w:tr>
      <w:tr w14:paraId="3E9D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0DB2DAD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3E01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5394D4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13.圆柱积木:尺寸：Φ5*10，材料及工艺：优质松碳化+水性清漆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48A04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3A8D0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F5DC24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52A11F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43832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11430</wp:posOffset>
                  </wp:positionH>
                  <wp:positionV relativeFrom="paragraph">
                    <wp:posOffset>66040</wp:posOffset>
                  </wp:positionV>
                  <wp:extent cx="651510" cy="327660"/>
                  <wp:effectExtent l="0" t="0" r="15240" b="15240"/>
                  <wp:wrapNone/>
                  <wp:docPr id="65" name="图片_35"/>
                  <wp:cNvGraphicFramePr/>
                  <a:graphic xmlns:a="http://schemas.openxmlformats.org/drawingml/2006/main">
                    <a:graphicData uri="http://schemas.openxmlformats.org/drawingml/2006/picture">
                      <pic:pic xmlns:pic="http://schemas.openxmlformats.org/drawingml/2006/picture">
                        <pic:nvPicPr>
                          <pic:cNvPr id="65" name="图片_35"/>
                          <pic:cNvPicPr/>
                        </pic:nvPicPr>
                        <pic:blipFill>
                          <a:blip r:embed="rId58"/>
                          <a:stretch>
                            <a:fillRect/>
                          </a:stretch>
                        </pic:blipFill>
                        <pic:spPr>
                          <a:xfrm>
                            <a:off x="0" y="0"/>
                            <a:ext cx="651510" cy="327660"/>
                          </a:xfrm>
                          <a:prstGeom prst="rect">
                            <a:avLst/>
                          </a:prstGeom>
                          <a:noFill/>
                          <a:ln>
                            <a:noFill/>
                          </a:ln>
                        </pic:spPr>
                      </pic:pic>
                    </a:graphicData>
                  </a:graphic>
                </wp:anchor>
              </w:drawing>
            </w:r>
          </w:p>
        </w:tc>
      </w:tr>
      <w:tr w14:paraId="085D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244FED8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0F5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529F51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14.圆柱积木:尺寸：Φ5*20，材料及工艺：优质松碳化+水性清漆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D5B27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FFB40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417FDF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26A2455">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AA7D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10160</wp:posOffset>
                  </wp:positionH>
                  <wp:positionV relativeFrom="paragraph">
                    <wp:posOffset>108585</wp:posOffset>
                  </wp:positionV>
                  <wp:extent cx="655955" cy="239395"/>
                  <wp:effectExtent l="0" t="0" r="10795" b="8255"/>
                  <wp:wrapNone/>
                  <wp:docPr id="52" name="图片_36"/>
                  <wp:cNvGraphicFramePr/>
                  <a:graphic xmlns:a="http://schemas.openxmlformats.org/drawingml/2006/main">
                    <a:graphicData uri="http://schemas.openxmlformats.org/drawingml/2006/picture">
                      <pic:pic xmlns:pic="http://schemas.openxmlformats.org/drawingml/2006/picture">
                        <pic:nvPicPr>
                          <pic:cNvPr id="52" name="图片_36"/>
                          <pic:cNvPicPr/>
                        </pic:nvPicPr>
                        <pic:blipFill>
                          <a:blip r:embed="rId59"/>
                          <a:stretch>
                            <a:fillRect/>
                          </a:stretch>
                        </pic:blipFill>
                        <pic:spPr>
                          <a:xfrm>
                            <a:off x="0" y="0"/>
                            <a:ext cx="655955" cy="239395"/>
                          </a:xfrm>
                          <a:prstGeom prst="rect">
                            <a:avLst/>
                          </a:prstGeom>
                          <a:noFill/>
                          <a:ln>
                            <a:noFill/>
                          </a:ln>
                        </pic:spPr>
                      </pic:pic>
                    </a:graphicData>
                  </a:graphic>
                </wp:anchor>
              </w:drawing>
            </w:r>
          </w:p>
        </w:tc>
      </w:tr>
      <w:tr w14:paraId="4497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8F8461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7B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56C3B5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15.圆柱积木:尺寸：Φ5*40，材料及工艺：优质松碳化+水性清漆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F0364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965C1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F265DF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E63230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7C838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43815</wp:posOffset>
                  </wp:positionH>
                  <wp:positionV relativeFrom="paragraph">
                    <wp:posOffset>78740</wp:posOffset>
                  </wp:positionV>
                  <wp:extent cx="608330" cy="151130"/>
                  <wp:effectExtent l="0" t="0" r="1270" b="1270"/>
                  <wp:wrapNone/>
                  <wp:docPr id="42" name="图片_37"/>
                  <wp:cNvGraphicFramePr/>
                  <a:graphic xmlns:a="http://schemas.openxmlformats.org/drawingml/2006/main">
                    <a:graphicData uri="http://schemas.openxmlformats.org/drawingml/2006/picture">
                      <pic:pic xmlns:pic="http://schemas.openxmlformats.org/drawingml/2006/picture">
                        <pic:nvPicPr>
                          <pic:cNvPr id="42" name="图片_37"/>
                          <pic:cNvPicPr/>
                        </pic:nvPicPr>
                        <pic:blipFill>
                          <a:blip r:embed="rId34"/>
                          <a:stretch>
                            <a:fillRect/>
                          </a:stretch>
                        </pic:blipFill>
                        <pic:spPr>
                          <a:xfrm>
                            <a:off x="0" y="0"/>
                            <a:ext cx="608330" cy="151130"/>
                          </a:xfrm>
                          <a:prstGeom prst="rect">
                            <a:avLst/>
                          </a:prstGeom>
                          <a:noFill/>
                          <a:ln>
                            <a:noFill/>
                          </a:ln>
                        </pic:spPr>
                      </pic:pic>
                    </a:graphicData>
                  </a:graphic>
                </wp:anchor>
              </w:drawing>
            </w:r>
          </w:p>
        </w:tc>
      </w:tr>
      <w:tr w14:paraId="5960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230DDE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5DE0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351010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16.半圆环积木:尺寸：30*15*2.5，材料及工艺：优质松碳化+水性清漆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37B44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66691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FA6721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9F5165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0CC72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37465</wp:posOffset>
                  </wp:positionH>
                  <wp:positionV relativeFrom="paragraph">
                    <wp:posOffset>34925</wp:posOffset>
                  </wp:positionV>
                  <wp:extent cx="638810" cy="332740"/>
                  <wp:effectExtent l="0" t="0" r="8890" b="10160"/>
                  <wp:wrapNone/>
                  <wp:docPr id="46" name="图片_38"/>
                  <wp:cNvGraphicFramePr/>
                  <a:graphic xmlns:a="http://schemas.openxmlformats.org/drawingml/2006/main">
                    <a:graphicData uri="http://schemas.openxmlformats.org/drawingml/2006/picture">
                      <pic:pic xmlns:pic="http://schemas.openxmlformats.org/drawingml/2006/picture">
                        <pic:nvPicPr>
                          <pic:cNvPr id="46" name="图片_38"/>
                          <pic:cNvPicPr/>
                        </pic:nvPicPr>
                        <pic:blipFill>
                          <a:blip r:embed="rId60"/>
                          <a:stretch>
                            <a:fillRect/>
                          </a:stretch>
                        </pic:blipFill>
                        <pic:spPr>
                          <a:xfrm>
                            <a:off x="0" y="0"/>
                            <a:ext cx="638810" cy="332740"/>
                          </a:xfrm>
                          <a:prstGeom prst="rect">
                            <a:avLst/>
                          </a:prstGeom>
                          <a:noFill/>
                          <a:ln>
                            <a:noFill/>
                          </a:ln>
                        </pic:spPr>
                      </pic:pic>
                    </a:graphicData>
                  </a:graphic>
                </wp:anchor>
              </w:drawing>
            </w:r>
          </w:p>
        </w:tc>
      </w:tr>
      <w:tr w14:paraId="10FC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854760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1759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58E518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17.半圆积木:尺寸：15*7.5*2.5，材料及工艺：优质松碳化+水性清漆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07FDE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10009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FBFAEE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980CA4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0C107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26035</wp:posOffset>
                  </wp:positionH>
                  <wp:positionV relativeFrom="paragraph">
                    <wp:posOffset>55245</wp:posOffset>
                  </wp:positionV>
                  <wp:extent cx="619125" cy="321945"/>
                  <wp:effectExtent l="0" t="0" r="9525" b="1905"/>
                  <wp:wrapNone/>
                  <wp:docPr id="41" name="图片_39"/>
                  <wp:cNvGraphicFramePr/>
                  <a:graphic xmlns:a="http://schemas.openxmlformats.org/drawingml/2006/main">
                    <a:graphicData uri="http://schemas.openxmlformats.org/drawingml/2006/picture">
                      <pic:pic xmlns:pic="http://schemas.openxmlformats.org/drawingml/2006/picture">
                        <pic:nvPicPr>
                          <pic:cNvPr id="41" name="图片_39"/>
                          <pic:cNvPicPr/>
                        </pic:nvPicPr>
                        <pic:blipFill>
                          <a:blip r:embed="rId61"/>
                          <a:stretch>
                            <a:fillRect/>
                          </a:stretch>
                        </pic:blipFill>
                        <pic:spPr>
                          <a:xfrm>
                            <a:off x="0" y="0"/>
                            <a:ext cx="619125" cy="321945"/>
                          </a:xfrm>
                          <a:prstGeom prst="rect">
                            <a:avLst/>
                          </a:prstGeom>
                          <a:noFill/>
                          <a:ln>
                            <a:noFill/>
                          </a:ln>
                        </pic:spPr>
                      </pic:pic>
                    </a:graphicData>
                  </a:graphic>
                </wp:anchor>
              </w:drawing>
            </w:r>
          </w:p>
        </w:tc>
      </w:tr>
      <w:tr w14:paraId="7491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2B6E22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7D6D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0035262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18.弧形积木:尺寸：40*14*2.5，材料及工艺：优质松碳化+水性清漆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F85DB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2F7BE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6F8D0B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6CC810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9A847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13970</wp:posOffset>
                  </wp:positionH>
                  <wp:positionV relativeFrom="paragraph">
                    <wp:posOffset>50800</wp:posOffset>
                  </wp:positionV>
                  <wp:extent cx="666115" cy="302895"/>
                  <wp:effectExtent l="0" t="0" r="635" b="1905"/>
                  <wp:wrapNone/>
                  <wp:docPr id="40" name="图片_40"/>
                  <wp:cNvGraphicFramePr/>
                  <a:graphic xmlns:a="http://schemas.openxmlformats.org/drawingml/2006/main">
                    <a:graphicData uri="http://schemas.openxmlformats.org/drawingml/2006/picture">
                      <pic:pic xmlns:pic="http://schemas.openxmlformats.org/drawingml/2006/picture">
                        <pic:nvPicPr>
                          <pic:cNvPr id="40" name="图片_40"/>
                          <pic:cNvPicPr/>
                        </pic:nvPicPr>
                        <pic:blipFill>
                          <a:blip r:embed="rId62"/>
                          <a:stretch>
                            <a:fillRect/>
                          </a:stretch>
                        </pic:blipFill>
                        <pic:spPr>
                          <a:xfrm>
                            <a:off x="0" y="0"/>
                            <a:ext cx="666115" cy="302895"/>
                          </a:xfrm>
                          <a:prstGeom prst="rect">
                            <a:avLst/>
                          </a:prstGeom>
                          <a:noFill/>
                          <a:ln>
                            <a:noFill/>
                          </a:ln>
                        </pic:spPr>
                      </pic:pic>
                    </a:graphicData>
                  </a:graphic>
                </wp:anchor>
              </w:drawing>
            </w:r>
          </w:p>
        </w:tc>
      </w:tr>
      <w:tr w14:paraId="2B6F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072128C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43D8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7062B7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19.扇形积木:尺寸：半径为20cm，材料及工艺：优质松碳化+水性清漆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B8842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138BE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AE8EE1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F746C7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E5455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68580</wp:posOffset>
                  </wp:positionH>
                  <wp:positionV relativeFrom="paragraph">
                    <wp:posOffset>40640</wp:posOffset>
                  </wp:positionV>
                  <wp:extent cx="541020" cy="453390"/>
                  <wp:effectExtent l="0" t="0" r="11430" b="3810"/>
                  <wp:wrapNone/>
                  <wp:docPr id="55" name="图片_41"/>
                  <wp:cNvGraphicFramePr/>
                  <a:graphic xmlns:a="http://schemas.openxmlformats.org/drawingml/2006/main">
                    <a:graphicData uri="http://schemas.openxmlformats.org/drawingml/2006/picture">
                      <pic:pic xmlns:pic="http://schemas.openxmlformats.org/drawingml/2006/picture">
                        <pic:nvPicPr>
                          <pic:cNvPr id="55" name="图片_41"/>
                          <pic:cNvPicPr/>
                        </pic:nvPicPr>
                        <pic:blipFill>
                          <a:blip r:embed="rId63"/>
                          <a:stretch>
                            <a:fillRect/>
                          </a:stretch>
                        </pic:blipFill>
                        <pic:spPr>
                          <a:xfrm>
                            <a:off x="0" y="0"/>
                            <a:ext cx="541020" cy="453390"/>
                          </a:xfrm>
                          <a:prstGeom prst="rect">
                            <a:avLst/>
                          </a:prstGeom>
                          <a:noFill/>
                          <a:ln>
                            <a:noFill/>
                          </a:ln>
                        </pic:spPr>
                      </pic:pic>
                    </a:graphicData>
                  </a:graphic>
                </wp:anchor>
              </w:drawing>
            </w:r>
          </w:p>
        </w:tc>
      </w:tr>
      <w:tr w14:paraId="6BF8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73F9E83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ED8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226A4B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20.Y型:尺寸：40*30*2.5，材料及工艺：优质松碳化+水性清漆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31B73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A77A4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DEFE8E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C2D35A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6AB92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48895</wp:posOffset>
                  </wp:positionH>
                  <wp:positionV relativeFrom="paragraph">
                    <wp:posOffset>25400</wp:posOffset>
                  </wp:positionV>
                  <wp:extent cx="607695" cy="383540"/>
                  <wp:effectExtent l="0" t="0" r="1905" b="16510"/>
                  <wp:wrapNone/>
                  <wp:docPr id="43" name="图片_42"/>
                  <wp:cNvGraphicFramePr/>
                  <a:graphic xmlns:a="http://schemas.openxmlformats.org/drawingml/2006/main">
                    <a:graphicData uri="http://schemas.openxmlformats.org/drawingml/2006/picture">
                      <pic:pic xmlns:pic="http://schemas.openxmlformats.org/drawingml/2006/picture">
                        <pic:nvPicPr>
                          <pic:cNvPr id="43" name="图片_42"/>
                          <pic:cNvPicPr/>
                        </pic:nvPicPr>
                        <pic:blipFill>
                          <a:blip r:embed="rId64"/>
                          <a:stretch>
                            <a:fillRect/>
                          </a:stretch>
                        </pic:blipFill>
                        <pic:spPr>
                          <a:xfrm>
                            <a:off x="0" y="0"/>
                            <a:ext cx="607695" cy="383540"/>
                          </a:xfrm>
                          <a:prstGeom prst="rect">
                            <a:avLst/>
                          </a:prstGeom>
                          <a:noFill/>
                          <a:ln>
                            <a:noFill/>
                          </a:ln>
                        </pic:spPr>
                      </pic:pic>
                    </a:graphicData>
                  </a:graphic>
                </wp:anchor>
              </w:drawing>
            </w:r>
          </w:p>
        </w:tc>
      </w:tr>
      <w:tr w14:paraId="4BC0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6FB3B1A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CA27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1AC9BF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21.三叉路:尺寸：40*30*2.5，材料及工艺：优质松碳化+水性清漆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0EE783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2BA1E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DC433A">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7C38B8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EB38C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55245</wp:posOffset>
                  </wp:positionH>
                  <wp:positionV relativeFrom="paragraph">
                    <wp:posOffset>46990</wp:posOffset>
                  </wp:positionV>
                  <wp:extent cx="586740" cy="459740"/>
                  <wp:effectExtent l="0" t="0" r="3810" b="16510"/>
                  <wp:wrapNone/>
                  <wp:docPr id="44" name="图片_43"/>
                  <wp:cNvGraphicFramePr/>
                  <a:graphic xmlns:a="http://schemas.openxmlformats.org/drawingml/2006/main">
                    <a:graphicData uri="http://schemas.openxmlformats.org/drawingml/2006/picture">
                      <pic:pic xmlns:pic="http://schemas.openxmlformats.org/drawingml/2006/picture">
                        <pic:nvPicPr>
                          <pic:cNvPr id="44" name="图片_43"/>
                          <pic:cNvPicPr/>
                        </pic:nvPicPr>
                        <pic:blipFill>
                          <a:blip r:embed="rId65"/>
                          <a:stretch>
                            <a:fillRect/>
                          </a:stretch>
                        </pic:blipFill>
                        <pic:spPr>
                          <a:xfrm>
                            <a:off x="0" y="0"/>
                            <a:ext cx="586740" cy="459740"/>
                          </a:xfrm>
                          <a:prstGeom prst="rect">
                            <a:avLst/>
                          </a:prstGeom>
                          <a:noFill/>
                          <a:ln>
                            <a:noFill/>
                          </a:ln>
                        </pic:spPr>
                      </pic:pic>
                    </a:graphicData>
                  </a:graphic>
                </wp:anchor>
              </w:drawing>
            </w:r>
          </w:p>
        </w:tc>
      </w:tr>
      <w:tr w14:paraId="3D06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5615BD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7D83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2F8F58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22.锥形:尺寸：10*10*15，材料及工艺：优质松碳化+水性清漆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E4DA0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49CE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2B14EF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EEB8C4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384A6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180975</wp:posOffset>
                  </wp:positionH>
                  <wp:positionV relativeFrom="paragraph">
                    <wp:posOffset>55880</wp:posOffset>
                  </wp:positionV>
                  <wp:extent cx="377190" cy="463550"/>
                  <wp:effectExtent l="0" t="0" r="3810" b="12700"/>
                  <wp:wrapNone/>
                  <wp:docPr id="47" name="图片_44"/>
                  <wp:cNvGraphicFramePr/>
                  <a:graphic xmlns:a="http://schemas.openxmlformats.org/drawingml/2006/main">
                    <a:graphicData uri="http://schemas.openxmlformats.org/drawingml/2006/picture">
                      <pic:pic xmlns:pic="http://schemas.openxmlformats.org/drawingml/2006/picture">
                        <pic:nvPicPr>
                          <pic:cNvPr id="47" name="图片_44"/>
                          <pic:cNvPicPr/>
                        </pic:nvPicPr>
                        <pic:blipFill>
                          <a:blip r:embed="rId66"/>
                          <a:stretch>
                            <a:fillRect/>
                          </a:stretch>
                        </pic:blipFill>
                        <pic:spPr>
                          <a:xfrm>
                            <a:off x="0" y="0"/>
                            <a:ext cx="377190" cy="463550"/>
                          </a:xfrm>
                          <a:prstGeom prst="rect">
                            <a:avLst/>
                          </a:prstGeom>
                          <a:noFill/>
                          <a:ln>
                            <a:noFill/>
                          </a:ln>
                        </pic:spPr>
                      </pic:pic>
                    </a:graphicData>
                  </a:graphic>
                </wp:anchor>
              </w:drawing>
            </w:r>
          </w:p>
        </w:tc>
      </w:tr>
      <w:tr w14:paraId="3513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14:paraId="1C68E48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8AC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rPr>
            </w:pPr>
          </w:p>
        </w:tc>
        <w:tc>
          <w:tcPr>
            <w:tcW w:w="4326" w:type="dxa"/>
            <w:tcBorders>
              <w:top w:val="single" w:color="000000" w:sz="4" w:space="0"/>
              <w:left w:val="single" w:color="000000" w:sz="4" w:space="0"/>
              <w:bottom w:val="single" w:color="000000" w:sz="4" w:space="0"/>
              <w:right w:val="single" w:color="000000" w:sz="4" w:space="0"/>
            </w:tcBorders>
            <w:noWrap/>
            <w:vAlign w:val="center"/>
          </w:tcPr>
          <w:p w14:paraId="11700C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23.歌德门:尺寸：16*10*2.5cm，材料及工艺：优质松碳化+水性清漆</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680FF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6DA1A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80891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7399E3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528BD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36830</wp:posOffset>
                  </wp:positionH>
                  <wp:positionV relativeFrom="paragraph">
                    <wp:posOffset>182880</wp:posOffset>
                  </wp:positionV>
                  <wp:extent cx="609600" cy="265430"/>
                  <wp:effectExtent l="0" t="0" r="0" b="1270"/>
                  <wp:wrapNone/>
                  <wp:docPr id="50" name="图片_24_SpCnt_1"/>
                  <wp:cNvGraphicFramePr/>
                  <a:graphic xmlns:a="http://schemas.openxmlformats.org/drawingml/2006/main">
                    <a:graphicData uri="http://schemas.openxmlformats.org/drawingml/2006/picture">
                      <pic:pic xmlns:pic="http://schemas.openxmlformats.org/drawingml/2006/picture">
                        <pic:nvPicPr>
                          <pic:cNvPr id="50" name="图片_24_SpCnt_1"/>
                          <pic:cNvPicPr/>
                        </pic:nvPicPr>
                        <pic:blipFill>
                          <a:blip r:embed="rId67"/>
                          <a:stretch>
                            <a:fillRect/>
                          </a:stretch>
                        </pic:blipFill>
                        <pic:spPr>
                          <a:xfrm>
                            <a:off x="0" y="0"/>
                            <a:ext cx="609600" cy="265430"/>
                          </a:xfrm>
                          <a:prstGeom prst="rect">
                            <a:avLst/>
                          </a:prstGeom>
                          <a:noFill/>
                          <a:ln>
                            <a:noFill/>
                          </a:ln>
                        </pic:spPr>
                      </pic:pic>
                    </a:graphicData>
                  </a:graphic>
                </wp:anchor>
              </w:drawing>
            </w:r>
          </w:p>
        </w:tc>
      </w:tr>
      <w:tr w14:paraId="4188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049" w:type="dxa"/>
            <w:gridSpan w:val="2"/>
            <w:tcBorders>
              <w:top w:val="single" w:color="000000" w:sz="4" w:space="0"/>
              <w:left w:val="single" w:color="000000" w:sz="4" w:space="0"/>
              <w:bottom w:val="single" w:color="000000" w:sz="4" w:space="0"/>
              <w:right w:val="single" w:color="000000" w:sz="4" w:space="0"/>
            </w:tcBorders>
            <w:noWrap/>
            <w:vAlign w:val="center"/>
          </w:tcPr>
          <w:p w14:paraId="2F7AD5B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6"/>
                <w:szCs w:val="16"/>
                <w:u w:val="none"/>
                <w:lang w:val="en-US" w:eastAsia="zh-CN"/>
              </w:rPr>
            </w:pPr>
            <w:r>
              <w:rPr>
                <w:rFonts w:hint="eastAsia" w:ascii="仿宋" w:hAnsi="仿宋" w:eastAsia="仿宋" w:cs="仿宋"/>
                <w:b/>
                <w:bCs/>
                <w:i w:val="0"/>
                <w:iCs w:val="0"/>
                <w:color w:val="000000"/>
                <w:sz w:val="24"/>
                <w:szCs w:val="24"/>
                <w:u w:val="none"/>
                <w:lang w:val="en-US" w:eastAsia="zh-CN"/>
              </w:rPr>
              <w:t>说明</w:t>
            </w:r>
          </w:p>
        </w:tc>
        <w:tc>
          <w:tcPr>
            <w:tcW w:w="8226" w:type="dxa"/>
            <w:gridSpan w:val="6"/>
            <w:tcBorders>
              <w:top w:val="single" w:color="000000" w:sz="4" w:space="0"/>
              <w:left w:val="single" w:color="000000" w:sz="4" w:space="0"/>
              <w:bottom w:val="single" w:color="000000" w:sz="4" w:space="0"/>
              <w:right w:val="single" w:color="000000" w:sz="4" w:space="0"/>
            </w:tcBorders>
            <w:noWrap/>
            <w:vAlign w:val="center"/>
          </w:tcPr>
          <w:p w14:paraId="5111B1F0">
            <w:pPr>
              <w:pStyle w:val="26"/>
              <w:keepNext w:val="0"/>
              <w:keepLines w:val="0"/>
              <w:numPr>
                <w:ilvl w:val="0"/>
                <w:numId w:val="0"/>
              </w:numPr>
              <w:suppressLineNumbers w:val="0"/>
              <w:spacing w:before="0" w:beforeAutospacing="0" w:after="0" w:afterAutospacing="0"/>
              <w:ind w:right="0"/>
              <w:jc w:val="both"/>
              <w:rPr>
                <w:rFonts w:hint="eastAsia" w:ascii="宋体" w:hAnsi="宋体" w:eastAsia="宋体" w:cs="宋体"/>
                <w:i w:val="0"/>
                <w:iCs w:val="0"/>
                <w:color w:val="000000"/>
                <w:kern w:val="0"/>
                <w:sz w:val="22"/>
                <w:szCs w:val="22"/>
                <w:u w:val="none"/>
                <w:bdr w:val="single" w:color="000000" w:sz="4" w:space="0"/>
                <w:lang w:val="en-US" w:eastAsia="zh-CN" w:bidi="ar"/>
              </w:rPr>
            </w:pPr>
            <w:r>
              <w:rPr>
                <w:rFonts w:hint="eastAsia" w:ascii="仿宋" w:hAnsi="仿宋" w:eastAsia="仿宋" w:cs="仿宋"/>
                <w:b/>
                <w:bCs/>
                <w:color w:val="auto"/>
                <w:spacing w:val="14"/>
                <w:sz w:val="24"/>
                <w:szCs w:val="24"/>
                <w:highlight w:val="none"/>
                <w:lang w:val="en-US" w:eastAsia="zh-CN"/>
              </w:rPr>
              <w:t>为了表明在“采购需求”的参数设置中没有特指性，所以在部分参数的规格尺寸上使用了“</w:t>
            </w:r>
            <w:r>
              <w:rPr>
                <w:rFonts w:hint="default" w:ascii="Arial" w:hAnsi="Arial" w:eastAsia="仿宋" w:cs="Arial"/>
                <w:b/>
                <w:bCs/>
                <w:color w:val="auto"/>
                <w:spacing w:val="14"/>
                <w:sz w:val="24"/>
                <w:szCs w:val="24"/>
                <w:highlight w:val="none"/>
                <w:lang w:val="en-US" w:eastAsia="zh-CN"/>
              </w:rPr>
              <w:t>≥</w:t>
            </w:r>
            <w:r>
              <w:rPr>
                <w:rFonts w:hint="eastAsia" w:ascii="仿宋" w:hAnsi="仿宋" w:eastAsia="仿宋" w:cs="仿宋"/>
                <w:b/>
                <w:bCs/>
                <w:color w:val="auto"/>
                <w:spacing w:val="14"/>
                <w:sz w:val="24"/>
                <w:szCs w:val="24"/>
                <w:highlight w:val="none"/>
                <w:lang w:val="en-US" w:eastAsia="zh-CN"/>
              </w:rPr>
              <w:t>”或“</w:t>
            </w:r>
            <w:r>
              <w:rPr>
                <w:rFonts w:hint="eastAsia" w:ascii="宋体" w:hAnsi="宋体" w:eastAsia="宋体" w:cs="宋体"/>
                <w:b/>
                <w:bCs/>
                <w:color w:val="auto"/>
                <w:spacing w:val="14"/>
                <w:sz w:val="24"/>
                <w:szCs w:val="24"/>
                <w:highlight w:val="none"/>
                <w:lang w:val="en-US" w:eastAsia="zh-CN"/>
              </w:rPr>
              <w:t>≦</w:t>
            </w:r>
            <w:r>
              <w:rPr>
                <w:rFonts w:hint="eastAsia" w:ascii="仿宋" w:hAnsi="仿宋" w:eastAsia="仿宋" w:cs="仿宋"/>
                <w:b/>
                <w:bCs/>
                <w:color w:val="auto"/>
                <w:spacing w:val="14"/>
                <w:sz w:val="24"/>
                <w:szCs w:val="24"/>
                <w:highlight w:val="none"/>
                <w:lang w:val="en-US" w:eastAsia="zh-CN"/>
              </w:rPr>
              <w:t>”的描述，但报价供应商在响应文件中不能一味地复制粘贴，</w:t>
            </w:r>
            <w:r>
              <w:rPr>
                <w:rFonts w:hint="eastAsia" w:ascii="仿宋" w:hAnsi="仿宋" w:eastAsia="仿宋" w:cs="仿宋"/>
                <w:b/>
                <w:bCs/>
                <w:sz w:val="24"/>
                <w:szCs w:val="28"/>
                <w:lang w:val="en-US" w:eastAsia="zh-CN"/>
              </w:rPr>
              <w:t>不能完全照抄招标文件中“采购需求”中货物的参数，</w:t>
            </w:r>
            <w:r>
              <w:rPr>
                <w:rFonts w:hint="eastAsia" w:ascii="仿宋" w:hAnsi="仿宋" w:eastAsia="仿宋" w:cs="仿宋"/>
                <w:b/>
                <w:bCs/>
                <w:color w:val="auto"/>
                <w:spacing w:val="14"/>
                <w:sz w:val="24"/>
                <w:szCs w:val="24"/>
                <w:highlight w:val="none"/>
                <w:lang w:val="en-US" w:eastAsia="zh-CN"/>
              </w:rPr>
              <w:t>而是要有明确准确的规格尺寸；</w:t>
            </w:r>
            <w:r>
              <w:rPr>
                <w:rFonts w:hint="eastAsia" w:ascii="仿宋" w:hAnsi="仿宋" w:eastAsia="仿宋" w:cs="仿宋"/>
                <w:b/>
                <w:bCs/>
                <w:sz w:val="24"/>
                <w:szCs w:val="28"/>
                <w:lang w:val="en-US" w:eastAsia="zh-CN"/>
              </w:rPr>
              <w:t>否则，按废标处理！</w:t>
            </w:r>
          </w:p>
        </w:tc>
      </w:tr>
    </w:tbl>
    <w:p w14:paraId="21BB2C6C">
      <w:pPr>
        <w:pStyle w:val="17"/>
        <w:bidi w:val="0"/>
        <w:rPr>
          <w:rFonts w:hint="eastAsia"/>
          <w:lang w:val="en-US" w:eastAsia="zh-CN"/>
        </w:rPr>
      </w:pPr>
      <w:r>
        <w:rPr>
          <w:rFonts w:hint="eastAsia"/>
          <w:lang w:val="en-US" w:eastAsia="zh-CN"/>
        </w:rPr>
        <w:br w:type="page"/>
      </w:r>
    </w:p>
    <w:bookmarkEnd w:id="131"/>
    <w:bookmarkEnd w:id="132"/>
    <w:p w14:paraId="573A2630">
      <w:pPr>
        <w:pStyle w:val="4"/>
        <w:numPr>
          <w:ilvl w:val="0"/>
          <w:numId w:val="0"/>
        </w:numPr>
        <w:bidi w:val="0"/>
        <w:spacing w:line="240" w:lineRule="auto"/>
        <w:jc w:val="center"/>
        <w:rPr>
          <w:rFonts w:hint="eastAsia" w:ascii="仿宋" w:hAnsi="仿宋" w:eastAsia="仿宋" w:cs="仿宋"/>
          <w:b w:val="0"/>
          <w:bCs w:val="0"/>
          <w:color w:val="auto"/>
          <w:kern w:val="0"/>
          <w:sz w:val="44"/>
          <w:szCs w:val="44"/>
        </w:rPr>
      </w:pPr>
      <w:bookmarkStart w:id="133" w:name="_Toc5760"/>
      <w:r>
        <w:rPr>
          <w:rFonts w:hint="eastAsia" w:ascii="仿宋" w:hAnsi="仿宋" w:eastAsia="仿宋" w:cs="仿宋"/>
          <w:sz w:val="44"/>
          <w:szCs w:val="44"/>
          <w:lang w:val="en-US" w:eastAsia="zh-CN"/>
        </w:rPr>
        <w:t>第四章 谈判规则及标准</w:t>
      </w:r>
      <w:bookmarkEnd w:id="133"/>
    </w:p>
    <w:p w14:paraId="46421626">
      <w:pPr>
        <w:pStyle w:val="45"/>
        <w:keepNext w:val="0"/>
        <w:keepLines w:val="0"/>
        <w:pageBreakBefore w:val="0"/>
        <w:widowControl w:val="0"/>
        <w:numPr>
          <w:ilvl w:val="0"/>
          <w:numId w:val="6"/>
        </w:numPr>
        <w:suppressAutoHyphens/>
        <w:kinsoku/>
        <w:wordWrap/>
        <w:overflowPunct/>
        <w:topLinePunct w:val="0"/>
        <w:autoSpaceDE/>
        <w:autoSpaceDN/>
        <w:bidi w:val="0"/>
        <w:adjustRightInd/>
        <w:snapToGrid/>
        <w:spacing w:line="240" w:lineRule="auto"/>
        <w:ind w:firstLine="482" w:firstLineChars="0"/>
        <w:jc w:val="both"/>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谈判说明</w:t>
      </w:r>
    </w:p>
    <w:p w14:paraId="650AECE1">
      <w:pPr>
        <w:pStyle w:val="45"/>
        <w:spacing w:line="440" w:lineRule="exact"/>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rPr>
        <w:t xml:space="preserve">1.1 </w:t>
      </w:r>
      <w:r>
        <w:rPr>
          <w:rFonts w:hint="eastAsia" w:ascii="仿宋" w:hAnsi="仿宋" w:eastAsia="仿宋" w:cs="仿宋"/>
          <w:b w:val="0"/>
          <w:bCs w:val="0"/>
          <w:color w:val="auto"/>
          <w:kern w:val="2"/>
          <w:sz w:val="24"/>
          <w:szCs w:val="24"/>
          <w:lang w:val="en-US" w:eastAsia="zh-CN" w:bidi="ar-SA"/>
        </w:rPr>
        <w:t>本次谈判实行两次报价，加密的响应文件中提供的供应商报价为一次报价，在谈判小组对各供应商的响应文件进行初步评审（资格评审、符合性评审）后，由谈判小组开启二次报价，各供应商须在二次报价开启后的30分钟内登录政采云系统进行二次（最后）报价。因供应商自身原因未在系统内及时填报二次报价的，其责任由供应商承担。</w:t>
      </w:r>
    </w:p>
    <w:p w14:paraId="463A12FE">
      <w:pPr>
        <w:pStyle w:val="45"/>
        <w:spacing w:line="440" w:lineRule="exact"/>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1.2本次采购项目评审办法根据</w:t>
      </w:r>
      <w:bookmarkStart w:id="134" w:name="_Hlk524789721"/>
      <w:r>
        <w:rPr>
          <w:rFonts w:hint="eastAsia" w:ascii="仿宋" w:hAnsi="仿宋" w:eastAsia="仿宋" w:cs="仿宋"/>
          <w:b w:val="0"/>
          <w:bCs w:val="0"/>
          <w:color w:val="auto"/>
          <w:kern w:val="2"/>
          <w:sz w:val="24"/>
          <w:szCs w:val="24"/>
          <w:lang w:val="en-US" w:eastAsia="zh-CN" w:bidi="ar-SA"/>
        </w:rPr>
        <w:t>《中华人民共和国政府采购法》</w:t>
      </w:r>
      <w:bookmarkEnd w:id="134"/>
      <w:r>
        <w:rPr>
          <w:rFonts w:hint="eastAsia" w:ascii="仿宋" w:hAnsi="仿宋" w:eastAsia="仿宋" w:cs="仿宋"/>
          <w:b w:val="0"/>
          <w:bCs w:val="0"/>
          <w:color w:val="auto"/>
          <w:kern w:val="2"/>
          <w:sz w:val="24"/>
          <w:szCs w:val="24"/>
          <w:lang w:val="en-US" w:eastAsia="zh-CN" w:bidi="ar-SA"/>
        </w:rPr>
        <w:t>（中华人民共和国主席令第68号）、《中华人民共和国政府采购法实施条例》（中华人民共和国国务院令第658号）及《政府采购非招标采购方式管理办法》（财政部令第74号）规定的有关竞争性谈判的评审标准。谈判小组对最大限度地满足谈判文件实质性要求前提下，根据符合采购需求、质量和服务相等且报价最低的原则确定成交供应商。即在符合采购需求、质量和服务相等的前提下，按照谈判供应商的</w:t>
      </w:r>
      <w:bookmarkStart w:id="135" w:name="_Hlk505083362"/>
      <w:r>
        <w:rPr>
          <w:rFonts w:hint="eastAsia" w:ascii="仿宋" w:hAnsi="仿宋" w:eastAsia="仿宋" w:cs="仿宋"/>
          <w:b w:val="0"/>
          <w:bCs w:val="0"/>
          <w:color w:val="auto"/>
          <w:kern w:val="2"/>
          <w:sz w:val="24"/>
          <w:szCs w:val="24"/>
          <w:lang w:val="en-US" w:eastAsia="zh-CN" w:bidi="ar-SA"/>
        </w:rPr>
        <w:t>最后</w:t>
      </w:r>
      <w:bookmarkEnd w:id="135"/>
      <w:r>
        <w:rPr>
          <w:rFonts w:hint="eastAsia" w:ascii="仿宋" w:hAnsi="仿宋" w:eastAsia="仿宋" w:cs="仿宋"/>
          <w:b w:val="0"/>
          <w:bCs w:val="0"/>
          <w:color w:val="auto"/>
          <w:kern w:val="2"/>
          <w:sz w:val="24"/>
          <w:szCs w:val="24"/>
          <w:lang w:val="en-US" w:eastAsia="zh-CN" w:bidi="ar-SA"/>
        </w:rPr>
        <w:t>提出的报价按由低到高顺序排列推荐成交候选供应商，最后报价也相同的，按供应商提供货物（或设备）技术指标（或质量标准）的优劣顺序进行排列推荐成交候选供应商。</w:t>
      </w:r>
    </w:p>
    <w:p w14:paraId="77E277E6">
      <w:pPr>
        <w:pStyle w:val="45"/>
        <w:spacing w:line="240" w:lineRule="auto"/>
        <w:ind w:firstLine="482"/>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2、评审</w:t>
      </w:r>
    </w:p>
    <w:p w14:paraId="2376D3BC">
      <w:pPr>
        <w:pStyle w:val="45"/>
        <w:spacing w:line="440" w:lineRule="exact"/>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2.1谈判小组从符合相应资格条件的供应商名单中确定不少于3家的供应商参加谈判。依《政府采购非招标采购方式管理办法》（财政部令第74号）第二十七条“公开招标的货物、服务采购项目，招标过程中提交谈判文件或者经评审实质性响应竞争性谈判文件要求的供应商只有两家时，采购人、采购代理机构按照财政部令第74号令第四条经本级财政部门批准后可以与该两家供应商进行竞争性谈判采购”，并向其提供谈判文件。</w:t>
      </w:r>
    </w:p>
    <w:p w14:paraId="64A03C8B">
      <w:pPr>
        <w:pStyle w:val="45"/>
        <w:spacing w:line="440" w:lineRule="exact"/>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2.2由谈判小组所有成员集中与单一供应商就谈判文件规定的具体内容（包括：价格、合同条款、质量保证、施工期限、付款方式、进度计划、验收、交付使用、售后服务等）分别进行谈判。在谈判中，谈判的任何一方不得透露与谈判有关的其他供应商的技术资料、价格和其他信息。</w:t>
      </w:r>
    </w:p>
    <w:p w14:paraId="10C4E45D">
      <w:pPr>
        <w:pStyle w:val="45"/>
        <w:spacing w:line="440" w:lineRule="exact"/>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2.3在谈判过程中，谈判小组可以根据谈判文件和谈判情况实质性变动采购需求中的技术、服务要求以及合同草案条款，但不得变动谈判文件中的其他内容。实质性变动的内容，须经采购人代表确认。</w:t>
      </w:r>
    </w:p>
    <w:p w14:paraId="7EDC8FBF">
      <w:pPr>
        <w:pStyle w:val="45"/>
        <w:spacing w:line="440" w:lineRule="exact"/>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对谈判文件作出的实质性变动是谈判文件的有效组成部分，谈判小组应当及时以书面形式同时通知所有参加谈判的供应商。</w:t>
      </w:r>
    </w:p>
    <w:p w14:paraId="48008324">
      <w:pPr>
        <w:pStyle w:val="45"/>
        <w:spacing w:line="440" w:lineRule="exact"/>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tbl>
      <w:tblPr>
        <w:tblStyle w:val="46"/>
        <w:tblW w:w="10114"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600"/>
        <w:gridCol w:w="7830"/>
        <w:gridCol w:w="583"/>
        <w:gridCol w:w="662"/>
      </w:tblGrid>
      <w:tr w14:paraId="4E20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439" w:type="dxa"/>
            <w:vMerge w:val="restart"/>
          </w:tcPr>
          <w:p w14:paraId="2328E5BB">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3861A486">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0DD247CD">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26375FEC">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009D053E">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6BF3FC84">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58F54E04">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7E0E788F">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295FEC94">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资格性评审</w:t>
            </w:r>
          </w:p>
        </w:tc>
        <w:tc>
          <w:tcPr>
            <w:tcW w:w="600" w:type="dxa"/>
            <w:vMerge w:val="restart"/>
          </w:tcPr>
          <w:p w14:paraId="71D3F88D">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7830" w:type="dxa"/>
            <w:vMerge w:val="restart"/>
          </w:tcPr>
          <w:p w14:paraId="74CDE916">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评审内容</w:t>
            </w:r>
          </w:p>
        </w:tc>
        <w:tc>
          <w:tcPr>
            <w:tcW w:w="1245" w:type="dxa"/>
            <w:gridSpan w:val="2"/>
          </w:tcPr>
          <w:p w14:paraId="0D1F7E6F">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评审方法</w:t>
            </w:r>
          </w:p>
        </w:tc>
      </w:tr>
      <w:tr w14:paraId="5382D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39" w:type="dxa"/>
            <w:vMerge w:val="continue"/>
          </w:tcPr>
          <w:p w14:paraId="07168C17">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Merge w:val="continue"/>
          </w:tcPr>
          <w:p w14:paraId="35BF0E6A">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7830" w:type="dxa"/>
            <w:vMerge w:val="continue"/>
          </w:tcPr>
          <w:p w14:paraId="04CE7935">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583" w:type="dxa"/>
            <w:vAlign w:val="top"/>
          </w:tcPr>
          <w:p w14:paraId="0971306A">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通过</w:t>
            </w:r>
          </w:p>
        </w:tc>
        <w:tc>
          <w:tcPr>
            <w:tcW w:w="662" w:type="dxa"/>
            <w:vAlign w:val="top"/>
          </w:tcPr>
          <w:p w14:paraId="0C061E67">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不通过</w:t>
            </w:r>
          </w:p>
        </w:tc>
      </w:tr>
      <w:tr w14:paraId="093DD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439" w:type="dxa"/>
            <w:vMerge w:val="continue"/>
          </w:tcPr>
          <w:p w14:paraId="6F063C72">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Pr>
          <w:p w14:paraId="14CA8CDF">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7830" w:type="dxa"/>
            <w:vAlign w:val="top"/>
          </w:tcPr>
          <w:p w14:paraId="1FBF849D">
            <w:pPr>
              <w:pStyle w:val="42"/>
              <w:keepNext w:val="0"/>
              <w:keepLines w:val="0"/>
              <w:suppressLineNumbers w:val="0"/>
              <w:shd w:val="clear" w:color="auto" w:fill="auto"/>
              <w:spacing w:before="75" w:beforeAutospacing="0" w:after="75"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定；</w:t>
            </w:r>
          </w:p>
        </w:tc>
        <w:tc>
          <w:tcPr>
            <w:tcW w:w="583" w:type="dxa"/>
          </w:tcPr>
          <w:p w14:paraId="54E3C709">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50EE3B75">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63421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39" w:type="dxa"/>
            <w:vMerge w:val="continue"/>
          </w:tcPr>
          <w:p w14:paraId="304520AE">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Pr>
          <w:p w14:paraId="6080AB19">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7830" w:type="dxa"/>
            <w:vAlign w:val="top"/>
          </w:tcPr>
          <w:p w14:paraId="7BA9AD77">
            <w:pPr>
              <w:pStyle w:val="42"/>
              <w:keepNext w:val="0"/>
              <w:keepLines w:val="0"/>
              <w:suppressLineNumbers w:val="0"/>
              <w:shd w:val="clear" w:color="auto" w:fill="auto"/>
              <w:spacing w:before="75" w:beforeAutospacing="0" w:after="75"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有依法缴纳税收和社会保障资金的良好记录：提供近段时间内连续三个月的完税证明或依法报税资料（新成立不足3个月的按实际情况发生提供，成立时间超过3个月的零申报的需提供依法报税资料）；提供近段时间内法人(指本单位)连续三个月的缴纳社保证明材料（新成立的公司按实际发生提供，如依法不需要缴纳社会保障资金的，应提供相应文件证明）；</w:t>
            </w:r>
          </w:p>
        </w:tc>
        <w:tc>
          <w:tcPr>
            <w:tcW w:w="583" w:type="dxa"/>
          </w:tcPr>
          <w:p w14:paraId="5CFAD352">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06192861">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0EC3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39" w:type="dxa"/>
            <w:vMerge w:val="continue"/>
          </w:tcPr>
          <w:p w14:paraId="2D2AFA28">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Pr>
          <w:p w14:paraId="2D26B102">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7830" w:type="dxa"/>
            <w:vAlign w:val="top"/>
          </w:tcPr>
          <w:p w14:paraId="0F9384EA">
            <w:pPr>
              <w:pStyle w:val="42"/>
              <w:keepNext w:val="0"/>
              <w:keepLines w:val="0"/>
              <w:suppressLineNumbers w:val="0"/>
              <w:shd w:val="clear" w:color="auto" w:fill="auto"/>
              <w:spacing w:before="75" w:beforeAutospacing="0" w:after="75"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具有良好的商业信誉和健全的财务会计制度：提供第三方审计机构出具的2024年度审计报告（2025年新成立的公司按实际发生的情况提供银行出具的资信证明）和健全的财务会计制度；</w:t>
            </w:r>
          </w:p>
        </w:tc>
        <w:tc>
          <w:tcPr>
            <w:tcW w:w="583" w:type="dxa"/>
          </w:tcPr>
          <w:p w14:paraId="4C288BE4">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5EB37D6F">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3E4A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39" w:type="dxa"/>
            <w:vMerge w:val="continue"/>
          </w:tcPr>
          <w:p w14:paraId="1140DDB9">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Pr>
          <w:p w14:paraId="1C9B9EE1">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7830" w:type="dxa"/>
            <w:vAlign w:val="top"/>
          </w:tcPr>
          <w:p w14:paraId="08123C03">
            <w:pPr>
              <w:pStyle w:val="42"/>
              <w:keepNext w:val="0"/>
              <w:keepLines w:val="0"/>
              <w:suppressLineNumbers w:val="0"/>
              <w:shd w:val="clear" w:color="auto" w:fill="auto"/>
              <w:spacing w:before="75" w:beforeAutospacing="0" w:after="75"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履行合同所必需的设备和专业技术能力：提供《投标供应商资格声明函》；</w:t>
            </w:r>
          </w:p>
        </w:tc>
        <w:tc>
          <w:tcPr>
            <w:tcW w:w="583" w:type="dxa"/>
          </w:tcPr>
          <w:p w14:paraId="43EE1B3C">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22310D2E">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0640F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39" w:type="dxa"/>
            <w:vMerge w:val="continue"/>
          </w:tcPr>
          <w:p w14:paraId="44E50F62">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Pr>
          <w:p w14:paraId="7D1AE00F">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w:t>
            </w:r>
          </w:p>
        </w:tc>
        <w:tc>
          <w:tcPr>
            <w:tcW w:w="7830" w:type="dxa"/>
            <w:vAlign w:val="top"/>
          </w:tcPr>
          <w:p w14:paraId="4DA9F666">
            <w:pPr>
              <w:pStyle w:val="42"/>
              <w:keepNext w:val="0"/>
              <w:keepLines w:val="0"/>
              <w:suppressLineNumbers w:val="0"/>
              <w:shd w:val="clear" w:color="auto" w:fill="auto"/>
              <w:spacing w:before="75" w:beforeAutospacing="0" w:after="75" w:afterAutospacing="0" w:line="240" w:lineRule="auto"/>
              <w:ind w:left="0" w:right="0"/>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en-US" w:eastAsia="zh-CN" w:bidi="ar-SA"/>
              </w:rPr>
              <w:t>近三年拟参加本次采购项目的投标供应商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583" w:type="dxa"/>
          </w:tcPr>
          <w:p w14:paraId="1C189822">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5E62C358">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0F37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39" w:type="dxa"/>
            <w:vMerge w:val="continue"/>
          </w:tcPr>
          <w:p w14:paraId="26F9D9B7">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Pr>
          <w:p w14:paraId="67AA78A2">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w:t>
            </w:r>
          </w:p>
        </w:tc>
        <w:tc>
          <w:tcPr>
            <w:tcW w:w="7830" w:type="dxa"/>
            <w:vAlign w:val="top"/>
          </w:tcPr>
          <w:p w14:paraId="320B5ADF">
            <w:pPr>
              <w:pStyle w:val="42"/>
              <w:keepNext w:val="0"/>
              <w:keepLines w:val="0"/>
              <w:suppressLineNumbers w:val="0"/>
              <w:shd w:val="clear" w:color="auto" w:fill="auto"/>
              <w:spacing w:before="75" w:beforeAutospacing="0" w:after="75" w:afterAutospacing="0" w:line="240" w:lineRule="auto"/>
              <w:ind w:left="0" w:right="0"/>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zh-CN" w:eastAsia="zh-CN" w:bidi="ar-SA"/>
              </w:rPr>
              <w:t>是否按照谈判文件的规定缴纳谈判保证金。</w:t>
            </w:r>
          </w:p>
        </w:tc>
        <w:tc>
          <w:tcPr>
            <w:tcW w:w="583" w:type="dxa"/>
          </w:tcPr>
          <w:p w14:paraId="21C27F06">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2ED7A1F3">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1273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39" w:type="dxa"/>
            <w:vMerge w:val="continue"/>
          </w:tcPr>
          <w:p w14:paraId="356B6E6A">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265E1A92">
            <w:pPr>
              <w:pStyle w:val="144"/>
              <w:keepNext w:val="0"/>
              <w:keepLines w:val="0"/>
              <w:suppressLineNumbers w:val="0"/>
              <w:spacing w:before="138" w:beforeAutospacing="0" w:after="0" w:afterAutospacing="0" w:line="240" w:lineRule="auto"/>
              <w:ind w:left="107" w:leftChars="0" w:right="0" w:right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w:t>
            </w:r>
          </w:p>
        </w:tc>
        <w:tc>
          <w:tcPr>
            <w:tcW w:w="7830" w:type="dxa"/>
            <w:vAlign w:val="top"/>
          </w:tcPr>
          <w:p w14:paraId="66576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企业负责人为同一人或者存在直接控股、管理关系的不同供应商，不得参加同一合同项下的政府采购活动（提供声明函），否则，皆取消投标资格；</w:t>
            </w:r>
          </w:p>
        </w:tc>
        <w:tc>
          <w:tcPr>
            <w:tcW w:w="583" w:type="dxa"/>
          </w:tcPr>
          <w:p w14:paraId="5D65F5BA">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426E86ED">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024C7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39" w:type="dxa"/>
            <w:vMerge w:val="continue"/>
          </w:tcPr>
          <w:p w14:paraId="46C31477">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4F158B37">
            <w:pPr>
              <w:pStyle w:val="144"/>
              <w:keepNext w:val="0"/>
              <w:keepLines w:val="0"/>
              <w:suppressLineNumbers w:val="0"/>
              <w:spacing w:before="138" w:beforeAutospacing="0" w:after="0" w:afterAutospacing="0" w:line="240" w:lineRule="auto"/>
              <w:ind w:left="107" w:leftChars="0" w:right="0" w:right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c>
          <w:tcPr>
            <w:tcW w:w="7830" w:type="dxa"/>
            <w:vAlign w:val="top"/>
          </w:tcPr>
          <w:p w14:paraId="6EC40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凡拟参加本次采购项目的供应商还须提供“参加政府采购活动前3年内在经营活动中没有重大违法记录的书面声明函。</w:t>
            </w:r>
          </w:p>
        </w:tc>
        <w:tc>
          <w:tcPr>
            <w:tcW w:w="583" w:type="dxa"/>
          </w:tcPr>
          <w:p w14:paraId="601E86CD">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46E590A9">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76DA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39" w:type="dxa"/>
            <w:vMerge w:val="continue"/>
          </w:tcPr>
          <w:p w14:paraId="6A3723F8">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6A8FF8D8">
            <w:pPr>
              <w:pStyle w:val="144"/>
              <w:keepNext w:val="0"/>
              <w:keepLines w:val="0"/>
              <w:suppressLineNumbers w:val="0"/>
              <w:spacing w:before="138" w:beforeAutospacing="0" w:after="0" w:afterAutospacing="0" w:line="240" w:lineRule="auto"/>
              <w:ind w:left="107" w:leftChars="0" w:right="0" w:right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w:t>
            </w:r>
          </w:p>
        </w:tc>
        <w:tc>
          <w:tcPr>
            <w:tcW w:w="7830" w:type="dxa"/>
            <w:vAlign w:val="top"/>
          </w:tcPr>
          <w:p w14:paraId="591F5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供应商应为小微企业，请根据要求单独上传《小微企业声明函》。格式以采购文件要求为准。</w:t>
            </w:r>
          </w:p>
        </w:tc>
        <w:tc>
          <w:tcPr>
            <w:tcW w:w="583" w:type="dxa"/>
          </w:tcPr>
          <w:p w14:paraId="02C80209">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53E71FC0">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16A5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9" w:type="dxa"/>
            <w:vMerge w:val="restart"/>
            <w:vAlign w:val="center"/>
          </w:tcPr>
          <w:p w14:paraId="67C9246E">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p>
          <w:p w14:paraId="7E788FE4">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p>
          <w:p w14:paraId="240881F6">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p>
          <w:p w14:paraId="2D3F1C72">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p>
          <w:p w14:paraId="1FBE2790">
            <w:pPr>
              <w:pStyle w:val="144"/>
              <w:keepNext w:val="0"/>
              <w:keepLines w:val="0"/>
              <w:suppressLineNumbers w:val="0"/>
              <w:spacing w:before="138" w:beforeAutospacing="0" w:after="0" w:afterAutospacing="0" w:line="240" w:lineRule="auto"/>
              <w:ind w:left="0"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符合性评审</w:t>
            </w:r>
          </w:p>
        </w:tc>
        <w:tc>
          <w:tcPr>
            <w:tcW w:w="600" w:type="dxa"/>
            <w:vAlign w:val="top"/>
          </w:tcPr>
          <w:p w14:paraId="79650825">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en-US" w:eastAsia="zh-CN" w:bidi="ar-SA"/>
              </w:rPr>
              <w:t>1</w:t>
            </w:r>
          </w:p>
        </w:tc>
        <w:tc>
          <w:tcPr>
            <w:tcW w:w="7830" w:type="dxa"/>
            <w:vAlign w:val="center"/>
          </w:tcPr>
          <w:p w14:paraId="05430416">
            <w:pPr>
              <w:pStyle w:val="30"/>
              <w:keepNext w:val="0"/>
              <w:keepLines w:val="0"/>
              <w:suppressLineNumbers w:val="0"/>
              <w:adjustRightInd/>
              <w:spacing w:before="0" w:beforeAutospacing="0" w:after="0" w:afterAutospacing="0" w:line="276" w:lineRule="auto"/>
              <w:ind w:left="0" w:right="-73" w:rightChars="-35"/>
              <w:jc w:val="both"/>
              <w:textAlignment w:val="auto"/>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en-US" w:eastAsia="zh-CN" w:bidi="ar-SA"/>
              </w:rPr>
              <w:t>是否按照规定在应由法定代表人或授权代表在所有规定签字处逐一签章及加盖单位公章</w:t>
            </w:r>
          </w:p>
        </w:tc>
        <w:tc>
          <w:tcPr>
            <w:tcW w:w="583" w:type="dxa"/>
          </w:tcPr>
          <w:p w14:paraId="5ED202C5">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7500CC4F">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2C56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39" w:type="dxa"/>
            <w:vMerge w:val="continue"/>
          </w:tcPr>
          <w:p w14:paraId="33E62101">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p w14:paraId="3A6AC5FB">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0DDDF9EF">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en-US" w:eastAsia="zh-CN" w:bidi="ar-SA"/>
              </w:rPr>
              <w:t>2</w:t>
            </w:r>
          </w:p>
        </w:tc>
        <w:tc>
          <w:tcPr>
            <w:tcW w:w="7830" w:type="dxa"/>
            <w:vAlign w:val="center"/>
          </w:tcPr>
          <w:p w14:paraId="5E354895">
            <w:pPr>
              <w:pStyle w:val="30"/>
              <w:keepNext w:val="0"/>
              <w:keepLines w:val="0"/>
              <w:suppressLineNumbers w:val="0"/>
              <w:adjustRightInd/>
              <w:spacing w:before="0" w:beforeAutospacing="0" w:after="0" w:afterAutospacing="0" w:line="276" w:lineRule="auto"/>
              <w:ind w:left="0" w:right="-73" w:rightChars="-35"/>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响应文件是否针对同一种货物或服务出现了两个或两个以上的报价；报价是否超过项目预算或最高限价或经谈判小组认定低于成本的</w:t>
            </w:r>
          </w:p>
        </w:tc>
        <w:tc>
          <w:tcPr>
            <w:tcW w:w="583" w:type="dxa"/>
          </w:tcPr>
          <w:p w14:paraId="341A2D26">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28F006F7">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4D0C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439" w:type="dxa"/>
            <w:vMerge w:val="continue"/>
          </w:tcPr>
          <w:p w14:paraId="24E2C267">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00D8ABD5">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7830" w:type="dxa"/>
            <w:vAlign w:val="center"/>
          </w:tcPr>
          <w:p w14:paraId="0B0B89B1">
            <w:pPr>
              <w:pStyle w:val="30"/>
              <w:keepNext w:val="0"/>
              <w:keepLines w:val="0"/>
              <w:suppressLineNumbers w:val="0"/>
              <w:adjustRightInd/>
              <w:spacing w:before="0" w:beforeAutospacing="0" w:after="0" w:afterAutospacing="0" w:line="276" w:lineRule="auto"/>
              <w:ind w:left="0" w:right="-73" w:rightChars="-35"/>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响应文件内容是否齐全或者内容虚假的；</w:t>
            </w:r>
          </w:p>
        </w:tc>
        <w:tc>
          <w:tcPr>
            <w:tcW w:w="583" w:type="dxa"/>
          </w:tcPr>
          <w:p w14:paraId="332B4818">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00983015">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3226C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439" w:type="dxa"/>
            <w:vMerge w:val="continue"/>
          </w:tcPr>
          <w:p w14:paraId="48BB7470">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Borders>
              <w:bottom w:val="single" w:color="auto" w:sz="4" w:space="0"/>
            </w:tcBorders>
            <w:vAlign w:val="top"/>
          </w:tcPr>
          <w:p w14:paraId="092872D0">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7830" w:type="dxa"/>
            <w:tcBorders>
              <w:bottom w:val="single" w:color="auto" w:sz="4" w:space="0"/>
            </w:tcBorders>
            <w:vAlign w:val="center"/>
          </w:tcPr>
          <w:p w14:paraId="15A1B2DD">
            <w:pPr>
              <w:pStyle w:val="30"/>
              <w:keepNext w:val="0"/>
              <w:keepLines w:val="0"/>
              <w:suppressLineNumbers w:val="0"/>
              <w:adjustRightInd/>
              <w:spacing w:before="0" w:beforeAutospacing="0" w:after="0" w:afterAutospacing="0" w:line="276" w:lineRule="auto"/>
              <w:ind w:left="0" w:right="-73" w:rightChars="-35"/>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是否按谈判文件规定递交保证金、保证金金额、保证金形式是否符合采购文件规定的</w:t>
            </w:r>
          </w:p>
        </w:tc>
        <w:tc>
          <w:tcPr>
            <w:tcW w:w="583" w:type="dxa"/>
            <w:vMerge w:val="restart"/>
          </w:tcPr>
          <w:p w14:paraId="74598316">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vMerge w:val="restart"/>
          </w:tcPr>
          <w:p w14:paraId="40D0E218">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69059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439" w:type="dxa"/>
            <w:vMerge w:val="continue"/>
          </w:tcPr>
          <w:p w14:paraId="51D3CC65">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tcBorders>
              <w:top w:val="single" w:color="auto" w:sz="4" w:space="0"/>
            </w:tcBorders>
            <w:vAlign w:val="top"/>
          </w:tcPr>
          <w:p w14:paraId="3396005E">
            <w:pPr>
              <w:pStyle w:val="144"/>
              <w:keepNext w:val="0"/>
              <w:keepLines w:val="0"/>
              <w:suppressLineNumbers w:val="0"/>
              <w:spacing w:before="138" w:beforeAutospacing="0" w:after="0" w:afterAutospacing="0" w:line="240" w:lineRule="auto"/>
              <w:ind w:left="107" w:right="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w:t>
            </w:r>
          </w:p>
        </w:tc>
        <w:tc>
          <w:tcPr>
            <w:tcW w:w="7830" w:type="dxa"/>
            <w:tcBorders>
              <w:top w:val="single" w:color="auto" w:sz="4" w:space="0"/>
            </w:tcBorders>
            <w:vAlign w:val="center"/>
          </w:tcPr>
          <w:p w14:paraId="10963B89">
            <w:pPr>
              <w:pStyle w:val="30"/>
              <w:keepNext w:val="0"/>
              <w:keepLines w:val="0"/>
              <w:suppressLineNumbers w:val="0"/>
              <w:adjustRightInd/>
              <w:spacing w:before="0" w:beforeAutospacing="0" w:after="0" w:afterAutospacing="0" w:line="276" w:lineRule="auto"/>
              <w:ind w:left="0" w:leftChars="0" w:right="-73" w:rightChars="-35"/>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谈判有效期是否满足谈判文件要求</w:t>
            </w:r>
          </w:p>
        </w:tc>
        <w:tc>
          <w:tcPr>
            <w:tcW w:w="583" w:type="dxa"/>
            <w:vMerge w:val="continue"/>
          </w:tcPr>
          <w:p w14:paraId="238F155E">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vMerge w:val="continue"/>
          </w:tcPr>
          <w:p w14:paraId="7B2A5BAD">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469D6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9" w:type="dxa"/>
            <w:vMerge w:val="continue"/>
          </w:tcPr>
          <w:p w14:paraId="6DE2C053">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35372791">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w:t>
            </w:r>
          </w:p>
        </w:tc>
        <w:tc>
          <w:tcPr>
            <w:tcW w:w="7830" w:type="dxa"/>
            <w:vAlign w:val="center"/>
          </w:tcPr>
          <w:p w14:paraId="3E39BCF2">
            <w:pPr>
              <w:pStyle w:val="30"/>
              <w:keepNext w:val="0"/>
              <w:keepLines w:val="0"/>
              <w:suppressLineNumbers w:val="0"/>
              <w:adjustRightInd/>
              <w:spacing w:before="0" w:beforeAutospacing="0" w:after="0" w:afterAutospacing="0" w:line="276" w:lineRule="auto"/>
              <w:ind w:left="0" w:leftChars="0" w:right="-73" w:rightChars="-35"/>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技术要求、商务需求是否满足谈判文件要求</w:t>
            </w:r>
          </w:p>
        </w:tc>
        <w:tc>
          <w:tcPr>
            <w:tcW w:w="583" w:type="dxa"/>
          </w:tcPr>
          <w:p w14:paraId="28E15055">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08FCF591">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0E2D8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39" w:type="dxa"/>
            <w:vMerge w:val="continue"/>
          </w:tcPr>
          <w:p w14:paraId="6DC638CC">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5C2E6390">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w:t>
            </w:r>
          </w:p>
        </w:tc>
        <w:tc>
          <w:tcPr>
            <w:tcW w:w="7830" w:type="dxa"/>
            <w:vAlign w:val="center"/>
          </w:tcPr>
          <w:p w14:paraId="46B22301">
            <w:pPr>
              <w:pStyle w:val="30"/>
              <w:keepNext w:val="0"/>
              <w:keepLines w:val="0"/>
              <w:suppressLineNumbers w:val="0"/>
              <w:adjustRightInd/>
              <w:spacing w:before="0" w:beforeAutospacing="0" w:after="0" w:afterAutospacing="0" w:line="276" w:lineRule="auto"/>
              <w:ind w:left="0" w:leftChars="0" w:right="-73" w:rightChars="-35"/>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响应文件是否含有采购人不能接受的附加条件的</w:t>
            </w:r>
          </w:p>
        </w:tc>
        <w:tc>
          <w:tcPr>
            <w:tcW w:w="583" w:type="dxa"/>
          </w:tcPr>
          <w:p w14:paraId="4D3DD02D">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23B6E8AE">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5EBE8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39" w:type="dxa"/>
            <w:vMerge w:val="continue"/>
          </w:tcPr>
          <w:p w14:paraId="30DD3176">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00" w:type="dxa"/>
            <w:vAlign w:val="top"/>
          </w:tcPr>
          <w:p w14:paraId="693ED5B1">
            <w:pPr>
              <w:pStyle w:val="144"/>
              <w:keepNext w:val="0"/>
              <w:keepLines w:val="0"/>
              <w:suppressLineNumbers w:val="0"/>
              <w:spacing w:before="138" w:beforeAutospacing="0" w:after="0" w:afterAutospacing="0" w:line="240" w:lineRule="auto"/>
              <w:ind w:left="107" w:right="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c>
          <w:tcPr>
            <w:tcW w:w="7830" w:type="dxa"/>
            <w:vAlign w:val="center"/>
          </w:tcPr>
          <w:p w14:paraId="0E2BC26E">
            <w:pPr>
              <w:pStyle w:val="30"/>
              <w:keepNext w:val="0"/>
              <w:keepLines w:val="0"/>
              <w:suppressLineNumbers w:val="0"/>
              <w:adjustRightInd/>
              <w:spacing w:before="0" w:beforeAutospacing="0" w:after="0" w:afterAutospacing="0" w:line="276" w:lineRule="auto"/>
              <w:ind w:left="0" w:leftChars="0" w:right="-73" w:rightChars="-35"/>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响应文件中是否存在违反国家法律、法规和采购文件规定的其他无效情形</w:t>
            </w:r>
          </w:p>
        </w:tc>
        <w:tc>
          <w:tcPr>
            <w:tcW w:w="583" w:type="dxa"/>
          </w:tcPr>
          <w:p w14:paraId="53C4234C">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c>
          <w:tcPr>
            <w:tcW w:w="662" w:type="dxa"/>
          </w:tcPr>
          <w:p w14:paraId="5A6F81FE">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p>
        </w:tc>
      </w:tr>
      <w:tr w14:paraId="394B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14" w:type="dxa"/>
            <w:gridSpan w:val="5"/>
          </w:tcPr>
          <w:p w14:paraId="515335BF">
            <w:pPr>
              <w:pStyle w:val="144"/>
              <w:keepNext w:val="0"/>
              <w:keepLines w:val="0"/>
              <w:suppressLineNumbers w:val="0"/>
              <w:spacing w:before="138" w:beforeAutospacing="0" w:after="0" w:afterAutospacing="0" w:line="240" w:lineRule="auto"/>
              <w:ind w:left="107"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以上有一项不通过结论为不通过，初步评审通过的投标供应商进入下阶段评审</w:t>
            </w:r>
          </w:p>
        </w:tc>
      </w:tr>
    </w:tbl>
    <w:p w14:paraId="2D622F46">
      <w:pPr>
        <w:shd w:val="clear" w:color="auto" w:fill="FFFFFF"/>
        <w:spacing w:line="440" w:lineRule="exact"/>
        <w:ind w:firstLine="482" w:firstLineChars="200"/>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3.谈判小组的权利</w:t>
      </w:r>
    </w:p>
    <w:p w14:paraId="4CF8E67F">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 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6B57F12F">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3.2谈判小组发现竞争性谈判文件存在歧义、重大缺陷导致评审工作无法进行，或者竞争性谈判文件内容违反国家有关强制性规定的，应当停止评审工作，与采购人或者采购代理机构沟通并作书面记录。采购人或者采购代理机构确认后，应当修改竞争性谈判文件，重新组织采购活动。</w:t>
      </w:r>
    </w:p>
    <w:p w14:paraId="5F71AA6D">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评审报告由谈判小组全体成员签字。谈判小组成员对需要共同认定的事项存在争议的，应当按照少数服从多数的原则作出结论。持不同意见的谈判小组成员应当在评审报告上签署不同意见及理由，否则视为同意评审报告。</w:t>
      </w:r>
    </w:p>
    <w:p w14:paraId="280BC0E5">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3.3.1评审结果汇总完成后，除下列情形外，任何人不得修改评审结果：</w:t>
      </w:r>
    </w:p>
    <w:p w14:paraId="7CDBEA48">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3.3.1.1分值汇总计算错误的；</w:t>
      </w:r>
    </w:p>
    <w:p w14:paraId="16F4B860">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3.3.1.2分项评分超出评分标准范围的；</w:t>
      </w:r>
    </w:p>
    <w:p w14:paraId="507F24EB">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3.3.1.3谈判小组成员对客观评审因素评分不一致的；</w:t>
      </w:r>
    </w:p>
    <w:p w14:paraId="76BE4151">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3.3.1.4经谈判小组认定评分畸高、畸低的。</w:t>
      </w:r>
    </w:p>
    <w:p w14:paraId="217D2466">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评审报告签署前，经复核发现存在以上情形之一的，谈判小组应当当场修改评审结果，并在评审报告中记载；评审报告签署后，采购人或者采购代理机构发现存在以上情形之一的，应当组织原谈判小组进行重新评审，重新评审改变评审结果的，书面报告本级财政部门。</w:t>
      </w:r>
    </w:p>
    <w:p w14:paraId="493AF4D5">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3.4谈判小组依据供应商须知前附表规定的评审方法，对供应商的响应文件进行评审和比较，供应商最终得分等于商务部分、技术部分、报价部分得分之和。谈判小组确定供应商最终得分和排名向采购人提出书面报告，并推荐合格的成交候选人。</w:t>
      </w:r>
    </w:p>
    <w:p w14:paraId="0DADD9D9">
      <w:pPr>
        <w:shd w:val="clear" w:color="auto" w:fill="FFFFFF"/>
        <w:spacing w:line="440" w:lineRule="exact"/>
        <w:ind w:firstLine="482" w:firstLineChars="200"/>
        <w:outlineLvl w:val="1"/>
        <w:rPr>
          <w:rFonts w:hint="eastAsia" w:ascii="仿宋" w:hAnsi="仿宋" w:eastAsia="仿宋" w:cs="仿宋"/>
          <w:b/>
          <w:bCs/>
          <w:color w:val="auto"/>
          <w:kern w:val="2"/>
          <w:sz w:val="24"/>
          <w:szCs w:val="24"/>
          <w:lang w:val="en-US" w:eastAsia="zh-CN" w:bidi="ar-SA"/>
        </w:rPr>
      </w:pPr>
      <w:bookmarkStart w:id="136" w:name="_Toc37090660"/>
      <w:bookmarkStart w:id="137" w:name="_Toc37090996"/>
      <w:bookmarkStart w:id="138" w:name="_Toc31479"/>
      <w:bookmarkStart w:id="139" w:name="_Toc37090995"/>
      <w:bookmarkStart w:id="140" w:name="_Toc37090659"/>
      <w:r>
        <w:rPr>
          <w:rFonts w:hint="eastAsia" w:ascii="仿宋" w:hAnsi="仿宋" w:eastAsia="仿宋" w:cs="仿宋"/>
          <w:b/>
          <w:bCs/>
          <w:color w:val="auto"/>
          <w:kern w:val="2"/>
          <w:sz w:val="24"/>
          <w:szCs w:val="24"/>
          <w:lang w:val="en-US" w:eastAsia="zh-CN" w:bidi="ar-SA"/>
        </w:rPr>
        <w:t>4. 谈判过程的保密</w:t>
      </w:r>
      <w:bookmarkEnd w:id="136"/>
      <w:bookmarkEnd w:id="137"/>
      <w:bookmarkEnd w:id="138"/>
    </w:p>
    <w:p w14:paraId="7A66F08D">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4.1凡属于对响应文件的审查、澄清、评价和比较有关的资料、成交候选人的推荐情况以及与谈判有关的其他任何情况，谈判小组成员和与谈判活动有关的工作人员不得对任何单位和个人透露。</w:t>
      </w:r>
    </w:p>
    <w:p w14:paraId="514DEDF7">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4.2 在响应文件的评审和比较、成交候选人推荐以及授予合同的过程中，供应商向采购人或者谈判小组施加影响的任何行为，都将会导致其响应文件被拒绝。</w:t>
      </w:r>
    </w:p>
    <w:p w14:paraId="4566B08B">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4.3成交供应商确定后，采购人不对未成交供应商就评审过程以及未能成交原因做出任何解释。未成交供应商不得向谈判小组组成人员或者其他有关人员索问评审过程的情况和材料。</w:t>
      </w:r>
    </w:p>
    <w:p w14:paraId="7CAE2CE8">
      <w:pPr>
        <w:shd w:val="clear" w:color="auto" w:fill="FFFFFF"/>
        <w:spacing w:line="440" w:lineRule="exact"/>
        <w:ind w:firstLine="482" w:firstLineChars="200"/>
        <w:outlineLvl w:val="1"/>
        <w:rPr>
          <w:rFonts w:hint="eastAsia" w:ascii="仿宋" w:hAnsi="仿宋" w:eastAsia="仿宋" w:cs="仿宋"/>
          <w:b/>
          <w:bCs/>
          <w:color w:val="auto"/>
          <w:kern w:val="2"/>
          <w:sz w:val="24"/>
          <w:szCs w:val="24"/>
          <w:lang w:val="en-US" w:eastAsia="zh-CN" w:bidi="ar-SA"/>
        </w:rPr>
      </w:pPr>
      <w:bookmarkStart w:id="141" w:name="_Toc24415"/>
      <w:r>
        <w:rPr>
          <w:rFonts w:hint="eastAsia" w:ascii="仿宋" w:hAnsi="仿宋" w:eastAsia="仿宋" w:cs="仿宋"/>
          <w:b/>
          <w:bCs/>
          <w:color w:val="auto"/>
          <w:kern w:val="2"/>
          <w:sz w:val="24"/>
          <w:szCs w:val="24"/>
          <w:lang w:val="en-US" w:eastAsia="zh-CN" w:bidi="ar-SA"/>
        </w:rPr>
        <w:t>5确定成交供应商</w:t>
      </w:r>
    </w:p>
    <w:p w14:paraId="461B93C3">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5.1谈判结束后，谈判小组应当要求所有继续参加谈判的供应商在规定时间内提交最后报价，提交最后报价的供应商不得少于3家，但符合《政府采购非招标采购方式管理办法》（财政部令第74号）第二十七条（一）：“招标后没有供应商投标或者没有合格标的，或者重新招标未能成立的”情形的规定，提交最后报价的供应商最低数量可以为两家。采购人从谈判小组提出的成交候选人中根据符合采购需求、质量和服务相等且报价最低的原则确定成交供应商，并将结果通知所有参加谈判的供应商。</w:t>
      </w:r>
    </w:p>
    <w:p w14:paraId="0E78A30A">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5.2已提交响应文件的供应商，在提交最后报价之前，可以根据谈判情况退出谈判。采购人、采购代理机构应当退还退出谈判的供应商的保证金。</w:t>
      </w:r>
    </w:p>
    <w:p w14:paraId="5EA4DE77">
      <w:pPr>
        <w:shd w:val="clear" w:color="auto" w:fill="FFFFFF"/>
        <w:spacing w:line="440" w:lineRule="exact"/>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5.3提交的最后报价应按谈判文件规定的格式进行填报。谈判小组应当从质量和服务均能满足采购文件实质性响应要求的供应商中，</w:t>
      </w:r>
      <w:bookmarkStart w:id="142" w:name="_Hlk505084447"/>
      <w:r>
        <w:rPr>
          <w:rFonts w:hint="eastAsia" w:ascii="仿宋" w:hAnsi="仿宋" w:eastAsia="仿宋" w:cs="仿宋"/>
          <w:b w:val="0"/>
          <w:bCs w:val="0"/>
          <w:color w:val="auto"/>
          <w:kern w:val="2"/>
          <w:sz w:val="24"/>
          <w:szCs w:val="24"/>
          <w:lang w:val="en-US" w:eastAsia="zh-CN" w:bidi="ar-SA"/>
        </w:rPr>
        <w:t>按照最后报价由低到高的顺序推荐3名成交候选人</w:t>
      </w:r>
      <w:bookmarkEnd w:id="142"/>
      <w:r>
        <w:rPr>
          <w:rFonts w:hint="eastAsia" w:ascii="仿宋" w:hAnsi="仿宋" w:eastAsia="仿宋" w:cs="仿宋"/>
          <w:b w:val="0"/>
          <w:bCs w:val="0"/>
          <w:color w:val="auto"/>
          <w:kern w:val="2"/>
          <w:sz w:val="24"/>
          <w:szCs w:val="24"/>
          <w:lang w:val="en-US" w:eastAsia="zh-CN" w:bidi="ar-SA"/>
        </w:rPr>
        <w:t>（报价最低的为第一成交候选人、次低报价的为第二成交候选人，以此类推）。谈判最后报价也相同的，按供应商提供货物技术指标（或质量标准）的优劣顺序进行排列（由谈判小组票决决定）推荐成交候选供应商。出现但符合《政府采购非招标采购方式管理办法》（财政部令第74号）第二十七条（一）情形的，按照最后报价由低到高的顺序推荐的成交候选人可以是2名。</w:t>
      </w:r>
    </w:p>
    <w:p w14:paraId="3D2849E1">
      <w:pPr>
        <w:shd w:val="clear" w:color="auto" w:fill="FFFFFF"/>
        <w:spacing w:line="440" w:lineRule="exact"/>
        <w:ind w:firstLine="482" w:firstLineChars="200"/>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6. 定标原则</w:t>
      </w:r>
      <w:bookmarkEnd w:id="139"/>
      <w:bookmarkEnd w:id="140"/>
      <w:bookmarkEnd w:id="141"/>
    </w:p>
    <w:p w14:paraId="1F6CF4C6">
      <w:pPr>
        <w:shd w:val="clear" w:color="auto" w:fill="FFFFFF"/>
        <w:spacing w:line="440" w:lineRule="exact"/>
        <w:ind w:firstLine="484" w:firstLineChars="20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6.1 谈判小组依据供应商须知前附表规定的评审方法和标准，按照得分由高到低的顺序进行排序，最终将前三名作为成交候选人推荐给采购人。</w:t>
      </w:r>
    </w:p>
    <w:p w14:paraId="326B23EE">
      <w:pPr>
        <w:shd w:val="clear" w:color="auto" w:fill="FFFFFF"/>
        <w:spacing w:line="440" w:lineRule="exact"/>
        <w:ind w:firstLine="484" w:firstLineChars="20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6.2 采购代理机构应当在评审结束后2个工作日内将评审报告送采购人。采购人应当自收到评审报告之日起５个工作日内，在评审报告确定的成交候选人名单中按顺序确定成交供应商。</w:t>
      </w:r>
    </w:p>
    <w:p w14:paraId="0152932F">
      <w:pPr>
        <w:shd w:val="clear" w:color="auto" w:fill="FFFFFF"/>
        <w:spacing w:line="440" w:lineRule="exact"/>
        <w:ind w:firstLine="484" w:firstLineChars="20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6.3成交供应商拒绝与采购人签订合同的，采购人可以按照评审报告推荐的成交供应商名单排序，确定下一候选人为成交供应商，也可以重新开展政府采购活动。</w:t>
      </w:r>
    </w:p>
    <w:p w14:paraId="514206AF">
      <w:pPr>
        <w:shd w:val="clear" w:color="auto" w:fill="FFFFFF"/>
        <w:spacing w:line="440" w:lineRule="exact"/>
        <w:ind w:firstLine="484" w:firstLineChars="20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6.4 出现下列情形之一的，本项目予以废标，重新开展采购活动。</w:t>
      </w:r>
    </w:p>
    <w:p w14:paraId="02987097">
      <w:pPr>
        <w:shd w:val="clear" w:color="auto" w:fill="FFFFFF"/>
        <w:spacing w:line="440" w:lineRule="exact"/>
        <w:ind w:firstLine="484" w:firstLineChars="20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6.4.1 符合专业条件的供应商或者对竞争性谈判文件作实质响应的供应商不足法定家数的；</w:t>
      </w:r>
    </w:p>
    <w:p w14:paraId="578A4F6A">
      <w:pPr>
        <w:shd w:val="clear" w:color="auto" w:fill="FFFFFF"/>
        <w:spacing w:line="440" w:lineRule="exact"/>
        <w:ind w:firstLine="484" w:firstLineChars="20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6.4.2出现影响采购公正的违法、违规行为的；</w:t>
      </w:r>
    </w:p>
    <w:p w14:paraId="70CDEC94">
      <w:pPr>
        <w:shd w:val="clear" w:color="auto" w:fill="FFFFFF"/>
        <w:spacing w:line="440" w:lineRule="exact"/>
        <w:ind w:firstLine="484" w:firstLineChars="20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6.4.3 因重大变故，采购任务取消的。</w:t>
      </w:r>
    </w:p>
    <w:p w14:paraId="398ABA25">
      <w:pPr>
        <w:rPr>
          <w:rFonts w:hint="eastAsia" w:ascii="仿宋" w:hAnsi="仿宋" w:eastAsia="仿宋" w:cs="仿宋"/>
          <w:sz w:val="24"/>
          <w:szCs w:val="24"/>
          <w:lang w:val="en-US" w:eastAsia="zh-CN"/>
        </w:rPr>
      </w:pPr>
    </w:p>
    <w:p w14:paraId="03452239">
      <w:pPr>
        <w:pStyle w:val="55"/>
        <w:rPr>
          <w:rFonts w:hint="eastAsia" w:ascii="仿宋" w:hAnsi="仿宋" w:eastAsia="仿宋" w:cs="仿宋"/>
          <w:sz w:val="24"/>
          <w:szCs w:val="24"/>
        </w:rPr>
        <w:sectPr>
          <w:footerReference r:id="rId11" w:type="default"/>
          <w:pgSz w:w="11910" w:h="16840"/>
          <w:pgMar w:top="1440" w:right="1080" w:bottom="1440" w:left="1080" w:header="0" w:footer="1037" w:gutter="0"/>
          <w:cols w:space="720" w:num="1"/>
        </w:sectPr>
      </w:pPr>
    </w:p>
    <w:bookmarkEnd w:id="48"/>
    <w:bookmarkEnd w:id="49"/>
    <w:p w14:paraId="06865890">
      <w:pPr>
        <w:pStyle w:val="22"/>
        <w:jc w:val="center"/>
        <w:outlineLvl w:val="0"/>
        <w:rPr>
          <w:rFonts w:hint="eastAsia" w:ascii="仿宋" w:hAnsi="仿宋" w:eastAsia="仿宋" w:cs="仿宋"/>
          <w:b w:val="0"/>
          <w:bCs w:val="0"/>
          <w:color w:val="auto"/>
          <w:kern w:val="0"/>
          <w:sz w:val="44"/>
          <w:szCs w:val="44"/>
        </w:rPr>
      </w:pPr>
      <w:bookmarkStart w:id="143" w:name="_Toc24247"/>
      <w:r>
        <w:rPr>
          <w:rFonts w:hint="eastAsia" w:ascii="仿宋" w:hAnsi="仿宋" w:eastAsia="仿宋" w:cs="仿宋"/>
          <w:b/>
          <w:bCs/>
          <w:color w:val="auto"/>
          <w:sz w:val="44"/>
          <w:szCs w:val="44"/>
        </w:rPr>
        <w:t>第五章 合同条款</w:t>
      </w:r>
      <w:bookmarkEnd w:id="143"/>
    </w:p>
    <w:p w14:paraId="2607C386">
      <w:pPr>
        <w:rPr>
          <w:rFonts w:hint="eastAsia" w:ascii="仿宋" w:hAnsi="仿宋" w:eastAsia="仿宋" w:cs="仿宋"/>
          <w:b w:val="0"/>
          <w:bCs w:val="0"/>
          <w:color w:val="auto"/>
          <w:kern w:val="0"/>
          <w:sz w:val="21"/>
          <w:szCs w:val="21"/>
        </w:rPr>
      </w:pPr>
    </w:p>
    <w:p w14:paraId="5F224586">
      <w:pPr>
        <w:pStyle w:val="70"/>
        <w:ind w:firstLine="0"/>
        <w:rPr>
          <w:rFonts w:hint="eastAsia" w:ascii="仿宋" w:hAnsi="仿宋" w:eastAsia="仿宋" w:cs="仿宋"/>
          <w:color w:val="auto"/>
          <w:sz w:val="24"/>
          <w:szCs w:val="24"/>
        </w:rPr>
      </w:pPr>
    </w:p>
    <w:p w14:paraId="339E21D2">
      <w:pPr>
        <w:pStyle w:val="70"/>
        <w:ind w:firstLine="0"/>
        <w:rPr>
          <w:rFonts w:hint="eastAsia" w:ascii="仿宋" w:hAnsi="仿宋" w:eastAsia="仿宋" w:cs="仿宋"/>
          <w:color w:val="auto"/>
          <w:sz w:val="24"/>
          <w:szCs w:val="24"/>
        </w:rPr>
      </w:pPr>
    </w:p>
    <w:p w14:paraId="2EFE4C23">
      <w:pPr>
        <w:ind w:left="1600" w:hanging="1606" w:hangingChars="500"/>
        <w:jc w:val="left"/>
        <w:rPr>
          <w:rFonts w:hint="eastAsia" w:ascii="仿宋" w:hAnsi="仿宋" w:eastAsia="仿宋" w:cs="仿宋"/>
          <w:b/>
          <w:bCs/>
          <w:sz w:val="32"/>
          <w:szCs w:val="32"/>
          <w:u w:val="single"/>
          <w:lang w:eastAsia="zh-CN"/>
        </w:rPr>
      </w:pPr>
      <w:r>
        <w:rPr>
          <w:rFonts w:hint="eastAsia" w:ascii="仿宋" w:hAnsi="仿宋" w:eastAsia="仿宋" w:cs="仿宋"/>
          <w:b/>
          <w:bCs/>
          <w:sz w:val="32"/>
          <w:szCs w:val="32"/>
          <w:u w:val="none"/>
        </w:rPr>
        <w:t>和田市教育系统2024年支持学前教育发展资金项目（设备采购</w:t>
      </w:r>
      <w:r>
        <w:rPr>
          <w:rFonts w:hint="eastAsia" w:ascii="仿宋" w:hAnsi="仿宋" w:eastAsia="仿宋" w:cs="仿宋"/>
          <w:b/>
          <w:bCs/>
          <w:sz w:val="32"/>
          <w:szCs w:val="32"/>
          <w:u w:val="none"/>
          <w:lang w:eastAsia="zh-CN"/>
        </w:rPr>
        <w:t>）</w:t>
      </w:r>
    </w:p>
    <w:p w14:paraId="4D19A4C7">
      <w:pPr>
        <w:rPr>
          <w:rFonts w:hint="eastAsia" w:ascii="仿宋" w:hAnsi="仿宋" w:eastAsia="仿宋" w:cs="仿宋"/>
          <w:sz w:val="32"/>
          <w:szCs w:val="32"/>
        </w:rPr>
      </w:pPr>
    </w:p>
    <w:p w14:paraId="15C8A788">
      <w:pPr>
        <w:pStyle w:val="6"/>
        <w:jc w:val="center"/>
        <w:rPr>
          <w:rFonts w:hint="eastAsia" w:ascii="仿宋" w:hAnsi="仿宋" w:eastAsia="仿宋" w:cs="仿宋"/>
          <w:lang w:val="en-US" w:eastAsia="zh-CN"/>
        </w:rPr>
      </w:pPr>
      <w:r>
        <w:rPr>
          <w:rFonts w:hint="eastAsia" w:ascii="仿宋" w:hAnsi="仿宋" w:eastAsia="仿宋" w:cs="仿宋"/>
          <w:lang w:val="en-US" w:eastAsia="zh-CN"/>
        </w:rPr>
        <w:t>（参考合同模板）</w:t>
      </w:r>
    </w:p>
    <w:p w14:paraId="34680AA5">
      <w:pPr>
        <w:keepNext/>
        <w:keepLines/>
        <w:tabs>
          <w:tab w:val="center" w:pos="4214"/>
          <w:tab w:val="right" w:pos="8306"/>
        </w:tabs>
        <w:kinsoku w:val="0"/>
        <w:spacing w:line="312" w:lineRule="auto"/>
        <w:jc w:val="center"/>
        <w:outlineLvl w:val="0"/>
        <w:rPr>
          <w:rFonts w:hint="eastAsia" w:ascii="仿宋" w:hAnsi="仿宋" w:eastAsia="仿宋" w:cs="仿宋"/>
          <w:b/>
          <w:bCs/>
          <w:sz w:val="44"/>
          <w:szCs w:val="44"/>
        </w:rPr>
      </w:pPr>
      <w:bookmarkStart w:id="144" w:name="_Toc24042"/>
      <w:bookmarkStart w:id="145" w:name="_Toc12667"/>
      <w:bookmarkStart w:id="146" w:name="_Toc27792"/>
      <w:bookmarkStart w:id="147" w:name="_Toc29895"/>
      <w:bookmarkStart w:id="148" w:name="_Toc30008"/>
      <w:bookmarkStart w:id="149" w:name="_Toc30054"/>
      <w:bookmarkStart w:id="150" w:name="_Toc32255"/>
      <w:bookmarkStart w:id="151" w:name="_Toc19748"/>
      <w:bookmarkStart w:id="152" w:name="_Toc1698"/>
      <w:r>
        <w:rPr>
          <w:rFonts w:hint="eastAsia" w:ascii="仿宋" w:hAnsi="仿宋" w:eastAsia="仿宋" w:cs="仿宋"/>
          <w:b/>
          <w:bCs/>
          <w:sz w:val="44"/>
          <w:szCs w:val="44"/>
        </w:rPr>
        <w:t>采购协议书</w:t>
      </w:r>
      <w:bookmarkEnd w:id="144"/>
      <w:bookmarkEnd w:id="145"/>
      <w:bookmarkEnd w:id="146"/>
      <w:bookmarkEnd w:id="147"/>
      <w:bookmarkEnd w:id="148"/>
      <w:bookmarkEnd w:id="149"/>
      <w:bookmarkEnd w:id="150"/>
      <w:bookmarkEnd w:id="151"/>
      <w:bookmarkEnd w:id="152"/>
    </w:p>
    <w:p w14:paraId="165715D2">
      <w:pPr>
        <w:keepNext/>
        <w:keepLines/>
        <w:tabs>
          <w:tab w:val="center" w:pos="4214"/>
          <w:tab w:val="right" w:pos="8306"/>
        </w:tabs>
        <w:kinsoku w:val="0"/>
        <w:spacing w:line="312" w:lineRule="auto"/>
        <w:jc w:val="left"/>
        <w:rPr>
          <w:rFonts w:hint="eastAsia" w:ascii="仿宋" w:hAnsi="仿宋" w:eastAsia="仿宋" w:cs="仿宋"/>
          <w:b/>
          <w:bCs/>
          <w:sz w:val="32"/>
          <w:szCs w:val="32"/>
        </w:rPr>
      </w:pPr>
    </w:p>
    <w:p w14:paraId="0D8F00DF">
      <w:pPr>
        <w:keepNext/>
        <w:keepLines/>
        <w:tabs>
          <w:tab w:val="center" w:pos="4214"/>
          <w:tab w:val="right" w:pos="8306"/>
        </w:tabs>
        <w:kinsoku w:val="0"/>
        <w:spacing w:line="312" w:lineRule="auto"/>
        <w:ind w:firstLine="1484" w:firstLineChars="462"/>
        <w:jc w:val="left"/>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val="en-US" w:eastAsia="zh-CN"/>
        </w:rPr>
        <w:t xml:space="preserve"> </w:t>
      </w:r>
    </w:p>
    <w:p w14:paraId="62B2C82A">
      <w:pPr>
        <w:pStyle w:val="16"/>
        <w:keepNext/>
        <w:keepLines/>
        <w:kinsoku w:val="0"/>
        <w:spacing w:line="312" w:lineRule="auto"/>
        <w:rPr>
          <w:rFonts w:hint="eastAsia" w:ascii="仿宋" w:hAnsi="仿宋" w:eastAsia="仿宋" w:cs="仿宋"/>
          <w:sz w:val="32"/>
          <w:szCs w:val="32"/>
        </w:rPr>
      </w:pPr>
    </w:p>
    <w:p w14:paraId="419400CD">
      <w:pPr>
        <w:rPr>
          <w:rFonts w:hint="eastAsia" w:ascii="仿宋" w:hAnsi="仿宋" w:eastAsia="仿宋" w:cs="仿宋"/>
        </w:rPr>
      </w:pPr>
    </w:p>
    <w:p w14:paraId="191D6EAC">
      <w:pPr>
        <w:keepNext/>
        <w:keepLines/>
        <w:tabs>
          <w:tab w:val="center" w:pos="4214"/>
          <w:tab w:val="right" w:pos="8306"/>
        </w:tabs>
        <w:kinsoku w:val="0"/>
        <w:spacing w:line="312" w:lineRule="auto"/>
        <w:jc w:val="center"/>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2025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x月</w:t>
      </w:r>
      <w:r>
        <w:rPr>
          <w:rFonts w:hint="eastAsia" w:ascii="仿宋" w:hAnsi="仿宋" w:eastAsia="仿宋" w:cs="仿宋"/>
          <w:b/>
          <w:bCs/>
          <w:sz w:val="32"/>
          <w:szCs w:val="32"/>
        </w:rPr>
        <w:t>】</w:t>
      </w:r>
    </w:p>
    <w:p w14:paraId="62329AA1">
      <w:pPr>
        <w:pStyle w:val="2"/>
        <w:keepNext/>
        <w:keepLines/>
        <w:kinsoku w:val="0"/>
        <w:spacing w:line="312" w:lineRule="auto"/>
        <w:ind w:left="1747" w:firstLine="542"/>
        <w:rPr>
          <w:rFonts w:hint="eastAsia" w:ascii="仿宋" w:hAnsi="仿宋" w:eastAsia="仿宋" w:cs="仿宋"/>
          <w:b/>
          <w:bCs/>
        </w:rPr>
      </w:pPr>
    </w:p>
    <w:p w14:paraId="1E37956F">
      <w:pPr>
        <w:keepNext/>
        <w:keepLines/>
        <w:tabs>
          <w:tab w:val="center" w:pos="4214"/>
          <w:tab w:val="right" w:pos="8306"/>
        </w:tabs>
        <w:kinsoku w:val="0"/>
        <w:spacing w:line="312" w:lineRule="auto"/>
        <w:jc w:val="center"/>
        <w:rPr>
          <w:rFonts w:hint="eastAsia" w:ascii="仿宋" w:hAnsi="仿宋" w:eastAsia="仿宋" w:cs="仿宋"/>
          <w:b/>
          <w:bCs/>
          <w:sz w:val="24"/>
          <w:szCs w:val="24"/>
        </w:rPr>
      </w:pPr>
    </w:p>
    <w:p w14:paraId="20AF271D">
      <w:pPr>
        <w:keepNext/>
        <w:keepLines/>
        <w:kinsoku w:val="0"/>
        <w:spacing w:line="312" w:lineRule="auto"/>
        <w:rPr>
          <w:rFonts w:hint="eastAsia" w:ascii="仿宋" w:hAnsi="仿宋" w:eastAsia="仿宋" w:cs="仿宋"/>
          <w:b/>
          <w:sz w:val="24"/>
          <w:szCs w:val="24"/>
        </w:rPr>
      </w:pPr>
    </w:p>
    <w:p w14:paraId="43659EA2">
      <w:pPr>
        <w:pStyle w:val="16"/>
        <w:keepNext/>
        <w:keepLines/>
        <w:kinsoku w:val="0"/>
        <w:spacing w:line="312" w:lineRule="auto"/>
        <w:rPr>
          <w:rFonts w:hint="eastAsia" w:ascii="仿宋" w:hAnsi="仿宋" w:eastAsia="仿宋" w:cs="仿宋"/>
          <w:b/>
          <w:szCs w:val="24"/>
        </w:rPr>
      </w:pPr>
    </w:p>
    <w:p w14:paraId="48D55912">
      <w:pPr>
        <w:pStyle w:val="29"/>
        <w:rPr>
          <w:rFonts w:hint="eastAsia" w:ascii="仿宋" w:hAnsi="仿宋" w:eastAsia="仿宋" w:cs="仿宋"/>
          <w:b/>
          <w:szCs w:val="24"/>
        </w:rPr>
      </w:pPr>
    </w:p>
    <w:p w14:paraId="4D4E127E">
      <w:pPr>
        <w:pStyle w:val="29"/>
        <w:rPr>
          <w:rFonts w:hint="eastAsia" w:ascii="仿宋" w:hAnsi="仿宋" w:eastAsia="仿宋" w:cs="仿宋"/>
          <w:b/>
          <w:szCs w:val="24"/>
        </w:rPr>
      </w:pPr>
    </w:p>
    <w:p w14:paraId="21159E14">
      <w:pPr>
        <w:keepNext/>
        <w:keepLines/>
        <w:kinsoku w:val="0"/>
        <w:spacing w:line="312" w:lineRule="auto"/>
        <w:rPr>
          <w:rFonts w:hint="eastAsia" w:ascii="仿宋" w:hAnsi="仿宋" w:eastAsia="仿宋" w:cs="仿宋"/>
          <w:b/>
          <w:sz w:val="24"/>
          <w:szCs w:val="24"/>
        </w:rPr>
      </w:pPr>
    </w:p>
    <w:p w14:paraId="4FF78D89">
      <w:pPr>
        <w:rPr>
          <w:rFonts w:hint="eastAsia" w:ascii="仿宋" w:hAnsi="仿宋" w:eastAsia="仿宋" w:cs="仿宋"/>
          <w:sz w:val="24"/>
          <w:szCs w:val="24"/>
        </w:rPr>
      </w:pPr>
    </w:p>
    <w:p w14:paraId="1A9C5006">
      <w:pPr>
        <w:keepNext/>
        <w:keepLines/>
        <w:tabs>
          <w:tab w:val="left" w:pos="850"/>
        </w:tabs>
        <w:kinsoku w:val="0"/>
        <w:spacing w:line="312" w:lineRule="auto"/>
        <w:ind w:left="1447" w:leftChars="400" w:hanging="607" w:hangingChars="252"/>
        <w:textAlignment w:val="bottom"/>
        <w:rPr>
          <w:rFonts w:hint="eastAsia" w:ascii="仿宋" w:hAnsi="仿宋" w:eastAsia="仿宋" w:cs="仿宋"/>
          <w:b/>
          <w:sz w:val="24"/>
          <w:szCs w:val="24"/>
          <w:u w:val="single"/>
          <w:lang w:val="en-US" w:eastAsia="zh-CN"/>
        </w:rPr>
      </w:pPr>
      <w:r>
        <w:rPr>
          <w:rFonts w:hint="eastAsia" w:ascii="仿宋" w:hAnsi="仿宋" w:eastAsia="仿宋" w:cs="仿宋"/>
          <w:b/>
          <w:sz w:val="24"/>
          <w:szCs w:val="24"/>
        </w:rPr>
        <w:t>甲方(需方)：</w:t>
      </w:r>
      <w:r>
        <w:rPr>
          <w:rFonts w:hint="eastAsia" w:ascii="仿宋" w:hAnsi="仿宋" w:eastAsia="仿宋" w:cs="仿宋"/>
          <w:b/>
          <w:sz w:val="24"/>
          <w:szCs w:val="24"/>
          <w:u w:val="single"/>
          <w:lang w:val="en-US" w:eastAsia="zh-CN"/>
        </w:rPr>
        <w:t xml:space="preserve">                            </w:t>
      </w:r>
    </w:p>
    <w:p w14:paraId="6A21EF8B">
      <w:pPr>
        <w:keepNext/>
        <w:keepLines/>
        <w:tabs>
          <w:tab w:val="left" w:pos="850"/>
        </w:tabs>
        <w:kinsoku w:val="0"/>
        <w:spacing w:line="312" w:lineRule="auto"/>
        <w:ind w:left="1447" w:leftChars="400" w:hanging="607" w:hangingChars="252"/>
        <w:textAlignment w:val="bottom"/>
        <w:rPr>
          <w:rFonts w:hint="eastAsia" w:ascii="仿宋" w:hAnsi="仿宋" w:eastAsia="仿宋" w:cs="仿宋"/>
          <w:b/>
          <w:sz w:val="24"/>
          <w:szCs w:val="24"/>
          <w:u w:val="single"/>
        </w:rPr>
      </w:pPr>
    </w:p>
    <w:p w14:paraId="3FCCDF19">
      <w:pPr>
        <w:pStyle w:val="16"/>
        <w:ind w:left="1444" w:leftChars="400" w:hanging="604" w:hangingChars="252"/>
        <w:rPr>
          <w:rFonts w:hint="eastAsia" w:ascii="仿宋" w:hAnsi="仿宋" w:eastAsia="仿宋" w:cs="仿宋"/>
        </w:rPr>
      </w:pPr>
    </w:p>
    <w:p w14:paraId="4E5CAE07">
      <w:pPr>
        <w:pStyle w:val="36"/>
        <w:keepNext/>
        <w:keepLines/>
        <w:kinsoku w:val="0"/>
        <w:spacing w:line="312" w:lineRule="auto"/>
        <w:ind w:left="1444" w:leftChars="400" w:hanging="604" w:hangingChars="252"/>
        <w:rPr>
          <w:rFonts w:hint="eastAsia" w:ascii="仿宋" w:hAnsi="仿宋" w:eastAsia="仿宋" w:cs="仿宋"/>
          <w:sz w:val="24"/>
          <w:szCs w:val="24"/>
        </w:rPr>
      </w:pPr>
    </w:p>
    <w:p w14:paraId="6C41BE88">
      <w:pPr>
        <w:pStyle w:val="36"/>
        <w:keepNext/>
        <w:keepLines/>
        <w:kinsoku w:val="0"/>
        <w:spacing w:line="312" w:lineRule="auto"/>
        <w:ind w:left="1444" w:leftChars="400" w:hanging="604" w:hangingChars="252"/>
        <w:rPr>
          <w:rFonts w:hint="eastAsia" w:ascii="仿宋" w:hAnsi="仿宋" w:eastAsia="仿宋" w:cs="仿宋"/>
          <w:sz w:val="24"/>
          <w:szCs w:val="24"/>
        </w:rPr>
      </w:pPr>
    </w:p>
    <w:p w14:paraId="3A7802F7">
      <w:pPr>
        <w:keepNext/>
        <w:keepLines/>
        <w:pageBreakBefore w:val="0"/>
        <w:widowControl w:val="0"/>
        <w:tabs>
          <w:tab w:val="left" w:pos="850"/>
        </w:tabs>
        <w:kinsoku w:val="0"/>
        <w:wordWrap/>
        <w:overflowPunct/>
        <w:topLinePunct w:val="0"/>
        <w:autoSpaceDE/>
        <w:autoSpaceDN/>
        <w:bidi w:val="0"/>
        <w:spacing w:line="312" w:lineRule="auto"/>
        <w:ind w:left="1447" w:leftChars="400" w:hanging="607" w:hangingChars="252"/>
        <w:textAlignment w:val="bottom"/>
        <w:outlineLvl w:val="0"/>
        <w:rPr>
          <w:rFonts w:hint="eastAsia" w:ascii="仿宋" w:hAnsi="仿宋" w:eastAsia="仿宋" w:cs="仿宋"/>
          <w:b/>
          <w:color w:val="auto"/>
          <w:sz w:val="24"/>
          <w:szCs w:val="24"/>
          <w:highlight w:val="none"/>
          <w:u w:val="single"/>
          <w:lang w:val="en-US" w:eastAsia="zh-CN"/>
        </w:rPr>
      </w:pPr>
      <w:bookmarkStart w:id="153" w:name="_Toc27933"/>
      <w:bookmarkStart w:id="154" w:name="_Toc22079"/>
      <w:bookmarkStart w:id="155" w:name="_Toc5389"/>
      <w:bookmarkStart w:id="156" w:name="_Toc17283"/>
      <w:bookmarkStart w:id="157" w:name="_Toc1972"/>
      <w:r>
        <w:rPr>
          <w:rFonts w:hint="eastAsia" w:ascii="仿宋" w:hAnsi="仿宋" w:eastAsia="仿宋" w:cs="仿宋"/>
          <w:b/>
          <w:color w:val="auto"/>
          <w:sz w:val="24"/>
          <w:szCs w:val="24"/>
        </w:rPr>
        <w:t>乙方(供方)：</w:t>
      </w:r>
      <w:bookmarkEnd w:id="153"/>
      <w:bookmarkEnd w:id="154"/>
      <w:bookmarkEnd w:id="155"/>
      <w:bookmarkEnd w:id="156"/>
      <w:bookmarkEnd w:id="157"/>
      <w:r>
        <w:rPr>
          <w:rFonts w:hint="eastAsia" w:ascii="仿宋" w:hAnsi="仿宋" w:eastAsia="仿宋" w:cs="仿宋"/>
          <w:b/>
          <w:color w:val="auto"/>
          <w:sz w:val="24"/>
          <w:szCs w:val="24"/>
          <w:highlight w:val="none"/>
          <w:u w:val="single"/>
          <w:lang w:val="en-US" w:eastAsia="zh-CN"/>
        </w:rPr>
        <w:t xml:space="preserve">                           </w:t>
      </w:r>
    </w:p>
    <w:p w14:paraId="1EA348DF">
      <w:pPr>
        <w:pStyle w:val="2"/>
        <w:ind w:left="1520" w:leftChars="400" w:hanging="680" w:hangingChars="252"/>
        <w:rPr>
          <w:rFonts w:hint="eastAsia" w:ascii="仿宋" w:hAnsi="仿宋" w:eastAsia="仿宋" w:cs="仿宋"/>
          <w:lang w:val="en-US" w:eastAsia="zh-CN"/>
        </w:rPr>
      </w:pPr>
    </w:p>
    <w:p w14:paraId="1F392EAA">
      <w:pPr>
        <w:pStyle w:val="2"/>
        <w:ind w:left="1747" w:firstLine="540"/>
        <w:rPr>
          <w:rFonts w:hint="eastAsia" w:ascii="仿宋" w:hAnsi="仿宋" w:eastAsia="仿宋" w:cs="仿宋"/>
        </w:rPr>
      </w:pPr>
    </w:p>
    <w:p w14:paraId="15B109C9">
      <w:pPr>
        <w:pStyle w:val="2"/>
        <w:ind w:left="1747" w:firstLine="540"/>
        <w:jc w:val="left"/>
        <w:rPr>
          <w:rFonts w:hint="eastAsia" w:ascii="仿宋" w:hAnsi="仿宋" w:eastAsia="仿宋" w:cs="仿宋"/>
        </w:rPr>
        <w:sectPr>
          <w:footerReference r:id="rId12" w:type="default"/>
          <w:footerReference r:id="rId13" w:type="even"/>
          <w:pgSz w:w="11906" w:h="16838"/>
          <w:pgMar w:top="1440" w:right="1287" w:bottom="1440" w:left="1803" w:header="851" w:footer="992" w:gutter="0"/>
          <w:pgNumType w:fmt="decimal"/>
          <w:cols w:space="720" w:num="1"/>
          <w:docGrid w:type="lines" w:linePitch="314" w:charSpace="0"/>
        </w:sectPr>
      </w:pPr>
    </w:p>
    <w:p w14:paraId="1632ED2F">
      <w:pPr>
        <w:jc w:val="center"/>
        <w:rPr>
          <w:rFonts w:hint="eastAsia" w:ascii="仿宋" w:hAnsi="仿宋" w:eastAsia="仿宋" w:cs="仿宋"/>
          <w:sz w:val="32"/>
          <w:szCs w:val="32"/>
        </w:rPr>
      </w:pPr>
      <w:r>
        <w:rPr>
          <w:rFonts w:hint="eastAsia" w:ascii="仿宋" w:hAnsi="仿宋" w:eastAsia="仿宋" w:cs="仿宋"/>
          <w:b/>
          <w:bCs/>
          <w:sz w:val="32"/>
          <w:szCs w:val="32"/>
        </w:rPr>
        <w:t>目录</w:t>
      </w:r>
    </w:p>
    <w:p w14:paraId="2205DAA5">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_Toc4860 </w:instrText>
      </w:r>
      <w:r>
        <w:rPr>
          <w:rFonts w:hint="eastAsia" w:ascii="仿宋" w:hAnsi="仿宋" w:eastAsia="仿宋" w:cs="仿宋"/>
        </w:rPr>
        <w:fldChar w:fldCharType="separate"/>
      </w:r>
      <w:r>
        <w:rPr>
          <w:rFonts w:hint="eastAsia" w:ascii="仿宋" w:hAnsi="仿宋" w:eastAsia="仿宋" w:cs="仿宋"/>
          <w:szCs w:val="24"/>
        </w:rPr>
        <w:t>1、 报价一览表：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_Toc4860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3AF15B54">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_Toc28714 </w:instrText>
      </w:r>
      <w:r>
        <w:rPr>
          <w:rFonts w:hint="eastAsia" w:ascii="仿宋" w:hAnsi="仿宋" w:eastAsia="仿宋" w:cs="仿宋"/>
        </w:rPr>
        <w:fldChar w:fldCharType="separate"/>
      </w:r>
      <w:r>
        <w:rPr>
          <w:rFonts w:hint="eastAsia" w:ascii="仿宋" w:hAnsi="仿宋" w:eastAsia="仿宋" w:cs="仿宋"/>
          <w:szCs w:val="24"/>
        </w:rPr>
        <w:t>2、交（提）货方式、时间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_Toc28714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3D1130FD">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_Toc23853 </w:instrText>
      </w:r>
      <w:r>
        <w:rPr>
          <w:rFonts w:hint="eastAsia" w:ascii="仿宋" w:hAnsi="仿宋" w:eastAsia="仿宋" w:cs="仿宋"/>
        </w:rPr>
        <w:fldChar w:fldCharType="separate"/>
      </w:r>
      <w:r>
        <w:rPr>
          <w:rFonts w:hint="eastAsia" w:ascii="仿宋" w:hAnsi="仿宋" w:eastAsia="仿宋" w:cs="仿宋"/>
          <w:szCs w:val="24"/>
        </w:rPr>
        <w:t>3、付款方式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_Toc23853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026FD408">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_Toc19123 </w:instrText>
      </w:r>
      <w:r>
        <w:rPr>
          <w:rFonts w:hint="eastAsia" w:ascii="仿宋" w:hAnsi="仿宋" w:eastAsia="仿宋" w:cs="仿宋"/>
        </w:rPr>
        <w:fldChar w:fldCharType="separate"/>
      </w:r>
      <w:r>
        <w:rPr>
          <w:rFonts w:hint="eastAsia" w:ascii="仿宋" w:hAnsi="仿宋" w:eastAsia="仿宋" w:cs="仿宋"/>
          <w:szCs w:val="24"/>
        </w:rPr>
        <w:t>4、现场交货条件下，乙方要求付款应提交下列单证和文件。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_Toc19123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72D25A8E">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_Toc24035 </w:instrText>
      </w:r>
      <w:r>
        <w:rPr>
          <w:rFonts w:hint="eastAsia" w:ascii="仿宋" w:hAnsi="仿宋" w:eastAsia="仿宋" w:cs="仿宋"/>
        </w:rPr>
        <w:fldChar w:fldCharType="separate"/>
      </w:r>
      <w:r>
        <w:rPr>
          <w:rFonts w:hint="eastAsia" w:ascii="仿宋" w:hAnsi="仿宋" w:eastAsia="仿宋" w:cs="仿宋"/>
          <w:szCs w:val="24"/>
        </w:rPr>
        <w:t>5、质量要求和技术标准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_Toc24035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400D5DC3">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_Toc25792 </w:instrText>
      </w:r>
      <w:r>
        <w:rPr>
          <w:rFonts w:hint="eastAsia" w:ascii="仿宋" w:hAnsi="仿宋" w:eastAsia="仿宋" w:cs="仿宋"/>
        </w:rPr>
        <w:fldChar w:fldCharType="separate"/>
      </w:r>
      <w:r>
        <w:rPr>
          <w:rFonts w:hint="eastAsia" w:ascii="仿宋" w:hAnsi="仿宋" w:eastAsia="仿宋" w:cs="仿宋"/>
          <w:szCs w:val="24"/>
        </w:rPr>
        <w:t>6、验收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_Toc25792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14745DEF">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_Toc21459 </w:instrText>
      </w:r>
      <w:r>
        <w:rPr>
          <w:rFonts w:hint="eastAsia" w:ascii="仿宋" w:hAnsi="仿宋" w:eastAsia="仿宋" w:cs="仿宋"/>
        </w:rPr>
        <w:fldChar w:fldCharType="separate"/>
      </w:r>
      <w:r>
        <w:rPr>
          <w:rFonts w:hint="eastAsia" w:ascii="仿宋" w:hAnsi="仿宋" w:eastAsia="仿宋" w:cs="仿宋"/>
          <w:szCs w:val="24"/>
        </w:rPr>
        <w:t>7、质量保证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_Toc21459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65B50356">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_Toc27848 </w:instrText>
      </w:r>
      <w:r>
        <w:rPr>
          <w:rFonts w:hint="eastAsia" w:ascii="仿宋" w:hAnsi="仿宋" w:eastAsia="仿宋" w:cs="仿宋"/>
        </w:rPr>
        <w:fldChar w:fldCharType="separate"/>
      </w:r>
      <w:r>
        <w:rPr>
          <w:rFonts w:hint="eastAsia" w:ascii="仿宋" w:hAnsi="仿宋" w:eastAsia="仿宋" w:cs="仿宋"/>
          <w:szCs w:val="24"/>
        </w:rPr>
        <w:t>8、知识产权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_Toc27848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66CEE164">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_Toc23496 </w:instrText>
      </w:r>
      <w:r>
        <w:rPr>
          <w:rFonts w:hint="eastAsia" w:ascii="仿宋" w:hAnsi="仿宋" w:eastAsia="仿宋" w:cs="仿宋"/>
        </w:rPr>
        <w:fldChar w:fldCharType="separate"/>
      </w:r>
      <w:r>
        <w:rPr>
          <w:rFonts w:hint="eastAsia" w:ascii="仿宋" w:hAnsi="仿宋" w:eastAsia="仿宋" w:cs="仿宋"/>
          <w:szCs w:val="24"/>
        </w:rPr>
        <w:t>9、违约责任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_Toc23496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1F70832E">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_Toc23517 </w:instrText>
      </w:r>
      <w:r>
        <w:rPr>
          <w:rFonts w:hint="eastAsia" w:ascii="仿宋" w:hAnsi="仿宋" w:eastAsia="仿宋" w:cs="仿宋"/>
        </w:rPr>
        <w:fldChar w:fldCharType="separate"/>
      </w:r>
      <w:r>
        <w:rPr>
          <w:rFonts w:hint="eastAsia" w:ascii="仿宋" w:hAnsi="仿宋" w:eastAsia="仿宋" w:cs="仿宋"/>
          <w:bCs/>
          <w:szCs w:val="24"/>
        </w:rPr>
        <w:t>10、违约终止合同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_Toc23517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2894A8CC">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_Toc17492 </w:instrText>
      </w:r>
      <w:r>
        <w:rPr>
          <w:rFonts w:hint="eastAsia" w:ascii="仿宋" w:hAnsi="仿宋" w:eastAsia="仿宋" w:cs="仿宋"/>
        </w:rPr>
        <w:fldChar w:fldCharType="separate"/>
      </w:r>
      <w:r>
        <w:rPr>
          <w:rFonts w:hint="eastAsia" w:ascii="仿宋" w:hAnsi="仿宋" w:eastAsia="仿宋" w:cs="仿宋"/>
          <w:szCs w:val="24"/>
        </w:rPr>
        <w:t>11、不可抗力</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_Toc17492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790714CA">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_Toc8445 </w:instrText>
      </w:r>
      <w:r>
        <w:rPr>
          <w:rFonts w:hint="eastAsia" w:ascii="仿宋" w:hAnsi="仿宋" w:eastAsia="仿宋" w:cs="仿宋"/>
        </w:rPr>
        <w:fldChar w:fldCharType="separate"/>
      </w:r>
      <w:r>
        <w:rPr>
          <w:rFonts w:hint="eastAsia" w:ascii="仿宋" w:hAnsi="仿宋" w:eastAsia="仿宋" w:cs="仿宋"/>
          <w:bCs/>
          <w:szCs w:val="24"/>
        </w:rPr>
        <w:t>12、 合同纠纷处理方式：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_Toc8445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46289F1F">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_Toc6217 </w:instrText>
      </w:r>
      <w:r>
        <w:rPr>
          <w:rFonts w:hint="eastAsia" w:ascii="仿宋" w:hAnsi="仿宋" w:eastAsia="仿宋" w:cs="仿宋"/>
        </w:rPr>
        <w:fldChar w:fldCharType="separate"/>
      </w:r>
      <w:r>
        <w:rPr>
          <w:rFonts w:hint="eastAsia" w:ascii="仿宋" w:hAnsi="仿宋" w:eastAsia="仿宋" w:cs="仿宋"/>
          <w:szCs w:val="24"/>
        </w:rPr>
        <w:t>13、质保期、范围、保修条件及方式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_Toc6217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31CAF5EF">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_Toc23611 </w:instrText>
      </w:r>
      <w:r>
        <w:rPr>
          <w:rFonts w:hint="eastAsia" w:ascii="仿宋" w:hAnsi="仿宋" w:eastAsia="仿宋" w:cs="仿宋"/>
        </w:rPr>
        <w:fldChar w:fldCharType="separate"/>
      </w:r>
      <w:r>
        <w:rPr>
          <w:rFonts w:hint="eastAsia" w:ascii="仿宋" w:hAnsi="仿宋" w:eastAsia="仿宋" w:cs="仿宋"/>
          <w:bCs/>
          <w:szCs w:val="24"/>
        </w:rPr>
        <w:t>14、通知及送达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_Toc23611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6BA16F5B">
      <w:pPr>
        <w:pStyle w:val="33"/>
        <w:keepNext w:val="0"/>
        <w:keepLines w:val="0"/>
        <w:pageBreakBefore w:val="0"/>
        <w:widowControl w:val="0"/>
        <w:tabs>
          <w:tab w:val="right" w:leader="dot" w:pos="881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_Toc24020 </w:instrText>
      </w:r>
      <w:r>
        <w:rPr>
          <w:rFonts w:hint="eastAsia" w:ascii="仿宋" w:hAnsi="仿宋" w:eastAsia="仿宋" w:cs="仿宋"/>
        </w:rPr>
        <w:fldChar w:fldCharType="separate"/>
      </w:r>
      <w:r>
        <w:rPr>
          <w:rFonts w:hint="eastAsia" w:ascii="仿宋" w:hAnsi="仿宋" w:eastAsia="仿宋" w:cs="仿宋"/>
          <w:szCs w:val="24"/>
        </w:rPr>
        <w:t>16、其他约定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_Toc24020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0641CD9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end"/>
      </w:r>
    </w:p>
    <w:p w14:paraId="16C2DAC9">
      <w:pPr>
        <w:rPr>
          <w:rFonts w:hint="eastAsia" w:ascii="仿宋" w:hAnsi="仿宋" w:eastAsia="仿宋" w:cs="仿宋"/>
        </w:rPr>
      </w:pPr>
      <w:r>
        <w:rPr>
          <w:rFonts w:hint="eastAsia" w:ascii="仿宋" w:hAnsi="仿宋" w:eastAsia="仿宋" w:cs="仿宋"/>
        </w:rPr>
        <w:br w:type="page"/>
      </w:r>
    </w:p>
    <w:p w14:paraId="7A04B99A">
      <w:pPr>
        <w:ind w:left="1600" w:hanging="1606" w:hangingChars="500"/>
        <w:jc w:val="center"/>
        <w:rPr>
          <w:rFonts w:hint="eastAsia" w:ascii="仿宋" w:hAnsi="仿宋" w:eastAsia="仿宋" w:cs="仿宋"/>
          <w:b/>
          <w:bCs/>
          <w:sz w:val="32"/>
          <w:szCs w:val="32"/>
          <w:u w:val="none"/>
        </w:rPr>
      </w:pPr>
      <w:r>
        <w:rPr>
          <w:rFonts w:hint="eastAsia" w:ascii="仿宋" w:hAnsi="仿宋" w:eastAsia="仿宋" w:cs="仿宋"/>
          <w:b/>
          <w:bCs/>
          <w:sz w:val="32"/>
          <w:szCs w:val="32"/>
          <w:u w:val="none"/>
        </w:rPr>
        <w:t>和田市教育系统2024年支持学前教育发展资金项目</w:t>
      </w:r>
    </w:p>
    <w:p w14:paraId="3B330702">
      <w:pPr>
        <w:ind w:left="1600" w:hanging="1606" w:hangingChars="5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rPr>
        <w:t>（设备采购</w:t>
      </w: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合同</w:t>
      </w:r>
    </w:p>
    <w:p w14:paraId="3D0B3838">
      <w:pPr>
        <w:spacing w:line="440" w:lineRule="exact"/>
        <w:contextualSpacing/>
        <w:rPr>
          <w:rFonts w:hint="eastAsia" w:ascii="仿宋" w:hAnsi="仿宋" w:eastAsia="仿宋" w:cs="仿宋"/>
          <w:b/>
          <w:sz w:val="24"/>
          <w:szCs w:val="24"/>
          <w:lang w:eastAsia="zh-CN"/>
        </w:rPr>
      </w:pPr>
      <w:r>
        <w:rPr>
          <w:rFonts w:hint="eastAsia" w:ascii="仿宋" w:hAnsi="仿宋" w:eastAsia="仿宋" w:cs="仿宋"/>
          <w:b/>
          <w:sz w:val="24"/>
          <w:szCs w:val="24"/>
        </w:rPr>
        <w:t>甲方(需方)：</w:t>
      </w:r>
      <w:r>
        <w:rPr>
          <w:rFonts w:hint="eastAsia" w:ascii="仿宋" w:hAnsi="仿宋" w:eastAsia="仿宋" w:cs="仿宋"/>
          <w:b/>
          <w:sz w:val="24"/>
          <w:szCs w:val="24"/>
          <w:lang w:val="en-US" w:eastAsia="zh-CN"/>
        </w:rPr>
        <w:t xml:space="preserve"> </w:t>
      </w:r>
    </w:p>
    <w:p w14:paraId="44429C7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contextualSpacing/>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乙方(供方)：</w:t>
      </w:r>
      <w:r>
        <w:rPr>
          <w:rFonts w:hint="eastAsia" w:ascii="仿宋" w:hAnsi="仿宋" w:eastAsia="仿宋" w:cs="仿宋"/>
          <w:b/>
          <w:color w:val="auto"/>
          <w:sz w:val="24"/>
          <w:szCs w:val="24"/>
          <w:lang w:val="en-US" w:eastAsia="zh-CN"/>
        </w:rPr>
        <w:t xml:space="preserve"> </w:t>
      </w:r>
    </w:p>
    <w:p w14:paraId="4464845C">
      <w:pPr>
        <w:spacing w:line="440" w:lineRule="exact"/>
        <w:contextualSpacing/>
        <w:rPr>
          <w:rFonts w:hint="eastAsia" w:ascii="仿宋" w:hAnsi="仿宋" w:eastAsia="仿宋" w:cs="仿宋"/>
          <w:b/>
          <w:sz w:val="24"/>
          <w:szCs w:val="24"/>
          <w:lang w:eastAsia="zh-CN"/>
        </w:rPr>
      </w:pPr>
      <w:r>
        <w:rPr>
          <w:rFonts w:hint="eastAsia" w:ascii="仿宋" w:hAnsi="仿宋" w:eastAsia="仿宋" w:cs="仿宋"/>
          <w:b/>
          <w:sz w:val="24"/>
          <w:szCs w:val="24"/>
        </w:rPr>
        <w:t>项目编号：</w:t>
      </w:r>
      <w:r>
        <w:rPr>
          <w:rFonts w:hint="eastAsia" w:ascii="仿宋" w:hAnsi="仿宋" w:eastAsia="仿宋" w:cs="仿宋"/>
          <w:b/>
          <w:sz w:val="24"/>
          <w:szCs w:val="24"/>
          <w:lang w:val="en-US" w:eastAsia="zh-CN"/>
        </w:rPr>
        <w:t xml:space="preserve"> </w:t>
      </w:r>
    </w:p>
    <w:p w14:paraId="5F9902A4">
      <w:pPr>
        <w:spacing w:line="440" w:lineRule="exact"/>
        <w:contextualSpacing/>
        <w:rPr>
          <w:rFonts w:hint="eastAsia" w:ascii="仿宋" w:hAnsi="仿宋" w:eastAsia="仿宋" w:cs="仿宋"/>
          <w:b/>
          <w:sz w:val="24"/>
          <w:szCs w:val="24"/>
          <w:lang w:eastAsia="zh-CN"/>
        </w:rPr>
      </w:pPr>
      <w:r>
        <w:rPr>
          <w:rFonts w:hint="eastAsia" w:ascii="仿宋" w:hAnsi="仿宋" w:eastAsia="仿宋" w:cs="仿宋"/>
          <w:b/>
          <w:sz w:val="24"/>
          <w:szCs w:val="24"/>
        </w:rPr>
        <w:t>采购方式：</w:t>
      </w:r>
      <w:r>
        <w:rPr>
          <w:rFonts w:hint="eastAsia" w:ascii="仿宋" w:hAnsi="仿宋" w:eastAsia="仿宋" w:cs="仿宋"/>
          <w:b/>
          <w:sz w:val="24"/>
          <w:szCs w:val="24"/>
          <w:lang w:val="en-US" w:eastAsia="zh-CN"/>
        </w:rPr>
        <w:t xml:space="preserve"> </w:t>
      </w:r>
    </w:p>
    <w:p w14:paraId="1E230AC0">
      <w:pPr>
        <w:spacing w:line="440" w:lineRule="exact"/>
        <w:contextualSpacing/>
        <w:rPr>
          <w:rFonts w:hint="eastAsia" w:ascii="仿宋" w:hAnsi="仿宋" w:eastAsia="仿宋" w:cs="仿宋"/>
          <w:b/>
          <w:sz w:val="24"/>
          <w:szCs w:val="24"/>
          <w:lang w:eastAsia="zh-CN"/>
        </w:rPr>
      </w:pPr>
      <w:r>
        <w:rPr>
          <w:rFonts w:hint="eastAsia" w:ascii="仿宋" w:hAnsi="仿宋" w:eastAsia="仿宋" w:cs="仿宋"/>
          <w:b/>
          <w:sz w:val="24"/>
          <w:szCs w:val="24"/>
        </w:rPr>
        <w:t>资金来源：</w:t>
      </w:r>
      <w:r>
        <w:rPr>
          <w:rFonts w:hint="eastAsia" w:ascii="仿宋" w:hAnsi="仿宋" w:eastAsia="仿宋" w:cs="仿宋"/>
          <w:b/>
          <w:sz w:val="24"/>
          <w:szCs w:val="24"/>
          <w:lang w:val="en-US" w:eastAsia="zh-CN"/>
        </w:rPr>
        <w:t xml:space="preserve"> </w:t>
      </w:r>
    </w:p>
    <w:p w14:paraId="0E4D9AC7">
      <w:pPr>
        <w:pStyle w:val="33"/>
        <w:spacing w:line="440" w:lineRule="exact"/>
        <w:rPr>
          <w:rFonts w:hint="eastAsia" w:ascii="仿宋" w:hAnsi="仿宋" w:eastAsia="仿宋" w:cs="仿宋"/>
          <w:sz w:val="24"/>
        </w:rPr>
      </w:pPr>
      <w:r>
        <w:rPr>
          <w:rFonts w:hint="eastAsia" w:ascii="仿宋" w:hAnsi="仿宋" w:eastAsia="仿宋" w:cs="仿宋"/>
          <w:spacing w:val="-6"/>
          <w:sz w:val="24"/>
        </w:rPr>
        <w:t>甲方印花税：</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；缴纳税额：</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；缴纳时间：</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年</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月</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w:t>
      </w:r>
    </w:p>
    <w:p w14:paraId="202BC845">
      <w:pPr>
        <w:pStyle w:val="33"/>
        <w:spacing w:line="440" w:lineRule="exact"/>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pacing w:val="-6"/>
          <w:sz w:val="24"/>
        </w:rPr>
        <w:t>印花税：</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；缴纳税额：</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；缴纳时间：</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年</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月</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w:t>
      </w:r>
    </w:p>
    <w:p w14:paraId="6331475C">
      <w:pPr>
        <w:spacing w:line="44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采购方作为本合同的需方，中标人是本合同的供方，按合同相关条款履行其义务。双方宗旨是严格履行合同。甲、乙双方根据《中华人民共和国民法典》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中华人民共和国政府采购法</w:t>
      </w:r>
      <w:r>
        <w:rPr>
          <w:rFonts w:hint="eastAsia" w:ascii="仿宋" w:hAnsi="仿宋" w:eastAsia="仿宋" w:cs="仿宋"/>
          <w:sz w:val="24"/>
          <w:szCs w:val="24"/>
          <w:lang w:eastAsia="zh-CN"/>
        </w:rPr>
        <w:t>》</w:t>
      </w:r>
      <w:r>
        <w:rPr>
          <w:rFonts w:hint="eastAsia" w:ascii="仿宋" w:hAnsi="仿宋" w:eastAsia="仿宋" w:cs="仿宋"/>
          <w:sz w:val="24"/>
          <w:szCs w:val="24"/>
        </w:rPr>
        <w:t>及相关法律法规、招标文件、投标文件及相关文件的有关条款为基础，本着自愿、平等、诚信的原则，经双方协商一致，双方达成如下协议：</w:t>
      </w:r>
    </w:p>
    <w:p w14:paraId="787196F0">
      <w:pPr>
        <w:numPr>
          <w:ilvl w:val="0"/>
          <w:numId w:val="7"/>
        </w:numPr>
        <w:spacing w:line="312" w:lineRule="auto"/>
        <w:ind w:left="6" w:firstLine="414" w:firstLineChars="172"/>
        <w:outlineLvl w:val="0"/>
        <w:rPr>
          <w:rFonts w:hint="eastAsia" w:ascii="仿宋" w:hAnsi="仿宋" w:eastAsia="仿宋" w:cs="仿宋"/>
          <w:sz w:val="24"/>
          <w:szCs w:val="24"/>
        </w:rPr>
      </w:pPr>
      <w:bookmarkStart w:id="158" w:name="_Toc4860"/>
      <w:r>
        <w:rPr>
          <w:rFonts w:hint="eastAsia" w:ascii="仿宋" w:hAnsi="仿宋" w:eastAsia="仿宋" w:cs="仿宋"/>
          <w:b/>
          <w:sz w:val="24"/>
          <w:szCs w:val="24"/>
        </w:rPr>
        <w:t>报价一览表：</w:t>
      </w:r>
      <w:bookmarkEnd w:id="158"/>
    </w:p>
    <w:p w14:paraId="5D20B436">
      <w:pPr>
        <w:spacing w:line="312" w:lineRule="auto"/>
        <w:ind w:left="0" w:leftChars="0" w:firstLine="319" w:firstLineChars="133"/>
        <w:rPr>
          <w:rFonts w:hint="eastAsia" w:ascii="仿宋" w:hAnsi="仿宋" w:eastAsia="仿宋" w:cs="仿宋"/>
          <w:sz w:val="24"/>
          <w:szCs w:val="24"/>
        </w:rPr>
      </w:pPr>
      <w:r>
        <w:rPr>
          <w:rFonts w:hint="eastAsia" w:ascii="仿宋" w:hAnsi="仿宋" w:eastAsia="仿宋" w:cs="仿宋"/>
          <w:sz w:val="24"/>
          <w:szCs w:val="24"/>
        </w:rPr>
        <w:t>合同价：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元（大写：</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），详细清单如下：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1"/>
        <w:gridCol w:w="711"/>
      </w:tblGrid>
      <w:tr w14:paraId="0D9E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0A3FB637">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4A00505A">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0225560C">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19CCCE1D">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3D0C2701">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2FD49921">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1D92A063">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0CB1F437">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3727D8FB">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20A9C7E2">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1" w:type="dxa"/>
            <w:noWrap w:val="0"/>
            <w:vAlign w:val="top"/>
          </w:tcPr>
          <w:p w14:paraId="459A6E43">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1" w:type="dxa"/>
            <w:noWrap w:val="0"/>
            <w:vAlign w:val="top"/>
          </w:tcPr>
          <w:p w14:paraId="4EE2AEF3">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r>
      <w:tr w14:paraId="0360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3A2335E2">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71D4D5A9">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1BC1E91B">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187DD661">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0DEF64F0">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746DA162">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76EF1DCB">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29B68CC1">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381A4051">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0" w:type="dxa"/>
            <w:noWrap w:val="0"/>
            <w:vAlign w:val="top"/>
          </w:tcPr>
          <w:p w14:paraId="58E76996">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1" w:type="dxa"/>
            <w:noWrap w:val="0"/>
            <w:vAlign w:val="top"/>
          </w:tcPr>
          <w:p w14:paraId="249DDC84">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c>
          <w:tcPr>
            <w:tcW w:w="711" w:type="dxa"/>
            <w:noWrap w:val="0"/>
            <w:vAlign w:val="top"/>
          </w:tcPr>
          <w:p w14:paraId="0CC9B248">
            <w:pPr>
              <w:pStyle w:val="2"/>
              <w:keepNext w:val="0"/>
              <w:keepLines w:val="0"/>
              <w:suppressLineNumbers w:val="0"/>
              <w:spacing w:before="0" w:beforeAutospacing="0" w:after="0" w:afterAutospacing="0"/>
              <w:ind w:right="0"/>
              <w:rPr>
                <w:rFonts w:hint="eastAsia" w:ascii="仿宋" w:hAnsi="仿宋" w:eastAsia="仿宋" w:cs="仿宋"/>
                <w:vertAlign w:val="baseline"/>
              </w:rPr>
            </w:pPr>
          </w:p>
        </w:tc>
      </w:tr>
    </w:tbl>
    <w:p w14:paraId="0D00212C">
      <w:pPr>
        <w:pStyle w:val="2"/>
        <w:rPr>
          <w:rFonts w:hint="eastAsia" w:ascii="仿宋" w:hAnsi="仿宋" w:eastAsia="仿宋" w:cs="仿宋"/>
        </w:rPr>
      </w:pPr>
    </w:p>
    <w:p w14:paraId="5D6A43C9">
      <w:pPr>
        <w:spacing w:before="40" w:line="44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合同总金额包括但不限于货款、备品、备件、专用工具、安装、调试、检验、技术培训及技术资料和运输、运输保险、装卸、人工费、税费、售后服务</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sz w:val="24"/>
          <w:szCs w:val="24"/>
          <w:lang w:val="en-US" w:eastAsia="zh-CN"/>
        </w:rPr>
        <w:t>年免费维保</w:t>
      </w:r>
      <w:r>
        <w:rPr>
          <w:rFonts w:hint="eastAsia" w:ascii="仿宋" w:hAnsi="仿宋" w:eastAsia="仿宋" w:cs="仿宋"/>
          <w:sz w:val="24"/>
          <w:szCs w:val="24"/>
        </w:rPr>
        <w:t>等一切费用。合同履行期间，乙方不得因投入人员增加、时间增多等原因要求甲方再行支付任何费用。</w:t>
      </w:r>
    </w:p>
    <w:p w14:paraId="5A718AE2">
      <w:pPr>
        <w:pStyle w:val="2"/>
        <w:ind w:left="0" w:leftChars="0" w:firstLine="540"/>
        <w:rPr>
          <w:rFonts w:hint="eastAsia" w:ascii="仿宋" w:hAnsi="仿宋" w:eastAsia="仿宋" w:cs="仿宋"/>
          <w:lang w:val="en-US" w:eastAsia="zh-CN"/>
        </w:rPr>
      </w:pPr>
      <w:r>
        <w:rPr>
          <w:rFonts w:hint="eastAsia" w:ascii="仿宋" w:hAnsi="仿宋" w:eastAsia="仿宋" w:cs="仿宋"/>
        </w:rPr>
        <w:t>本合同签订</w:t>
      </w:r>
      <w:r>
        <w:rPr>
          <w:rFonts w:hint="eastAsia" w:ascii="仿宋" w:hAnsi="仿宋" w:eastAsia="仿宋" w:cs="仿宋"/>
          <w:lang w:val="en-US" w:eastAsia="zh-CN"/>
        </w:rPr>
        <w:t>后</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】工作日内，乙方应向甲方缴纳合同总价款10%的履约保证金或提交甲方认可的银行或保险公司出具的不可撤销的履约</w:t>
      </w:r>
      <w:r>
        <w:rPr>
          <w:rFonts w:hint="eastAsia" w:ascii="仿宋" w:hAnsi="仿宋" w:eastAsia="仿宋" w:cs="仿宋"/>
          <w:lang w:eastAsia="zh-CN"/>
        </w:rPr>
        <w:t>（</w:t>
      </w:r>
      <w:r>
        <w:rPr>
          <w:rFonts w:hint="eastAsia" w:ascii="仿宋" w:hAnsi="仿宋" w:eastAsia="仿宋" w:cs="仿宋"/>
          <w:lang w:val="en-US" w:eastAsia="zh-CN"/>
        </w:rPr>
        <w:t>电子）</w:t>
      </w:r>
      <w:r>
        <w:rPr>
          <w:rFonts w:hint="eastAsia" w:ascii="仿宋" w:hAnsi="仿宋" w:eastAsia="仿宋" w:cs="仿宋"/>
        </w:rPr>
        <w:t>保函，即</w:t>
      </w:r>
      <w:r>
        <w:rPr>
          <w:rFonts w:hint="eastAsia" w:ascii="仿宋" w:hAnsi="仿宋" w:eastAsia="仿宋" w:cs="仿宋"/>
          <w:lang w:val="en-US" w:eastAsia="zh-CN"/>
        </w:rPr>
        <w:t>****</w:t>
      </w:r>
      <w:r>
        <w:rPr>
          <w:rFonts w:hint="eastAsia" w:ascii="仿宋" w:hAnsi="仿宋" w:eastAsia="仿宋" w:cs="仿宋"/>
        </w:rPr>
        <w:t>万元。</w:t>
      </w:r>
      <w:r>
        <w:rPr>
          <w:rFonts w:hint="eastAsia" w:ascii="仿宋" w:hAnsi="仿宋" w:eastAsia="仿宋" w:cs="仿宋"/>
          <w:lang w:val="en-US" w:eastAsia="zh-CN"/>
        </w:rPr>
        <w:t>有效期至合同履行完毕。</w:t>
      </w:r>
    </w:p>
    <w:p w14:paraId="50F57E42">
      <w:pPr>
        <w:keepNext w:val="0"/>
        <w:keepLines w:val="0"/>
        <w:pageBreakBefore w:val="0"/>
        <w:widowControl w:val="0"/>
        <w:kinsoku/>
        <w:wordWrap/>
        <w:overflowPunct/>
        <w:topLinePunct w:val="0"/>
        <w:autoSpaceDE/>
        <w:autoSpaceDN/>
        <w:bidi w:val="0"/>
        <w:adjustRightInd/>
        <w:snapToGrid/>
        <w:spacing w:before="120" w:line="440" w:lineRule="exact"/>
        <w:ind w:firstLine="482" w:firstLineChars="200"/>
        <w:contextualSpacing/>
        <w:jc w:val="left"/>
        <w:textAlignment w:val="auto"/>
        <w:outlineLvl w:val="0"/>
        <w:rPr>
          <w:rFonts w:hint="eastAsia" w:ascii="仿宋" w:hAnsi="仿宋" w:eastAsia="仿宋" w:cs="仿宋"/>
          <w:b/>
          <w:sz w:val="24"/>
          <w:szCs w:val="24"/>
        </w:rPr>
      </w:pPr>
      <w:bookmarkStart w:id="159" w:name="_Toc28714"/>
      <w:r>
        <w:rPr>
          <w:rFonts w:hint="eastAsia" w:ascii="仿宋" w:hAnsi="仿宋" w:eastAsia="仿宋" w:cs="仿宋"/>
          <w:b/>
          <w:sz w:val="24"/>
          <w:szCs w:val="24"/>
        </w:rPr>
        <w:t>2、交（提）货方式、时间</w:t>
      </w:r>
      <w:bookmarkEnd w:id="159"/>
    </w:p>
    <w:p w14:paraId="04FDCD53">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双方签订合同之日起</w:t>
      </w:r>
      <w:r>
        <w:rPr>
          <w:rFonts w:hint="eastAsia" w:ascii="仿宋" w:hAnsi="仿宋" w:eastAsia="仿宋" w:cs="仿宋"/>
          <w:b/>
          <w:bCs/>
          <w:sz w:val="24"/>
          <w:szCs w:val="24"/>
          <w:u w:val="single"/>
          <w:lang w:val="en-US" w:eastAsia="zh-CN"/>
        </w:rPr>
        <w:t>30</w:t>
      </w:r>
      <w:r>
        <w:rPr>
          <w:rFonts w:hint="eastAsia" w:ascii="仿宋" w:hAnsi="仿宋" w:eastAsia="仿宋" w:cs="仿宋"/>
          <w:sz w:val="24"/>
          <w:szCs w:val="24"/>
        </w:rPr>
        <w:t>日历天内按照甲方指定的地点进行供货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安装</w:t>
      </w:r>
      <w:r>
        <w:rPr>
          <w:rFonts w:hint="eastAsia" w:ascii="仿宋" w:hAnsi="仿宋" w:eastAsia="仿宋" w:cs="仿宋"/>
          <w:sz w:val="24"/>
          <w:szCs w:val="24"/>
        </w:rPr>
        <w:t>，并在供货后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w:t>
      </w:r>
      <w:r>
        <w:rPr>
          <w:rFonts w:hint="eastAsia" w:ascii="仿宋" w:hAnsi="仿宋" w:eastAsia="仿宋" w:cs="仿宋"/>
          <w:sz w:val="24"/>
          <w:szCs w:val="24"/>
        </w:rPr>
        <w:t>个工作日内完成所采购全部产品的调试及验收工作。</w:t>
      </w:r>
    </w:p>
    <w:p w14:paraId="67049545">
      <w:pPr>
        <w:keepNext w:val="0"/>
        <w:keepLines w:val="0"/>
        <w:pageBreakBefore w:val="0"/>
        <w:widowControl w:val="0"/>
        <w:kinsoku/>
        <w:wordWrap/>
        <w:overflowPunct/>
        <w:topLinePunct w:val="0"/>
        <w:autoSpaceDE/>
        <w:autoSpaceDN/>
        <w:bidi w:val="0"/>
        <w:adjustRightInd/>
        <w:snapToGrid/>
        <w:spacing w:before="120" w:line="440" w:lineRule="exact"/>
        <w:ind w:firstLine="482" w:firstLineChars="200"/>
        <w:contextualSpacing/>
        <w:jc w:val="left"/>
        <w:textAlignment w:val="auto"/>
        <w:outlineLvl w:val="9"/>
        <w:rPr>
          <w:rFonts w:hint="eastAsia" w:ascii="仿宋" w:hAnsi="仿宋" w:eastAsia="仿宋" w:cs="仿宋"/>
          <w:b/>
          <w:sz w:val="24"/>
          <w:szCs w:val="24"/>
        </w:rPr>
      </w:pPr>
      <w:bookmarkStart w:id="160" w:name="_Toc23853"/>
      <w:r>
        <w:rPr>
          <w:rFonts w:hint="eastAsia" w:ascii="仿宋" w:hAnsi="仿宋" w:eastAsia="仿宋" w:cs="仿宋"/>
          <w:b/>
          <w:sz w:val="24"/>
          <w:szCs w:val="24"/>
        </w:rPr>
        <w:t>3、付款方式</w:t>
      </w:r>
      <w:bookmarkEnd w:id="160"/>
    </w:p>
    <w:p w14:paraId="77113DCE">
      <w:pPr>
        <w:keepNext w:val="0"/>
        <w:keepLines w:val="0"/>
        <w:pageBreakBefore w:val="0"/>
        <w:widowControl w:val="0"/>
        <w:kinsoku/>
        <w:wordWrap/>
        <w:overflowPunct/>
        <w:topLinePunct w:val="0"/>
        <w:autoSpaceDE/>
        <w:autoSpaceDN/>
        <w:bidi w:val="0"/>
        <w:adjustRightInd/>
        <w:snapToGrid/>
        <w:spacing w:before="120" w:line="440" w:lineRule="exact"/>
        <w:ind w:firstLine="480" w:firstLineChars="200"/>
        <w:contextualSpacing/>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（1）甲乙双方合同签订</w:t>
      </w:r>
      <w:r>
        <w:rPr>
          <w:rFonts w:hint="eastAsia" w:ascii="仿宋" w:hAnsi="仿宋" w:eastAsia="仿宋" w:cs="仿宋"/>
          <w:sz w:val="24"/>
          <w:szCs w:val="24"/>
          <w:lang w:val="en-US" w:eastAsia="zh-CN"/>
        </w:rPr>
        <w:t>后</w:t>
      </w:r>
      <w:r>
        <w:rPr>
          <w:rFonts w:hint="eastAsia" w:ascii="仿宋" w:hAnsi="仿宋" w:eastAsia="仿宋" w:cs="仿宋"/>
          <w:sz w:val="24"/>
          <w:szCs w:val="24"/>
        </w:rPr>
        <w:t>，</w:t>
      </w:r>
      <w:r>
        <w:rPr>
          <w:rFonts w:hint="eastAsia" w:ascii="仿宋" w:hAnsi="仿宋" w:eastAsia="仿宋" w:cs="仿宋"/>
          <w:sz w:val="24"/>
          <w:szCs w:val="24"/>
          <w:lang w:val="en-US" w:eastAsia="zh-CN"/>
        </w:rPr>
        <w:t>乙方合同内所有</w:t>
      </w:r>
      <w:r>
        <w:rPr>
          <w:rFonts w:hint="eastAsia" w:ascii="仿宋" w:hAnsi="仿宋" w:eastAsia="仿宋" w:cs="仿宋"/>
          <w:sz w:val="24"/>
          <w:szCs w:val="24"/>
        </w:rPr>
        <w:t>货物送到</w:t>
      </w:r>
      <w:r>
        <w:rPr>
          <w:rFonts w:hint="eastAsia" w:ascii="仿宋" w:hAnsi="仿宋" w:eastAsia="仿宋" w:cs="仿宋"/>
          <w:sz w:val="24"/>
          <w:szCs w:val="24"/>
          <w:lang w:val="en-US" w:eastAsia="zh-CN"/>
        </w:rPr>
        <w:t>甲方</w:t>
      </w:r>
      <w:r>
        <w:rPr>
          <w:rFonts w:hint="eastAsia" w:ascii="仿宋" w:hAnsi="仿宋" w:eastAsia="仿宋" w:cs="仿宋"/>
          <w:sz w:val="24"/>
          <w:szCs w:val="24"/>
        </w:rPr>
        <w:t>指定地点并安装、验收完成后，且</w:t>
      </w:r>
      <w:r>
        <w:rPr>
          <w:rFonts w:hint="eastAsia" w:ascii="仿宋" w:hAnsi="仿宋" w:eastAsia="仿宋" w:cs="仿宋"/>
          <w:b/>
          <w:sz w:val="24"/>
          <w:szCs w:val="24"/>
        </w:rPr>
        <w:t>甲方</w:t>
      </w:r>
      <w:r>
        <w:rPr>
          <w:rFonts w:hint="eastAsia" w:ascii="仿宋" w:hAnsi="仿宋" w:eastAsia="仿宋" w:cs="仿宋"/>
          <w:sz w:val="24"/>
          <w:szCs w:val="24"/>
        </w:rPr>
        <w:t>确认无质量问题后，乙方交付相应价款的发票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交接单、安装调试完成的相关材料</w:t>
      </w:r>
      <w:r>
        <w:rPr>
          <w:rFonts w:hint="eastAsia" w:ascii="仿宋" w:hAnsi="仿宋" w:eastAsia="仿宋" w:cs="仿宋"/>
          <w:sz w:val="24"/>
          <w:szCs w:val="24"/>
        </w:rPr>
        <w:t>，甲方</w:t>
      </w:r>
      <w:r>
        <w:rPr>
          <w:rFonts w:hint="eastAsia" w:ascii="仿宋" w:hAnsi="仿宋" w:eastAsia="仿宋" w:cs="仿宋"/>
          <w:sz w:val="24"/>
          <w:szCs w:val="24"/>
          <w:lang w:val="en-US" w:eastAsia="zh-CN"/>
        </w:rPr>
        <w:t>向乙方</w:t>
      </w:r>
      <w:r>
        <w:rPr>
          <w:rFonts w:hint="eastAsia" w:ascii="仿宋" w:hAnsi="仿宋" w:eastAsia="仿宋" w:cs="仿宋"/>
          <w:sz w:val="24"/>
          <w:szCs w:val="24"/>
        </w:rPr>
        <w:t>支付合同价</w:t>
      </w:r>
      <w:r>
        <w:rPr>
          <w:rFonts w:hint="eastAsia" w:ascii="仿宋" w:hAnsi="仿宋" w:eastAsia="仿宋" w:cs="仿宋"/>
          <w:sz w:val="24"/>
          <w:szCs w:val="24"/>
          <w:lang w:val="en-US" w:eastAsia="zh-CN"/>
        </w:rPr>
        <w:t>8</w:t>
      </w:r>
      <w:r>
        <w:rPr>
          <w:rFonts w:hint="eastAsia" w:ascii="仿宋" w:hAnsi="仿宋" w:eastAsia="仿宋" w:cs="仿宋"/>
          <w:sz w:val="24"/>
          <w:szCs w:val="24"/>
        </w:rPr>
        <w:t>7%的货物款；</w:t>
      </w:r>
      <w:r>
        <w:rPr>
          <w:rFonts w:hint="eastAsia" w:ascii="仿宋" w:hAnsi="仿宋" w:eastAsia="仿宋" w:cs="仿宋"/>
          <w:sz w:val="24"/>
          <w:szCs w:val="24"/>
          <w:lang w:val="en-US" w:eastAsia="zh-CN"/>
        </w:rPr>
        <w:t>乙方向甲方提供验收及决（结）算审计材料后，甲方向乙方支付审计价10%的货物款，</w:t>
      </w:r>
      <w:r>
        <w:rPr>
          <w:rFonts w:hint="eastAsia" w:ascii="仿宋" w:hAnsi="仿宋" w:eastAsia="仿宋" w:cs="仿宋"/>
          <w:sz w:val="24"/>
          <w:szCs w:val="24"/>
        </w:rPr>
        <w:t>剩余合同价3%的货物款</w:t>
      </w:r>
      <w:r>
        <w:rPr>
          <w:rFonts w:hint="eastAsia" w:ascii="仿宋" w:hAnsi="仿宋" w:eastAsia="仿宋" w:cs="仿宋"/>
          <w:sz w:val="24"/>
          <w:szCs w:val="24"/>
          <w:lang w:val="en-US" w:eastAsia="zh-CN"/>
        </w:rPr>
        <w:t>为履约金，从</w:t>
      </w:r>
      <w:r>
        <w:rPr>
          <w:rFonts w:hint="eastAsia" w:ascii="仿宋" w:hAnsi="仿宋" w:eastAsia="仿宋" w:cs="仿宋"/>
          <w:sz w:val="24"/>
          <w:szCs w:val="24"/>
        </w:rPr>
        <w:t>验收次日起3年之</w:t>
      </w:r>
      <w:r>
        <w:rPr>
          <w:rFonts w:hint="eastAsia" w:ascii="仿宋" w:hAnsi="仿宋" w:eastAsia="仿宋" w:cs="仿宋"/>
          <w:sz w:val="24"/>
          <w:szCs w:val="24"/>
          <w:lang w:val="en-US" w:eastAsia="zh-CN"/>
        </w:rPr>
        <w:t>内完成履约</w:t>
      </w:r>
      <w:r>
        <w:rPr>
          <w:rFonts w:hint="eastAsia" w:ascii="仿宋" w:hAnsi="仿宋" w:eastAsia="仿宋" w:cs="仿宋"/>
          <w:sz w:val="24"/>
          <w:szCs w:val="24"/>
        </w:rPr>
        <w:t>，乙方向甲方提供相关证明材料，剩余的设备款甲方向乙方一次性付清尾款，无息返还。或乙方提供</w:t>
      </w:r>
      <w:r>
        <w:rPr>
          <w:rFonts w:hint="eastAsia" w:ascii="仿宋" w:hAnsi="仿宋" w:eastAsia="仿宋" w:cs="仿宋"/>
          <w:sz w:val="24"/>
          <w:szCs w:val="24"/>
          <w:lang w:val="en-US" w:eastAsia="zh-CN"/>
        </w:rPr>
        <w:t>相同额度的</w:t>
      </w:r>
      <w:r>
        <w:rPr>
          <w:rFonts w:hint="eastAsia" w:ascii="仿宋" w:hAnsi="仿宋" w:eastAsia="仿宋" w:cs="仿宋"/>
          <w:sz w:val="24"/>
          <w:szCs w:val="24"/>
        </w:rPr>
        <w:t>质保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电子</w:t>
      </w:r>
      <w:r>
        <w:rPr>
          <w:rFonts w:hint="eastAsia" w:ascii="仿宋" w:hAnsi="仿宋" w:eastAsia="仿宋" w:cs="仿宋"/>
          <w:sz w:val="24"/>
          <w:szCs w:val="24"/>
          <w:lang w:eastAsia="zh-CN"/>
        </w:rPr>
        <w:t>）</w:t>
      </w:r>
      <w:r>
        <w:rPr>
          <w:rFonts w:hint="eastAsia" w:ascii="仿宋" w:hAnsi="仿宋" w:eastAsia="仿宋" w:cs="仿宋"/>
          <w:sz w:val="24"/>
          <w:szCs w:val="24"/>
        </w:rPr>
        <w:t>保函进行支付（剩余的3%设备款，需大于财务审计报告总金额的3%设备款，如剩余的设备款未达到财务审计报告总金额的3%设备款，甲方预留财务审计报告总金额的3%设备款或乙方向甲方支付不到财务审计报告总金额的3%设备款部分）。</w:t>
      </w:r>
    </w:p>
    <w:p w14:paraId="4587DB69">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（2）所有货物经甲乙双方共同验收合格后，乙方向甲方提供验收合格证明后，甲方无息退还乙方履约保证金。如乙方交付的货物未通过验收或货物质量不能达到甲方招标质量要求的，甲方拒绝退还履约保证金。</w:t>
      </w:r>
    </w:p>
    <w:p w14:paraId="790010A7">
      <w:pPr>
        <w:pStyle w:val="25"/>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（3）如甲方因发生资金相关手续原因没能按照以上方式与乙方达成协议后，甲方采用签订还款协议方式向乙方进行付款。</w:t>
      </w:r>
    </w:p>
    <w:p w14:paraId="56DAF540">
      <w:pPr>
        <w:pStyle w:val="25"/>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（4）甲方向乙方支付设备款进度不影响合同约定交货、安装调试及验收期限。</w:t>
      </w:r>
    </w:p>
    <w:p w14:paraId="7AC37679">
      <w:pPr>
        <w:pStyle w:val="25"/>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（5）乙方应在向甲方付款前，向甲方开具等额、正规的增值税发票</w:t>
      </w:r>
      <w:r>
        <w:rPr>
          <w:rFonts w:hint="eastAsia" w:ascii="仿宋" w:hAnsi="仿宋" w:eastAsia="仿宋" w:cs="仿宋"/>
          <w:sz w:val="24"/>
          <w:szCs w:val="24"/>
          <w:lang w:val="en-US" w:eastAsia="zh-CN"/>
        </w:rPr>
        <w:t>及本条款（1）项所要求的其他证明材料</w:t>
      </w:r>
      <w:r>
        <w:rPr>
          <w:rFonts w:hint="eastAsia" w:ascii="仿宋" w:hAnsi="仿宋" w:eastAsia="仿宋" w:cs="仿宋"/>
          <w:sz w:val="24"/>
          <w:szCs w:val="24"/>
        </w:rPr>
        <w:t>，否则甲方有权</w:t>
      </w:r>
      <w:r>
        <w:rPr>
          <w:rFonts w:hint="eastAsia" w:ascii="仿宋" w:hAnsi="仿宋" w:eastAsia="仿宋" w:cs="仿宋"/>
          <w:sz w:val="24"/>
          <w:szCs w:val="24"/>
          <w:lang w:val="en-US" w:eastAsia="zh-CN"/>
        </w:rPr>
        <w:t>顺延至乙方交付发票后付款且不视为甲方违约</w:t>
      </w:r>
      <w:r>
        <w:rPr>
          <w:rFonts w:hint="eastAsia" w:ascii="仿宋" w:hAnsi="仿宋" w:eastAsia="仿宋" w:cs="仿宋"/>
          <w:sz w:val="24"/>
          <w:szCs w:val="24"/>
        </w:rPr>
        <w:t>，并不因此承担违约责任。</w:t>
      </w:r>
    </w:p>
    <w:p w14:paraId="23BF02D8">
      <w:pPr>
        <w:pStyle w:val="25"/>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（6）以转账方式支付货款时，甲方将货款汇至乙方提供的指定账户，如乙方提供的以下银行账户有变动，应提前以书面形式通知甲方，取得甲方书面认可后方可执行。</w:t>
      </w:r>
    </w:p>
    <w:p w14:paraId="5B596304">
      <w:pPr>
        <w:pStyle w:val="26"/>
        <w:keepNext w:val="0"/>
        <w:keepLines w:val="0"/>
        <w:pageBreakBefore w:val="0"/>
        <w:kinsoku/>
        <w:wordWrap/>
        <w:overflowPunct/>
        <w:topLinePunct w:val="0"/>
        <w:autoSpaceDE/>
        <w:autoSpaceDN/>
        <w:bidi w:val="0"/>
        <w:adjustRightInd/>
        <w:snapToGrid/>
        <w:spacing w:before="40" w:beforeAutospacing="0" w:line="440" w:lineRule="exact"/>
        <w:ind w:left="0" w:firstLine="480" w:firstLineChars="200"/>
        <w:textAlignment w:val="auto"/>
        <w:outlineLvl w:val="0"/>
        <w:rPr>
          <w:rFonts w:hint="eastAsia" w:ascii="仿宋" w:hAnsi="仿宋" w:eastAsia="仿宋" w:cs="仿宋"/>
          <w:sz w:val="24"/>
          <w:szCs w:val="24"/>
          <w:lang w:val="en-US" w:eastAsia="zh-CN"/>
        </w:rPr>
      </w:pPr>
      <w:bookmarkStart w:id="161" w:name="_Toc19123"/>
      <w:r>
        <w:rPr>
          <w:rFonts w:hint="eastAsia" w:ascii="仿宋" w:hAnsi="仿宋" w:eastAsia="仿宋" w:cs="仿宋"/>
          <w:sz w:val="24"/>
          <w:szCs w:val="24"/>
          <w:lang w:val="en-US" w:eastAsia="zh-CN"/>
        </w:rPr>
        <w:t xml:space="preserve">户  名：  </w:t>
      </w:r>
    </w:p>
    <w:p w14:paraId="27F70100">
      <w:pPr>
        <w:pStyle w:val="26"/>
        <w:keepNext w:val="0"/>
        <w:keepLines w:val="0"/>
        <w:pageBreakBefore w:val="0"/>
        <w:kinsoku/>
        <w:wordWrap/>
        <w:overflowPunct/>
        <w:topLinePunct w:val="0"/>
        <w:autoSpaceDE/>
        <w:autoSpaceDN/>
        <w:bidi w:val="0"/>
        <w:adjustRightInd/>
        <w:snapToGrid/>
        <w:spacing w:before="40" w:beforeAutospacing="0" w:line="440" w:lineRule="exact"/>
        <w:ind w:left="0" w:firstLine="480" w:firstLineChars="200"/>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账  号： </w:t>
      </w:r>
    </w:p>
    <w:p w14:paraId="037EF579">
      <w:pPr>
        <w:pStyle w:val="26"/>
        <w:keepNext w:val="0"/>
        <w:keepLines w:val="0"/>
        <w:pageBreakBefore w:val="0"/>
        <w:kinsoku/>
        <w:wordWrap/>
        <w:overflowPunct/>
        <w:topLinePunct w:val="0"/>
        <w:autoSpaceDE/>
        <w:autoSpaceDN/>
        <w:bidi w:val="0"/>
        <w:adjustRightInd/>
        <w:snapToGrid/>
        <w:spacing w:before="40" w:beforeAutospacing="0" w:line="440" w:lineRule="exact"/>
        <w:ind w:left="0" w:firstLine="480" w:firstLineChars="200"/>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开户行： </w:t>
      </w:r>
    </w:p>
    <w:p w14:paraId="43F196BB">
      <w:pPr>
        <w:keepNext w:val="0"/>
        <w:keepLines w:val="0"/>
        <w:pageBreakBefore w:val="0"/>
        <w:widowControl w:val="0"/>
        <w:kinsoku/>
        <w:wordWrap/>
        <w:overflowPunct/>
        <w:topLinePunct w:val="0"/>
        <w:autoSpaceDE/>
        <w:autoSpaceDN/>
        <w:bidi w:val="0"/>
        <w:adjustRightInd/>
        <w:snapToGrid/>
        <w:spacing w:before="40" w:beforeAutospacing="0" w:line="440" w:lineRule="exact"/>
        <w:ind w:left="0" w:firstLine="480" w:firstLineChars="200"/>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行  号： </w:t>
      </w:r>
    </w:p>
    <w:p w14:paraId="369AD915">
      <w:pPr>
        <w:keepNext w:val="0"/>
        <w:keepLines w:val="0"/>
        <w:pageBreakBefore w:val="0"/>
        <w:widowControl w:val="0"/>
        <w:kinsoku/>
        <w:wordWrap/>
        <w:overflowPunct/>
        <w:topLinePunct w:val="0"/>
        <w:autoSpaceDE/>
        <w:autoSpaceDN/>
        <w:bidi w:val="0"/>
        <w:adjustRightInd/>
        <w:snapToGrid/>
        <w:spacing w:before="120" w:line="440" w:lineRule="exact"/>
        <w:ind w:firstLine="482" w:firstLineChars="200"/>
        <w:contextualSpacing/>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4、现场交货条件下，乙方要求付款应提交下列单证和文件。</w:t>
      </w:r>
      <w:bookmarkEnd w:id="161"/>
    </w:p>
    <w:p w14:paraId="47F9D6B6">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通知书原件；</w:t>
      </w:r>
    </w:p>
    <w:p w14:paraId="4E5963BE">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（2）合同原件；</w:t>
      </w:r>
    </w:p>
    <w:p w14:paraId="6BE595C0">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（3）使用单位交接（初验）单原件；</w:t>
      </w:r>
    </w:p>
    <w:p w14:paraId="66DCE0EA">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（4）质量技术监督部门认可的检测报告书或验收单（支付第二笔时需提交）；</w:t>
      </w:r>
    </w:p>
    <w:p w14:paraId="70601897">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（5）金额为有关合同货物价格的发票原件（包含票据号、金额及数量的统计表）；</w:t>
      </w:r>
    </w:p>
    <w:p w14:paraId="3329CFA3">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（6）开户许可证复印件；</w:t>
      </w:r>
    </w:p>
    <w:p w14:paraId="7522E296">
      <w:pPr>
        <w:keepNext w:val="0"/>
        <w:keepLines w:val="0"/>
        <w:pageBreakBefore w:val="0"/>
        <w:widowControl w:val="0"/>
        <w:kinsoku/>
        <w:wordWrap/>
        <w:overflowPunct/>
        <w:topLinePunct w:val="0"/>
        <w:autoSpaceDE/>
        <w:autoSpaceDN/>
        <w:bidi w:val="0"/>
        <w:adjustRightInd/>
        <w:snapToGrid/>
        <w:spacing w:before="120" w:line="440" w:lineRule="exact"/>
        <w:ind w:firstLine="482" w:firstLineChars="200"/>
        <w:contextualSpacing/>
        <w:jc w:val="left"/>
        <w:textAlignment w:val="auto"/>
        <w:outlineLvl w:val="0"/>
        <w:rPr>
          <w:rFonts w:hint="eastAsia" w:ascii="仿宋" w:hAnsi="仿宋" w:eastAsia="仿宋" w:cs="仿宋"/>
          <w:b/>
          <w:sz w:val="24"/>
          <w:szCs w:val="24"/>
        </w:rPr>
      </w:pPr>
      <w:bookmarkStart w:id="162" w:name="_Toc24035"/>
      <w:r>
        <w:rPr>
          <w:rFonts w:hint="eastAsia" w:ascii="仿宋" w:hAnsi="仿宋" w:eastAsia="仿宋" w:cs="仿宋"/>
          <w:b/>
          <w:sz w:val="24"/>
          <w:szCs w:val="24"/>
        </w:rPr>
        <w:t>5、质量要求和技术标准</w:t>
      </w:r>
      <w:bookmarkEnd w:id="162"/>
    </w:p>
    <w:p w14:paraId="5E5BE707">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bCs/>
          <w:sz w:val="24"/>
          <w:szCs w:val="24"/>
        </w:rPr>
      </w:pPr>
      <w:r>
        <w:rPr>
          <w:rFonts w:hint="eastAsia" w:ascii="仿宋" w:hAnsi="仿宋" w:eastAsia="仿宋" w:cs="仿宋"/>
          <w:bCs/>
          <w:sz w:val="24"/>
          <w:szCs w:val="24"/>
        </w:rPr>
        <w:t>质量条款可细分为产品质量、包装质量、技术资料质量等内容。（质量要求和技术标准应按招标文件要求一致。）合同应明确约定标的物的具体质量标准、技术参数、性能指标等，</w:t>
      </w:r>
      <w:r>
        <w:rPr>
          <w:rFonts w:hint="eastAsia" w:ascii="仿宋" w:hAnsi="仿宋" w:eastAsia="仿宋" w:cs="仿宋"/>
          <w:bCs/>
          <w:sz w:val="24"/>
          <w:szCs w:val="24"/>
          <w:lang w:val="en-US" w:eastAsia="zh-CN"/>
        </w:rPr>
        <w:t>乙</w:t>
      </w:r>
      <w:r>
        <w:rPr>
          <w:rFonts w:hint="eastAsia" w:ascii="仿宋" w:hAnsi="仿宋" w:eastAsia="仿宋" w:cs="仿宋"/>
          <w:bCs/>
          <w:sz w:val="24"/>
          <w:szCs w:val="24"/>
        </w:rPr>
        <w:t>方</w:t>
      </w:r>
      <w:r>
        <w:rPr>
          <w:rFonts w:hint="eastAsia" w:ascii="仿宋" w:hAnsi="仿宋" w:eastAsia="仿宋" w:cs="仿宋"/>
          <w:bCs/>
          <w:sz w:val="24"/>
          <w:szCs w:val="24"/>
          <w:lang w:val="en-US" w:eastAsia="zh-CN"/>
        </w:rPr>
        <w:t>需</w:t>
      </w:r>
      <w:r>
        <w:rPr>
          <w:rFonts w:hint="eastAsia" w:ascii="仿宋" w:hAnsi="仿宋" w:eastAsia="仿宋" w:cs="仿宋"/>
          <w:bCs/>
          <w:sz w:val="24"/>
          <w:szCs w:val="24"/>
        </w:rPr>
        <w:t>提供相关质量证明文件。</w:t>
      </w:r>
    </w:p>
    <w:p w14:paraId="620CCC6B">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bCs/>
          <w:sz w:val="24"/>
          <w:szCs w:val="24"/>
        </w:rPr>
      </w:pPr>
      <w:r>
        <w:rPr>
          <w:rFonts w:hint="eastAsia" w:ascii="仿宋" w:hAnsi="仿宋" w:eastAsia="仿宋" w:cs="仿宋"/>
          <w:bCs/>
          <w:sz w:val="24"/>
          <w:szCs w:val="24"/>
        </w:rPr>
        <w:t>（1）乙方提供的货物（含备品配件、专用工具等）必须是合同约定的厂家生产的全新、表面和内部均无瑕疵的货物。未经甲方书面许可，乙方不得以任何形式更换生产厂家或标的物。</w:t>
      </w:r>
    </w:p>
    <w:p w14:paraId="076DCCBC">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bCs/>
          <w:sz w:val="24"/>
          <w:szCs w:val="24"/>
        </w:rPr>
      </w:pPr>
      <w:r>
        <w:rPr>
          <w:rFonts w:hint="eastAsia" w:ascii="仿宋" w:hAnsi="仿宋" w:eastAsia="仿宋" w:cs="仿宋"/>
          <w:bCs/>
          <w:sz w:val="24"/>
          <w:szCs w:val="24"/>
        </w:rPr>
        <w:t>（2）乙方所提供的全部商品，应符合国家或者商品销售当地有关部门关于商品商标、标签、标识、卫生、安全、环保、保质期及知识产权等要求。</w:t>
      </w:r>
    </w:p>
    <w:p w14:paraId="6A0951E4">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bCs/>
          <w:sz w:val="24"/>
          <w:szCs w:val="24"/>
        </w:rPr>
      </w:pPr>
      <w:r>
        <w:rPr>
          <w:rFonts w:hint="eastAsia" w:ascii="仿宋" w:hAnsi="仿宋" w:eastAsia="仿宋" w:cs="仿宋"/>
          <w:bCs/>
          <w:sz w:val="24"/>
          <w:szCs w:val="24"/>
        </w:rPr>
        <w:t>（3）乙方应采取相应措施对货物进行包装，确保货物在正常运输和装卸条件下安全无损地到达合同指定地点。包装物不计价、不返还。包装箱应由乙方注明生产厂家、生产许可证号、货物批准文号、生产批号、生产日期等。运输途中货物毁损灭失的，应当由乙方承担责任。</w:t>
      </w:r>
    </w:p>
    <w:p w14:paraId="40353851">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sz w:val="24"/>
          <w:szCs w:val="24"/>
        </w:rPr>
      </w:pPr>
      <w:bookmarkStart w:id="163" w:name="_Toc25792"/>
      <w:r>
        <w:rPr>
          <w:rFonts w:hint="eastAsia" w:ascii="仿宋" w:hAnsi="仿宋" w:eastAsia="仿宋" w:cs="仿宋"/>
          <w:b/>
          <w:sz w:val="24"/>
          <w:szCs w:val="24"/>
        </w:rPr>
        <w:t>6、验收</w:t>
      </w:r>
      <w:bookmarkEnd w:id="163"/>
    </w:p>
    <w:p w14:paraId="5AFD42A8">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乙方送货时应提供相应的《商品订货单》或发货清单与相应检验证书等，否则甲方有权拒收；货物到货后7日内，甲、乙双方对实际交付货物的外观质量、数量、品种、型号或规格进行初步检验，按照合同中约定为准，由甲方、乙方共同验收，验收标准应符合国家相关规定及本合同约定的技术要求。</w:t>
      </w:r>
      <w:r>
        <w:rPr>
          <w:rFonts w:hint="eastAsia" w:ascii="仿宋" w:hAnsi="仿宋" w:eastAsia="仿宋" w:cs="仿宋"/>
          <w:sz w:val="24"/>
          <w:szCs w:val="24"/>
          <w:lang w:val="en-US" w:eastAsia="zh-CN"/>
        </w:rPr>
        <w:t>验收合同后经双方</w:t>
      </w:r>
      <w:r>
        <w:rPr>
          <w:rFonts w:hint="eastAsia" w:ascii="仿宋" w:hAnsi="仿宋" w:eastAsia="仿宋" w:cs="仿宋"/>
          <w:sz w:val="24"/>
          <w:szCs w:val="24"/>
        </w:rPr>
        <w:t>签字确认。</w:t>
      </w:r>
    </w:p>
    <w:p w14:paraId="378062DB">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验收结果经双方确认合格后签发验收合格交接单，双方负责验收的代表人员必须按规定，将验收交接单上的事项对照本合同填好验收结果签名并加盖公章（乙方供货、调试、安装完毕之后并投入正常使用之前，必须3个工作日内，</w:t>
      </w:r>
      <w:r>
        <w:rPr>
          <w:rFonts w:hint="eastAsia" w:ascii="仿宋" w:hAnsi="仿宋" w:eastAsia="仿宋" w:cs="仿宋"/>
          <w:sz w:val="24"/>
          <w:szCs w:val="24"/>
          <w:lang w:val="en-US" w:eastAsia="zh-CN"/>
        </w:rPr>
        <w:t>书面通知</w:t>
      </w:r>
      <w:r>
        <w:rPr>
          <w:rFonts w:hint="eastAsia" w:ascii="仿宋" w:hAnsi="仿宋" w:eastAsia="仿宋" w:cs="仿宋"/>
          <w:sz w:val="24"/>
          <w:szCs w:val="24"/>
        </w:rPr>
        <w:t>甲方进行验收。）</w:t>
      </w:r>
    </w:p>
    <w:p w14:paraId="27BD6A1B">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若验收不合格或验收发现货物有与合同约定、投标文件、招标文件等文件规定不符之处，甲方在验收或使用过程中均可以提出异议，乙方应在2日内负责处理，否则视为默认甲方提出的异议及处理意见。</w:t>
      </w:r>
    </w:p>
    <w:p w14:paraId="7AD07657">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rPr>
        <w:t>若甲方提出异议，乙方应于5日内无条件无偿给予更换，并承担因此产生的所有费用，包括但不限于货物费用、运输费用、人工费用等。因此产生的延期供货责任依据本合同第九条约定处理</w:t>
      </w:r>
      <w:r>
        <w:rPr>
          <w:rFonts w:hint="eastAsia" w:ascii="仿宋" w:hAnsi="仿宋" w:eastAsia="仿宋" w:cs="仿宋"/>
          <w:sz w:val="24"/>
          <w:szCs w:val="24"/>
          <w:lang w:eastAsia="zh-CN"/>
        </w:rPr>
        <w:t>，</w:t>
      </w:r>
      <w:r>
        <w:rPr>
          <w:rFonts w:hint="eastAsia" w:ascii="仿宋" w:hAnsi="仿宋" w:eastAsia="仿宋" w:cs="仿宋"/>
          <w:sz w:val="24"/>
          <w:szCs w:val="24"/>
        </w:rPr>
        <w:t>检验费用由乙方承担</w:t>
      </w:r>
      <w:r>
        <w:rPr>
          <w:rFonts w:hint="eastAsia" w:ascii="仿宋" w:hAnsi="仿宋" w:eastAsia="仿宋" w:cs="仿宋"/>
          <w:sz w:val="24"/>
          <w:szCs w:val="24"/>
          <w:lang w:eastAsia="zh-CN"/>
        </w:rPr>
        <w:t>。</w:t>
      </w:r>
    </w:p>
    <w:p w14:paraId="3AE96C14">
      <w:pPr>
        <w:keepNext w:val="0"/>
        <w:keepLines w:val="0"/>
        <w:pageBreakBefore w:val="0"/>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甲方对货物外观和数量的检验不视为对货物质量的确认。部分设备根据甲方要求，乙方必须5个工作日内，自行跟技术监督部门进行联系并邀请甲方、质量技术监督（或有资质的第三方）等部门进行质量检测、设备质量验收。如已供的设备因各种原因无法进行质量验收或质量验收不合格，一切后果由乙方承担）。在验收通过后，由乙方收集验收、签收、合格证、检测报告等有关质量、数量的文件资料，共计4套。（若原件数量不足可提供彩印件加盖公章）</w:t>
      </w:r>
    </w:p>
    <w:p w14:paraId="595C44DE">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sz w:val="24"/>
          <w:szCs w:val="24"/>
        </w:rPr>
      </w:pPr>
      <w:bookmarkStart w:id="164" w:name="_Toc21459"/>
      <w:r>
        <w:rPr>
          <w:rFonts w:hint="eastAsia" w:ascii="仿宋" w:hAnsi="仿宋" w:eastAsia="仿宋" w:cs="仿宋"/>
          <w:b/>
          <w:sz w:val="24"/>
          <w:szCs w:val="24"/>
        </w:rPr>
        <w:t>7、质量保证</w:t>
      </w:r>
      <w:bookmarkEnd w:id="164"/>
    </w:p>
    <w:p w14:paraId="5FB61F91">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合同货物质保期要求均为货物经最终验收合格按乙方的投标文件约定执行，在质量保证期内货物运行发生故障时，乙方在接到甲方故障通知后响应时间、故障排除均为投标文件约定执行。</w:t>
      </w:r>
    </w:p>
    <w:p w14:paraId="176DFA03">
      <w:pPr>
        <w:pStyle w:val="2"/>
        <w:keepNext w:val="0"/>
        <w:keepLines w:val="0"/>
        <w:pageBreakBefore w:val="0"/>
        <w:kinsoku/>
        <w:wordWrap/>
        <w:overflowPunct/>
        <w:topLinePunct w:val="0"/>
        <w:autoSpaceDE/>
        <w:autoSpaceDN/>
        <w:bidi w:val="0"/>
        <w:adjustRightInd/>
        <w:snapToGrid/>
        <w:spacing w:before="40" w:line="440" w:lineRule="exact"/>
        <w:ind w:left="0" w:leftChars="0" w:firstLine="540"/>
        <w:textAlignment w:val="auto"/>
        <w:outlineLvl w:val="0"/>
        <w:rPr>
          <w:rFonts w:hint="eastAsia" w:ascii="仿宋" w:hAnsi="仿宋" w:eastAsia="仿宋" w:cs="仿宋"/>
          <w:lang w:eastAsia="zh-CN"/>
        </w:rPr>
      </w:pPr>
      <w:r>
        <w:rPr>
          <w:rFonts w:hint="eastAsia" w:ascii="仿宋" w:hAnsi="仿宋" w:eastAsia="仿宋" w:cs="仿宋"/>
        </w:rPr>
        <w:t>甲方指定联系人：</w:t>
      </w:r>
      <w:r>
        <w:rPr>
          <w:rFonts w:hint="eastAsia" w:ascii="仿宋" w:hAnsi="仿宋" w:eastAsia="仿宋" w:cs="仿宋"/>
          <w:lang w:val="en-US" w:eastAsia="zh-CN"/>
        </w:rPr>
        <w:t xml:space="preserve">    </w:t>
      </w:r>
      <w:r>
        <w:rPr>
          <w:rFonts w:hint="eastAsia" w:ascii="仿宋" w:hAnsi="仿宋" w:eastAsia="仿宋" w:cs="仿宋"/>
        </w:rPr>
        <w:t>；联系方式：</w:t>
      </w:r>
      <w:r>
        <w:rPr>
          <w:rFonts w:hint="eastAsia" w:ascii="仿宋" w:hAnsi="仿宋" w:eastAsia="仿宋" w:cs="仿宋"/>
          <w:lang w:val="en-US" w:eastAsia="zh-CN"/>
        </w:rPr>
        <w:t xml:space="preserve"> </w:t>
      </w:r>
    </w:p>
    <w:p w14:paraId="28B73066">
      <w:pPr>
        <w:pStyle w:val="2"/>
        <w:keepNext w:val="0"/>
        <w:keepLines w:val="0"/>
        <w:pageBreakBefore w:val="0"/>
        <w:kinsoku/>
        <w:wordWrap/>
        <w:overflowPunct/>
        <w:topLinePunct w:val="0"/>
        <w:autoSpaceDE/>
        <w:autoSpaceDN/>
        <w:bidi w:val="0"/>
        <w:adjustRightInd/>
        <w:snapToGrid/>
        <w:spacing w:before="40" w:line="440" w:lineRule="exact"/>
        <w:ind w:left="0" w:leftChars="0" w:firstLine="540"/>
        <w:textAlignment w:val="auto"/>
        <w:outlineLvl w:val="0"/>
        <w:rPr>
          <w:rFonts w:hint="eastAsia" w:ascii="仿宋" w:hAnsi="仿宋" w:eastAsia="仿宋" w:cs="仿宋"/>
          <w:lang w:val="en-US" w:eastAsia="zh-CN"/>
        </w:rPr>
      </w:pPr>
      <w:r>
        <w:rPr>
          <w:rFonts w:hint="eastAsia" w:ascii="仿宋" w:hAnsi="仿宋" w:eastAsia="仿宋" w:cs="仿宋"/>
          <w:color w:val="auto"/>
          <w:sz w:val="24"/>
          <w:szCs w:val="24"/>
          <w:lang w:val="en-US" w:eastAsia="zh-CN"/>
        </w:rPr>
        <w:t xml:space="preserve">乙方指定联系人：    ；联系方式： </w:t>
      </w:r>
    </w:p>
    <w:p w14:paraId="5A3E9FC9">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sz w:val="24"/>
          <w:szCs w:val="24"/>
        </w:rPr>
      </w:pPr>
      <w:bookmarkStart w:id="165" w:name="_Toc27848"/>
      <w:r>
        <w:rPr>
          <w:rFonts w:hint="eastAsia" w:ascii="仿宋" w:hAnsi="仿宋" w:eastAsia="仿宋" w:cs="仿宋"/>
          <w:b/>
          <w:sz w:val="24"/>
          <w:szCs w:val="24"/>
        </w:rPr>
        <w:t>8、知识产权</w:t>
      </w:r>
      <w:bookmarkEnd w:id="165"/>
    </w:p>
    <w:p w14:paraId="789EF0C3">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且乙方应承担（</w:t>
      </w:r>
      <w:r>
        <w:rPr>
          <w:rFonts w:hint="eastAsia" w:ascii="仿宋" w:hAnsi="仿宋" w:eastAsia="仿宋" w:cs="仿宋"/>
          <w:sz w:val="24"/>
          <w:szCs w:val="24"/>
          <w:lang w:val="en-US" w:eastAsia="zh-CN"/>
        </w:rPr>
        <w:t>*</w:t>
      </w:r>
      <w:r>
        <w:rPr>
          <w:rFonts w:hint="eastAsia" w:ascii="仿宋" w:hAnsi="仿宋" w:eastAsia="仿宋" w:cs="仿宋"/>
          <w:sz w:val="24"/>
          <w:szCs w:val="24"/>
        </w:rPr>
        <w:t>）万元/次的违约金。</w:t>
      </w:r>
    </w:p>
    <w:p w14:paraId="11350C77">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sz w:val="24"/>
          <w:szCs w:val="24"/>
        </w:rPr>
      </w:pPr>
      <w:bookmarkStart w:id="166" w:name="_Toc23496"/>
      <w:r>
        <w:rPr>
          <w:rFonts w:hint="eastAsia" w:ascii="仿宋" w:hAnsi="仿宋" w:eastAsia="仿宋" w:cs="仿宋"/>
          <w:b/>
          <w:sz w:val="24"/>
          <w:szCs w:val="24"/>
        </w:rPr>
        <w:t>9、违约责任</w:t>
      </w:r>
      <w:bookmarkEnd w:id="166"/>
    </w:p>
    <w:p w14:paraId="6909E4A9">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1）如果乙方未能按合同规定的时间内足额交货（因甲方原因或者不可抗力除外），在乙方书面同意支付延期交货违约金的条件下，甲方有权选择同意延长交货期还是不予延长交货期，甲方同意延长交货期的，延期交货的时间由双方另行书面确定。</w:t>
      </w:r>
    </w:p>
    <w:p w14:paraId="66E54BC6">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延期交货违约金的支付甲方有权从未付的合同货款中扣除。延期交货违约金为每迟交1天，按迟交货中标价额的</w:t>
      </w:r>
      <w:r>
        <w:rPr>
          <w:rFonts w:hint="eastAsia" w:ascii="仿宋" w:hAnsi="仿宋" w:eastAsia="仿宋" w:cs="仿宋"/>
          <w:sz w:val="24"/>
          <w:szCs w:val="24"/>
          <w:lang w:val="en-US" w:eastAsia="zh-CN"/>
        </w:rPr>
        <w:t>万分之五</w:t>
      </w:r>
      <w:r>
        <w:rPr>
          <w:rFonts w:hint="eastAsia" w:ascii="仿宋" w:hAnsi="仿宋" w:eastAsia="仿宋" w:cs="仿宋"/>
          <w:sz w:val="24"/>
          <w:szCs w:val="24"/>
        </w:rPr>
        <w:t>计算。但是，延期交货违约金的支付总额不得超过迟交货物中标价的10％，超过10%时甲方有权单方解除此合同，若因此给甲方造成损失的，还应赔偿甲方所受的损失，甲方有权向市采购办申请处理乙方。</w:t>
      </w:r>
    </w:p>
    <w:p w14:paraId="6F22885C">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如果乙方未能按双方另行确定的延期交货期内足额交货的（因甲方原因或者不可抗力除外），每逾期1天，按迟交货中标价额的</w:t>
      </w:r>
      <w:r>
        <w:rPr>
          <w:rFonts w:hint="eastAsia" w:ascii="仿宋" w:hAnsi="仿宋" w:eastAsia="仿宋" w:cs="仿宋"/>
          <w:sz w:val="24"/>
          <w:szCs w:val="24"/>
          <w:lang w:val="en-US" w:eastAsia="zh-CN"/>
        </w:rPr>
        <w:t>5</w:t>
      </w:r>
      <w:r>
        <w:rPr>
          <w:rFonts w:hint="eastAsia" w:ascii="仿宋" w:hAnsi="仿宋" w:eastAsia="仿宋" w:cs="仿宋"/>
          <w:sz w:val="24"/>
          <w:szCs w:val="24"/>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甲方有权向有关单位申请处理乙方。</w:t>
      </w:r>
    </w:p>
    <w:p w14:paraId="5BE68B66">
      <w:pPr>
        <w:pStyle w:val="42"/>
        <w:keepNext w:val="0"/>
        <w:keepLines w:val="0"/>
        <w:pageBreakBefore w:val="0"/>
        <w:widowControl/>
        <w:kinsoku/>
        <w:wordWrap/>
        <w:overflowPunct/>
        <w:topLinePunct w:val="0"/>
        <w:autoSpaceDE/>
        <w:autoSpaceDN/>
        <w:bidi w:val="0"/>
        <w:adjustRightInd/>
        <w:snapToGrid/>
        <w:spacing w:before="40" w:beforeAutospacing="0" w:after="0" w:afterAutospacing="0" w:line="440" w:lineRule="exact"/>
        <w:ind w:firstLine="480" w:firstLineChars="200"/>
        <w:textAlignment w:val="auto"/>
        <w:outlineLvl w:val="0"/>
        <w:rPr>
          <w:rFonts w:hint="eastAsia" w:ascii="仿宋" w:hAnsi="仿宋" w:eastAsia="仿宋" w:cs="仿宋"/>
          <w:lang w:eastAsia="zh-CN"/>
        </w:rPr>
      </w:pPr>
      <w:r>
        <w:rPr>
          <w:rFonts w:hint="eastAsia" w:ascii="仿宋" w:hAnsi="仿宋" w:eastAsia="仿宋" w:cs="仿宋"/>
        </w:rPr>
        <w:t>若乙方不能交货的（因甲方原因或者不可抗拒的因素除外）或交货不合格从而影响甲方正常使用的，乙方应向甲方偿付合同金额的10％的违约金。违约金不足以补偿损失的，甲方有权要求乙方赔偿损失。乙方所供货物质量不符合有关规定而造成后果的，因此产生的赔偿责任由乙方全部承担，且乙方应承担20万元违约金。</w:t>
      </w:r>
    </w:p>
    <w:p w14:paraId="07F6E161">
      <w:pPr>
        <w:pStyle w:val="42"/>
        <w:keepNext w:val="0"/>
        <w:keepLines w:val="0"/>
        <w:pageBreakBefore w:val="0"/>
        <w:widowControl/>
        <w:kinsoku/>
        <w:wordWrap/>
        <w:overflowPunct/>
        <w:topLinePunct w:val="0"/>
        <w:autoSpaceDE/>
        <w:autoSpaceDN/>
        <w:bidi w:val="0"/>
        <w:adjustRightInd/>
        <w:snapToGrid/>
        <w:spacing w:before="40" w:beforeAutospacing="0" w:after="0" w:afterAutospacing="0" w:line="440" w:lineRule="exact"/>
        <w:ind w:firstLine="480" w:firstLineChars="200"/>
        <w:textAlignment w:val="auto"/>
        <w:outlineLvl w:val="0"/>
        <w:rPr>
          <w:rFonts w:hint="eastAsia" w:ascii="仿宋" w:hAnsi="仿宋" w:eastAsia="仿宋" w:cs="仿宋"/>
          <w:kern w:val="2"/>
        </w:rPr>
      </w:pPr>
      <w:r>
        <w:rPr>
          <w:rFonts w:hint="eastAsia" w:ascii="仿宋" w:hAnsi="仿宋" w:eastAsia="仿宋" w:cs="仿宋"/>
          <w:kern w:val="2"/>
        </w:rPr>
        <w:t>（2）因乙方提供的货物存在质量问题等原因，致使甲方或第三方因此遭受人身或财产损失，由此产生的赔偿责任由乙方承担，且乙方应赔偿甲方20万元违约金。</w:t>
      </w:r>
    </w:p>
    <w:p w14:paraId="6DD77D75">
      <w:pPr>
        <w:pStyle w:val="42"/>
        <w:keepNext w:val="0"/>
        <w:keepLines w:val="0"/>
        <w:pageBreakBefore w:val="0"/>
        <w:widowControl/>
        <w:kinsoku/>
        <w:wordWrap/>
        <w:overflowPunct/>
        <w:topLinePunct w:val="0"/>
        <w:autoSpaceDE/>
        <w:autoSpaceDN/>
        <w:bidi w:val="0"/>
        <w:adjustRightInd/>
        <w:snapToGrid/>
        <w:spacing w:before="40" w:beforeAutospacing="0" w:after="0" w:afterAutospacing="0" w:line="440" w:lineRule="exact"/>
        <w:ind w:firstLine="480" w:firstLineChars="200"/>
        <w:textAlignment w:val="auto"/>
        <w:outlineLvl w:val="0"/>
        <w:rPr>
          <w:rFonts w:hint="eastAsia" w:ascii="仿宋" w:hAnsi="仿宋" w:eastAsia="仿宋" w:cs="仿宋"/>
          <w:kern w:val="2"/>
        </w:rPr>
      </w:pPr>
      <w:r>
        <w:rPr>
          <w:rFonts w:hint="eastAsia" w:ascii="仿宋" w:hAnsi="仿宋" w:eastAsia="仿宋" w:cs="仿宋"/>
          <w:kern w:val="2"/>
        </w:rPr>
        <w:t>（3）若发生退货情形，乙方未按甲方要求退还已支付货款的，乙方除应立即退还货款外，还应承担（20）万元违约金。</w:t>
      </w:r>
    </w:p>
    <w:p w14:paraId="46307638">
      <w:pPr>
        <w:pStyle w:val="42"/>
        <w:keepNext w:val="0"/>
        <w:keepLines w:val="0"/>
        <w:pageBreakBefore w:val="0"/>
        <w:widowControl/>
        <w:kinsoku/>
        <w:wordWrap/>
        <w:overflowPunct/>
        <w:topLinePunct w:val="0"/>
        <w:autoSpaceDE/>
        <w:autoSpaceDN/>
        <w:bidi w:val="0"/>
        <w:adjustRightInd/>
        <w:snapToGrid/>
        <w:spacing w:before="40" w:beforeAutospacing="0" w:after="0" w:afterAutospacing="0" w:line="440" w:lineRule="exact"/>
        <w:ind w:firstLine="480" w:firstLineChars="200"/>
        <w:textAlignment w:val="auto"/>
        <w:outlineLvl w:val="0"/>
        <w:rPr>
          <w:rFonts w:hint="eastAsia" w:ascii="仿宋" w:hAnsi="仿宋" w:eastAsia="仿宋" w:cs="仿宋"/>
          <w:kern w:val="2"/>
        </w:rPr>
      </w:pPr>
      <w:r>
        <w:rPr>
          <w:rFonts w:hint="eastAsia" w:ascii="仿宋" w:hAnsi="仿宋" w:eastAsia="仿宋" w:cs="仿宋"/>
          <w:kern w:val="2"/>
        </w:rPr>
        <w:t>（4）乙方出现违反本合同约定或违反投标文件、招标文件等内容时，甲方有权要求乙方在三日内立即整改，并有权要求乙方承担</w:t>
      </w:r>
      <w:r>
        <w:rPr>
          <w:rFonts w:hint="eastAsia" w:ascii="仿宋" w:hAnsi="仿宋" w:eastAsia="仿宋" w:cs="仿宋"/>
          <w:kern w:val="2"/>
          <w:lang w:val="en-US" w:eastAsia="zh-CN"/>
        </w:rPr>
        <w:t>*</w:t>
      </w:r>
      <w:r>
        <w:rPr>
          <w:rFonts w:hint="eastAsia" w:ascii="仿宋" w:hAnsi="仿宋" w:eastAsia="仿宋" w:cs="仿宋"/>
          <w:kern w:val="2"/>
        </w:rPr>
        <w:t>万元/次的违约金。</w:t>
      </w:r>
    </w:p>
    <w:p w14:paraId="43FD5D3E">
      <w:pPr>
        <w:pStyle w:val="42"/>
        <w:keepNext w:val="0"/>
        <w:keepLines w:val="0"/>
        <w:pageBreakBefore w:val="0"/>
        <w:widowControl/>
        <w:kinsoku/>
        <w:wordWrap/>
        <w:overflowPunct/>
        <w:topLinePunct w:val="0"/>
        <w:autoSpaceDE/>
        <w:autoSpaceDN/>
        <w:bidi w:val="0"/>
        <w:adjustRightInd/>
        <w:snapToGrid/>
        <w:spacing w:before="40" w:beforeAutospacing="0" w:after="0" w:afterAutospacing="0" w:line="440" w:lineRule="exact"/>
        <w:ind w:firstLine="480" w:firstLineChars="200"/>
        <w:textAlignment w:val="auto"/>
        <w:outlineLvl w:val="0"/>
        <w:rPr>
          <w:rFonts w:hint="eastAsia" w:ascii="仿宋" w:hAnsi="仿宋" w:eastAsia="仿宋" w:cs="仿宋"/>
          <w:kern w:val="2"/>
        </w:rPr>
      </w:pPr>
      <w:r>
        <w:rPr>
          <w:rFonts w:hint="eastAsia" w:ascii="仿宋" w:hAnsi="仿宋" w:eastAsia="仿宋" w:cs="仿宋"/>
          <w:kern w:val="2"/>
        </w:rPr>
        <w:t>（5）乙方确认甲方发出的订单通知后拒绝供货的，应承担违约责任。乙方拒绝供货，每发生一次此种情形，乙方应承担【</w:t>
      </w:r>
      <w:r>
        <w:rPr>
          <w:rFonts w:hint="eastAsia" w:ascii="仿宋" w:hAnsi="仿宋" w:eastAsia="仿宋" w:cs="仿宋"/>
          <w:kern w:val="2"/>
          <w:lang w:val="en-US" w:eastAsia="zh-CN"/>
        </w:rPr>
        <w:t>*</w:t>
      </w:r>
      <w:r>
        <w:rPr>
          <w:rFonts w:hint="eastAsia" w:ascii="仿宋" w:hAnsi="仿宋" w:eastAsia="仿宋" w:cs="仿宋"/>
          <w:kern w:val="2"/>
        </w:rPr>
        <w:t>】元违约金。乙方拒绝供货超过2次或违约金达到</w:t>
      </w:r>
      <w:r>
        <w:rPr>
          <w:rFonts w:hint="eastAsia" w:ascii="仿宋" w:hAnsi="仿宋" w:eastAsia="仿宋" w:cs="仿宋"/>
          <w:kern w:val="2"/>
          <w:lang w:val="en-US" w:eastAsia="zh-CN"/>
        </w:rPr>
        <w:t>*</w:t>
      </w:r>
      <w:r>
        <w:rPr>
          <w:rFonts w:hint="eastAsia" w:ascii="仿宋" w:hAnsi="仿宋" w:eastAsia="仿宋" w:cs="仿宋"/>
          <w:kern w:val="2"/>
        </w:rPr>
        <w:t>元，甲方有权解除合同，并有权要求乙方承担【</w:t>
      </w:r>
      <w:r>
        <w:rPr>
          <w:rFonts w:hint="eastAsia" w:ascii="仿宋" w:hAnsi="仿宋" w:eastAsia="仿宋" w:cs="仿宋"/>
          <w:kern w:val="2"/>
          <w:lang w:val="en-US" w:eastAsia="zh-CN"/>
        </w:rPr>
        <w:t>*</w:t>
      </w:r>
      <w:r>
        <w:rPr>
          <w:rFonts w:hint="eastAsia" w:ascii="仿宋" w:hAnsi="仿宋" w:eastAsia="仿宋" w:cs="仿宋"/>
          <w:kern w:val="2"/>
        </w:rPr>
        <w:t>】元违约金。</w:t>
      </w:r>
    </w:p>
    <w:p w14:paraId="1C821D29">
      <w:pPr>
        <w:pStyle w:val="42"/>
        <w:keepNext w:val="0"/>
        <w:keepLines w:val="0"/>
        <w:pageBreakBefore w:val="0"/>
        <w:widowControl/>
        <w:kinsoku/>
        <w:wordWrap/>
        <w:overflowPunct/>
        <w:topLinePunct w:val="0"/>
        <w:autoSpaceDE/>
        <w:autoSpaceDN/>
        <w:bidi w:val="0"/>
        <w:adjustRightInd/>
        <w:snapToGrid/>
        <w:spacing w:before="40" w:beforeAutospacing="0" w:after="0" w:afterAutospacing="0" w:line="440" w:lineRule="exact"/>
        <w:ind w:firstLine="480" w:firstLineChars="200"/>
        <w:textAlignment w:val="auto"/>
        <w:outlineLvl w:val="0"/>
        <w:rPr>
          <w:rFonts w:hint="eastAsia" w:ascii="仿宋" w:hAnsi="仿宋" w:eastAsia="仿宋" w:cs="仿宋"/>
        </w:rPr>
      </w:pPr>
      <w:r>
        <w:rPr>
          <w:rFonts w:hint="eastAsia" w:ascii="仿宋" w:hAnsi="仿宋" w:eastAsia="仿宋" w:cs="仿宋"/>
          <w:kern w:val="2"/>
        </w:rPr>
        <w:t>（6）乙方除不可抗力因素外，应按照本合同约定完成项下义务，否则视为乙方违约，甲方有权拒付费用，并有权要求乙方赔偿由此造成的全部损失。</w:t>
      </w:r>
    </w:p>
    <w:p w14:paraId="78F72D91">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bCs/>
          <w:sz w:val="24"/>
          <w:szCs w:val="24"/>
        </w:rPr>
      </w:pPr>
      <w:bookmarkStart w:id="167" w:name="_Toc23517"/>
      <w:r>
        <w:rPr>
          <w:rFonts w:hint="eastAsia" w:ascii="仿宋" w:hAnsi="仿宋" w:eastAsia="仿宋" w:cs="仿宋"/>
          <w:b/>
          <w:bCs/>
          <w:sz w:val="24"/>
          <w:szCs w:val="24"/>
        </w:rPr>
        <w:t>10、违约终止合同</w:t>
      </w:r>
      <w:bookmarkEnd w:id="167"/>
    </w:p>
    <w:p w14:paraId="7230C0D0">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1）在补救违约而采取的任何其他措施未能实现的情况下，即在守约方发出的违约通知后10天内（或经守约方书面确认的更长时间内），违约方仍未纠正其下述任何一种违约行为，守约方有权向违约方发出书面解约通知，提前解除本合同。</w:t>
      </w:r>
    </w:p>
    <w:p w14:paraId="48F4B23B">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（2）除本合同另有约定外，违约方未能如约履行合同项下的任何义务守约方可单方解除本合同。</w:t>
      </w:r>
    </w:p>
    <w:p w14:paraId="139AFE97">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（3）经双方协商一致或因不可抗力不能实现合同目的时可以书面形式解除合同。</w:t>
      </w:r>
    </w:p>
    <w:p w14:paraId="651FAA3A">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（4）甲方有证据表明乙方丧失或可能丧失商业信誉或履行义务能力的，甲方有权单方面解除本合同，并要求乙方退回已付款、乙方支付向甲方支付合同总价款</w:t>
      </w:r>
      <w:r>
        <w:rPr>
          <w:rFonts w:hint="eastAsia" w:ascii="仿宋" w:hAnsi="仿宋" w:eastAsia="仿宋" w:cs="仿宋"/>
          <w:sz w:val="24"/>
          <w:szCs w:val="24"/>
          <w:lang w:val="en-US" w:eastAsia="zh-CN"/>
        </w:rPr>
        <w:t>3</w:t>
      </w:r>
      <w:r>
        <w:rPr>
          <w:rFonts w:hint="eastAsia" w:ascii="仿宋" w:hAnsi="仿宋" w:eastAsia="仿宋" w:cs="仿宋"/>
          <w:sz w:val="24"/>
          <w:szCs w:val="24"/>
        </w:rPr>
        <w:t>0%的违约金。</w:t>
      </w:r>
    </w:p>
    <w:p w14:paraId="480727A3">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sz w:val="24"/>
          <w:szCs w:val="24"/>
        </w:rPr>
      </w:pPr>
      <w:bookmarkStart w:id="168" w:name="_Toc17492"/>
      <w:r>
        <w:rPr>
          <w:rFonts w:hint="eastAsia" w:ascii="仿宋" w:hAnsi="仿宋" w:eastAsia="仿宋" w:cs="仿宋"/>
          <w:b/>
          <w:sz w:val="24"/>
          <w:szCs w:val="24"/>
        </w:rPr>
        <w:t>11、不可抗力</w:t>
      </w:r>
      <w:bookmarkEnd w:id="168"/>
    </w:p>
    <w:p w14:paraId="5D4F305D">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6B16555B">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本合同中的不可抗力指人为不能预见、不能避免并不能克服的客观情况。包括（但不限于）：自然灾害如地震、台风、洪水、火灾；重大传染病问题、政府行为、法律规定、其适用的变化、国家规定节假日前后导致的物流停运（乙方务必书面申请延迟交货并书面申请写清楚延迟供货日期）或者其他任何无法预见、避免或者控制的事件。</w:t>
      </w:r>
    </w:p>
    <w:p w14:paraId="1C9A26F0">
      <w:pPr>
        <w:keepNext w:val="0"/>
        <w:keepLines w:val="0"/>
        <w:pageBreakBefore w:val="0"/>
        <w:numPr>
          <w:ilvl w:val="0"/>
          <w:numId w:val="8"/>
        </w:numPr>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bCs/>
          <w:sz w:val="24"/>
          <w:szCs w:val="24"/>
        </w:rPr>
      </w:pPr>
      <w:bookmarkStart w:id="169" w:name="_Toc8445"/>
      <w:r>
        <w:rPr>
          <w:rFonts w:hint="eastAsia" w:ascii="仿宋" w:hAnsi="仿宋" w:eastAsia="仿宋" w:cs="仿宋"/>
          <w:b/>
          <w:bCs/>
          <w:sz w:val="24"/>
          <w:szCs w:val="24"/>
        </w:rPr>
        <w:t>合同纠纷处理方式：</w:t>
      </w:r>
      <w:bookmarkEnd w:id="169"/>
    </w:p>
    <w:p w14:paraId="12334A05">
      <w:pPr>
        <w:keepNext w:val="0"/>
        <w:keepLines w:val="0"/>
        <w:pageBreakBefore w:val="0"/>
        <w:numPr>
          <w:ilvl w:val="0"/>
          <w:numId w:val="0"/>
        </w:numPr>
        <w:kinsoku/>
        <w:wordWrap/>
        <w:overflowPunct/>
        <w:topLinePunct w:val="0"/>
        <w:autoSpaceDE/>
        <w:autoSpaceDN/>
        <w:bidi w:val="0"/>
        <w:adjustRightInd/>
        <w:snapToGrid/>
        <w:spacing w:before="40" w:line="44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因本合同或与本合同有关的一切事项发生争议，由双方友好协商解决。协商不成的，任何一方可在和田市人民法院提起诉讼。违约方/败诉方应承担为解决本次争议而产生的合理费用，包括但不限于诉讼费、律师费、鉴定费、保全费、保全担保费等费用。</w:t>
      </w:r>
    </w:p>
    <w:p w14:paraId="525FF457">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sz w:val="24"/>
          <w:szCs w:val="24"/>
        </w:rPr>
      </w:pPr>
      <w:bookmarkStart w:id="170" w:name="_Toc6217"/>
      <w:r>
        <w:rPr>
          <w:rFonts w:hint="eastAsia" w:ascii="仿宋" w:hAnsi="仿宋" w:eastAsia="仿宋" w:cs="仿宋"/>
          <w:b/>
          <w:sz w:val="24"/>
          <w:szCs w:val="24"/>
        </w:rPr>
        <w:t>13、质保期、范围、保修条件及方式</w:t>
      </w:r>
      <w:bookmarkEnd w:id="170"/>
    </w:p>
    <w:p w14:paraId="71A98886">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设备质保期为</w:t>
      </w:r>
      <w:r>
        <w:rPr>
          <w:rFonts w:hint="eastAsia" w:ascii="仿宋" w:hAnsi="仿宋" w:eastAsia="仿宋" w:cs="仿宋"/>
          <w:b/>
          <w:bCs/>
          <w:color w:val="000000"/>
          <w:kern w:val="0"/>
          <w:sz w:val="24"/>
          <w:szCs w:val="24"/>
          <w:u w:val="single"/>
        </w:rPr>
        <w:t>3</w:t>
      </w:r>
      <w:r>
        <w:rPr>
          <w:rFonts w:hint="eastAsia" w:ascii="仿宋" w:hAnsi="仿宋" w:eastAsia="仿宋" w:cs="仿宋"/>
          <w:sz w:val="24"/>
          <w:szCs w:val="24"/>
        </w:rPr>
        <w:t>年，自货物甲方书面验收合格之日起算。质保期限之内出现任何质量问题由乙方安排专人负责调换、维修。如出现非质量问题或者因人为原因、不可抗力等导致的问题，维修的材料费由甲方承担（甲方可指示具体签收货物的学校代为支付），乙方提供免费维修。免费保修期到后维修收取材料费，只收服务费（服务费具体签收货物的学校与供应商协商并自行承担）。质保期内，若乙方拖延或拒不履行质保义务，甲方有权寻找第三方进行调换、维修，由此产生的费用由乙方承担，甲方有权从保证金中扣除。</w:t>
      </w:r>
    </w:p>
    <w:p w14:paraId="0BF9FDA0">
      <w:pPr>
        <w:keepNext w:val="0"/>
        <w:keepLines w:val="0"/>
        <w:pageBreakBefore w:val="0"/>
        <w:kinsoku/>
        <w:wordWrap/>
        <w:overflowPunct/>
        <w:topLinePunct w:val="0"/>
        <w:autoSpaceDE/>
        <w:autoSpaceDN/>
        <w:bidi w:val="0"/>
        <w:adjustRightInd/>
        <w:snapToGrid/>
        <w:spacing w:before="40" w:line="440" w:lineRule="exact"/>
        <w:ind w:firstLine="482" w:firstLineChars="200"/>
        <w:contextualSpacing/>
        <w:textAlignment w:val="auto"/>
        <w:outlineLvl w:val="0"/>
        <w:rPr>
          <w:rFonts w:hint="eastAsia" w:ascii="仿宋" w:hAnsi="仿宋" w:eastAsia="仿宋" w:cs="仿宋"/>
          <w:b/>
          <w:bCs/>
          <w:sz w:val="24"/>
          <w:szCs w:val="24"/>
        </w:rPr>
      </w:pPr>
      <w:bookmarkStart w:id="171" w:name="_Toc23611"/>
      <w:r>
        <w:rPr>
          <w:rFonts w:hint="eastAsia" w:ascii="仿宋" w:hAnsi="仿宋" w:eastAsia="仿宋" w:cs="仿宋"/>
          <w:b/>
          <w:bCs/>
          <w:sz w:val="24"/>
          <w:szCs w:val="24"/>
        </w:rPr>
        <w:t>14、通知及送达</w:t>
      </w:r>
      <w:bookmarkEnd w:id="171"/>
    </w:p>
    <w:p w14:paraId="1D495A5A">
      <w:pPr>
        <w:pStyle w:val="2"/>
        <w:keepNext w:val="0"/>
        <w:keepLines w:val="0"/>
        <w:pageBreakBefore w:val="0"/>
        <w:kinsoku/>
        <w:wordWrap/>
        <w:overflowPunct/>
        <w:topLinePunct w:val="0"/>
        <w:autoSpaceDE/>
        <w:autoSpaceDN/>
        <w:bidi w:val="0"/>
        <w:adjustRightInd/>
        <w:snapToGrid/>
        <w:spacing w:before="40" w:line="440" w:lineRule="exact"/>
        <w:ind w:left="0" w:leftChars="0" w:firstLine="480"/>
        <w:textAlignment w:val="auto"/>
        <w:outlineLvl w:val="0"/>
        <w:rPr>
          <w:rFonts w:hint="eastAsia" w:ascii="仿宋" w:hAnsi="仿宋" w:eastAsia="仿宋" w:cs="仿宋"/>
          <w:spacing w:val="0"/>
          <w:kern w:val="2"/>
        </w:rPr>
      </w:pPr>
      <w:r>
        <w:rPr>
          <w:rFonts w:hint="eastAsia" w:ascii="仿宋" w:hAnsi="仿宋" w:eastAsia="仿宋" w:cs="仿宋"/>
          <w:spacing w:val="0"/>
          <w:kern w:val="2"/>
        </w:rPr>
        <w:t>双方关于本合同履行及相关事宜的通知，应当按照本合同尾部载明的地址发出。通知一般以对方或授权代表签名或者盖章确认为准。如果以特快专递</w:t>
      </w:r>
      <w:r>
        <w:rPr>
          <w:rFonts w:hint="eastAsia" w:ascii="仿宋" w:hAnsi="仿宋" w:eastAsia="仿宋" w:cs="仿宋"/>
          <w:spacing w:val="0"/>
          <w:kern w:val="2"/>
          <w:lang w:eastAsia="zh-CN"/>
        </w:rPr>
        <w:t>、</w:t>
      </w:r>
      <w:r>
        <w:rPr>
          <w:rFonts w:hint="eastAsia" w:ascii="仿宋" w:hAnsi="仿宋" w:eastAsia="仿宋" w:cs="仿宋"/>
          <w:spacing w:val="0"/>
          <w:kern w:val="2"/>
        </w:rPr>
        <w:t>挂号信形式寄送</w:t>
      </w:r>
      <w:r>
        <w:rPr>
          <w:rFonts w:hint="eastAsia" w:ascii="仿宋" w:hAnsi="仿宋" w:eastAsia="仿宋" w:cs="仿宋"/>
          <w:spacing w:val="0"/>
          <w:kern w:val="2"/>
          <w:lang w:val="en-US" w:eastAsia="zh-CN"/>
        </w:rPr>
        <w:t>或者</w:t>
      </w:r>
      <w:r>
        <w:rPr>
          <w:rFonts w:hint="eastAsia" w:ascii="仿宋" w:hAnsi="仿宋" w:eastAsia="仿宋" w:cs="仿宋"/>
          <w:spacing w:val="0"/>
          <w:kern w:val="2"/>
        </w:rPr>
        <w:t>，自发出之日起第四日视为送达之日。</w:t>
      </w:r>
      <w:r>
        <w:rPr>
          <w:rFonts w:hint="eastAsia" w:ascii="仿宋" w:hAnsi="仿宋" w:eastAsia="仿宋" w:cs="仿宋"/>
          <w:spacing w:val="0"/>
          <w:kern w:val="2"/>
          <w:lang w:val="en-US" w:eastAsia="zh-CN"/>
        </w:rPr>
        <w:t>采用电子邮件形式通知，收到电子邮件视为送达之日。</w:t>
      </w:r>
      <w:r>
        <w:rPr>
          <w:rFonts w:hint="eastAsia" w:ascii="仿宋" w:hAnsi="仿宋" w:eastAsia="仿宋" w:cs="仿宋"/>
          <w:spacing w:val="0"/>
          <w:kern w:val="2"/>
        </w:rPr>
        <w:t>在合同有效期内，任何一方的联系方式发生变更的，应当及时书面通知对方，否则应承担因此产生的不利后果。双方因本合同发生纠纷的，本合同尾部双方确认的地址可作为司法机关诉讼送达法律文书的地址。</w:t>
      </w:r>
    </w:p>
    <w:p w14:paraId="7A619EFD">
      <w:pPr>
        <w:pStyle w:val="2"/>
        <w:keepNext w:val="0"/>
        <w:keepLines w:val="0"/>
        <w:pageBreakBefore w:val="0"/>
        <w:kinsoku/>
        <w:wordWrap/>
        <w:overflowPunct/>
        <w:topLinePunct w:val="0"/>
        <w:autoSpaceDE/>
        <w:autoSpaceDN/>
        <w:bidi w:val="0"/>
        <w:adjustRightInd/>
        <w:snapToGrid/>
        <w:spacing w:before="40" w:line="340" w:lineRule="exact"/>
        <w:ind w:left="0" w:leftChars="0" w:firstLine="482"/>
        <w:textAlignment w:val="auto"/>
        <w:outlineLvl w:val="0"/>
        <w:rPr>
          <w:rFonts w:hint="eastAsia" w:ascii="仿宋" w:hAnsi="仿宋" w:eastAsia="仿宋" w:cs="仿宋"/>
          <w:b/>
          <w:bCs/>
          <w:spacing w:val="0"/>
          <w:kern w:val="2"/>
        </w:rPr>
      </w:pPr>
      <w:r>
        <w:rPr>
          <w:rFonts w:hint="eastAsia" w:ascii="仿宋" w:hAnsi="仿宋" w:eastAsia="仿宋" w:cs="仿宋"/>
          <w:b/>
          <w:bCs/>
          <w:spacing w:val="0"/>
          <w:kern w:val="2"/>
        </w:rPr>
        <w:t>15、保密</w:t>
      </w:r>
    </w:p>
    <w:p w14:paraId="0098FB20">
      <w:pPr>
        <w:pStyle w:val="2"/>
        <w:keepNext w:val="0"/>
        <w:keepLines w:val="0"/>
        <w:pageBreakBefore w:val="0"/>
        <w:kinsoku/>
        <w:wordWrap/>
        <w:overflowPunct/>
        <w:topLinePunct w:val="0"/>
        <w:autoSpaceDE/>
        <w:autoSpaceDN/>
        <w:bidi w:val="0"/>
        <w:adjustRightInd/>
        <w:snapToGrid/>
        <w:spacing w:before="40" w:line="440" w:lineRule="exact"/>
        <w:ind w:left="0" w:leftChars="0" w:firstLine="480"/>
        <w:textAlignment w:val="auto"/>
        <w:outlineLvl w:val="0"/>
        <w:rPr>
          <w:rFonts w:hint="eastAsia" w:ascii="仿宋" w:hAnsi="仿宋" w:eastAsia="仿宋" w:cs="仿宋"/>
          <w:spacing w:val="0"/>
          <w:kern w:val="2"/>
        </w:rPr>
      </w:pPr>
      <w:r>
        <w:rPr>
          <w:rFonts w:hint="eastAsia" w:ascii="仿宋" w:hAnsi="仿宋" w:eastAsia="仿宋" w:cs="仿宋"/>
          <w:spacing w:val="0"/>
          <w:kern w:val="2"/>
        </w:rPr>
        <w:t>乙方对在履行本合同义务过程中知晓的甲方的秘密应履行保密义务，保密期限至该秘密成为公众所知晓的信息时止。若乙方违反保密约定，乙方已收取的费用应当退还，且乙方应承担合同设计费总额【10】%的违约金，造成甲方损失的，应承担甲方的全部损失。</w:t>
      </w:r>
    </w:p>
    <w:p w14:paraId="4F04819B">
      <w:pPr>
        <w:pStyle w:val="2"/>
        <w:keepNext w:val="0"/>
        <w:keepLines w:val="0"/>
        <w:pageBreakBefore w:val="0"/>
        <w:kinsoku/>
        <w:wordWrap/>
        <w:overflowPunct/>
        <w:topLinePunct w:val="0"/>
        <w:autoSpaceDE/>
        <w:autoSpaceDN/>
        <w:bidi w:val="0"/>
        <w:adjustRightInd/>
        <w:snapToGrid/>
        <w:spacing w:before="40" w:line="440" w:lineRule="exact"/>
        <w:ind w:left="0" w:leftChars="0" w:firstLine="480"/>
        <w:textAlignment w:val="auto"/>
        <w:outlineLvl w:val="0"/>
        <w:rPr>
          <w:rFonts w:hint="eastAsia" w:ascii="仿宋" w:hAnsi="仿宋" w:eastAsia="仿宋" w:cs="仿宋"/>
          <w:spacing w:val="0"/>
          <w:kern w:val="2"/>
        </w:rPr>
      </w:pPr>
      <w:r>
        <w:rPr>
          <w:rFonts w:hint="eastAsia" w:ascii="仿宋" w:hAnsi="仿宋" w:eastAsia="仿宋" w:cs="仿宋"/>
          <w:spacing w:val="0"/>
          <w:kern w:val="2"/>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F16B9A4">
      <w:pPr>
        <w:keepNext w:val="0"/>
        <w:keepLines w:val="0"/>
        <w:pageBreakBefore w:val="0"/>
        <w:kinsoku/>
        <w:wordWrap/>
        <w:overflowPunct/>
        <w:topLinePunct w:val="0"/>
        <w:autoSpaceDE/>
        <w:autoSpaceDN/>
        <w:bidi w:val="0"/>
        <w:adjustRightInd/>
        <w:snapToGrid/>
        <w:spacing w:before="40" w:line="440" w:lineRule="exact"/>
        <w:ind w:firstLine="482" w:firstLineChars="200"/>
        <w:textAlignment w:val="auto"/>
        <w:outlineLvl w:val="0"/>
        <w:rPr>
          <w:rFonts w:hint="eastAsia" w:ascii="仿宋" w:hAnsi="仿宋" w:eastAsia="仿宋" w:cs="仿宋"/>
          <w:b/>
          <w:sz w:val="24"/>
          <w:szCs w:val="24"/>
        </w:rPr>
      </w:pPr>
      <w:bookmarkStart w:id="172" w:name="_Toc24020"/>
      <w:r>
        <w:rPr>
          <w:rFonts w:hint="eastAsia" w:ascii="仿宋" w:hAnsi="仿宋" w:eastAsia="仿宋" w:cs="仿宋"/>
          <w:b/>
          <w:sz w:val="24"/>
          <w:szCs w:val="24"/>
        </w:rPr>
        <w:t>16、其他约定</w:t>
      </w:r>
      <w:bookmarkEnd w:id="172"/>
    </w:p>
    <w:p w14:paraId="57A1FF24">
      <w:pPr>
        <w:keepNext w:val="0"/>
        <w:keepLines w:val="0"/>
        <w:pageBreakBefore w:val="0"/>
        <w:kinsoku/>
        <w:wordWrap/>
        <w:overflowPunct/>
        <w:topLinePunct w:val="0"/>
        <w:autoSpaceDE/>
        <w:autoSpaceDN/>
        <w:bidi w:val="0"/>
        <w:adjustRightInd/>
        <w:snapToGrid/>
        <w:spacing w:before="40" w:line="440" w:lineRule="exact"/>
        <w:ind w:firstLine="480" w:firstLineChars="200"/>
        <w:contextualSpacing/>
        <w:textAlignment w:val="auto"/>
        <w:outlineLvl w:val="0"/>
        <w:rPr>
          <w:rFonts w:hint="eastAsia" w:ascii="仿宋" w:hAnsi="仿宋" w:eastAsia="仿宋" w:cs="仿宋"/>
          <w:sz w:val="24"/>
          <w:szCs w:val="24"/>
        </w:rPr>
      </w:pPr>
      <w:r>
        <w:rPr>
          <w:rFonts w:hint="eastAsia" w:ascii="仿宋" w:hAnsi="仿宋" w:eastAsia="仿宋" w:cs="仿宋"/>
          <w:sz w:val="24"/>
          <w:szCs w:val="24"/>
        </w:rPr>
        <w:t>本招标项目的招标文件、中标人的投标文件以及相关的澄清确认函（如果有的话）均为本合同不可分割的一部分，与本合同具有同等法律效力。</w:t>
      </w:r>
    </w:p>
    <w:p w14:paraId="14B57C82">
      <w:pPr>
        <w:pStyle w:val="42"/>
        <w:keepNext w:val="0"/>
        <w:keepLines w:val="0"/>
        <w:pageBreakBefore w:val="0"/>
        <w:widowControl/>
        <w:kinsoku/>
        <w:wordWrap/>
        <w:overflowPunct/>
        <w:topLinePunct w:val="0"/>
        <w:autoSpaceDE/>
        <w:autoSpaceDN/>
        <w:bidi w:val="0"/>
        <w:adjustRightInd/>
        <w:snapToGrid/>
        <w:spacing w:before="40" w:beforeAutospacing="0" w:line="440" w:lineRule="exact"/>
        <w:ind w:firstLine="480" w:firstLineChars="200"/>
        <w:contextualSpacing/>
        <w:textAlignment w:val="auto"/>
        <w:outlineLvl w:val="0"/>
        <w:rPr>
          <w:rFonts w:hint="eastAsia" w:ascii="仿宋" w:hAnsi="仿宋" w:eastAsia="仿宋" w:cs="仿宋"/>
        </w:rPr>
      </w:pPr>
      <w:r>
        <w:rPr>
          <w:rFonts w:hint="eastAsia" w:ascii="仿宋" w:hAnsi="仿宋" w:eastAsia="仿宋" w:cs="仿宋"/>
        </w:rPr>
        <w:t>本合同未尽事宜，由双方另行商定，并以书面形式补充。补充协议与本合同具有同等效力。本补充协议未涉及的内容，以原合同的约定为准；补充协议与本合同不一致的，以补充协议为准。</w:t>
      </w:r>
    </w:p>
    <w:p w14:paraId="437641F8">
      <w:pPr>
        <w:pStyle w:val="42"/>
        <w:keepNext w:val="0"/>
        <w:keepLines w:val="0"/>
        <w:pageBreakBefore w:val="0"/>
        <w:widowControl/>
        <w:kinsoku/>
        <w:wordWrap/>
        <w:overflowPunct/>
        <w:topLinePunct w:val="0"/>
        <w:autoSpaceDE/>
        <w:autoSpaceDN/>
        <w:bidi w:val="0"/>
        <w:adjustRightInd/>
        <w:snapToGrid/>
        <w:spacing w:before="40" w:beforeAutospacing="0" w:line="440" w:lineRule="exact"/>
        <w:ind w:left="0" w:firstLine="482" w:firstLineChars="200"/>
        <w:contextualSpacing/>
        <w:textAlignment w:val="auto"/>
        <w:outlineLvl w:val="0"/>
        <w:rPr>
          <w:rFonts w:hint="eastAsia" w:ascii="仿宋" w:hAnsi="仿宋" w:eastAsia="仿宋" w:cs="仿宋"/>
          <w:b/>
          <w:color w:val="auto"/>
          <w:sz w:val="24"/>
          <w:szCs w:val="24"/>
        </w:rPr>
      </w:pPr>
      <w:r>
        <w:rPr>
          <w:rFonts w:hint="eastAsia" w:ascii="仿宋" w:hAnsi="仿宋" w:eastAsia="仿宋" w:cs="仿宋"/>
          <w:b/>
        </w:rPr>
        <w:t>17、本合同一式陆份，甲方执肆份、乙方执贰份，具有同等法律效力。经</w:t>
      </w:r>
      <w:r>
        <w:rPr>
          <w:rFonts w:hint="eastAsia" w:ascii="仿宋" w:hAnsi="仿宋" w:eastAsia="仿宋" w:cs="仿宋"/>
          <w:b/>
          <w:color w:val="auto"/>
          <w:sz w:val="24"/>
          <w:szCs w:val="24"/>
        </w:rPr>
        <w:t>双方</w:t>
      </w:r>
      <w:r>
        <w:rPr>
          <w:rFonts w:hint="eastAsia" w:ascii="仿宋" w:hAnsi="仿宋" w:eastAsia="仿宋" w:cs="仿宋"/>
          <w:b/>
          <w:color w:val="auto"/>
          <w:sz w:val="24"/>
          <w:szCs w:val="24"/>
          <w:lang w:val="en-US" w:eastAsia="zh-CN"/>
        </w:rPr>
        <w:t>法定代表人或授权代表</w:t>
      </w:r>
      <w:r>
        <w:rPr>
          <w:rFonts w:hint="eastAsia" w:ascii="仿宋" w:hAnsi="仿宋" w:eastAsia="仿宋" w:cs="仿宋"/>
          <w:b/>
          <w:color w:val="auto"/>
          <w:sz w:val="24"/>
          <w:szCs w:val="24"/>
        </w:rPr>
        <w:t>签字</w:t>
      </w:r>
      <w:r>
        <w:rPr>
          <w:rFonts w:hint="eastAsia" w:ascii="仿宋" w:hAnsi="仿宋" w:eastAsia="仿宋" w:cs="仿宋"/>
          <w:b/>
          <w:color w:val="auto"/>
          <w:sz w:val="24"/>
          <w:szCs w:val="24"/>
          <w:lang w:val="en-US" w:eastAsia="zh-CN"/>
        </w:rPr>
        <w:t>并加</w:t>
      </w:r>
      <w:r>
        <w:rPr>
          <w:rFonts w:hint="eastAsia" w:ascii="仿宋" w:hAnsi="仿宋" w:eastAsia="仿宋" w:cs="仿宋"/>
          <w:b/>
          <w:color w:val="auto"/>
          <w:sz w:val="24"/>
          <w:szCs w:val="24"/>
        </w:rPr>
        <w:t>盖</w:t>
      </w:r>
      <w:r>
        <w:rPr>
          <w:rFonts w:hint="eastAsia" w:ascii="仿宋" w:hAnsi="仿宋" w:eastAsia="仿宋" w:cs="仿宋"/>
          <w:b/>
          <w:color w:val="auto"/>
          <w:sz w:val="24"/>
          <w:szCs w:val="24"/>
          <w:lang w:val="en-US" w:eastAsia="zh-CN"/>
        </w:rPr>
        <w:t>公</w:t>
      </w:r>
      <w:r>
        <w:rPr>
          <w:rFonts w:hint="eastAsia" w:ascii="仿宋" w:hAnsi="仿宋" w:eastAsia="仿宋" w:cs="仿宋"/>
          <w:b/>
          <w:color w:val="auto"/>
          <w:sz w:val="24"/>
          <w:szCs w:val="24"/>
        </w:rPr>
        <w:t>章后生效。</w:t>
      </w:r>
    </w:p>
    <w:p w14:paraId="08E6BBE1">
      <w:pPr>
        <w:keepNext w:val="0"/>
        <w:keepLines w:val="0"/>
        <w:pageBreakBefore w:val="0"/>
        <w:kinsoku/>
        <w:wordWrap/>
        <w:overflowPunct/>
        <w:topLinePunct w:val="0"/>
        <w:autoSpaceDE/>
        <w:autoSpaceDN/>
        <w:bidi w:val="0"/>
        <w:snapToGrid/>
        <w:spacing w:line="440" w:lineRule="exact"/>
        <w:ind w:left="0" w:leftChars="0" w:firstLine="0" w:firstLineChars="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    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pacing w:val="0"/>
          <w:sz w:val="24"/>
          <w:szCs w:val="24"/>
        </w:rPr>
        <w:t>乙方：</w:t>
      </w:r>
      <w:r>
        <w:rPr>
          <w:rFonts w:hint="eastAsia" w:ascii="仿宋" w:hAnsi="仿宋" w:eastAsia="仿宋" w:cs="仿宋"/>
          <w:color w:val="auto"/>
          <w:spacing w:val="-17"/>
          <w:sz w:val="24"/>
          <w:szCs w:val="24"/>
          <w:u w:val="single"/>
          <w:lang w:val="en-US" w:eastAsia="zh-CN"/>
        </w:rPr>
        <w:t xml:space="preserve">                                  </w:t>
      </w:r>
      <w:r>
        <w:rPr>
          <w:rFonts w:hint="eastAsia" w:ascii="仿宋" w:hAnsi="仿宋" w:eastAsia="仿宋" w:cs="仿宋"/>
          <w:color w:val="auto"/>
          <w:spacing w:val="-11"/>
          <w:sz w:val="24"/>
          <w:szCs w:val="24"/>
          <w:u w:val="single"/>
          <w:lang w:val="en-US" w:eastAsia="zh-CN"/>
        </w:rPr>
        <w:t xml:space="preserve"> </w:t>
      </w:r>
      <w:r>
        <w:rPr>
          <w:rFonts w:hint="eastAsia" w:ascii="仿宋" w:hAnsi="仿宋" w:eastAsia="仿宋" w:cs="仿宋"/>
          <w:color w:val="auto"/>
          <w:sz w:val="24"/>
          <w:szCs w:val="24"/>
        </w:rPr>
        <w:t xml:space="preserve">  </w:t>
      </w:r>
    </w:p>
    <w:p w14:paraId="39421C3E">
      <w:pPr>
        <w:keepNext w:val="0"/>
        <w:keepLines w:val="0"/>
        <w:pageBreakBefore w:val="0"/>
        <w:kinsoku/>
        <w:wordWrap/>
        <w:overflowPunct/>
        <w:topLinePunct w:val="0"/>
        <w:autoSpaceDE/>
        <w:autoSpaceDN/>
        <w:bidi w:val="0"/>
        <w:snapToGrid/>
        <w:spacing w:line="240" w:lineRule="auto"/>
        <w:ind w:left="5640" w:leftChars="38" w:hanging="5560" w:hangingChars="2317"/>
        <w:contextualSpacing/>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单位地址：</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pacing w:val="20"/>
          <w:sz w:val="24"/>
          <w:szCs w:val="24"/>
        </w:rPr>
        <w:t>单位地址：</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6"/>
          <w:w w:val="100"/>
          <w:sz w:val="24"/>
          <w:szCs w:val="24"/>
          <w:u w:val="single"/>
          <w:lang w:val="en-US" w:eastAsia="zh-CN"/>
        </w:rPr>
        <w:t xml:space="preserve">     </w:t>
      </w:r>
      <w:r>
        <w:rPr>
          <w:rFonts w:hint="eastAsia" w:ascii="仿宋" w:hAnsi="仿宋" w:eastAsia="仿宋" w:cs="仿宋"/>
          <w:color w:val="auto"/>
          <w:w w:val="100"/>
          <w:sz w:val="24"/>
          <w:szCs w:val="24"/>
          <w:u w:val="single"/>
          <w:lang w:val="en-US" w:eastAsia="zh-CN"/>
        </w:rPr>
        <w:t xml:space="preserve"> </w:t>
      </w:r>
    </w:p>
    <w:p w14:paraId="777B0D25">
      <w:pPr>
        <w:keepNext w:val="0"/>
        <w:keepLines w:val="0"/>
        <w:pageBreakBefore w:val="0"/>
        <w:kinsoku/>
        <w:wordWrap/>
        <w:overflowPunct/>
        <w:topLinePunct w:val="0"/>
        <w:autoSpaceDE/>
        <w:autoSpaceDN/>
        <w:bidi w:val="0"/>
        <w:snapToGrid/>
        <w:spacing w:line="440" w:lineRule="exact"/>
        <w:ind w:left="0" w:leftChars="0" w:firstLine="0" w:firstLineChars="0"/>
        <w:contextualSpacing/>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63124082">
      <w:pPr>
        <w:pStyle w:val="16"/>
        <w:keepNext w:val="0"/>
        <w:keepLines w:val="0"/>
        <w:pageBreakBefore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分管领导</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22AD45AE">
      <w:pPr>
        <w:pStyle w:val="16"/>
        <w:keepNext w:val="0"/>
        <w:keepLines w:val="0"/>
        <w:pageBreakBefore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科室主任</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联系电话</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090EA24B">
      <w:pPr>
        <w:keepNext w:val="0"/>
        <w:keepLines w:val="0"/>
        <w:pageBreakBefore w:val="0"/>
        <w:kinsoku/>
        <w:wordWrap/>
        <w:overflowPunct/>
        <w:topLinePunct w:val="0"/>
        <w:autoSpaceDE/>
        <w:autoSpaceDN/>
        <w:bidi w:val="0"/>
        <w:snapToGrid/>
        <w:spacing w:line="440" w:lineRule="exact"/>
        <w:ind w:left="0" w:leftChars="0" w:firstLine="0" w:firstLineChars="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办</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现场负责人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65D927C4">
      <w:pPr>
        <w:keepNext w:val="0"/>
        <w:keepLines w:val="0"/>
        <w:pageBreakBefore w:val="0"/>
        <w:kinsoku/>
        <w:wordWrap/>
        <w:overflowPunct/>
        <w:topLinePunct w:val="0"/>
        <w:autoSpaceDE/>
        <w:autoSpaceDN/>
        <w:bidi w:val="0"/>
        <w:snapToGrid/>
        <w:spacing w:line="440" w:lineRule="exact"/>
        <w:ind w:left="0" w:leftChars="0" w:firstLine="0" w:firstLineChars="0"/>
        <w:contextualSpacing/>
        <w:textAlignment w:val="auto"/>
        <w:rPr>
          <w:rFonts w:hint="eastAsia" w:ascii="仿宋" w:hAnsi="仿宋" w:eastAsia="仿宋" w:cs="仿宋"/>
          <w:color w:val="auto"/>
          <w:spacing w:val="-6"/>
          <w:sz w:val="24"/>
          <w:szCs w:val="24"/>
          <w:u w:val="single"/>
          <w:lang w:val="en-US" w:eastAsia="zh-CN"/>
        </w:rPr>
      </w:pPr>
      <w:r>
        <w:rPr>
          <w:rFonts w:hint="eastAsia" w:ascii="仿宋" w:hAnsi="仿宋" w:eastAsia="仿宋" w:cs="仿宋"/>
          <w:color w:val="auto"/>
          <w:sz w:val="24"/>
          <w:szCs w:val="24"/>
        </w:rPr>
        <w:t xml:space="preserve">电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联系电话</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p>
    <w:p w14:paraId="2F54F0F8">
      <w:pPr>
        <w:pStyle w:val="16"/>
        <w:keepNext w:val="0"/>
        <w:keepLines w:val="0"/>
        <w:pageBreakBefore w:val="0"/>
        <w:kinsoku/>
        <w:wordWrap/>
        <w:overflowPunct/>
        <w:topLinePunct w:val="0"/>
        <w:autoSpaceDE/>
        <w:autoSpaceDN/>
        <w:bidi w:val="0"/>
        <w:snapToGrid/>
        <w:spacing w:line="440" w:lineRule="exact"/>
        <w:ind w:left="0" w:leftChars="0" w:firstLine="0" w:firstLineChars="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 xml:space="preserve">                                   </w:t>
      </w:r>
    </w:p>
    <w:p w14:paraId="200A5FA0">
      <w:pPr>
        <w:pStyle w:val="16"/>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 xml:space="preserve">                                    </w:t>
      </w:r>
    </w:p>
    <w:p w14:paraId="6C9F098F">
      <w:pPr>
        <w:keepNext w:val="0"/>
        <w:keepLines w:val="0"/>
        <w:pageBreakBefore w:val="0"/>
        <w:kinsoku/>
        <w:wordWrap/>
        <w:overflowPunct/>
        <w:topLinePunct w:val="0"/>
        <w:autoSpaceDE/>
        <w:autoSpaceDN/>
        <w:bidi w:val="0"/>
        <w:snapToGrid/>
        <w:spacing w:line="440" w:lineRule="exact"/>
        <w:ind w:firstLine="200"/>
        <w:contextualSpacing/>
        <w:jc w:val="center"/>
        <w:textAlignment w:val="auto"/>
        <w:rPr>
          <w:rFonts w:hint="eastAsia" w:ascii="仿宋" w:hAnsi="仿宋" w:eastAsia="仿宋" w:cs="仿宋"/>
          <w:sz w:val="32"/>
          <w:szCs w:val="32"/>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1E1FF01F">
      <w:pPr>
        <w:rPr>
          <w:rFonts w:hint="eastAsia" w:ascii="仿宋" w:hAnsi="仿宋" w:eastAsia="仿宋" w:cs="仿宋"/>
          <w:sz w:val="24"/>
          <w:szCs w:val="24"/>
        </w:rPr>
      </w:pPr>
    </w:p>
    <w:p w14:paraId="30C7C029">
      <w:pPr>
        <w:pStyle w:val="22"/>
        <w:rPr>
          <w:rFonts w:hint="eastAsia" w:ascii="仿宋" w:hAnsi="仿宋" w:eastAsia="仿宋" w:cs="仿宋"/>
          <w:sz w:val="24"/>
          <w:szCs w:val="24"/>
        </w:rPr>
      </w:pPr>
    </w:p>
    <w:p w14:paraId="386A7ABA">
      <w:pPr>
        <w:jc w:val="both"/>
        <w:rPr>
          <w:rFonts w:hint="eastAsia" w:ascii="仿宋" w:hAnsi="仿宋" w:eastAsia="仿宋" w:cs="仿宋"/>
          <w:b w:val="0"/>
          <w:bCs w:val="0"/>
          <w:color w:val="auto"/>
          <w:sz w:val="24"/>
          <w:szCs w:val="24"/>
        </w:rPr>
        <w:sectPr>
          <w:pgSz w:w="11850" w:h="16783"/>
          <w:pgMar w:top="1440" w:right="1440" w:bottom="1440" w:left="1440" w:header="720" w:footer="720" w:gutter="0"/>
          <w:pgNumType w:fmt="decimal"/>
          <w:cols w:space="720" w:num="1"/>
          <w:docGrid w:linePitch="323" w:charSpace="0"/>
        </w:sectPr>
      </w:pPr>
    </w:p>
    <w:p w14:paraId="5A5FDAA9">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 w:val="0"/>
          <w:bCs w:val="0"/>
          <w:color w:val="auto"/>
          <w:sz w:val="44"/>
          <w:szCs w:val="44"/>
        </w:rPr>
      </w:pPr>
      <w:bookmarkStart w:id="173" w:name="_Toc8270"/>
      <w:bookmarkStart w:id="174" w:name="_Toc31999"/>
      <w:r>
        <w:rPr>
          <w:rFonts w:hint="eastAsia" w:ascii="仿宋" w:hAnsi="仿宋" w:eastAsia="仿宋" w:cs="仿宋"/>
          <w:b/>
          <w:bCs/>
          <w:color w:val="auto"/>
          <w:sz w:val="44"/>
          <w:szCs w:val="44"/>
        </w:rPr>
        <w:t>第六章  技术标准及要求</w:t>
      </w:r>
      <w:bookmarkEnd w:id="173"/>
      <w:bookmarkEnd w:id="174"/>
    </w:p>
    <w:p w14:paraId="15C51001">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sz w:val="32"/>
          <w:szCs w:val="32"/>
        </w:rPr>
      </w:pPr>
      <w:bookmarkStart w:id="175" w:name="_Toc71087056"/>
      <w:bookmarkStart w:id="176" w:name="_Toc61318613"/>
      <w:r>
        <w:rPr>
          <w:rFonts w:hint="eastAsia" w:ascii="仿宋" w:hAnsi="仿宋" w:eastAsia="仿宋" w:cs="仿宋"/>
          <w:b/>
          <w:bCs/>
          <w:color w:val="auto"/>
          <w:sz w:val="32"/>
          <w:szCs w:val="32"/>
        </w:rPr>
        <w:t>1、一般规定</w:t>
      </w:r>
    </w:p>
    <w:p w14:paraId="25929431">
      <w:pPr>
        <w:keepNext w:val="0"/>
        <w:keepLines w:val="0"/>
        <w:pageBreakBefore w:val="0"/>
        <w:widowControl/>
        <w:tabs>
          <w:tab w:val="left" w:pos="502"/>
          <w:tab w:val="left" w:pos="753"/>
        </w:tabs>
        <w:kinsoku/>
        <w:wordWrap/>
        <w:overflowPunct/>
        <w:topLinePunct w:val="0"/>
        <w:autoSpaceDE w:val="0"/>
        <w:autoSpaceDN w:val="0"/>
        <w:bidi w:val="0"/>
        <w:adjustRightInd/>
        <w:spacing w:line="300" w:lineRule="exact"/>
        <w:ind w:left="0" w:leftChars="0" w:right="0" w:rightChars="0"/>
        <w:jc w:val="left"/>
        <w:textAlignment w:val="bottom"/>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1.1、供方责任</w:t>
      </w:r>
    </w:p>
    <w:p w14:paraId="5A451918">
      <w:pPr>
        <w:keepNext w:val="0"/>
        <w:keepLines w:val="0"/>
        <w:pageBreakBefore w:val="0"/>
        <w:widowControl/>
        <w:tabs>
          <w:tab w:val="left" w:pos="502"/>
          <w:tab w:val="left" w:pos="753"/>
        </w:tabs>
        <w:kinsoku/>
        <w:wordWrap/>
        <w:overflowPunct/>
        <w:topLinePunct w:val="0"/>
        <w:autoSpaceDE w:val="0"/>
        <w:autoSpaceDN w:val="0"/>
        <w:bidi w:val="0"/>
        <w:adjustRightInd/>
        <w:spacing w:line="300" w:lineRule="exact"/>
        <w:ind w:left="0" w:leftChars="0" w:right="0" w:rightChars="0" w:firstLine="240" w:firstLineChars="100"/>
        <w:jc w:val="left"/>
        <w:textAlignment w:val="bottom"/>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（1）供方负责所供设</w:t>
      </w:r>
      <w:r>
        <w:rPr>
          <w:rFonts w:hint="eastAsia" w:ascii="仿宋" w:hAnsi="仿宋" w:eastAsia="仿宋" w:cs="仿宋"/>
          <w:b w:val="0"/>
          <w:bCs w:val="0"/>
          <w:color w:val="auto"/>
          <w:sz w:val="24"/>
          <w:szCs w:val="24"/>
          <w:lang w:eastAsia="zh-CN"/>
        </w:rPr>
        <w:t>备或</w:t>
      </w:r>
      <w:r>
        <w:rPr>
          <w:rFonts w:hint="eastAsia" w:ascii="仿宋" w:hAnsi="仿宋" w:eastAsia="仿宋" w:cs="仿宋"/>
          <w:b w:val="0"/>
          <w:bCs w:val="0"/>
          <w:color w:val="auto"/>
          <w:sz w:val="24"/>
          <w:szCs w:val="24"/>
        </w:rPr>
        <w:t>产品制造、供应、质量的检测、检验和验收、移交前的维护、移交等工作，以及提供为完成上述所需的全部人工、材料、专用工具、交通运输一切辅助作业及辅助设施等。</w:t>
      </w:r>
    </w:p>
    <w:p w14:paraId="198FA3E6">
      <w:pPr>
        <w:keepNext w:val="0"/>
        <w:keepLines w:val="0"/>
        <w:pageBreakBefore w:val="0"/>
        <w:widowControl/>
        <w:tabs>
          <w:tab w:val="left" w:pos="502"/>
          <w:tab w:val="left" w:pos="753"/>
        </w:tabs>
        <w:kinsoku/>
        <w:wordWrap/>
        <w:overflowPunct/>
        <w:topLinePunct w:val="0"/>
        <w:autoSpaceDE w:val="0"/>
        <w:autoSpaceDN w:val="0"/>
        <w:bidi w:val="0"/>
        <w:adjustRightInd/>
        <w:spacing w:line="300" w:lineRule="exact"/>
        <w:ind w:left="0" w:leftChars="0" w:right="0" w:rightChars="0" w:firstLine="240" w:firstLineChars="100"/>
        <w:jc w:val="left"/>
        <w:textAlignment w:val="bottom"/>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（2）供方应负责产品达到要求的各项功能、技术性能、指标和参数。</w:t>
      </w:r>
    </w:p>
    <w:p w14:paraId="7D9767C5">
      <w:pPr>
        <w:pStyle w:val="22"/>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（3）供方提供的产品、配套附属设备必须符合国家或行业的相关的规范规定的技术要求、质量标准，并承担缺陷责任与售后责任。</w:t>
      </w:r>
    </w:p>
    <w:p w14:paraId="7DA70367">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（4）产品应取得国家有关的强制性认证、具备有关部门批准的生产（经验、销售）许可证书、质量合格证书等。</w:t>
      </w:r>
    </w:p>
    <w:p w14:paraId="59563DF1">
      <w:pPr>
        <w:pStyle w:val="81"/>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所供产品的各项功能指标和参数应符合国家或行业颁布的有关验收标准，需方有权委托中国境内有资格的单位或机构（权威专家）对产品的性能、指标进行检测或校核。以确定是否符合国家或行业的有关质量标准及要求，其检测费用由供应商承担。</w:t>
      </w:r>
    </w:p>
    <w:p w14:paraId="551BF3B3">
      <w:pPr>
        <w:pStyle w:val="81"/>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w:t>
      </w: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提供的产品（包括各项指标）必须采用的是最成熟、最先进和可靠的生产技术和工艺生产或加工，一旦发现其采用的生产技术和生产工艺已被淘汰或即将被淘汰，导致产品质量无法满足质量要求的，由此而引起的一切法律、经济责任将由供方承担。</w:t>
      </w:r>
    </w:p>
    <w:p w14:paraId="4A5ABDCD">
      <w:pPr>
        <w:keepNext w:val="0"/>
        <w:keepLines w:val="0"/>
        <w:pageBreakBefore w:val="0"/>
        <w:widowControl/>
        <w:tabs>
          <w:tab w:val="left" w:pos="900"/>
        </w:tabs>
        <w:kinsoku/>
        <w:wordWrap/>
        <w:overflowPunct/>
        <w:topLinePunct w:val="0"/>
        <w:bidi w:val="0"/>
        <w:adjustRightInd/>
        <w:snapToGrid w:val="0"/>
        <w:spacing w:line="300" w:lineRule="exact"/>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t>1.2、</w:t>
      </w:r>
      <w:r>
        <w:rPr>
          <w:rFonts w:hint="eastAsia" w:ascii="仿宋" w:hAnsi="仿宋" w:eastAsia="仿宋" w:cs="仿宋"/>
          <w:b w:val="0"/>
          <w:bCs w:val="0"/>
          <w:sz w:val="24"/>
          <w:szCs w:val="24"/>
        </w:rPr>
        <w:t>交货（包括安装、调试、验收、移交）期</w:t>
      </w:r>
    </w:p>
    <w:p w14:paraId="026956E4">
      <w:pPr>
        <w:keepNext w:val="0"/>
        <w:keepLines w:val="0"/>
        <w:pageBreakBefore w:val="0"/>
        <w:widowControl/>
        <w:tabs>
          <w:tab w:val="left" w:pos="900"/>
        </w:tabs>
        <w:kinsoku/>
        <w:wordWrap/>
        <w:overflowPunct/>
        <w:topLinePunct w:val="0"/>
        <w:bidi w:val="0"/>
        <w:adjustRightInd/>
        <w:snapToGrid w:val="0"/>
        <w:spacing w:line="300" w:lineRule="exact"/>
        <w:ind w:firstLine="241" w:firstLineChars="100"/>
        <w:rPr>
          <w:rFonts w:hint="eastAsia" w:ascii="仿宋" w:hAnsi="仿宋" w:eastAsia="仿宋" w:cs="仿宋"/>
          <w:b w:val="0"/>
          <w:bCs w:val="0"/>
          <w:color w:val="0000FF"/>
          <w:sz w:val="24"/>
          <w:szCs w:val="24"/>
        </w:rPr>
      </w:pPr>
      <w:r>
        <w:rPr>
          <w:rFonts w:hint="eastAsia" w:ascii="仿宋" w:hAnsi="仿宋" w:eastAsia="仿宋" w:cs="仿宋"/>
          <w:b/>
          <w:bCs/>
          <w:color w:val="auto"/>
          <w:sz w:val="24"/>
          <w:szCs w:val="24"/>
        </w:rPr>
        <w:t>（1）交货期：</w:t>
      </w:r>
      <w:r>
        <w:rPr>
          <w:rFonts w:hint="eastAsia" w:ascii="仿宋" w:hAnsi="仿宋" w:eastAsia="仿宋" w:cs="仿宋"/>
          <w:b/>
          <w:bCs/>
          <w:color w:val="auto"/>
          <w:sz w:val="24"/>
          <w:szCs w:val="24"/>
          <w:lang w:val="en-US" w:eastAsia="zh-CN"/>
        </w:rPr>
        <w:t>自合同签订之日起30日内供货完毕</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质保期：3年</w:t>
      </w:r>
      <w:r>
        <w:rPr>
          <w:rFonts w:hint="eastAsia" w:ascii="仿宋" w:hAnsi="仿宋" w:eastAsia="仿宋" w:cs="仿宋"/>
          <w:b/>
          <w:bCs/>
          <w:color w:val="auto"/>
          <w:sz w:val="24"/>
          <w:szCs w:val="24"/>
        </w:rPr>
        <w:t>。</w:t>
      </w:r>
    </w:p>
    <w:p w14:paraId="20521E66">
      <w:pPr>
        <w:keepNext w:val="0"/>
        <w:keepLines w:val="0"/>
        <w:pageBreakBefore w:val="0"/>
        <w:widowControl/>
        <w:tabs>
          <w:tab w:val="left" w:pos="900"/>
        </w:tabs>
        <w:kinsoku/>
        <w:wordWrap/>
        <w:overflowPunct/>
        <w:topLinePunct w:val="0"/>
        <w:bidi w:val="0"/>
        <w:adjustRightInd/>
        <w:snapToGrid w:val="0"/>
        <w:spacing w:line="300" w:lineRule="exact"/>
        <w:ind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eastAsia="zh-CN"/>
        </w:rPr>
        <w:t>成交供应商</w:t>
      </w:r>
      <w:r>
        <w:rPr>
          <w:rFonts w:hint="eastAsia" w:ascii="仿宋" w:hAnsi="仿宋" w:eastAsia="仿宋" w:cs="仿宋"/>
          <w:b w:val="0"/>
          <w:bCs w:val="0"/>
          <w:sz w:val="24"/>
          <w:szCs w:val="24"/>
        </w:rPr>
        <w:t>未能按上述（1）项规定，将所供设备按时到场和保证采购设备或产品按期投入运行的（根据采购人提供的相关证明材料），将没收其全部</w:t>
      </w:r>
      <w:r>
        <w:rPr>
          <w:rFonts w:hint="eastAsia" w:ascii="仿宋" w:hAnsi="仿宋" w:eastAsia="仿宋" w:cs="仿宋"/>
          <w:b w:val="0"/>
          <w:bCs w:val="0"/>
          <w:sz w:val="24"/>
          <w:szCs w:val="24"/>
          <w:lang w:eastAsia="zh-CN"/>
        </w:rPr>
        <w:t>谈判保证金</w:t>
      </w:r>
      <w:r>
        <w:rPr>
          <w:rFonts w:hint="eastAsia" w:ascii="仿宋" w:hAnsi="仿宋" w:eastAsia="仿宋" w:cs="仿宋"/>
          <w:b w:val="0"/>
          <w:bCs w:val="0"/>
          <w:sz w:val="24"/>
          <w:szCs w:val="24"/>
        </w:rPr>
        <w:t>，敬请成交供应商注意！</w:t>
      </w:r>
    </w:p>
    <w:p w14:paraId="7751CF24">
      <w:pPr>
        <w:keepNext w:val="0"/>
        <w:keepLines w:val="0"/>
        <w:pageBreakBefore w:val="0"/>
        <w:widowControl/>
        <w:tabs>
          <w:tab w:val="left" w:pos="900"/>
        </w:tabs>
        <w:kinsoku/>
        <w:wordWrap/>
        <w:overflowPunct/>
        <w:topLinePunct w:val="0"/>
        <w:bidi w:val="0"/>
        <w:adjustRightInd/>
        <w:snapToGrid w:val="0"/>
        <w:spacing w:line="300" w:lineRule="exact"/>
        <w:ind w:firstLine="240" w:firstLineChars="100"/>
        <w:rPr>
          <w:rFonts w:hint="eastAsia" w:ascii="仿宋" w:hAnsi="仿宋" w:eastAsia="仿宋" w:cs="仿宋"/>
          <w:b w:val="0"/>
          <w:bCs w:val="0"/>
          <w:color w:val="auto"/>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交货期必须按此填报，不得以“响应采购文件”、“按照合同约定”等方式填写，若未按此填报，其投标将被否决。</w:t>
      </w:r>
    </w:p>
    <w:p w14:paraId="48C7AFAA">
      <w:pPr>
        <w:keepNext w:val="0"/>
        <w:keepLines w:val="0"/>
        <w:pageBreakBefore w:val="0"/>
        <w:widowControl/>
        <w:kinsoku/>
        <w:wordWrap/>
        <w:overflowPunct/>
        <w:topLinePunct w:val="0"/>
        <w:bidi w:val="0"/>
        <w:adjustRightInd/>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1.3、实施地点：</w:t>
      </w:r>
      <w:r>
        <w:rPr>
          <w:rFonts w:hint="eastAsia" w:ascii="仿宋" w:hAnsi="仿宋" w:eastAsia="仿宋" w:cs="仿宋"/>
          <w:b/>
          <w:bCs/>
          <w:color w:val="auto"/>
          <w:sz w:val="24"/>
          <w:szCs w:val="24"/>
          <w:lang w:val="en-US" w:eastAsia="zh-CN"/>
        </w:rPr>
        <w:t>采购人指定地点</w:t>
      </w:r>
      <w:r>
        <w:rPr>
          <w:rFonts w:hint="eastAsia" w:ascii="仿宋" w:hAnsi="仿宋" w:eastAsia="仿宋" w:cs="仿宋"/>
          <w:b w:val="0"/>
          <w:bCs w:val="0"/>
          <w:color w:val="auto"/>
          <w:sz w:val="24"/>
          <w:szCs w:val="24"/>
        </w:rPr>
        <w:t>。</w:t>
      </w:r>
    </w:p>
    <w:p w14:paraId="53D4BF39">
      <w:pPr>
        <w:keepNext w:val="0"/>
        <w:keepLines w:val="0"/>
        <w:pageBreakBefore w:val="0"/>
        <w:widowControl/>
        <w:kinsoku/>
        <w:wordWrap/>
        <w:overflowPunct/>
        <w:topLinePunct w:val="0"/>
        <w:bidi w:val="0"/>
        <w:adjustRightInd/>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1.4采购标的的验收标准：</w:t>
      </w:r>
    </w:p>
    <w:p w14:paraId="7C1A1048">
      <w:pPr>
        <w:keepNext w:val="0"/>
        <w:keepLines w:val="0"/>
        <w:pageBreakBefore w:val="0"/>
        <w:widowControl/>
        <w:kinsoku/>
        <w:wordWrap/>
        <w:overflowPunct/>
        <w:topLinePunct w:val="0"/>
        <w:bidi w:val="0"/>
        <w:adjustRightInd/>
        <w:spacing w:line="300" w:lineRule="exact"/>
        <w:ind w:left="0" w:leftChars="0" w:right="0" w:rightChars="0" w:firstLine="480" w:firstLineChars="2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（1）供应商负责供应设备的安装、调试、试运行执行本</w:t>
      </w:r>
      <w:r>
        <w:rPr>
          <w:rFonts w:hint="eastAsia" w:ascii="仿宋" w:hAnsi="仿宋" w:eastAsia="仿宋" w:cs="仿宋"/>
          <w:b w:val="0"/>
          <w:bCs w:val="0"/>
          <w:color w:val="auto"/>
          <w:sz w:val="24"/>
          <w:szCs w:val="24"/>
          <w:lang w:eastAsia="zh-CN"/>
        </w:rPr>
        <w:t>谈判</w:t>
      </w:r>
      <w:r>
        <w:rPr>
          <w:rFonts w:hint="eastAsia" w:ascii="仿宋" w:hAnsi="仿宋" w:eastAsia="仿宋" w:cs="仿宋"/>
          <w:b w:val="0"/>
          <w:bCs w:val="0"/>
          <w:color w:val="auto"/>
          <w:sz w:val="24"/>
          <w:szCs w:val="24"/>
        </w:rPr>
        <w:t>文件《通用合同条款》、《专用合同条款》的第6条的有关规定，并按有关规定完成安装、调试、检测、验收并交付使用。</w:t>
      </w:r>
    </w:p>
    <w:p w14:paraId="3AFE2201">
      <w:pPr>
        <w:keepNext w:val="0"/>
        <w:keepLines w:val="0"/>
        <w:pageBreakBefore w:val="0"/>
        <w:widowControl/>
        <w:kinsoku/>
        <w:wordWrap/>
        <w:overflowPunct/>
        <w:topLinePunct w:val="0"/>
        <w:bidi w:val="0"/>
        <w:adjustRightInd/>
        <w:spacing w:line="300" w:lineRule="exact"/>
        <w:ind w:left="0" w:leftChars="0" w:right="0" w:rightChars="0" w:firstLine="480" w:firstLineChars="2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采购人有权免费获取有关采购设备的详细技术资料，供应商所供设备必须严格按厂家提供的安装详图进行安装、调试等，并最终符合验收合格要求。供应商应自行至项目现场进行踏勘和对设备或产品的安装环境进行测定，因所供设备的安装尺寸与所安装地室内尺寸不相匹配的，或不能适应安装地周围环境的，由此造成成交供应商需要对设备进行改造（或更换）等所发生的一切费用由供应商自行承担，采购人不再另行支付。</w:t>
      </w:r>
    </w:p>
    <w:p w14:paraId="21915E5B">
      <w:pPr>
        <w:keepNext w:val="0"/>
        <w:keepLines w:val="0"/>
        <w:pageBreakBefore w:val="0"/>
        <w:widowControl/>
        <w:kinsoku/>
        <w:wordWrap/>
        <w:overflowPunct/>
        <w:topLinePunct w:val="0"/>
        <w:bidi w:val="0"/>
        <w:adjustRightInd/>
        <w:spacing w:line="300" w:lineRule="exact"/>
        <w:ind w:left="0" w:leftChars="0" w:right="0" w:rightChars="0" w:firstLine="480" w:firstLineChars="2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（3）根据不同货物（设备或产品）按国家或行业颁布的最新有关标准及</w:t>
      </w:r>
      <w:r>
        <w:rPr>
          <w:rFonts w:hint="eastAsia" w:ascii="仿宋" w:hAnsi="仿宋" w:eastAsia="仿宋" w:cs="仿宋"/>
          <w:b w:val="0"/>
          <w:bCs w:val="0"/>
          <w:color w:val="auto"/>
          <w:sz w:val="24"/>
          <w:szCs w:val="24"/>
          <w:lang w:eastAsia="zh-CN"/>
        </w:rPr>
        <w:t>谈判</w:t>
      </w:r>
      <w:r>
        <w:rPr>
          <w:rFonts w:hint="eastAsia" w:ascii="仿宋" w:hAnsi="仿宋" w:eastAsia="仿宋" w:cs="仿宋"/>
          <w:b w:val="0"/>
          <w:bCs w:val="0"/>
          <w:color w:val="auto"/>
          <w:sz w:val="24"/>
          <w:szCs w:val="24"/>
        </w:rPr>
        <w:t>文件规定的技术参数、质量要求、性能指标等进行验收。成交供应商所供设备在运输或安装等过程中造成损坏或有缺陷等的，不能满足国家或行业颁布的最新有关标准及</w:t>
      </w:r>
      <w:r>
        <w:rPr>
          <w:rFonts w:hint="eastAsia" w:ascii="仿宋" w:hAnsi="仿宋" w:eastAsia="仿宋" w:cs="仿宋"/>
          <w:b w:val="0"/>
          <w:bCs w:val="0"/>
          <w:color w:val="auto"/>
          <w:sz w:val="24"/>
          <w:szCs w:val="24"/>
          <w:lang w:eastAsia="zh-CN"/>
        </w:rPr>
        <w:t>谈判</w:t>
      </w:r>
      <w:r>
        <w:rPr>
          <w:rFonts w:hint="eastAsia" w:ascii="仿宋" w:hAnsi="仿宋" w:eastAsia="仿宋" w:cs="仿宋"/>
          <w:b w:val="0"/>
          <w:bCs w:val="0"/>
          <w:color w:val="auto"/>
          <w:sz w:val="24"/>
          <w:szCs w:val="24"/>
        </w:rPr>
        <w:t>文件规定的技术参数、质量要求、性能指标的，由成交供应商对设备进行改造（或更换）、修复，所发生的一切费用由供应商自行承担，采购人不再另行支付。</w:t>
      </w:r>
    </w:p>
    <w:p w14:paraId="70425970">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1.5、报价</w:t>
      </w:r>
    </w:p>
    <w:p w14:paraId="208F3A6A">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（1）在技术要求不低于</w:t>
      </w:r>
      <w:r>
        <w:rPr>
          <w:rFonts w:hint="eastAsia" w:ascii="仿宋" w:hAnsi="仿宋" w:eastAsia="仿宋" w:cs="仿宋"/>
          <w:b w:val="0"/>
          <w:bCs w:val="0"/>
          <w:color w:val="auto"/>
          <w:sz w:val="24"/>
          <w:szCs w:val="24"/>
          <w:lang w:eastAsia="zh-CN"/>
        </w:rPr>
        <w:t>采购文件</w:t>
      </w:r>
      <w:r>
        <w:rPr>
          <w:rFonts w:hint="eastAsia" w:ascii="仿宋" w:hAnsi="仿宋" w:eastAsia="仿宋" w:cs="仿宋"/>
          <w:b w:val="0"/>
          <w:bCs w:val="0"/>
          <w:color w:val="auto"/>
          <w:sz w:val="24"/>
          <w:szCs w:val="24"/>
        </w:rPr>
        <w:t>中要求的条件下，按《货物采购清单》中提供的货物（产品）清单进行报价，报价均采用：人民币报价。</w:t>
      </w:r>
    </w:p>
    <w:p w14:paraId="18320205">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（2）其他费用的处理：</w:t>
      </w:r>
      <w:r>
        <w:rPr>
          <w:rFonts w:hint="eastAsia" w:ascii="仿宋" w:hAnsi="仿宋" w:eastAsia="仿宋" w:cs="仿宋"/>
          <w:b w:val="0"/>
          <w:bCs w:val="0"/>
          <w:color w:val="auto"/>
          <w:sz w:val="24"/>
          <w:szCs w:val="24"/>
          <w:lang w:eastAsia="zh-CN"/>
        </w:rPr>
        <w:t>采购文件</w:t>
      </w:r>
      <w:r>
        <w:rPr>
          <w:rFonts w:hint="eastAsia" w:ascii="仿宋" w:hAnsi="仿宋" w:eastAsia="仿宋" w:cs="仿宋"/>
          <w:b w:val="0"/>
          <w:bCs w:val="0"/>
          <w:color w:val="auto"/>
          <w:sz w:val="24"/>
          <w:szCs w:val="24"/>
        </w:rPr>
        <w:t>中未列明而供应商认为必须列入的费用由供应商列入报价中。</w:t>
      </w:r>
    </w:p>
    <w:p w14:paraId="05ED452C">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（3）报价范围应包括《通用合同条款》、《专用合同条款》第15条的规定。</w:t>
      </w:r>
    </w:p>
    <w:p w14:paraId="3A86832E">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（4）报价方式：分项报价。</w:t>
      </w:r>
    </w:p>
    <w:p w14:paraId="528276D6">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1.6、付款方式及比例</w:t>
      </w:r>
    </w:p>
    <w:p w14:paraId="0149CF11">
      <w:pPr>
        <w:keepNext w:val="0"/>
        <w:keepLines w:val="0"/>
        <w:pageBreakBefore w:val="0"/>
        <w:widowControl/>
        <w:kinsoku/>
        <w:wordWrap/>
        <w:overflowPunct/>
        <w:topLinePunct w:val="0"/>
        <w:bidi w:val="0"/>
        <w:adjustRightInd/>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本采购项目合同价款的支付存在延期支付的可能性，敬请</w:t>
      </w: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注意！具体的付款期限及方式由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人与采购人在合同中约定。</w:t>
      </w:r>
    </w:p>
    <w:p w14:paraId="335B40D5">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1.7、技术文件</w:t>
      </w:r>
    </w:p>
    <w:p w14:paraId="1E76F19F">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（1）为确保供货产品的验收，供应商按《通用合同条款》、《专用合同条款》的有关规定，向用户提供完整的使用说明手册等技术文件，并对所提供的全部技术资料的准确性和适用性负责。</w:t>
      </w:r>
    </w:p>
    <w:p w14:paraId="6AAE1BD0">
      <w:pPr>
        <w:keepNext w:val="0"/>
        <w:keepLines w:val="0"/>
        <w:pageBreakBefore w:val="0"/>
        <w:widowControl/>
        <w:kinsoku/>
        <w:wordWrap/>
        <w:overflowPunct/>
        <w:topLinePunct w:val="0"/>
        <w:bidi w:val="0"/>
        <w:adjustRightInd/>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（2）供方提供的文件和资料能保证满足</w:t>
      </w:r>
      <w:r>
        <w:rPr>
          <w:rFonts w:hint="eastAsia" w:ascii="仿宋" w:hAnsi="仿宋" w:eastAsia="仿宋" w:cs="仿宋"/>
          <w:b w:val="0"/>
          <w:bCs w:val="0"/>
          <w:color w:val="auto"/>
          <w:sz w:val="24"/>
          <w:szCs w:val="24"/>
          <w:lang w:eastAsia="zh-CN"/>
        </w:rPr>
        <w:t>采购</w:t>
      </w:r>
      <w:r>
        <w:rPr>
          <w:rFonts w:hint="eastAsia" w:ascii="仿宋" w:hAnsi="仿宋" w:eastAsia="仿宋" w:cs="仿宋"/>
          <w:b w:val="0"/>
          <w:bCs w:val="0"/>
          <w:color w:val="auto"/>
          <w:sz w:val="24"/>
          <w:szCs w:val="24"/>
        </w:rPr>
        <w:t>方进行产品使用的需要。在合同签订后我方将按购方要求提供所有技术文件和有关技术资料。</w:t>
      </w:r>
    </w:p>
    <w:p w14:paraId="2DDE3C09">
      <w:pPr>
        <w:keepNext w:val="0"/>
        <w:keepLines w:val="0"/>
        <w:pageBreakBefore w:val="0"/>
        <w:widowControl/>
        <w:kinsoku/>
        <w:wordWrap/>
        <w:overflowPunct/>
        <w:topLinePunct w:val="0"/>
        <w:bidi w:val="0"/>
        <w:adjustRightInd/>
        <w:spacing w:line="300" w:lineRule="exact"/>
        <w:ind w:left="0" w:leftChars="0" w:right="0" w:rightChars="0"/>
        <w:jc w:val="left"/>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1.8、培训</w:t>
      </w:r>
    </w:p>
    <w:p w14:paraId="585AC6D0">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（1）供方将对采购方提供技术培训，购方技术人员（业务人员）在</w:t>
      </w:r>
      <w:r>
        <w:rPr>
          <w:rFonts w:hint="eastAsia" w:ascii="仿宋" w:hAnsi="仿宋" w:eastAsia="仿宋" w:cs="仿宋"/>
          <w:b w:val="0"/>
          <w:bCs w:val="0"/>
          <w:color w:val="000000"/>
          <w:sz w:val="24"/>
          <w:szCs w:val="24"/>
          <w:u w:val="single"/>
        </w:rPr>
        <w:t xml:space="preserve"> 设备操作、维护 </w:t>
      </w:r>
      <w:r>
        <w:rPr>
          <w:rFonts w:hint="eastAsia" w:ascii="仿宋" w:hAnsi="仿宋" w:eastAsia="仿宋" w:cs="仿宋"/>
          <w:b w:val="0"/>
          <w:bCs w:val="0"/>
          <w:color w:val="000000"/>
          <w:sz w:val="24"/>
          <w:szCs w:val="24"/>
        </w:rPr>
        <w:t>等各方面将受到培训，使他们掌握</w:t>
      </w:r>
      <w:r>
        <w:rPr>
          <w:rFonts w:hint="eastAsia" w:ascii="仿宋" w:hAnsi="仿宋" w:eastAsia="仿宋" w:cs="仿宋"/>
          <w:b w:val="0"/>
          <w:bCs w:val="0"/>
          <w:color w:val="000000"/>
          <w:sz w:val="24"/>
          <w:szCs w:val="24"/>
          <w:u w:val="single"/>
        </w:rPr>
        <w:t xml:space="preserve"> 设备操作、运行、日常管理、检查、维护 </w:t>
      </w:r>
      <w:r>
        <w:rPr>
          <w:rFonts w:hint="eastAsia" w:ascii="仿宋" w:hAnsi="仿宋" w:eastAsia="仿宋" w:cs="仿宋"/>
          <w:b w:val="0"/>
          <w:bCs w:val="0"/>
          <w:color w:val="000000"/>
          <w:sz w:val="24"/>
          <w:szCs w:val="24"/>
        </w:rPr>
        <w:t>等技能。</w:t>
      </w:r>
    </w:p>
    <w:p w14:paraId="2CCDC0BF">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480" w:firstLineChars="2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（2）需方可派</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eastAsia="zh-CN"/>
        </w:rPr>
        <w:t>（</w:t>
      </w:r>
      <w:r>
        <w:rPr>
          <w:rFonts w:hint="eastAsia" w:ascii="仿宋" w:hAnsi="仿宋" w:eastAsia="仿宋" w:cs="仿宋"/>
          <w:b w:val="0"/>
          <w:bCs w:val="0"/>
          <w:color w:val="auto"/>
          <w:sz w:val="24"/>
          <w:szCs w:val="24"/>
          <w:u w:val="single"/>
          <w:lang w:val="en-US" w:eastAsia="zh-CN"/>
        </w:rPr>
        <w:t>由供应商承诺</w:t>
      </w:r>
      <w:r>
        <w:rPr>
          <w:rFonts w:hint="eastAsia" w:ascii="仿宋" w:hAnsi="仿宋" w:eastAsia="仿宋" w:cs="仿宋"/>
          <w:b w:val="0"/>
          <w:bCs w:val="0"/>
          <w:color w:val="auto"/>
          <w:sz w:val="24"/>
          <w:szCs w:val="24"/>
          <w:u w:val="single"/>
          <w:lang w:eastAsia="zh-CN"/>
        </w:rPr>
        <w:t>）</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名相关操作人员或参与日常管理、维护的专业技术人员到我方或现场免费接受培训。培训中，购方有关能直接参与设备操作、运行、维护等工作，熟练掌握供方提供设备的相关技术，在正常条件下能够保证设备在使用过程中的正常运行。</w:t>
      </w:r>
    </w:p>
    <w:p w14:paraId="7E08617E">
      <w:pPr>
        <w:keepNext w:val="0"/>
        <w:keepLines w:val="0"/>
        <w:pageBreakBefore w:val="0"/>
        <w:widowControl/>
        <w:kinsoku/>
        <w:wordWrap/>
        <w:overflowPunct/>
        <w:topLinePunct w:val="0"/>
        <w:bidi w:val="0"/>
        <w:adjustRightInd/>
        <w:spacing w:line="300" w:lineRule="exact"/>
        <w:ind w:left="0" w:leftChars="0" w:right="0" w:rightChars="0"/>
        <w:jc w:val="left"/>
        <w:outlineLvl w:val="9"/>
        <w:rPr>
          <w:rFonts w:hint="eastAsia" w:ascii="仿宋" w:hAnsi="仿宋" w:eastAsia="仿宋" w:cs="仿宋"/>
          <w:b w:val="0"/>
          <w:bCs w:val="0"/>
          <w:color w:val="auto"/>
          <w:sz w:val="24"/>
          <w:szCs w:val="24"/>
        </w:rPr>
      </w:pPr>
      <w:bookmarkStart w:id="177" w:name="_Toc71087055"/>
      <w:r>
        <w:rPr>
          <w:rFonts w:hint="eastAsia" w:ascii="仿宋" w:hAnsi="仿宋" w:eastAsia="仿宋" w:cs="仿宋"/>
          <w:b w:val="0"/>
          <w:bCs w:val="0"/>
          <w:color w:val="auto"/>
          <w:sz w:val="24"/>
          <w:szCs w:val="24"/>
        </w:rPr>
        <w:t>1.9、售后服务</w:t>
      </w:r>
      <w:bookmarkEnd w:id="177"/>
    </w:p>
    <w:p w14:paraId="04316000">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470" w:firstLineChars="196"/>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供方必须严格遵守《通用合同条款》、《专用合同条款》和</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中的承诺的有关规定为用户提供售后服务及其他类似服务，包括：</w:t>
      </w:r>
    </w:p>
    <w:p w14:paraId="7D189706">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（1）保证为购方提供优质、快捷的技术服务。</w:t>
      </w:r>
    </w:p>
    <w:p w14:paraId="2189F128">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000000"/>
          <w:sz w:val="24"/>
          <w:szCs w:val="24"/>
        </w:rPr>
        <w:t>为了确保设备的正常使用及时解答采购方提出的疑问，帮助解决问题，负责对设备的使用提供技术咨询服务</w:t>
      </w:r>
      <w:r>
        <w:rPr>
          <w:rFonts w:hint="eastAsia" w:ascii="仿宋" w:hAnsi="仿宋" w:eastAsia="仿宋" w:cs="仿宋"/>
          <w:b w:val="0"/>
          <w:bCs w:val="0"/>
          <w:color w:val="auto"/>
          <w:sz w:val="24"/>
          <w:szCs w:val="24"/>
        </w:rPr>
        <w:t>。</w:t>
      </w:r>
    </w:p>
    <w:p w14:paraId="5F603D86">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（3）供方在应有专业的售后服务机构及技术人员（能满足本次采购产品的应急服务要求），并注明售后服务机构办公地点（提供相关证明资料）及技术支持工程师名录和联系方式，否则其投标无效！</w:t>
      </w:r>
    </w:p>
    <w:p w14:paraId="510E1394">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（4）保证在接到请求技术服务</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2</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小时内予以响应，在</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24</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小时内（如遇不可抗力因素除外）派出技术人员赶赴（到达）现场解决问题。</w:t>
      </w:r>
    </w:p>
    <w:p w14:paraId="2D75CF60">
      <w:pPr>
        <w:keepNext w:val="0"/>
        <w:keepLines w:val="0"/>
        <w:pageBreakBefore w:val="0"/>
        <w:widowControl/>
        <w:tabs>
          <w:tab w:val="left" w:pos="900"/>
        </w:tabs>
        <w:kinsoku/>
        <w:wordWrap/>
        <w:overflowPunct/>
        <w:topLinePunct w:val="0"/>
        <w:bidi w:val="0"/>
        <w:adjustRightInd/>
        <w:snapToGrid w:val="0"/>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（5）及时准确地予以满足采购人对设备进行长期维护（维修）的需要，在保修期内对出现任何质量问题，随时由</w:t>
      </w:r>
      <w:r>
        <w:rPr>
          <w:rFonts w:hint="eastAsia" w:ascii="仿宋" w:hAnsi="仿宋" w:eastAsia="仿宋" w:cs="仿宋"/>
          <w:b w:val="0"/>
          <w:bCs w:val="0"/>
          <w:color w:val="auto"/>
          <w:sz w:val="24"/>
          <w:szCs w:val="24"/>
          <w:lang w:val="en-US" w:eastAsia="zh-CN"/>
        </w:rPr>
        <w:t>供方</w:t>
      </w:r>
      <w:r>
        <w:rPr>
          <w:rFonts w:hint="eastAsia" w:ascii="仿宋" w:hAnsi="仿宋" w:eastAsia="仿宋" w:cs="仿宋"/>
          <w:b w:val="0"/>
          <w:bCs w:val="0"/>
          <w:color w:val="auto"/>
          <w:sz w:val="24"/>
          <w:szCs w:val="24"/>
        </w:rPr>
        <w:t>免费进行处理，包括配件的维修、更换等。</w:t>
      </w:r>
    </w:p>
    <w:p w14:paraId="58E51A36">
      <w:pPr>
        <w:keepNext w:val="0"/>
        <w:keepLines w:val="0"/>
        <w:pageBreakBefore w:val="0"/>
        <w:widowControl/>
        <w:kinsoku/>
        <w:wordWrap/>
        <w:overflowPunct/>
        <w:topLinePunct w:val="0"/>
        <w:bidi w:val="0"/>
        <w:adjustRightInd/>
        <w:spacing w:line="300" w:lineRule="exact"/>
        <w:ind w:left="0" w:leftChars="0" w:right="0" w:rightChars="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1.10、产品质量保证</w:t>
      </w:r>
    </w:p>
    <w:p w14:paraId="400558C5">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（1）供方应严格控制采购、检验、生产、包装、运输、移交和售后服务的质量过程，严格遵循企业标准和相关的行业和国家标准的要求。</w:t>
      </w:r>
    </w:p>
    <w:p w14:paraId="6F9DA528">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（2）严格按ISO质量保证体系标准和国家、行业的有关规范提供制造产品。</w:t>
      </w:r>
    </w:p>
    <w:p w14:paraId="7F8B3B80">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（3）严格按照合同要求，确保产品符合需方要求。</w:t>
      </w:r>
    </w:p>
    <w:p w14:paraId="0617546D">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（4）严格控制原材料的进厂质量，保证产品加工生产工艺的完善，检验检测手段完备，质量保证措施完善，产品绝不带缺陷出厂。</w:t>
      </w:r>
    </w:p>
    <w:p w14:paraId="3C7DECE0">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（5）为所供的材料制造、运输、装卸等进行投保，一旦发生意外，我方将按需方要求对所供进行免费更换、补偿等直到采购人满意为止。</w:t>
      </w:r>
    </w:p>
    <w:p w14:paraId="7BBDC702">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（7）在交验过程中如发现缺件及其他原因引起的丢失，我方负责尽快免费补齐。在产品的使用过程中发现的质量问题，如属供方原因，由供方承担责任。</w:t>
      </w:r>
    </w:p>
    <w:p w14:paraId="50509E46">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auto"/>
          <w:sz w:val="24"/>
          <w:szCs w:val="24"/>
        </w:rPr>
        <w:t>（8）</w:t>
      </w:r>
      <w:r>
        <w:rPr>
          <w:rFonts w:hint="eastAsia" w:ascii="仿宋" w:hAnsi="仿宋" w:eastAsia="仿宋" w:cs="仿宋"/>
          <w:b w:val="0"/>
          <w:bCs w:val="0"/>
          <w:color w:val="000000"/>
          <w:sz w:val="24"/>
          <w:szCs w:val="24"/>
        </w:rPr>
        <w:t>所提供的产品质量保证期为</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年（自移交接收之日起）。</w:t>
      </w:r>
    </w:p>
    <w:p w14:paraId="3FBB9F01">
      <w:pPr>
        <w:keepNext w:val="0"/>
        <w:keepLines w:val="0"/>
        <w:pageBreakBefore w:val="0"/>
        <w:widowControl/>
        <w:kinsoku/>
        <w:wordWrap/>
        <w:overflowPunct/>
        <w:topLinePunct w:val="0"/>
        <w:bidi w:val="0"/>
        <w:adjustRightInd/>
        <w:spacing w:line="300" w:lineRule="exact"/>
        <w:ind w:left="0" w:leftChars="0" w:right="0" w:rightChars="0" w:firstLine="240" w:firstLineChars="1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（9）上述规定是合同不可分割的部分，与合同具有同等法律效力。在本合同实施过程中，按有关规范、规程、标准严格质量控制，确保提供合格产品及服务。</w:t>
      </w:r>
    </w:p>
    <w:p w14:paraId="74A02FD3">
      <w:pPr>
        <w:keepNext w:val="0"/>
        <w:keepLines w:val="0"/>
        <w:pageBreakBefore w:val="0"/>
        <w:widowControl/>
        <w:tabs>
          <w:tab w:val="left" w:pos="900"/>
        </w:tabs>
        <w:kinsoku/>
        <w:wordWrap/>
        <w:overflowPunct/>
        <w:topLinePunct w:val="0"/>
        <w:bidi w:val="0"/>
        <w:adjustRightInd/>
        <w:snapToGrid w:val="0"/>
        <w:spacing w:line="300" w:lineRule="exact"/>
        <w:jc w:val="center"/>
        <w:rPr>
          <w:rFonts w:hint="eastAsia" w:ascii="仿宋" w:hAnsi="仿宋" w:eastAsia="仿宋" w:cs="仿宋"/>
          <w:b w:val="0"/>
          <w:bCs w:val="0"/>
          <w:color w:val="auto"/>
          <w:sz w:val="24"/>
          <w:szCs w:val="24"/>
        </w:rPr>
      </w:pPr>
    </w:p>
    <w:p w14:paraId="54D0E888">
      <w:pPr>
        <w:keepNext w:val="0"/>
        <w:keepLines w:val="0"/>
        <w:pageBreakBefore w:val="0"/>
        <w:widowControl/>
        <w:kinsoku/>
        <w:wordWrap/>
        <w:overflowPunct/>
        <w:topLinePunct w:val="0"/>
        <w:bidi w:val="0"/>
        <w:adjustRightInd/>
        <w:spacing w:line="300" w:lineRule="exact"/>
        <w:ind w:firstLine="240" w:firstLineChars="100"/>
        <w:rPr>
          <w:rFonts w:hint="eastAsia" w:ascii="仿宋" w:hAnsi="仿宋" w:eastAsia="仿宋" w:cs="仿宋"/>
          <w:b w:val="0"/>
          <w:bCs w:val="0"/>
          <w:sz w:val="24"/>
          <w:szCs w:val="24"/>
        </w:rPr>
      </w:pPr>
      <w:r>
        <w:rPr>
          <w:rFonts w:hint="eastAsia" w:ascii="仿宋" w:hAnsi="仿宋" w:eastAsia="仿宋" w:cs="仿宋"/>
          <w:b w:val="0"/>
          <w:bCs w:val="0"/>
          <w:color w:val="auto"/>
          <w:sz w:val="24"/>
          <w:szCs w:val="24"/>
        </w:rPr>
        <w:t>说明：属于供应商承诺部分的内容由各供应商可根据实际情况可以减少或不予采纳（但由此给供应商造成的不利，甚至其投标无效由供应商自行承担），也可以提出更有利于竞争的承诺。</w:t>
      </w:r>
      <w:bookmarkEnd w:id="175"/>
      <w:bookmarkEnd w:id="176"/>
    </w:p>
    <w:p w14:paraId="7C29EB02">
      <w:pPr>
        <w:keepNext w:val="0"/>
        <w:keepLines w:val="0"/>
        <w:pageBreakBefore w:val="0"/>
        <w:widowControl w:val="0"/>
        <w:tabs>
          <w:tab w:val="left" w:pos="900"/>
        </w:tabs>
        <w:kinsoku/>
        <w:wordWrap/>
        <w:overflowPunct/>
        <w:topLinePunct w:val="0"/>
        <w:autoSpaceDE/>
        <w:autoSpaceDN/>
        <w:bidi w:val="0"/>
        <w:adjustRightInd/>
        <w:snapToGrid w:val="0"/>
        <w:spacing w:line="380" w:lineRule="exact"/>
        <w:jc w:val="center"/>
        <w:textAlignment w:val="auto"/>
        <w:outlineLvl w:val="2"/>
        <w:rPr>
          <w:rFonts w:hint="eastAsia" w:ascii="仿宋" w:hAnsi="仿宋" w:eastAsia="仿宋" w:cs="仿宋"/>
          <w:b/>
          <w:bCs/>
          <w:color w:val="auto"/>
          <w:sz w:val="32"/>
          <w:szCs w:val="32"/>
        </w:rPr>
      </w:pPr>
      <w:r>
        <w:rPr>
          <w:rFonts w:hint="eastAsia" w:ascii="仿宋" w:hAnsi="仿宋" w:eastAsia="仿宋" w:cs="仿宋"/>
          <w:b/>
          <w:bCs/>
          <w:color w:val="auto"/>
          <w:sz w:val="32"/>
          <w:szCs w:val="32"/>
        </w:rPr>
        <w:t>2、技术标准及要求</w:t>
      </w:r>
    </w:p>
    <w:p w14:paraId="2497783B">
      <w:pPr>
        <w:keepNext w:val="0"/>
        <w:keepLines w:val="0"/>
        <w:pageBreakBefore w:val="0"/>
        <w:widowControl/>
        <w:kinsoku/>
        <w:wordWrap/>
        <w:overflowPunct/>
        <w:topLinePunct w:val="0"/>
        <w:autoSpaceDE/>
        <w:autoSpaceDN/>
        <w:bidi w:val="0"/>
        <w:adjustRightInd/>
        <w:spacing w:line="320" w:lineRule="exact"/>
        <w:ind w:firstLine="240" w:firstLineChars="1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提供</w:t>
      </w:r>
      <w:r>
        <w:rPr>
          <w:rFonts w:hint="eastAsia" w:ascii="仿宋" w:hAnsi="仿宋" w:eastAsia="仿宋" w:cs="仿宋"/>
          <w:b w:val="0"/>
          <w:bCs w:val="0"/>
          <w:color w:val="auto"/>
          <w:sz w:val="24"/>
          <w:szCs w:val="24"/>
          <w:lang w:val="en-US" w:eastAsia="zh-CN"/>
        </w:rPr>
        <w:t>产品</w:t>
      </w:r>
      <w:r>
        <w:rPr>
          <w:rFonts w:hint="eastAsia" w:ascii="仿宋" w:hAnsi="仿宋" w:eastAsia="仿宋" w:cs="仿宋"/>
          <w:b w:val="0"/>
          <w:bCs w:val="0"/>
          <w:color w:val="auto"/>
          <w:sz w:val="24"/>
          <w:szCs w:val="24"/>
        </w:rPr>
        <w:t>的技术指标或参数必须满足以下要求或标准（凡</w:t>
      </w:r>
      <w:r>
        <w:rPr>
          <w:rFonts w:hint="eastAsia" w:ascii="仿宋" w:hAnsi="仿宋" w:eastAsia="仿宋" w:cs="仿宋"/>
          <w:b w:val="0"/>
          <w:bCs w:val="0"/>
          <w:color w:val="auto"/>
          <w:sz w:val="24"/>
          <w:szCs w:val="24"/>
          <w:lang w:eastAsia="zh-CN"/>
        </w:rPr>
        <w:t>采购文件</w:t>
      </w:r>
      <w:r>
        <w:rPr>
          <w:rFonts w:hint="eastAsia" w:ascii="仿宋" w:hAnsi="仿宋" w:eastAsia="仿宋" w:cs="仿宋"/>
          <w:b w:val="0"/>
          <w:bCs w:val="0"/>
          <w:color w:val="auto"/>
          <w:sz w:val="24"/>
          <w:szCs w:val="24"/>
        </w:rPr>
        <w:t>采购需求清单、技术参数或要求等中涉及到品牌或型号恰巧与某一品牌的型号发生雷同的均不具有指定或唯一意思的表示，也可以是类似品牌或型号，但技术参数或指标等要求必须满足或优于对采购设备或产品技术参数或指标等要求的规定）</w:t>
      </w:r>
    </w:p>
    <w:p w14:paraId="3843A33B">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2.1总体要求</w:t>
      </w:r>
    </w:p>
    <w:p w14:paraId="510AE7D5">
      <w:pPr>
        <w:keepNext w:val="0"/>
        <w:keepLines w:val="0"/>
        <w:pageBreakBefore w:val="0"/>
        <w:widowControl/>
        <w:kinsoku/>
        <w:wordWrap/>
        <w:overflowPunct/>
        <w:topLinePunct w:val="0"/>
        <w:autoSpaceDE/>
        <w:autoSpaceDN/>
        <w:bidi w:val="0"/>
        <w:adjustRightInd/>
        <w:spacing w:line="320" w:lineRule="exact"/>
        <w:ind w:firstLine="240" w:firstLineChars="1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（1）具有先进成熟的技术，使用寿命长，节能环保、结构紧凑。</w:t>
      </w:r>
    </w:p>
    <w:p w14:paraId="297F9C0E">
      <w:pPr>
        <w:keepNext w:val="0"/>
        <w:keepLines w:val="0"/>
        <w:pageBreakBefore w:val="0"/>
        <w:widowControl/>
        <w:kinsoku/>
        <w:wordWrap/>
        <w:overflowPunct/>
        <w:topLinePunct w:val="0"/>
        <w:autoSpaceDE/>
        <w:autoSpaceDN/>
        <w:bidi w:val="0"/>
        <w:adjustRightInd/>
        <w:spacing w:line="320" w:lineRule="exact"/>
        <w:ind w:firstLine="240" w:firstLineChars="1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（2）结构紧凑，安装简易，配置先进、结构合理，具有先进性。</w:t>
      </w:r>
    </w:p>
    <w:p w14:paraId="20ED735F">
      <w:pPr>
        <w:keepNext w:val="0"/>
        <w:keepLines w:val="0"/>
        <w:pageBreakBefore w:val="0"/>
        <w:widowControl/>
        <w:kinsoku/>
        <w:wordWrap/>
        <w:overflowPunct/>
        <w:topLinePunct w:val="0"/>
        <w:autoSpaceDE/>
        <w:autoSpaceDN/>
        <w:bidi w:val="0"/>
        <w:adjustRightInd/>
        <w:spacing w:line="320" w:lineRule="exact"/>
        <w:ind w:firstLine="240" w:firstLineChars="1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（3）配置灵活，可根据用户要科学、合理的优化配置，最大限度地满足客户要求。</w:t>
      </w:r>
    </w:p>
    <w:p w14:paraId="7B08382A">
      <w:pPr>
        <w:keepNext w:val="0"/>
        <w:keepLines w:val="0"/>
        <w:pageBreakBefore w:val="0"/>
        <w:widowControl/>
        <w:kinsoku/>
        <w:wordWrap/>
        <w:overflowPunct/>
        <w:topLinePunct w:val="0"/>
        <w:autoSpaceDE/>
        <w:autoSpaceDN/>
        <w:bidi w:val="0"/>
        <w:adjustRightInd/>
        <w:spacing w:line="320" w:lineRule="exact"/>
        <w:ind w:firstLine="240" w:firstLineChars="1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（4）使用寿命不短于</w:t>
      </w:r>
      <w:r>
        <w:rPr>
          <w:rFonts w:hint="eastAsia" w:ascii="仿宋" w:hAnsi="仿宋" w:eastAsia="仿宋" w:cs="仿宋"/>
          <w:b w:val="0"/>
          <w:bCs w:val="0"/>
          <w:color w:val="auto"/>
          <w:sz w:val="24"/>
          <w:szCs w:val="24"/>
          <w:lang w:eastAsia="zh-CN"/>
        </w:rPr>
        <w:t>采购文件</w:t>
      </w:r>
      <w:r>
        <w:rPr>
          <w:rFonts w:hint="eastAsia" w:ascii="仿宋" w:hAnsi="仿宋" w:eastAsia="仿宋" w:cs="仿宋"/>
          <w:b w:val="0"/>
          <w:bCs w:val="0"/>
          <w:color w:val="auto"/>
          <w:sz w:val="24"/>
          <w:szCs w:val="24"/>
        </w:rPr>
        <w:t>的要求（或国家或行业针对设备或产品的要求）。</w:t>
      </w:r>
    </w:p>
    <w:p w14:paraId="76350482">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2.2制造或生产适用标准及要求</w:t>
      </w:r>
    </w:p>
    <w:p w14:paraId="404ECCC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20" w:lineRule="exact"/>
        <w:ind w:firstLine="240" w:firstLineChars="100"/>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（1）《中华人民共和国产品质量法》；</w:t>
      </w:r>
    </w:p>
    <w:p w14:paraId="7C71B0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20" w:lineRule="exact"/>
        <w:ind w:firstLine="240" w:firstLineChars="100"/>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（2）《中华人民共和国消费者权益保护法》；</w:t>
      </w:r>
    </w:p>
    <w:p w14:paraId="199A4F6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20" w:lineRule="exact"/>
        <w:ind w:firstLine="240" w:firstLineChars="100"/>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w:t>
      </w:r>
      <w:r>
        <w:rPr>
          <w:rFonts w:hint="eastAsia" w:ascii="仿宋" w:hAnsi="仿宋" w:eastAsia="仿宋" w:cs="仿宋"/>
          <w:b w:val="0"/>
          <w:bCs w:val="0"/>
          <w:sz w:val="24"/>
          <w:szCs w:val="24"/>
        </w:rPr>
        <w:t>涉及投标产品国家或行业的有关规范、规范及质量标准。</w:t>
      </w:r>
    </w:p>
    <w:p w14:paraId="7DA35E37">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2.3执行标准的补充说明</w:t>
      </w:r>
    </w:p>
    <w:p w14:paraId="5E0A3160">
      <w:pPr>
        <w:keepNext w:val="0"/>
        <w:keepLines w:val="0"/>
        <w:pageBreakBefore w:val="0"/>
        <w:widowControl/>
        <w:kinsoku/>
        <w:wordWrap/>
        <w:overflowPunct/>
        <w:topLinePunct w:val="0"/>
        <w:autoSpaceDE/>
        <w:autoSpaceDN/>
        <w:bidi w:val="0"/>
        <w:adjustRightInd/>
        <w:spacing w:line="320" w:lineRule="exact"/>
        <w:ind w:firstLine="240" w:firstLineChars="1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除执行以上标准外，还应执行其它现行国家标准和规范。若技术规范中无相应说明，则以国家有关部门最新颁布的相应标准及规范为准。本章所列的标准未涉及到的产品或设备均应满足国家或行业有关的质量标准、强制性认证、标志认证等。应供应商所提供的设备或产品在交验时，未能满足要求的，采购商有权拒绝，或要求供应商无条件进行更换。并按《通用合同条款》、《专用合同条款》的有关规定承担相应的责任。</w:t>
      </w:r>
    </w:p>
    <w:p w14:paraId="0AA868B3">
      <w:pPr>
        <w:keepNext w:val="0"/>
        <w:keepLines w:val="0"/>
        <w:pageBreakBefore w:val="0"/>
        <w:widowControl/>
        <w:kinsoku/>
        <w:wordWrap/>
        <w:overflowPunct/>
        <w:topLinePunct w:val="0"/>
        <w:autoSpaceDE/>
        <w:autoSpaceDN/>
        <w:bidi w:val="0"/>
        <w:adjustRightInd/>
        <w:spacing w:line="320" w:lineRule="exact"/>
        <w:ind w:firstLine="240" w:firstLineChars="1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（2）投标方提供的货物和服务必须是本规格书的文字和表格等所指定的所有内容的综合。对于本规格书中未列出但影响到设备或产品质量、使用等重要功能的组件，投标方应自行补齐（已经列明</w:t>
      </w:r>
      <w:r>
        <w:rPr>
          <w:rFonts w:hint="eastAsia" w:ascii="仿宋" w:hAnsi="仿宋" w:eastAsia="仿宋" w:cs="仿宋"/>
          <w:b w:val="0"/>
          <w:bCs w:val="0"/>
          <w:sz w:val="24"/>
          <w:szCs w:val="24"/>
          <w:lang w:eastAsia="zh-CN"/>
        </w:rPr>
        <w:t>竞争性谈判</w:t>
      </w:r>
      <w:r>
        <w:rPr>
          <w:rFonts w:hint="eastAsia" w:ascii="仿宋" w:hAnsi="仿宋" w:eastAsia="仿宋" w:cs="仿宋"/>
          <w:b w:val="0"/>
          <w:bCs w:val="0"/>
          <w:sz w:val="24"/>
          <w:szCs w:val="24"/>
        </w:rPr>
        <w:t>方供货范围的除外）。</w:t>
      </w:r>
    </w:p>
    <w:p w14:paraId="21752439">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2.4执行的标准应用</w:t>
      </w:r>
    </w:p>
    <w:p w14:paraId="3CA90758">
      <w:pPr>
        <w:keepNext w:val="0"/>
        <w:keepLines w:val="0"/>
        <w:pageBreakBefore w:val="0"/>
        <w:widowControl/>
        <w:kinsoku/>
        <w:wordWrap/>
        <w:overflowPunct/>
        <w:topLinePunct w:val="0"/>
        <w:autoSpaceDE/>
        <w:autoSpaceDN/>
        <w:bidi w:val="0"/>
        <w:adjustRightInd/>
        <w:spacing w:line="32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规格书技术要求是基本的技术要求，并未对一切技术细节作出明确的规定，投标方应提供满足本规格书书中有关设备设计、制造标准。对国家有关安全、环保等强制性标准，投标方提供的产品必须满足其要求。本规格书所引用的标准如遇与投标方所执行的标准发生矛盾时，按较高标准执行。国家或行业没有质量标准的，</w:t>
      </w:r>
      <w:r>
        <w:rPr>
          <w:rFonts w:hint="eastAsia" w:ascii="仿宋" w:hAnsi="仿宋" w:eastAsia="仿宋" w:cs="仿宋"/>
          <w:b w:val="0"/>
          <w:bCs w:val="0"/>
          <w:sz w:val="24"/>
          <w:szCs w:val="24"/>
          <w:lang w:eastAsia="zh-CN"/>
        </w:rPr>
        <w:t>供应商</w:t>
      </w:r>
      <w:r>
        <w:rPr>
          <w:rFonts w:hint="eastAsia" w:ascii="仿宋" w:hAnsi="仿宋" w:eastAsia="仿宋" w:cs="仿宋"/>
          <w:b w:val="0"/>
          <w:bCs w:val="0"/>
          <w:sz w:val="24"/>
          <w:szCs w:val="24"/>
        </w:rPr>
        <w:t>应提供其制造或质量标准的执行情况。</w:t>
      </w:r>
    </w:p>
    <w:p w14:paraId="7FA2BC9E">
      <w:pPr>
        <w:pStyle w:val="22"/>
        <w:rPr>
          <w:rFonts w:hint="eastAsia" w:ascii="仿宋" w:hAnsi="仿宋" w:eastAsia="仿宋" w:cs="仿宋"/>
          <w:b w:val="0"/>
          <w:bCs w:val="0"/>
          <w:sz w:val="24"/>
          <w:szCs w:val="24"/>
        </w:rPr>
      </w:pPr>
    </w:p>
    <w:p w14:paraId="0F6CE2FD">
      <w:pPr>
        <w:pStyle w:val="40"/>
        <w:rPr>
          <w:rFonts w:hint="eastAsia" w:ascii="仿宋" w:hAnsi="仿宋" w:eastAsia="仿宋" w:cs="仿宋"/>
          <w:b w:val="0"/>
          <w:bCs w:val="0"/>
          <w:sz w:val="24"/>
          <w:szCs w:val="24"/>
        </w:rPr>
      </w:pPr>
    </w:p>
    <w:p w14:paraId="2FC02829">
      <w:pPr>
        <w:pStyle w:val="40"/>
        <w:rPr>
          <w:rFonts w:hint="eastAsia" w:ascii="仿宋" w:hAnsi="仿宋" w:eastAsia="仿宋" w:cs="仿宋"/>
          <w:b w:val="0"/>
          <w:bCs w:val="0"/>
          <w:sz w:val="24"/>
          <w:szCs w:val="24"/>
        </w:rPr>
      </w:pPr>
    </w:p>
    <w:p w14:paraId="2A2C171A">
      <w:pPr>
        <w:keepNext w:val="0"/>
        <w:keepLines w:val="0"/>
        <w:pageBreakBefore w:val="0"/>
        <w:widowControl/>
        <w:kinsoku/>
        <w:wordWrap/>
        <w:overflowPunct/>
        <w:topLinePunct w:val="0"/>
        <w:autoSpaceDE/>
        <w:autoSpaceDN/>
        <w:bidi w:val="0"/>
        <w:adjustRightInd/>
        <w:spacing w:line="320" w:lineRule="exact"/>
        <w:ind w:right="0" w:rightChars="0" w:firstLine="210" w:firstLineChars="100"/>
        <w:jc w:val="left"/>
        <w:textAlignment w:val="auto"/>
        <w:outlineLvl w:val="9"/>
        <w:rPr>
          <w:rFonts w:hint="eastAsia" w:ascii="仿宋" w:hAnsi="仿宋" w:eastAsia="仿宋" w:cs="仿宋"/>
          <w:b w:val="0"/>
          <w:bCs w:val="0"/>
          <w:color w:val="auto"/>
          <w:sz w:val="21"/>
          <w:szCs w:val="21"/>
        </w:rPr>
      </w:pPr>
    </w:p>
    <w:p w14:paraId="304D66EA">
      <w:pPr>
        <w:pStyle w:val="14"/>
        <w:rPr>
          <w:rFonts w:hint="eastAsia" w:ascii="仿宋" w:hAnsi="仿宋" w:eastAsia="仿宋" w:cs="仿宋"/>
          <w:sz w:val="21"/>
          <w:szCs w:val="21"/>
        </w:rPr>
      </w:pPr>
    </w:p>
    <w:p w14:paraId="55C43F64">
      <w:pPr>
        <w:rPr>
          <w:rFonts w:hint="eastAsia" w:ascii="仿宋" w:hAnsi="仿宋" w:eastAsia="仿宋" w:cs="仿宋"/>
          <w:sz w:val="21"/>
          <w:szCs w:val="21"/>
        </w:rPr>
      </w:pPr>
    </w:p>
    <w:p w14:paraId="416A7933">
      <w:pPr>
        <w:pStyle w:val="14"/>
        <w:rPr>
          <w:rFonts w:hint="eastAsia" w:ascii="仿宋" w:hAnsi="仿宋" w:eastAsia="仿宋" w:cs="仿宋"/>
          <w:sz w:val="21"/>
          <w:szCs w:val="21"/>
        </w:rPr>
      </w:pPr>
    </w:p>
    <w:p w14:paraId="347454B3">
      <w:pPr>
        <w:rPr>
          <w:rFonts w:hint="eastAsia" w:ascii="仿宋" w:hAnsi="仿宋" w:eastAsia="仿宋" w:cs="仿宋"/>
          <w:sz w:val="21"/>
          <w:szCs w:val="21"/>
        </w:rPr>
      </w:pPr>
    </w:p>
    <w:p w14:paraId="4B762C0B">
      <w:pPr>
        <w:pStyle w:val="14"/>
        <w:rPr>
          <w:rFonts w:hint="eastAsia" w:ascii="仿宋" w:hAnsi="仿宋" w:eastAsia="仿宋" w:cs="仿宋"/>
          <w:sz w:val="21"/>
          <w:szCs w:val="21"/>
        </w:rPr>
      </w:pPr>
    </w:p>
    <w:p w14:paraId="0F58F491">
      <w:pPr>
        <w:rPr>
          <w:rFonts w:hint="eastAsia" w:ascii="仿宋" w:hAnsi="仿宋" w:eastAsia="仿宋" w:cs="仿宋"/>
          <w:sz w:val="21"/>
          <w:szCs w:val="21"/>
        </w:rPr>
      </w:pPr>
    </w:p>
    <w:p w14:paraId="205D52B8">
      <w:pPr>
        <w:pStyle w:val="14"/>
        <w:rPr>
          <w:rFonts w:hint="eastAsia" w:ascii="仿宋" w:hAnsi="仿宋" w:eastAsia="仿宋" w:cs="仿宋"/>
          <w:sz w:val="21"/>
          <w:szCs w:val="21"/>
        </w:rPr>
      </w:pPr>
    </w:p>
    <w:p w14:paraId="18590C75">
      <w:pPr>
        <w:rPr>
          <w:rFonts w:hint="eastAsia" w:ascii="仿宋" w:hAnsi="仿宋" w:eastAsia="仿宋" w:cs="仿宋"/>
          <w:sz w:val="21"/>
          <w:szCs w:val="21"/>
        </w:rPr>
      </w:pPr>
    </w:p>
    <w:p w14:paraId="42309258">
      <w:pPr>
        <w:pStyle w:val="14"/>
        <w:rPr>
          <w:rFonts w:hint="eastAsia" w:ascii="仿宋" w:hAnsi="仿宋" w:eastAsia="仿宋" w:cs="仿宋"/>
          <w:sz w:val="21"/>
          <w:szCs w:val="21"/>
        </w:rPr>
      </w:pPr>
    </w:p>
    <w:p w14:paraId="4163B2D7">
      <w:pPr>
        <w:rPr>
          <w:rFonts w:hint="eastAsia" w:ascii="仿宋" w:hAnsi="仿宋" w:eastAsia="仿宋" w:cs="仿宋"/>
          <w:sz w:val="21"/>
          <w:szCs w:val="21"/>
        </w:rPr>
      </w:pPr>
    </w:p>
    <w:p w14:paraId="17CB95B4">
      <w:pPr>
        <w:pStyle w:val="14"/>
        <w:rPr>
          <w:rFonts w:hint="eastAsia" w:ascii="仿宋" w:hAnsi="仿宋" w:eastAsia="仿宋" w:cs="仿宋"/>
          <w:sz w:val="21"/>
          <w:szCs w:val="21"/>
        </w:rPr>
      </w:pPr>
    </w:p>
    <w:p w14:paraId="0F1A5BB4">
      <w:pPr>
        <w:rPr>
          <w:rFonts w:hint="eastAsia" w:ascii="仿宋" w:hAnsi="仿宋" w:eastAsia="仿宋" w:cs="仿宋"/>
          <w:sz w:val="21"/>
          <w:szCs w:val="21"/>
        </w:rPr>
      </w:pPr>
    </w:p>
    <w:p w14:paraId="3A5C2660">
      <w:pPr>
        <w:pStyle w:val="16"/>
        <w:numPr>
          <w:ilvl w:val="0"/>
          <w:numId w:val="9"/>
        </w:numPr>
        <w:snapToGrid w:val="0"/>
        <w:spacing w:line="420" w:lineRule="atLeast"/>
        <w:ind w:left="630" w:leftChars="0" w:firstLine="0" w:firstLineChars="0"/>
        <w:jc w:val="center"/>
        <w:outlineLvl w:val="0"/>
        <w:rPr>
          <w:rFonts w:hint="eastAsia" w:ascii="仿宋" w:hAnsi="仿宋" w:eastAsia="仿宋" w:cs="仿宋"/>
          <w:b/>
          <w:bCs/>
          <w:color w:val="auto"/>
          <w:sz w:val="44"/>
          <w:szCs w:val="44"/>
        </w:rPr>
      </w:pPr>
      <w:bookmarkStart w:id="178" w:name="_Toc22986"/>
      <w:bookmarkStart w:id="179" w:name="_Toc362"/>
      <w:bookmarkStart w:id="180" w:name="_Toc9920"/>
      <w:bookmarkStart w:id="181" w:name="_Toc4876"/>
      <w:r>
        <w:rPr>
          <w:rFonts w:hint="eastAsia" w:ascii="仿宋" w:hAnsi="仿宋" w:eastAsia="仿宋" w:cs="仿宋"/>
          <w:b/>
          <w:bCs/>
          <w:color w:val="auto"/>
          <w:sz w:val="44"/>
          <w:szCs w:val="44"/>
          <w:lang w:eastAsia="zh-CN"/>
        </w:rPr>
        <w:t>响应文件</w:t>
      </w:r>
      <w:r>
        <w:rPr>
          <w:rFonts w:hint="eastAsia" w:ascii="仿宋" w:hAnsi="仿宋" w:eastAsia="仿宋" w:cs="仿宋"/>
          <w:b/>
          <w:bCs/>
          <w:color w:val="auto"/>
          <w:sz w:val="44"/>
          <w:szCs w:val="44"/>
        </w:rPr>
        <w:t>格式</w:t>
      </w:r>
      <w:bookmarkEnd w:id="178"/>
      <w:bookmarkEnd w:id="179"/>
      <w:bookmarkEnd w:id="180"/>
      <w:bookmarkEnd w:id="181"/>
    </w:p>
    <w:p w14:paraId="3C71BAC7">
      <w:pPr>
        <w:tabs>
          <w:tab w:val="left" w:pos="1701"/>
        </w:tabs>
        <w:spacing w:line="360" w:lineRule="auto"/>
        <w:jc w:val="center"/>
        <w:rPr>
          <w:rFonts w:hint="eastAsia" w:ascii="仿宋" w:hAnsi="仿宋" w:eastAsia="仿宋" w:cs="仿宋"/>
          <w:b/>
          <w:sz w:val="44"/>
          <w:szCs w:val="44"/>
        </w:rPr>
      </w:pPr>
    </w:p>
    <w:p w14:paraId="3B183B6D">
      <w:pPr>
        <w:spacing w:line="400" w:lineRule="exact"/>
        <w:jc w:val="center"/>
        <w:rPr>
          <w:rFonts w:hint="eastAsia" w:ascii="仿宋" w:hAnsi="仿宋" w:eastAsia="仿宋" w:cs="仿宋"/>
          <w:b/>
          <w:bCs/>
          <w:sz w:val="44"/>
          <w:szCs w:val="44"/>
        </w:rPr>
      </w:pPr>
    </w:p>
    <w:p w14:paraId="68FDF1AA">
      <w:pPr>
        <w:tabs>
          <w:tab w:val="left" w:pos="1701"/>
        </w:tabs>
        <w:spacing w:line="360" w:lineRule="auto"/>
        <w:jc w:val="center"/>
        <w:rPr>
          <w:rFonts w:hint="eastAsia" w:ascii="仿宋" w:hAnsi="仿宋" w:eastAsia="仿宋" w:cs="仿宋"/>
          <w:sz w:val="44"/>
          <w:szCs w:val="44"/>
        </w:rPr>
      </w:pPr>
    </w:p>
    <w:p w14:paraId="5E6F1B6C">
      <w:pPr>
        <w:spacing w:line="400" w:lineRule="exact"/>
        <w:jc w:val="center"/>
        <w:rPr>
          <w:rFonts w:hint="eastAsia" w:ascii="仿宋" w:hAnsi="仿宋" w:eastAsia="仿宋" w:cs="仿宋"/>
          <w:sz w:val="44"/>
          <w:szCs w:val="44"/>
        </w:rPr>
      </w:pPr>
    </w:p>
    <w:p w14:paraId="154F4F52">
      <w:pPr>
        <w:spacing w:line="400" w:lineRule="exact"/>
        <w:jc w:val="center"/>
        <w:rPr>
          <w:rFonts w:hint="eastAsia" w:ascii="仿宋" w:hAnsi="仿宋" w:eastAsia="仿宋" w:cs="仿宋"/>
          <w:sz w:val="44"/>
          <w:szCs w:val="44"/>
        </w:rPr>
      </w:pPr>
    </w:p>
    <w:p w14:paraId="7BA7073C">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响应文件</w:t>
      </w:r>
    </w:p>
    <w:p w14:paraId="28F73A14">
      <w:pPr>
        <w:pStyle w:val="25"/>
        <w:snapToGrid w:val="0"/>
        <w:spacing w:line="360" w:lineRule="auto"/>
        <w:jc w:val="center"/>
        <w:rPr>
          <w:rFonts w:hint="eastAsia" w:ascii="仿宋" w:hAnsi="仿宋" w:eastAsia="仿宋" w:cs="仿宋"/>
          <w:b/>
          <w:sz w:val="44"/>
          <w:szCs w:val="44"/>
        </w:rPr>
      </w:pPr>
      <w:r>
        <w:rPr>
          <w:rFonts w:hint="eastAsia" w:ascii="仿宋" w:hAnsi="仿宋" w:eastAsia="仿宋" w:cs="仿宋"/>
          <w:b/>
          <w:bCs/>
          <w:sz w:val="44"/>
          <w:szCs w:val="44"/>
        </w:rPr>
        <w:t>项目编号：XXXXX</w:t>
      </w:r>
    </w:p>
    <w:p w14:paraId="08B08554">
      <w:pPr>
        <w:pStyle w:val="16"/>
        <w:snapToGrid w:val="0"/>
        <w:spacing w:line="360" w:lineRule="auto"/>
        <w:ind w:firstLine="723"/>
        <w:jc w:val="center"/>
        <w:rPr>
          <w:rFonts w:hint="eastAsia" w:ascii="仿宋" w:hAnsi="仿宋" w:eastAsia="仿宋" w:cs="仿宋"/>
          <w:b/>
          <w:bCs/>
          <w:sz w:val="44"/>
          <w:szCs w:val="44"/>
        </w:rPr>
      </w:pPr>
    </w:p>
    <w:p w14:paraId="3EF48A9C">
      <w:pPr>
        <w:pStyle w:val="16"/>
        <w:snapToGrid w:val="0"/>
        <w:spacing w:line="420" w:lineRule="atLeast"/>
        <w:ind w:firstLine="723"/>
        <w:jc w:val="center"/>
        <w:rPr>
          <w:rFonts w:hint="eastAsia" w:ascii="仿宋" w:hAnsi="仿宋" w:eastAsia="仿宋" w:cs="仿宋"/>
          <w:b/>
          <w:bCs/>
          <w:sz w:val="21"/>
          <w:szCs w:val="21"/>
        </w:rPr>
      </w:pPr>
    </w:p>
    <w:p w14:paraId="439C55BC">
      <w:pPr>
        <w:pStyle w:val="16"/>
        <w:snapToGrid w:val="0"/>
        <w:spacing w:line="420" w:lineRule="atLeast"/>
        <w:ind w:firstLine="723"/>
        <w:jc w:val="center"/>
        <w:rPr>
          <w:rFonts w:hint="eastAsia" w:ascii="仿宋" w:hAnsi="仿宋" w:eastAsia="仿宋" w:cs="仿宋"/>
          <w:b/>
          <w:bCs/>
          <w:sz w:val="21"/>
          <w:szCs w:val="21"/>
        </w:rPr>
      </w:pPr>
    </w:p>
    <w:p w14:paraId="1D240A5F">
      <w:pPr>
        <w:pStyle w:val="16"/>
        <w:snapToGrid w:val="0"/>
        <w:spacing w:line="420" w:lineRule="atLeast"/>
        <w:ind w:firstLine="723"/>
        <w:jc w:val="center"/>
        <w:rPr>
          <w:rFonts w:hint="eastAsia" w:ascii="仿宋" w:hAnsi="仿宋" w:eastAsia="仿宋" w:cs="仿宋"/>
          <w:b/>
          <w:bCs/>
          <w:sz w:val="21"/>
          <w:szCs w:val="21"/>
        </w:rPr>
      </w:pPr>
    </w:p>
    <w:p w14:paraId="16A0B2AE">
      <w:pPr>
        <w:pStyle w:val="16"/>
        <w:snapToGrid w:val="0"/>
        <w:spacing w:line="420" w:lineRule="atLeast"/>
        <w:ind w:firstLine="723"/>
        <w:jc w:val="center"/>
        <w:rPr>
          <w:rFonts w:hint="eastAsia" w:ascii="仿宋" w:hAnsi="仿宋" w:eastAsia="仿宋" w:cs="仿宋"/>
          <w:b/>
          <w:bCs/>
          <w:sz w:val="21"/>
          <w:szCs w:val="21"/>
        </w:rPr>
      </w:pPr>
    </w:p>
    <w:p w14:paraId="613A6C92">
      <w:pPr>
        <w:pStyle w:val="16"/>
        <w:snapToGrid w:val="0"/>
        <w:spacing w:line="420" w:lineRule="atLeast"/>
        <w:ind w:firstLine="723"/>
        <w:jc w:val="center"/>
        <w:rPr>
          <w:rFonts w:hint="eastAsia" w:ascii="仿宋" w:hAnsi="仿宋" w:eastAsia="仿宋" w:cs="仿宋"/>
          <w:b/>
          <w:bCs/>
          <w:sz w:val="21"/>
          <w:szCs w:val="21"/>
        </w:rPr>
      </w:pPr>
    </w:p>
    <w:p w14:paraId="302AF248">
      <w:pPr>
        <w:pStyle w:val="16"/>
        <w:snapToGrid w:val="0"/>
        <w:spacing w:line="420" w:lineRule="atLeast"/>
        <w:ind w:firstLine="723"/>
        <w:jc w:val="center"/>
        <w:rPr>
          <w:rFonts w:hint="eastAsia" w:ascii="仿宋" w:hAnsi="仿宋" w:eastAsia="仿宋" w:cs="仿宋"/>
          <w:b/>
          <w:bCs/>
          <w:sz w:val="21"/>
          <w:szCs w:val="21"/>
        </w:rPr>
      </w:pPr>
    </w:p>
    <w:p w14:paraId="4BA1AE98">
      <w:pPr>
        <w:pStyle w:val="16"/>
        <w:snapToGrid w:val="0"/>
        <w:spacing w:line="420" w:lineRule="atLeast"/>
        <w:ind w:firstLine="723"/>
        <w:jc w:val="center"/>
        <w:rPr>
          <w:rFonts w:hint="eastAsia" w:ascii="仿宋" w:hAnsi="仿宋" w:eastAsia="仿宋" w:cs="仿宋"/>
          <w:b/>
          <w:bCs/>
          <w:sz w:val="21"/>
          <w:szCs w:val="21"/>
        </w:rPr>
      </w:pPr>
    </w:p>
    <w:p w14:paraId="709D574E">
      <w:pPr>
        <w:rPr>
          <w:rFonts w:hint="eastAsia" w:ascii="仿宋" w:hAnsi="仿宋" w:eastAsia="仿宋" w:cs="仿宋"/>
          <w:sz w:val="21"/>
          <w:szCs w:val="21"/>
        </w:rPr>
      </w:pPr>
    </w:p>
    <w:p w14:paraId="65A19E19">
      <w:pPr>
        <w:spacing w:line="360" w:lineRule="auto"/>
        <w:ind w:firstLine="1915" w:firstLineChars="596"/>
        <w:rPr>
          <w:rFonts w:hint="eastAsia" w:ascii="仿宋" w:hAnsi="仿宋" w:eastAsia="仿宋" w:cs="仿宋"/>
          <w:b/>
          <w:sz w:val="32"/>
          <w:szCs w:val="32"/>
        </w:rPr>
      </w:pPr>
      <w:bookmarkStart w:id="182" w:name="_Toc20142"/>
      <w:r>
        <w:rPr>
          <w:rFonts w:hint="eastAsia" w:ascii="仿宋" w:hAnsi="仿宋" w:eastAsia="仿宋" w:cs="仿宋"/>
          <w:b/>
          <w:sz w:val="32"/>
          <w:szCs w:val="32"/>
        </w:rPr>
        <w:t>项目</w:t>
      </w:r>
      <w:r>
        <w:rPr>
          <w:rFonts w:hint="eastAsia" w:ascii="仿宋" w:hAnsi="仿宋" w:eastAsia="仿宋" w:cs="仿宋"/>
          <w:b/>
          <w:sz w:val="32"/>
          <w:szCs w:val="32"/>
          <w:lang w:eastAsia="zh-CN"/>
        </w:rPr>
        <w:t>名称</w:t>
      </w:r>
      <w:r>
        <w:rPr>
          <w:rFonts w:hint="eastAsia" w:ascii="仿宋" w:hAnsi="仿宋" w:eastAsia="仿宋" w:cs="仿宋"/>
          <w:b/>
          <w:sz w:val="32"/>
          <w:szCs w:val="32"/>
        </w:rPr>
        <w:t>：</w:t>
      </w:r>
      <w:bookmarkEnd w:id="182"/>
      <w:r>
        <w:rPr>
          <w:rFonts w:hint="eastAsia" w:ascii="仿宋" w:hAnsi="仿宋" w:eastAsia="仿宋" w:cs="仿宋"/>
          <w:b/>
          <w:sz w:val="32"/>
          <w:szCs w:val="32"/>
          <w:u w:val="single"/>
        </w:rPr>
        <w:t xml:space="preserve">                        </w:t>
      </w:r>
    </w:p>
    <w:p w14:paraId="499D8C61">
      <w:pPr>
        <w:spacing w:line="360" w:lineRule="auto"/>
        <w:ind w:firstLine="1915" w:firstLineChars="596"/>
        <w:rPr>
          <w:rFonts w:hint="eastAsia" w:ascii="仿宋" w:hAnsi="仿宋" w:eastAsia="仿宋" w:cs="仿宋"/>
          <w:b/>
          <w:sz w:val="32"/>
          <w:szCs w:val="32"/>
          <w:u w:val="single"/>
        </w:rPr>
      </w:pPr>
      <w:bookmarkStart w:id="183" w:name="_Toc28159"/>
      <w:r>
        <w:rPr>
          <w:rFonts w:hint="eastAsia" w:ascii="仿宋" w:hAnsi="仿宋" w:eastAsia="仿宋" w:cs="仿宋"/>
          <w:b/>
          <w:sz w:val="32"/>
          <w:szCs w:val="32"/>
          <w:lang w:eastAsia="zh-CN"/>
        </w:rPr>
        <w:t>供应商</w:t>
      </w:r>
      <w:r>
        <w:rPr>
          <w:rFonts w:hint="eastAsia" w:ascii="仿宋" w:hAnsi="仿宋" w:eastAsia="仿宋" w:cs="仿宋"/>
          <w:b/>
          <w:sz w:val="32"/>
          <w:szCs w:val="32"/>
        </w:rPr>
        <w:t>名称 ：</w:t>
      </w:r>
      <w:bookmarkEnd w:id="183"/>
      <w:r>
        <w:rPr>
          <w:rFonts w:hint="eastAsia" w:ascii="仿宋" w:hAnsi="仿宋" w:eastAsia="仿宋" w:cs="仿宋"/>
          <w:b/>
          <w:sz w:val="32"/>
          <w:szCs w:val="32"/>
          <w:u w:val="single"/>
        </w:rPr>
        <w:t xml:space="preserve">                        </w:t>
      </w:r>
    </w:p>
    <w:p w14:paraId="778ACDAD">
      <w:pPr>
        <w:spacing w:line="360" w:lineRule="auto"/>
        <w:ind w:firstLine="1915" w:firstLineChars="596"/>
        <w:rPr>
          <w:rFonts w:hint="eastAsia" w:ascii="仿宋" w:hAnsi="仿宋" w:eastAsia="仿宋" w:cs="仿宋"/>
          <w:b/>
          <w:bCs/>
          <w:sz w:val="32"/>
          <w:szCs w:val="32"/>
        </w:rPr>
      </w:pPr>
      <w:bookmarkStart w:id="184" w:name="_Toc7564"/>
      <w:r>
        <w:rPr>
          <w:rFonts w:hint="eastAsia" w:ascii="仿宋" w:hAnsi="仿宋" w:eastAsia="仿宋" w:cs="仿宋"/>
          <w:b/>
          <w:sz w:val="32"/>
          <w:szCs w:val="32"/>
        </w:rPr>
        <w:t>日      期 ：</w:t>
      </w:r>
      <w:bookmarkEnd w:id="184"/>
      <w:r>
        <w:rPr>
          <w:rFonts w:hint="eastAsia" w:ascii="仿宋" w:hAnsi="仿宋" w:eastAsia="仿宋" w:cs="仿宋"/>
          <w:b/>
          <w:sz w:val="32"/>
          <w:szCs w:val="32"/>
          <w:u w:val="single"/>
        </w:rPr>
        <w:t xml:space="preserve">                        </w:t>
      </w:r>
    </w:p>
    <w:p w14:paraId="15896AE9">
      <w:pPr>
        <w:spacing w:line="440" w:lineRule="exact"/>
        <w:jc w:val="center"/>
        <w:rPr>
          <w:rFonts w:hint="eastAsia" w:ascii="仿宋" w:hAnsi="仿宋" w:eastAsia="仿宋" w:cs="仿宋"/>
          <w:b/>
          <w:sz w:val="24"/>
          <w:szCs w:val="24"/>
        </w:rPr>
      </w:pPr>
      <w:bookmarkStart w:id="185" w:name="_Toc30229"/>
      <w:r>
        <w:rPr>
          <w:rFonts w:hint="eastAsia" w:ascii="仿宋" w:hAnsi="仿宋" w:eastAsia="仿宋" w:cs="仿宋"/>
          <w:b/>
          <w:bCs/>
          <w:sz w:val="21"/>
          <w:szCs w:val="21"/>
        </w:rPr>
        <w:br w:type="page"/>
      </w:r>
      <w:bookmarkEnd w:id="185"/>
      <w:bookmarkStart w:id="186" w:name="_Toc114589519"/>
      <w:bookmarkStart w:id="187" w:name="_Toc115436112"/>
      <w:bookmarkStart w:id="188" w:name="_Toc21908"/>
      <w:bookmarkStart w:id="189" w:name="_Toc31589"/>
      <w:r>
        <w:rPr>
          <w:rFonts w:hint="eastAsia" w:ascii="仿宋" w:hAnsi="仿宋" w:eastAsia="仿宋" w:cs="仿宋"/>
          <w:b/>
          <w:sz w:val="24"/>
          <w:szCs w:val="24"/>
        </w:rPr>
        <w:t>响应文件目录及索引</w:t>
      </w:r>
      <w:bookmarkEnd w:id="186"/>
      <w:bookmarkEnd w:id="187"/>
      <w:bookmarkEnd w:id="188"/>
      <w:bookmarkEnd w:id="189"/>
    </w:p>
    <w:p w14:paraId="10351BD1">
      <w:pPr>
        <w:pStyle w:val="22"/>
        <w:tabs>
          <w:tab w:val="left" w:pos="9214"/>
        </w:tabs>
        <w:spacing w:before="9"/>
        <w:rPr>
          <w:rFonts w:hint="eastAsia" w:ascii="仿宋" w:hAnsi="仿宋" w:eastAsia="仿宋" w:cs="仿宋"/>
          <w:b/>
          <w:sz w:val="24"/>
          <w:szCs w:val="24"/>
        </w:rPr>
      </w:pPr>
    </w:p>
    <w:tbl>
      <w:tblPr>
        <w:tblStyle w:val="46"/>
        <w:tblW w:w="5000"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7"/>
        <w:gridCol w:w="5817"/>
        <w:gridCol w:w="917"/>
        <w:gridCol w:w="2295"/>
      </w:tblGrid>
      <w:tr w14:paraId="5C9FC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5196CF06">
            <w:pPr>
              <w:pStyle w:val="144"/>
              <w:keepNext w:val="0"/>
              <w:keepLines w:val="0"/>
              <w:suppressLineNumbers w:val="0"/>
              <w:spacing w:before="25" w:beforeAutospacing="0" w:after="0" w:afterAutospacing="0"/>
              <w:ind w:left="124" w:right="0"/>
              <w:rPr>
                <w:rFonts w:hint="eastAsia" w:ascii="仿宋" w:hAnsi="仿宋" w:eastAsia="仿宋" w:cs="仿宋"/>
                <w:b/>
                <w:sz w:val="24"/>
                <w:szCs w:val="24"/>
              </w:rPr>
            </w:pPr>
            <w:r>
              <w:rPr>
                <w:rFonts w:hint="eastAsia" w:ascii="仿宋" w:hAnsi="仿宋" w:eastAsia="仿宋" w:cs="仿宋"/>
                <w:b/>
                <w:sz w:val="24"/>
                <w:szCs w:val="24"/>
              </w:rPr>
              <w:t>序号</w:t>
            </w:r>
          </w:p>
        </w:tc>
        <w:tc>
          <w:tcPr>
            <w:tcW w:w="2981" w:type="pct"/>
            <w:noWrap w:val="0"/>
            <w:vAlign w:val="top"/>
          </w:tcPr>
          <w:p w14:paraId="401A7395">
            <w:pPr>
              <w:pStyle w:val="144"/>
              <w:keepNext w:val="0"/>
              <w:keepLines w:val="0"/>
              <w:suppressLineNumbers w:val="0"/>
              <w:spacing w:before="25" w:beforeAutospacing="0" w:after="0" w:afterAutospacing="0"/>
              <w:ind w:left="2254" w:right="2246"/>
              <w:jc w:val="center"/>
              <w:rPr>
                <w:rFonts w:hint="eastAsia" w:ascii="仿宋" w:hAnsi="仿宋" w:eastAsia="仿宋" w:cs="仿宋"/>
                <w:b/>
                <w:sz w:val="24"/>
                <w:szCs w:val="24"/>
              </w:rPr>
            </w:pPr>
            <w:r>
              <w:rPr>
                <w:rFonts w:hint="eastAsia" w:ascii="仿宋" w:hAnsi="仿宋" w:eastAsia="仿宋" w:cs="仿宋"/>
                <w:b/>
                <w:sz w:val="24"/>
                <w:szCs w:val="24"/>
              </w:rPr>
              <w:t>文件名称</w:t>
            </w:r>
          </w:p>
        </w:tc>
        <w:tc>
          <w:tcPr>
            <w:tcW w:w="470" w:type="pct"/>
            <w:noWrap w:val="0"/>
            <w:vAlign w:val="top"/>
          </w:tcPr>
          <w:p w14:paraId="7EDD65F3">
            <w:pPr>
              <w:pStyle w:val="144"/>
              <w:keepNext w:val="0"/>
              <w:keepLines w:val="0"/>
              <w:suppressLineNumbers w:val="0"/>
              <w:spacing w:before="25" w:beforeAutospacing="0" w:after="0" w:afterAutospacing="0"/>
              <w:ind w:left="213" w:right="0"/>
              <w:rPr>
                <w:rFonts w:hint="eastAsia" w:ascii="仿宋" w:hAnsi="仿宋" w:eastAsia="仿宋" w:cs="仿宋"/>
                <w:b/>
                <w:sz w:val="24"/>
                <w:szCs w:val="24"/>
              </w:rPr>
            </w:pPr>
            <w:r>
              <w:rPr>
                <w:rFonts w:hint="eastAsia" w:ascii="仿宋" w:hAnsi="仿宋" w:eastAsia="仿宋" w:cs="仿宋"/>
                <w:b/>
                <w:sz w:val="24"/>
                <w:szCs w:val="24"/>
              </w:rPr>
              <w:t>页码</w:t>
            </w:r>
          </w:p>
        </w:tc>
        <w:tc>
          <w:tcPr>
            <w:tcW w:w="1176" w:type="pct"/>
            <w:noWrap w:val="0"/>
            <w:vAlign w:val="top"/>
          </w:tcPr>
          <w:p w14:paraId="442B22DE">
            <w:pPr>
              <w:pStyle w:val="144"/>
              <w:keepNext w:val="0"/>
              <w:keepLines w:val="0"/>
              <w:suppressLineNumbers w:val="0"/>
              <w:spacing w:before="25" w:beforeAutospacing="0" w:after="0" w:afterAutospacing="0"/>
              <w:ind w:left="430" w:right="0"/>
              <w:rPr>
                <w:rFonts w:hint="eastAsia" w:ascii="仿宋" w:hAnsi="仿宋" w:eastAsia="仿宋" w:cs="仿宋"/>
                <w:b/>
                <w:sz w:val="24"/>
                <w:szCs w:val="24"/>
              </w:rPr>
            </w:pPr>
            <w:r>
              <w:rPr>
                <w:rFonts w:hint="eastAsia" w:ascii="仿宋" w:hAnsi="仿宋" w:eastAsia="仿宋" w:cs="仿宋"/>
                <w:b/>
                <w:sz w:val="24"/>
                <w:szCs w:val="24"/>
              </w:rPr>
              <w:t>该文件总页数</w:t>
            </w:r>
          </w:p>
        </w:tc>
      </w:tr>
      <w:tr w14:paraId="5B372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73" w:type="pct"/>
            <w:noWrap w:val="0"/>
            <w:vAlign w:val="top"/>
          </w:tcPr>
          <w:p w14:paraId="65B7100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623EA77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2A32898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2BB58EA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0D23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74AACD8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50C8EAC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7D47518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1428A13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25664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73" w:type="pct"/>
            <w:noWrap w:val="0"/>
            <w:vAlign w:val="top"/>
          </w:tcPr>
          <w:p w14:paraId="1864B43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76FE7A7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5468B4D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4E26E32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7D4B4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36674916">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71D344B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5CF69FB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5783AA1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1C44F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73" w:type="pct"/>
            <w:noWrap w:val="0"/>
            <w:vAlign w:val="top"/>
          </w:tcPr>
          <w:p w14:paraId="4451B79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1FFA34B6">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3977D8D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6620621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5E2E8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73" w:type="pct"/>
            <w:noWrap w:val="0"/>
            <w:vAlign w:val="top"/>
          </w:tcPr>
          <w:p w14:paraId="7EC2AF3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55F6C8F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6A81E27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6ACD63E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0F65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73" w:type="pct"/>
            <w:noWrap w:val="0"/>
            <w:vAlign w:val="top"/>
          </w:tcPr>
          <w:p w14:paraId="0C0915D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6529803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6456141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086AD5B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1EB56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73" w:type="pct"/>
            <w:noWrap w:val="0"/>
            <w:vAlign w:val="top"/>
          </w:tcPr>
          <w:p w14:paraId="17357F1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2F26CAC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03DB9667">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77E5FAE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705E3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24D6055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5D6BF53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1C543AE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11EF72A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25EA3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73" w:type="pct"/>
            <w:noWrap w:val="0"/>
            <w:vAlign w:val="top"/>
          </w:tcPr>
          <w:p w14:paraId="636781A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1669C03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07DC2D6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7527C14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11D78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73" w:type="pct"/>
            <w:noWrap w:val="0"/>
            <w:vAlign w:val="top"/>
          </w:tcPr>
          <w:p w14:paraId="3BFBF5E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668F651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40B2983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4AE0A05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819C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73" w:type="pct"/>
            <w:noWrap w:val="0"/>
            <w:vAlign w:val="top"/>
          </w:tcPr>
          <w:p w14:paraId="16616D3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74FA088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56E8ED7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31E23A9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2C85D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73" w:type="pct"/>
            <w:noWrap w:val="0"/>
            <w:vAlign w:val="top"/>
          </w:tcPr>
          <w:p w14:paraId="1F467F8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3DEEEB1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0FB58607">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3E80B057">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739DF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615420F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0F77758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0257BF5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2C3949A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1DB0B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73" w:type="pct"/>
            <w:noWrap w:val="0"/>
            <w:vAlign w:val="top"/>
          </w:tcPr>
          <w:p w14:paraId="7DD9102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1F281D4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6E47890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3A1DF6C6">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7CD57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75D8E89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491F6BE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50FF5687">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34842B2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28671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73" w:type="pct"/>
            <w:noWrap w:val="0"/>
            <w:vAlign w:val="top"/>
          </w:tcPr>
          <w:p w14:paraId="5EA7864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7EAE331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545FBC8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557D349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09651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5A3C095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16C19A3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58368717">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5E50622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7A66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73" w:type="pct"/>
            <w:noWrap w:val="0"/>
            <w:vAlign w:val="top"/>
          </w:tcPr>
          <w:p w14:paraId="2E69ADE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5A630AC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028B63C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08DEF70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15795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73" w:type="pct"/>
            <w:noWrap w:val="0"/>
            <w:vAlign w:val="top"/>
          </w:tcPr>
          <w:p w14:paraId="6578BDF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7196FEE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07E3574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4712E73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1568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73" w:type="pct"/>
            <w:noWrap w:val="0"/>
            <w:vAlign w:val="top"/>
          </w:tcPr>
          <w:p w14:paraId="05E9550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981" w:type="pct"/>
            <w:noWrap w:val="0"/>
            <w:vAlign w:val="top"/>
          </w:tcPr>
          <w:p w14:paraId="07BF7E1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470" w:type="pct"/>
            <w:noWrap w:val="0"/>
            <w:vAlign w:val="top"/>
          </w:tcPr>
          <w:p w14:paraId="02FBBF46">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176" w:type="pct"/>
            <w:noWrap w:val="0"/>
            <w:vAlign w:val="top"/>
          </w:tcPr>
          <w:p w14:paraId="4C50D06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bl>
    <w:p w14:paraId="37C12029">
      <w:pPr>
        <w:spacing w:before="1"/>
        <w:ind w:left="360" w:right="449" w:rightChars="214"/>
        <w:jc w:val="left"/>
        <w:rPr>
          <w:rFonts w:hint="eastAsia"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pacing w:val="-1"/>
          <w:sz w:val="24"/>
          <w:szCs w:val="24"/>
        </w:rPr>
        <w:t>该目录为方便</w:t>
      </w:r>
      <w:r>
        <w:rPr>
          <w:rFonts w:hint="eastAsia" w:ascii="仿宋" w:hAnsi="仿宋" w:eastAsia="仿宋" w:cs="仿宋"/>
          <w:spacing w:val="-1"/>
          <w:sz w:val="24"/>
          <w:szCs w:val="24"/>
          <w:lang w:eastAsia="zh-CN"/>
        </w:rPr>
        <w:t>谈判小组</w:t>
      </w:r>
      <w:r>
        <w:rPr>
          <w:rFonts w:hint="eastAsia" w:ascii="仿宋" w:hAnsi="仿宋" w:eastAsia="仿宋" w:cs="仿宋"/>
          <w:spacing w:val="-1"/>
          <w:sz w:val="24"/>
          <w:szCs w:val="24"/>
        </w:rPr>
        <w:t>查找相关证明文件及评审条件，应尽可能的详细、清晰，</w:t>
      </w:r>
      <w:r>
        <w:rPr>
          <w:rFonts w:hint="eastAsia" w:ascii="仿宋" w:hAnsi="仿宋" w:eastAsia="仿宋" w:cs="仿宋"/>
          <w:spacing w:val="-1"/>
          <w:sz w:val="24"/>
          <w:szCs w:val="24"/>
          <w:lang w:eastAsia="zh-CN"/>
        </w:rPr>
        <w:t>投标供应商</w:t>
      </w:r>
      <w:r>
        <w:rPr>
          <w:rFonts w:hint="eastAsia" w:ascii="仿宋" w:hAnsi="仿宋" w:eastAsia="仿宋" w:cs="仿宋"/>
          <w:spacing w:val="-1"/>
          <w:sz w:val="24"/>
          <w:szCs w:val="24"/>
        </w:rPr>
        <w:t>可根据</w:t>
      </w:r>
      <w:r>
        <w:rPr>
          <w:rFonts w:hint="eastAsia" w:ascii="仿宋" w:hAnsi="仿宋" w:eastAsia="仿宋" w:cs="仿宋"/>
          <w:spacing w:val="-3"/>
          <w:sz w:val="24"/>
          <w:szCs w:val="24"/>
        </w:rPr>
        <w:t>自身情况补充完善；</w:t>
      </w:r>
      <w:r>
        <w:rPr>
          <w:rFonts w:hint="eastAsia" w:ascii="仿宋" w:hAnsi="仿宋" w:eastAsia="仿宋" w:cs="仿宋"/>
          <w:spacing w:val="-7"/>
          <w:sz w:val="24"/>
          <w:szCs w:val="24"/>
        </w:rPr>
        <w:t>响应文件的编制顺序应按此表顺序，并连续编排页码</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扫描或复印件可以采用页码机加盖页码</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w:t>
      </w:r>
    </w:p>
    <w:p w14:paraId="7F4888D5">
      <w:pPr>
        <w:pStyle w:val="95"/>
        <w:tabs>
          <w:tab w:val="left" w:pos="682"/>
        </w:tabs>
        <w:autoSpaceDE w:val="0"/>
        <w:autoSpaceDN w:val="0"/>
        <w:spacing w:before="2" w:line="244" w:lineRule="auto"/>
        <w:ind w:right="519" w:firstLine="0" w:firstLineChars="0"/>
        <w:jc w:val="left"/>
        <w:rPr>
          <w:rFonts w:hint="eastAsia" w:ascii="仿宋" w:hAnsi="仿宋" w:eastAsia="仿宋" w:cs="仿宋"/>
          <w:spacing w:val="-7"/>
          <w:sz w:val="24"/>
          <w:szCs w:val="24"/>
        </w:rPr>
      </w:pPr>
    </w:p>
    <w:p w14:paraId="5597472D">
      <w:pPr>
        <w:pStyle w:val="156"/>
        <w:spacing w:line="360" w:lineRule="auto"/>
        <w:jc w:val="center"/>
        <w:rPr>
          <w:rFonts w:hint="eastAsia" w:ascii="仿宋" w:hAnsi="仿宋" w:eastAsia="仿宋" w:cs="仿宋"/>
          <w:b/>
          <w:sz w:val="24"/>
          <w:szCs w:val="24"/>
        </w:rPr>
        <w:sectPr>
          <w:headerReference r:id="rId14" w:type="default"/>
          <w:footerReference r:id="rId15" w:type="default"/>
          <w:pgSz w:w="11910" w:h="16850"/>
          <w:pgMar w:top="1440" w:right="1080" w:bottom="1440" w:left="1080" w:header="720" w:footer="720" w:gutter="0"/>
          <w:pgNumType w:fmt="decimal"/>
          <w:cols w:space="720" w:num="1"/>
          <w:docGrid w:linePitch="286" w:charSpace="0"/>
        </w:sectPr>
      </w:pPr>
    </w:p>
    <w:p w14:paraId="2846D5D1">
      <w:pPr>
        <w:pStyle w:val="156"/>
        <w:spacing w:line="360" w:lineRule="auto"/>
        <w:jc w:val="center"/>
        <w:outlineLvl w:val="1"/>
        <w:rPr>
          <w:rFonts w:hint="eastAsia" w:ascii="仿宋" w:hAnsi="仿宋" w:eastAsia="仿宋" w:cs="仿宋"/>
          <w:b/>
          <w:sz w:val="32"/>
          <w:szCs w:val="32"/>
        </w:rPr>
      </w:pPr>
      <w:bookmarkStart w:id="190" w:name="_Toc31311"/>
      <w:bookmarkStart w:id="191" w:name="_Toc8679"/>
      <w:bookmarkStart w:id="192" w:name="_Toc115436113"/>
      <w:bookmarkStart w:id="193" w:name="_Toc9598"/>
      <w:bookmarkStart w:id="194" w:name="_Toc114589520"/>
      <w:r>
        <w:rPr>
          <w:rFonts w:hint="eastAsia" w:ascii="仿宋" w:hAnsi="仿宋" w:eastAsia="仿宋" w:cs="仿宋"/>
          <w:b/>
          <w:sz w:val="32"/>
          <w:szCs w:val="32"/>
        </w:rPr>
        <w:t xml:space="preserve">附件1  </w:t>
      </w:r>
      <w:r>
        <w:rPr>
          <w:rFonts w:hint="eastAsia" w:ascii="仿宋" w:hAnsi="仿宋" w:eastAsia="仿宋" w:cs="仿宋"/>
          <w:b/>
          <w:sz w:val="32"/>
          <w:szCs w:val="32"/>
          <w:lang w:eastAsia="zh-CN"/>
        </w:rPr>
        <w:t>谈判</w:t>
      </w:r>
      <w:r>
        <w:rPr>
          <w:rFonts w:hint="eastAsia" w:ascii="仿宋" w:hAnsi="仿宋" w:eastAsia="仿宋" w:cs="仿宋"/>
          <w:b/>
          <w:sz w:val="32"/>
          <w:szCs w:val="32"/>
        </w:rPr>
        <w:t>一览表（响应文件格式一）</w:t>
      </w:r>
      <w:bookmarkEnd w:id="190"/>
      <w:bookmarkEnd w:id="191"/>
      <w:bookmarkEnd w:id="192"/>
      <w:bookmarkEnd w:id="193"/>
      <w:bookmarkEnd w:id="194"/>
    </w:p>
    <w:p w14:paraId="0446C9D5">
      <w:pPr>
        <w:pStyle w:val="156"/>
        <w:spacing w:line="360" w:lineRule="auto"/>
        <w:rPr>
          <w:rFonts w:hint="eastAsia" w:ascii="仿宋" w:hAnsi="仿宋" w:eastAsia="仿宋" w:cs="仿宋"/>
          <w:bCs w:val="0"/>
          <w:sz w:val="21"/>
          <w:szCs w:val="21"/>
        </w:rPr>
      </w:pPr>
    </w:p>
    <w:p w14:paraId="4FF2B24E">
      <w:pPr>
        <w:pStyle w:val="156"/>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投标报价总表</w:t>
      </w:r>
    </w:p>
    <w:p w14:paraId="2D85510A">
      <w:pPr>
        <w:pStyle w:val="156"/>
        <w:spacing w:line="360" w:lineRule="auto"/>
        <w:rPr>
          <w:rFonts w:hint="eastAsia" w:ascii="仿宋" w:hAnsi="仿宋" w:eastAsia="仿宋" w:cs="仿宋"/>
          <w:bCs w:val="0"/>
          <w:sz w:val="24"/>
          <w:szCs w:val="24"/>
        </w:rPr>
      </w:pPr>
    </w:p>
    <w:p w14:paraId="7D37BAC4">
      <w:pPr>
        <w:tabs>
          <w:tab w:val="left" w:pos="2986"/>
          <w:tab w:val="left" w:pos="5974"/>
        </w:tabs>
        <w:spacing w:after="18"/>
        <w:ind w:left="360"/>
        <w:jc w:val="left"/>
        <w:rPr>
          <w:rFonts w:hint="eastAsia" w:ascii="仿宋" w:hAnsi="仿宋" w:eastAsia="仿宋" w:cs="仿宋"/>
          <w:sz w:val="24"/>
          <w:szCs w:val="24"/>
        </w:rPr>
      </w:pPr>
      <w:r>
        <w:rPr>
          <w:rFonts w:hint="eastAsia" w:ascii="仿宋" w:hAnsi="仿宋" w:eastAsia="仿宋" w:cs="仿宋"/>
          <w:sz w:val="24"/>
          <w:szCs w:val="24"/>
        </w:rPr>
        <w:t>项目编</w:t>
      </w:r>
      <w:r>
        <w:rPr>
          <w:rFonts w:hint="eastAsia" w:ascii="仿宋" w:hAnsi="仿宋" w:eastAsia="仿宋" w:cs="仿宋"/>
          <w:spacing w:val="-3"/>
          <w:sz w:val="24"/>
          <w:szCs w:val="24"/>
        </w:rPr>
        <w:t>号</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pacing w:val="-3"/>
          <w:sz w:val="24"/>
          <w:szCs w:val="24"/>
        </w:rPr>
        <w:t>报价单位：</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币元</w:t>
      </w:r>
    </w:p>
    <w:tbl>
      <w:tblPr>
        <w:tblStyle w:val="46"/>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04"/>
        <w:gridCol w:w="1311"/>
        <w:gridCol w:w="2086"/>
        <w:gridCol w:w="1420"/>
        <w:gridCol w:w="1866"/>
      </w:tblGrid>
      <w:tr w14:paraId="4E0B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1654" w:type="pct"/>
            <w:noWrap w:val="0"/>
            <w:vAlign w:val="center"/>
          </w:tcPr>
          <w:p w14:paraId="5A65111A">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56" w:type="pct"/>
            <w:noWrap w:val="0"/>
            <w:vAlign w:val="center"/>
          </w:tcPr>
          <w:p w14:paraId="299EDB1D">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包号</w:t>
            </w:r>
          </w:p>
        </w:tc>
        <w:tc>
          <w:tcPr>
            <w:tcW w:w="1044" w:type="pct"/>
            <w:noWrap w:val="0"/>
            <w:vAlign w:val="center"/>
          </w:tcPr>
          <w:p w14:paraId="5C59BA02">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11" w:type="pct"/>
            <w:noWrap w:val="0"/>
            <w:vAlign w:val="center"/>
          </w:tcPr>
          <w:p w14:paraId="7926E690">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供货期限</w:t>
            </w:r>
          </w:p>
        </w:tc>
        <w:tc>
          <w:tcPr>
            <w:tcW w:w="932" w:type="pct"/>
            <w:noWrap w:val="0"/>
            <w:vAlign w:val="center"/>
          </w:tcPr>
          <w:p w14:paraId="43F768A3">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供货</w:t>
            </w:r>
            <w:r>
              <w:rPr>
                <w:rFonts w:hint="eastAsia" w:ascii="仿宋" w:hAnsi="仿宋" w:eastAsia="仿宋" w:cs="仿宋"/>
                <w:sz w:val="24"/>
                <w:szCs w:val="24"/>
              </w:rPr>
              <w:t>地点</w:t>
            </w:r>
          </w:p>
        </w:tc>
      </w:tr>
      <w:tr w14:paraId="43BE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trPr>
        <w:tc>
          <w:tcPr>
            <w:tcW w:w="1654" w:type="pct"/>
            <w:noWrap w:val="0"/>
            <w:vAlign w:val="center"/>
          </w:tcPr>
          <w:p w14:paraId="56B194F2">
            <w:pPr>
              <w:pStyle w:val="144"/>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p>
        </w:tc>
        <w:tc>
          <w:tcPr>
            <w:tcW w:w="656" w:type="pct"/>
            <w:noWrap w:val="0"/>
            <w:vAlign w:val="center"/>
          </w:tcPr>
          <w:p w14:paraId="6D4A9723">
            <w:pPr>
              <w:pStyle w:val="144"/>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1044" w:type="pct"/>
            <w:noWrap w:val="0"/>
            <w:vAlign w:val="center"/>
          </w:tcPr>
          <w:p w14:paraId="28706CD7">
            <w:pPr>
              <w:pStyle w:val="144"/>
              <w:keepNext w:val="0"/>
              <w:keepLines w:val="0"/>
              <w:suppressLineNumbers w:val="0"/>
              <w:spacing w:before="5" w:beforeAutospacing="0" w:after="0" w:afterAutospacing="0"/>
              <w:ind w:left="8" w:right="0"/>
              <w:jc w:val="center"/>
              <w:rPr>
                <w:rFonts w:hint="eastAsia" w:ascii="仿宋" w:hAnsi="仿宋" w:eastAsia="仿宋" w:cs="仿宋"/>
                <w:sz w:val="24"/>
                <w:szCs w:val="24"/>
                <w:lang w:eastAsia="zh-CN"/>
              </w:rPr>
            </w:pPr>
            <w:r>
              <w:rPr>
                <w:rFonts w:hint="eastAsia" w:ascii="仿宋" w:hAnsi="仿宋" w:eastAsia="仿宋" w:cs="仿宋"/>
                <w:sz w:val="24"/>
                <w:szCs w:val="24"/>
              </w:rPr>
              <w:t>满足</w:t>
            </w:r>
            <w:r>
              <w:rPr>
                <w:rFonts w:hint="eastAsia" w:ascii="仿宋" w:hAnsi="仿宋" w:eastAsia="仿宋" w:cs="仿宋"/>
                <w:sz w:val="24"/>
                <w:szCs w:val="24"/>
                <w:lang w:eastAsia="zh-CN"/>
              </w:rPr>
              <w:t>谈判</w:t>
            </w:r>
            <w:r>
              <w:rPr>
                <w:rFonts w:hint="eastAsia" w:ascii="仿宋" w:hAnsi="仿宋" w:eastAsia="仿宋" w:cs="仿宋"/>
                <w:sz w:val="24"/>
                <w:szCs w:val="24"/>
              </w:rPr>
              <w:t>文件要求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参考合同模板第三条</w:t>
            </w:r>
            <w:r>
              <w:rPr>
                <w:rFonts w:hint="eastAsia" w:ascii="仿宋" w:hAnsi="仿宋" w:eastAsia="仿宋" w:cs="仿宋"/>
                <w:sz w:val="24"/>
                <w:szCs w:val="24"/>
                <w:lang w:eastAsia="zh-CN"/>
              </w:rPr>
              <w:t>）</w:t>
            </w:r>
          </w:p>
        </w:tc>
        <w:tc>
          <w:tcPr>
            <w:tcW w:w="711" w:type="pct"/>
            <w:noWrap w:val="0"/>
            <w:vAlign w:val="center"/>
          </w:tcPr>
          <w:p w14:paraId="385E48A0">
            <w:pPr>
              <w:pStyle w:val="144"/>
              <w:keepNext w:val="0"/>
              <w:keepLines w:val="0"/>
              <w:suppressLineNumbers w:val="0"/>
              <w:spacing w:before="5" w:beforeAutospacing="0" w:after="0" w:afterAutospacing="0"/>
              <w:ind w:left="620" w:right="608"/>
              <w:jc w:val="center"/>
              <w:rPr>
                <w:rFonts w:hint="eastAsia" w:ascii="仿宋" w:hAnsi="仿宋" w:eastAsia="仿宋" w:cs="仿宋"/>
                <w:sz w:val="24"/>
                <w:szCs w:val="24"/>
              </w:rPr>
            </w:pPr>
          </w:p>
        </w:tc>
        <w:tc>
          <w:tcPr>
            <w:tcW w:w="932" w:type="pct"/>
            <w:noWrap w:val="0"/>
            <w:vAlign w:val="center"/>
          </w:tcPr>
          <w:p w14:paraId="068D389D">
            <w:pPr>
              <w:pStyle w:val="144"/>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14:paraId="24A5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1654" w:type="pct"/>
            <w:noWrap w:val="0"/>
            <w:vAlign w:val="top"/>
          </w:tcPr>
          <w:p w14:paraId="53020726">
            <w:pPr>
              <w:pStyle w:val="144"/>
              <w:keepNext w:val="0"/>
              <w:keepLines w:val="0"/>
              <w:suppressLineNumbers w:val="0"/>
              <w:spacing w:before="142" w:beforeAutospacing="0" w:after="0" w:afterAutospacing="0"/>
              <w:ind w:left="92" w:right="0"/>
              <w:rPr>
                <w:rFonts w:hint="eastAsia" w:ascii="仿宋" w:hAnsi="仿宋" w:eastAsia="仿宋" w:cs="仿宋"/>
                <w:sz w:val="24"/>
                <w:szCs w:val="24"/>
              </w:rPr>
            </w:pPr>
            <w:r>
              <w:rPr>
                <w:rFonts w:hint="eastAsia" w:ascii="仿宋" w:hAnsi="仿宋" w:eastAsia="仿宋" w:cs="仿宋"/>
                <w:sz w:val="24"/>
                <w:szCs w:val="24"/>
              </w:rPr>
              <w:t>投标总价：</w:t>
            </w:r>
          </w:p>
        </w:tc>
        <w:tc>
          <w:tcPr>
            <w:tcW w:w="3345" w:type="pct"/>
            <w:gridSpan w:val="4"/>
            <w:noWrap w:val="0"/>
            <w:vAlign w:val="top"/>
          </w:tcPr>
          <w:p w14:paraId="2FCFA957">
            <w:pPr>
              <w:pStyle w:val="144"/>
              <w:keepNext w:val="0"/>
              <w:keepLines w:val="0"/>
              <w:suppressLineNumbers w:val="0"/>
              <w:tabs>
                <w:tab w:val="left" w:pos="1837"/>
                <w:tab w:val="left" w:pos="2313"/>
                <w:tab w:val="left" w:pos="4040"/>
              </w:tabs>
              <w:spacing w:before="142"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3"/>
                <w:sz w:val="24"/>
                <w:szCs w:val="24"/>
              </w:rPr>
              <w:tab/>
            </w:r>
            <w:r>
              <w:rPr>
                <w:rFonts w:hint="eastAsia" w:ascii="仿宋" w:hAnsi="仿宋" w:eastAsia="仿宋" w:cs="仿宋"/>
                <w:spacing w:val="-3"/>
                <w:sz w:val="24"/>
                <w:szCs w:val="24"/>
              </w:rPr>
              <w:t>小</w:t>
            </w:r>
            <w:r>
              <w:rPr>
                <w:rFonts w:hint="eastAsia" w:ascii="仿宋" w:hAnsi="仿宋" w:eastAsia="仿宋" w:cs="仿宋"/>
                <w:spacing w:val="-1"/>
                <w:sz w:val="24"/>
                <w:szCs w:val="24"/>
              </w:rPr>
              <w:t>写</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tc>
      </w:tr>
      <w:tr w14:paraId="1346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1654" w:type="pct"/>
            <w:noWrap w:val="0"/>
            <w:vAlign w:val="top"/>
          </w:tcPr>
          <w:p w14:paraId="69C1E879">
            <w:pPr>
              <w:pStyle w:val="144"/>
              <w:keepNext w:val="0"/>
              <w:keepLines w:val="0"/>
              <w:suppressLineNumbers w:val="0"/>
              <w:spacing w:before="142" w:beforeAutospacing="0" w:after="0" w:afterAutospacing="0"/>
              <w:ind w:left="92" w:right="0"/>
              <w:rPr>
                <w:rFonts w:hint="eastAsia" w:ascii="仿宋" w:hAnsi="仿宋" w:eastAsia="仿宋" w:cs="仿宋"/>
                <w:sz w:val="24"/>
                <w:szCs w:val="24"/>
              </w:rPr>
            </w:pPr>
            <w:r>
              <w:rPr>
                <w:rFonts w:hint="eastAsia" w:ascii="仿宋" w:hAnsi="仿宋" w:eastAsia="仿宋" w:cs="仿宋"/>
                <w:sz w:val="24"/>
                <w:szCs w:val="24"/>
              </w:rPr>
              <w:t>备注：</w:t>
            </w:r>
          </w:p>
        </w:tc>
        <w:tc>
          <w:tcPr>
            <w:tcW w:w="3345" w:type="pct"/>
            <w:gridSpan w:val="4"/>
            <w:noWrap w:val="0"/>
            <w:vAlign w:val="top"/>
          </w:tcPr>
          <w:p w14:paraId="26F9048F">
            <w:pPr>
              <w:pStyle w:val="144"/>
              <w:keepNext w:val="0"/>
              <w:keepLines w:val="0"/>
              <w:suppressLineNumbers w:val="0"/>
              <w:tabs>
                <w:tab w:val="left" w:pos="1837"/>
                <w:tab w:val="left" w:pos="2313"/>
                <w:tab w:val="left" w:pos="4040"/>
              </w:tabs>
              <w:spacing w:before="142" w:beforeAutospacing="0" w:after="0" w:afterAutospacing="0"/>
              <w:ind w:left="107" w:right="0"/>
              <w:rPr>
                <w:rFonts w:hint="eastAsia" w:ascii="仿宋" w:hAnsi="仿宋" w:eastAsia="仿宋" w:cs="仿宋"/>
                <w:sz w:val="24"/>
                <w:szCs w:val="24"/>
              </w:rPr>
            </w:pPr>
          </w:p>
        </w:tc>
      </w:tr>
    </w:tbl>
    <w:p w14:paraId="1BB86CA9">
      <w:pPr>
        <w:spacing w:before="15"/>
        <w:ind w:left="360"/>
        <w:jc w:val="left"/>
        <w:rPr>
          <w:rFonts w:hint="eastAsia" w:ascii="仿宋" w:hAnsi="仿宋" w:eastAsia="仿宋" w:cs="仿宋"/>
          <w:sz w:val="24"/>
          <w:szCs w:val="24"/>
        </w:rPr>
      </w:pPr>
      <w:r>
        <w:rPr>
          <w:rFonts w:hint="eastAsia" w:ascii="仿宋" w:hAnsi="仿宋" w:eastAsia="仿宋" w:cs="仿宋"/>
          <w:sz w:val="24"/>
          <w:szCs w:val="24"/>
        </w:rPr>
        <w:t>注 1：本表中的总价应与分项报价表中的相应报价完全一致。</w:t>
      </w:r>
    </w:p>
    <w:p w14:paraId="2E2BB624">
      <w:pPr>
        <w:spacing w:before="2" w:line="244" w:lineRule="auto"/>
        <w:ind w:left="640" w:right="554"/>
        <w:jc w:val="left"/>
        <w:rPr>
          <w:rFonts w:hint="eastAsia" w:ascii="仿宋" w:hAnsi="仿宋" w:eastAsia="仿宋" w:cs="仿宋"/>
          <w:sz w:val="24"/>
          <w:szCs w:val="24"/>
        </w:rPr>
      </w:pPr>
      <w:r>
        <w:rPr>
          <w:rFonts w:hint="eastAsia" w:ascii="仿宋" w:hAnsi="仿宋" w:eastAsia="仿宋" w:cs="仿宋"/>
          <w:spacing w:val="-22"/>
          <w:sz w:val="24"/>
          <w:szCs w:val="24"/>
        </w:rPr>
        <w:t>2</w:t>
      </w:r>
      <w:r>
        <w:rPr>
          <w:rFonts w:hint="eastAsia" w:ascii="仿宋" w:hAnsi="仿宋" w:eastAsia="仿宋" w:cs="仿宋"/>
          <w:spacing w:val="-14"/>
          <w:sz w:val="24"/>
          <w:szCs w:val="24"/>
        </w:rPr>
        <w:t>：此表中，总价应是所投服务的费用总和，包括本项目采购需求和采购合同中要求的全部内容</w:t>
      </w:r>
      <w:r>
        <w:rPr>
          <w:rFonts w:hint="eastAsia" w:ascii="仿宋" w:hAnsi="仿宋" w:eastAsia="仿宋" w:cs="仿宋"/>
          <w:spacing w:val="-7"/>
          <w:sz w:val="24"/>
          <w:szCs w:val="24"/>
        </w:rPr>
        <w:t>。</w:t>
      </w:r>
    </w:p>
    <w:p w14:paraId="384EF3A4">
      <w:pPr>
        <w:spacing w:line="244" w:lineRule="auto"/>
        <w:ind w:left="640" w:right="497"/>
        <w:jc w:val="left"/>
        <w:rPr>
          <w:rFonts w:hint="eastAsia" w:ascii="仿宋" w:hAnsi="仿宋" w:eastAsia="仿宋" w:cs="仿宋"/>
          <w:sz w:val="24"/>
          <w:szCs w:val="24"/>
        </w:rPr>
      </w:pPr>
      <w:r>
        <w:rPr>
          <w:rFonts w:hint="eastAsia" w:ascii="仿宋" w:hAnsi="仿宋" w:eastAsia="仿宋" w:cs="仿宋"/>
          <w:sz w:val="24"/>
          <w:szCs w:val="24"/>
        </w:rPr>
        <w:t>3：如有优惠折扣申明，请在此表中列出。</w:t>
      </w:r>
    </w:p>
    <w:p w14:paraId="62E798EA">
      <w:pPr>
        <w:pStyle w:val="22"/>
        <w:tabs>
          <w:tab w:val="left" w:pos="9214"/>
        </w:tabs>
        <w:rPr>
          <w:rFonts w:hint="eastAsia" w:ascii="仿宋" w:hAnsi="仿宋" w:eastAsia="仿宋" w:cs="仿宋"/>
          <w:sz w:val="24"/>
          <w:szCs w:val="24"/>
        </w:rPr>
      </w:pPr>
    </w:p>
    <w:p w14:paraId="155EEE84">
      <w:pPr>
        <w:pStyle w:val="22"/>
        <w:tabs>
          <w:tab w:val="left" w:pos="9214"/>
        </w:tabs>
        <w:rPr>
          <w:rFonts w:hint="eastAsia" w:ascii="仿宋" w:hAnsi="仿宋" w:eastAsia="仿宋" w:cs="仿宋"/>
          <w:sz w:val="24"/>
          <w:szCs w:val="24"/>
        </w:rPr>
      </w:pPr>
    </w:p>
    <w:p w14:paraId="15703594">
      <w:pPr>
        <w:pStyle w:val="22"/>
        <w:tabs>
          <w:tab w:val="left" w:pos="9214"/>
        </w:tabs>
        <w:spacing w:before="11"/>
        <w:rPr>
          <w:rFonts w:hint="eastAsia" w:ascii="仿宋" w:hAnsi="仿宋" w:eastAsia="仿宋" w:cs="仿宋"/>
          <w:sz w:val="24"/>
          <w:szCs w:val="24"/>
        </w:rPr>
      </w:pPr>
    </w:p>
    <w:p w14:paraId="00AE2843">
      <w:pPr>
        <w:pStyle w:val="22"/>
        <w:tabs>
          <w:tab w:val="left" w:pos="1920"/>
          <w:tab w:val="left" w:pos="3840"/>
          <w:tab w:val="left" w:pos="9214"/>
        </w:tabs>
        <w:ind w:left="360" w:firstLine="720" w:firstLineChars="300"/>
        <w:jc w:val="left"/>
        <w:rPr>
          <w:rFonts w:hint="eastAsia" w:ascii="仿宋" w:hAnsi="仿宋" w:eastAsia="仿宋" w:cs="仿宋"/>
          <w:sz w:val="24"/>
          <w:szCs w:val="24"/>
        </w:rPr>
      </w:pPr>
      <w:r>
        <w:rPr>
          <w:rFonts w:hint="eastAsia" w:ascii="仿宋" w:hAnsi="仿宋" w:eastAsia="仿宋" w:cs="仿宋"/>
          <w:sz w:val="24"/>
          <w:szCs w:val="24"/>
          <w:lang w:eastAsia="zh-CN"/>
        </w:rPr>
        <w:t>供应商名称</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（公章）</w:t>
      </w:r>
      <w:r>
        <w:rPr>
          <w:rFonts w:hint="eastAsia" w:ascii="仿宋" w:hAnsi="仿宋" w:eastAsia="仿宋" w:cs="仿宋"/>
          <w:sz w:val="24"/>
          <w:szCs w:val="24"/>
          <w:u w:val="single"/>
        </w:rPr>
        <w:tab/>
      </w:r>
    </w:p>
    <w:p w14:paraId="34A8C9B2">
      <w:pPr>
        <w:pStyle w:val="22"/>
        <w:tabs>
          <w:tab w:val="left" w:pos="1560"/>
          <w:tab w:val="left" w:pos="2160"/>
          <w:tab w:val="left" w:pos="4320"/>
          <w:tab w:val="left" w:pos="6841"/>
          <w:tab w:val="left" w:pos="9214"/>
        </w:tabs>
        <w:spacing w:before="161" w:line="362" w:lineRule="auto"/>
        <w:ind w:left="1022" w:leftChars="471" w:right="3062" w:hanging="33" w:hangingChars="14"/>
        <w:jc w:val="left"/>
        <w:rPr>
          <w:rFonts w:hint="eastAsia" w:ascii="仿宋" w:hAnsi="仿宋" w:eastAsia="仿宋" w:cs="仿宋"/>
          <w:sz w:val="24"/>
          <w:szCs w:val="24"/>
          <w:u w:val="single"/>
        </w:rPr>
      </w:pPr>
      <w:r>
        <w:rPr>
          <w:rFonts w:hint="eastAsia" w:ascii="仿宋" w:hAnsi="仿宋" w:eastAsia="仿宋" w:cs="仿宋"/>
          <w:sz w:val="24"/>
          <w:szCs w:val="24"/>
        </w:rPr>
        <w:t>法定代表人或其授权代理人：</w:t>
      </w:r>
      <w:r>
        <w:rPr>
          <w:rFonts w:hint="eastAsia" w:ascii="仿宋" w:hAnsi="仿宋" w:eastAsia="仿宋" w:cs="仿宋"/>
          <w:sz w:val="24"/>
          <w:szCs w:val="24"/>
          <w:u w:val="single"/>
        </w:rPr>
        <w:t xml:space="preserve"> （签字或签章） </w:t>
      </w:r>
    </w:p>
    <w:p w14:paraId="33DAB2A4">
      <w:pPr>
        <w:pStyle w:val="22"/>
        <w:tabs>
          <w:tab w:val="left" w:pos="1560"/>
          <w:tab w:val="left" w:pos="2160"/>
          <w:tab w:val="left" w:pos="4320"/>
          <w:tab w:val="left" w:pos="6841"/>
          <w:tab w:val="left" w:pos="9214"/>
        </w:tabs>
        <w:spacing w:before="161" w:line="362" w:lineRule="auto"/>
        <w:ind w:left="1022" w:leftChars="471" w:right="3062" w:hanging="33" w:hangingChars="14"/>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F0AFCDF">
      <w:pPr>
        <w:pStyle w:val="157"/>
        <w:ind w:left="0" w:leftChars="0" w:firstLine="0" w:firstLineChars="0"/>
        <w:jc w:val="left"/>
        <w:rPr>
          <w:rFonts w:hint="eastAsia" w:ascii="仿宋" w:hAnsi="仿宋" w:eastAsia="仿宋" w:cs="仿宋"/>
          <w:sz w:val="24"/>
          <w:szCs w:val="24"/>
        </w:rPr>
      </w:pPr>
    </w:p>
    <w:p w14:paraId="5BBC111A">
      <w:pPr>
        <w:rPr>
          <w:rFonts w:hint="eastAsia" w:ascii="仿宋" w:hAnsi="仿宋" w:eastAsia="仿宋" w:cs="仿宋"/>
          <w:sz w:val="24"/>
          <w:szCs w:val="24"/>
        </w:rPr>
      </w:pPr>
    </w:p>
    <w:p w14:paraId="74FAAA18">
      <w:pPr>
        <w:pStyle w:val="14"/>
        <w:rPr>
          <w:rFonts w:hint="eastAsia" w:ascii="仿宋" w:hAnsi="仿宋" w:eastAsia="仿宋" w:cs="仿宋"/>
          <w:sz w:val="24"/>
          <w:szCs w:val="24"/>
        </w:rPr>
      </w:pPr>
    </w:p>
    <w:p w14:paraId="5B9B7698">
      <w:pPr>
        <w:rPr>
          <w:rFonts w:hint="eastAsia" w:ascii="仿宋" w:hAnsi="仿宋" w:eastAsia="仿宋" w:cs="仿宋"/>
          <w:sz w:val="24"/>
          <w:szCs w:val="24"/>
        </w:rPr>
      </w:pPr>
    </w:p>
    <w:p w14:paraId="055DB35E">
      <w:pPr>
        <w:pStyle w:val="14"/>
        <w:rPr>
          <w:rFonts w:hint="eastAsia" w:ascii="仿宋" w:hAnsi="仿宋" w:eastAsia="仿宋" w:cs="仿宋"/>
          <w:sz w:val="24"/>
          <w:szCs w:val="24"/>
        </w:rPr>
      </w:pPr>
    </w:p>
    <w:p w14:paraId="1BA778EF">
      <w:pPr>
        <w:rPr>
          <w:rFonts w:hint="eastAsia" w:ascii="仿宋" w:hAnsi="仿宋" w:eastAsia="仿宋" w:cs="仿宋"/>
          <w:sz w:val="24"/>
          <w:szCs w:val="24"/>
        </w:rPr>
      </w:pPr>
    </w:p>
    <w:p w14:paraId="7099CB93">
      <w:pPr>
        <w:pStyle w:val="14"/>
        <w:rPr>
          <w:rFonts w:hint="eastAsia" w:ascii="仿宋" w:hAnsi="仿宋" w:eastAsia="仿宋" w:cs="仿宋"/>
          <w:sz w:val="24"/>
          <w:szCs w:val="24"/>
        </w:rPr>
      </w:pPr>
    </w:p>
    <w:p w14:paraId="288928AF">
      <w:pPr>
        <w:rPr>
          <w:rFonts w:hint="eastAsia" w:ascii="仿宋" w:hAnsi="仿宋" w:eastAsia="仿宋" w:cs="仿宋"/>
          <w:sz w:val="24"/>
          <w:szCs w:val="24"/>
        </w:rPr>
      </w:pPr>
    </w:p>
    <w:p w14:paraId="525E2EA9">
      <w:pPr>
        <w:pStyle w:val="14"/>
        <w:rPr>
          <w:rFonts w:hint="eastAsia" w:ascii="仿宋" w:hAnsi="仿宋" w:eastAsia="仿宋" w:cs="仿宋"/>
          <w:sz w:val="24"/>
          <w:szCs w:val="24"/>
        </w:rPr>
      </w:pPr>
    </w:p>
    <w:p w14:paraId="64E52ACD">
      <w:pPr>
        <w:rPr>
          <w:rFonts w:hint="eastAsia" w:ascii="仿宋" w:hAnsi="仿宋" w:eastAsia="仿宋" w:cs="仿宋"/>
          <w:sz w:val="24"/>
          <w:szCs w:val="24"/>
        </w:rPr>
      </w:pPr>
    </w:p>
    <w:p w14:paraId="6B12CAEF">
      <w:pPr>
        <w:pStyle w:val="14"/>
        <w:rPr>
          <w:rFonts w:hint="eastAsia" w:ascii="仿宋" w:hAnsi="仿宋" w:eastAsia="仿宋" w:cs="仿宋"/>
          <w:sz w:val="24"/>
          <w:szCs w:val="24"/>
        </w:rPr>
      </w:pPr>
    </w:p>
    <w:p w14:paraId="66DF464E">
      <w:pPr>
        <w:rPr>
          <w:rFonts w:hint="eastAsia" w:ascii="仿宋" w:hAnsi="仿宋" w:eastAsia="仿宋" w:cs="仿宋"/>
          <w:sz w:val="24"/>
          <w:szCs w:val="24"/>
        </w:rPr>
      </w:pPr>
    </w:p>
    <w:p w14:paraId="19E11239">
      <w:pPr>
        <w:pStyle w:val="14"/>
        <w:rPr>
          <w:rFonts w:hint="eastAsia" w:ascii="仿宋" w:hAnsi="仿宋" w:eastAsia="仿宋" w:cs="仿宋"/>
          <w:sz w:val="24"/>
          <w:szCs w:val="24"/>
        </w:rPr>
      </w:pPr>
    </w:p>
    <w:p w14:paraId="59DCEBCF">
      <w:pPr>
        <w:rPr>
          <w:rFonts w:hint="eastAsia" w:ascii="仿宋" w:hAnsi="仿宋" w:eastAsia="仿宋" w:cs="仿宋"/>
          <w:sz w:val="21"/>
          <w:szCs w:val="21"/>
        </w:rPr>
      </w:pPr>
    </w:p>
    <w:p w14:paraId="096616AD">
      <w:pPr>
        <w:pStyle w:val="14"/>
        <w:rPr>
          <w:rFonts w:hint="eastAsia" w:ascii="仿宋" w:hAnsi="仿宋" w:eastAsia="仿宋" w:cs="仿宋"/>
          <w:sz w:val="21"/>
          <w:szCs w:val="21"/>
        </w:rPr>
      </w:pPr>
    </w:p>
    <w:p w14:paraId="30F6A11C">
      <w:pPr>
        <w:rPr>
          <w:rFonts w:hint="eastAsia" w:ascii="仿宋" w:hAnsi="仿宋" w:eastAsia="仿宋" w:cs="仿宋"/>
          <w:sz w:val="21"/>
          <w:szCs w:val="21"/>
        </w:rPr>
      </w:pPr>
    </w:p>
    <w:p w14:paraId="648B16D4">
      <w:pPr>
        <w:pStyle w:val="14"/>
        <w:rPr>
          <w:rFonts w:hint="eastAsia" w:ascii="仿宋" w:hAnsi="仿宋" w:eastAsia="仿宋" w:cs="仿宋"/>
          <w:sz w:val="21"/>
          <w:szCs w:val="21"/>
        </w:rPr>
      </w:pPr>
    </w:p>
    <w:tbl>
      <w:tblPr>
        <w:tblStyle w:val="46"/>
        <w:tblW w:w="10441" w:type="dxa"/>
        <w:tblInd w:w="96" w:type="dxa"/>
        <w:tblLayout w:type="fixed"/>
        <w:tblCellMar>
          <w:top w:w="0" w:type="dxa"/>
          <w:left w:w="108" w:type="dxa"/>
          <w:bottom w:w="0" w:type="dxa"/>
          <w:right w:w="108" w:type="dxa"/>
        </w:tblCellMar>
      </w:tblPr>
      <w:tblGrid>
        <w:gridCol w:w="664"/>
        <w:gridCol w:w="917"/>
        <w:gridCol w:w="877"/>
        <w:gridCol w:w="780"/>
        <w:gridCol w:w="1215"/>
        <w:gridCol w:w="855"/>
        <w:gridCol w:w="630"/>
        <w:gridCol w:w="791"/>
        <w:gridCol w:w="1110"/>
        <w:gridCol w:w="1197"/>
        <w:gridCol w:w="1319"/>
        <w:gridCol w:w="86"/>
      </w:tblGrid>
      <w:tr w14:paraId="10F01E42">
        <w:tblPrEx>
          <w:tblCellMar>
            <w:top w:w="0" w:type="dxa"/>
            <w:left w:w="108" w:type="dxa"/>
            <w:bottom w:w="0" w:type="dxa"/>
            <w:right w:w="108" w:type="dxa"/>
          </w:tblCellMar>
        </w:tblPrEx>
        <w:trPr>
          <w:gridAfter w:val="1"/>
          <w:wAfter w:w="86" w:type="dxa"/>
          <w:trHeight w:val="808" w:hRule="atLeast"/>
        </w:trPr>
        <w:tc>
          <w:tcPr>
            <w:tcW w:w="10355" w:type="dxa"/>
            <w:gridSpan w:val="11"/>
            <w:tcBorders>
              <w:top w:val="nil"/>
              <w:left w:val="nil"/>
              <w:bottom w:val="nil"/>
              <w:right w:val="nil"/>
            </w:tcBorders>
            <w:noWrap/>
            <w:vAlign w:val="center"/>
          </w:tcPr>
          <w:p w14:paraId="4552B0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pacing w:val="10"/>
                <w:kern w:val="0"/>
                <w:sz w:val="22"/>
                <w:szCs w:val="22"/>
              </w:rPr>
            </w:pPr>
            <w:r>
              <w:rPr>
                <w:rFonts w:hint="eastAsia" w:ascii="仿宋" w:hAnsi="仿宋" w:eastAsia="仿宋" w:cs="仿宋"/>
                <w:b/>
                <w:bCs/>
                <w:spacing w:val="10"/>
                <w:kern w:val="0"/>
                <w:sz w:val="32"/>
                <w:szCs w:val="32"/>
                <w:lang w:val="en-US" w:eastAsia="zh-CN"/>
              </w:rPr>
              <w:t xml:space="preserve"> </w:t>
            </w:r>
            <w:r>
              <w:rPr>
                <w:rFonts w:hint="eastAsia" w:ascii="仿宋" w:hAnsi="仿宋" w:eastAsia="仿宋" w:cs="仿宋"/>
                <w:b/>
                <w:bCs/>
                <w:spacing w:val="10"/>
                <w:kern w:val="0"/>
                <w:sz w:val="32"/>
                <w:szCs w:val="32"/>
              </w:rPr>
              <w:t>分项报价表</w:t>
            </w:r>
          </w:p>
        </w:tc>
      </w:tr>
      <w:tr w14:paraId="6F4FE3B6">
        <w:tblPrEx>
          <w:tblCellMar>
            <w:top w:w="0" w:type="dxa"/>
            <w:left w:w="108" w:type="dxa"/>
            <w:bottom w:w="0" w:type="dxa"/>
            <w:right w:w="108" w:type="dxa"/>
          </w:tblCellMar>
        </w:tblPrEx>
        <w:trPr>
          <w:trHeight w:val="760"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109519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31B0EB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货物</w:t>
            </w:r>
            <w:r>
              <w:rPr>
                <w:rFonts w:hint="eastAsia" w:ascii="仿宋" w:hAnsi="仿宋" w:eastAsia="仿宋" w:cs="仿宋"/>
                <w:color w:val="000000"/>
                <w:kern w:val="0"/>
                <w:sz w:val="24"/>
                <w:szCs w:val="24"/>
                <w:lang w:eastAsia="zh-CN" w:bidi="ar"/>
              </w:rPr>
              <w:t>名称</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CD352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5C5A7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eastAsia="zh-CN" w:bidi="ar"/>
              </w:rPr>
              <w:t>数量</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AFA3E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单价（元</w:t>
            </w:r>
            <w:r>
              <w:rPr>
                <w:rFonts w:hint="eastAsia" w:ascii="仿宋" w:hAnsi="仿宋" w:eastAsia="仿宋" w:cs="仿宋"/>
                <w:color w:val="000000"/>
                <w:kern w:val="0"/>
                <w:sz w:val="24"/>
                <w:szCs w:val="24"/>
                <w:lang w:val="en-US" w:eastAsia="zh-CN" w:bidi="ar"/>
              </w:rPr>
              <w:t>/含税</w:t>
            </w:r>
            <w:r>
              <w:rPr>
                <w:rFonts w:hint="eastAsia" w:ascii="仿宋" w:hAnsi="仿宋" w:eastAsia="仿宋" w:cs="仿宋"/>
                <w:color w:val="000000"/>
                <w:kern w:val="0"/>
                <w:sz w:val="24"/>
                <w:szCs w:val="24"/>
                <w:lang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808F7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eastAsia="zh-CN" w:bidi="ar"/>
              </w:rPr>
              <w:t>总价</w:t>
            </w:r>
          </w:p>
        </w:tc>
        <w:tc>
          <w:tcPr>
            <w:tcW w:w="630" w:type="dxa"/>
            <w:tcBorders>
              <w:top w:val="single" w:color="000000" w:sz="4" w:space="0"/>
              <w:left w:val="single" w:color="000000" w:sz="4" w:space="0"/>
              <w:bottom w:val="single" w:color="000000" w:sz="4" w:space="0"/>
              <w:right w:val="single" w:color="auto" w:sz="4" w:space="0"/>
            </w:tcBorders>
            <w:noWrap/>
            <w:vAlign w:val="center"/>
          </w:tcPr>
          <w:p w14:paraId="41D0D3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auto"/>
                <w:kern w:val="0"/>
                <w:sz w:val="24"/>
                <w:szCs w:val="24"/>
                <w:lang w:val="en-US" w:eastAsia="zh-CN" w:bidi="ar"/>
              </w:rPr>
              <w:t>生产厂家</w:t>
            </w:r>
          </w:p>
        </w:tc>
        <w:tc>
          <w:tcPr>
            <w:tcW w:w="791" w:type="dxa"/>
            <w:tcBorders>
              <w:top w:val="single" w:color="000000" w:sz="4" w:space="0"/>
              <w:left w:val="single" w:color="auto" w:sz="4" w:space="0"/>
              <w:bottom w:val="single" w:color="000000" w:sz="4" w:space="0"/>
              <w:right w:val="single" w:color="000000" w:sz="4" w:space="0"/>
            </w:tcBorders>
            <w:noWrap/>
            <w:vAlign w:val="center"/>
          </w:tcPr>
          <w:p w14:paraId="6AEB37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规格技术参数</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A0784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品牌</w:t>
            </w:r>
          </w:p>
        </w:tc>
        <w:tc>
          <w:tcPr>
            <w:tcW w:w="1197" w:type="dxa"/>
            <w:tcBorders>
              <w:top w:val="single" w:color="000000" w:sz="4" w:space="0"/>
              <w:left w:val="single" w:color="auto" w:sz="4" w:space="0"/>
              <w:bottom w:val="single" w:color="000000" w:sz="4" w:space="0"/>
              <w:right w:val="single" w:color="000000" w:sz="4" w:space="0"/>
            </w:tcBorders>
            <w:noWrap/>
            <w:vAlign w:val="center"/>
          </w:tcPr>
          <w:p w14:paraId="13E139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型号</w:t>
            </w: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60541E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备注</w:t>
            </w:r>
          </w:p>
        </w:tc>
      </w:tr>
      <w:tr w14:paraId="4903CDDD">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7487E2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A8180BE">
            <w:pPr>
              <w:keepNext w:val="0"/>
              <w:keepLines w:val="0"/>
              <w:widowControl/>
              <w:suppressLineNumbers w:val="0"/>
              <w:tabs>
                <w:tab w:val="left" w:pos="590"/>
              </w:tabs>
              <w:spacing w:before="0" w:beforeAutospacing="0" w:after="0" w:afterAutospacing="0"/>
              <w:ind w:left="0" w:right="0"/>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ab/>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9D719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E623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F386C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EC59EE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14864CD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74EA8C5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FF336D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633C5F3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45AC9AF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37C02B56">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2B7BEA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FE132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97C5C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72C6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D276D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9A3E01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7E2230D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481FF12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467FC62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1FF6B00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60C90E5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01CC1ABA">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552CA4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E5D30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A1BD8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9FF2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E8F8A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5B8513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7DD0EF4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0BF86840">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8C3F3F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43682BA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48AFF99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41B4C8D3">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041EF9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36D0D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A87CD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740F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53A41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B6D641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6BB62D1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741BE727">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463E5B7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5611C2F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0281B09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471A80C9">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267E89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83334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61828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2706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3E2EA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024777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5C8574D7">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77193711">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570CA489">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197EE970">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690191A1">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3B596C40">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7D8432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C8223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6D489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0A08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80223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F33BA9">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4B2DF667">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1EF6581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14DC513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2C379B2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70960C7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5DB881E0">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5EAAFD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1A4DA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BF2F0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9392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CF6F1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34ADF4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72E1879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26145DD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4689FB9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25D53F8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11A8C9B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71F46B29">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5BCC0A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5FD6C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97C63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3A8E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81E7D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5AB5CB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59962CF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3EC8DB6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41558DA9">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54FB8F6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1C977DF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0E89A319">
        <w:tblPrEx>
          <w:tblCellMar>
            <w:top w:w="0" w:type="dxa"/>
            <w:left w:w="108" w:type="dxa"/>
            <w:bottom w:w="0" w:type="dxa"/>
            <w:right w:w="108" w:type="dxa"/>
          </w:tblCellMar>
        </w:tblPrEx>
        <w:trPr>
          <w:trHeight w:val="616"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450528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D7A20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6EBB7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C4B3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EAA75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1467B60">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7FA4905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91" w:type="dxa"/>
            <w:tcBorders>
              <w:top w:val="single" w:color="000000" w:sz="4" w:space="0"/>
              <w:left w:val="single" w:color="auto" w:sz="4" w:space="0"/>
              <w:bottom w:val="single" w:color="000000" w:sz="4" w:space="0"/>
              <w:right w:val="single" w:color="000000" w:sz="4" w:space="0"/>
            </w:tcBorders>
            <w:noWrap/>
            <w:vAlign w:val="center"/>
          </w:tcPr>
          <w:p w14:paraId="0FD4F2D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856D000">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97" w:type="dxa"/>
            <w:tcBorders>
              <w:top w:val="single" w:color="000000" w:sz="4" w:space="0"/>
              <w:left w:val="single" w:color="auto" w:sz="4" w:space="0"/>
              <w:bottom w:val="single" w:color="000000" w:sz="4" w:space="0"/>
              <w:right w:val="single" w:color="000000" w:sz="4" w:space="0"/>
            </w:tcBorders>
            <w:noWrap/>
            <w:vAlign w:val="center"/>
          </w:tcPr>
          <w:p w14:paraId="32BCC780">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ign w:val="center"/>
          </w:tcPr>
          <w:p w14:paraId="3501A440">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14:paraId="3B21CD64">
        <w:tblPrEx>
          <w:tblCellMar>
            <w:top w:w="0" w:type="dxa"/>
            <w:left w:w="108" w:type="dxa"/>
            <w:bottom w:w="0" w:type="dxa"/>
            <w:right w:w="108" w:type="dxa"/>
          </w:tblCellMar>
        </w:tblPrEx>
        <w:trPr>
          <w:trHeight w:val="625" w:hRule="atLeast"/>
        </w:trPr>
        <w:tc>
          <w:tcPr>
            <w:tcW w:w="2458" w:type="dxa"/>
            <w:gridSpan w:val="3"/>
            <w:tcBorders>
              <w:top w:val="single" w:color="000000" w:sz="4" w:space="0"/>
              <w:left w:val="single" w:color="000000" w:sz="4" w:space="0"/>
              <w:bottom w:val="single" w:color="000000" w:sz="4" w:space="0"/>
              <w:right w:val="single" w:color="000000" w:sz="4" w:space="0"/>
            </w:tcBorders>
            <w:noWrap/>
            <w:vAlign w:val="center"/>
          </w:tcPr>
          <w:p w14:paraId="37E5CD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bidi="ar"/>
              </w:rPr>
              <w:t>总价</w:t>
            </w:r>
            <w:r>
              <w:rPr>
                <w:rFonts w:hint="eastAsia" w:ascii="仿宋" w:hAnsi="仿宋" w:eastAsia="仿宋" w:cs="仿宋"/>
                <w:color w:val="000000"/>
                <w:kern w:val="0"/>
                <w:sz w:val="24"/>
                <w:szCs w:val="24"/>
                <w:lang w:bidi="ar"/>
              </w:rPr>
              <w:t>合计（元/含税）</w:t>
            </w:r>
          </w:p>
        </w:tc>
        <w:tc>
          <w:tcPr>
            <w:tcW w:w="7983" w:type="dxa"/>
            <w:gridSpan w:val="9"/>
            <w:tcBorders>
              <w:top w:val="single" w:color="000000" w:sz="4" w:space="0"/>
              <w:left w:val="single" w:color="000000" w:sz="4" w:space="0"/>
              <w:bottom w:val="single" w:color="000000" w:sz="4" w:space="0"/>
              <w:right w:val="single" w:color="000000" w:sz="4" w:space="0"/>
            </w:tcBorders>
            <w:noWrap/>
            <w:vAlign w:val="center"/>
          </w:tcPr>
          <w:p w14:paraId="58D0C3CF">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bl>
    <w:p w14:paraId="2D9EFCBB">
      <w:pPr>
        <w:pStyle w:val="25"/>
        <w:ind w:hanging="540"/>
        <w:rPr>
          <w:rFonts w:hint="eastAsia" w:ascii="仿宋" w:hAnsi="仿宋" w:eastAsia="仿宋" w:cs="仿宋"/>
          <w:sz w:val="24"/>
          <w:szCs w:val="24"/>
        </w:rPr>
      </w:pPr>
    </w:p>
    <w:p w14:paraId="540AD91F">
      <w:pPr>
        <w:pStyle w:val="25"/>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如果按单价计算的结果与总价不一致</w:t>
      </w:r>
      <w:r>
        <w:rPr>
          <w:rFonts w:hint="eastAsia" w:ascii="仿宋" w:hAnsi="仿宋" w:eastAsia="仿宋" w:cs="仿宋"/>
          <w:sz w:val="24"/>
          <w:szCs w:val="24"/>
          <w:lang w:eastAsia="zh-CN"/>
        </w:rPr>
        <w:t>，</w:t>
      </w:r>
      <w:r>
        <w:rPr>
          <w:rFonts w:hint="eastAsia" w:ascii="仿宋" w:hAnsi="仿宋" w:eastAsia="仿宋" w:cs="仿宋"/>
          <w:sz w:val="24"/>
          <w:szCs w:val="24"/>
        </w:rPr>
        <w:t>以单价为准修正总价</w:t>
      </w:r>
      <w:r>
        <w:rPr>
          <w:rFonts w:hint="eastAsia" w:ascii="仿宋" w:hAnsi="仿宋" w:eastAsia="仿宋" w:cs="仿宋"/>
          <w:sz w:val="24"/>
          <w:szCs w:val="24"/>
          <w:lang w:eastAsia="zh-CN"/>
        </w:rPr>
        <w:t>；</w:t>
      </w:r>
    </w:p>
    <w:p w14:paraId="11ADDD37">
      <w:pPr>
        <w:pStyle w:val="25"/>
        <w:keepNext w:val="0"/>
        <w:keepLines w:val="0"/>
        <w:pageBreakBefore w:val="0"/>
        <w:widowControl w:val="0"/>
        <w:numPr>
          <w:ilvl w:val="0"/>
          <w:numId w:val="0"/>
        </w:numPr>
        <w:kinsoku/>
        <w:wordWrap/>
        <w:overflowPunct/>
        <w:topLinePunct w:val="0"/>
        <w:autoSpaceDE/>
        <w:autoSpaceDN/>
        <w:bidi w:val="0"/>
        <w:adjustRightInd w:val="0"/>
        <w:snapToGrid w:val="0"/>
        <w:ind w:firstLine="723" w:firstLineChars="3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如果不提供详细分项报价将视为没有实质性响应采购文件</w:t>
      </w:r>
      <w:r>
        <w:rPr>
          <w:rFonts w:hint="eastAsia" w:ascii="仿宋" w:hAnsi="仿宋" w:eastAsia="仿宋" w:cs="仿宋"/>
          <w:b/>
          <w:bCs/>
          <w:sz w:val="24"/>
          <w:szCs w:val="24"/>
          <w:lang w:eastAsia="zh-CN"/>
        </w:rPr>
        <w:t>；</w:t>
      </w:r>
    </w:p>
    <w:p w14:paraId="74E8E914">
      <w:pPr>
        <w:pStyle w:val="26"/>
        <w:numPr>
          <w:ilvl w:val="0"/>
          <w:numId w:val="0"/>
        </w:numPr>
        <w:ind w:firstLine="723" w:firstLineChars="300"/>
        <w:rPr>
          <w:rFonts w:hint="default" w:ascii="仿宋" w:hAnsi="仿宋" w:eastAsia="仿宋" w:cs="仿宋"/>
          <w:b/>
          <w:bCs/>
          <w:sz w:val="24"/>
          <w:szCs w:val="28"/>
          <w:lang w:val="en-US" w:eastAsia="zh-CN"/>
        </w:rPr>
      </w:pPr>
      <w:r>
        <w:rPr>
          <w:rFonts w:hint="eastAsia" w:ascii="仿宋" w:hAnsi="仿宋" w:eastAsia="仿宋" w:cs="仿宋"/>
          <w:b/>
          <w:bCs/>
          <w:sz w:val="24"/>
          <w:szCs w:val="28"/>
          <w:lang w:val="en-US" w:eastAsia="zh-CN"/>
        </w:rPr>
        <w:t>3.投标货物规格或尺寸必须明确，不能完全照抄招标文件中“采购需求”中货物的参数，否则，按废标处理；</w:t>
      </w:r>
    </w:p>
    <w:p w14:paraId="42102316">
      <w:pPr>
        <w:pStyle w:val="156"/>
        <w:adjustRightInd w:val="0"/>
        <w:snapToGrid w:val="0"/>
        <w:spacing w:before="0" w:after="0"/>
        <w:ind w:firstLine="26" w:firstLineChars="1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如果</w:t>
      </w:r>
      <w:r>
        <w:rPr>
          <w:rFonts w:hint="eastAsia" w:ascii="仿宋" w:hAnsi="仿宋" w:eastAsia="仿宋" w:cs="仿宋"/>
          <w:sz w:val="24"/>
          <w:szCs w:val="24"/>
          <w:lang w:eastAsia="zh-CN"/>
        </w:rPr>
        <w:t>谈判</w:t>
      </w:r>
      <w:r>
        <w:rPr>
          <w:rFonts w:hint="eastAsia" w:ascii="仿宋" w:hAnsi="仿宋" w:eastAsia="仿宋" w:cs="仿宋"/>
          <w:sz w:val="24"/>
          <w:szCs w:val="24"/>
        </w:rPr>
        <w:t>一览表（报价表）内容与响应文件中明细表内容不一致的，以</w:t>
      </w:r>
      <w:r>
        <w:rPr>
          <w:rFonts w:hint="eastAsia" w:ascii="仿宋" w:hAnsi="仿宋" w:eastAsia="仿宋" w:cs="仿宋"/>
          <w:sz w:val="24"/>
          <w:szCs w:val="24"/>
          <w:lang w:eastAsia="zh-CN"/>
        </w:rPr>
        <w:t>谈判</w:t>
      </w:r>
      <w:r>
        <w:rPr>
          <w:rFonts w:hint="eastAsia" w:ascii="仿宋" w:hAnsi="仿宋" w:eastAsia="仿宋" w:cs="仿宋"/>
          <w:sz w:val="24"/>
          <w:szCs w:val="24"/>
        </w:rPr>
        <w:t>一览表（报价表）内容为准。</w:t>
      </w:r>
    </w:p>
    <w:p w14:paraId="49DB8E4F">
      <w:pPr>
        <w:pStyle w:val="156"/>
        <w:adjustRightInd w:val="0"/>
        <w:snapToGrid w:val="0"/>
        <w:spacing w:before="0" w:after="0"/>
        <w:ind w:firstLine="543" w:firstLineChars="209"/>
        <w:rPr>
          <w:rFonts w:hint="eastAsia" w:ascii="仿宋" w:hAnsi="仿宋" w:eastAsia="仿宋" w:cs="仿宋"/>
          <w:b w:val="0"/>
          <w:bCs/>
          <w:color w:val="000000" w:themeColor="text1"/>
          <w:sz w:val="24"/>
          <w:szCs w:val="24"/>
          <w:lang w:val="en-US" w:eastAsia="zh-CN"/>
          <w14:textFill>
            <w14:solidFill>
              <w14:schemeClr w14:val="tx1"/>
            </w14:solidFill>
          </w14:textFill>
        </w:rPr>
      </w:pPr>
    </w:p>
    <w:p w14:paraId="6D09EEF3">
      <w:pPr>
        <w:pStyle w:val="156"/>
        <w:adjustRightInd w:val="0"/>
        <w:snapToGrid w:val="0"/>
        <w:spacing w:before="0" w:after="0"/>
        <w:ind w:firstLine="26" w:firstLineChars="10"/>
        <w:rPr>
          <w:rFonts w:hint="eastAsia" w:ascii="仿宋" w:hAnsi="仿宋" w:eastAsia="仿宋" w:cs="仿宋"/>
          <w:sz w:val="24"/>
          <w:szCs w:val="24"/>
        </w:rPr>
      </w:pPr>
    </w:p>
    <w:p w14:paraId="07006436">
      <w:pPr>
        <w:pStyle w:val="22"/>
        <w:tabs>
          <w:tab w:val="left" w:pos="1920"/>
          <w:tab w:val="left" w:pos="3840"/>
          <w:tab w:val="left" w:pos="9214"/>
        </w:tabs>
        <w:ind w:left="360" w:firstLine="720" w:firstLineChars="300"/>
        <w:jc w:val="left"/>
        <w:rPr>
          <w:rFonts w:hint="eastAsia" w:ascii="仿宋" w:hAnsi="仿宋" w:eastAsia="仿宋" w:cs="仿宋"/>
          <w:sz w:val="24"/>
          <w:szCs w:val="24"/>
        </w:rPr>
      </w:pPr>
      <w:r>
        <w:rPr>
          <w:rFonts w:hint="eastAsia" w:ascii="仿宋" w:hAnsi="仿宋" w:eastAsia="仿宋" w:cs="仿宋"/>
          <w:sz w:val="24"/>
          <w:szCs w:val="24"/>
          <w:lang w:eastAsia="zh-CN"/>
        </w:rPr>
        <w:t>供应商名称</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（公章）</w:t>
      </w:r>
      <w:r>
        <w:rPr>
          <w:rFonts w:hint="eastAsia" w:ascii="仿宋" w:hAnsi="仿宋" w:eastAsia="仿宋" w:cs="仿宋"/>
          <w:sz w:val="24"/>
          <w:szCs w:val="24"/>
          <w:u w:val="single"/>
        </w:rPr>
        <w:tab/>
      </w:r>
    </w:p>
    <w:p w14:paraId="59A1A281">
      <w:pPr>
        <w:pStyle w:val="22"/>
        <w:tabs>
          <w:tab w:val="left" w:pos="1560"/>
          <w:tab w:val="left" w:pos="2160"/>
          <w:tab w:val="left" w:pos="4320"/>
          <w:tab w:val="left" w:pos="6841"/>
          <w:tab w:val="left" w:pos="9214"/>
        </w:tabs>
        <w:spacing w:before="161" w:line="362" w:lineRule="auto"/>
        <w:ind w:left="1022" w:leftChars="471" w:right="3062" w:hanging="33" w:hangingChars="14"/>
        <w:jc w:val="left"/>
        <w:rPr>
          <w:rFonts w:hint="eastAsia" w:ascii="仿宋" w:hAnsi="仿宋" w:eastAsia="仿宋" w:cs="仿宋"/>
          <w:sz w:val="24"/>
          <w:szCs w:val="24"/>
          <w:u w:val="single"/>
        </w:rPr>
      </w:pPr>
      <w:r>
        <w:rPr>
          <w:rFonts w:hint="eastAsia" w:ascii="仿宋" w:hAnsi="仿宋" w:eastAsia="仿宋" w:cs="仿宋"/>
          <w:sz w:val="24"/>
          <w:szCs w:val="24"/>
        </w:rPr>
        <w:t>法定代表人或其授权代理人：</w:t>
      </w:r>
      <w:r>
        <w:rPr>
          <w:rFonts w:hint="eastAsia" w:ascii="仿宋" w:hAnsi="仿宋" w:eastAsia="仿宋" w:cs="仿宋"/>
          <w:sz w:val="24"/>
          <w:szCs w:val="24"/>
          <w:u w:val="single"/>
        </w:rPr>
        <w:t xml:space="preserve"> （签字</w:t>
      </w:r>
      <w:r>
        <w:rPr>
          <w:rFonts w:hint="eastAsia" w:ascii="仿宋" w:hAnsi="仿宋" w:eastAsia="仿宋" w:cs="仿宋"/>
          <w:sz w:val="24"/>
          <w:szCs w:val="24"/>
          <w:u w:val="single"/>
          <w:lang w:eastAsia="zh-CN"/>
        </w:rPr>
        <w:t>或</w:t>
      </w:r>
      <w:r>
        <w:rPr>
          <w:rFonts w:hint="eastAsia" w:ascii="仿宋" w:hAnsi="仿宋" w:eastAsia="仿宋" w:cs="仿宋"/>
          <w:sz w:val="24"/>
          <w:szCs w:val="24"/>
          <w:u w:val="single"/>
        </w:rPr>
        <w:t xml:space="preserve">签章） </w:t>
      </w:r>
    </w:p>
    <w:p w14:paraId="67CB529F">
      <w:pPr>
        <w:pStyle w:val="22"/>
        <w:tabs>
          <w:tab w:val="left" w:pos="1560"/>
          <w:tab w:val="left" w:pos="2160"/>
          <w:tab w:val="left" w:pos="4320"/>
          <w:tab w:val="left" w:pos="6841"/>
          <w:tab w:val="left" w:pos="9214"/>
        </w:tabs>
        <w:spacing w:before="161" w:line="362" w:lineRule="auto"/>
        <w:ind w:left="1022" w:leftChars="471" w:right="3062" w:hanging="33" w:hangingChars="14"/>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29DF224">
      <w:pPr>
        <w:pStyle w:val="156"/>
        <w:ind w:left="0" w:leftChars="0" w:firstLine="0" w:firstLineChars="0"/>
        <w:rPr>
          <w:rFonts w:hint="eastAsia" w:ascii="仿宋" w:hAnsi="仿宋" w:eastAsia="仿宋" w:cs="仿宋"/>
          <w:sz w:val="21"/>
          <w:szCs w:val="21"/>
        </w:rPr>
        <w:sectPr>
          <w:pgSz w:w="11910" w:h="16850"/>
          <w:pgMar w:top="1600" w:right="920" w:bottom="280" w:left="1080" w:header="720" w:footer="720" w:gutter="0"/>
          <w:pgNumType w:fmt="decimal"/>
          <w:cols w:space="720" w:num="1"/>
        </w:sectPr>
      </w:pPr>
    </w:p>
    <w:p w14:paraId="12618AE3">
      <w:pPr>
        <w:pStyle w:val="156"/>
        <w:spacing w:line="360" w:lineRule="auto"/>
        <w:ind w:left="0" w:leftChars="0" w:firstLine="0" w:firstLineChars="0"/>
        <w:jc w:val="center"/>
        <w:outlineLvl w:val="1"/>
        <w:rPr>
          <w:rFonts w:hint="eastAsia" w:ascii="仿宋" w:hAnsi="仿宋" w:eastAsia="仿宋" w:cs="仿宋"/>
          <w:b/>
          <w:sz w:val="32"/>
          <w:szCs w:val="32"/>
        </w:rPr>
      </w:pPr>
      <w:bookmarkStart w:id="195" w:name="_Toc507399518"/>
      <w:bookmarkStart w:id="196" w:name="_Toc14919"/>
      <w:bookmarkStart w:id="197" w:name="_Toc17951"/>
      <w:bookmarkStart w:id="198" w:name="_Toc25232"/>
      <w:bookmarkStart w:id="199" w:name="_Toc7125"/>
      <w:bookmarkStart w:id="200" w:name="_Toc12133"/>
      <w:bookmarkStart w:id="201" w:name="_Toc115436114"/>
      <w:bookmarkStart w:id="202" w:name="_Toc114589521"/>
      <w:r>
        <w:rPr>
          <w:rFonts w:hint="eastAsia" w:ascii="仿宋" w:hAnsi="仿宋" w:eastAsia="仿宋" w:cs="仿宋"/>
          <w:b/>
          <w:sz w:val="32"/>
          <w:szCs w:val="32"/>
        </w:rPr>
        <w:t xml:space="preserve">附件2 </w:t>
      </w:r>
      <w:bookmarkEnd w:id="195"/>
      <w:r>
        <w:rPr>
          <w:rFonts w:hint="eastAsia" w:ascii="仿宋" w:hAnsi="仿宋" w:eastAsia="仿宋" w:cs="仿宋"/>
          <w:b/>
          <w:sz w:val="32"/>
          <w:szCs w:val="32"/>
        </w:rPr>
        <w:t xml:space="preserve"> 资格、资信证明文件</w:t>
      </w:r>
      <w:bookmarkEnd w:id="196"/>
      <w:bookmarkEnd w:id="197"/>
      <w:bookmarkEnd w:id="198"/>
      <w:bookmarkEnd w:id="199"/>
      <w:bookmarkEnd w:id="200"/>
      <w:bookmarkEnd w:id="201"/>
      <w:bookmarkEnd w:id="202"/>
    </w:p>
    <w:p w14:paraId="2163A2F8">
      <w:pPr>
        <w:pStyle w:val="156"/>
        <w:spacing w:line="360" w:lineRule="auto"/>
        <w:jc w:val="center"/>
        <w:rPr>
          <w:rFonts w:hint="default" w:ascii="仿宋" w:hAnsi="仿宋" w:eastAsia="仿宋" w:cs="仿宋"/>
          <w:bCs w:val="0"/>
          <w:sz w:val="21"/>
          <w:szCs w:val="21"/>
          <w:lang w:val="en-US" w:eastAsia="zh-CN"/>
        </w:rPr>
      </w:pPr>
    </w:p>
    <w:p w14:paraId="7843DE45">
      <w:pPr>
        <w:pStyle w:val="156"/>
        <w:spacing w:line="360" w:lineRule="auto"/>
        <w:jc w:val="both"/>
        <w:outlineLvl w:val="2"/>
        <w:rPr>
          <w:rFonts w:hint="eastAsia" w:ascii="仿宋" w:hAnsi="仿宋" w:eastAsia="仿宋" w:cs="仿宋"/>
          <w:b/>
          <w:sz w:val="24"/>
          <w:szCs w:val="24"/>
        </w:rPr>
      </w:pPr>
      <w:bookmarkStart w:id="203" w:name="_Toc115436115"/>
      <w:bookmarkStart w:id="204" w:name="_Toc16896"/>
      <w:bookmarkStart w:id="205" w:name="_Toc17699"/>
      <w:bookmarkStart w:id="206" w:name="_Toc12660"/>
      <w:bookmarkStart w:id="207" w:name="_Toc114589522"/>
      <w:bookmarkStart w:id="208" w:name="_Toc507399520"/>
      <w:r>
        <w:rPr>
          <w:rFonts w:hint="eastAsia" w:ascii="仿宋" w:hAnsi="仿宋" w:eastAsia="仿宋" w:cs="仿宋"/>
          <w:b/>
          <w:sz w:val="24"/>
          <w:szCs w:val="24"/>
        </w:rPr>
        <w:t>附件 2-1 法人或者非法人组织的营业执照等证明文件或自然人的身份证明复印件</w:t>
      </w:r>
      <w:r>
        <w:rPr>
          <w:rFonts w:hint="eastAsia" w:ascii="仿宋" w:hAnsi="仿宋" w:eastAsia="仿宋" w:cs="仿宋"/>
          <w:b/>
          <w:sz w:val="24"/>
          <w:szCs w:val="24"/>
          <w:lang w:eastAsia="zh-CN"/>
        </w:rPr>
        <w:t>；</w:t>
      </w:r>
      <w:bookmarkEnd w:id="203"/>
      <w:bookmarkEnd w:id="204"/>
      <w:bookmarkEnd w:id="205"/>
      <w:bookmarkEnd w:id="206"/>
      <w:bookmarkEnd w:id="207"/>
    </w:p>
    <w:p w14:paraId="1E204AD0">
      <w:pPr>
        <w:pStyle w:val="22"/>
        <w:tabs>
          <w:tab w:val="left" w:pos="9214"/>
        </w:tabs>
        <w:rPr>
          <w:rFonts w:hint="eastAsia" w:ascii="仿宋" w:hAnsi="仿宋" w:eastAsia="仿宋" w:cs="仿宋"/>
          <w:b/>
          <w:sz w:val="24"/>
          <w:szCs w:val="24"/>
        </w:rPr>
      </w:pPr>
    </w:p>
    <w:p w14:paraId="62331D20">
      <w:pPr>
        <w:pStyle w:val="22"/>
        <w:tabs>
          <w:tab w:val="left" w:pos="9214"/>
        </w:tabs>
        <w:spacing w:before="12"/>
        <w:rPr>
          <w:rFonts w:hint="eastAsia" w:ascii="仿宋" w:hAnsi="仿宋" w:eastAsia="仿宋" w:cs="仿宋"/>
          <w:b/>
          <w:sz w:val="24"/>
          <w:szCs w:val="24"/>
        </w:rPr>
      </w:pPr>
    </w:p>
    <w:p w14:paraId="044768D3">
      <w:pPr>
        <w:pStyle w:val="22"/>
        <w:tabs>
          <w:tab w:val="left" w:pos="9214"/>
        </w:tabs>
        <w:spacing w:line="374" w:lineRule="auto"/>
        <w:ind w:right="1145"/>
        <w:rPr>
          <w:rFonts w:hint="eastAsia" w:ascii="仿宋" w:hAnsi="仿宋" w:eastAsia="仿宋" w:cs="仿宋"/>
          <w:sz w:val="24"/>
          <w:szCs w:val="24"/>
        </w:rPr>
      </w:pPr>
      <w:r>
        <w:rPr>
          <w:rFonts w:hint="eastAsia" w:ascii="仿宋" w:hAnsi="仿宋" w:eastAsia="仿宋" w:cs="仿宋"/>
          <w:sz w:val="24"/>
          <w:szCs w:val="24"/>
        </w:rPr>
        <w:t>说明：1.提供有效的营业执照等证明文件复印件，复印件上应加盖本单位公章。</w:t>
      </w:r>
    </w:p>
    <w:p w14:paraId="44AF2561">
      <w:pPr>
        <w:pStyle w:val="22"/>
        <w:tabs>
          <w:tab w:val="left" w:pos="9214"/>
        </w:tabs>
        <w:spacing w:line="374" w:lineRule="auto"/>
        <w:ind w:right="1145" w:firstLine="720" w:firstLineChars="300"/>
        <w:rPr>
          <w:rFonts w:hint="eastAsia" w:ascii="仿宋" w:hAnsi="仿宋" w:eastAsia="仿宋" w:cs="仿宋"/>
          <w:sz w:val="24"/>
          <w:szCs w:val="24"/>
        </w:rPr>
      </w:pPr>
      <w:bookmarkStart w:id="209" w:name="_Toc27013"/>
      <w:bookmarkStart w:id="210" w:name="_Toc1278"/>
      <w:r>
        <w:rPr>
          <w:rFonts w:hint="eastAsia" w:ascii="仿宋" w:hAnsi="仿宋" w:eastAsia="仿宋" w:cs="仿宋"/>
          <w:sz w:val="24"/>
          <w:szCs w:val="24"/>
        </w:rPr>
        <w:t>2.</w:t>
      </w:r>
      <w:r>
        <w:rPr>
          <w:rFonts w:hint="eastAsia" w:ascii="仿宋" w:hAnsi="仿宋" w:eastAsia="仿宋" w:cs="仿宋"/>
          <w:sz w:val="24"/>
          <w:szCs w:val="24"/>
          <w:lang w:eastAsia="zh-CN"/>
        </w:rPr>
        <w:t>投标供应商</w:t>
      </w:r>
      <w:r>
        <w:rPr>
          <w:rFonts w:hint="eastAsia" w:ascii="仿宋" w:hAnsi="仿宋" w:eastAsia="仿宋" w:cs="仿宋"/>
          <w:sz w:val="24"/>
          <w:szCs w:val="24"/>
        </w:rPr>
        <w:t>为自然人的，应提供身份证明的复印件。</w:t>
      </w:r>
      <w:bookmarkEnd w:id="209"/>
      <w:bookmarkEnd w:id="210"/>
    </w:p>
    <w:p w14:paraId="0DA2F35B">
      <w:pPr>
        <w:pStyle w:val="22"/>
        <w:tabs>
          <w:tab w:val="left" w:pos="1560"/>
          <w:tab w:val="left" w:pos="2040"/>
          <w:tab w:val="left" w:pos="9214"/>
        </w:tabs>
        <w:spacing w:before="66"/>
        <w:ind w:firstLine="720" w:firstLineChars="300"/>
        <w:rPr>
          <w:rFonts w:hint="eastAsia" w:ascii="仿宋" w:hAnsi="仿宋" w:eastAsia="仿宋" w:cs="仿宋"/>
          <w:sz w:val="24"/>
          <w:szCs w:val="24"/>
        </w:rPr>
      </w:pPr>
      <w:bookmarkStart w:id="211" w:name="_Toc18314"/>
      <w:bookmarkStart w:id="212" w:name="_Toc3454"/>
      <w:r>
        <w:rPr>
          <w:rFonts w:hint="eastAsia" w:ascii="仿宋" w:hAnsi="仿宋" w:eastAsia="仿宋" w:cs="仿宋"/>
          <w:sz w:val="24"/>
          <w:szCs w:val="24"/>
        </w:rPr>
        <w:t>3.联合体投标应提供联合体各方满足以上要求的证明文件。</w:t>
      </w:r>
      <w:bookmarkEnd w:id="211"/>
      <w:bookmarkEnd w:id="212"/>
    </w:p>
    <w:p w14:paraId="72F267C3">
      <w:pPr>
        <w:pStyle w:val="156"/>
        <w:spacing w:line="360" w:lineRule="auto"/>
        <w:rPr>
          <w:rFonts w:hint="eastAsia" w:ascii="仿宋" w:hAnsi="仿宋" w:eastAsia="仿宋" w:cs="仿宋"/>
          <w:b/>
          <w:sz w:val="24"/>
          <w:szCs w:val="24"/>
        </w:rPr>
      </w:pPr>
    </w:p>
    <w:p w14:paraId="77D5744F">
      <w:pPr>
        <w:pStyle w:val="156"/>
        <w:spacing w:line="360" w:lineRule="auto"/>
        <w:rPr>
          <w:rFonts w:hint="eastAsia" w:ascii="仿宋" w:hAnsi="仿宋" w:eastAsia="仿宋" w:cs="仿宋"/>
          <w:b/>
          <w:sz w:val="24"/>
          <w:szCs w:val="24"/>
        </w:rPr>
        <w:sectPr>
          <w:pgSz w:w="11906" w:h="16838"/>
          <w:pgMar w:top="1440" w:right="1800" w:bottom="1440" w:left="1800" w:header="851" w:footer="992" w:gutter="0"/>
          <w:pgNumType w:fmt="decimal"/>
          <w:cols w:space="720" w:num="1"/>
          <w:docGrid w:type="lines" w:linePitch="312" w:charSpace="0"/>
        </w:sectPr>
      </w:pPr>
    </w:p>
    <w:bookmarkEnd w:id="208"/>
    <w:p w14:paraId="7D01FB8E">
      <w:pPr>
        <w:pStyle w:val="156"/>
        <w:spacing w:line="360" w:lineRule="auto"/>
        <w:jc w:val="center"/>
        <w:outlineLvl w:val="2"/>
        <w:rPr>
          <w:rFonts w:hint="eastAsia" w:ascii="仿宋" w:hAnsi="仿宋" w:eastAsia="仿宋" w:cs="仿宋"/>
          <w:b/>
          <w:sz w:val="32"/>
          <w:szCs w:val="32"/>
        </w:rPr>
      </w:pPr>
      <w:bookmarkStart w:id="213" w:name="_Toc211"/>
      <w:bookmarkStart w:id="214" w:name="_Toc7147"/>
      <w:bookmarkStart w:id="215" w:name="_Toc115436116"/>
      <w:bookmarkStart w:id="216" w:name="_Toc22050"/>
      <w:bookmarkStart w:id="217" w:name="_Toc114589523"/>
      <w:bookmarkStart w:id="218" w:name="_Toc15036"/>
      <w:r>
        <w:rPr>
          <w:rFonts w:hint="eastAsia" w:ascii="仿宋" w:hAnsi="仿宋" w:eastAsia="仿宋" w:cs="仿宋"/>
          <w:b/>
          <w:sz w:val="32"/>
          <w:szCs w:val="32"/>
        </w:rPr>
        <w:t>附件 2-2 法定代表人</w:t>
      </w:r>
      <w:r>
        <w:rPr>
          <w:rFonts w:hint="eastAsia" w:ascii="仿宋" w:hAnsi="仿宋" w:eastAsia="仿宋" w:cs="仿宋"/>
          <w:b/>
          <w:sz w:val="32"/>
          <w:szCs w:val="32"/>
          <w:lang w:eastAsia="zh-CN"/>
        </w:rPr>
        <w:t>身份证明书（</w:t>
      </w:r>
      <w:r>
        <w:rPr>
          <w:rFonts w:hint="eastAsia" w:ascii="仿宋" w:hAnsi="仿宋" w:eastAsia="仿宋" w:cs="仿宋"/>
          <w:b/>
          <w:sz w:val="32"/>
          <w:szCs w:val="32"/>
        </w:rPr>
        <w:t>统一格式，自然人投标的无需提供</w:t>
      </w:r>
      <w:r>
        <w:rPr>
          <w:rFonts w:hint="eastAsia" w:ascii="仿宋" w:hAnsi="仿宋" w:eastAsia="仿宋" w:cs="仿宋"/>
          <w:b/>
          <w:sz w:val="32"/>
          <w:szCs w:val="32"/>
          <w:lang w:eastAsia="zh-CN"/>
        </w:rPr>
        <w:t>）</w:t>
      </w:r>
      <w:bookmarkEnd w:id="213"/>
      <w:bookmarkEnd w:id="214"/>
      <w:bookmarkEnd w:id="215"/>
      <w:bookmarkEnd w:id="216"/>
      <w:bookmarkEnd w:id="217"/>
      <w:bookmarkEnd w:id="218"/>
    </w:p>
    <w:p w14:paraId="19B1EBC8">
      <w:pPr>
        <w:pStyle w:val="6"/>
        <w:bidi w:val="0"/>
        <w:jc w:val="center"/>
        <w:rPr>
          <w:rFonts w:hint="eastAsia" w:ascii="仿宋" w:hAnsi="仿宋" w:eastAsia="仿宋" w:cs="仿宋"/>
          <w:sz w:val="24"/>
          <w:szCs w:val="24"/>
        </w:rPr>
      </w:pPr>
      <w:r>
        <w:rPr>
          <w:rFonts w:hint="eastAsia" w:ascii="仿宋" w:hAnsi="仿宋" w:eastAsia="仿宋" w:cs="仿宋"/>
          <w:sz w:val="24"/>
          <w:szCs w:val="24"/>
          <w:lang w:val="zh-CN"/>
        </w:rPr>
        <w:t>法定代表人身份证明书</w:t>
      </w:r>
    </w:p>
    <w:p w14:paraId="02A5399A">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14:paraId="2F7B735C">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p>
    <w:p w14:paraId="60111480">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14:paraId="026B68E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w:t>
      </w:r>
    </w:p>
    <w:p w14:paraId="4009868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61595</wp:posOffset>
                </wp:positionV>
                <wp:extent cx="2619375" cy="1704975"/>
                <wp:effectExtent l="7620" t="7620" r="20955" b="20955"/>
                <wp:wrapNone/>
                <wp:docPr id="11"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265A420">
                            <w:pPr>
                              <w:jc w:val="center"/>
                            </w:pPr>
                          </w:p>
                          <w:p w14:paraId="1359030F">
                            <w:pPr>
                              <w:jc w:val="center"/>
                            </w:pPr>
                          </w:p>
                          <w:p w14:paraId="6E24D1DE">
                            <w:pPr>
                              <w:jc w:val="center"/>
                              <w:rPr>
                                <w:rFonts w:hint="eastAsia" w:ascii="仿宋" w:hAnsi="仿宋" w:eastAsia="仿宋" w:cs="仿宋"/>
                                <w:sz w:val="24"/>
                                <w:szCs w:val="22"/>
                              </w:rPr>
                            </w:pPr>
                            <w:r>
                              <w:rPr>
                                <w:rFonts w:hint="eastAsia" w:ascii="仿宋" w:hAnsi="仿宋" w:eastAsia="仿宋" w:cs="仿宋"/>
                                <w:sz w:val="24"/>
                                <w:szCs w:val="22"/>
                              </w:rPr>
                              <w:t>法定代表人身份证反面</w:t>
                            </w:r>
                          </w:p>
                          <w:p w14:paraId="1E93D4C1">
                            <w:pPr>
                              <w:jc w:val="center"/>
                            </w:pPr>
                          </w:p>
                        </w:txbxContent>
                      </wps:txbx>
                      <wps:bodyPr wrap="square" upright="1"/>
                    </wps:wsp>
                  </a:graphicData>
                </a:graphic>
              </wp:anchor>
            </w:drawing>
          </mc:Choice>
          <mc:Fallback>
            <w:pict>
              <v:shape id="文本框 2" o:spid="_x0000_s1026" o:spt="202" type="#_x0000_t202" style="position:absolute;left:0pt;margin-left:208.3pt;margin-top:4.85pt;height:134.25pt;width:206.25pt;z-index:251661312;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KsHXJUwIAANwEAAAOAAAAZHJzL2Uyb0RvYy54bWytVMuu&#10;0zAQ3SPxD5b3NE3hvqqmV4Jy2SBAXBBrN3ESS35hu036A/AHrNiw57v6HRw7aSkXCXVBFsnYHs+c&#10;c2Ymi9teSbLlzgujC5pPppRwXZpK6KagHz/cPbmmxAemKyaN5gXdcU9vl48fLTo75zPTGllxRxBE&#10;+3lnC9qGYOdZ5suWK+YnxnKNw9o4xQKWrskqxzpEVzKbTaeXWWdcZZ0puffYXQ2HdIzozglo6lqU&#10;fGXKjeI6DFEdlyyAkm+F9XSZ0NY1L8PbuvY8EFlQMA3pjSSw1/GdLRds3jhmW1GOENg5EB5wUkxo&#10;JD2GWrHAyMaJv0IpUTrjTR0mpVHZQCQpAhb59IE29y2zPHGB1N4eRff/L2z5ZvvOEVGhE3JKNFOo&#10;+P7b1/33n/sfX8gs6tNZP4fbvYVj6J+bHr6HfY/NSLuvnYpfECI4h7q7o7q8D6TE5uwyv3l6dUFJ&#10;ibP8avrsBgvEz35ft86HV9woEo2COpQvqcq2r30YXA8uo9jVnZCSOBM+idAmvWLedOhxZzCINZBs&#10;2PauWb+QjmwZOuIuPSOIxp9659P4pEj/vgL4zSGVFJqwOEdjYwUh+XuQGKCjzRLcmEZq0kGFi+sk&#10;CMMc1ehfaKMsauF1M2Q2Uhyv/AEjoUtZkN+fukWBVsy3A8N0FAmyuRKBu2S1nFUvdUXCzqLcGmNO&#10;IxrFK0okx18hWskzMCHP8QQIqWMSnmZurFbsnKFDohX6dY+g0Vybaodu6jB3IPt5wxwQbKwTTYuy&#10;p+7Koh+aPvXHOKBxqk7XsE9/Ss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tK0R9cAAAAJAQAA&#10;DwAAAAAAAAABACAAAAAiAAAAZHJzL2Rvd25yZXYueG1sUEsBAhQAFAAAAAgAh07iQIqwdclTAgAA&#10;3AQAAA4AAAAAAAAAAQAgAAAAJgEAAGRycy9lMm9Eb2MueG1sUEsFBgAAAAAGAAYAWQEAAOsFAAAA&#10;AA==&#10;">
                <v:fill type="gradient" on="t" color2="#FFFFFF" angle="90" focus="100%" focussize="0,0">
                  <o:fill type="gradientUnscaled" v:ext="backwardCompatible"/>
                </v:fill>
                <v:stroke weight="1.25pt" color="#000000" joinstyle="miter"/>
                <v:imagedata o:title=""/>
                <o:lock v:ext="edit" aspectratio="f"/>
                <v:textbox>
                  <w:txbxContent>
                    <w:p w14:paraId="3265A420">
                      <w:pPr>
                        <w:jc w:val="center"/>
                      </w:pPr>
                    </w:p>
                    <w:p w14:paraId="1359030F">
                      <w:pPr>
                        <w:jc w:val="center"/>
                      </w:pPr>
                    </w:p>
                    <w:p w14:paraId="6E24D1DE">
                      <w:pPr>
                        <w:jc w:val="center"/>
                        <w:rPr>
                          <w:rFonts w:hint="eastAsia" w:ascii="仿宋" w:hAnsi="仿宋" w:eastAsia="仿宋" w:cs="仿宋"/>
                          <w:sz w:val="24"/>
                          <w:szCs w:val="22"/>
                        </w:rPr>
                      </w:pPr>
                      <w:r>
                        <w:rPr>
                          <w:rFonts w:hint="eastAsia" w:ascii="仿宋" w:hAnsi="仿宋" w:eastAsia="仿宋" w:cs="仿宋"/>
                          <w:sz w:val="24"/>
                          <w:szCs w:val="22"/>
                        </w:rPr>
                        <w:t>法定代表人身份证反面</w:t>
                      </w:r>
                    </w:p>
                    <w:p w14:paraId="1E93D4C1">
                      <w:pPr>
                        <w:jc w:val="center"/>
                      </w:pP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85090</wp:posOffset>
                </wp:positionV>
                <wp:extent cx="2619375" cy="1704975"/>
                <wp:effectExtent l="7620" t="7620" r="20955" b="20955"/>
                <wp:wrapNone/>
                <wp:docPr id="12"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28A7B248">
                            <w:pPr>
                              <w:jc w:val="center"/>
                            </w:pPr>
                          </w:p>
                          <w:p w14:paraId="3D076375">
                            <w:pPr>
                              <w:jc w:val="center"/>
                            </w:pPr>
                          </w:p>
                          <w:p w14:paraId="290E6A8D">
                            <w:pPr>
                              <w:jc w:val="center"/>
                              <w:rPr>
                                <w:rFonts w:hint="eastAsia" w:ascii="仿宋" w:hAnsi="仿宋" w:eastAsia="仿宋" w:cs="仿宋"/>
                                <w:sz w:val="24"/>
                                <w:szCs w:val="22"/>
                              </w:rPr>
                            </w:pPr>
                            <w:r>
                              <w:rPr>
                                <w:rFonts w:hint="eastAsia" w:ascii="仿宋" w:hAnsi="仿宋" w:eastAsia="仿宋" w:cs="仿宋"/>
                                <w:sz w:val="24"/>
                                <w:szCs w:val="22"/>
                              </w:rPr>
                              <w:t>法定代表人身份证正面</w:t>
                            </w:r>
                          </w:p>
                        </w:txbxContent>
                      </wps:txbx>
                      <wps:bodyPr wrap="square" upright="1"/>
                    </wps:wsp>
                  </a:graphicData>
                </a:graphic>
              </wp:anchor>
            </w:drawing>
          </mc:Choice>
          <mc:Fallback>
            <w:pict>
              <v:shape id="文本框 1" o:spid="_x0000_s1026" o:spt="202" type="#_x0000_t202" style="position:absolute;left:0pt;margin-left:-5.9pt;margin-top:6.7pt;height:134.25pt;width:206.25pt;z-index:251660288;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SXbmdVMCAADcBAAADgAAAGRycy9lMm9Eb2MueG1srVTL&#10;rtMwEN0j8Q+W9zRN4b6qpleCctkgQFwQazdxEkt+YbtN+gPwB6zYsOe7+h0cO2kpFwl1QRbJ2B7P&#10;nHNmJovbXkmy5c4LowuaT6aUcF2aSuimoB8/3D25psQHpismjeYF3XFPb5ePHy06O+cz0xpZcUcQ&#10;RPt5ZwvahmDnWebLlivmJ8ZyjcPaOMUClq7JKsc6RFcym02nl1lnXGWdKbn32F0Nh3SM6M4JaOpa&#10;lHxlyo3iOgxRHZcsgJJvhfV0mdDWNS/D27r2PBBZUDAN6Y0ksNfxnS0XbN44ZltRjhDYORAecFJM&#10;aCQ9hlqxwMjGib9CKVE6400dJqVR2UAkKQIW+fSBNvctszxxgdTeHkX3/y9s+Wb7zhFRoRNmlGim&#10;UPH9t6/77z/3P76QPOrTWT+H272FY+ifmx6+h32PzUi7r52KXxAiOIe6u6O6vA+kxObsMr95enVB&#10;SYmz/Gr67AYLxM9+X7fOh1fcKBKNgjqUL6nKtq99GFwPLqPY1Z2QkjgTPonQJr1i3nTocWcwiDWQ&#10;bNj2rlm/kI5sGTriLj0jiMafeufT+KRI/74C+M0hlRSasDhHY2MFIfl7kBigo80S3JhGatJBhYvr&#10;JAjDHNXoX2ijLGrhdTNkNlIcr/wBI6FLWZDfn7pFgVbMtwPDdBQJsrkSgbtktZxVL3VFws6i3Bpj&#10;TiMaxStKJMdfIVrJMzAhz/EECKljEp5mbqxW7JyhQ6IV+nWPoNFcm2qHbuowdyD7ecMcEGysE02L&#10;sqfuyqIfmj71xzigcapO17BPf0r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Mc8nrYAAAACgEA&#10;AA8AAAAAAAAAAQAgAAAAIgAAAGRycy9kb3ducmV2LnhtbFBLAQIUABQAAAAIAIdO4kBJduZ1UwIA&#10;ANwEAAAOAAAAAAAAAAEAIAAAACcBAABkcnMvZTJvRG9jLnhtbFBLBQYAAAAABgAGAFkBAADsBQAA&#10;AAA=&#10;">
                <v:fill type="gradient" on="t" color2="#FFFFFF" angle="90" focus="100%" focussize="0,0">
                  <o:fill type="gradientUnscaled" v:ext="backwardCompatible"/>
                </v:fill>
                <v:stroke weight="1.25pt" color="#000000" joinstyle="miter"/>
                <v:imagedata o:title=""/>
                <o:lock v:ext="edit" aspectratio="f"/>
                <v:textbox>
                  <w:txbxContent>
                    <w:p w14:paraId="28A7B248">
                      <w:pPr>
                        <w:jc w:val="center"/>
                      </w:pPr>
                    </w:p>
                    <w:p w14:paraId="3D076375">
                      <w:pPr>
                        <w:jc w:val="center"/>
                      </w:pPr>
                    </w:p>
                    <w:p w14:paraId="290E6A8D">
                      <w:pPr>
                        <w:jc w:val="center"/>
                        <w:rPr>
                          <w:rFonts w:hint="eastAsia" w:ascii="仿宋" w:hAnsi="仿宋" w:eastAsia="仿宋" w:cs="仿宋"/>
                          <w:sz w:val="24"/>
                          <w:szCs w:val="22"/>
                        </w:rPr>
                      </w:pPr>
                      <w:r>
                        <w:rPr>
                          <w:rFonts w:hint="eastAsia" w:ascii="仿宋" w:hAnsi="仿宋" w:eastAsia="仿宋" w:cs="仿宋"/>
                          <w:sz w:val="24"/>
                          <w:szCs w:val="22"/>
                        </w:rPr>
                        <w:t>法定代表人身份证正面</w:t>
                      </w:r>
                    </w:p>
                  </w:txbxContent>
                </v:textbox>
              </v:shape>
            </w:pict>
          </mc:Fallback>
        </mc:AlternateContent>
      </w:r>
    </w:p>
    <w:p w14:paraId="2D2C8E7F">
      <w:pPr>
        <w:spacing w:line="360" w:lineRule="auto"/>
        <w:rPr>
          <w:rFonts w:hint="eastAsia" w:ascii="仿宋" w:hAnsi="仿宋" w:eastAsia="仿宋" w:cs="仿宋"/>
          <w:color w:val="auto"/>
          <w:sz w:val="24"/>
          <w:szCs w:val="24"/>
        </w:rPr>
      </w:pPr>
    </w:p>
    <w:p w14:paraId="1B4E0768">
      <w:pPr>
        <w:spacing w:line="360" w:lineRule="auto"/>
        <w:rPr>
          <w:rFonts w:hint="eastAsia" w:ascii="仿宋" w:hAnsi="仿宋" w:eastAsia="仿宋" w:cs="仿宋"/>
          <w:color w:val="auto"/>
          <w:sz w:val="24"/>
          <w:szCs w:val="24"/>
        </w:rPr>
      </w:pPr>
    </w:p>
    <w:p w14:paraId="50319A10">
      <w:pPr>
        <w:spacing w:line="360" w:lineRule="auto"/>
        <w:rPr>
          <w:rFonts w:hint="eastAsia" w:ascii="仿宋" w:hAnsi="仿宋" w:eastAsia="仿宋" w:cs="仿宋"/>
          <w:color w:val="auto"/>
          <w:sz w:val="24"/>
          <w:szCs w:val="24"/>
        </w:rPr>
      </w:pPr>
    </w:p>
    <w:p w14:paraId="2261D8EB">
      <w:pPr>
        <w:spacing w:line="360" w:lineRule="auto"/>
        <w:rPr>
          <w:rFonts w:hint="eastAsia" w:ascii="仿宋" w:hAnsi="仿宋" w:eastAsia="仿宋" w:cs="仿宋"/>
          <w:color w:val="auto"/>
          <w:sz w:val="24"/>
          <w:szCs w:val="24"/>
        </w:rPr>
      </w:pPr>
    </w:p>
    <w:p w14:paraId="7CBFA999">
      <w:pPr>
        <w:spacing w:line="360" w:lineRule="auto"/>
        <w:rPr>
          <w:rFonts w:hint="eastAsia" w:ascii="仿宋" w:hAnsi="仿宋" w:eastAsia="仿宋" w:cs="仿宋"/>
          <w:color w:val="auto"/>
          <w:sz w:val="24"/>
          <w:szCs w:val="24"/>
        </w:rPr>
      </w:pPr>
    </w:p>
    <w:p w14:paraId="792DD2CB">
      <w:pPr>
        <w:spacing w:line="360" w:lineRule="auto"/>
        <w:rPr>
          <w:rFonts w:hint="eastAsia" w:ascii="仿宋" w:hAnsi="仿宋" w:eastAsia="仿宋" w:cs="仿宋"/>
          <w:color w:val="auto"/>
          <w:sz w:val="24"/>
          <w:szCs w:val="24"/>
        </w:rPr>
      </w:pPr>
    </w:p>
    <w:p w14:paraId="561AFA6F">
      <w:pPr>
        <w:spacing w:line="360" w:lineRule="auto"/>
        <w:rPr>
          <w:rFonts w:hint="eastAsia" w:ascii="仿宋" w:hAnsi="仿宋" w:eastAsia="仿宋" w:cs="仿宋"/>
          <w:color w:val="auto"/>
          <w:sz w:val="24"/>
          <w:szCs w:val="24"/>
        </w:rPr>
      </w:pPr>
    </w:p>
    <w:p w14:paraId="31DEB19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（单位公章）</w:t>
      </w:r>
    </w:p>
    <w:p w14:paraId="6FAF1AB9">
      <w:pPr>
        <w:spacing w:line="360" w:lineRule="auto"/>
        <w:rPr>
          <w:rFonts w:hint="eastAsia" w:ascii="仿宋" w:hAnsi="仿宋" w:eastAsia="仿宋" w:cs="仿宋"/>
          <w:color w:val="auto"/>
          <w:sz w:val="24"/>
          <w:szCs w:val="24"/>
        </w:rPr>
      </w:pPr>
    </w:p>
    <w:p w14:paraId="7A28EF3F">
      <w:pPr>
        <w:spacing w:line="360" w:lineRule="auto"/>
        <w:rPr>
          <w:rFonts w:hint="eastAsia" w:ascii="仿宋" w:hAnsi="仿宋" w:eastAsia="仿宋" w:cs="仿宋"/>
          <w:color w:val="auto"/>
          <w:sz w:val="24"/>
          <w:szCs w:val="24"/>
        </w:rPr>
      </w:pPr>
    </w:p>
    <w:p w14:paraId="4530BACD">
      <w:pPr>
        <w:spacing w:line="360" w:lineRule="auto"/>
        <w:rPr>
          <w:rFonts w:hint="eastAsia" w:ascii="仿宋" w:hAnsi="仿宋" w:eastAsia="仿宋" w:cs="仿宋"/>
          <w:color w:val="auto"/>
          <w:sz w:val="24"/>
          <w:szCs w:val="24"/>
        </w:rPr>
      </w:pPr>
    </w:p>
    <w:p w14:paraId="2A06777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B0C7E2F">
      <w:pPr>
        <w:spacing w:line="400" w:lineRule="exact"/>
        <w:rPr>
          <w:rFonts w:hint="eastAsia" w:ascii="仿宋" w:hAnsi="仿宋" w:eastAsia="仿宋" w:cs="仿宋"/>
          <w:color w:val="auto"/>
          <w:sz w:val="24"/>
          <w:szCs w:val="24"/>
        </w:rPr>
      </w:pPr>
    </w:p>
    <w:p w14:paraId="00BD2D57">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br w:type="page"/>
      </w:r>
    </w:p>
    <w:p w14:paraId="1ECC1DA5">
      <w:pPr>
        <w:pStyle w:val="6"/>
        <w:bidi w:val="0"/>
        <w:jc w:val="center"/>
        <w:rPr>
          <w:rFonts w:hint="eastAsia" w:ascii="仿宋" w:hAnsi="仿宋" w:eastAsia="仿宋" w:cs="仿宋"/>
          <w:sz w:val="32"/>
          <w:szCs w:val="32"/>
        </w:rPr>
      </w:pPr>
      <w:bookmarkStart w:id="219" w:name="_Toc23575"/>
      <w:bookmarkStart w:id="220" w:name="_Toc13321"/>
      <w:bookmarkStart w:id="221" w:name="_Toc32628"/>
      <w:bookmarkStart w:id="222" w:name="_Toc32721"/>
      <w:r>
        <w:rPr>
          <w:rFonts w:hint="eastAsia" w:ascii="仿宋" w:hAnsi="仿宋" w:eastAsia="仿宋" w:cs="仿宋"/>
          <w:sz w:val="32"/>
          <w:szCs w:val="32"/>
          <w:lang w:val="en-US" w:eastAsia="zh-CN"/>
        </w:rPr>
        <w:t>附件 2-3 、</w:t>
      </w:r>
      <w:r>
        <w:rPr>
          <w:rFonts w:hint="eastAsia" w:ascii="仿宋" w:hAnsi="仿宋" w:eastAsia="仿宋" w:cs="仿宋"/>
          <w:sz w:val="32"/>
          <w:szCs w:val="32"/>
        </w:rPr>
        <w:t>法定代表人授权书格式</w:t>
      </w:r>
      <w:bookmarkEnd w:id="219"/>
      <w:bookmarkEnd w:id="220"/>
      <w:bookmarkEnd w:id="221"/>
      <w:bookmarkEnd w:id="222"/>
    </w:p>
    <w:p w14:paraId="286240F2">
      <w:pPr>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（采购人）</w:t>
      </w:r>
      <w:r>
        <w:rPr>
          <w:rFonts w:hint="eastAsia" w:ascii="仿宋" w:hAnsi="仿宋" w:eastAsia="仿宋" w:cs="仿宋"/>
          <w:color w:val="auto"/>
          <w:sz w:val="24"/>
          <w:szCs w:val="24"/>
          <w:u w:val="single"/>
        </w:rPr>
        <w:t>：</w:t>
      </w:r>
    </w:p>
    <w:p w14:paraId="0E4653F4">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(投标单位名称)法定代表人授权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为本公司的合法代理人，参加贵方组织的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采购活动，全权代表我方处理</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活动中的一切事宜和签署一切文件，被授权人无转委托权，特此委托。</w:t>
      </w:r>
    </w:p>
    <w:p w14:paraId="24499EA6">
      <w:pPr>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委托期限</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自</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日</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日</w:t>
      </w:r>
    </w:p>
    <w:p w14:paraId="74FBBC7F">
      <w:pPr>
        <w:ind w:firstLine="588" w:firstLineChars="245"/>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被授权人姓名：</w:t>
      </w:r>
      <w:r>
        <w:rPr>
          <w:rFonts w:hint="eastAsia" w:ascii="仿宋" w:hAnsi="仿宋" w:eastAsia="仿宋" w:cs="仿宋"/>
          <w:color w:val="auto"/>
          <w:sz w:val="24"/>
          <w:szCs w:val="24"/>
          <w:u w:val="single"/>
        </w:rPr>
        <w:t xml:space="preserve">                 </w:t>
      </w:r>
    </w:p>
    <w:p w14:paraId="4F0F2EEA">
      <w:pPr>
        <w:ind w:firstLine="588" w:firstLineChars="245"/>
        <w:rPr>
          <w:rFonts w:hint="eastAsia"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6C9FB82D">
      <w:pPr>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2783205</wp:posOffset>
                </wp:positionH>
                <wp:positionV relativeFrom="paragraph">
                  <wp:posOffset>131445</wp:posOffset>
                </wp:positionV>
                <wp:extent cx="2619375" cy="1381760"/>
                <wp:effectExtent l="7620" t="7620" r="20955" b="20320"/>
                <wp:wrapNone/>
                <wp:docPr id="14" name="文本框 5"/>
                <wp:cNvGraphicFramePr/>
                <a:graphic xmlns:a="http://schemas.openxmlformats.org/drawingml/2006/main">
                  <a:graphicData uri="http://schemas.microsoft.com/office/word/2010/wordprocessingShape">
                    <wps:wsp>
                      <wps:cNvSpPr txBox="1"/>
                      <wps:spPr>
                        <a:xfrm>
                          <a:off x="0" y="0"/>
                          <a:ext cx="2619375" cy="13817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5F892F8A">
                            <w:pPr>
                              <w:jc w:val="center"/>
                            </w:pPr>
                          </w:p>
                          <w:p w14:paraId="7C5E3D12">
                            <w:pPr>
                              <w:jc w:val="center"/>
                            </w:pPr>
                          </w:p>
                          <w:p w14:paraId="3D0B158D">
                            <w:pPr>
                              <w:jc w:val="center"/>
                              <w:rPr>
                                <w:rFonts w:hint="eastAsia" w:ascii="仿宋" w:hAnsi="仿宋" w:eastAsia="仿宋" w:cs="仿宋"/>
                                <w:sz w:val="24"/>
                                <w:szCs w:val="22"/>
                              </w:rPr>
                            </w:pPr>
                            <w:r>
                              <w:rPr>
                                <w:rFonts w:hint="eastAsia" w:ascii="仿宋" w:hAnsi="仿宋" w:eastAsia="仿宋" w:cs="仿宋"/>
                                <w:sz w:val="24"/>
                                <w:szCs w:val="22"/>
                              </w:rPr>
                              <w:t>被委托人身份证正面</w:t>
                            </w:r>
                          </w:p>
                        </w:txbxContent>
                      </wps:txbx>
                      <wps:bodyPr wrap="square" upright="1"/>
                    </wps:wsp>
                  </a:graphicData>
                </a:graphic>
              </wp:anchor>
            </w:drawing>
          </mc:Choice>
          <mc:Fallback>
            <w:pict>
              <v:shape id="文本框 5" o:spid="_x0000_s1026" o:spt="202" type="#_x0000_t202" style="position:absolute;left:0pt;margin-left:219.15pt;margin-top:10.35pt;height:108.8pt;width:206.25pt;z-index:251663360;mso-width-relative:page;mso-height-relative:page;" fillcolor="#FFFFFF" filled="t" stroked="t" coordsize="21600,21600" o:gfxdata="UEsDBAoAAAAAAIdO4kAAAAAAAAAAAAAAAAAEAAAAZHJzL1BLAwQUAAAACACHTuJA6+xLTdcAAAAK&#10;AQAADwAAAGRycy9kb3ducmV2LnhtbE2PzU7DMBCE70i8g7VIXBC1k1IahTgVqsQDUKJydeMljuqf&#10;yHabwtOzPcFxZz7NzjSbi7PsjDGNwUsoFgIY+j7o0Q8Suo+3xwpYysprZYNHCd+YYNPe3jSq1mH2&#10;73je5YFRiE+1kmBynmrOU2/QqbQIE3ryvkJ0KtMZB66jmincWV4K8cydGj19MGrCrcH+uDs5CSv7&#10;WRYxb6f5wbx2R9x36/1PJ+X9XSFegGW85D8YrvWpOrTU6RBOXidmJTwtqyWhEkqxBkZAtRK05UDC&#10;1eFtw/9PaH8BUEsDBBQAAAAIAIdO4kDqgy4qVQIAANwEAAAOAAAAZHJzL2Uyb0RvYy54bWytVMuu&#10;0zAQ3SPxD5b3NG0v7S1V2ytBKRsEiAti7SZOYskvbLdJfwD+gBUb9nxXv4NjJy3lIqEu6CKdeMZn&#10;5pyZyeKuVZLsufPC6CUdDYaUcJ2bQuhqST9+2DyZUeID0wWTRvMlPXBP71aPHy0aO+djUxtZcEcA&#10;ov28sUtah2DnWebzmivmB8ZyDWdpnGIBr67KCscaoCuZjYfDadYYV1hncu49Ttedk/aI7hpAU5Yi&#10;52uT7xTXoUN1XLIASr4W1tNVqrYseR7elqXngcglBdOQnkgCexuf2WrB5pVjthZ5XwK7poQHnBQT&#10;GknPUGsWGNk58ReUErkz3pRhkBuVdUSSImAxGj7Q5r5mlicukNrbs+j+/8Hmb/bvHBEFJuEpJZop&#10;dPz47evx+8/jjy9kEvVprJ8j7N4iMLTPTYvY07nHYaTdlk7FfxAi8EPdw1ld3gaS43A8HT27uZ1Q&#10;ksM3upmNbqdJ/+z3det8eMWNItFYUof2JVXZ/rUPKAWhp5Be7GIjpCTOhE8i1EmvmDc5Pe50BrEG&#10;knXH3lXbF9KRPcNEbNIvkgFy5S+jR8P4S0j/vpJu9qmk0ITFPeoHKwjJ34NEn8CxVG5MIzVpoMJk&#10;lgRh2KMS8wttlEUvvK66zEaK85U/ykjVneTzl2FRoDXzdccwubopVyJwh0rYvOaseKkLEg4W7dZY&#10;cxqrUbygRHJ8FaKVIgMT8ppIiCB1hOZp5/puxcnpJiRaod22AI3m1hQHTFODvQPZzzvmUMHOOlHV&#10;aHuarizGYei71nQLGrfq8h325Udp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r7EtN1wAAAAoB&#10;AAAPAAAAAAAAAAEAIAAAACIAAABkcnMvZG93bnJldi54bWxQSwECFAAUAAAACACHTuJA6oMuKlUC&#10;AADcBAAADgAAAAAAAAABACAAAAAmAQAAZHJzL2Uyb0RvYy54bWxQSwUGAAAAAAYABgBZAQAA7QUA&#10;AAAA&#10;">
                <v:fill type="gradient" on="t" color2="#FFFFFF" angle="90" focus="100%" focussize="0,0">
                  <o:fill type="gradientUnscaled" v:ext="backwardCompatible"/>
                </v:fill>
                <v:stroke weight="1.25pt" color="#000000" joinstyle="miter"/>
                <v:imagedata o:title=""/>
                <o:lock v:ext="edit" aspectratio="f"/>
                <v:textbox>
                  <w:txbxContent>
                    <w:p w14:paraId="5F892F8A">
                      <w:pPr>
                        <w:jc w:val="center"/>
                      </w:pPr>
                    </w:p>
                    <w:p w14:paraId="7C5E3D12">
                      <w:pPr>
                        <w:jc w:val="center"/>
                      </w:pPr>
                    </w:p>
                    <w:p w14:paraId="3D0B158D">
                      <w:pPr>
                        <w:jc w:val="center"/>
                        <w:rPr>
                          <w:rFonts w:hint="eastAsia" w:ascii="仿宋" w:hAnsi="仿宋" w:eastAsia="仿宋" w:cs="仿宋"/>
                          <w:sz w:val="24"/>
                          <w:szCs w:val="22"/>
                        </w:rPr>
                      </w:pPr>
                      <w:r>
                        <w:rPr>
                          <w:rFonts w:hint="eastAsia" w:ascii="仿宋" w:hAnsi="仿宋" w:eastAsia="仿宋" w:cs="仿宋"/>
                          <w:sz w:val="24"/>
                          <w:szCs w:val="22"/>
                        </w:rPr>
                        <w:t>被委托人身份证正面</w:t>
                      </w: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87630</wp:posOffset>
                </wp:positionV>
                <wp:extent cx="2619375" cy="1448435"/>
                <wp:effectExtent l="7620" t="7620"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43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091763EE">
                            <w:pPr>
                              <w:jc w:val="center"/>
                            </w:pPr>
                          </w:p>
                          <w:p w14:paraId="1C18B0EC">
                            <w:pPr>
                              <w:jc w:val="center"/>
                            </w:pPr>
                          </w:p>
                          <w:p w14:paraId="5342BC64">
                            <w:pPr>
                              <w:jc w:val="center"/>
                              <w:rPr>
                                <w:rFonts w:hint="eastAsia" w:ascii="仿宋" w:hAnsi="仿宋" w:eastAsia="仿宋" w:cs="仿宋"/>
                                <w:sz w:val="24"/>
                                <w:szCs w:val="22"/>
                              </w:rPr>
                            </w:pPr>
                            <w:r>
                              <w:rPr>
                                <w:rFonts w:hint="eastAsia" w:ascii="仿宋" w:hAnsi="仿宋" w:eastAsia="仿宋" w:cs="仿宋"/>
                                <w:sz w:val="24"/>
                                <w:szCs w:val="22"/>
                              </w:rPr>
                              <w:t>法定代表人身份证正面</w:t>
                            </w:r>
                          </w:p>
                        </w:txbxContent>
                      </wps:txbx>
                      <wps:bodyPr wrap="square" upright="1"/>
                    </wps:wsp>
                  </a:graphicData>
                </a:graphic>
              </wp:anchor>
            </w:drawing>
          </mc:Choice>
          <mc:Fallback>
            <w:pict>
              <v:shape id="文本框 4" o:spid="_x0000_s1026" o:spt="202" type="#_x0000_t202" style="position:absolute;left:0pt;margin-left:0.9pt;margin-top:6.9pt;height:114.05pt;width:206.25pt;z-index:251662336;mso-width-relative:page;mso-height-relative:page;" fillcolor="#FFFFFF" filled="t" stroked="t" coordsize="21600,21600" o:gfxdata="UEsDBAoAAAAAAIdO4kAAAAAAAAAAAAAAAAAEAAAAZHJzL1BLAwQUAAAACACHTuJA6NPzYdUAAAAI&#10;AQAADwAAAGRycy9kb3ducmV2LnhtbE2PzU7DMBCE70i8g7VIXFDrOA0UQpwKVeIBKFG5uvESR/VP&#10;ZLtN4elZTnAajWY1+02zuTjLzhjTGLwEsSyAoe+DHv0goXt/XTwCS1l5rWzwKOELE2za66tG1TrM&#10;/g3PuzwwKvGpVhJMzlPNeeoNOpWWYUJP2WeITmWyceA6qpnKneVlUTxwp0ZPH4yacGuwP+5OTsK9&#10;/ShFzNtpvjMv3RH33Xr/3Ul5eyOKZ2AZL/nvGH7xCR1aYjqEk9eJWfIEnklWpBRXoloBO0goK/EE&#10;vG34/wHtD1BLAwQUAAAACACHTuJACd5sTlQCAADcBAAADgAAAGRycy9lMm9Eb2MueG1srVTLrtMw&#10;EN0j8Q+W9zR9Xi5R0ytBKRsEiAti7TpOYskvPG6T/gD8ASs27PmufgdjJy3lIqEu6CKdeMYz55yZ&#10;yfKu04rshQdpTUEnozElwnBbSlMX9OOHzZNbSiAwUzJljSjoQQC9Wz1+tGxdLqa2saoUnmASA3nr&#10;CtqE4PIsA94IzWBknTDorKzXLOCrr7PSsxaza5VNx+ObrLW+dN5yAYCn695Jh4z+moS2qiQXa8t3&#10;WpjQZ/VCsYCUoJEO6CqhrSrBw9uqAhGIKigyDemJRdDexme2WrK89sw1kg8Q2DUQHnDSTBosek61&#10;ZoGRnZd/pdKSewu2CiNuddYTSYogi8n4gTb3DXMicUGpwZ1Fh/+Xlr/Zv/NEljgJM0oM09jx47ev&#10;x+8/jz++kHnUp3WQY9i9w8DQPbcdxp7OAQ8j7a7yOv4jIYJ+VPdwVld0gXA8nN5Mns2eLijh6JvM&#10;57fz2SLmyX5fdx7CK2E1iUZBPbYvqcr2ryH0oaeQQexyI5Ui3oZPMjRJr1g3OQHv9AZxFiXrj8HX&#10;2xfKkz3Didik3wCihsvoyTj+UqZ/X0H49amUkoawuEfDYAWpxHsk0UPHMUtwYxllSIsqLG6TIAz3&#10;qML5RW20w16AqfvKVsnzlT9gJHSpCtaHy7Ao0JpB0zNMrkiQ5VoG4ZPVCFa+NCUJB4ftNrjmNKLR&#10;oqRECfwqRCtFBibVNZEIQplYRKSdG7oVJ6efkGiFbtth0mhubXnAaWpx75Ds5x3ziGDnvKwbbHua&#10;rizG4dCn+RgWNG7V5Tvalx+l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o0/Nh1QAAAAgBAAAP&#10;AAAAAAAAAAEAIAAAACIAAABkcnMvZG93bnJldi54bWxQSwECFAAUAAAACACHTuJACd5sTlQCAADc&#10;BAAADgAAAAAAAAABACAAAAAkAQAAZHJzL2Uyb0RvYy54bWxQSwUGAAAAAAYABgBZAQAA6gUAAAAA&#10;">
                <v:fill type="gradient" on="t" color2="#FFFFFF" angle="90" focus="100%" focussize="0,0">
                  <o:fill type="gradientUnscaled" v:ext="backwardCompatible"/>
                </v:fill>
                <v:stroke weight="1.25pt" color="#000000" joinstyle="miter"/>
                <v:imagedata o:title=""/>
                <o:lock v:ext="edit" aspectratio="f"/>
                <v:textbox>
                  <w:txbxContent>
                    <w:p w14:paraId="091763EE">
                      <w:pPr>
                        <w:jc w:val="center"/>
                      </w:pPr>
                    </w:p>
                    <w:p w14:paraId="1C18B0EC">
                      <w:pPr>
                        <w:jc w:val="center"/>
                      </w:pPr>
                    </w:p>
                    <w:p w14:paraId="5342BC64">
                      <w:pPr>
                        <w:jc w:val="center"/>
                        <w:rPr>
                          <w:rFonts w:hint="eastAsia" w:ascii="仿宋" w:hAnsi="仿宋" w:eastAsia="仿宋" w:cs="仿宋"/>
                          <w:sz w:val="24"/>
                          <w:szCs w:val="22"/>
                        </w:rPr>
                      </w:pPr>
                      <w:r>
                        <w:rPr>
                          <w:rFonts w:hint="eastAsia" w:ascii="仿宋" w:hAnsi="仿宋" w:eastAsia="仿宋" w:cs="仿宋"/>
                          <w:sz w:val="24"/>
                          <w:szCs w:val="22"/>
                        </w:rPr>
                        <w:t>法定代表人身份证正面</w:t>
                      </w:r>
                    </w:p>
                  </w:txbxContent>
                </v:textbox>
              </v:shape>
            </w:pict>
          </mc:Fallback>
        </mc:AlternateContent>
      </w:r>
    </w:p>
    <w:p w14:paraId="18C83BD4">
      <w:pPr>
        <w:spacing w:line="360" w:lineRule="auto"/>
        <w:rPr>
          <w:rFonts w:hint="eastAsia" w:ascii="仿宋" w:hAnsi="仿宋" w:eastAsia="仿宋" w:cs="仿宋"/>
          <w:b/>
          <w:color w:val="auto"/>
          <w:sz w:val="24"/>
          <w:szCs w:val="24"/>
        </w:rPr>
      </w:pPr>
    </w:p>
    <w:p w14:paraId="60EF6EF7">
      <w:pPr>
        <w:spacing w:line="360" w:lineRule="auto"/>
        <w:rPr>
          <w:rFonts w:hint="eastAsia" w:ascii="仿宋" w:hAnsi="仿宋" w:eastAsia="仿宋" w:cs="仿宋"/>
          <w:b/>
          <w:color w:val="auto"/>
          <w:sz w:val="24"/>
          <w:szCs w:val="24"/>
        </w:rPr>
      </w:pPr>
    </w:p>
    <w:p w14:paraId="48D506A2">
      <w:pPr>
        <w:spacing w:line="360" w:lineRule="auto"/>
        <w:rPr>
          <w:rFonts w:hint="eastAsia" w:ascii="仿宋" w:hAnsi="仿宋" w:eastAsia="仿宋" w:cs="仿宋"/>
          <w:b/>
          <w:color w:val="auto"/>
          <w:sz w:val="24"/>
          <w:szCs w:val="24"/>
        </w:rPr>
      </w:pPr>
    </w:p>
    <w:p w14:paraId="4DF6A92E">
      <w:pPr>
        <w:pStyle w:val="22"/>
        <w:rPr>
          <w:rFonts w:hint="eastAsia" w:ascii="仿宋" w:hAnsi="仿宋" w:eastAsia="仿宋" w:cs="仿宋"/>
          <w:sz w:val="24"/>
          <w:szCs w:val="24"/>
        </w:rPr>
      </w:pPr>
    </w:p>
    <w:p w14:paraId="4DCA52CA">
      <w:pPr>
        <w:spacing w:line="360" w:lineRule="auto"/>
        <w:ind w:firstLine="480" w:firstLineChars="200"/>
        <w:rPr>
          <w:rFonts w:hint="eastAsia" w:ascii="仿宋" w:hAnsi="仿宋" w:eastAsia="仿宋" w:cs="仿宋"/>
          <w:bCs/>
          <w:color w:val="auto"/>
          <w:sz w:val="24"/>
          <w:szCs w:val="24"/>
          <w:u w:val="single"/>
          <w:lang w:val="en-US" w:eastAsia="zh-CN"/>
        </w:rPr>
      </w:pPr>
      <w:r>
        <w:rPr>
          <w:rFonts w:hint="eastAsia" w:ascii="仿宋" w:hAnsi="仿宋" w:eastAsia="仿宋" w:cs="仿宋"/>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2818765</wp:posOffset>
                </wp:positionH>
                <wp:positionV relativeFrom="paragraph">
                  <wp:posOffset>175895</wp:posOffset>
                </wp:positionV>
                <wp:extent cx="2619375" cy="1428750"/>
                <wp:effectExtent l="7620" t="7620" r="20955" b="11430"/>
                <wp:wrapNone/>
                <wp:docPr id="15" name="文本框 5"/>
                <wp:cNvGraphicFramePr/>
                <a:graphic xmlns:a="http://schemas.openxmlformats.org/drawingml/2006/main">
                  <a:graphicData uri="http://schemas.microsoft.com/office/word/2010/wordprocessingShape">
                    <wps:wsp>
                      <wps:cNvSpPr txBox="1"/>
                      <wps:spPr>
                        <a:xfrm>
                          <a:off x="0" y="0"/>
                          <a:ext cx="2619375" cy="142875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5686C7DD">
                            <w:pPr>
                              <w:jc w:val="center"/>
                            </w:pPr>
                          </w:p>
                          <w:p w14:paraId="0A3EE5F9">
                            <w:pPr>
                              <w:jc w:val="center"/>
                            </w:pPr>
                          </w:p>
                          <w:p w14:paraId="62F3AE27">
                            <w:pPr>
                              <w:jc w:val="center"/>
                              <w:rPr>
                                <w:rFonts w:hint="eastAsia" w:ascii="仿宋" w:hAnsi="仿宋" w:eastAsia="仿宋" w:cs="仿宋"/>
                                <w:sz w:val="24"/>
                                <w:szCs w:val="22"/>
                              </w:rPr>
                            </w:pPr>
                            <w:r>
                              <w:rPr>
                                <w:rFonts w:hint="eastAsia" w:ascii="仿宋" w:hAnsi="仿宋" w:eastAsia="仿宋" w:cs="仿宋"/>
                                <w:sz w:val="24"/>
                                <w:szCs w:val="22"/>
                              </w:rPr>
                              <w:t>被委托人身份证背面</w:t>
                            </w:r>
                          </w:p>
                        </w:txbxContent>
                      </wps:txbx>
                      <wps:bodyPr wrap="square" upright="1"/>
                    </wps:wsp>
                  </a:graphicData>
                </a:graphic>
              </wp:anchor>
            </w:drawing>
          </mc:Choice>
          <mc:Fallback>
            <w:pict>
              <v:shape id="文本框 5" o:spid="_x0000_s1026" o:spt="202" type="#_x0000_t202" style="position:absolute;left:0pt;margin-left:221.95pt;margin-top:13.85pt;height:112.5pt;width:206.25pt;z-index:251665408;mso-width-relative:page;mso-height-relative:page;" fillcolor="#FFFFFF" filled="t" stroked="t" coordsize="21600,21600" o:gfxdata="UEsDBAoAAAAAAIdO4kAAAAAAAAAAAAAAAAAEAAAAZHJzL1BLAwQUAAAACACHTuJAczgbBNkAAAAK&#10;AQAADwAAAGRycy9kb3ducmV2LnhtbE2Py07DMBBF90j8gzVIbBB1EpKmTeNUqBIfQInK1o2HJKof&#10;ke02ha9nWNHlzBzdObfeXo1mF/RhdFZAukiAoe2cGm0voP14e14BC1FaJbWzKOAbA2yb+7taVsrN&#10;9h0v+9gzCrGhkgKGGKeK89ANaGRYuAkt3b6cNzLS6HuuvJwp3GieJcmSGzla+jDICXcDdqf92Qgo&#10;9GeW+rib5qfhtT3hoS0PP60Qjw9psgEW8Rr/YfjTJ3VoyOnozlYFpgXk+cuaUAFZWQIjYFUsc2BH&#10;WhRZCbyp+W2F5hdQSwMEFAAAAAgAh07iQGDDH7lUAgAA3AQAAA4AAABkcnMvZTJvRG9jLnhtbK1U&#10;zY7TMBC+I/EOlu80baG7S9R2JSjlggCxIM5u4iSW/IftNukLwBtw2gt3nqvPwWcnLWWRUA/0kE48&#10;42/m+2Ym89tOSbLjzgujF3QyGlPCdWFKoesF/fRx/eSGEh+YLpk0mi/onnt6u3z8aN7anE9NY2TJ&#10;HQGI9nlrF7QJweZZ5ouGK+ZHxnINZ2WcYgGvrs5Kx1qgK5lNx+OrrDWutM4U3HucrnonHRDdJYCm&#10;qkTBV6bYKq5Dj+q4ZAGUfCOsp8tUbVXxIryrKs8DkQsKpiE9kQT2Jj6z5ZzltWO2EcVQArukhAec&#10;FBMaSU9QKxYY2TrxF5QShTPeVGFUGJX1RJIiYDEZP9DmrmGWJy6Q2tuT6P7/wRZvd+8dESUmYUaJ&#10;ZgodP3z/drj/efjxlcyiPq31OcLuLAJD98J0iD2eexxG2l3lVPwHIQI/1N2f1OVdIAUOp1eT50+v&#10;kaWAb/JsenM9S/pnv69b58NrbhSJxoI6tC+pynZvfEApCD2GDGKXayElcSZ8FqFJesW8yelxpzeI&#10;NZCsP/au3ryUjuwYJmKdfpEMkGt/Hj0Zx19C+veVdHNIJYUmLO7RMFhBSP4BJIYEjqVyYxqpSRs1&#10;hwgQhGGPKswvTGXRC6/rPrOR4nTljzJSdUf5/HlYFGjFfNMzTK5+ypUI3KESljecla90ScLeot0a&#10;a05jNYqXlEiOr0K0UmRgQl4SCRGkjtA87dzQrTg5/YREK3SbDqDR3Jhyj2lqsXcg+2XLHCrYWifq&#10;Bm1P05XFOAx935p+QeNWnb/DPv8oL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zgbBNkAAAAK&#10;AQAADwAAAAAAAAABACAAAAAiAAAAZHJzL2Rvd25yZXYueG1sUEsBAhQAFAAAAAgAh07iQGDDH7lU&#10;AgAA3AQAAA4AAAAAAAAAAQAgAAAAKAEAAGRycy9lMm9Eb2MueG1sUEsFBgAAAAAGAAYAWQEAAO4F&#10;AAAAAA==&#10;">
                <v:fill type="gradient" on="t" color2="#FFFFFF" angle="90" focus="100%" focussize="0,0">
                  <o:fill type="gradientUnscaled" v:ext="backwardCompatible"/>
                </v:fill>
                <v:stroke weight="1.25pt" color="#000000" joinstyle="miter"/>
                <v:imagedata o:title=""/>
                <o:lock v:ext="edit" aspectratio="f"/>
                <v:textbox>
                  <w:txbxContent>
                    <w:p w14:paraId="5686C7DD">
                      <w:pPr>
                        <w:jc w:val="center"/>
                      </w:pPr>
                    </w:p>
                    <w:p w14:paraId="0A3EE5F9">
                      <w:pPr>
                        <w:jc w:val="center"/>
                      </w:pPr>
                    </w:p>
                    <w:p w14:paraId="62F3AE27">
                      <w:pPr>
                        <w:jc w:val="center"/>
                        <w:rPr>
                          <w:rFonts w:hint="eastAsia" w:ascii="仿宋" w:hAnsi="仿宋" w:eastAsia="仿宋" w:cs="仿宋"/>
                          <w:sz w:val="24"/>
                          <w:szCs w:val="22"/>
                        </w:rPr>
                      </w:pPr>
                      <w:r>
                        <w:rPr>
                          <w:rFonts w:hint="eastAsia" w:ascii="仿宋" w:hAnsi="仿宋" w:eastAsia="仿宋" w:cs="仿宋"/>
                          <w:sz w:val="24"/>
                          <w:szCs w:val="22"/>
                        </w:rPr>
                        <w:t>被委托人身份证背面</w:t>
                      </w:r>
                    </w:p>
                  </w:txbxContent>
                </v:textbox>
              </v:shap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163830</wp:posOffset>
                </wp:positionV>
                <wp:extent cx="2619375" cy="1438275"/>
                <wp:effectExtent l="8255" t="7620" r="20320" b="20955"/>
                <wp:wrapTopAndBottom/>
                <wp:docPr id="16" name="文本框 5"/>
                <wp:cNvGraphicFramePr/>
                <a:graphic xmlns:a="http://schemas.openxmlformats.org/drawingml/2006/main">
                  <a:graphicData uri="http://schemas.microsoft.com/office/word/2010/wordprocessingShape">
                    <wps:wsp>
                      <wps:cNvSpPr txBox="1"/>
                      <wps:spPr>
                        <a:xfrm>
                          <a:off x="0" y="0"/>
                          <a:ext cx="2619375" cy="14382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715DD70C">
                            <w:pPr>
                              <w:jc w:val="center"/>
                            </w:pPr>
                          </w:p>
                          <w:p w14:paraId="0E79564A">
                            <w:pPr>
                              <w:jc w:val="center"/>
                            </w:pPr>
                          </w:p>
                          <w:p w14:paraId="3FB44489">
                            <w:pPr>
                              <w:jc w:val="center"/>
                              <w:rPr>
                                <w:rFonts w:hint="eastAsia" w:ascii="仿宋" w:hAnsi="仿宋" w:eastAsia="仿宋" w:cs="仿宋"/>
                                <w:sz w:val="24"/>
                                <w:szCs w:val="22"/>
                              </w:rPr>
                            </w:pPr>
                            <w:r>
                              <w:rPr>
                                <w:rFonts w:hint="eastAsia" w:ascii="仿宋" w:hAnsi="仿宋" w:eastAsia="仿宋" w:cs="仿宋"/>
                                <w:sz w:val="24"/>
                                <w:szCs w:val="22"/>
                              </w:rPr>
                              <w:t>法定代表人身份证背面</w:t>
                            </w:r>
                          </w:p>
                        </w:txbxContent>
                      </wps:txbx>
                      <wps:bodyPr wrap="square" upright="1"/>
                    </wps:wsp>
                  </a:graphicData>
                </a:graphic>
              </wp:anchor>
            </w:drawing>
          </mc:Choice>
          <mc:Fallback>
            <w:pict>
              <v:shape id="文本框 5" o:spid="_x0000_s1026" o:spt="202" type="#_x0000_t202" style="position:absolute;left:0pt;margin-left:0.5pt;margin-top:12.9pt;height:113.25pt;width:206.25pt;mso-wrap-distance-bottom:0pt;mso-wrap-distance-top:0pt;z-index:251664384;mso-width-relative:page;mso-height-relative:page;" fillcolor="#FFFFFF" filled="t" stroked="t" coordsize="21600,21600" o:gfxdata="UEsDBAoAAAAAAIdO4kAAAAAAAAAAAAAAAAAEAAAAZHJzL1BLAwQUAAAACACHTuJAqUzij9UAAAAI&#10;AQAADwAAAGRycy9kb3ducmV2LnhtbE2PwU7DMBBE70j8g7VIXBB1khJAIU6FKvUDKFG5uvESR7XX&#10;Uew2pV/P9gTH2RnNzqtXZ+/ECac4BFKQLzIQSF0wA/UK2s/N4yuImDQZ7QKhgh+MsGpub2pdmTDT&#10;B562qRdcQrHSCmxKYyVl7Cx6HRdhRGLvO0xeJ5ZTL82kZy73ThZZ9iy9Hog/WD3i2mJ32B69gtJ9&#10;FfmU1uP8YN/bA+7al92lVer+Ls/eQCQ8p78wXOfzdGh40z4cyUThWDNJUlCUDMD2U74sQeyvh2IJ&#10;sqnlf4DmF1BLAwQUAAAACACHTuJAM1O2oVQCAADcBAAADgAAAGRycy9lMm9Eb2MueG1srVTLrtMw&#10;EN0j8Q+W9zRtLy2lanslKGWDAHFBrN3ESSz5he026Q/AH7C6G/Z8V7+DYyct5SKhLsgiGdvjmXPO&#10;zGRx2ypJ9tx5YfSSjgZDSrjOTSF0taSfPm6ezCjxgemCSaP5kh64p7erx48WjZ3zsamNLLgjCKL9&#10;vLFLWodg51nm85or5gfGco3D0jjFApauygrHGkRXMhsPh9OsMa6wzuTce+yuu0PaR3TXBDRlKXK+&#10;NvlOcR26qI5LFkDJ18J6ukpoy5Ln4V1Zeh6IXFIwDemNJLC38Z2tFmxeOWZrkfcQ2DUQHnBSTGgk&#10;PYdas8DIzom/QimRO+NNGQa5UVlHJCkCFqPhA23uamZ54gKpvT2L7v9f2Pzt/r0jokAnTCnRTKHi&#10;x+/fjvc/jz++kknUp7F+Drc7C8fQvjAtfE/7HpuRdls6Fb8gRHAOdQ9ndXkbSI7N8XT0/ObZhJIc&#10;Z6OnN7MxFoif/b5unQ+vuVEkGkvqUL6kKtu/8aFzPbn0YhcbISVxJnwWoU56xbzp0ONOZxBrIFm3&#10;7V21fSkd2TN0xCY9PYjKX3qPhvFJkf59BfCrUyopNGFxjvrGCkLyDyDRQUebJbgxjdSkgQqTWRKE&#10;YY5K9C+0URa18LrqMhspzlf+gJHQpSzI7y/dokBr5uuOYTqKBNlcicBdsmrOile6IOFgUW6NMacR&#10;jeIFJZLjrxCt5BmYkNd4AoTUMQlPM9dXK3ZO1yHRCu22RdBobk1xQDc1mDuQ/bJjDgh21omqRtlT&#10;d2XRD02f+qMf0DhVl2vYlz+l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pTOKP1QAAAAgBAAAP&#10;AAAAAAAAAAEAIAAAACIAAABkcnMvZG93bnJldi54bWxQSwECFAAUAAAACACHTuJAM1O2oVQCAADc&#10;BAAADgAAAAAAAAABACAAAAAkAQAAZHJzL2Uyb0RvYy54bWxQSwUGAAAAAAYABgBZAQAA6gUAAAAA&#10;">
                <v:fill type="gradient" on="t" color2="#FFFFFF" angle="90" focus="100%" focussize="0,0">
                  <o:fill type="gradientUnscaled" v:ext="backwardCompatible"/>
                </v:fill>
                <v:stroke weight="1.25pt" color="#000000" joinstyle="miter"/>
                <v:imagedata o:title=""/>
                <o:lock v:ext="edit" aspectratio="f"/>
                <v:textbox>
                  <w:txbxContent>
                    <w:p w14:paraId="715DD70C">
                      <w:pPr>
                        <w:jc w:val="center"/>
                      </w:pPr>
                    </w:p>
                    <w:p w14:paraId="0E79564A">
                      <w:pPr>
                        <w:jc w:val="center"/>
                      </w:pPr>
                    </w:p>
                    <w:p w14:paraId="3FB44489">
                      <w:pPr>
                        <w:jc w:val="center"/>
                        <w:rPr>
                          <w:rFonts w:hint="eastAsia" w:ascii="仿宋" w:hAnsi="仿宋" w:eastAsia="仿宋" w:cs="仿宋"/>
                          <w:sz w:val="24"/>
                          <w:szCs w:val="22"/>
                        </w:rPr>
                      </w:pPr>
                      <w:r>
                        <w:rPr>
                          <w:rFonts w:hint="eastAsia" w:ascii="仿宋" w:hAnsi="仿宋" w:eastAsia="仿宋" w:cs="仿宋"/>
                          <w:sz w:val="24"/>
                          <w:szCs w:val="22"/>
                        </w:rPr>
                        <w:t>法定代表人身份证背面</w:t>
                      </w:r>
                    </w:p>
                  </w:txbxContent>
                </v:textbox>
                <w10:wrap type="topAndBottom"/>
              </v:shape>
            </w:pict>
          </mc:Fallback>
        </mc:AlternateContent>
      </w:r>
      <w:r>
        <w:rPr>
          <w:rFonts w:hint="eastAsia" w:ascii="仿宋" w:hAnsi="仿宋" w:eastAsia="仿宋" w:cs="仿宋"/>
          <w:bCs/>
          <w:color w:val="auto"/>
          <w:sz w:val="24"/>
          <w:szCs w:val="24"/>
          <w:lang w:eastAsia="zh-CN"/>
        </w:rPr>
        <w:t>供应商名称</w:t>
      </w:r>
      <w:r>
        <w:rPr>
          <w:rFonts w:hint="eastAsia" w:ascii="仿宋" w:hAnsi="仿宋" w:eastAsia="仿宋" w:cs="仿宋"/>
          <w:bCs/>
          <w:color w:val="auto"/>
          <w:sz w:val="24"/>
          <w:szCs w:val="24"/>
        </w:rPr>
        <w:t>（盖章）：</w:t>
      </w:r>
      <w:r>
        <w:rPr>
          <w:rFonts w:hint="eastAsia" w:ascii="仿宋" w:hAnsi="仿宋" w:eastAsia="仿宋" w:cs="仿宋"/>
          <w:bCs/>
          <w:color w:val="auto"/>
          <w:sz w:val="24"/>
          <w:szCs w:val="24"/>
          <w:u w:val="single"/>
          <w:lang w:val="en-US" w:eastAsia="zh-CN"/>
        </w:rPr>
        <w:t xml:space="preserve">                </w:t>
      </w:r>
    </w:p>
    <w:p w14:paraId="05D58D19">
      <w:pPr>
        <w:pStyle w:val="16"/>
        <w:ind w:left="0" w:leftChars="0" w:firstLine="480" w:firstLineChars="200"/>
        <w:rPr>
          <w:rFonts w:hint="eastAsia" w:ascii="仿宋" w:hAnsi="仿宋" w:eastAsia="仿宋" w:cs="仿宋"/>
          <w:bCs/>
          <w:sz w:val="24"/>
          <w:szCs w:val="24"/>
          <w:u w:val="single"/>
          <w:lang w:val="en-US" w:eastAsia="zh-CN"/>
        </w:rPr>
      </w:pPr>
      <w:r>
        <w:rPr>
          <w:rFonts w:hint="eastAsia" w:ascii="仿宋" w:hAnsi="仿宋" w:eastAsia="仿宋" w:cs="仿宋"/>
          <w:bCs/>
          <w:sz w:val="24"/>
          <w:szCs w:val="24"/>
          <w:u w:val="none"/>
          <w:lang w:val="en-US" w:eastAsia="zh-CN"/>
        </w:rPr>
        <w:t>法定代表人（签字或盖章）：</w:t>
      </w:r>
      <w:r>
        <w:rPr>
          <w:rFonts w:hint="eastAsia" w:ascii="仿宋" w:hAnsi="仿宋" w:eastAsia="仿宋" w:cs="仿宋"/>
          <w:bCs/>
          <w:sz w:val="24"/>
          <w:szCs w:val="24"/>
          <w:u w:val="single"/>
          <w:lang w:val="en-US" w:eastAsia="zh-CN"/>
        </w:rPr>
        <w:t xml:space="preserve">            </w:t>
      </w:r>
    </w:p>
    <w:p w14:paraId="1EBCBD86">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授权代理人（签字或盖章）：</w:t>
      </w:r>
      <w:r>
        <w:rPr>
          <w:rFonts w:hint="eastAsia" w:ascii="仿宋" w:hAnsi="仿宋" w:eastAsia="仿宋" w:cs="仿宋"/>
          <w:bCs/>
          <w:sz w:val="24"/>
          <w:szCs w:val="24"/>
          <w:u w:val="single"/>
          <w:lang w:val="en-US" w:eastAsia="zh-CN"/>
        </w:rPr>
        <w:t xml:space="preserve">                </w:t>
      </w:r>
    </w:p>
    <w:p w14:paraId="687E8A9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  年   月   日</w:t>
      </w:r>
    </w:p>
    <w:p w14:paraId="3FE7B933">
      <w:pPr>
        <w:pStyle w:val="40"/>
        <w:rPr>
          <w:rFonts w:hint="eastAsia" w:ascii="仿宋" w:hAnsi="仿宋" w:eastAsia="仿宋" w:cs="仿宋"/>
          <w:bCs/>
          <w:color w:val="auto"/>
          <w:sz w:val="24"/>
          <w:szCs w:val="24"/>
          <w:u w:val="single"/>
          <w:lang w:val="en-US" w:eastAsia="zh-CN"/>
        </w:rPr>
      </w:pPr>
    </w:p>
    <w:p w14:paraId="522344E4">
      <w:pPr>
        <w:pStyle w:val="22"/>
        <w:tabs>
          <w:tab w:val="left" w:pos="1560"/>
          <w:tab w:val="left" w:pos="2040"/>
          <w:tab w:val="left" w:pos="9214"/>
        </w:tabs>
        <w:spacing w:before="66"/>
        <w:ind w:left="36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供应商</w:t>
      </w:r>
      <w:r>
        <w:rPr>
          <w:rFonts w:hint="eastAsia" w:ascii="仿宋" w:hAnsi="仿宋" w:eastAsia="仿宋" w:cs="仿宋"/>
          <w:sz w:val="24"/>
          <w:szCs w:val="24"/>
        </w:rPr>
        <w:t>可自拟格式提供，但应与采购文件提供的格式具备同等效力。</w:t>
      </w:r>
    </w:p>
    <w:p w14:paraId="010AE5B0">
      <w:pPr>
        <w:rPr>
          <w:rFonts w:hint="eastAsia" w:ascii="仿宋" w:hAnsi="仿宋" w:eastAsia="仿宋" w:cs="仿宋"/>
          <w:b/>
          <w:bCs/>
          <w:sz w:val="24"/>
          <w:szCs w:val="24"/>
        </w:rPr>
      </w:pPr>
      <w:bookmarkStart w:id="223" w:name="_Toc507399521"/>
      <w:r>
        <w:rPr>
          <w:rFonts w:hint="eastAsia" w:ascii="仿宋" w:hAnsi="仿宋" w:eastAsia="仿宋" w:cs="仿宋"/>
          <w:b/>
          <w:bCs/>
          <w:sz w:val="24"/>
          <w:szCs w:val="24"/>
        </w:rPr>
        <w:br w:type="page"/>
      </w:r>
    </w:p>
    <w:bookmarkEnd w:id="223"/>
    <w:p w14:paraId="555119FB">
      <w:pPr>
        <w:pStyle w:val="156"/>
        <w:spacing w:line="360" w:lineRule="auto"/>
        <w:jc w:val="center"/>
        <w:outlineLvl w:val="2"/>
        <w:rPr>
          <w:rFonts w:hint="eastAsia" w:ascii="仿宋" w:hAnsi="仿宋" w:eastAsia="仿宋" w:cs="仿宋"/>
          <w:b/>
          <w:sz w:val="32"/>
          <w:szCs w:val="32"/>
        </w:rPr>
      </w:pPr>
      <w:bookmarkStart w:id="224" w:name="_Toc32366"/>
      <w:bookmarkStart w:id="225" w:name="_Toc114589524"/>
      <w:bookmarkStart w:id="226" w:name="_Toc14245"/>
      <w:bookmarkStart w:id="227" w:name="_Toc14941"/>
      <w:bookmarkStart w:id="228" w:name="_Toc115436117"/>
      <w:bookmarkStart w:id="229" w:name="_Toc11207"/>
      <w:bookmarkStart w:id="230" w:name="_Toc10302"/>
      <w:bookmarkStart w:id="231" w:name="_Toc507399522"/>
      <w:r>
        <w:rPr>
          <w:rFonts w:hint="eastAsia" w:ascii="仿宋" w:hAnsi="仿宋" w:eastAsia="仿宋" w:cs="仿宋"/>
          <w:b/>
          <w:sz w:val="32"/>
          <w:szCs w:val="32"/>
        </w:rPr>
        <w:t>附件 2-</w:t>
      </w:r>
      <w:r>
        <w:rPr>
          <w:rFonts w:hint="eastAsia" w:ascii="仿宋" w:hAnsi="仿宋" w:eastAsia="仿宋" w:cs="仿宋"/>
          <w:b/>
          <w:sz w:val="32"/>
          <w:szCs w:val="32"/>
          <w:lang w:val="en-US" w:eastAsia="zh-CN"/>
        </w:rPr>
        <w:t>4</w:t>
      </w:r>
      <w:r>
        <w:rPr>
          <w:rFonts w:hint="eastAsia" w:ascii="仿宋" w:hAnsi="仿宋" w:eastAsia="仿宋" w:cs="仿宋"/>
          <w:b/>
          <w:sz w:val="32"/>
          <w:szCs w:val="32"/>
        </w:rPr>
        <w:t xml:space="preserve"> </w:t>
      </w:r>
      <w:r>
        <w:rPr>
          <w:rFonts w:hint="eastAsia" w:ascii="仿宋" w:hAnsi="仿宋" w:eastAsia="仿宋" w:cs="仿宋"/>
          <w:b/>
          <w:sz w:val="32"/>
          <w:szCs w:val="32"/>
          <w:lang w:eastAsia="zh-CN"/>
        </w:rPr>
        <w:t>供应商</w:t>
      </w:r>
      <w:r>
        <w:rPr>
          <w:rFonts w:hint="eastAsia" w:ascii="仿宋" w:hAnsi="仿宋" w:eastAsia="仿宋" w:cs="仿宋"/>
          <w:b/>
          <w:sz w:val="32"/>
          <w:szCs w:val="32"/>
        </w:rPr>
        <w:t>具有良好的商业信誉和健全的财务会计制度的证明文件</w:t>
      </w:r>
      <w:bookmarkEnd w:id="224"/>
      <w:bookmarkEnd w:id="225"/>
      <w:bookmarkEnd w:id="226"/>
      <w:bookmarkEnd w:id="227"/>
      <w:bookmarkEnd w:id="228"/>
      <w:bookmarkEnd w:id="229"/>
      <w:bookmarkEnd w:id="230"/>
    </w:p>
    <w:p w14:paraId="70F1DCE8">
      <w:pPr>
        <w:pStyle w:val="22"/>
        <w:tabs>
          <w:tab w:val="left" w:pos="9214"/>
        </w:tabs>
        <w:rPr>
          <w:rFonts w:hint="eastAsia" w:ascii="仿宋" w:hAnsi="仿宋" w:eastAsia="仿宋" w:cs="仿宋"/>
          <w:b/>
          <w:sz w:val="21"/>
          <w:szCs w:val="21"/>
        </w:rPr>
      </w:pPr>
    </w:p>
    <w:p w14:paraId="731E5D1D">
      <w:pPr>
        <w:pStyle w:val="22"/>
        <w:tabs>
          <w:tab w:val="left" w:pos="9214"/>
        </w:tabs>
        <w:spacing w:line="360" w:lineRule="auto"/>
        <w:ind w:right="56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1.提供第三方审计机构出具的2024年度审计报告（2025年新成立的公司按实际发生的情况提供银行出具的资信证明）；</w:t>
      </w:r>
    </w:p>
    <w:p w14:paraId="0A14C995">
      <w:pPr>
        <w:pStyle w:val="22"/>
        <w:tabs>
          <w:tab w:val="left" w:pos="9214"/>
        </w:tabs>
        <w:spacing w:line="360" w:lineRule="auto"/>
        <w:ind w:right="560"/>
        <w:rPr>
          <w:rFonts w:hint="eastAsia" w:ascii="仿宋" w:hAnsi="仿宋" w:eastAsia="仿宋" w:cs="仿宋"/>
          <w:sz w:val="24"/>
          <w:szCs w:val="24"/>
        </w:rPr>
      </w:pPr>
      <w:r>
        <w:rPr>
          <w:rFonts w:hint="eastAsia" w:ascii="仿宋" w:hAnsi="仿宋" w:eastAsia="仿宋" w:cs="仿宋"/>
          <w:b w:val="0"/>
          <w:bCs w:val="0"/>
          <w:color w:val="auto"/>
          <w:kern w:val="2"/>
          <w:sz w:val="24"/>
          <w:szCs w:val="24"/>
          <w:lang w:val="en-US" w:eastAsia="zh-CN" w:bidi="ar-SA"/>
        </w:rPr>
        <w:t>2.健全的财务会计制度</w:t>
      </w:r>
      <w:r>
        <w:rPr>
          <w:rFonts w:hint="eastAsia" w:ascii="仿宋" w:hAnsi="仿宋" w:eastAsia="仿宋" w:cs="仿宋"/>
          <w:sz w:val="24"/>
          <w:szCs w:val="24"/>
        </w:rPr>
        <w:t>。</w:t>
      </w:r>
    </w:p>
    <w:p w14:paraId="65825ADF">
      <w:pPr>
        <w:pStyle w:val="22"/>
        <w:tabs>
          <w:tab w:val="left" w:pos="9214"/>
        </w:tabs>
        <w:rPr>
          <w:rFonts w:hint="eastAsia" w:ascii="仿宋" w:hAnsi="仿宋" w:eastAsia="仿宋" w:cs="仿宋"/>
          <w:sz w:val="24"/>
          <w:szCs w:val="24"/>
        </w:rPr>
      </w:pPr>
    </w:p>
    <w:p w14:paraId="756D888A">
      <w:pPr>
        <w:pStyle w:val="22"/>
        <w:tabs>
          <w:tab w:val="left" w:pos="9214"/>
        </w:tabs>
        <w:spacing w:line="360" w:lineRule="auto"/>
        <w:ind w:right="560"/>
        <w:rPr>
          <w:rFonts w:hint="eastAsia" w:ascii="仿宋" w:hAnsi="仿宋" w:eastAsia="仿宋" w:cs="仿宋"/>
          <w:sz w:val="24"/>
          <w:szCs w:val="24"/>
        </w:rPr>
      </w:pPr>
      <w:r>
        <w:rPr>
          <w:rFonts w:hint="eastAsia" w:ascii="仿宋" w:hAnsi="仿宋" w:eastAsia="仿宋" w:cs="仿宋"/>
          <w:sz w:val="24"/>
          <w:szCs w:val="24"/>
        </w:rPr>
        <w:t>说明：</w:t>
      </w:r>
    </w:p>
    <w:p w14:paraId="626FF7C7">
      <w:pPr>
        <w:pStyle w:val="22"/>
        <w:tabs>
          <w:tab w:val="left" w:pos="9214"/>
        </w:tabs>
        <w:spacing w:line="360" w:lineRule="auto"/>
        <w:ind w:right="560"/>
        <w:outlineLvl w:val="1"/>
        <w:rPr>
          <w:rFonts w:hint="eastAsia" w:ascii="仿宋" w:hAnsi="仿宋" w:eastAsia="仿宋" w:cs="仿宋"/>
          <w:sz w:val="24"/>
          <w:szCs w:val="24"/>
        </w:rPr>
      </w:pPr>
      <w:r>
        <w:rPr>
          <w:rFonts w:hint="eastAsia" w:ascii="仿宋" w:hAnsi="仿宋" w:eastAsia="仿宋" w:cs="仿宋"/>
          <w:sz w:val="24"/>
          <w:szCs w:val="24"/>
        </w:rPr>
        <w:t>1、复印件并加盖本单位公章</w:t>
      </w:r>
    </w:p>
    <w:p w14:paraId="1D2EE157">
      <w:pPr>
        <w:pStyle w:val="22"/>
        <w:tabs>
          <w:tab w:val="left" w:pos="9214"/>
        </w:tabs>
        <w:spacing w:line="360" w:lineRule="auto"/>
        <w:ind w:right="560"/>
        <w:rPr>
          <w:rFonts w:hint="eastAsia" w:ascii="仿宋" w:hAnsi="仿宋" w:eastAsia="仿宋" w:cs="仿宋"/>
          <w:sz w:val="24"/>
          <w:szCs w:val="24"/>
        </w:rPr>
      </w:pPr>
      <w:r>
        <w:rPr>
          <w:rFonts w:hint="eastAsia" w:ascii="仿宋" w:hAnsi="仿宋" w:eastAsia="仿宋" w:cs="仿宋"/>
          <w:sz w:val="24"/>
          <w:szCs w:val="24"/>
        </w:rPr>
        <w:t>2、若提供的是复印件，采购人、采购代理机构保留审核原件的权利。</w:t>
      </w:r>
    </w:p>
    <w:p w14:paraId="52206FFC">
      <w:pPr>
        <w:pStyle w:val="22"/>
        <w:tabs>
          <w:tab w:val="left" w:pos="9214"/>
        </w:tabs>
        <w:spacing w:line="360" w:lineRule="auto"/>
        <w:ind w:right="560"/>
        <w:outlineLvl w:val="1"/>
        <w:rPr>
          <w:rFonts w:hint="eastAsia" w:ascii="仿宋" w:hAnsi="仿宋" w:eastAsia="仿宋" w:cs="仿宋"/>
          <w:sz w:val="24"/>
          <w:szCs w:val="24"/>
        </w:rPr>
      </w:pPr>
      <w:r>
        <w:rPr>
          <w:rFonts w:hint="eastAsia" w:ascii="仿宋" w:hAnsi="仿宋" w:eastAsia="仿宋" w:cs="仿宋"/>
          <w:sz w:val="24"/>
          <w:szCs w:val="24"/>
        </w:rPr>
        <w:t>3、如果是联合体投标，联合体各方均需提供上述证明。</w:t>
      </w:r>
    </w:p>
    <w:p w14:paraId="2F4E3D4A">
      <w:pPr>
        <w:pStyle w:val="156"/>
        <w:spacing w:line="360" w:lineRule="auto"/>
        <w:rPr>
          <w:rFonts w:hint="eastAsia" w:ascii="仿宋" w:hAnsi="仿宋" w:eastAsia="仿宋" w:cs="仿宋"/>
          <w:b/>
          <w:sz w:val="24"/>
          <w:szCs w:val="24"/>
        </w:rPr>
      </w:pPr>
    </w:p>
    <w:p w14:paraId="1408A3BB">
      <w:pPr>
        <w:pStyle w:val="156"/>
        <w:spacing w:line="360" w:lineRule="auto"/>
        <w:rPr>
          <w:rFonts w:hint="eastAsia" w:ascii="仿宋" w:hAnsi="仿宋" w:eastAsia="仿宋" w:cs="仿宋"/>
          <w:b/>
          <w:sz w:val="21"/>
          <w:szCs w:val="21"/>
        </w:rPr>
      </w:pPr>
    </w:p>
    <w:p w14:paraId="5D007626">
      <w:pPr>
        <w:rPr>
          <w:rFonts w:hint="eastAsia" w:ascii="仿宋" w:hAnsi="仿宋" w:eastAsia="仿宋" w:cs="仿宋"/>
          <w:b/>
          <w:bCs/>
          <w:sz w:val="21"/>
          <w:szCs w:val="21"/>
        </w:rPr>
      </w:pPr>
      <w:bookmarkStart w:id="232" w:name="_Toc30497"/>
      <w:r>
        <w:rPr>
          <w:rFonts w:hint="eastAsia" w:ascii="仿宋" w:hAnsi="仿宋" w:eastAsia="仿宋" w:cs="仿宋"/>
          <w:b/>
          <w:bCs/>
          <w:sz w:val="21"/>
          <w:szCs w:val="21"/>
        </w:rPr>
        <w:br w:type="page"/>
      </w:r>
    </w:p>
    <w:p w14:paraId="6A2D255E">
      <w:pPr>
        <w:pStyle w:val="156"/>
        <w:spacing w:line="360" w:lineRule="auto"/>
        <w:ind w:firstLine="1365" w:firstLineChars="400"/>
        <w:jc w:val="both"/>
        <w:outlineLvl w:val="2"/>
        <w:rPr>
          <w:rFonts w:hint="eastAsia" w:ascii="仿宋" w:hAnsi="仿宋" w:eastAsia="仿宋" w:cs="仿宋"/>
          <w:b/>
          <w:sz w:val="32"/>
          <w:szCs w:val="32"/>
        </w:rPr>
      </w:pPr>
      <w:bookmarkStart w:id="233" w:name="_Toc22978"/>
      <w:bookmarkStart w:id="234" w:name="_Toc2399"/>
      <w:bookmarkStart w:id="235" w:name="_Toc28516"/>
      <w:bookmarkStart w:id="236" w:name="_Toc115436118"/>
      <w:bookmarkStart w:id="237" w:name="_Toc114589525"/>
      <w:bookmarkStart w:id="238" w:name="_Toc12593"/>
      <w:r>
        <w:rPr>
          <w:rFonts w:hint="eastAsia" w:ascii="仿宋" w:hAnsi="仿宋" w:eastAsia="仿宋" w:cs="仿宋"/>
          <w:b/>
          <w:sz w:val="32"/>
          <w:szCs w:val="32"/>
        </w:rPr>
        <w:t>附件 2-</w:t>
      </w:r>
      <w:r>
        <w:rPr>
          <w:rFonts w:hint="eastAsia" w:ascii="仿宋" w:hAnsi="仿宋" w:eastAsia="仿宋" w:cs="仿宋"/>
          <w:b/>
          <w:sz w:val="32"/>
          <w:szCs w:val="32"/>
          <w:lang w:val="en-US" w:eastAsia="zh-CN"/>
        </w:rPr>
        <w:t>5</w:t>
      </w:r>
      <w:r>
        <w:rPr>
          <w:rFonts w:hint="eastAsia" w:ascii="仿宋" w:hAnsi="仿宋" w:eastAsia="仿宋" w:cs="仿宋"/>
          <w:b/>
          <w:sz w:val="32"/>
          <w:szCs w:val="32"/>
          <w:lang w:eastAsia="zh-CN"/>
        </w:rPr>
        <w:t>谈判保证金</w:t>
      </w:r>
      <w:r>
        <w:rPr>
          <w:rFonts w:hint="eastAsia" w:ascii="仿宋" w:hAnsi="仿宋" w:eastAsia="仿宋" w:cs="仿宋"/>
          <w:b/>
          <w:sz w:val="32"/>
          <w:szCs w:val="32"/>
        </w:rPr>
        <w:t>缴纳凭证复印件</w:t>
      </w:r>
      <w:bookmarkEnd w:id="232"/>
      <w:bookmarkEnd w:id="233"/>
      <w:bookmarkEnd w:id="234"/>
      <w:bookmarkEnd w:id="235"/>
      <w:bookmarkEnd w:id="236"/>
      <w:bookmarkEnd w:id="237"/>
      <w:bookmarkEnd w:id="238"/>
    </w:p>
    <w:p w14:paraId="5C1886D3">
      <w:pPr>
        <w:pStyle w:val="156"/>
        <w:spacing w:line="360" w:lineRule="auto"/>
        <w:rPr>
          <w:rFonts w:hint="eastAsia" w:ascii="仿宋" w:hAnsi="仿宋" w:eastAsia="仿宋" w:cs="仿宋"/>
          <w:bCs w:val="0"/>
          <w:sz w:val="24"/>
          <w:szCs w:val="24"/>
        </w:rPr>
      </w:pPr>
      <w:r>
        <w:rPr>
          <w:rFonts w:hint="eastAsia" w:ascii="仿宋" w:hAnsi="仿宋" w:eastAsia="仿宋" w:cs="仿宋"/>
          <w:bCs w:val="0"/>
          <w:sz w:val="24"/>
          <w:szCs w:val="24"/>
        </w:rPr>
        <w:t>说明：</w:t>
      </w:r>
      <w:r>
        <w:rPr>
          <w:rFonts w:hint="eastAsia" w:ascii="仿宋" w:hAnsi="仿宋" w:eastAsia="仿宋" w:cs="仿宋"/>
          <w:bCs w:val="0"/>
          <w:sz w:val="24"/>
          <w:szCs w:val="24"/>
          <w:lang w:eastAsia="zh-CN"/>
        </w:rPr>
        <w:t>供应商</w:t>
      </w:r>
      <w:r>
        <w:rPr>
          <w:rFonts w:hint="eastAsia" w:ascii="仿宋" w:hAnsi="仿宋" w:eastAsia="仿宋" w:cs="仿宋"/>
          <w:bCs w:val="0"/>
          <w:sz w:val="24"/>
          <w:szCs w:val="24"/>
        </w:rPr>
        <w:t>可将本项目</w:t>
      </w:r>
      <w:r>
        <w:rPr>
          <w:rFonts w:hint="eastAsia" w:ascii="仿宋" w:hAnsi="仿宋" w:eastAsia="仿宋" w:cs="仿宋"/>
          <w:bCs w:val="0"/>
          <w:sz w:val="24"/>
          <w:szCs w:val="24"/>
          <w:lang w:eastAsia="zh-CN"/>
        </w:rPr>
        <w:t>谈判保证金</w:t>
      </w:r>
      <w:r>
        <w:rPr>
          <w:rFonts w:hint="eastAsia" w:ascii="仿宋" w:hAnsi="仿宋" w:eastAsia="仿宋" w:cs="仿宋"/>
          <w:bCs w:val="0"/>
          <w:sz w:val="24"/>
          <w:szCs w:val="24"/>
        </w:rPr>
        <w:t>支付的汇款凭证或保证金</w:t>
      </w:r>
      <w:r>
        <w:rPr>
          <w:rFonts w:hint="eastAsia" w:ascii="仿宋" w:hAnsi="仿宋" w:eastAsia="仿宋" w:cs="仿宋"/>
          <w:bCs w:val="0"/>
          <w:sz w:val="24"/>
          <w:szCs w:val="24"/>
          <w:lang w:eastAsia="zh-CN"/>
        </w:rPr>
        <w:t>保函凭证</w:t>
      </w:r>
      <w:r>
        <w:rPr>
          <w:rFonts w:hint="eastAsia" w:ascii="仿宋" w:hAnsi="仿宋" w:eastAsia="仿宋" w:cs="仿宋"/>
          <w:bCs w:val="0"/>
          <w:sz w:val="24"/>
          <w:szCs w:val="24"/>
        </w:rPr>
        <w:t>的</w:t>
      </w:r>
      <w:r>
        <w:rPr>
          <w:rFonts w:hint="eastAsia" w:ascii="仿宋" w:hAnsi="仿宋" w:eastAsia="仿宋" w:cs="仿宋"/>
          <w:bCs w:val="0"/>
          <w:sz w:val="24"/>
          <w:szCs w:val="24"/>
          <w:lang w:eastAsia="zh-CN"/>
        </w:rPr>
        <w:t>扫描</w:t>
      </w:r>
      <w:r>
        <w:rPr>
          <w:rFonts w:hint="eastAsia" w:ascii="仿宋" w:hAnsi="仿宋" w:eastAsia="仿宋" w:cs="仿宋"/>
          <w:bCs w:val="0"/>
          <w:sz w:val="24"/>
          <w:szCs w:val="24"/>
        </w:rPr>
        <w:t>件（如有）作为缴纳凭证放在响应文件中，</w:t>
      </w:r>
      <w:r>
        <w:rPr>
          <w:rFonts w:hint="eastAsia" w:ascii="仿宋" w:hAnsi="仿宋" w:eastAsia="仿宋" w:cs="仿宋"/>
          <w:bCs w:val="0"/>
          <w:sz w:val="24"/>
          <w:szCs w:val="24"/>
          <w:lang w:eastAsia="zh-CN"/>
        </w:rPr>
        <w:t>并</w:t>
      </w:r>
      <w:r>
        <w:rPr>
          <w:rFonts w:hint="eastAsia" w:ascii="仿宋" w:hAnsi="仿宋" w:eastAsia="仿宋" w:cs="仿宋"/>
          <w:bCs w:val="0"/>
          <w:sz w:val="24"/>
          <w:szCs w:val="24"/>
        </w:rPr>
        <w:t>加盖本单位公章；</w:t>
      </w:r>
    </w:p>
    <w:p w14:paraId="5F52FC5B">
      <w:pPr>
        <w:pStyle w:val="22"/>
        <w:tabs>
          <w:tab w:val="left" w:pos="9214"/>
        </w:tabs>
        <w:spacing w:line="314" w:lineRule="auto"/>
        <w:ind w:right="516"/>
        <w:rPr>
          <w:rFonts w:hint="eastAsia" w:ascii="仿宋" w:hAnsi="仿宋" w:eastAsia="仿宋" w:cs="仿宋"/>
          <w:b/>
          <w:sz w:val="21"/>
          <w:szCs w:val="21"/>
        </w:rPr>
      </w:pPr>
    </w:p>
    <w:p w14:paraId="4AEB8C40">
      <w:pPr>
        <w:rPr>
          <w:rFonts w:hint="eastAsia" w:ascii="仿宋" w:hAnsi="仿宋" w:eastAsia="仿宋" w:cs="仿宋"/>
          <w:b/>
          <w:sz w:val="21"/>
          <w:szCs w:val="21"/>
        </w:rPr>
      </w:pPr>
      <w:r>
        <w:rPr>
          <w:rFonts w:hint="eastAsia" w:ascii="仿宋" w:hAnsi="仿宋" w:eastAsia="仿宋" w:cs="仿宋"/>
          <w:b/>
          <w:sz w:val="21"/>
          <w:szCs w:val="21"/>
        </w:rPr>
        <w:br w:type="page"/>
      </w:r>
    </w:p>
    <w:p w14:paraId="32677564">
      <w:pPr>
        <w:pStyle w:val="156"/>
        <w:spacing w:line="360" w:lineRule="auto"/>
        <w:ind w:firstLine="1365" w:firstLineChars="400"/>
        <w:jc w:val="both"/>
        <w:outlineLvl w:val="2"/>
        <w:rPr>
          <w:rFonts w:hint="eastAsia" w:ascii="仿宋" w:hAnsi="仿宋" w:eastAsia="仿宋" w:cs="仿宋"/>
          <w:b/>
          <w:sz w:val="32"/>
          <w:szCs w:val="32"/>
        </w:rPr>
      </w:pPr>
      <w:bookmarkStart w:id="239" w:name="_Toc19010"/>
      <w:bookmarkStart w:id="240" w:name="_Toc115436119"/>
      <w:bookmarkStart w:id="241" w:name="_Toc10159"/>
      <w:bookmarkStart w:id="242" w:name="_Toc114589526"/>
      <w:bookmarkStart w:id="243" w:name="_Toc22043"/>
      <w:bookmarkStart w:id="244" w:name="_Toc4608"/>
      <w:r>
        <w:rPr>
          <w:rFonts w:hint="eastAsia" w:ascii="仿宋" w:hAnsi="仿宋" w:eastAsia="仿宋" w:cs="仿宋"/>
          <w:b/>
          <w:sz w:val="32"/>
          <w:szCs w:val="32"/>
        </w:rPr>
        <w:t>附件2-</w:t>
      </w:r>
      <w:r>
        <w:rPr>
          <w:rFonts w:hint="eastAsia" w:ascii="仿宋" w:hAnsi="仿宋" w:eastAsia="仿宋" w:cs="仿宋"/>
          <w:b/>
          <w:sz w:val="32"/>
          <w:szCs w:val="32"/>
          <w:lang w:val="en-US" w:eastAsia="zh-CN"/>
        </w:rPr>
        <w:t>6</w:t>
      </w:r>
      <w:r>
        <w:rPr>
          <w:rFonts w:hint="eastAsia" w:ascii="仿宋" w:hAnsi="仿宋" w:eastAsia="仿宋" w:cs="仿宋"/>
          <w:b/>
          <w:sz w:val="32"/>
          <w:szCs w:val="32"/>
          <w:lang w:eastAsia="zh-CN"/>
        </w:rPr>
        <w:t>供应商</w:t>
      </w:r>
      <w:r>
        <w:rPr>
          <w:rFonts w:hint="eastAsia" w:ascii="仿宋" w:hAnsi="仿宋" w:eastAsia="仿宋" w:cs="仿宋"/>
          <w:b/>
          <w:sz w:val="32"/>
          <w:szCs w:val="32"/>
        </w:rPr>
        <w:t>缴纳税收的证明</w:t>
      </w:r>
      <w:bookmarkEnd w:id="239"/>
      <w:bookmarkEnd w:id="240"/>
      <w:bookmarkEnd w:id="241"/>
      <w:bookmarkEnd w:id="242"/>
      <w:bookmarkEnd w:id="243"/>
      <w:bookmarkEnd w:id="244"/>
    </w:p>
    <w:p w14:paraId="23393F0F">
      <w:pPr>
        <w:pStyle w:val="22"/>
        <w:tabs>
          <w:tab w:val="left" w:pos="9214"/>
        </w:tabs>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提供近段时间内连续三个月的完税证明或依法报税资料（新成立不足3个月的按实际情况发生提供，成立时间超过3个月的零申报的需提供依法报税资料）</w:t>
      </w:r>
    </w:p>
    <w:p w14:paraId="7879365E">
      <w:pPr>
        <w:pStyle w:val="22"/>
        <w:tabs>
          <w:tab w:val="left" w:pos="9214"/>
        </w:tabs>
        <w:spacing w:line="360" w:lineRule="auto"/>
        <w:rPr>
          <w:rFonts w:hint="eastAsia" w:ascii="仿宋" w:hAnsi="仿宋" w:eastAsia="仿宋" w:cs="仿宋"/>
          <w:sz w:val="24"/>
          <w:szCs w:val="24"/>
        </w:rPr>
      </w:pPr>
      <w:r>
        <w:rPr>
          <w:rFonts w:hint="eastAsia" w:ascii="仿宋" w:hAnsi="仿宋" w:eastAsia="仿宋" w:cs="仿宋"/>
          <w:sz w:val="24"/>
          <w:szCs w:val="24"/>
        </w:rPr>
        <w:t>【依法免税的</w:t>
      </w:r>
      <w:r>
        <w:rPr>
          <w:rFonts w:hint="eastAsia" w:ascii="仿宋" w:hAnsi="仿宋" w:eastAsia="仿宋" w:cs="仿宋"/>
          <w:sz w:val="24"/>
          <w:szCs w:val="24"/>
          <w:lang w:eastAsia="zh-CN"/>
        </w:rPr>
        <w:t>供应商</w:t>
      </w:r>
      <w:r>
        <w:rPr>
          <w:rFonts w:hint="eastAsia" w:ascii="仿宋" w:hAnsi="仿宋" w:eastAsia="仿宋" w:cs="仿宋"/>
          <w:sz w:val="24"/>
          <w:szCs w:val="24"/>
        </w:rPr>
        <w:t>应提供相应文件证明其依法免税。】</w:t>
      </w:r>
    </w:p>
    <w:p w14:paraId="1DA1367B">
      <w:pPr>
        <w:pStyle w:val="22"/>
        <w:tabs>
          <w:tab w:val="left" w:pos="9214"/>
        </w:tabs>
        <w:spacing w:before="229" w:line="314" w:lineRule="auto"/>
        <w:ind w:right="396"/>
        <w:rPr>
          <w:rFonts w:hint="eastAsia" w:ascii="仿宋" w:hAnsi="仿宋" w:eastAsia="仿宋" w:cs="仿宋"/>
          <w:b/>
          <w:sz w:val="24"/>
          <w:szCs w:val="24"/>
        </w:rPr>
      </w:pPr>
    </w:p>
    <w:p w14:paraId="1847CE6E">
      <w:pPr>
        <w:rPr>
          <w:rFonts w:hint="eastAsia" w:ascii="仿宋" w:hAnsi="仿宋" w:eastAsia="仿宋" w:cs="仿宋"/>
          <w:b/>
          <w:sz w:val="21"/>
          <w:szCs w:val="21"/>
        </w:rPr>
      </w:pPr>
      <w:r>
        <w:rPr>
          <w:rFonts w:hint="eastAsia" w:ascii="仿宋" w:hAnsi="仿宋" w:eastAsia="仿宋" w:cs="仿宋"/>
          <w:b/>
          <w:sz w:val="21"/>
          <w:szCs w:val="21"/>
        </w:rPr>
        <w:br w:type="page"/>
      </w:r>
    </w:p>
    <w:p w14:paraId="1DB5D5AC">
      <w:pPr>
        <w:pStyle w:val="156"/>
        <w:spacing w:line="360" w:lineRule="auto"/>
        <w:jc w:val="both"/>
        <w:outlineLvl w:val="2"/>
        <w:rPr>
          <w:rFonts w:hint="eastAsia" w:ascii="仿宋" w:hAnsi="仿宋" w:eastAsia="仿宋" w:cs="仿宋"/>
          <w:b/>
          <w:sz w:val="32"/>
          <w:szCs w:val="32"/>
        </w:rPr>
      </w:pPr>
      <w:bookmarkStart w:id="245" w:name="_Toc17159"/>
      <w:bookmarkStart w:id="246" w:name="_Toc115436120"/>
      <w:bookmarkStart w:id="247" w:name="_Toc27745"/>
      <w:bookmarkStart w:id="248" w:name="_Toc984"/>
      <w:bookmarkStart w:id="249" w:name="_Toc13470"/>
      <w:bookmarkStart w:id="250" w:name="_Toc114589527"/>
      <w:r>
        <w:rPr>
          <w:rFonts w:hint="eastAsia" w:ascii="仿宋" w:hAnsi="仿宋" w:eastAsia="仿宋" w:cs="仿宋"/>
          <w:b/>
          <w:sz w:val="32"/>
          <w:szCs w:val="32"/>
        </w:rPr>
        <w:t>附件2-</w:t>
      </w:r>
      <w:r>
        <w:rPr>
          <w:rFonts w:hint="eastAsia" w:ascii="仿宋" w:hAnsi="仿宋" w:eastAsia="仿宋" w:cs="仿宋"/>
          <w:b/>
          <w:sz w:val="32"/>
          <w:szCs w:val="32"/>
          <w:lang w:val="en-US" w:eastAsia="zh-CN"/>
        </w:rPr>
        <w:t>7</w:t>
      </w:r>
      <w:r>
        <w:rPr>
          <w:rFonts w:hint="eastAsia" w:ascii="仿宋" w:hAnsi="仿宋" w:eastAsia="仿宋" w:cs="仿宋"/>
          <w:b/>
          <w:sz w:val="32"/>
          <w:szCs w:val="32"/>
        </w:rPr>
        <w:t xml:space="preserve"> </w:t>
      </w:r>
      <w:r>
        <w:rPr>
          <w:rFonts w:hint="eastAsia" w:ascii="仿宋" w:hAnsi="仿宋" w:eastAsia="仿宋" w:cs="仿宋"/>
          <w:b/>
          <w:sz w:val="32"/>
          <w:szCs w:val="32"/>
          <w:lang w:eastAsia="zh-CN"/>
        </w:rPr>
        <w:t>投标供应商依法缴纳社会保险证明材料</w:t>
      </w:r>
      <w:bookmarkEnd w:id="245"/>
      <w:bookmarkEnd w:id="246"/>
      <w:bookmarkEnd w:id="247"/>
      <w:bookmarkEnd w:id="248"/>
      <w:bookmarkEnd w:id="249"/>
      <w:bookmarkEnd w:id="250"/>
    </w:p>
    <w:p w14:paraId="4AD6582F">
      <w:pPr>
        <w:pStyle w:val="22"/>
        <w:tabs>
          <w:tab w:val="left" w:pos="9214"/>
        </w:tabs>
        <w:spacing w:line="360" w:lineRule="auto"/>
        <w:rPr>
          <w:rFonts w:hint="eastAsia" w:ascii="仿宋" w:hAnsi="仿宋" w:eastAsia="仿宋" w:cs="仿宋"/>
          <w:sz w:val="21"/>
          <w:szCs w:val="21"/>
        </w:rPr>
      </w:pPr>
    </w:p>
    <w:p w14:paraId="396EC546">
      <w:pPr>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提供近段时间内法人(指本单位)连续三个月的缴纳社保证明材料（新成立的公司按实际发生提供，如依法不需要缴纳社会保障资金的，应提供相应文件证明）</w:t>
      </w:r>
    </w:p>
    <w:p w14:paraId="22A52746">
      <w:pPr>
        <w:spacing w:line="360" w:lineRule="auto"/>
        <w:rPr>
          <w:rFonts w:hint="eastAsia" w:ascii="仿宋" w:hAnsi="仿宋" w:eastAsia="仿宋" w:cs="仿宋"/>
          <w:sz w:val="24"/>
          <w:szCs w:val="24"/>
        </w:rPr>
      </w:pPr>
      <w:r>
        <w:rPr>
          <w:rFonts w:hint="eastAsia" w:ascii="仿宋" w:hAnsi="仿宋" w:eastAsia="仿宋" w:cs="仿宋"/>
          <w:sz w:val="24"/>
          <w:szCs w:val="24"/>
        </w:rPr>
        <w:t>【依法不需要缴纳社保的</w:t>
      </w:r>
      <w:r>
        <w:rPr>
          <w:rFonts w:hint="eastAsia" w:ascii="仿宋" w:hAnsi="仿宋" w:eastAsia="仿宋" w:cs="仿宋"/>
          <w:sz w:val="24"/>
          <w:szCs w:val="24"/>
          <w:lang w:eastAsia="zh-CN"/>
        </w:rPr>
        <w:t>投标供应商</w:t>
      </w:r>
      <w:r>
        <w:rPr>
          <w:rFonts w:hint="eastAsia" w:ascii="仿宋" w:hAnsi="仿宋" w:eastAsia="仿宋" w:cs="仿宋"/>
          <w:sz w:val="24"/>
          <w:szCs w:val="24"/>
        </w:rPr>
        <w:t>应做书面说明和证明文件。】</w:t>
      </w:r>
    </w:p>
    <w:p w14:paraId="00ACBB7E">
      <w:pPr>
        <w:pStyle w:val="156"/>
        <w:spacing w:line="360" w:lineRule="auto"/>
        <w:rPr>
          <w:rFonts w:hint="eastAsia" w:ascii="仿宋" w:hAnsi="仿宋" w:eastAsia="仿宋" w:cs="仿宋"/>
          <w:bCs w:val="0"/>
          <w:sz w:val="21"/>
          <w:szCs w:val="21"/>
        </w:rPr>
      </w:pPr>
    </w:p>
    <w:bookmarkEnd w:id="231"/>
    <w:p w14:paraId="15E41BA2">
      <w:pPr>
        <w:pStyle w:val="156"/>
        <w:spacing w:line="360" w:lineRule="auto"/>
        <w:rPr>
          <w:rFonts w:hint="eastAsia" w:ascii="仿宋" w:hAnsi="仿宋" w:eastAsia="仿宋" w:cs="仿宋"/>
          <w:bCs w:val="0"/>
          <w:sz w:val="21"/>
          <w:szCs w:val="21"/>
        </w:rPr>
        <w:sectPr>
          <w:pgSz w:w="11906" w:h="16838"/>
          <w:pgMar w:top="1440" w:right="1800" w:bottom="1440" w:left="1800" w:header="851" w:footer="992" w:gutter="0"/>
          <w:pgNumType w:fmt="decimal"/>
          <w:cols w:space="720" w:num="1"/>
          <w:docGrid w:type="lines" w:linePitch="312" w:charSpace="0"/>
        </w:sectPr>
      </w:pPr>
    </w:p>
    <w:p w14:paraId="3DB781CB">
      <w:pPr>
        <w:pStyle w:val="156"/>
        <w:spacing w:line="360" w:lineRule="auto"/>
        <w:ind w:firstLine="683" w:firstLineChars="200"/>
        <w:jc w:val="center"/>
        <w:outlineLvl w:val="2"/>
        <w:rPr>
          <w:rFonts w:hint="eastAsia" w:ascii="仿宋" w:hAnsi="仿宋" w:eastAsia="仿宋" w:cs="仿宋"/>
          <w:b/>
          <w:sz w:val="32"/>
          <w:szCs w:val="32"/>
        </w:rPr>
      </w:pPr>
      <w:bookmarkStart w:id="251" w:name="_Toc99"/>
      <w:bookmarkStart w:id="252" w:name="_Toc16581"/>
      <w:bookmarkStart w:id="253" w:name="_Toc115436121"/>
      <w:bookmarkStart w:id="254" w:name="_Toc114589528"/>
      <w:bookmarkStart w:id="255" w:name="_Toc7170"/>
      <w:bookmarkStart w:id="256" w:name="_Toc11968"/>
      <w:bookmarkStart w:id="257" w:name="_Toc29123"/>
      <w:r>
        <w:rPr>
          <w:rFonts w:hint="eastAsia" w:ascii="仿宋" w:hAnsi="仿宋" w:eastAsia="仿宋" w:cs="仿宋"/>
          <w:b/>
          <w:sz w:val="32"/>
          <w:szCs w:val="32"/>
        </w:rPr>
        <w:t xml:space="preserve">附件 2-7 </w:t>
      </w:r>
      <w:r>
        <w:rPr>
          <w:rFonts w:hint="eastAsia" w:ascii="仿宋" w:hAnsi="仿宋" w:eastAsia="仿宋" w:cs="仿宋"/>
          <w:b/>
          <w:sz w:val="32"/>
          <w:szCs w:val="32"/>
          <w:lang w:eastAsia="zh-CN"/>
        </w:rPr>
        <w:t>投标供应商</w:t>
      </w:r>
      <w:r>
        <w:rPr>
          <w:rFonts w:hint="eastAsia" w:ascii="仿宋" w:hAnsi="仿宋" w:eastAsia="仿宋" w:cs="仿宋"/>
          <w:b/>
          <w:sz w:val="32"/>
          <w:szCs w:val="32"/>
        </w:rPr>
        <w:t>声明函</w:t>
      </w:r>
      <w:bookmarkEnd w:id="251"/>
      <w:bookmarkEnd w:id="252"/>
      <w:bookmarkEnd w:id="253"/>
      <w:bookmarkEnd w:id="254"/>
      <w:bookmarkEnd w:id="255"/>
      <w:bookmarkEnd w:id="256"/>
      <w:bookmarkEnd w:id="257"/>
    </w:p>
    <w:p w14:paraId="539CB68B">
      <w:pPr>
        <w:pStyle w:val="6"/>
        <w:bidi w:val="0"/>
        <w:jc w:val="center"/>
        <w:rPr>
          <w:rFonts w:hint="eastAsia" w:ascii="仿宋" w:hAnsi="仿宋" w:eastAsia="仿宋" w:cs="仿宋"/>
          <w:sz w:val="24"/>
          <w:szCs w:val="24"/>
          <w:lang w:val="en-US" w:eastAsia="zh-CN"/>
        </w:rPr>
      </w:pPr>
      <w:bookmarkStart w:id="258" w:name="_Toc507399526"/>
      <w:r>
        <w:rPr>
          <w:rFonts w:hint="eastAsia" w:ascii="仿宋" w:hAnsi="仿宋" w:eastAsia="仿宋" w:cs="仿宋"/>
          <w:sz w:val="24"/>
          <w:szCs w:val="24"/>
          <w:lang w:eastAsia="zh-CN"/>
        </w:rPr>
        <w:t>供应商</w:t>
      </w:r>
      <w:r>
        <w:rPr>
          <w:rFonts w:hint="eastAsia" w:ascii="仿宋" w:hAnsi="仿宋" w:eastAsia="仿宋" w:cs="仿宋"/>
          <w:sz w:val="24"/>
          <w:szCs w:val="24"/>
        </w:rPr>
        <w:t>资格声明</w:t>
      </w:r>
      <w:r>
        <w:rPr>
          <w:rFonts w:hint="eastAsia" w:ascii="仿宋" w:hAnsi="仿宋" w:eastAsia="仿宋" w:cs="仿宋"/>
          <w:sz w:val="24"/>
          <w:szCs w:val="24"/>
          <w:lang w:val="en-US" w:eastAsia="zh-CN"/>
        </w:rPr>
        <w:t>函（统一格式）</w:t>
      </w:r>
    </w:p>
    <w:p w14:paraId="405120C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致：</w:t>
      </w:r>
      <w:r>
        <w:rPr>
          <w:rFonts w:hint="eastAsia" w:ascii="仿宋" w:hAnsi="仿宋" w:eastAsia="仿宋" w:cs="仿宋"/>
          <w:color w:val="000000"/>
          <w:sz w:val="24"/>
          <w:szCs w:val="24"/>
          <w:u w:val="single"/>
        </w:rPr>
        <w:t xml:space="preserve"> （采购单位）  ：</w:t>
      </w:r>
    </w:p>
    <w:p w14:paraId="2675E5E1">
      <w:pPr>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关于贵方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日发出的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项目</w:t>
      </w:r>
      <w:r>
        <w:rPr>
          <w:rFonts w:hint="eastAsia" w:ascii="仿宋" w:hAnsi="仿宋" w:eastAsia="仿宋" w:cs="仿宋"/>
          <w:color w:val="000000"/>
          <w:sz w:val="24"/>
          <w:szCs w:val="24"/>
          <w:lang w:val="en-US" w:eastAsia="zh-CN"/>
        </w:rPr>
        <w:t>采购</w:t>
      </w:r>
      <w:r>
        <w:rPr>
          <w:rFonts w:hint="eastAsia" w:ascii="仿宋" w:hAnsi="仿宋" w:eastAsia="仿宋" w:cs="仿宋"/>
          <w:color w:val="000000"/>
          <w:sz w:val="24"/>
          <w:szCs w:val="24"/>
        </w:rPr>
        <w:t>文件，本投标方愿意参加投标，并证明资格文件中所要求的说明是真实和准确的，并声明：本公司具有符合</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要求的具有独立承担民事责任的能力、具有良好的商业信誉和健全的财务会计制度、具有履行合同所必需的设备和专业技术能力、有依法缴纳税收和社会保障资金的良好记录。提交的相关证明文件是准确真实、完整有效的，并已清楚</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文件的要求及有关文件规定。并承诺在本次采购活动中，如有违法、违规、弄虚作假行为，所造成的损失、不良后果及法律责任，一律由我公司（企业）承担。本投标方对可能要求的进一步资格资料表示理解和同意，并同意按贵方的要求提供任何有关资料。</w:t>
      </w:r>
    </w:p>
    <w:p w14:paraId="28CB9C72">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特此声明！</w:t>
      </w:r>
    </w:p>
    <w:p w14:paraId="17DBA048">
      <w:pPr>
        <w:spacing w:line="440" w:lineRule="exact"/>
        <w:rPr>
          <w:rFonts w:hint="eastAsia" w:ascii="仿宋" w:hAnsi="仿宋" w:eastAsia="仿宋" w:cs="仿宋"/>
          <w:color w:val="000000"/>
          <w:sz w:val="24"/>
          <w:szCs w:val="24"/>
        </w:rPr>
      </w:pPr>
    </w:p>
    <w:p w14:paraId="5CFC01C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名称（</w:t>
      </w:r>
      <w:r>
        <w:rPr>
          <w:rFonts w:hint="eastAsia" w:ascii="仿宋" w:hAnsi="仿宋" w:eastAsia="仿宋" w:cs="仿宋"/>
          <w:color w:val="000000"/>
          <w:sz w:val="24"/>
          <w:szCs w:val="24"/>
          <w:lang w:val="en-US" w:eastAsia="zh-CN"/>
        </w:rPr>
        <w:t>盖章</w:t>
      </w:r>
      <w:r>
        <w:rPr>
          <w:rFonts w:hint="eastAsia" w:ascii="仿宋" w:hAnsi="仿宋" w:eastAsia="仿宋" w:cs="仿宋"/>
          <w:color w:val="000000"/>
          <w:sz w:val="24"/>
          <w:szCs w:val="24"/>
        </w:rPr>
        <w:t xml:space="preserve">）：    </w:t>
      </w:r>
    </w:p>
    <w:p w14:paraId="42B6EA94">
      <w:pPr>
        <w:spacing w:line="440" w:lineRule="exact"/>
        <w:rPr>
          <w:rFonts w:hint="eastAsia" w:ascii="仿宋" w:hAnsi="仿宋" w:eastAsia="仿宋" w:cs="仿宋"/>
          <w:color w:val="000000"/>
          <w:sz w:val="24"/>
          <w:szCs w:val="24"/>
        </w:rPr>
      </w:pPr>
    </w:p>
    <w:p w14:paraId="6BEAE294">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rPr>
        <w:t>）：</w:t>
      </w:r>
    </w:p>
    <w:p w14:paraId="26DAE909">
      <w:pPr>
        <w:rPr>
          <w:rFonts w:hint="eastAsia" w:ascii="仿宋" w:hAnsi="仿宋" w:eastAsia="仿宋" w:cs="仿宋"/>
          <w:sz w:val="24"/>
          <w:szCs w:val="24"/>
        </w:rPr>
      </w:pPr>
    </w:p>
    <w:p w14:paraId="7C9177F0">
      <w:pPr>
        <w:keepNext/>
        <w:jc w:val="center"/>
        <w:outlineLvl w:val="3"/>
        <w:rPr>
          <w:rFonts w:hint="eastAsia" w:ascii="仿宋" w:hAnsi="仿宋" w:eastAsia="仿宋" w:cs="仿宋"/>
          <w:spacing w:val="-2"/>
          <w:kern w:val="0"/>
          <w:sz w:val="24"/>
          <w:szCs w:val="24"/>
        </w:rPr>
      </w:pPr>
      <w:r>
        <w:rPr>
          <w:rFonts w:hint="eastAsia" w:ascii="仿宋" w:hAnsi="仿宋" w:eastAsia="仿宋" w:cs="仿宋"/>
          <w:spacing w:val="-2"/>
          <w:kern w:val="0"/>
          <w:sz w:val="24"/>
          <w:szCs w:val="24"/>
        </w:rPr>
        <w:t>日期：    年   月   日</w:t>
      </w:r>
    </w:p>
    <w:p w14:paraId="2A14CF3E">
      <w:pPr>
        <w:rPr>
          <w:rFonts w:hint="eastAsia" w:ascii="仿宋" w:hAnsi="仿宋" w:eastAsia="仿宋" w:cs="仿宋"/>
          <w:bCs/>
          <w:sz w:val="24"/>
          <w:szCs w:val="24"/>
        </w:rPr>
      </w:pPr>
      <w:r>
        <w:rPr>
          <w:rFonts w:hint="eastAsia" w:ascii="仿宋" w:hAnsi="仿宋" w:eastAsia="仿宋" w:cs="仿宋"/>
          <w:bCs/>
          <w:sz w:val="24"/>
          <w:szCs w:val="24"/>
        </w:rPr>
        <w:br w:type="page"/>
      </w:r>
    </w:p>
    <w:p w14:paraId="71805B27">
      <w:pPr>
        <w:pStyle w:val="40"/>
        <w:rPr>
          <w:rFonts w:hint="eastAsia" w:ascii="仿宋" w:hAnsi="仿宋" w:eastAsia="仿宋" w:cs="仿宋"/>
        </w:rPr>
      </w:pPr>
    </w:p>
    <w:p w14:paraId="0C7EF4C9">
      <w:pPr>
        <w:pStyle w:val="6"/>
        <w:bidi w:val="0"/>
        <w:jc w:val="center"/>
        <w:rPr>
          <w:rFonts w:hint="eastAsia" w:ascii="仿宋" w:hAnsi="仿宋" w:eastAsia="仿宋" w:cs="仿宋"/>
          <w:sz w:val="32"/>
          <w:szCs w:val="32"/>
          <w:lang w:eastAsia="en-US"/>
        </w:rPr>
      </w:pPr>
      <w:bookmarkStart w:id="259" w:name="_Toc114589529"/>
      <w:bookmarkStart w:id="260" w:name="_Toc27089"/>
      <w:bookmarkStart w:id="261" w:name="_Toc312"/>
      <w:bookmarkStart w:id="262" w:name="_Toc23406"/>
      <w:bookmarkStart w:id="263" w:name="_Toc115436122"/>
      <w:bookmarkStart w:id="264" w:name="_Toc19251"/>
      <w:bookmarkStart w:id="265" w:name="_Toc12155"/>
      <w:r>
        <w:rPr>
          <w:rFonts w:hint="eastAsia" w:ascii="仿宋" w:hAnsi="仿宋" w:eastAsia="仿宋" w:cs="仿宋"/>
          <w:sz w:val="32"/>
          <w:szCs w:val="32"/>
          <w:lang w:eastAsia="en-US"/>
        </w:rPr>
        <w:t>单位负责人为同一人或者存在直接控股、管理关系的不同供应商，不得参加同一合同项下的政府采购活动的书面声明</w:t>
      </w:r>
    </w:p>
    <w:p w14:paraId="2A04CFA8">
      <w:pPr>
        <w:ind w:firstLine="3150" w:firstLineChars="1500"/>
        <w:rPr>
          <w:rFonts w:hint="eastAsia" w:ascii="仿宋" w:hAnsi="仿宋" w:eastAsia="仿宋" w:cs="仿宋"/>
          <w:color w:val="FF0000"/>
          <w:kern w:val="0"/>
          <w:szCs w:val="24"/>
        </w:rPr>
      </w:pPr>
    </w:p>
    <w:p w14:paraId="02642070">
      <w:pPr>
        <w:ind w:firstLine="3600" w:firstLineChars="1500"/>
        <w:rPr>
          <w:rFonts w:hint="eastAsia" w:ascii="仿宋" w:hAnsi="仿宋" w:eastAsia="仿宋" w:cs="仿宋"/>
          <w:kern w:val="0"/>
          <w:sz w:val="24"/>
          <w:szCs w:val="24"/>
        </w:rPr>
      </w:pPr>
      <w:r>
        <w:rPr>
          <w:rFonts w:hint="eastAsia" w:ascii="仿宋" w:hAnsi="仿宋" w:eastAsia="仿宋" w:cs="仿宋"/>
          <w:kern w:val="0"/>
          <w:sz w:val="24"/>
          <w:szCs w:val="24"/>
        </w:rPr>
        <w:t>（格式自拟）</w:t>
      </w:r>
    </w:p>
    <w:p w14:paraId="58DADE70">
      <w:pPr>
        <w:rPr>
          <w:rFonts w:hint="eastAsia" w:ascii="仿宋" w:hAnsi="仿宋" w:eastAsia="仿宋" w:cs="仿宋"/>
          <w:color w:val="FF0000"/>
          <w:kern w:val="0"/>
          <w:sz w:val="24"/>
          <w:szCs w:val="24"/>
          <w:lang w:eastAsia="en-US"/>
        </w:rPr>
      </w:pPr>
    </w:p>
    <w:p w14:paraId="3548EFD9">
      <w:pPr>
        <w:rPr>
          <w:rFonts w:hint="eastAsia" w:ascii="仿宋" w:hAnsi="仿宋" w:eastAsia="仿宋" w:cs="仿宋"/>
          <w:color w:val="FF0000"/>
          <w:kern w:val="0"/>
          <w:sz w:val="24"/>
          <w:szCs w:val="24"/>
          <w:lang w:eastAsia="en-US"/>
        </w:rPr>
      </w:pPr>
    </w:p>
    <w:p w14:paraId="5BFCBADA">
      <w:pPr>
        <w:rPr>
          <w:rFonts w:hint="eastAsia" w:ascii="仿宋" w:hAnsi="仿宋" w:eastAsia="仿宋" w:cs="仿宋"/>
          <w:color w:val="FF0000"/>
          <w:kern w:val="0"/>
          <w:sz w:val="24"/>
          <w:szCs w:val="24"/>
          <w:lang w:eastAsia="en-US"/>
        </w:rPr>
      </w:pPr>
    </w:p>
    <w:p w14:paraId="6C083B5D">
      <w:pPr>
        <w:rPr>
          <w:rFonts w:hint="eastAsia" w:ascii="仿宋" w:hAnsi="仿宋" w:eastAsia="仿宋" w:cs="仿宋"/>
          <w:color w:val="FF0000"/>
          <w:kern w:val="0"/>
          <w:sz w:val="24"/>
          <w:szCs w:val="24"/>
          <w:lang w:eastAsia="en-US"/>
        </w:rPr>
      </w:pPr>
    </w:p>
    <w:p w14:paraId="658F8AE2">
      <w:pPr>
        <w:rPr>
          <w:rFonts w:hint="eastAsia" w:ascii="仿宋" w:hAnsi="仿宋" w:eastAsia="仿宋" w:cs="仿宋"/>
          <w:color w:val="FF0000"/>
          <w:kern w:val="0"/>
          <w:sz w:val="24"/>
          <w:szCs w:val="24"/>
          <w:lang w:eastAsia="en-US"/>
        </w:rPr>
      </w:pPr>
    </w:p>
    <w:p w14:paraId="2DF6B89C">
      <w:pPr>
        <w:rPr>
          <w:rFonts w:hint="eastAsia" w:ascii="仿宋" w:hAnsi="仿宋" w:eastAsia="仿宋" w:cs="仿宋"/>
          <w:color w:val="FF0000"/>
          <w:kern w:val="0"/>
          <w:sz w:val="24"/>
          <w:szCs w:val="24"/>
          <w:lang w:eastAsia="en-US"/>
        </w:rPr>
      </w:pPr>
    </w:p>
    <w:p w14:paraId="25E4E026">
      <w:pPr>
        <w:rPr>
          <w:rFonts w:hint="eastAsia" w:ascii="仿宋" w:hAnsi="仿宋" w:eastAsia="仿宋" w:cs="仿宋"/>
          <w:color w:val="FF0000"/>
          <w:kern w:val="0"/>
          <w:sz w:val="24"/>
          <w:szCs w:val="24"/>
          <w:lang w:eastAsia="en-US"/>
        </w:rPr>
      </w:pPr>
    </w:p>
    <w:p w14:paraId="51139877">
      <w:pPr>
        <w:rPr>
          <w:rFonts w:hint="eastAsia" w:ascii="仿宋" w:hAnsi="仿宋" w:eastAsia="仿宋" w:cs="仿宋"/>
          <w:sz w:val="24"/>
          <w:szCs w:val="24"/>
          <w:lang w:eastAsia="en-US"/>
        </w:rPr>
      </w:pPr>
    </w:p>
    <w:p w14:paraId="4FDDCE7E">
      <w:pPr>
        <w:rPr>
          <w:rFonts w:hint="eastAsia" w:ascii="仿宋" w:hAnsi="仿宋" w:eastAsia="仿宋" w:cs="仿宋"/>
          <w:color w:val="FF0000"/>
          <w:kern w:val="0"/>
          <w:sz w:val="24"/>
          <w:szCs w:val="24"/>
          <w:lang w:eastAsia="en-US"/>
        </w:rPr>
      </w:pPr>
    </w:p>
    <w:p w14:paraId="634284AF">
      <w:pPr>
        <w:rPr>
          <w:rFonts w:hint="eastAsia" w:ascii="仿宋" w:hAnsi="仿宋" w:eastAsia="仿宋" w:cs="仿宋"/>
          <w:sz w:val="24"/>
          <w:szCs w:val="24"/>
          <w:lang w:eastAsia="en-US"/>
        </w:rPr>
      </w:pPr>
    </w:p>
    <w:p w14:paraId="73594FE8">
      <w:pPr>
        <w:rPr>
          <w:rFonts w:hint="eastAsia" w:ascii="仿宋" w:hAnsi="仿宋" w:eastAsia="仿宋" w:cs="仿宋"/>
          <w:color w:val="FF0000"/>
          <w:kern w:val="0"/>
          <w:sz w:val="24"/>
          <w:szCs w:val="24"/>
          <w:lang w:eastAsia="en-US"/>
        </w:rPr>
      </w:pPr>
    </w:p>
    <w:p w14:paraId="7F5EFDA0">
      <w:pPr>
        <w:spacing w:line="440" w:lineRule="exact"/>
        <w:ind w:firstLine="3840" w:firstLineChars="1600"/>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名称（</w:t>
      </w:r>
      <w:r>
        <w:rPr>
          <w:rFonts w:hint="eastAsia" w:ascii="仿宋" w:hAnsi="仿宋" w:eastAsia="仿宋" w:cs="仿宋"/>
          <w:sz w:val="24"/>
          <w:szCs w:val="24"/>
          <w:lang w:val="en-US" w:eastAsia="zh-CN"/>
        </w:rPr>
        <w:t>盖</w:t>
      </w:r>
      <w:r>
        <w:rPr>
          <w:rFonts w:hint="eastAsia" w:ascii="仿宋" w:hAnsi="仿宋" w:eastAsia="仿宋" w:cs="仿宋"/>
          <w:sz w:val="24"/>
          <w:szCs w:val="24"/>
        </w:rPr>
        <w:t>章）：</w:t>
      </w:r>
    </w:p>
    <w:p w14:paraId="6B96E689">
      <w:pPr>
        <w:spacing w:line="440" w:lineRule="exact"/>
        <w:ind w:firstLine="3840" w:firstLineChars="16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14:paraId="419D50B1">
      <w:pPr>
        <w:pStyle w:val="2"/>
        <w:ind w:firstLine="2160" w:firstLineChars="800"/>
        <w:rPr>
          <w:rFonts w:hint="eastAsia" w:ascii="仿宋" w:hAnsi="仿宋" w:eastAsia="仿宋" w:cs="仿宋"/>
          <w:sz w:val="24"/>
          <w:szCs w:val="24"/>
          <w:lang w:val="en-US" w:eastAsia="zh-CN"/>
        </w:rPr>
      </w:pPr>
      <w:r>
        <w:rPr>
          <w:rFonts w:hint="eastAsia" w:ascii="仿宋" w:hAnsi="仿宋" w:eastAsia="仿宋" w:cs="仿宋"/>
          <w:sz w:val="24"/>
          <w:szCs w:val="24"/>
          <w:lang w:eastAsia="zh-CN"/>
        </w:rPr>
        <w:t>日期</w:t>
      </w:r>
      <w:r>
        <w:rPr>
          <w:rFonts w:hint="eastAsia" w:ascii="仿宋" w:hAnsi="仿宋" w:eastAsia="仿宋" w:cs="仿宋"/>
          <w:sz w:val="24"/>
          <w:szCs w:val="24"/>
          <w:lang w:val="en-US" w:eastAsia="zh-CN"/>
        </w:rPr>
        <w:t>:     年  月  日</w:t>
      </w:r>
    </w:p>
    <w:p w14:paraId="0305FAE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167A716D">
      <w:pPr>
        <w:rPr>
          <w:rFonts w:hint="eastAsia" w:ascii="仿宋" w:hAnsi="仿宋" w:eastAsia="仿宋" w:cs="仿宋"/>
          <w:lang w:val="en-US" w:eastAsia="zh-CN"/>
        </w:rPr>
      </w:pPr>
    </w:p>
    <w:p w14:paraId="53BF3E01">
      <w:pPr>
        <w:pStyle w:val="6"/>
        <w:bidi w:val="0"/>
        <w:jc w:val="center"/>
        <w:rPr>
          <w:rFonts w:hint="eastAsia" w:ascii="仿宋" w:hAnsi="仿宋" w:eastAsia="仿宋" w:cs="仿宋"/>
          <w:sz w:val="32"/>
          <w:szCs w:val="32"/>
          <w:lang w:eastAsia="en-US"/>
        </w:rPr>
      </w:pPr>
      <w:r>
        <w:rPr>
          <w:rFonts w:hint="eastAsia" w:ascii="仿宋" w:hAnsi="仿宋" w:eastAsia="仿宋" w:cs="仿宋"/>
          <w:sz w:val="32"/>
          <w:szCs w:val="32"/>
          <w:lang w:eastAsia="en-US"/>
        </w:rPr>
        <w:t>参加政府采购活动前三年内，在经营活动中没有重大违法</w:t>
      </w:r>
    </w:p>
    <w:p w14:paraId="2AA4AC2A">
      <w:pPr>
        <w:pStyle w:val="6"/>
        <w:bidi w:val="0"/>
        <w:jc w:val="center"/>
        <w:rPr>
          <w:rFonts w:hint="eastAsia" w:ascii="仿宋" w:hAnsi="仿宋" w:eastAsia="仿宋" w:cs="仿宋"/>
          <w:sz w:val="32"/>
          <w:szCs w:val="32"/>
          <w:lang w:eastAsia="en-US"/>
        </w:rPr>
      </w:pPr>
      <w:r>
        <w:rPr>
          <w:rFonts w:hint="eastAsia" w:ascii="仿宋" w:hAnsi="仿宋" w:eastAsia="仿宋" w:cs="仿宋"/>
          <w:sz w:val="32"/>
          <w:szCs w:val="32"/>
          <w:lang w:eastAsia="en-US"/>
        </w:rPr>
        <w:t>记录的书面声明</w:t>
      </w:r>
    </w:p>
    <w:p w14:paraId="6E405AB8">
      <w:pPr>
        <w:spacing w:before="75" w:line="227" w:lineRule="auto"/>
        <w:ind w:left="503"/>
        <w:rPr>
          <w:rFonts w:hint="eastAsia" w:ascii="仿宋" w:hAnsi="仿宋" w:eastAsia="仿宋" w:cs="仿宋"/>
          <w:spacing w:val="7"/>
          <w:sz w:val="23"/>
          <w:szCs w:val="23"/>
        </w:rPr>
      </w:pPr>
    </w:p>
    <w:p w14:paraId="64B4C11C">
      <w:pPr>
        <w:spacing w:before="75" w:line="227" w:lineRule="auto"/>
        <w:ind w:left="503"/>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w:t>
      </w:r>
      <w:r>
        <w:rPr>
          <w:rFonts w:hint="eastAsia" w:ascii="仿宋" w:hAnsi="仿宋" w:eastAsia="仿宋" w:cs="仿宋"/>
          <w:b/>
          <w:bCs/>
          <w:spacing w:val="7"/>
          <w:sz w:val="24"/>
          <w:szCs w:val="24"/>
          <w:lang w:eastAsia="zh-CN"/>
        </w:rPr>
        <w:t>提供声明函，</w:t>
      </w:r>
      <w:r>
        <w:rPr>
          <w:rFonts w:hint="eastAsia" w:ascii="仿宋" w:hAnsi="仿宋" w:eastAsia="仿宋" w:cs="仿宋"/>
          <w:b/>
          <w:bCs/>
          <w:spacing w:val="7"/>
          <w:sz w:val="24"/>
          <w:szCs w:val="24"/>
        </w:rPr>
        <w:t>格式自拟）</w:t>
      </w:r>
    </w:p>
    <w:p w14:paraId="23FE8BCC">
      <w:pPr>
        <w:rPr>
          <w:rFonts w:hint="eastAsia" w:ascii="仿宋" w:hAnsi="仿宋" w:eastAsia="仿宋" w:cs="仿宋"/>
          <w:spacing w:val="7"/>
          <w:sz w:val="24"/>
          <w:szCs w:val="24"/>
        </w:rPr>
      </w:pPr>
    </w:p>
    <w:p w14:paraId="327C87D7">
      <w:pPr>
        <w:rPr>
          <w:rFonts w:hint="eastAsia" w:ascii="仿宋" w:hAnsi="仿宋" w:eastAsia="仿宋" w:cs="仿宋"/>
          <w:spacing w:val="7"/>
          <w:sz w:val="24"/>
          <w:szCs w:val="24"/>
        </w:rPr>
      </w:pPr>
    </w:p>
    <w:p w14:paraId="27A4501F">
      <w:pPr>
        <w:rPr>
          <w:rFonts w:hint="eastAsia" w:ascii="仿宋" w:hAnsi="仿宋" w:eastAsia="仿宋" w:cs="仿宋"/>
          <w:spacing w:val="7"/>
          <w:sz w:val="24"/>
          <w:szCs w:val="24"/>
        </w:rPr>
      </w:pPr>
    </w:p>
    <w:p w14:paraId="52F0BC5B">
      <w:pPr>
        <w:rPr>
          <w:rFonts w:hint="eastAsia" w:ascii="仿宋" w:hAnsi="仿宋" w:eastAsia="仿宋" w:cs="仿宋"/>
          <w:spacing w:val="7"/>
          <w:sz w:val="24"/>
          <w:szCs w:val="24"/>
        </w:rPr>
      </w:pPr>
    </w:p>
    <w:p w14:paraId="70BF03D5">
      <w:pPr>
        <w:rPr>
          <w:rFonts w:hint="eastAsia" w:ascii="仿宋" w:hAnsi="仿宋" w:eastAsia="仿宋" w:cs="仿宋"/>
          <w:spacing w:val="7"/>
          <w:sz w:val="24"/>
          <w:szCs w:val="24"/>
        </w:rPr>
      </w:pPr>
    </w:p>
    <w:p w14:paraId="3D91B235">
      <w:pPr>
        <w:rPr>
          <w:rFonts w:hint="eastAsia" w:ascii="仿宋" w:hAnsi="仿宋" w:eastAsia="仿宋" w:cs="仿宋"/>
          <w:spacing w:val="7"/>
          <w:sz w:val="24"/>
          <w:szCs w:val="24"/>
        </w:rPr>
      </w:pPr>
    </w:p>
    <w:p w14:paraId="0DD00EEB">
      <w:pPr>
        <w:rPr>
          <w:rFonts w:hint="eastAsia" w:ascii="仿宋" w:hAnsi="仿宋" w:eastAsia="仿宋" w:cs="仿宋"/>
          <w:spacing w:val="7"/>
          <w:sz w:val="24"/>
          <w:szCs w:val="24"/>
        </w:rPr>
      </w:pPr>
    </w:p>
    <w:p w14:paraId="05751330">
      <w:pPr>
        <w:rPr>
          <w:rFonts w:hint="eastAsia" w:ascii="仿宋" w:hAnsi="仿宋" w:eastAsia="仿宋" w:cs="仿宋"/>
          <w:spacing w:val="7"/>
          <w:sz w:val="24"/>
          <w:szCs w:val="24"/>
        </w:rPr>
      </w:pPr>
    </w:p>
    <w:p w14:paraId="41616E80">
      <w:pPr>
        <w:rPr>
          <w:rFonts w:hint="eastAsia" w:ascii="仿宋" w:hAnsi="仿宋" w:eastAsia="仿宋" w:cs="仿宋"/>
          <w:spacing w:val="7"/>
          <w:sz w:val="24"/>
          <w:szCs w:val="24"/>
        </w:rPr>
      </w:pPr>
    </w:p>
    <w:p w14:paraId="00B816DB">
      <w:pPr>
        <w:rPr>
          <w:rFonts w:hint="eastAsia" w:ascii="仿宋" w:hAnsi="仿宋" w:eastAsia="仿宋" w:cs="仿宋"/>
          <w:sz w:val="24"/>
          <w:szCs w:val="24"/>
        </w:rPr>
      </w:pPr>
    </w:p>
    <w:p w14:paraId="5FE18706">
      <w:pPr>
        <w:rPr>
          <w:rFonts w:hint="eastAsia" w:ascii="仿宋" w:hAnsi="仿宋" w:eastAsia="仿宋" w:cs="仿宋"/>
          <w:sz w:val="24"/>
          <w:szCs w:val="24"/>
        </w:rPr>
      </w:pPr>
    </w:p>
    <w:p w14:paraId="6661FBF9">
      <w:pPr>
        <w:spacing w:line="440" w:lineRule="exact"/>
        <w:ind w:firstLine="3840" w:firstLineChars="1600"/>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名称（</w:t>
      </w:r>
      <w:r>
        <w:rPr>
          <w:rFonts w:hint="eastAsia" w:ascii="仿宋" w:hAnsi="仿宋" w:eastAsia="仿宋" w:cs="仿宋"/>
          <w:sz w:val="24"/>
          <w:szCs w:val="24"/>
          <w:lang w:val="en-US" w:eastAsia="zh-CN"/>
        </w:rPr>
        <w:t>盖</w:t>
      </w:r>
      <w:r>
        <w:rPr>
          <w:rFonts w:hint="eastAsia" w:ascii="仿宋" w:hAnsi="仿宋" w:eastAsia="仿宋" w:cs="仿宋"/>
          <w:sz w:val="24"/>
          <w:szCs w:val="24"/>
        </w:rPr>
        <w:t>章）：</w:t>
      </w:r>
    </w:p>
    <w:p w14:paraId="47EEF006">
      <w:pPr>
        <w:spacing w:line="440" w:lineRule="exact"/>
        <w:ind w:firstLine="3840" w:firstLineChars="16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14:paraId="34F37644">
      <w:pPr>
        <w:ind w:firstLine="3840" w:firstLineChars="1600"/>
        <w:rPr>
          <w:rFonts w:hint="eastAsia" w:ascii="仿宋" w:hAnsi="仿宋" w:eastAsia="仿宋" w:cs="仿宋"/>
          <w:sz w:val="24"/>
          <w:szCs w:val="24"/>
          <w:lang w:val="en-US" w:eastAsia="zh-CN"/>
        </w:rPr>
      </w:pPr>
      <w:r>
        <w:rPr>
          <w:rFonts w:hint="eastAsia" w:ascii="仿宋" w:hAnsi="仿宋" w:eastAsia="仿宋" w:cs="仿宋"/>
          <w:sz w:val="24"/>
          <w:szCs w:val="24"/>
          <w:lang w:eastAsia="zh-CN"/>
        </w:rPr>
        <w:t>日期</w:t>
      </w:r>
      <w:r>
        <w:rPr>
          <w:rFonts w:hint="eastAsia" w:ascii="仿宋" w:hAnsi="仿宋" w:eastAsia="仿宋" w:cs="仿宋"/>
          <w:sz w:val="24"/>
          <w:szCs w:val="24"/>
          <w:lang w:val="en-US" w:eastAsia="zh-CN"/>
        </w:rPr>
        <w:t>:     年  月  日</w:t>
      </w:r>
    </w:p>
    <w:p w14:paraId="5E628FBA">
      <w:pPr>
        <w:pStyle w:val="5"/>
        <w:numPr>
          <w:ilvl w:val="0"/>
          <w:numId w:val="0"/>
        </w:numPr>
        <w:spacing w:before="336" w:after="336" w:line="460" w:lineRule="exact"/>
        <w:ind w:leftChars="0"/>
        <w:jc w:val="center"/>
        <w:rPr>
          <w:rFonts w:hint="eastAsia" w:ascii="仿宋" w:hAnsi="仿宋" w:eastAsia="仿宋" w:cs="仿宋"/>
          <w:color w:val="auto"/>
          <w:sz w:val="32"/>
          <w:szCs w:val="32"/>
        </w:rPr>
      </w:pPr>
      <w:r>
        <w:rPr>
          <w:rFonts w:hint="eastAsia" w:ascii="仿宋" w:hAnsi="仿宋" w:eastAsia="仿宋" w:cs="仿宋"/>
          <w:sz w:val="24"/>
          <w:szCs w:val="24"/>
          <w:lang w:val="en-US" w:eastAsia="zh-CN"/>
        </w:rPr>
        <w:br w:type="page"/>
      </w:r>
      <w:r>
        <w:rPr>
          <w:rFonts w:hint="eastAsia" w:ascii="仿宋" w:hAnsi="仿宋" w:eastAsia="仿宋" w:cs="仿宋"/>
          <w:color w:val="auto"/>
          <w:sz w:val="32"/>
          <w:szCs w:val="32"/>
        </w:rPr>
        <w:t>不参与围标串标承诺书</w:t>
      </w:r>
    </w:p>
    <w:p w14:paraId="233DC657">
      <w:pPr>
        <w:ind w:left="105" w:hanging="105"/>
        <w:jc w:val="left"/>
        <w:rPr>
          <w:rFonts w:hint="eastAsia" w:ascii="仿宋" w:hAnsi="仿宋" w:eastAsia="仿宋" w:cs="仿宋"/>
          <w:color w:val="auto"/>
          <w:sz w:val="24"/>
          <w:szCs w:val="24"/>
        </w:rPr>
      </w:pPr>
      <w:r>
        <w:rPr>
          <w:rFonts w:hint="eastAsia" w:ascii="仿宋" w:hAnsi="仿宋" w:eastAsia="仿宋" w:cs="仿宋"/>
          <w:color w:val="auto"/>
          <w:sz w:val="28"/>
          <w:szCs w:val="28"/>
        </w:rPr>
        <w:t xml:space="preserve">   </w:t>
      </w:r>
      <w:r>
        <w:rPr>
          <w:rFonts w:hint="eastAsia" w:ascii="仿宋" w:hAnsi="仿宋" w:eastAsia="仿宋" w:cs="仿宋"/>
          <w:color w:val="auto"/>
          <w:sz w:val="24"/>
          <w:szCs w:val="24"/>
        </w:rPr>
        <w:t xml:space="preserve">我公司在参与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过程中，自觉遵守《中华人民共和国政府采购法》和《中华人民共和国政府采购实施条例》以及自治区、地、市</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管理的有关规定。就本次</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，我公司郑重承诺如下：</w:t>
      </w:r>
    </w:p>
    <w:p w14:paraId="3B683C29">
      <w:pPr>
        <w:ind w:left="105" w:hanging="105"/>
        <w:jc w:val="left"/>
        <w:rPr>
          <w:rFonts w:hint="eastAsia" w:ascii="仿宋" w:hAnsi="仿宋" w:eastAsia="仿宋" w:cs="仿宋"/>
          <w:color w:val="auto"/>
          <w:sz w:val="24"/>
          <w:szCs w:val="24"/>
        </w:rPr>
      </w:pPr>
      <w:r>
        <w:rPr>
          <w:rFonts w:hint="eastAsia" w:ascii="仿宋" w:hAnsi="仿宋" w:eastAsia="仿宋" w:cs="仿宋"/>
          <w:color w:val="auto"/>
          <w:sz w:val="24"/>
          <w:szCs w:val="24"/>
        </w:rPr>
        <w:t>（一）不与其他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存在任何关联关系；</w:t>
      </w:r>
    </w:p>
    <w:p w14:paraId="28B0477C">
      <w:pPr>
        <w:ind w:left="105" w:hanging="105"/>
        <w:jc w:val="left"/>
        <w:rPr>
          <w:rFonts w:hint="eastAsia" w:ascii="仿宋" w:hAnsi="仿宋" w:eastAsia="仿宋" w:cs="仿宋"/>
          <w:color w:val="auto"/>
          <w:sz w:val="24"/>
          <w:szCs w:val="24"/>
        </w:rPr>
      </w:pPr>
      <w:r>
        <w:rPr>
          <w:rFonts w:hint="eastAsia" w:ascii="仿宋" w:hAnsi="仿宋" w:eastAsia="仿宋" w:cs="仿宋"/>
          <w:color w:val="auto"/>
          <w:sz w:val="24"/>
          <w:szCs w:val="24"/>
        </w:rPr>
        <w:t>（二）不组织、不参与任何串通投标的行为；</w:t>
      </w:r>
    </w:p>
    <w:p w14:paraId="16CE2869">
      <w:pPr>
        <w:ind w:left="105" w:hanging="105"/>
        <w:jc w:val="left"/>
        <w:rPr>
          <w:rFonts w:hint="eastAsia" w:ascii="仿宋" w:hAnsi="仿宋" w:eastAsia="仿宋" w:cs="仿宋"/>
          <w:color w:val="auto"/>
          <w:sz w:val="24"/>
          <w:szCs w:val="24"/>
        </w:rPr>
      </w:pPr>
      <w:r>
        <w:rPr>
          <w:rFonts w:hint="eastAsia" w:ascii="仿宋" w:hAnsi="仿宋" w:eastAsia="仿宋" w:cs="仿宋"/>
          <w:color w:val="auto"/>
          <w:sz w:val="24"/>
          <w:szCs w:val="24"/>
        </w:rPr>
        <w:t>（三）不以他人名义投标，不组织、不参与以其他弄虚作假的方式参加投标的行为；</w:t>
      </w:r>
    </w:p>
    <w:p w14:paraId="654F95D2">
      <w:pPr>
        <w:ind w:left="105" w:hanging="105"/>
        <w:jc w:val="left"/>
        <w:rPr>
          <w:rFonts w:hint="eastAsia" w:ascii="仿宋" w:hAnsi="仿宋" w:eastAsia="仿宋" w:cs="仿宋"/>
          <w:color w:val="auto"/>
          <w:sz w:val="24"/>
          <w:szCs w:val="24"/>
        </w:rPr>
      </w:pPr>
      <w:r>
        <w:rPr>
          <w:rFonts w:hint="eastAsia" w:ascii="仿宋" w:hAnsi="仿宋" w:eastAsia="仿宋" w:cs="仿宋"/>
          <w:color w:val="auto"/>
          <w:sz w:val="24"/>
          <w:szCs w:val="24"/>
        </w:rPr>
        <w:t>（四）不出让或出租资格、资质证书参加投标，不组织、不参与类似违法违规行为。</w:t>
      </w:r>
    </w:p>
    <w:p w14:paraId="5397C3FA">
      <w:pPr>
        <w:ind w:left="105" w:hanging="105"/>
        <w:jc w:val="left"/>
        <w:rPr>
          <w:rFonts w:hint="eastAsia" w:ascii="仿宋" w:hAnsi="仿宋" w:eastAsia="仿宋" w:cs="仿宋"/>
          <w:color w:val="auto"/>
          <w:sz w:val="24"/>
          <w:szCs w:val="24"/>
        </w:rPr>
      </w:pPr>
      <w:r>
        <w:rPr>
          <w:rFonts w:hint="eastAsia" w:ascii="仿宋" w:hAnsi="仿宋" w:eastAsia="仿宋" w:cs="仿宋"/>
          <w:color w:val="auto"/>
          <w:sz w:val="24"/>
          <w:szCs w:val="24"/>
        </w:rPr>
        <w:t>（五）积极主动检举、揭发和配合相关部门调查串通投标等违法违规行为。</w:t>
      </w:r>
    </w:p>
    <w:p w14:paraId="27D09BA5">
      <w:pPr>
        <w:ind w:left="105" w:hanging="105"/>
        <w:jc w:val="left"/>
        <w:rPr>
          <w:rFonts w:hint="eastAsia" w:ascii="仿宋" w:hAnsi="仿宋" w:eastAsia="仿宋" w:cs="仿宋"/>
          <w:color w:val="auto"/>
          <w:sz w:val="24"/>
          <w:szCs w:val="24"/>
        </w:rPr>
      </w:pPr>
      <w:r>
        <w:rPr>
          <w:rFonts w:hint="eastAsia" w:ascii="仿宋" w:hAnsi="仿宋" w:eastAsia="仿宋" w:cs="仿宋"/>
          <w:color w:val="auto"/>
          <w:sz w:val="24"/>
          <w:szCs w:val="24"/>
        </w:rPr>
        <w:t>我公司对以上承诺内容的真实性和履约性负责，如有违诺，自愿承担一切违法违规后果。</w:t>
      </w:r>
    </w:p>
    <w:p w14:paraId="46AC9A58">
      <w:pPr>
        <w:ind w:left="239"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1C8DB006">
      <w:pPr>
        <w:ind w:left="105" w:leftChars="50" w:right="482" w:firstLine="120" w:firstLineChars="50"/>
        <w:jc w:val="center"/>
        <w:rPr>
          <w:rFonts w:hint="eastAsia" w:ascii="仿宋" w:hAnsi="仿宋" w:eastAsia="仿宋" w:cs="仿宋"/>
          <w:color w:val="auto"/>
          <w:sz w:val="24"/>
          <w:szCs w:val="24"/>
        </w:rPr>
      </w:pPr>
    </w:p>
    <w:p w14:paraId="16E9F9D1">
      <w:pPr>
        <w:ind w:left="105" w:leftChars="50" w:right="482" w:firstLine="120" w:firstLineChars="50"/>
        <w:jc w:val="center"/>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盖</w:t>
      </w:r>
      <w:r>
        <w:rPr>
          <w:rFonts w:hint="eastAsia" w:ascii="仿宋" w:hAnsi="仿宋" w:eastAsia="仿宋" w:cs="仿宋"/>
          <w:color w:val="auto"/>
          <w:sz w:val="24"/>
          <w:szCs w:val="24"/>
        </w:rPr>
        <w:t>章）：</w:t>
      </w:r>
      <w:r>
        <w:rPr>
          <w:rFonts w:hint="eastAsia" w:ascii="仿宋" w:hAnsi="仿宋" w:eastAsia="仿宋" w:cs="仿宋"/>
          <w:color w:val="auto"/>
          <w:sz w:val="24"/>
          <w:szCs w:val="24"/>
          <w:u w:val="single"/>
          <w:lang w:val="en-US" w:eastAsia="zh-CN"/>
        </w:rPr>
        <w:t xml:space="preserve">               </w:t>
      </w:r>
    </w:p>
    <w:p w14:paraId="7569A6FA">
      <w:pPr>
        <w:ind w:left="105" w:right="482" w:hanging="105"/>
        <w:jc w:val="center"/>
        <w:rPr>
          <w:rFonts w:hint="eastAsia" w:ascii="仿宋" w:hAnsi="仿宋" w:eastAsia="仿宋" w:cs="仿宋"/>
          <w:color w:val="auto"/>
          <w:sz w:val="24"/>
          <w:szCs w:val="24"/>
        </w:rPr>
      </w:pPr>
    </w:p>
    <w:p w14:paraId="45EFB703">
      <w:pPr>
        <w:ind w:left="105" w:right="482" w:hanging="105"/>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3728B49">
      <w:pPr>
        <w:spacing w:line="640" w:lineRule="exact"/>
        <w:ind w:left="105" w:leftChars="5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602C9E0">
      <w:pPr>
        <w:pStyle w:val="22"/>
        <w:rPr>
          <w:rFonts w:hint="eastAsia" w:ascii="仿宋" w:hAnsi="仿宋" w:eastAsia="仿宋" w:cs="仿宋"/>
          <w:sz w:val="24"/>
          <w:szCs w:val="24"/>
          <w:lang w:val="en-US" w:eastAsia="zh-CN"/>
        </w:rPr>
      </w:pPr>
    </w:p>
    <w:p w14:paraId="58DCE051">
      <w:pPr>
        <w:pStyle w:val="6"/>
        <w:bidi w:val="0"/>
        <w:rPr>
          <w:rFonts w:hint="eastAsia" w:ascii="仿宋" w:hAnsi="仿宋" w:eastAsia="仿宋" w:cs="仿宋"/>
          <w:sz w:val="28"/>
          <w:szCs w:val="28"/>
        </w:rPr>
      </w:pPr>
    </w:p>
    <w:p w14:paraId="10DD9662">
      <w:pPr>
        <w:pStyle w:val="6"/>
        <w:bidi w:val="0"/>
        <w:rPr>
          <w:rFonts w:hint="eastAsia" w:ascii="仿宋" w:hAnsi="仿宋" w:eastAsia="仿宋" w:cs="仿宋"/>
          <w:sz w:val="28"/>
          <w:szCs w:val="28"/>
        </w:rPr>
      </w:pPr>
    </w:p>
    <w:p w14:paraId="3A60C50E">
      <w:pPr>
        <w:pStyle w:val="6"/>
        <w:bidi w:val="0"/>
        <w:rPr>
          <w:rFonts w:hint="eastAsia" w:ascii="仿宋" w:hAnsi="仿宋" w:eastAsia="仿宋" w:cs="仿宋"/>
          <w:sz w:val="28"/>
          <w:szCs w:val="28"/>
        </w:rPr>
      </w:pPr>
    </w:p>
    <w:p w14:paraId="52A6B761">
      <w:pPr>
        <w:pStyle w:val="6"/>
        <w:bidi w:val="0"/>
        <w:rPr>
          <w:rFonts w:hint="eastAsia" w:ascii="仿宋" w:hAnsi="仿宋" w:eastAsia="仿宋" w:cs="仿宋"/>
          <w:sz w:val="28"/>
          <w:szCs w:val="28"/>
        </w:rPr>
      </w:pPr>
    </w:p>
    <w:p w14:paraId="62CC32BF">
      <w:pPr>
        <w:pStyle w:val="6"/>
        <w:bidi w:val="0"/>
        <w:rPr>
          <w:rFonts w:hint="eastAsia" w:ascii="仿宋" w:hAnsi="仿宋" w:eastAsia="仿宋" w:cs="仿宋"/>
          <w:sz w:val="28"/>
          <w:szCs w:val="28"/>
        </w:rPr>
      </w:pPr>
    </w:p>
    <w:p w14:paraId="5F87C4AC">
      <w:pPr>
        <w:pStyle w:val="6"/>
        <w:bidi w:val="0"/>
        <w:rPr>
          <w:rFonts w:hint="eastAsia" w:ascii="仿宋" w:hAnsi="仿宋" w:eastAsia="仿宋" w:cs="仿宋"/>
          <w:sz w:val="28"/>
          <w:szCs w:val="28"/>
        </w:rPr>
      </w:pPr>
    </w:p>
    <w:p w14:paraId="685C2171">
      <w:pPr>
        <w:pStyle w:val="6"/>
        <w:bidi w:val="0"/>
        <w:rPr>
          <w:rFonts w:hint="eastAsia" w:ascii="仿宋" w:hAnsi="仿宋" w:eastAsia="仿宋" w:cs="仿宋"/>
          <w:sz w:val="32"/>
          <w:szCs w:val="32"/>
          <w:lang w:eastAsia="zh-CN"/>
        </w:rPr>
      </w:pPr>
      <w:r>
        <w:rPr>
          <w:rFonts w:hint="eastAsia" w:ascii="仿宋" w:hAnsi="仿宋" w:eastAsia="仿宋" w:cs="仿宋"/>
          <w:sz w:val="32"/>
          <w:szCs w:val="32"/>
        </w:rPr>
        <w:t>信用中国”（www.creditchina.gov.cn）</w:t>
      </w:r>
      <w:r>
        <w:rPr>
          <w:rFonts w:hint="eastAsia" w:ascii="仿宋" w:hAnsi="仿宋" w:eastAsia="仿宋" w:cs="仿宋"/>
          <w:sz w:val="32"/>
          <w:szCs w:val="32"/>
          <w:lang w:eastAsia="zh-CN"/>
        </w:rPr>
        <w:t>下载信用报告</w:t>
      </w:r>
      <w:r>
        <w:rPr>
          <w:rFonts w:hint="eastAsia" w:ascii="仿宋" w:hAnsi="仿宋" w:eastAsia="仿宋" w:cs="仿宋"/>
          <w:sz w:val="32"/>
          <w:szCs w:val="32"/>
        </w:rPr>
        <w:t>和中国政府采购网（www.ccgp.gov.cn）网站查询</w:t>
      </w:r>
      <w:r>
        <w:rPr>
          <w:rFonts w:hint="eastAsia" w:ascii="仿宋" w:hAnsi="仿宋" w:eastAsia="仿宋" w:cs="仿宋"/>
          <w:sz w:val="32"/>
          <w:szCs w:val="32"/>
          <w:lang w:eastAsia="zh-CN"/>
        </w:rPr>
        <w:t>结果截图</w:t>
      </w:r>
    </w:p>
    <w:p w14:paraId="04D2D699">
      <w:pPr>
        <w:pStyle w:val="6"/>
        <w:bidi w:val="0"/>
        <w:jc w:val="center"/>
        <w:rPr>
          <w:rFonts w:hint="eastAsia" w:ascii="仿宋" w:hAnsi="仿宋" w:eastAsia="仿宋" w:cs="仿宋"/>
          <w:sz w:val="32"/>
          <w:szCs w:val="32"/>
        </w:rPr>
      </w:pPr>
      <w:r>
        <w:rPr>
          <w:rFonts w:hint="eastAsia" w:ascii="仿宋" w:hAnsi="仿宋" w:eastAsia="仿宋" w:cs="仿宋"/>
          <w:sz w:val="32"/>
          <w:szCs w:val="32"/>
        </w:rPr>
        <w:t>（格式自拟）</w:t>
      </w:r>
    </w:p>
    <w:p w14:paraId="39F6F9D8">
      <w:pPr>
        <w:rPr>
          <w:rFonts w:hint="eastAsia" w:ascii="仿宋" w:hAnsi="仿宋" w:eastAsia="仿宋" w:cs="仿宋"/>
          <w:lang w:val="en-US" w:eastAsia="zh-CN"/>
        </w:rPr>
      </w:pPr>
      <w:r>
        <w:rPr>
          <w:rFonts w:hint="eastAsia" w:ascii="仿宋" w:hAnsi="仿宋" w:eastAsia="仿宋" w:cs="仿宋"/>
          <w:lang w:val="en-US" w:eastAsia="zh-CN"/>
        </w:rPr>
        <w:br w:type="page"/>
      </w:r>
    </w:p>
    <w:p w14:paraId="7506CDD5">
      <w:pPr>
        <w:pStyle w:val="40"/>
        <w:rPr>
          <w:rFonts w:hint="eastAsia" w:ascii="仿宋" w:hAnsi="仿宋" w:eastAsia="仿宋" w:cs="仿宋"/>
          <w:lang w:val="en-US" w:eastAsia="zh-CN"/>
        </w:rPr>
      </w:pPr>
    </w:p>
    <w:p w14:paraId="0DB4948B">
      <w:pPr>
        <w:pStyle w:val="156"/>
        <w:spacing w:line="360" w:lineRule="auto"/>
        <w:jc w:val="both"/>
        <w:outlineLvl w:val="2"/>
        <w:rPr>
          <w:rFonts w:hint="eastAsia" w:ascii="仿宋" w:hAnsi="仿宋" w:eastAsia="仿宋" w:cs="仿宋"/>
          <w:b/>
          <w:sz w:val="32"/>
          <w:szCs w:val="32"/>
        </w:rPr>
      </w:pPr>
      <w:r>
        <w:rPr>
          <w:rFonts w:hint="eastAsia" w:ascii="仿宋" w:hAnsi="仿宋" w:eastAsia="仿宋" w:cs="仿宋"/>
          <w:b/>
          <w:sz w:val="32"/>
          <w:szCs w:val="32"/>
        </w:rPr>
        <w:t>附件 2-8 虚假应标承担责任声明（统一格式）</w:t>
      </w:r>
      <w:bookmarkEnd w:id="259"/>
      <w:bookmarkEnd w:id="260"/>
      <w:bookmarkEnd w:id="261"/>
      <w:bookmarkEnd w:id="262"/>
      <w:bookmarkEnd w:id="263"/>
      <w:bookmarkEnd w:id="264"/>
      <w:bookmarkEnd w:id="265"/>
    </w:p>
    <w:p w14:paraId="51596616">
      <w:pPr>
        <w:pStyle w:val="22"/>
        <w:tabs>
          <w:tab w:val="left" w:pos="9214"/>
        </w:tabs>
        <w:ind w:right="-92" w:rightChars="-44"/>
        <w:rPr>
          <w:rFonts w:hint="eastAsia" w:ascii="仿宋" w:hAnsi="仿宋" w:eastAsia="仿宋" w:cs="仿宋"/>
          <w:b/>
          <w:sz w:val="21"/>
          <w:szCs w:val="21"/>
        </w:rPr>
      </w:pPr>
    </w:p>
    <w:p w14:paraId="1E95C52C">
      <w:pPr>
        <w:pStyle w:val="22"/>
        <w:tabs>
          <w:tab w:val="left" w:pos="9214"/>
        </w:tabs>
        <w:ind w:right="-92" w:rightChars="-44"/>
        <w:rPr>
          <w:rFonts w:hint="eastAsia" w:ascii="仿宋" w:hAnsi="仿宋" w:eastAsia="仿宋" w:cs="仿宋"/>
          <w:b/>
          <w:sz w:val="21"/>
          <w:szCs w:val="21"/>
        </w:rPr>
      </w:pPr>
    </w:p>
    <w:p w14:paraId="7928FD83">
      <w:pPr>
        <w:pStyle w:val="22"/>
        <w:tabs>
          <w:tab w:val="left" w:pos="9214"/>
        </w:tabs>
        <w:spacing w:before="2"/>
        <w:ind w:right="-92" w:rightChars="-44"/>
        <w:rPr>
          <w:rFonts w:hint="eastAsia" w:ascii="仿宋" w:hAnsi="仿宋" w:eastAsia="仿宋" w:cs="仿宋"/>
          <w:b/>
          <w:sz w:val="21"/>
          <w:szCs w:val="21"/>
        </w:rPr>
      </w:pPr>
    </w:p>
    <w:p w14:paraId="21FE0015">
      <w:pPr>
        <w:ind w:right="-92" w:rightChars="-44"/>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采购人</w:t>
      </w:r>
    </w:p>
    <w:p w14:paraId="4FC7C4EE">
      <w:pPr>
        <w:pStyle w:val="22"/>
        <w:tabs>
          <w:tab w:val="left" w:pos="9214"/>
        </w:tabs>
        <w:spacing w:before="9"/>
        <w:ind w:right="-92" w:rightChars="-44"/>
        <w:rPr>
          <w:rFonts w:hint="eastAsia" w:ascii="仿宋" w:hAnsi="仿宋" w:eastAsia="仿宋" w:cs="仿宋"/>
          <w:b/>
          <w:sz w:val="24"/>
          <w:szCs w:val="24"/>
        </w:rPr>
      </w:pPr>
    </w:p>
    <w:p w14:paraId="34C7A816">
      <w:pPr>
        <w:pStyle w:val="22"/>
        <w:tabs>
          <w:tab w:val="left" w:pos="9214"/>
        </w:tabs>
        <w:spacing w:before="67" w:line="360" w:lineRule="auto"/>
        <w:ind w:right="-92" w:rightChars="-44" w:firstLine="480" w:firstLineChars="200"/>
        <w:rPr>
          <w:rFonts w:hint="eastAsia" w:ascii="仿宋" w:hAnsi="仿宋" w:eastAsia="仿宋" w:cs="仿宋"/>
          <w:sz w:val="24"/>
          <w:szCs w:val="24"/>
        </w:rPr>
      </w:pPr>
      <w:r>
        <w:rPr>
          <w:rFonts w:hint="eastAsia" w:ascii="仿宋" w:hAnsi="仿宋" w:eastAsia="仿宋" w:cs="仿宋"/>
          <w:sz w:val="24"/>
          <w:szCs w:val="24"/>
        </w:rPr>
        <w:t>我公司</w:t>
      </w:r>
      <w:r>
        <w:rPr>
          <w:rFonts w:hint="eastAsia" w:ascii="仿宋" w:hAnsi="仿宋" w:eastAsia="仿宋" w:cs="仿宋"/>
          <w:spacing w:val="-7"/>
          <w:sz w:val="24"/>
          <w:szCs w:val="24"/>
        </w:rPr>
        <w:t>承诺：</w:t>
      </w:r>
      <w:r>
        <w:rPr>
          <w:rFonts w:hint="eastAsia" w:ascii="仿宋" w:hAnsi="仿宋" w:eastAsia="仿宋" w:cs="仿宋"/>
          <w:spacing w:val="-3"/>
          <w:sz w:val="24"/>
          <w:szCs w:val="24"/>
        </w:rPr>
        <w:t>所提供的响应文件</w:t>
      </w:r>
      <w:r>
        <w:rPr>
          <w:rFonts w:hint="eastAsia" w:ascii="仿宋" w:hAnsi="仿宋" w:eastAsia="仿宋" w:cs="仿宋"/>
          <w:sz w:val="24"/>
          <w:szCs w:val="24"/>
        </w:rPr>
        <w:t>（</w:t>
      </w:r>
      <w:r>
        <w:rPr>
          <w:rFonts w:hint="eastAsia" w:ascii="仿宋" w:hAnsi="仿宋" w:eastAsia="仿宋" w:cs="仿宋"/>
          <w:spacing w:val="-5"/>
          <w:sz w:val="24"/>
          <w:szCs w:val="24"/>
        </w:rPr>
        <w:t>包括一切技术资料、技术承诺、商务承诺等</w:t>
      </w:r>
      <w:r>
        <w:rPr>
          <w:rFonts w:hint="eastAsia" w:ascii="仿宋" w:hAnsi="仿宋" w:eastAsia="仿宋" w:cs="仿宋"/>
          <w:spacing w:val="-20"/>
          <w:sz w:val="24"/>
          <w:szCs w:val="24"/>
        </w:rPr>
        <w:t>）</w:t>
      </w:r>
      <w:r>
        <w:rPr>
          <w:rFonts w:hint="eastAsia" w:ascii="仿宋" w:hAnsi="仿宋" w:eastAsia="仿宋" w:cs="仿宋"/>
          <w:spacing w:val="-12"/>
          <w:sz w:val="24"/>
          <w:szCs w:val="24"/>
        </w:rPr>
        <w:t>均</w:t>
      </w:r>
      <w:r>
        <w:rPr>
          <w:rFonts w:hint="eastAsia" w:ascii="仿宋" w:hAnsi="仿宋" w:eastAsia="仿宋" w:cs="仿宋"/>
          <w:spacing w:val="-6"/>
          <w:sz w:val="24"/>
          <w:szCs w:val="24"/>
        </w:rPr>
        <w:t>真实有效，若在项目</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过程中</w:t>
      </w:r>
      <w:r>
        <w:rPr>
          <w:rFonts w:hint="eastAsia" w:ascii="仿宋" w:hAnsi="仿宋" w:eastAsia="仿宋" w:cs="仿宋"/>
          <w:sz w:val="24"/>
          <w:szCs w:val="24"/>
        </w:rPr>
        <w:t>（</w:t>
      </w:r>
      <w:r>
        <w:rPr>
          <w:rFonts w:hint="eastAsia" w:ascii="仿宋" w:hAnsi="仿宋" w:eastAsia="仿宋" w:cs="仿宋"/>
          <w:spacing w:val="-6"/>
          <w:sz w:val="24"/>
          <w:szCs w:val="24"/>
        </w:rPr>
        <w:t>包括开评审、</w:t>
      </w:r>
      <w:r>
        <w:rPr>
          <w:rFonts w:hint="eastAsia" w:ascii="仿宋" w:hAnsi="仿宋" w:eastAsia="仿宋" w:cs="仿宋"/>
          <w:spacing w:val="-6"/>
          <w:sz w:val="24"/>
          <w:szCs w:val="24"/>
          <w:lang w:eastAsia="zh-CN"/>
        </w:rPr>
        <w:t>成交</w:t>
      </w:r>
      <w:r>
        <w:rPr>
          <w:rFonts w:hint="eastAsia" w:ascii="仿宋" w:hAnsi="仿宋" w:eastAsia="仿宋" w:cs="仿宋"/>
          <w:spacing w:val="-6"/>
          <w:sz w:val="24"/>
          <w:szCs w:val="24"/>
        </w:rPr>
        <w:t>公示过程</w:t>
      </w:r>
      <w:r>
        <w:rPr>
          <w:rFonts w:hint="eastAsia" w:ascii="仿宋" w:hAnsi="仿宋" w:eastAsia="仿宋" w:cs="仿宋"/>
          <w:spacing w:val="-20"/>
          <w:sz w:val="24"/>
          <w:szCs w:val="24"/>
        </w:rPr>
        <w:t>）</w:t>
      </w:r>
      <w:r>
        <w:rPr>
          <w:rFonts w:hint="eastAsia" w:ascii="仿宋" w:hAnsi="仿宋" w:eastAsia="仿宋" w:cs="仿宋"/>
          <w:spacing w:val="-2"/>
          <w:sz w:val="24"/>
          <w:szCs w:val="24"/>
        </w:rPr>
        <w:t>及履行合同期间</w:t>
      </w:r>
      <w:r>
        <w:rPr>
          <w:rFonts w:hint="eastAsia" w:ascii="仿宋" w:hAnsi="仿宋" w:eastAsia="仿宋" w:cs="仿宋"/>
          <w:sz w:val="24"/>
          <w:szCs w:val="24"/>
        </w:rPr>
        <w:t>（包括验收过程</w:t>
      </w:r>
      <w:r>
        <w:rPr>
          <w:rFonts w:hint="eastAsia" w:ascii="仿宋" w:hAnsi="仿宋" w:eastAsia="仿宋" w:cs="仿宋"/>
          <w:spacing w:val="-15"/>
          <w:sz w:val="24"/>
          <w:szCs w:val="24"/>
        </w:rPr>
        <w:t>）</w:t>
      </w:r>
      <w:r>
        <w:rPr>
          <w:rFonts w:hint="eastAsia" w:ascii="仿宋" w:hAnsi="仿宋" w:eastAsia="仿宋" w:cs="仿宋"/>
          <w:spacing w:val="-2"/>
          <w:sz w:val="24"/>
          <w:szCs w:val="24"/>
        </w:rPr>
        <w:t>发现我公司提供的货物</w:t>
      </w:r>
      <w:r>
        <w:rPr>
          <w:rFonts w:hint="eastAsia" w:ascii="仿宋" w:hAnsi="仿宋" w:eastAsia="仿宋" w:cs="仿宋"/>
          <w:sz w:val="24"/>
          <w:szCs w:val="24"/>
        </w:rPr>
        <w:t>（或产品</w:t>
      </w:r>
      <w:r>
        <w:rPr>
          <w:rFonts w:hint="eastAsia" w:ascii="仿宋" w:hAnsi="仿宋" w:eastAsia="仿宋" w:cs="仿宋"/>
          <w:spacing w:val="-15"/>
          <w:sz w:val="24"/>
          <w:szCs w:val="24"/>
        </w:rPr>
        <w:t>）</w:t>
      </w:r>
      <w:r>
        <w:rPr>
          <w:rFonts w:hint="eastAsia" w:ascii="仿宋" w:hAnsi="仿宋" w:eastAsia="仿宋" w:cs="仿宋"/>
          <w:spacing w:val="-5"/>
          <w:sz w:val="24"/>
          <w:szCs w:val="24"/>
        </w:rPr>
        <w:t>与响应文件</w:t>
      </w:r>
      <w:r>
        <w:rPr>
          <w:rFonts w:hint="eastAsia" w:ascii="仿宋" w:hAnsi="仿宋" w:eastAsia="仿宋" w:cs="仿宋"/>
          <w:spacing w:val="-6"/>
          <w:sz w:val="24"/>
          <w:szCs w:val="24"/>
        </w:rPr>
        <w:t>不一致，或发现我</w:t>
      </w:r>
      <w:r>
        <w:rPr>
          <w:rFonts w:hint="eastAsia" w:ascii="仿宋" w:hAnsi="仿宋" w:eastAsia="仿宋" w:cs="仿宋"/>
          <w:sz w:val="24"/>
          <w:szCs w:val="24"/>
        </w:rPr>
        <w:t>公司提供了不真实的响应文件（虚假材料</w:t>
      </w:r>
      <w:r>
        <w:rPr>
          <w:rFonts w:hint="eastAsia" w:ascii="仿宋" w:hAnsi="仿宋" w:eastAsia="仿宋" w:cs="仿宋"/>
          <w:spacing w:val="-120"/>
          <w:sz w:val="24"/>
          <w:szCs w:val="24"/>
        </w:rPr>
        <w:t>）   ）</w:t>
      </w:r>
      <w:r>
        <w:rPr>
          <w:rFonts w:hint="eastAsia" w:ascii="仿宋" w:hAnsi="仿宋" w:eastAsia="仿宋" w:cs="仿宋"/>
          <w:sz w:val="24"/>
          <w:szCs w:val="24"/>
        </w:rPr>
        <w:t>），我公司愿意承担一切法律责任并认可采购人或采购代理机构作出的取消成交资格、罚没保证金等决定。</w:t>
      </w:r>
    </w:p>
    <w:p w14:paraId="486A2A27">
      <w:pPr>
        <w:pStyle w:val="22"/>
        <w:tabs>
          <w:tab w:val="left" w:pos="9214"/>
        </w:tabs>
        <w:spacing w:line="360" w:lineRule="auto"/>
        <w:ind w:right="-92" w:rightChars="-44"/>
        <w:rPr>
          <w:rFonts w:hint="eastAsia" w:ascii="仿宋" w:hAnsi="仿宋" w:eastAsia="仿宋" w:cs="仿宋"/>
          <w:sz w:val="24"/>
          <w:szCs w:val="24"/>
        </w:rPr>
      </w:pPr>
      <w:r>
        <w:rPr>
          <w:rFonts w:hint="eastAsia" w:ascii="仿宋" w:hAnsi="仿宋" w:eastAsia="仿宋" w:cs="仿宋"/>
          <w:sz w:val="24"/>
          <w:szCs w:val="24"/>
        </w:rPr>
        <w:t>特此声明。</w:t>
      </w:r>
    </w:p>
    <w:p w14:paraId="0AB4C9D2">
      <w:pPr>
        <w:pStyle w:val="22"/>
        <w:tabs>
          <w:tab w:val="left" w:pos="9214"/>
        </w:tabs>
        <w:spacing w:line="360" w:lineRule="auto"/>
        <w:ind w:right="-92" w:rightChars="-44"/>
        <w:rPr>
          <w:rFonts w:hint="eastAsia" w:ascii="仿宋" w:hAnsi="仿宋" w:eastAsia="仿宋" w:cs="仿宋"/>
          <w:sz w:val="24"/>
          <w:szCs w:val="24"/>
        </w:rPr>
      </w:pPr>
    </w:p>
    <w:p w14:paraId="0F4DE005">
      <w:pPr>
        <w:pStyle w:val="22"/>
        <w:tabs>
          <w:tab w:val="left" w:pos="9214"/>
        </w:tabs>
        <w:ind w:right="-92" w:rightChars="-44"/>
        <w:rPr>
          <w:rFonts w:hint="eastAsia" w:ascii="仿宋" w:hAnsi="仿宋" w:eastAsia="仿宋" w:cs="仿宋"/>
          <w:sz w:val="24"/>
          <w:szCs w:val="24"/>
        </w:rPr>
      </w:pPr>
    </w:p>
    <w:p w14:paraId="78E3EA9C">
      <w:pPr>
        <w:pStyle w:val="22"/>
        <w:tabs>
          <w:tab w:val="left" w:pos="9214"/>
        </w:tabs>
        <w:ind w:right="-92" w:rightChars="-44"/>
        <w:rPr>
          <w:rFonts w:hint="eastAsia" w:ascii="仿宋" w:hAnsi="仿宋" w:eastAsia="仿宋" w:cs="仿宋"/>
          <w:sz w:val="24"/>
          <w:szCs w:val="24"/>
        </w:rPr>
      </w:pPr>
    </w:p>
    <w:p w14:paraId="6BBD6F7A">
      <w:pPr>
        <w:pStyle w:val="22"/>
        <w:tabs>
          <w:tab w:val="left" w:pos="4736"/>
          <w:tab w:val="left" w:pos="9214"/>
        </w:tabs>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名称（盖章）：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14:paraId="3604CB10">
      <w:pPr>
        <w:pStyle w:val="22"/>
        <w:tabs>
          <w:tab w:val="left" w:pos="5521"/>
          <w:tab w:val="left" w:pos="6366"/>
          <w:tab w:val="left" w:pos="9062"/>
          <w:tab w:val="left" w:pos="9214"/>
        </w:tabs>
        <w:spacing w:line="360" w:lineRule="auto"/>
        <w:rPr>
          <w:rFonts w:hint="eastAsia" w:ascii="仿宋" w:hAnsi="仿宋" w:eastAsia="仿宋" w:cs="仿宋"/>
          <w:sz w:val="24"/>
          <w:szCs w:val="24"/>
          <w:u w:val="single"/>
        </w:rPr>
      </w:pPr>
      <w:r>
        <w:rPr>
          <w:rFonts w:hint="eastAsia" w:ascii="仿宋" w:hAnsi="仿宋" w:eastAsia="仿宋" w:cs="仿宋"/>
          <w:sz w:val="24"/>
          <w:szCs w:val="24"/>
          <w:lang w:eastAsia="zh-CN"/>
        </w:rPr>
        <w:t>供应商</w:t>
      </w:r>
      <w:r>
        <w:rPr>
          <w:rFonts w:hint="eastAsia" w:ascii="仿宋" w:hAnsi="仿宋" w:eastAsia="仿宋" w:cs="仿宋"/>
          <w:sz w:val="24"/>
          <w:szCs w:val="24"/>
        </w:rPr>
        <w:t>授权代表</w:t>
      </w:r>
      <w:r>
        <w:rPr>
          <w:rFonts w:hint="eastAsia" w:ascii="仿宋" w:hAnsi="仿宋" w:eastAsia="仿宋" w:cs="仿宋"/>
          <w:sz w:val="24"/>
          <w:szCs w:val="24"/>
          <w:lang w:eastAsia="zh-CN"/>
        </w:rPr>
        <w:t>（</w:t>
      </w:r>
      <w:r>
        <w:rPr>
          <w:rFonts w:hint="eastAsia" w:ascii="仿宋" w:hAnsi="仿宋" w:eastAsia="仿宋" w:cs="仿宋"/>
          <w:sz w:val="24"/>
          <w:szCs w:val="24"/>
        </w:rPr>
        <w:t>签字或签章</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14:paraId="0CEE59E3">
      <w:pPr>
        <w:pStyle w:val="22"/>
        <w:tabs>
          <w:tab w:val="left" w:pos="5521"/>
          <w:tab w:val="left" w:pos="6366"/>
          <w:tab w:val="left" w:pos="9062"/>
          <w:tab w:val="left" w:pos="9214"/>
        </w:tabs>
        <w:spacing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14:paraId="567B9C7A">
      <w:pPr>
        <w:pStyle w:val="22"/>
        <w:tabs>
          <w:tab w:val="left" w:pos="9214"/>
        </w:tabs>
        <w:spacing w:line="360" w:lineRule="auto"/>
        <w:rPr>
          <w:rFonts w:hint="eastAsia" w:ascii="仿宋" w:hAnsi="仿宋" w:eastAsia="仿宋" w:cs="仿宋"/>
          <w:sz w:val="24"/>
          <w:szCs w:val="24"/>
        </w:rPr>
      </w:pPr>
    </w:p>
    <w:p w14:paraId="05B0655F">
      <w:pPr>
        <w:pStyle w:val="22"/>
        <w:tabs>
          <w:tab w:val="left" w:pos="9214"/>
        </w:tabs>
        <w:spacing w:line="360" w:lineRule="auto"/>
        <w:rPr>
          <w:rFonts w:hint="eastAsia" w:ascii="仿宋" w:hAnsi="仿宋" w:eastAsia="仿宋" w:cs="仿宋"/>
          <w:sz w:val="24"/>
          <w:szCs w:val="24"/>
        </w:rPr>
      </w:pPr>
    </w:p>
    <w:p w14:paraId="16271865">
      <w:pPr>
        <w:pStyle w:val="22"/>
        <w:tabs>
          <w:tab w:val="left" w:pos="1560"/>
          <w:tab w:val="left" w:pos="2040"/>
          <w:tab w:val="left" w:pos="9214"/>
        </w:tabs>
        <w:spacing w:before="66"/>
        <w:ind w:right="-92" w:rightChars="-44"/>
        <w:rPr>
          <w:rFonts w:hint="eastAsia" w:ascii="仿宋" w:hAnsi="仿宋" w:eastAsia="仿宋" w:cs="仿宋"/>
          <w:sz w:val="24"/>
          <w:szCs w:val="24"/>
        </w:rPr>
      </w:pPr>
    </w:p>
    <w:p w14:paraId="24E7D9BF">
      <w:pPr>
        <w:pStyle w:val="156"/>
        <w:spacing w:line="360" w:lineRule="auto"/>
        <w:ind w:right="-92" w:rightChars="-44"/>
        <w:jc w:val="both"/>
        <w:rPr>
          <w:rFonts w:hint="eastAsia" w:ascii="仿宋" w:hAnsi="仿宋" w:eastAsia="仿宋" w:cs="仿宋"/>
          <w:b/>
          <w:sz w:val="24"/>
          <w:szCs w:val="24"/>
        </w:rPr>
        <w:sectPr>
          <w:pgSz w:w="11906" w:h="16838"/>
          <w:pgMar w:top="1440" w:right="1800" w:bottom="1440" w:left="1800" w:header="851" w:footer="992" w:gutter="0"/>
          <w:pgNumType w:fmt="decimal"/>
          <w:cols w:space="720" w:num="1"/>
          <w:docGrid w:type="lines" w:linePitch="312" w:charSpace="0"/>
        </w:sectPr>
      </w:pPr>
    </w:p>
    <w:p w14:paraId="4EAE439E">
      <w:pPr>
        <w:pStyle w:val="156"/>
        <w:spacing w:line="360" w:lineRule="auto"/>
        <w:jc w:val="both"/>
        <w:outlineLvl w:val="2"/>
        <w:rPr>
          <w:rFonts w:hint="eastAsia" w:ascii="仿宋" w:hAnsi="仿宋" w:eastAsia="仿宋" w:cs="仿宋"/>
          <w:b/>
          <w:sz w:val="21"/>
          <w:szCs w:val="21"/>
        </w:rPr>
      </w:pPr>
      <w:bookmarkStart w:id="266" w:name="_Toc114589530"/>
      <w:bookmarkStart w:id="267" w:name="_Toc115436123"/>
      <w:bookmarkStart w:id="268" w:name="_Toc29736"/>
      <w:bookmarkStart w:id="269" w:name="_Toc16007"/>
      <w:bookmarkStart w:id="270" w:name="_Toc28847"/>
      <w:bookmarkStart w:id="271" w:name="_Toc1085"/>
      <w:bookmarkStart w:id="272" w:name="_Toc1702"/>
      <w:r>
        <w:rPr>
          <w:rFonts w:hint="eastAsia" w:ascii="仿宋" w:hAnsi="仿宋" w:eastAsia="仿宋" w:cs="仿宋"/>
          <w:b/>
          <w:sz w:val="21"/>
          <w:szCs w:val="21"/>
        </w:rPr>
        <w:t>附件 2-9（格式自拟）</w:t>
      </w:r>
      <w:bookmarkEnd w:id="266"/>
      <w:bookmarkEnd w:id="267"/>
      <w:bookmarkEnd w:id="268"/>
      <w:bookmarkEnd w:id="269"/>
      <w:bookmarkEnd w:id="270"/>
      <w:bookmarkEnd w:id="271"/>
      <w:bookmarkEnd w:id="272"/>
    </w:p>
    <w:p w14:paraId="393299CA">
      <w:pPr>
        <w:pStyle w:val="22"/>
        <w:tabs>
          <w:tab w:val="left" w:pos="9214"/>
        </w:tabs>
        <w:spacing w:before="9" w:line="360" w:lineRule="auto"/>
        <w:rPr>
          <w:rFonts w:hint="eastAsia" w:ascii="仿宋" w:hAnsi="仿宋" w:eastAsia="仿宋" w:cs="仿宋"/>
          <w:b/>
          <w:sz w:val="21"/>
          <w:szCs w:val="21"/>
        </w:rPr>
      </w:pPr>
    </w:p>
    <w:p w14:paraId="24B2B7FA">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投标供应商</w:t>
      </w:r>
      <w:r>
        <w:rPr>
          <w:rFonts w:hint="eastAsia" w:ascii="仿宋" w:hAnsi="仿宋" w:eastAsia="仿宋" w:cs="仿宋"/>
          <w:b/>
          <w:bCs/>
          <w:sz w:val="32"/>
          <w:szCs w:val="32"/>
        </w:rPr>
        <w:t>关联单位的说明（格式自拟）</w:t>
      </w:r>
    </w:p>
    <w:p w14:paraId="2626F50C">
      <w:pPr>
        <w:spacing w:line="360" w:lineRule="auto"/>
        <w:rPr>
          <w:rFonts w:hint="eastAsia" w:ascii="仿宋" w:hAnsi="仿宋" w:eastAsia="仿宋" w:cs="仿宋"/>
          <w:sz w:val="21"/>
          <w:szCs w:val="21"/>
        </w:rPr>
      </w:pPr>
    </w:p>
    <w:p w14:paraId="7B1145AC">
      <w:pPr>
        <w:pStyle w:val="156"/>
        <w:spacing w:line="360" w:lineRule="auto"/>
        <w:rPr>
          <w:rFonts w:hint="eastAsia" w:ascii="仿宋" w:hAnsi="仿宋" w:eastAsia="仿宋" w:cs="仿宋"/>
          <w:sz w:val="24"/>
          <w:szCs w:val="24"/>
        </w:rPr>
      </w:pPr>
      <w:r>
        <w:rPr>
          <w:rFonts w:hint="eastAsia" w:ascii="仿宋" w:hAnsi="仿宋" w:eastAsia="仿宋" w:cs="仿宋"/>
          <w:sz w:val="24"/>
          <w:szCs w:val="24"/>
        </w:rPr>
        <w:t>说明：</w:t>
      </w:r>
    </w:p>
    <w:p w14:paraId="0F6E4D26">
      <w:pPr>
        <w:pStyle w:val="156"/>
        <w:spacing w:line="360" w:lineRule="auto"/>
        <w:outlineLvl w:val="1"/>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应当如实披露与本单位存在下列关联关系的单位名称：</w:t>
      </w:r>
    </w:p>
    <w:p w14:paraId="75812841">
      <w:pPr>
        <w:pStyle w:val="156"/>
        <w:spacing w:line="360" w:lineRule="auto"/>
        <w:rPr>
          <w:rFonts w:hint="eastAsia" w:ascii="仿宋" w:hAnsi="仿宋" w:eastAsia="仿宋" w:cs="仿宋"/>
          <w:sz w:val="24"/>
          <w:szCs w:val="24"/>
        </w:rPr>
      </w:pPr>
      <w:r>
        <w:rPr>
          <w:rFonts w:hint="eastAsia" w:ascii="仿宋" w:hAnsi="仿宋" w:eastAsia="仿宋" w:cs="仿宋"/>
          <w:sz w:val="24"/>
          <w:szCs w:val="24"/>
        </w:rPr>
        <w:t>与</w:t>
      </w:r>
      <w:r>
        <w:rPr>
          <w:rFonts w:hint="eastAsia" w:ascii="仿宋" w:hAnsi="仿宋" w:eastAsia="仿宋" w:cs="仿宋"/>
          <w:sz w:val="24"/>
          <w:szCs w:val="24"/>
          <w:lang w:eastAsia="zh-CN"/>
        </w:rPr>
        <w:t>供应商</w:t>
      </w:r>
      <w:r>
        <w:rPr>
          <w:rFonts w:hint="eastAsia" w:ascii="仿宋" w:hAnsi="仿宋" w:eastAsia="仿宋" w:cs="仿宋"/>
          <w:sz w:val="24"/>
          <w:szCs w:val="24"/>
        </w:rPr>
        <w:t>单位负责人为同一人的其他单位；</w:t>
      </w:r>
    </w:p>
    <w:p w14:paraId="2D14AB01">
      <w:pPr>
        <w:pStyle w:val="156"/>
        <w:spacing w:line="360" w:lineRule="auto"/>
        <w:rPr>
          <w:rFonts w:hint="eastAsia" w:ascii="仿宋" w:hAnsi="仿宋" w:eastAsia="仿宋" w:cs="仿宋"/>
          <w:sz w:val="24"/>
          <w:szCs w:val="24"/>
        </w:rPr>
      </w:pPr>
      <w:r>
        <w:rPr>
          <w:rFonts w:hint="eastAsia" w:ascii="仿宋" w:hAnsi="仿宋" w:eastAsia="仿宋" w:cs="仿宋"/>
          <w:sz w:val="24"/>
          <w:szCs w:val="24"/>
        </w:rPr>
        <w:t>2.与</w:t>
      </w:r>
      <w:r>
        <w:rPr>
          <w:rFonts w:hint="eastAsia" w:ascii="仿宋" w:hAnsi="仿宋" w:eastAsia="仿宋" w:cs="仿宋"/>
          <w:sz w:val="24"/>
          <w:szCs w:val="24"/>
          <w:lang w:eastAsia="zh-CN"/>
        </w:rPr>
        <w:t>供应商</w:t>
      </w:r>
      <w:r>
        <w:rPr>
          <w:rFonts w:hint="eastAsia" w:ascii="仿宋" w:hAnsi="仿宋" w:eastAsia="仿宋" w:cs="仿宋"/>
          <w:sz w:val="24"/>
          <w:szCs w:val="24"/>
        </w:rPr>
        <w:t>存在直接控股、管理关系的其他单位；</w:t>
      </w:r>
    </w:p>
    <w:p w14:paraId="213746A2">
      <w:pPr>
        <w:pStyle w:val="156"/>
        <w:spacing w:line="360" w:lineRule="auto"/>
        <w:rPr>
          <w:rFonts w:hint="eastAsia" w:ascii="仿宋" w:hAnsi="仿宋" w:eastAsia="仿宋" w:cs="仿宋"/>
          <w:sz w:val="24"/>
          <w:szCs w:val="24"/>
        </w:rPr>
      </w:pPr>
      <w:r>
        <w:rPr>
          <w:rFonts w:hint="eastAsia" w:ascii="仿宋" w:hAnsi="仿宋" w:eastAsia="仿宋" w:cs="仿宋"/>
          <w:sz w:val="24"/>
          <w:szCs w:val="24"/>
        </w:rPr>
        <w:t>3.如无关联单位可不提供此说明。</w:t>
      </w:r>
    </w:p>
    <w:p w14:paraId="26FC880F">
      <w:pPr>
        <w:pStyle w:val="156"/>
        <w:spacing w:line="360" w:lineRule="auto"/>
        <w:rPr>
          <w:rFonts w:hint="eastAsia" w:ascii="仿宋" w:hAnsi="仿宋" w:eastAsia="仿宋" w:cs="仿宋"/>
          <w:sz w:val="24"/>
          <w:szCs w:val="24"/>
        </w:rPr>
        <w:sectPr>
          <w:pgSz w:w="11906" w:h="16838"/>
          <w:pgMar w:top="1440" w:right="1800" w:bottom="1440" w:left="1800" w:header="851" w:footer="992" w:gutter="0"/>
          <w:pgNumType w:fmt="decimal"/>
          <w:cols w:space="720" w:num="1"/>
          <w:docGrid w:type="lines" w:linePitch="312" w:charSpace="0"/>
        </w:sectPr>
      </w:pPr>
    </w:p>
    <w:p w14:paraId="10F3F133">
      <w:pPr>
        <w:pStyle w:val="156"/>
        <w:spacing w:line="360" w:lineRule="auto"/>
        <w:jc w:val="center"/>
        <w:outlineLvl w:val="2"/>
        <w:rPr>
          <w:rFonts w:hint="eastAsia" w:ascii="仿宋" w:hAnsi="仿宋" w:eastAsia="仿宋" w:cs="仿宋"/>
          <w:b/>
          <w:sz w:val="32"/>
          <w:szCs w:val="32"/>
        </w:rPr>
      </w:pPr>
      <w:bookmarkStart w:id="273" w:name="_Toc114589531"/>
      <w:bookmarkStart w:id="274" w:name="_Toc15448"/>
      <w:bookmarkStart w:id="275" w:name="_Toc115436124"/>
      <w:bookmarkStart w:id="276" w:name="_Toc28772"/>
      <w:bookmarkStart w:id="277" w:name="_Toc471"/>
      <w:bookmarkStart w:id="278" w:name="_Toc23872"/>
      <w:bookmarkStart w:id="279" w:name="_Toc5327"/>
      <w:r>
        <w:rPr>
          <w:rFonts w:hint="eastAsia" w:ascii="仿宋" w:hAnsi="仿宋" w:eastAsia="仿宋" w:cs="仿宋"/>
          <w:b/>
          <w:sz w:val="32"/>
          <w:szCs w:val="32"/>
        </w:rPr>
        <w:t>附件 2-10</w:t>
      </w:r>
      <w:r>
        <w:rPr>
          <w:rFonts w:hint="eastAsia" w:ascii="仿宋" w:hAnsi="仿宋" w:eastAsia="仿宋" w:cs="仿宋"/>
          <w:b/>
          <w:sz w:val="32"/>
          <w:szCs w:val="32"/>
        </w:rPr>
        <w:tab/>
      </w:r>
      <w:r>
        <w:rPr>
          <w:rFonts w:hint="eastAsia" w:ascii="仿宋" w:hAnsi="仿宋" w:eastAsia="仿宋" w:cs="仿宋"/>
          <w:b/>
          <w:sz w:val="32"/>
          <w:szCs w:val="32"/>
        </w:rPr>
        <w:t>供应商</w:t>
      </w:r>
      <w:r>
        <w:rPr>
          <w:rFonts w:hint="eastAsia" w:ascii="仿宋" w:hAnsi="仿宋" w:eastAsia="仿宋" w:cs="仿宋"/>
          <w:b/>
          <w:sz w:val="32"/>
          <w:szCs w:val="32"/>
          <w:lang w:eastAsia="zh-CN"/>
        </w:rPr>
        <w:t>认为有必要提供的</w:t>
      </w:r>
      <w:r>
        <w:rPr>
          <w:rFonts w:hint="eastAsia" w:ascii="仿宋" w:hAnsi="仿宋" w:eastAsia="仿宋" w:cs="仿宋"/>
          <w:b/>
          <w:sz w:val="32"/>
          <w:szCs w:val="32"/>
        </w:rPr>
        <w:t>其他资格</w:t>
      </w:r>
    </w:p>
    <w:p w14:paraId="48E428DF">
      <w:pPr>
        <w:pStyle w:val="156"/>
        <w:spacing w:line="360" w:lineRule="auto"/>
        <w:jc w:val="center"/>
        <w:outlineLvl w:val="2"/>
        <w:rPr>
          <w:rFonts w:hint="eastAsia" w:ascii="仿宋" w:hAnsi="仿宋" w:eastAsia="仿宋" w:cs="仿宋"/>
          <w:b/>
          <w:sz w:val="32"/>
          <w:szCs w:val="32"/>
        </w:rPr>
      </w:pPr>
      <w:r>
        <w:rPr>
          <w:rFonts w:hint="eastAsia" w:ascii="仿宋" w:hAnsi="仿宋" w:eastAsia="仿宋" w:cs="仿宋"/>
          <w:b/>
          <w:sz w:val="32"/>
          <w:szCs w:val="32"/>
        </w:rPr>
        <w:t>证明文件</w:t>
      </w:r>
      <w:bookmarkEnd w:id="273"/>
      <w:bookmarkEnd w:id="274"/>
      <w:bookmarkEnd w:id="275"/>
      <w:bookmarkEnd w:id="276"/>
      <w:bookmarkEnd w:id="277"/>
      <w:bookmarkEnd w:id="278"/>
      <w:bookmarkEnd w:id="279"/>
    </w:p>
    <w:p w14:paraId="6378BAB1">
      <w:pPr>
        <w:pStyle w:val="22"/>
        <w:tabs>
          <w:tab w:val="left" w:pos="9214"/>
        </w:tabs>
        <w:spacing w:before="12"/>
        <w:rPr>
          <w:rFonts w:hint="eastAsia" w:ascii="仿宋" w:hAnsi="仿宋" w:eastAsia="仿宋" w:cs="仿宋"/>
          <w:b/>
          <w:sz w:val="21"/>
          <w:szCs w:val="21"/>
        </w:rPr>
      </w:pPr>
    </w:p>
    <w:p w14:paraId="59E60726">
      <w:pPr>
        <w:pStyle w:val="95"/>
        <w:tabs>
          <w:tab w:val="left" w:pos="1322"/>
        </w:tabs>
        <w:autoSpaceDE w:val="0"/>
        <w:autoSpaceDN w:val="0"/>
        <w:adjustRightInd w:val="0"/>
        <w:snapToGrid w:val="0"/>
        <w:spacing w:line="360" w:lineRule="auto"/>
        <w:ind w:firstLine="609" w:firstLineChars="290"/>
        <w:jc w:val="left"/>
        <w:rPr>
          <w:rFonts w:hint="eastAsia" w:ascii="仿宋" w:hAnsi="仿宋" w:eastAsia="仿宋" w:cs="仿宋"/>
          <w:sz w:val="21"/>
          <w:szCs w:val="21"/>
        </w:rPr>
      </w:pPr>
    </w:p>
    <w:p w14:paraId="2A6F1C7A">
      <w:pPr>
        <w:pStyle w:val="95"/>
        <w:tabs>
          <w:tab w:val="left" w:pos="1322"/>
        </w:tabs>
        <w:autoSpaceDE w:val="0"/>
        <w:autoSpaceDN w:val="0"/>
        <w:adjustRightInd w:val="0"/>
        <w:snapToGrid w:val="0"/>
        <w:spacing w:line="360" w:lineRule="auto"/>
        <w:ind w:firstLine="609" w:firstLineChars="290"/>
        <w:jc w:val="left"/>
        <w:rPr>
          <w:rFonts w:hint="eastAsia" w:ascii="仿宋" w:hAnsi="仿宋" w:eastAsia="仿宋" w:cs="仿宋"/>
          <w:sz w:val="21"/>
          <w:szCs w:val="21"/>
        </w:rPr>
      </w:pPr>
    </w:p>
    <w:p w14:paraId="6B64C21A">
      <w:pPr>
        <w:pStyle w:val="95"/>
        <w:tabs>
          <w:tab w:val="left" w:pos="1322"/>
        </w:tabs>
        <w:autoSpaceDE w:val="0"/>
        <w:autoSpaceDN w:val="0"/>
        <w:adjustRightInd w:val="0"/>
        <w:snapToGrid w:val="0"/>
        <w:spacing w:line="360" w:lineRule="auto"/>
        <w:ind w:firstLine="609" w:firstLineChars="290"/>
        <w:jc w:val="left"/>
        <w:rPr>
          <w:rFonts w:hint="eastAsia" w:ascii="仿宋" w:hAnsi="仿宋" w:eastAsia="仿宋" w:cs="仿宋"/>
          <w:sz w:val="21"/>
          <w:szCs w:val="21"/>
        </w:rPr>
      </w:pPr>
    </w:p>
    <w:p w14:paraId="7F26B3A7">
      <w:pPr>
        <w:pStyle w:val="95"/>
        <w:tabs>
          <w:tab w:val="left" w:pos="1322"/>
        </w:tabs>
        <w:autoSpaceDE w:val="0"/>
        <w:autoSpaceDN w:val="0"/>
        <w:adjustRightInd w:val="0"/>
        <w:snapToGrid w:val="0"/>
        <w:spacing w:line="360" w:lineRule="auto"/>
        <w:ind w:firstLine="609" w:firstLineChars="290"/>
        <w:jc w:val="left"/>
        <w:rPr>
          <w:rFonts w:hint="eastAsia" w:ascii="仿宋" w:hAnsi="仿宋" w:eastAsia="仿宋" w:cs="仿宋"/>
          <w:sz w:val="21"/>
          <w:szCs w:val="21"/>
        </w:rPr>
        <w:sectPr>
          <w:pgSz w:w="11906" w:h="16838"/>
          <w:pgMar w:top="1440" w:right="1800" w:bottom="1440" w:left="1800" w:header="851" w:footer="992" w:gutter="0"/>
          <w:pgNumType w:fmt="decimal"/>
          <w:cols w:space="720" w:num="1"/>
          <w:docGrid w:type="lines" w:linePitch="312" w:charSpace="0"/>
        </w:sectPr>
      </w:pPr>
    </w:p>
    <w:p w14:paraId="1FFC8EE9">
      <w:pPr>
        <w:pStyle w:val="156"/>
        <w:spacing w:line="360" w:lineRule="auto"/>
        <w:outlineLvl w:val="1"/>
        <w:rPr>
          <w:rFonts w:hint="eastAsia" w:ascii="仿宋" w:hAnsi="仿宋" w:eastAsia="仿宋" w:cs="仿宋"/>
          <w:b/>
          <w:sz w:val="24"/>
          <w:szCs w:val="24"/>
        </w:rPr>
      </w:pPr>
      <w:bookmarkStart w:id="280" w:name="_Toc17679"/>
      <w:bookmarkStart w:id="281" w:name="_Toc11315"/>
      <w:bookmarkStart w:id="282" w:name="_Toc114589532"/>
      <w:bookmarkStart w:id="283" w:name="_Toc115436125"/>
      <w:bookmarkStart w:id="284" w:name="_Toc22532"/>
      <w:bookmarkStart w:id="285" w:name="_Toc22438"/>
      <w:bookmarkStart w:id="286" w:name="_Toc14633"/>
      <w:r>
        <w:rPr>
          <w:rFonts w:hint="eastAsia" w:ascii="仿宋" w:hAnsi="仿宋" w:eastAsia="仿宋" w:cs="仿宋"/>
          <w:b/>
          <w:sz w:val="24"/>
          <w:szCs w:val="24"/>
        </w:rPr>
        <w:t xml:space="preserve">附件3  </w:t>
      </w:r>
      <w:r>
        <w:rPr>
          <w:rFonts w:hint="eastAsia" w:ascii="仿宋" w:hAnsi="仿宋" w:eastAsia="仿宋" w:cs="仿宋"/>
          <w:b/>
          <w:sz w:val="24"/>
          <w:szCs w:val="24"/>
          <w:lang w:eastAsia="zh-CN"/>
        </w:rPr>
        <w:t>供应商</w:t>
      </w:r>
      <w:r>
        <w:rPr>
          <w:rFonts w:hint="eastAsia" w:ascii="仿宋" w:hAnsi="仿宋" w:eastAsia="仿宋" w:cs="仿宋"/>
          <w:b/>
          <w:sz w:val="24"/>
          <w:szCs w:val="24"/>
        </w:rPr>
        <w:t>综合情况（格式）</w:t>
      </w:r>
      <w:bookmarkEnd w:id="280"/>
      <w:bookmarkEnd w:id="281"/>
      <w:bookmarkEnd w:id="282"/>
      <w:bookmarkEnd w:id="283"/>
      <w:bookmarkEnd w:id="284"/>
      <w:bookmarkEnd w:id="285"/>
      <w:bookmarkEnd w:id="286"/>
      <w:r>
        <w:rPr>
          <w:rFonts w:hint="eastAsia" w:ascii="仿宋" w:hAnsi="仿宋" w:eastAsia="仿宋" w:cs="仿宋"/>
          <w:b/>
          <w:sz w:val="24"/>
          <w:szCs w:val="24"/>
        </w:rPr>
        <w:t xml:space="preserve"> </w:t>
      </w:r>
    </w:p>
    <w:p w14:paraId="3BC6E33D">
      <w:pPr>
        <w:pStyle w:val="156"/>
        <w:spacing w:line="360" w:lineRule="auto"/>
        <w:outlineLvl w:val="2"/>
        <w:rPr>
          <w:rFonts w:hint="eastAsia" w:ascii="仿宋" w:hAnsi="仿宋" w:eastAsia="仿宋" w:cs="仿宋"/>
          <w:b/>
          <w:sz w:val="24"/>
          <w:szCs w:val="24"/>
        </w:rPr>
      </w:pPr>
      <w:bookmarkStart w:id="287" w:name="_Toc114589533"/>
      <w:bookmarkStart w:id="288" w:name="_Toc11568"/>
      <w:bookmarkStart w:id="289" w:name="_Toc5632"/>
      <w:bookmarkStart w:id="290" w:name="_Toc23365"/>
      <w:bookmarkStart w:id="291" w:name="_Toc26050"/>
      <w:bookmarkStart w:id="292" w:name="_Toc115436126"/>
      <w:bookmarkStart w:id="293" w:name="_Toc32438"/>
      <w:r>
        <w:rPr>
          <w:rFonts w:hint="eastAsia" w:ascii="仿宋" w:hAnsi="仿宋" w:eastAsia="仿宋" w:cs="仿宋"/>
          <w:b/>
          <w:sz w:val="24"/>
          <w:szCs w:val="24"/>
        </w:rPr>
        <w:t xml:space="preserve">附件 3-1 </w:t>
      </w:r>
      <w:r>
        <w:rPr>
          <w:rFonts w:hint="eastAsia" w:ascii="仿宋" w:hAnsi="仿宋" w:eastAsia="仿宋" w:cs="仿宋"/>
          <w:b/>
          <w:sz w:val="24"/>
          <w:szCs w:val="24"/>
          <w:lang w:eastAsia="zh-CN"/>
        </w:rPr>
        <w:t>供应商</w:t>
      </w:r>
      <w:r>
        <w:rPr>
          <w:rFonts w:hint="eastAsia" w:ascii="仿宋" w:hAnsi="仿宋" w:eastAsia="仿宋" w:cs="仿宋"/>
          <w:b/>
          <w:sz w:val="24"/>
          <w:szCs w:val="24"/>
        </w:rPr>
        <w:t>综合情况一览表</w:t>
      </w:r>
      <w:bookmarkEnd w:id="287"/>
      <w:bookmarkEnd w:id="288"/>
      <w:bookmarkEnd w:id="289"/>
      <w:bookmarkEnd w:id="290"/>
      <w:bookmarkEnd w:id="291"/>
      <w:bookmarkEnd w:id="292"/>
      <w:bookmarkEnd w:id="293"/>
    </w:p>
    <w:p w14:paraId="0CB398B0">
      <w:pPr>
        <w:pStyle w:val="22"/>
        <w:tabs>
          <w:tab w:val="left" w:pos="9214"/>
        </w:tabs>
        <w:spacing w:before="6"/>
        <w:rPr>
          <w:rFonts w:hint="eastAsia" w:ascii="仿宋" w:hAnsi="仿宋" w:eastAsia="仿宋" w:cs="仿宋"/>
          <w:b/>
          <w:sz w:val="24"/>
          <w:szCs w:val="24"/>
        </w:rPr>
      </w:pPr>
    </w:p>
    <w:tbl>
      <w:tblPr>
        <w:tblStyle w:val="46"/>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1A1F2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noWrap w:val="0"/>
            <w:vAlign w:val="top"/>
          </w:tcPr>
          <w:p w14:paraId="4742F3B8">
            <w:pPr>
              <w:pStyle w:val="144"/>
              <w:keepNext w:val="0"/>
              <w:keepLines w:val="0"/>
              <w:suppressLineNumbers w:val="0"/>
              <w:spacing w:before="153"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tc>
        <w:tc>
          <w:tcPr>
            <w:tcW w:w="6831" w:type="dxa"/>
            <w:gridSpan w:val="9"/>
            <w:tcBorders>
              <w:left w:val="single" w:color="000000" w:sz="6" w:space="0"/>
              <w:bottom w:val="single" w:color="000000" w:sz="6" w:space="0"/>
            </w:tcBorders>
            <w:noWrap w:val="0"/>
            <w:vAlign w:val="top"/>
          </w:tcPr>
          <w:p w14:paraId="64C11253">
            <w:pPr>
              <w:pStyle w:val="144"/>
              <w:keepNext w:val="0"/>
              <w:keepLines w:val="0"/>
              <w:suppressLineNumbers w:val="0"/>
              <w:spacing w:before="153" w:beforeAutospacing="0" w:after="0" w:afterAutospacing="0"/>
              <w:ind w:left="115" w:right="0"/>
              <w:rPr>
                <w:rFonts w:hint="eastAsia" w:ascii="仿宋" w:hAnsi="仿宋" w:eastAsia="仿宋" w:cs="仿宋"/>
                <w:sz w:val="24"/>
                <w:szCs w:val="24"/>
              </w:rPr>
            </w:pPr>
          </w:p>
        </w:tc>
      </w:tr>
      <w:tr w14:paraId="70B02C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top"/>
          </w:tcPr>
          <w:p w14:paraId="796CA260">
            <w:pPr>
              <w:pStyle w:val="144"/>
              <w:keepNext w:val="0"/>
              <w:keepLines w:val="0"/>
              <w:suppressLineNumbers w:val="0"/>
              <w:spacing w:before="148"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注册地址</w:t>
            </w:r>
          </w:p>
        </w:tc>
        <w:tc>
          <w:tcPr>
            <w:tcW w:w="3683" w:type="dxa"/>
            <w:gridSpan w:val="4"/>
            <w:tcBorders>
              <w:top w:val="single" w:color="000000" w:sz="6" w:space="0"/>
              <w:left w:val="single" w:color="000000" w:sz="6" w:space="0"/>
              <w:bottom w:val="single" w:color="000000" w:sz="6" w:space="0"/>
              <w:right w:val="single" w:color="000000" w:sz="6" w:space="0"/>
            </w:tcBorders>
            <w:noWrap w:val="0"/>
            <w:vAlign w:val="top"/>
          </w:tcPr>
          <w:p w14:paraId="42396D2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0C6F9B74">
            <w:pPr>
              <w:pStyle w:val="144"/>
              <w:keepNext w:val="0"/>
              <w:keepLines w:val="0"/>
              <w:suppressLineNumbers w:val="0"/>
              <w:spacing w:before="148" w:beforeAutospacing="0" w:after="0" w:afterAutospacing="0"/>
              <w:ind w:left="119" w:right="0"/>
              <w:rPr>
                <w:rFonts w:hint="eastAsia" w:ascii="仿宋" w:hAnsi="仿宋" w:eastAsia="仿宋" w:cs="仿宋"/>
                <w:sz w:val="24"/>
                <w:szCs w:val="24"/>
              </w:rPr>
            </w:pPr>
            <w:r>
              <w:rPr>
                <w:rFonts w:hint="eastAsia" w:ascii="仿宋" w:hAnsi="仿宋" w:eastAsia="仿宋" w:cs="仿宋"/>
                <w:sz w:val="24"/>
                <w:szCs w:val="24"/>
              </w:rPr>
              <w:t>邮政编码</w:t>
            </w:r>
          </w:p>
        </w:tc>
        <w:tc>
          <w:tcPr>
            <w:tcW w:w="1785" w:type="dxa"/>
            <w:gridSpan w:val="3"/>
            <w:tcBorders>
              <w:top w:val="single" w:color="000000" w:sz="6" w:space="0"/>
              <w:left w:val="single" w:color="000000" w:sz="6" w:space="0"/>
              <w:bottom w:val="single" w:color="000000" w:sz="6" w:space="0"/>
            </w:tcBorders>
            <w:noWrap w:val="0"/>
            <w:vAlign w:val="top"/>
          </w:tcPr>
          <w:p w14:paraId="3EB4D98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51C546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noWrap w:val="0"/>
            <w:vAlign w:val="top"/>
          </w:tcPr>
          <w:p w14:paraId="65119295">
            <w:pPr>
              <w:pStyle w:val="144"/>
              <w:keepNext w:val="0"/>
              <w:keepLines w:val="0"/>
              <w:suppressLineNumbers w:val="0"/>
              <w:spacing w:before="10" w:beforeAutospacing="0" w:after="0" w:afterAutospacing="0"/>
              <w:ind w:left="0" w:right="0"/>
              <w:rPr>
                <w:rFonts w:hint="eastAsia" w:ascii="仿宋" w:hAnsi="仿宋" w:eastAsia="仿宋" w:cs="仿宋"/>
                <w:b/>
                <w:sz w:val="24"/>
                <w:szCs w:val="24"/>
              </w:rPr>
            </w:pPr>
          </w:p>
          <w:p w14:paraId="70000775">
            <w:pPr>
              <w:pStyle w:val="144"/>
              <w:keepNext w:val="0"/>
              <w:keepLines w:val="0"/>
              <w:suppressLineNumbers w:val="0"/>
              <w:spacing w:before="0"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联系方式</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122CAD6A">
            <w:pPr>
              <w:pStyle w:val="144"/>
              <w:keepNext w:val="0"/>
              <w:keepLines w:val="0"/>
              <w:suppressLineNumbers w:val="0"/>
              <w:spacing w:before="143" w:beforeAutospacing="0" w:after="0" w:afterAutospacing="0"/>
              <w:ind w:left="115" w:right="0"/>
              <w:rPr>
                <w:rFonts w:hint="eastAsia" w:ascii="仿宋" w:hAnsi="仿宋" w:eastAsia="仿宋" w:cs="仿宋"/>
                <w:sz w:val="24"/>
                <w:szCs w:val="24"/>
              </w:rPr>
            </w:pPr>
            <w:r>
              <w:rPr>
                <w:rFonts w:hint="eastAsia" w:ascii="仿宋" w:hAnsi="仿宋" w:eastAsia="仿宋" w:cs="仿宋"/>
                <w:sz w:val="24"/>
                <w:szCs w:val="24"/>
              </w:rPr>
              <w:t>联系人</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top"/>
          </w:tcPr>
          <w:p w14:paraId="291DD3E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0A198996">
            <w:pPr>
              <w:pStyle w:val="144"/>
              <w:keepNext w:val="0"/>
              <w:keepLines w:val="0"/>
              <w:suppressLineNumbers w:val="0"/>
              <w:spacing w:before="143" w:beforeAutospacing="0" w:after="0" w:afterAutospacing="0"/>
              <w:ind w:left="119" w:right="0"/>
              <w:rPr>
                <w:rFonts w:hint="eastAsia" w:ascii="仿宋" w:hAnsi="仿宋" w:eastAsia="仿宋" w:cs="仿宋"/>
                <w:sz w:val="24"/>
                <w:szCs w:val="24"/>
              </w:rPr>
            </w:pPr>
            <w:r>
              <w:rPr>
                <w:rFonts w:hint="eastAsia" w:ascii="仿宋" w:hAnsi="仿宋" w:eastAsia="仿宋" w:cs="仿宋"/>
                <w:sz w:val="24"/>
                <w:szCs w:val="24"/>
              </w:rPr>
              <w:t>电话</w:t>
            </w:r>
          </w:p>
        </w:tc>
        <w:tc>
          <w:tcPr>
            <w:tcW w:w="1785" w:type="dxa"/>
            <w:gridSpan w:val="3"/>
            <w:tcBorders>
              <w:top w:val="single" w:color="000000" w:sz="6" w:space="0"/>
              <w:left w:val="single" w:color="000000" w:sz="6" w:space="0"/>
              <w:bottom w:val="single" w:color="000000" w:sz="6" w:space="0"/>
            </w:tcBorders>
            <w:noWrap w:val="0"/>
            <w:vAlign w:val="top"/>
          </w:tcPr>
          <w:p w14:paraId="072A76E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05AFA3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noWrap w:val="0"/>
            <w:vAlign w:val="top"/>
          </w:tcPr>
          <w:p w14:paraId="7F18FE39">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79D9E850">
            <w:pPr>
              <w:pStyle w:val="144"/>
              <w:keepNext w:val="0"/>
              <w:keepLines w:val="0"/>
              <w:suppressLineNumbers w:val="0"/>
              <w:spacing w:before="151" w:beforeAutospacing="0" w:after="0" w:afterAutospacing="0"/>
              <w:ind w:left="115" w:right="0"/>
              <w:rPr>
                <w:rFonts w:hint="eastAsia" w:ascii="仿宋" w:hAnsi="仿宋" w:eastAsia="仿宋" w:cs="仿宋"/>
                <w:sz w:val="24"/>
                <w:szCs w:val="24"/>
              </w:rPr>
            </w:pPr>
            <w:r>
              <w:rPr>
                <w:rFonts w:hint="eastAsia" w:ascii="仿宋" w:hAnsi="仿宋" w:eastAsia="仿宋" w:cs="仿宋"/>
                <w:sz w:val="24"/>
                <w:szCs w:val="24"/>
              </w:rPr>
              <w:t>传真</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top"/>
          </w:tcPr>
          <w:p w14:paraId="25BCA58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20C40156">
            <w:pPr>
              <w:pStyle w:val="144"/>
              <w:keepNext w:val="0"/>
              <w:keepLines w:val="0"/>
              <w:suppressLineNumbers w:val="0"/>
              <w:spacing w:before="151" w:beforeAutospacing="0" w:after="0" w:afterAutospacing="0"/>
              <w:ind w:left="119" w:right="0"/>
              <w:rPr>
                <w:rFonts w:hint="eastAsia" w:ascii="仿宋" w:hAnsi="仿宋" w:eastAsia="仿宋" w:cs="仿宋"/>
                <w:sz w:val="24"/>
                <w:szCs w:val="24"/>
              </w:rPr>
            </w:pPr>
            <w:r>
              <w:rPr>
                <w:rFonts w:hint="eastAsia" w:ascii="仿宋" w:hAnsi="仿宋" w:eastAsia="仿宋" w:cs="仿宋"/>
                <w:sz w:val="24"/>
                <w:szCs w:val="24"/>
              </w:rPr>
              <w:t>邮箱</w:t>
            </w:r>
          </w:p>
        </w:tc>
        <w:tc>
          <w:tcPr>
            <w:tcW w:w="1785" w:type="dxa"/>
            <w:gridSpan w:val="3"/>
            <w:tcBorders>
              <w:top w:val="single" w:color="000000" w:sz="6" w:space="0"/>
              <w:left w:val="single" w:color="000000" w:sz="6" w:space="0"/>
              <w:bottom w:val="single" w:color="000000" w:sz="6" w:space="0"/>
            </w:tcBorders>
            <w:noWrap w:val="0"/>
            <w:vAlign w:val="top"/>
          </w:tcPr>
          <w:p w14:paraId="1817B40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0199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top"/>
          </w:tcPr>
          <w:p w14:paraId="39AD738D">
            <w:pPr>
              <w:pStyle w:val="144"/>
              <w:keepNext w:val="0"/>
              <w:keepLines w:val="0"/>
              <w:suppressLineNumbers w:val="0"/>
              <w:spacing w:before="151" w:beforeAutospacing="0" w:after="0" w:afterAutospacing="0"/>
              <w:ind w:left="107" w:right="-44"/>
              <w:rPr>
                <w:rFonts w:hint="eastAsia" w:ascii="仿宋" w:hAnsi="仿宋" w:eastAsia="仿宋" w:cs="仿宋"/>
                <w:sz w:val="24"/>
                <w:szCs w:val="24"/>
              </w:rPr>
            </w:pPr>
            <w:r>
              <w:rPr>
                <w:rFonts w:hint="eastAsia" w:ascii="仿宋" w:hAnsi="仿宋" w:eastAsia="仿宋" w:cs="仿宋"/>
                <w:spacing w:val="-8"/>
                <w:sz w:val="24"/>
                <w:szCs w:val="24"/>
              </w:rPr>
              <w:t>隶属情况</w:t>
            </w:r>
            <w:r>
              <w:rPr>
                <w:rFonts w:hint="eastAsia" w:ascii="仿宋" w:hAnsi="仿宋" w:eastAsia="仿宋" w:cs="仿宋"/>
                <w:sz w:val="24"/>
                <w:szCs w:val="24"/>
              </w:rPr>
              <w:t>（如有）</w:t>
            </w:r>
          </w:p>
        </w:tc>
        <w:tc>
          <w:tcPr>
            <w:tcW w:w="6831" w:type="dxa"/>
            <w:gridSpan w:val="9"/>
            <w:tcBorders>
              <w:top w:val="single" w:color="000000" w:sz="6" w:space="0"/>
              <w:left w:val="single" w:color="000000" w:sz="6" w:space="0"/>
              <w:bottom w:val="single" w:color="000000" w:sz="6" w:space="0"/>
            </w:tcBorders>
            <w:noWrap w:val="0"/>
            <w:vAlign w:val="top"/>
          </w:tcPr>
          <w:p w14:paraId="4D812105">
            <w:pPr>
              <w:pStyle w:val="144"/>
              <w:keepNext w:val="0"/>
              <w:keepLines w:val="0"/>
              <w:suppressLineNumbers w:val="0"/>
              <w:spacing w:before="151" w:beforeAutospacing="0" w:after="0" w:afterAutospacing="0"/>
              <w:ind w:left="115" w:right="0"/>
              <w:rPr>
                <w:rFonts w:hint="eastAsia" w:ascii="仿宋" w:hAnsi="仿宋" w:eastAsia="仿宋" w:cs="仿宋"/>
                <w:sz w:val="24"/>
                <w:szCs w:val="24"/>
              </w:rPr>
            </w:pPr>
            <w:r>
              <w:rPr>
                <w:rFonts w:hint="eastAsia" w:ascii="仿宋" w:hAnsi="仿宋" w:eastAsia="仿宋" w:cs="仿宋"/>
                <w:sz w:val="24"/>
                <w:szCs w:val="24"/>
              </w:rPr>
              <w:t>阐明隶属及组织机构情况</w:t>
            </w:r>
          </w:p>
        </w:tc>
      </w:tr>
      <w:tr w14:paraId="3048E4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top"/>
          </w:tcPr>
          <w:p w14:paraId="7C376D79">
            <w:pPr>
              <w:pStyle w:val="144"/>
              <w:keepNext w:val="0"/>
              <w:keepLines w:val="0"/>
              <w:suppressLineNumbers w:val="0"/>
              <w:spacing w:before="151" w:beforeAutospacing="0" w:after="0" w:afterAutospacing="0"/>
              <w:ind w:left="107" w:right="-44"/>
              <w:rPr>
                <w:rFonts w:hint="eastAsia" w:ascii="仿宋" w:hAnsi="仿宋" w:eastAsia="仿宋" w:cs="仿宋"/>
                <w:sz w:val="24"/>
                <w:szCs w:val="24"/>
              </w:rPr>
            </w:pPr>
            <w:r>
              <w:rPr>
                <w:rFonts w:hint="eastAsia" w:ascii="仿宋" w:hAnsi="仿宋" w:eastAsia="仿宋" w:cs="仿宋"/>
                <w:spacing w:val="-8"/>
                <w:sz w:val="24"/>
                <w:szCs w:val="24"/>
              </w:rPr>
              <w:t>控股情况</w:t>
            </w:r>
            <w:r>
              <w:rPr>
                <w:rFonts w:hint="eastAsia" w:ascii="仿宋" w:hAnsi="仿宋" w:eastAsia="仿宋" w:cs="仿宋"/>
                <w:sz w:val="24"/>
                <w:szCs w:val="24"/>
              </w:rPr>
              <w:t>（如有）</w:t>
            </w:r>
          </w:p>
        </w:tc>
        <w:tc>
          <w:tcPr>
            <w:tcW w:w="6831" w:type="dxa"/>
            <w:gridSpan w:val="9"/>
            <w:tcBorders>
              <w:top w:val="single" w:color="000000" w:sz="6" w:space="0"/>
              <w:left w:val="single" w:color="000000" w:sz="6" w:space="0"/>
              <w:bottom w:val="single" w:color="000000" w:sz="6" w:space="0"/>
            </w:tcBorders>
            <w:noWrap w:val="0"/>
            <w:vAlign w:val="top"/>
          </w:tcPr>
          <w:p w14:paraId="0A357A34">
            <w:pPr>
              <w:pStyle w:val="144"/>
              <w:keepNext w:val="0"/>
              <w:keepLines w:val="0"/>
              <w:suppressLineNumbers w:val="0"/>
              <w:spacing w:before="151" w:beforeAutospacing="0" w:after="0" w:afterAutospacing="0"/>
              <w:ind w:left="115" w:right="0"/>
              <w:rPr>
                <w:rFonts w:hint="eastAsia" w:ascii="仿宋" w:hAnsi="仿宋" w:eastAsia="仿宋" w:cs="仿宋"/>
                <w:sz w:val="24"/>
                <w:szCs w:val="24"/>
              </w:rPr>
            </w:pPr>
            <w:r>
              <w:rPr>
                <w:rFonts w:hint="eastAsia" w:ascii="仿宋" w:hAnsi="仿宋" w:eastAsia="仿宋" w:cs="仿宋"/>
                <w:sz w:val="24"/>
                <w:szCs w:val="24"/>
              </w:rPr>
              <w:t>阐明控股和被控股情况</w:t>
            </w:r>
          </w:p>
        </w:tc>
      </w:tr>
      <w:tr w14:paraId="053B8E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noWrap w:val="0"/>
            <w:vAlign w:val="top"/>
          </w:tcPr>
          <w:p w14:paraId="5BF22041">
            <w:pPr>
              <w:pStyle w:val="144"/>
              <w:keepNext w:val="0"/>
              <w:keepLines w:val="0"/>
              <w:suppressLineNumbers w:val="0"/>
              <w:spacing w:before="141"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组织结构</w:t>
            </w:r>
          </w:p>
        </w:tc>
        <w:tc>
          <w:tcPr>
            <w:tcW w:w="6831" w:type="dxa"/>
            <w:gridSpan w:val="9"/>
            <w:tcBorders>
              <w:top w:val="single" w:color="000000" w:sz="6" w:space="0"/>
              <w:left w:val="single" w:color="000000" w:sz="6" w:space="0"/>
              <w:bottom w:val="single" w:color="000000" w:sz="6" w:space="0"/>
            </w:tcBorders>
            <w:noWrap w:val="0"/>
            <w:vAlign w:val="top"/>
          </w:tcPr>
          <w:p w14:paraId="3D2B18C7">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6452E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noWrap w:val="0"/>
            <w:vAlign w:val="top"/>
          </w:tcPr>
          <w:p w14:paraId="1030B33D">
            <w:pPr>
              <w:pStyle w:val="144"/>
              <w:keepNext w:val="0"/>
              <w:keepLines w:val="0"/>
              <w:suppressLineNumbers w:val="0"/>
              <w:spacing w:before="155"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简介</w:t>
            </w:r>
          </w:p>
        </w:tc>
        <w:tc>
          <w:tcPr>
            <w:tcW w:w="6831" w:type="dxa"/>
            <w:gridSpan w:val="9"/>
            <w:tcBorders>
              <w:top w:val="single" w:color="000000" w:sz="6" w:space="0"/>
              <w:left w:val="single" w:color="000000" w:sz="6" w:space="0"/>
              <w:bottom w:val="single" w:color="000000" w:sz="6" w:space="0"/>
            </w:tcBorders>
            <w:noWrap w:val="0"/>
            <w:vAlign w:val="top"/>
          </w:tcPr>
          <w:p w14:paraId="1D7D659F">
            <w:pPr>
              <w:pStyle w:val="144"/>
              <w:keepNext w:val="0"/>
              <w:keepLines w:val="0"/>
              <w:suppressLineNumbers w:val="0"/>
              <w:spacing w:before="0" w:beforeAutospacing="0" w:after="0" w:afterAutospacing="0" w:line="307" w:lineRule="exact"/>
              <w:ind w:left="115" w:right="-58"/>
              <w:rPr>
                <w:rFonts w:hint="eastAsia" w:ascii="仿宋" w:hAnsi="仿宋" w:eastAsia="仿宋" w:cs="仿宋"/>
                <w:sz w:val="24"/>
                <w:szCs w:val="24"/>
              </w:rPr>
            </w:pPr>
            <w:r>
              <w:rPr>
                <w:rFonts w:hint="eastAsia" w:ascii="仿宋" w:hAnsi="仿宋" w:eastAsia="仿宋" w:cs="仿宋"/>
                <w:spacing w:val="-16"/>
                <w:sz w:val="24"/>
                <w:szCs w:val="24"/>
              </w:rPr>
              <w:t>包括但不限于：企业经营范围、发展历程、经营业绩、获奖情况、</w:t>
            </w:r>
            <w:r>
              <w:rPr>
                <w:rFonts w:hint="eastAsia" w:ascii="仿宋" w:hAnsi="仿宋" w:eastAsia="仿宋" w:cs="仿宋"/>
                <w:sz w:val="24"/>
                <w:szCs w:val="24"/>
              </w:rPr>
              <w:t>财务状况、人力资源等。（可另附页）</w:t>
            </w:r>
          </w:p>
        </w:tc>
      </w:tr>
      <w:tr w14:paraId="305C12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noWrap w:val="0"/>
            <w:vAlign w:val="top"/>
          </w:tcPr>
          <w:p w14:paraId="75EB51F7">
            <w:pPr>
              <w:pStyle w:val="144"/>
              <w:keepNext w:val="0"/>
              <w:keepLines w:val="0"/>
              <w:suppressLineNumbers w:val="0"/>
              <w:spacing w:before="144"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法定代表人</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05A20B24">
            <w:pPr>
              <w:pStyle w:val="144"/>
              <w:keepNext w:val="0"/>
              <w:keepLines w:val="0"/>
              <w:suppressLineNumbers w:val="0"/>
              <w:spacing w:before="144" w:beforeAutospacing="0" w:after="0" w:afterAutospacing="0"/>
              <w:ind w:left="115" w:right="0"/>
              <w:rPr>
                <w:rFonts w:hint="eastAsia" w:ascii="仿宋" w:hAnsi="仿宋" w:eastAsia="仿宋" w:cs="仿宋"/>
                <w:sz w:val="24"/>
                <w:szCs w:val="24"/>
              </w:rPr>
            </w:pPr>
            <w:r>
              <w:rPr>
                <w:rFonts w:hint="eastAsia" w:ascii="仿宋" w:hAnsi="仿宋" w:eastAsia="仿宋" w:cs="仿宋"/>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1519398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top"/>
          </w:tcPr>
          <w:p w14:paraId="3E688A1E">
            <w:pPr>
              <w:pStyle w:val="144"/>
              <w:keepNext w:val="0"/>
              <w:keepLines w:val="0"/>
              <w:suppressLineNumbers w:val="0"/>
              <w:spacing w:before="144" w:beforeAutospacing="0" w:after="0" w:afterAutospacing="0"/>
              <w:ind w:left="116" w:right="0"/>
              <w:rPr>
                <w:rFonts w:hint="eastAsia" w:ascii="仿宋" w:hAnsi="仿宋" w:eastAsia="仿宋" w:cs="仿宋"/>
                <w:sz w:val="24"/>
                <w:szCs w:val="24"/>
              </w:rPr>
            </w:pPr>
            <w:r>
              <w:rPr>
                <w:rFonts w:hint="eastAsia" w:ascii="仿宋" w:hAnsi="仿宋" w:eastAsia="仿宋" w:cs="仿宋"/>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top"/>
          </w:tcPr>
          <w:p w14:paraId="7975AB5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top"/>
          </w:tcPr>
          <w:p w14:paraId="10ED4610">
            <w:pPr>
              <w:pStyle w:val="144"/>
              <w:keepNext w:val="0"/>
              <w:keepLines w:val="0"/>
              <w:suppressLineNumbers w:val="0"/>
              <w:spacing w:before="144" w:beforeAutospacing="0" w:after="0" w:afterAutospacing="0"/>
              <w:ind w:left="0" w:right="104"/>
              <w:jc w:val="right"/>
              <w:rPr>
                <w:rFonts w:hint="eastAsia" w:ascii="仿宋" w:hAnsi="仿宋" w:eastAsia="仿宋" w:cs="仿宋"/>
                <w:sz w:val="24"/>
                <w:szCs w:val="24"/>
              </w:rPr>
            </w:pPr>
            <w:r>
              <w:rPr>
                <w:rFonts w:hint="eastAsia" w:ascii="仿宋" w:hAnsi="仿宋" w:eastAsia="仿宋" w:cs="仿宋"/>
                <w:sz w:val="24"/>
                <w:szCs w:val="24"/>
              </w:rPr>
              <w:t>电话</w:t>
            </w:r>
          </w:p>
        </w:tc>
        <w:tc>
          <w:tcPr>
            <w:tcW w:w="720" w:type="dxa"/>
            <w:tcBorders>
              <w:top w:val="single" w:color="000000" w:sz="6" w:space="0"/>
              <w:left w:val="single" w:color="000000" w:sz="6" w:space="0"/>
              <w:bottom w:val="single" w:color="000000" w:sz="6" w:space="0"/>
            </w:tcBorders>
            <w:noWrap w:val="0"/>
            <w:vAlign w:val="top"/>
          </w:tcPr>
          <w:p w14:paraId="63E89E7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7E16BD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noWrap w:val="0"/>
            <w:vAlign w:val="top"/>
          </w:tcPr>
          <w:p w14:paraId="186312BC">
            <w:pPr>
              <w:pStyle w:val="144"/>
              <w:keepNext w:val="0"/>
              <w:keepLines w:val="0"/>
              <w:suppressLineNumbers w:val="0"/>
              <w:spacing w:before="158"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技术负责人</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631C141B">
            <w:pPr>
              <w:pStyle w:val="144"/>
              <w:keepNext w:val="0"/>
              <w:keepLines w:val="0"/>
              <w:suppressLineNumbers w:val="0"/>
              <w:spacing w:before="158" w:beforeAutospacing="0" w:after="0" w:afterAutospacing="0"/>
              <w:ind w:left="115" w:right="0"/>
              <w:rPr>
                <w:rFonts w:hint="eastAsia" w:ascii="仿宋" w:hAnsi="仿宋" w:eastAsia="仿宋" w:cs="仿宋"/>
                <w:sz w:val="24"/>
                <w:szCs w:val="24"/>
              </w:rPr>
            </w:pPr>
            <w:r>
              <w:rPr>
                <w:rFonts w:hint="eastAsia" w:ascii="仿宋" w:hAnsi="仿宋" w:eastAsia="仿宋" w:cs="仿宋"/>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4E55E4E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top"/>
          </w:tcPr>
          <w:p w14:paraId="64036E53">
            <w:pPr>
              <w:pStyle w:val="144"/>
              <w:keepNext w:val="0"/>
              <w:keepLines w:val="0"/>
              <w:suppressLineNumbers w:val="0"/>
              <w:spacing w:before="158" w:beforeAutospacing="0" w:after="0" w:afterAutospacing="0"/>
              <w:ind w:left="116" w:right="0"/>
              <w:rPr>
                <w:rFonts w:hint="eastAsia" w:ascii="仿宋" w:hAnsi="仿宋" w:eastAsia="仿宋" w:cs="仿宋"/>
                <w:sz w:val="24"/>
                <w:szCs w:val="24"/>
              </w:rPr>
            </w:pPr>
            <w:r>
              <w:rPr>
                <w:rFonts w:hint="eastAsia" w:ascii="仿宋" w:hAnsi="仿宋" w:eastAsia="仿宋" w:cs="仿宋"/>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top"/>
          </w:tcPr>
          <w:p w14:paraId="7919DC2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top"/>
          </w:tcPr>
          <w:p w14:paraId="0C8CD336">
            <w:pPr>
              <w:pStyle w:val="144"/>
              <w:keepNext w:val="0"/>
              <w:keepLines w:val="0"/>
              <w:suppressLineNumbers w:val="0"/>
              <w:spacing w:before="158" w:beforeAutospacing="0" w:after="0" w:afterAutospacing="0"/>
              <w:ind w:left="0" w:right="104"/>
              <w:jc w:val="right"/>
              <w:rPr>
                <w:rFonts w:hint="eastAsia" w:ascii="仿宋" w:hAnsi="仿宋" w:eastAsia="仿宋" w:cs="仿宋"/>
                <w:sz w:val="24"/>
                <w:szCs w:val="24"/>
              </w:rPr>
            </w:pPr>
            <w:r>
              <w:rPr>
                <w:rFonts w:hint="eastAsia" w:ascii="仿宋" w:hAnsi="仿宋" w:eastAsia="仿宋" w:cs="仿宋"/>
                <w:sz w:val="24"/>
                <w:szCs w:val="24"/>
              </w:rPr>
              <w:t>电话</w:t>
            </w:r>
          </w:p>
        </w:tc>
        <w:tc>
          <w:tcPr>
            <w:tcW w:w="720" w:type="dxa"/>
            <w:tcBorders>
              <w:top w:val="single" w:color="000000" w:sz="6" w:space="0"/>
              <w:left w:val="single" w:color="000000" w:sz="6" w:space="0"/>
              <w:bottom w:val="single" w:color="000000" w:sz="6" w:space="0"/>
            </w:tcBorders>
            <w:noWrap w:val="0"/>
            <w:vAlign w:val="top"/>
          </w:tcPr>
          <w:p w14:paraId="48D8070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313FA4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top"/>
          </w:tcPr>
          <w:p w14:paraId="0B20C91E">
            <w:pPr>
              <w:pStyle w:val="144"/>
              <w:keepNext w:val="0"/>
              <w:keepLines w:val="0"/>
              <w:suppressLineNumbers w:val="0"/>
              <w:spacing w:before="151"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成立时间</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4EBBC27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3957" w:type="dxa"/>
            <w:gridSpan w:val="7"/>
            <w:tcBorders>
              <w:top w:val="single" w:color="000000" w:sz="6" w:space="0"/>
              <w:left w:val="single" w:color="000000" w:sz="6" w:space="0"/>
              <w:bottom w:val="single" w:color="000000" w:sz="6" w:space="0"/>
            </w:tcBorders>
            <w:noWrap w:val="0"/>
            <w:vAlign w:val="top"/>
          </w:tcPr>
          <w:p w14:paraId="011D7C26">
            <w:pPr>
              <w:pStyle w:val="144"/>
              <w:keepNext w:val="0"/>
              <w:keepLines w:val="0"/>
              <w:suppressLineNumbers w:val="0"/>
              <w:spacing w:before="151" w:beforeAutospacing="0" w:after="0" w:afterAutospacing="0"/>
              <w:ind w:left="116" w:right="0"/>
              <w:rPr>
                <w:rFonts w:hint="eastAsia" w:ascii="仿宋" w:hAnsi="仿宋" w:eastAsia="仿宋" w:cs="仿宋"/>
                <w:sz w:val="24"/>
                <w:szCs w:val="24"/>
              </w:rPr>
            </w:pPr>
            <w:r>
              <w:rPr>
                <w:rFonts w:hint="eastAsia" w:ascii="仿宋" w:hAnsi="仿宋" w:eastAsia="仿宋" w:cs="仿宋"/>
                <w:sz w:val="24"/>
                <w:szCs w:val="24"/>
              </w:rPr>
              <w:t>员工总人数：</w:t>
            </w:r>
          </w:p>
        </w:tc>
      </w:tr>
      <w:tr w14:paraId="7B1A7B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top"/>
          </w:tcPr>
          <w:p w14:paraId="4D1720C6">
            <w:pPr>
              <w:pStyle w:val="144"/>
              <w:keepNext w:val="0"/>
              <w:keepLines w:val="0"/>
              <w:suppressLineNumbers w:val="0"/>
              <w:spacing w:before="151"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546DDB6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714" w:type="dxa"/>
            <w:vMerge w:val="restart"/>
            <w:tcBorders>
              <w:top w:val="single" w:color="000000" w:sz="6" w:space="0"/>
              <w:left w:val="single" w:color="000000" w:sz="6" w:space="0"/>
              <w:bottom w:val="single" w:color="000000" w:sz="6" w:space="0"/>
              <w:right w:val="single" w:color="000000" w:sz="6" w:space="0"/>
            </w:tcBorders>
            <w:noWrap w:val="0"/>
            <w:vAlign w:val="top"/>
          </w:tcPr>
          <w:p w14:paraId="48B433EF">
            <w:pPr>
              <w:pStyle w:val="144"/>
              <w:keepNext w:val="0"/>
              <w:keepLines w:val="0"/>
              <w:suppressLineNumbers w:val="0"/>
              <w:spacing w:before="0" w:beforeAutospacing="0" w:after="0" w:afterAutospacing="0"/>
              <w:ind w:left="0" w:right="0"/>
              <w:rPr>
                <w:rFonts w:hint="eastAsia" w:ascii="仿宋" w:hAnsi="仿宋" w:eastAsia="仿宋" w:cs="仿宋"/>
                <w:b/>
                <w:sz w:val="24"/>
                <w:szCs w:val="24"/>
              </w:rPr>
            </w:pPr>
          </w:p>
          <w:p w14:paraId="380EAB8B">
            <w:pPr>
              <w:pStyle w:val="144"/>
              <w:keepNext w:val="0"/>
              <w:keepLines w:val="0"/>
              <w:suppressLineNumbers w:val="0"/>
              <w:spacing w:before="0" w:beforeAutospacing="0" w:after="0" w:afterAutospacing="0"/>
              <w:ind w:left="0" w:right="0"/>
              <w:rPr>
                <w:rFonts w:hint="eastAsia" w:ascii="仿宋" w:hAnsi="仿宋" w:eastAsia="仿宋" w:cs="仿宋"/>
                <w:b/>
                <w:sz w:val="24"/>
                <w:szCs w:val="24"/>
              </w:rPr>
            </w:pPr>
          </w:p>
          <w:p w14:paraId="74818411">
            <w:pPr>
              <w:pStyle w:val="144"/>
              <w:keepNext w:val="0"/>
              <w:keepLines w:val="0"/>
              <w:suppressLineNumbers w:val="0"/>
              <w:spacing w:before="0" w:beforeAutospacing="0" w:after="0" w:afterAutospacing="0"/>
              <w:ind w:left="0" w:right="0"/>
              <w:rPr>
                <w:rFonts w:hint="eastAsia" w:ascii="仿宋" w:hAnsi="仿宋" w:eastAsia="仿宋" w:cs="仿宋"/>
                <w:b/>
                <w:sz w:val="24"/>
                <w:szCs w:val="24"/>
              </w:rPr>
            </w:pPr>
          </w:p>
          <w:p w14:paraId="281877B1">
            <w:pPr>
              <w:pStyle w:val="144"/>
              <w:keepNext w:val="0"/>
              <w:keepLines w:val="0"/>
              <w:suppressLineNumbers w:val="0"/>
              <w:spacing w:before="0" w:beforeAutospacing="0" w:after="0" w:afterAutospacing="0"/>
              <w:ind w:left="0" w:right="0"/>
              <w:rPr>
                <w:rFonts w:hint="eastAsia" w:ascii="仿宋" w:hAnsi="仿宋" w:eastAsia="仿宋" w:cs="仿宋"/>
                <w:b/>
                <w:sz w:val="24"/>
                <w:szCs w:val="24"/>
              </w:rPr>
            </w:pPr>
          </w:p>
          <w:p w14:paraId="2239B290">
            <w:pPr>
              <w:pStyle w:val="144"/>
              <w:keepNext w:val="0"/>
              <w:keepLines w:val="0"/>
              <w:suppressLineNumbers w:val="0"/>
              <w:spacing w:before="1" w:beforeAutospacing="0" w:after="0" w:afterAutospacing="0"/>
              <w:ind w:left="116" w:right="0"/>
              <w:rPr>
                <w:rFonts w:hint="eastAsia" w:ascii="仿宋" w:hAnsi="仿宋" w:eastAsia="仿宋" w:cs="仿宋"/>
                <w:sz w:val="24"/>
                <w:szCs w:val="24"/>
              </w:rPr>
            </w:pPr>
            <w:r>
              <w:rPr>
                <w:rFonts w:hint="eastAsia" w:ascii="仿宋" w:hAnsi="仿宋" w:eastAsia="仿宋" w:cs="仿宋"/>
                <w:sz w:val="24"/>
                <w:szCs w:val="24"/>
              </w:rPr>
              <w:t>其中</w:t>
            </w: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2D578FFE">
            <w:pPr>
              <w:pStyle w:val="144"/>
              <w:keepNext w:val="0"/>
              <w:keepLines w:val="0"/>
              <w:suppressLineNumbers w:val="0"/>
              <w:spacing w:before="151" w:beforeAutospacing="0" w:after="0" w:afterAutospacing="0"/>
              <w:ind w:left="118" w:right="0"/>
              <w:rPr>
                <w:rFonts w:hint="eastAsia" w:ascii="仿宋" w:hAnsi="仿宋" w:eastAsia="仿宋" w:cs="仿宋"/>
                <w:sz w:val="24"/>
                <w:szCs w:val="24"/>
              </w:rPr>
            </w:pPr>
            <w:r>
              <w:rPr>
                <w:rFonts w:hint="eastAsia" w:ascii="仿宋" w:hAnsi="仿宋" w:eastAsia="仿宋" w:cs="仿宋"/>
                <w:sz w:val="24"/>
                <w:szCs w:val="24"/>
              </w:rPr>
              <w:t>高级职称人员</w:t>
            </w:r>
          </w:p>
        </w:tc>
        <w:tc>
          <w:tcPr>
            <w:tcW w:w="1442" w:type="dxa"/>
            <w:gridSpan w:val="2"/>
            <w:tcBorders>
              <w:top w:val="single" w:color="000000" w:sz="6" w:space="0"/>
              <w:left w:val="single" w:color="000000" w:sz="6" w:space="0"/>
              <w:bottom w:val="single" w:color="000000" w:sz="6" w:space="0"/>
            </w:tcBorders>
            <w:noWrap w:val="0"/>
            <w:vAlign w:val="top"/>
          </w:tcPr>
          <w:p w14:paraId="4706395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96680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noWrap w:val="0"/>
            <w:vAlign w:val="top"/>
          </w:tcPr>
          <w:p w14:paraId="5185FC75">
            <w:pPr>
              <w:pStyle w:val="144"/>
              <w:keepNext w:val="0"/>
              <w:keepLines w:val="0"/>
              <w:suppressLineNumbers w:val="0"/>
              <w:spacing w:before="110"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63DF555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4E6A9751">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3BE86E07">
            <w:pPr>
              <w:pStyle w:val="144"/>
              <w:keepNext w:val="0"/>
              <w:keepLines w:val="0"/>
              <w:suppressLineNumbers w:val="0"/>
              <w:spacing w:before="110" w:beforeAutospacing="0" w:after="0" w:afterAutospacing="0"/>
              <w:ind w:left="118" w:right="0"/>
              <w:rPr>
                <w:rFonts w:hint="eastAsia" w:ascii="仿宋" w:hAnsi="仿宋" w:eastAsia="仿宋" w:cs="仿宋"/>
                <w:sz w:val="24"/>
                <w:szCs w:val="24"/>
              </w:rPr>
            </w:pPr>
            <w:r>
              <w:rPr>
                <w:rFonts w:hint="eastAsia" w:ascii="仿宋" w:hAnsi="仿宋" w:eastAsia="仿宋" w:cs="仿宋"/>
                <w:sz w:val="24"/>
                <w:szCs w:val="24"/>
              </w:rPr>
              <w:t>中级职称人员</w:t>
            </w:r>
          </w:p>
        </w:tc>
        <w:tc>
          <w:tcPr>
            <w:tcW w:w="1442" w:type="dxa"/>
            <w:gridSpan w:val="2"/>
            <w:tcBorders>
              <w:top w:val="single" w:color="000000" w:sz="6" w:space="0"/>
              <w:left w:val="single" w:color="000000" w:sz="6" w:space="0"/>
              <w:bottom w:val="single" w:color="000000" w:sz="6" w:space="0"/>
            </w:tcBorders>
            <w:noWrap w:val="0"/>
            <w:vAlign w:val="top"/>
          </w:tcPr>
          <w:p w14:paraId="550C321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6656F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noWrap w:val="0"/>
            <w:vAlign w:val="top"/>
          </w:tcPr>
          <w:p w14:paraId="602D4D13">
            <w:pPr>
              <w:pStyle w:val="144"/>
              <w:keepNext w:val="0"/>
              <w:keepLines w:val="0"/>
              <w:suppressLineNumbers w:val="0"/>
              <w:spacing w:before="79"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注册资金</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2364A39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43BC24CF">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17686F94">
            <w:pPr>
              <w:pStyle w:val="144"/>
              <w:keepNext w:val="0"/>
              <w:keepLines w:val="0"/>
              <w:suppressLineNumbers w:val="0"/>
              <w:spacing w:before="79" w:beforeAutospacing="0" w:after="0" w:afterAutospacing="0"/>
              <w:ind w:left="118" w:right="0"/>
              <w:rPr>
                <w:rFonts w:hint="eastAsia" w:ascii="仿宋" w:hAnsi="仿宋" w:eastAsia="仿宋" w:cs="仿宋"/>
                <w:sz w:val="24"/>
                <w:szCs w:val="24"/>
              </w:rPr>
            </w:pPr>
            <w:r>
              <w:rPr>
                <w:rFonts w:hint="eastAsia" w:ascii="仿宋" w:hAnsi="仿宋" w:eastAsia="仿宋" w:cs="仿宋"/>
                <w:sz w:val="24"/>
                <w:szCs w:val="24"/>
              </w:rPr>
              <w:t>初级职称人员</w:t>
            </w:r>
          </w:p>
        </w:tc>
        <w:tc>
          <w:tcPr>
            <w:tcW w:w="1442" w:type="dxa"/>
            <w:gridSpan w:val="2"/>
            <w:tcBorders>
              <w:top w:val="single" w:color="000000" w:sz="6" w:space="0"/>
              <w:left w:val="single" w:color="000000" w:sz="6" w:space="0"/>
              <w:bottom w:val="single" w:color="000000" w:sz="6" w:space="0"/>
            </w:tcBorders>
            <w:noWrap w:val="0"/>
            <w:vAlign w:val="top"/>
          </w:tcPr>
          <w:p w14:paraId="771AAB4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9EDB6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noWrap w:val="0"/>
            <w:vAlign w:val="top"/>
          </w:tcPr>
          <w:p w14:paraId="47375528">
            <w:pPr>
              <w:pStyle w:val="144"/>
              <w:keepNext w:val="0"/>
              <w:keepLines w:val="0"/>
              <w:suppressLineNumbers w:val="0"/>
              <w:spacing w:before="108"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开户银行</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3CBD9C3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332A1875">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2E77388D">
            <w:pPr>
              <w:pStyle w:val="144"/>
              <w:keepNext w:val="0"/>
              <w:keepLines w:val="0"/>
              <w:suppressLineNumbers w:val="0"/>
              <w:spacing w:before="108" w:beforeAutospacing="0" w:after="0" w:afterAutospacing="0"/>
              <w:ind w:left="118" w:right="0"/>
              <w:rPr>
                <w:rFonts w:hint="eastAsia" w:ascii="仿宋" w:hAnsi="仿宋" w:eastAsia="仿宋" w:cs="仿宋"/>
                <w:sz w:val="24"/>
                <w:szCs w:val="24"/>
              </w:rPr>
            </w:pPr>
            <w:r>
              <w:rPr>
                <w:rFonts w:hint="eastAsia" w:ascii="仿宋" w:hAnsi="仿宋" w:eastAsia="仿宋" w:cs="仿宋"/>
                <w:sz w:val="24"/>
                <w:szCs w:val="24"/>
              </w:rPr>
              <w:t>其他……</w:t>
            </w:r>
          </w:p>
        </w:tc>
        <w:tc>
          <w:tcPr>
            <w:tcW w:w="1442" w:type="dxa"/>
            <w:gridSpan w:val="2"/>
            <w:tcBorders>
              <w:top w:val="single" w:color="000000" w:sz="6" w:space="0"/>
              <w:left w:val="single" w:color="000000" w:sz="6" w:space="0"/>
              <w:bottom w:val="single" w:color="000000" w:sz="6" w:space="0"/>
            </w:tcBorders>
            <w:noWrap w:val="0"/>
            <w:vAlign w:val="top"/>
          </w:tcPr>
          <w:p w14:paraId="6BDA6F1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59062F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noWrap w:val="0"/>
            <w:vAlign w:val="top"/>
          </w:tcPr>
          <w:p w14:paraId="373B55C5">
            <w:pPr>
              <w:pStyle w:val="144"/>
              <w:keepNext w:val="0"/>
              <w:keepLines w:val="0"/>
              <w:suppressLineNumbers w:val="0"/>
              <w:spacing w:before="52"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账号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227A146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5C0943C4">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0CFD14F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442" w:type="dxa"/>
            <w:gridSpan w:val="2"/>
            <w:tcBorders>
              <w:top w:val="single" w:color="000000" w:sz="6" w:space="0"/>
              <w:left w:val="single" w:color="000000" w:sz="6" w:space="0"/>
              <w:bottom w:val="single" w:color="000000" w:sz="6" w:space="0"/>
            </w:tcBorders>
            <w:noWrap w:val="0"/>
            <w:vAlign w:val="top"/>
          </w:tcPr>
          <w:p w14:paraId="78F6A26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5257DA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noWrap w:val="0"/>
            <w:vAlign w:val="top"/>
          </w:tcPr>
          <w:p w14:paraId="5B3A7182">
            <w:pPr>
              <w:pStyle w:val="144"/>
              <w:keepNext w:val="0"/>
              <w:keepLines w:val="0"/>
              <w:suppressLineNumbers w:val="0"/>
              <w:spacing w:before="93" w:beforeAutospacing="0" w:after="0" w:afterAutospacing="0"/>
              <w:ind w:left="107" w:right="0"/>
              <w:rPr>
                <w:rFonts w:hint="eastAsia" w:ascii="仿宋" w:hAnsi="仿宋" w:eastAsia="仿宋" w:cs="仿宋"/>
                <w:sz w:val="24"/>
                <w:szCs w:val="24"/>
              </w:rPr>
            </w:pPr>
            <w:r>
              <w:rPr>
                <w:rFonts w:hint="eastAsia" w:ascii="仿宋" w:hAnsi="仿宋" w:eastAsia="仿宋" w:cs="仿宋"/>
                <w:sz w:val="24"/>
                <w:szCs w:val="24"/>
              </w:rPr>
              <w:t>经营范围备注</w:t>
            </w:r>
          </w:p>
        </w:tc>
        <w:tc>
          <w:tcPr>
            <w:tcW w:w="6831" w:type="dxa"/>
            <w:gridSpan w:val="9"/>
            <w:tcBorders>
              <w:top w:val="single" w:color="000000" w:sz="6" w:space="0"/>
              <w:left w:val="single" w:color="000000" w:sz="6" w:space="0"/>
            </w:tcBorders>
            <w:noWrap w:val="0"/>
            <w:vAlign w:val="top"/>
          </w:tcPr>
          <w:p w14:paraId="0BF3A1B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bl>
    <w:p w14:paraId="13B890EF">
      <w:pPr>
        <w:pStyle w:val="22"/>
        <w:tabs>
          <w:tab w:val="left" w:pos="9214"/>
        </w:tabs>
        <w:spacing w:before="4"/>
        <w:rPr>
          <w:rFonts w:hint="eastAsia" w:ascii="仿宋" w:hAnsi="仿宋" w:eastAsia="仿宋" w:cs="仿宋"/>
          <w:b/>
          <w:sz w:val="24"/>
          <w:szCs w:val="24"/>
        </w:rPr>
      </w:pPr>
    </w:p>
    <w:p w14:paraId="4A516556">
      <w:pPr>
        <w:jc w:val="center"/>
        <w:rPr>
          <w:rFonts w:hint="eastAsia" w:ascii="仿宋" w:hAnsi="仿宋" w:eastAsia="仿宋" w:cs="仿宋"/>
          <w:b/>
          <w:sz w:val="21"/>
          <w:szCs w:val="21"/>
        </w:rPr>
      </w:pPr>
      <w:r>
        <w:rPr>
          <w:rFonts w:hint="eastAsia" w:ascii="仿宋" w:hAnsi="仿宋" w:eastAsia="仿宋" w:cs="仿宋"/>
          <w:sz w:val="24"/>
          <w:szCs w:val="24"/>
        </w:rPr>
        <w:br w:type="page"/>
      </w:r>
      <w:bookmarkStart w:id="294" w:name="_Toc8022"/>
      <w:bookmarkStart w:id="295" w:name="_Toc114589534"/>
      <w:bookmarkStart w:id="296" w:name="_Toc16932"/>
      <w:r>
        <w:rPr>
          <w:rFonts w:hint="eastAsia" w:ascii="仿宋" w:hAnsi="仿宋" w:eastAsia="仿宋" w:cs="仿宋"/>
          <w:b/>
          <w:sz w:val="32"/>
          <w:szCs w:val="32"/>
        </w:rPr>
        <w:t xml:space="preserve">附件 3-2 </w:t>
      </w:r>
      <w:r>
        <w:rPr>
          <w:rFonts w:hint="eastAsia" w:ascii="仿宋" w:hAnsi="仿宋" w:eastAsia="仿宋" w:cs="仿宋"/>
          <w:b/>
          <w:sz w:val="32"/>
          <w:szCs w:val="32"/>
          <w:lang w:eastAsia="zh-CN"/>
        </w:rPr>
        <w:t>供应商</w:t>
      </w:r>
      <w:r>
        <w:rPr>
          <w:rFonts w:hint="eastAsia" w:ascii="仿宋" w:hAnsi="仿宋" w:eastAsia="仿宋" w:cs="仿宋"/>
          <w:b/>
          <w:sz w:val="32"/>
          <w:szCs w:val="32"/>
        </w:rPr>
        <w:t>单位简介</w:t>
      </w:r>
      <w:bookmarkEnd w:id="294"/>
      <w:bookmarkEnd w:id="295"/>
      <w:bookmarkEnd w:id="296"/>
    </w:p>
    <w:p w14:paraId="1B5E271D">
      <w:pPr>
        <w:pStyle w:val="22"/>
        <w:tabs>
          <w:tab w:val="left" w:pos="9214"/>
        </w:tabs>
        <w:rPr>
          <w:rFonts w:hint="eastAsia" w:ascii="仿宋" w:hAnsi="仿宋" w:eastAsia="仿宋" w:cs="仿宋"/>
          <w:b/>
          <w:sz w:val="21"/>
          <w:szCs w:val="21"/>
        </w:rPr>
      </w:pPr>
    </w:p>
    <w:p w14:paraId="5CA65AAC">
      <w:pPr>
        <w:pStyle w:val="22"/>
        <w:tabs>
          <w:tab w:val="left" w:pos="9214"/>
        </w:tabs>
        <w:spacing w:before="11"/>
        <w:rPr>
          <w:rFonts w:hint="eastAsia" w:ascii="仿宋" w:hAnsi="仿宋" w:eastAsia="仿宋" w:cs="仿宋"/>
          <w:b/>
          <w:sz w:val="21"/>
          <w:szCs w:val="21"/>
        </w:rPr>
      </w:pPr>
    </w:p>
    <w:p w14:paraId="203D5205">
      <w:pPr>
        <w:ind w:right="156"/>
        <w:jc w:val="center"/>
        <w:rPr>
          <w:rFonts w:hint="eastAsia" w:ascii="仿宋" w:hAnsi="仿宋" w:eastAsia="仿宋" w:cs="仿宋"/>
          <w:sz w:val="21"/>
          <w:szCs w:val="21"/>
        </w:rPr>
      </w:pPr>
    </w:p>
    <w:p w14:paraId="65DCE7EF">
      <w:pPr>
        <w:pStyle w:val="156"/>
        <w:spacing w:line="360" w:lineRule="auto"/>
        <w:ind w:right="-92" w:rightChars="-44"/>
        <w:jc w:val="both"/>
        <w:rPr>
          <w:rFonts w:hint="eastAsia" w:ascii="仿宋" w:hAnsi="仿宋" w:eastAsia="仿宋" w:cs="仿宋"/>
          <w:sz w:val="24"/>
          <w:szCs w:val="24"/>
        </w:rPr>
      </w:pPr>
      <w:r>
        <w:rPr>
          <w:rFonts w:hint="eastAsia" w:ascii="仿宋" w:hAnsi="仿宋" w:eastAsia="仿宋" w:cs="仿宋"/>
          <w:sz w:val="24"/>
          <w:szCs w:val="24"/>
        </w:rPr>
        <w:t>（包括但不限于业务范围、所有权状况、组织机构及职能、人员构成、单位的场地环境和软硬件设施等）</w:t>
      </w:r>
    </w:p>
    <w:p w14:paraId="65BCAD6D">
      <w:pPr>
        <w:pStyle w:val="156"/>
        <w:spacing w:line="360" w:lineRule="auto"/>
        <w:ind w:right="-92" w:rightChars="-44"/>
        <w:jc w:val="both"/>
        <w:rPr>
          <w:rFonts w:hint="eastAsia" w:ascii="仿宋" w:hAnsi="仿宋" w:eastAsia="仿宋" w:cs="仿宋"/>
          <w:sz w:val="24"/>
          <w:szCs w:val="24"/>
        </w:rPr>
      </w:pPr>
    </w:p>
    <w:p w14:paraId="0ADA5B18">
      <w:pPr>
        <w:pStyle w:val="156"/>
        <w:spacing w:line="360" w:lineRule="auto"/>
        <w:ind w:right="-92" w:rightChars="-44"/>
        <w:jc w:val="both"/>
        <w:rPr>
          <w:rFonts w:hint="eastAsia" w:ascii="仿宋" w:hAnsi="仿宋" w:eastAsia="仿宋" w:cs="仿宋"/>
          <w:sz w:val="21"/>
          <w:szCs w:val="21"/>
        </w:rPr>
      </w:pPr>
    </w:p>
    <w:p w14:paraId="203E92DB">
      <w:pPr>
        <w:pStyle w:val="156"/>
        <w:spacing w:line="360" w:lineRule="auto"/>
        <w:ind w:right="-92" w:rightChars="-44"/>
        <w:jc w:val="both"/>
        <w:rPr>
          <w:rFonts w:hint="eastAsia" w:ascii="仿宋" w:hAnsi="仿宋" w:eastAsia="仿宋" w:cs="仿宋"/>
          <w:sz w:val="21"/>
          <w:szCs w:val="21"/>
        </w:rPr>
        <w:sectPr>
          <w:pgSz w:w="11906" w:h="16838"/>
          <w:pgMar w:top="1440" w:right="1800" w:bottom="1440" w:left="1800" w:header="851" w:footer="992" w:gutter="0"/>
          <w:pgNumType w:fmt="decimal"/>
          <w:cols w:space="720" w:num="1"/>
          <w:docGrid w:type="lines" w:linePitch="312" w:charSpace="0"/>
        </w:sectPr>
      </w:pPr>
    </w:p>
    <w:bookmarkEnd w:id="258"/>
    <w:p w14:paraId="44F2CD9F">
      <w:pPr>
        <w:pStyle w:val="156"/>
        <w:spacing w:line="360" w:lineRule="auto"/>
        <w:jc w:val="center"/>
        <w:outlineLvl w:val="2"/>
        <w:rPr>
          <w:rFonts w:hint="eastAsia" w:ascii="仿宋" w:hAnsi="仿宋" w:eastAsia="仿宋" w:cs="仿宋"/>
          <w:b/>
          <w:sz w:val="32"/>
          <w:szCs w:val="32"/>
        </w:rPr>
      </w:pPr>
      <w:bookmarkStart w:id="297" w:name="_Toc114589535"/>
      <w:bookmarkStart w:id="298" w:name="_Toc30961"/>
      <w:bookmarkStart w:id="299" w:name="_Toc30877"/>
      <w:bookmarkStart w:id="300" w:name="_Toc19205"/>
      <w:bookmarkStart w:id="301" w:name="_Toc3727"/>
      <w:bookmarkStart w:id="302" w:name="_Toc18885"/>
      <w:bookmarkStart w:id="303" w:name="_Toc115436127"/>
      <w:r>
        <w:rPr>
          <w:rFonts w:hint="eastAsia" w:ascii="仿宋" w:hAnsi="仿宋" w:eastAsia="仿宋" w:cs="仿宋"/>
          <w:b/>
          <w:sz w:val="32"/>
          <w:szCs w:val="32"/>
        </w:rPr>
        <w:t xml:space="preserve">附件 3-3 </w:t>
      </w:r>
      <w:r>
        <w:rPr>
          <w:rFonts w:hint="eastAsia" w:ascii="仿宋" w:hAnsi="仿宋" w:eastAsia="仿宋" w:cs="仿宋"/>
          <w:b/>
          <w:sz w:val="32"/>
          <w:szCs w:val="32"/>
          <w:lang w:eastAsia="zh-CN"/>
        </w:rPr>
        <w:t>供应商</w:t>
      </w:r>
      <w:r>
        <w:rPr>
          <w:rFonts w:hint="eastAsia" w:ascii="仿宋" w:hAnsi="仿宋" w:eastAsia="仿宋" w:cs="仿宋"/>
          <w:b/>
          <w:sz w:val="32"/>
          <w:szCs w:val="32"/>
        </w:rPr>
        <w:t>同类型项目案例（业绩）</w:t>
      </w:r>
    </w:p>
    <w:p w14:paraId="2A404870">
      <w:pPr>
        <w:pStyle w:val="156"/>
        <w:spacing w:line="360" w:lineRule="auto"/>
        <w:jc w:val="center"/>
        <w:outlineLvl w:val="2"/>
        <w:rPr>
          <w:rFonts w:hint="eastAsia" w:ascii="仿宋" w:hAnsi="仿宋" w:eastAsia="仿宋" w:cs="仿宋"/>
          <w:b/>
          <w:sz w:val="32"/>
          <w:szCs w:val="32"/>
        </w:rPr>
      </w:pPr>
      <w:r>
        <w:rPr>
          <w:rFonts w:hint="eastAsia" w:ascii="仿宋" w:hAnsi="仿宋" w:eastAsia="仿宋" w:cs="仿宋"/>
          <w:b/>
          <w:sz w:val="32"/>
          <w:szCs w:val="32"/>
        </w:rPr>
        <w:t>情况介绍【如有】</w:t>
      </w:r>
      <w:bookmarkEnd w:id="297"/>
      <w:bookmarkEnd w:id="298"/>
      <w:bookmarkEnd w:id="299"/>
      <w:bookmarkEnd w:id="300"/>
      <w:bookmarkEnd w:id="301"/>
      <w:bookmarkEnd w:id="302"/>
      <w:bookmarkEnd w:id="303"/>
    </w:p>
    <w:p w14:paraId="58E48E96">
      <w:pPr>
        <w:pStyle w:val="22"/>
        <w:tabs>
          <w:tab w:val="left" w:pos="9214"/>
        </w:tabs>
        <w:rPr>
          <w:rFonts w:hint="eastAsia" w:ascii="仿宋" w:hAnsi="仿宋" w:eastAsia="仿宋" w:cs="仿宋"/>
          <w:b/>
          <w:sz w:val="21"/>
          <w:szCs w:val="21"/>
        </w:rPr>
      </w:pPr>
    </w:p>
    <w:p w14:paraId="120342EE">
      <w:pPr>
        <w:pStyle w:val="22"/>
        <w:tabs>
          <w:tab w:val="left" w:pos="9214"/>
        </w:tabs>
        <w:rPr>
          <w:rFonts w:hint="eastAsia" w:ascii="仿宋" w:hAnsi="仿宋" w:eastAsia="仿宋" w:cs="仿宋"/>
          <w:b/>
          <w:sz w:val="21"/>
          <w:szCs w:val="21"/>
        </w:rPr>
      </w:pPr>
    </w:p>
    <w:p w14:paraId="4787DD55">
      <w:pPr>
        <w:pStyle w:val="22"/>
        <w:tabs>
          <w:tab w:val="left" w:pos="9214"/>
        </w:tabs>
        <w:ind w:left="532" w:right="453"/>
        <w:jc w:val="center"/>
        <w:rPr>
          <w:rFonts w:hint="eastAsia" w:ascii="仿宋" w:hAnsi="仿宋" w:eastAsia="仿宋" w:cs="仿宋"/>
          <w:sz w:val="24"/>
          <w:szCs w:val="24"/>
        </w:rPr>
      </w:pPr>
      <w:r>
        <w:rPr>
          <w:rFonts w:hint="eastAsia" w:ascii="仿宋" w:hAnsi="仿宋" w:eastAsia="仿宋" w:cs="仿宋"/>
          <w:sz w:val="24"/>
          <w:szCs w:val="24"/>
        </w:rPr>
        <w:t>业绩统计一览表和合同履行情况</w:t>
      </w:r>
    </w:p>
    <w:p w14:paraId="3F74DD4F">
      <w:pPr>
        <w:pStyle w:val="22"/>
        <w:tabs>
          <w:tab w:val="left" w:pos="9214"/>
        </w:tabs>
        <w:spacing w:before="7"/>
        <w:rPr>
          <w:rFonts w:hint="eastAsia" w:ascii="仿宋" w:hAnsi="仿宋" w:eastAsia="仿宋" w:cs="仿宋"/>
          <w:sz w:val="24"/>
          <w:szCs w:val="24"/>
        </w:rPr>
      </w:pPr>
    </w:p>
    <w:tbl>
      <w:tblPr>
        <w:tblStyle w:val="46"/>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6C1790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noWrap w:val="0"/>
            <w:vAlign w:val="center"/>
          </w:tcPr>
          <w:p w14:paraId="1CC54CDF">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00" w:type="dxa"/>
            <w:tcBorders>
              <w:left w:val="single" w:color="000000" w:sz="6" w:space="0"/>
              <w:bottom w:val="single" w:color="000000" w:sz="6" w:space="0"/>
              <w:right w:val="single" w:color="000000" w:sz="6" w:space="0"/>
            </w:tcBorders>
            <w:noWrap w:val="0"/>
            <w:vAlign w:val="center"/>
          </w:tcPr>
          <w:p w14:paraId="35771F1C">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项目委托单位、联系人及电话</w:t>
            </w:r>
          </w:p>
        </w:tc>
        <w:tc>
          <w:tcPr>
            <w:tcW w:w="991" w:type="dxa"/>
            <w:tcBorders>
              <w:left w:val="single" w:color="000000" w:sz="6" w:space="0"/>
              <w:bottom w:val="single" w:color="000000" w:sz="6" w:space="0"/>
              <w:right w:val="single" w:color="000000" w:sz="6" w:space="0"/>
            </w:tcBorders>
            <w:noWrap w:val="0"/>
            <w:vAlign w:val="center"/>
          </w:tcPr>
          <w:p w14:paraId="5A37A791">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w:t>
            </w:r>
          </w:p>
          <w:p w14:paraId="12919127">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名称</w:t>
            </w:r>
          </w:p>
        </w:tc>
        <w:tc>
          <w:tcPr>
            <w:tcW w:w="1077" w:type="dxa"/>
            <w:tcBorders>
              <w:left w:val="single" w:color="000000" w:sz="6" w:space="0"/>
              <w:bottom w:val="single" w:color="000000" w:sz="6" w:space="0"/>
              <w:right w:val="single" w:color="000000" w:sz="6" w:space="0"/>
            </w:tcBorders>
            <w:noWrap w:val="0"/>
            <w:vAlign w:val="center"/>
          </w:tcPr>
          <w:p w14:paraId="6683ABBE">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w:t>
            </w:r>
          </w:p>
          <w:p w14:paraId="38D03E80">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内容</w:t>
            </w:r>
          </w:p>
        </w:tc>
        <w:tc>
          <w:tcPr>
            <w:tcW w:w="1090" w:type="dxa"/>
            <w:tcBorders>
              <w:left w:val="single" w:color="000000" w:sz="6" w:space="0"/>
              <w:bottom w:val="single" w:color="000000" w:sz="6" w:space="0"/>
              <w:right w:val="single" w:color="000000" w:sz="6" w:space="0"/>
            </w:tcBorders>
            <w:noWrap w:val="0"/>
            <w:vAlign w:val="center"/>
          </w:tcPr>
          <w:p w14:paraId="241CD466">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合同</w:t>
            </w:r>
          </w:p>
          <w:p w14:paraId="52EDD51D">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金额</w:t>
            </w:r>
          </w:p>
        </w:tc>
        <w:tc>
          <w:tcPr>
            <w:tcW w:w="905" w:type="dxa"/>
            <w:tcBorders>
              <w:left w:val="single" w:color="000000" w:sz="6" w:space="0"/>
              <w:bottom w:val="single" w:color="000000" w:sz="6" w:space="0"/>
              <w:right w:val="single" w:color="000000" w:sz="6" w:space="0"/>
            </w:tcBorders>
            <w:noWrap w:val="0"/>
            <w:vAlign w:val="center"/>
          </w:tcPr>
          <w:p w14:paraId="5BADCAF1">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合同</w:t>
            </w:r>
            <w:r>
              <w:rPr>
                <w:rFonts w:hint="eastAsia" w:ascii="仿宋" w:hAnsi="仿宋" w:eastAsia="仿宋" w:cs="仿宋"/>
                <w:spacing w:val="-9"/>
                <w:sz w:val="24"/>
                <w:szCs w:val="24"/>
              </w:rPr>
              <w:t>签订日期</w:t>
            </w:r>
          </w:p>
        </w:tc>
        <w:tc>
          <w:tcPr>
            <w:tcW w:w="894" w:type="dxa"/>
            <w:tcBorders>
              <w:left w:val="single" w:color="000000" w:sz="6" w:space="0"/>
              <w:bottom w:val="single" w:color="000000" w:sz="6" w:space="0"/>
              <w:right w:val="single" w:color="000000" w:sz="6" w:space="0"/>
            </w:tcBorders>
            <w:noWrap w:val="0"/>
            <w:vAlign w:val="center"/>
          </w:tcPr>
          <w:p w14:paraId="05109900">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完成</w:t>
            </w:r>
          </w:p>
          <w:p w14:paraId="0C4C1D67">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情况</w:t>
            </w:r>
          </w:p>
        </w:tc>
        <w:tc>
          <w:tcPr>
            <w:tcW w:w="605" w:type="dxa"/>
            <w:tcBorders>
              <w:left w:val="single" w:color="000000" w:sz="6" w:space="0"/>
              <w:bottom w:val="single" w:color="000000" w:sz="6" w:space="0"/>
            </w:tcBorders>
            <w:noWrap w:val="0"/>
            <w:vAlign w:val="center"/>
          </w:tcPr>
          <w:p w14:paraId="3FF0D258">
            <w:pPr>
              <w:pStyle w:val="144"/>
              <w:keepNext w:val="0"/>
              <w:keepLines w:val="0"/>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r>
      <w:tr w14:paraId="662B16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448741B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62DD0AA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0DB23F8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67ABFF3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4913537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4AAC912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6E69768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62BB1E8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616D4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319CF33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2D60820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57D3EDE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7684000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6F7A7B9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6CF0CEE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675EDED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1DD9DDE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2DFDB3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79D34086">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65115D36">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59A77D6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25B1C51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2853DEB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4057F7B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7B2CA20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76E38AC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38B1F8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79806C8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0E064B3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4AB8501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0347C430">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55C537D6">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2050B3C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0F12F94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7D87EBA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E0186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42531FC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78BC601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4736B39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20702AB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1EB9C65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690B801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1D85BE4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2D9D46F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5401D2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6AC3A5C7">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0AEC5A1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00F5389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6F8B9ED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5FE3504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5CC2503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23AE35D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422E220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088D66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04F5CCD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29055908">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1B5C5CF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243DA83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0BD47FA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0899B2FA">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3E08D30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1B3647C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269E5C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418AA3B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0973672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7893AC2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491F923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61A7B52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2642FD6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16A8D48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3C657C4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50347B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1970408B">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3981193C">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01ED7294">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758B91BF">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34C0DB92">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712C3A0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2760720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bottom w:val="single" w:color="000000" w:sz="6" w:space="0"/>
            </w:tcBorders>
            <w:noWrap w:val="0"/>
            <w:vAlign w:val="top"/>
          </w:tcPr>
          <w:p w14:paraId="046397E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4D06F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noWrap w:val="0"/>
            <w:vAlign w:val="top"/>
          </w:tcPr>
          <w:p w14:paraId="2DB0BF73">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00" w:type="dxa"/>
            <w:tcBorders>
              <w:top w:val="single" w:color="000000" w:sz="6" w:space="0"/>
              <w:left w:val="single" w:color="000000" w:sz="6" w:space="0"/>
              <w:right w:val="single" w:color="000000" w:sz="6" w:space="0"/>
            </w:tcBorders>
            <w:noWrap w:val="0"/>
            <w:vAlign w:val="top"/>
          </w:tcPr>
          <w:p w14:paraId="5B932139">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91" w:type="dxa"/>
            <w:tcBorders>
              <w:top w:val="single" w:color="000000" w:sz="6" w:space="0"/>
              <w:left w:val="single" w:color="000000" w:sz="6" w:space="0"/>
              <w:right w:val="single" w:color="000000" w:sz="6" w:space="0"/>
            </w:tcBorders>
            <w:noWrap w:val="0"/>
            <w:vAlign w:val="top"/>
          </w:tcPr>
          <w:p w14:paraId="44FE350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77" w:type="dxa"/>
            <w:tcBorders>
              <w:top w:val="single" w:color="000000" w:sz="6" w:space="0"/>
              <w:left w:val="single" w:color="000000" w:sz="6" w:space="0"/>
              <w:right w:val="single" w:color="000000" w:sz="6" w:space="0"/>
            </w:tcBorders>
            <w:noWrap w:val="0"/>
            <w:vAlign w:val="top"/>
          </w:tcPr>
          <w:p w14:paraId="537F2AAE">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090" w:type="dxa"/>
            <w:tcBorders>
              <w:top w:val="single" w:color="000000" w:sz="6" w:space="0"/>
              <w:left w:val="single" w:color="000000" w:sz="6" w:space="0"/>
              <w:right w:val="single" w:color="000000" w:sz="6" w:space="0"/>
            </w:tcBorders>
            <w:noWrap w:val="0"/>
            <w:vAlign w:val="top"/>
          </w:tcPr>
          <w:p w14:paraId="496A874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905" w:type="dxa"/>
            <w:tcBorders>
              <w:top w:val="single" w:color="000000" w:sz="6" w:space="0"/>
              <w:left w:val="single" w:color="000000" w:sz="6" w:space="0"/>
              <w:right w:val="single" w:color="000000" w:sz="6" w:space="0"/>
            </w:tcBorders>
            <w:noWrap w:val="0"/>
            <w:vAlign w:val="top"/>
          </w:tcPr>
          <w:p w14:paraId="5A6FCDCD">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894" w:type="dxa"/>
            <w:tcBorders>
              <w:top w:val="single" w:color="000000" w:sz="6" w:space="0"/>
              <w:left w:val="single" w:color="000000" w:sz="6" w:space="0"/>
              <w:right w:val="single" w:color="000000" w:sz="6" w:space="0"/>
            </w:tcBorders>
            <w:noWrap w:val="0"/>
            <w:vAlign w:val="top"/>
          </w:tcPr>
          <w:p w14:paraId="0C4B36D5">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605" w:type="dxa"/>
            <w:tcBorders>
              <w:top w:val="single" w:color="000000" w:sz="6" w:space="0"/>
              <w:left w:val="single" w:color="000000" w:sz="6" w:space="0"/>
            </w:tcBorders>
            <w:noWrap w:val="0"/>
            <w:vAlign w:val="top"/>
          </w:tcPr>
          <w:p w14:paraId="41BF1E51">
            <w:pPr>
              <w:pStyle w:val="144"/>
              <w:keepNext w:val="0"/>
              <w:keepLines w:val="0"/>
              <w:suppressLineNumbers w:val="0"/>
              <w:spacing w:before="0" w:beforeAutospacing="0" w:after="0" w:afterAutospacing="0"/>
              <w:ind w:left="0" w:right="0"/>
              <w:rPr>
                <w:rFonts w:hint="eastAsia" w:ascii="仿宋" w:hAnsi="仿宋" w:eastAsia="仿宋" w:cs="仿宋"/>
                <w:sz w:val="24"/>
                <w:szCs w:val="24"/>
              </w:rPr>
            </w:pPr>
          </w:p>
        </w:tc>
      </w:tr>
    </w:tbl>
    <w:p w14:paraId="3FA1FFA7">
      <w:pPr>
        <w:spacing w:before="3"/>
        <w:ind w:left="360"/>
        <w:jc w:val="left"/>
        <w:rPr>
          <w:rFonts w:hint="eastAsia" w:ascii="仿宋" w:hAnsi="仿宋" w:eastAsia="仿宋" w:cs="仿宋"/>
          <w:sz w:val="24"/>
          <w:szCs w:val="24"/>
        </w:rPr>
      </w:pPr>
      <w:r>
        <w:rPr>
          <w:rFonts w:hint="eastAsia" w:ascii="仿宋" w:hAnsi="仿宋" w:eastAsia="仿宋" w:cs="仿宋"/>
          <w:sz w:val="24"/>
          <w:szCs w:val="24"/>
        </w:rPr>
        <w:t>注：请</w:t>
      </w:r>
      <w:r>
        <w:rPr>
          <w:rFonts w:hint="eastAsia" w:ascii="仿宋" w:hAnsi="仿宋" w:eastAsia="仿宋" w:cs="仿宋"/>
          <w:spacing w:val="-2"/>
          <w:sz w:val="24"/>
          <w:szCs w:val="24"/>
          <w:lang w:eastAsia="zh-CN"/>
        </w:rPr>
        <w:t>供应商</w:t>
      </w:r>
      <w:r>
        <w:rPr>
          <w:rFonts w:hint="eastAsia" w:ascii="仿宋" w:hAnsi="仿宋" w:eastAsia="仿宋" w:cs="仿宋"/>
          <w:sz w:val="24"/>
          <w:szCs w:val="24"/>
        </w:rPr>
        <w:t>按照合同签订时间先后顺序填写此表，并按照同一顺序附相关证明材料，具体要求详见本采购文件第六章。</w:t>
      </w:r>
    </w:p>
    <w:p w14:paraId="2F970F12">
      <w:pPr>
        <w:pStyle w:val="22"/>
        <w:tabs>
          <w:tab w:val="left" w:pos="9214"/>
        </w:tabs>
        <w:rPr>
          <w:rFonts w:hint="eastAsia" w:ascii="仿宋" w:hAnsi="仿宋" w:eastAsia="仿宋" w:cs="仿宋"/>
          <w:sz w:val="24"/>
          <w:szCs w:val="24"/>
        </w:rPr>
      </w:pPr>
    </w:p>
    <w:p w14:paraId="2DBE70B1">
      <w:pPr>
        <w:pStyle w:val="22"/>
        <w:tabs>
          <w:tab w:val="left" w:pos="9214"/>
        </w:tabs>
        <w:spacing w:before="8"/>
        <w:rPr>
          <w:rFonts w:hint="eastAsia" w:ascii="仿宋" w:hAnsi="仿宋" w:eastAsia="仿宋" w:cs="仿宋"/>
          <w:sz w:val="24"/>
          <w:szCs w:val="24"/>
        </w:rPr>
      </w:pPr>
    </w:p>
    <w:p w14:paraId="75C332FD">
      <w:pPr>
        <w:pStyle w:val="22"/>
        <w:tabs>
          <w:tab w:val="left" w:pos="3360"/>
          <w:tab w:val="left" w:pos="5041"/>
          <w:tab w:val="left" w:pos="9214"/>
        </w:tabs>
        <w:ind w:left="360"/>
        <w:rPr>
          <w:rFonts w:hint="eastAsia" w:ascii="仿宋" w:hAnsi="仿宋" w:eastAsia="仿宋" w:cs="仿宋"/>
          <w:sz w:val="24"/>
          <w:szCs w:val="24"/>
        </w:rPr>
      </w:pPr>
      <w:r>
        <w:rPr>
          <w:rFonts w:hint="eastAsia" w:ascii="仿宋" w:hAnsi="仿宋" w:eastAsia="仿宋" w:cs="仿宋"/>
          <w:spacing w:val="-2"/>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（盖公章）</w:t>
      </w:r>
      <w:r>
        <w:rPr>
          <w:rFonts w:hint="eastAsia" w:ascii="仿宋" w:hAnsi="仿宋" w:eastAsia="仿宋" w:cs="仿宋"/>
          <w:sz w:val="24"/>
          <w:szCs w:val="24"/>
        </w:rPr>
        <w:tab/>
      </w:r>
    </w:p>
    <w:p w14:paraId="3B3FBF2A">
      <w:pPr>
        <w:pStyle w:val="22"/>
        <w:tabs>
          <w:tab w:val="left" w:pos="3240"/>
          <w:tab w:val="left" w:pos="9214"/>
        </w:tabs>
        <w:spacing w:before="160" w:line="242" w:lineRule="auto"/>
        <w:ind w:left="360" w:right="-314"/>
        <w:rPr>
          <w:rFonts w:hint="eastAsia" w:ascii="仿宋" w:hAnsi="仿宋" w:eastAsia="仿宋" w:cs="仿宋"/>
          <w:sz w:val="24"/>
          <w:szCs w:val="24"/>
        </w:rPr>
      </w:pPr>
      <w:r>
        <w:rPr>
          <w:rFonts w:hint="eastAsia" w:ascii="仿宋" w:hAnsi="仿宋" w:eastAsia="仿宋" w:cs="仿宋"/>
          <w:sz w:val="24"/>
          <w:szCs w:val="24"/>
        </w:rPr>
        <w:t>法人代表或其授权人：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（签字或签章） </w:t>
      </w:r>
    </w:p>
    <w:p w14:paraId="2B6AB481">
      <w:pPr>
        <w:pStyle w:val="22"/>
        <w:tabs>
          <w:tab w:val="left" w:pos="3240"/>
          <w:tab w:val="left" w:pos="3535"/>
          <w:tab w:val="left" w:pos="9214"/>
        </w:tabs>
        <w:spacing w:before="160" w:line="242" w:lineRule="auto"/>
        <w:ind w:left="360" w:right="4863"/>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pacing w:val="-1"/>
          <w:sz w:val="24"/>
          <w:szCs w:val="24"/>
        </w:rPr>
        <w:t xml:space="preserve"> </w:t>
      </w:r>
      <w:r>
        <w:rPr>
          <w:rFonts w:hint="eastAsia" w:ascii="仿宋" w:hAnsi="仿宋" w:eastAsia="仿宋" w:cs="仿宋"/>
          <w:sz w:val="24"/>
          <w:szCs w:val="24"/>
        </w:rPr>
        <w:t>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92EA4BF">
      <w:pPr>
        <w:pStyle w:val="156"/>
        <w:spacing w:line="360" w:lineRule="auto"/>
        <w:rPr>
          <w:rFonts w:hint="eastAsia" w:ascii="仿宋" w:hAnsi="仿宋" w:eastAsia="仿宋" w:cs="仿宋"/>
          <w:bCs w:val="0"/>
          <w:sz w:val="21"/>
          <w:szCs w:val="21"/>
        </w:rPr>
      </w:pPr>
    </w:p>
    <w:p w14:paraId="20394173">
      <w:pPr>
        <w:pStyle w:val="156"/>
        <w:spacing w:line="360" w:lineRule="auto"/>
        <w:rPr>
          <w:rFonts w:hint="eastAsia" w:ascii="仿宋" w:hAnsi="仿宋" w:eastAsia="仿宋" w:cs="仿宋"/>
          <w:bCs w:val="0"/>
          <w:sz w:val="21"/>
          <w:szCs w:val="21"/>
        </w:rPr>
      </w:pPr>
    </w:p>
    <w:p w14:paraId="6076B3E2">
      <w:pPr>
        <w:pStyle w:val="156"/>
        <w:spacing w:line="360" w:lineRule="auto"/>
        <w:rPr>
          <w:rFonts w:hint="eastAsia" w:ascii="仿宋" w:hAnsi="仿宋" w:eastAsia="仿宋" w:cs="仿宋"/>
          <w:bCs w:val="0"/>
          <w:sz w:val="21"/>
          <w:szCs w:val="21"/>
        </w:rPr>
        <w:sectPr>
          <w:pgSz w:w="11906" w:h="16838"/>
          <w:pgMar w:top="1440" w:right="1800" w:bottom="1440" w:left="1800" w:header="851" w:footer="992" w:gutter="0"/>
          <w:pgNumType w:fmt="decimal"/>
          <w:cols w:space="720" w:num="1"/>
          <w:docGrid w:type="lines" w:linePitch="312" w:charSpace="0"/>
        </w:sectPr>
      </w:pPr>
    </w:p>
    <w:p w14:paraId="30B2B32C">
      <w:pPr>
        <w:pStyle w:val="156"/>
        <w:spacing w:line="360" w:lineRule="auto"/>
        <w:jc w:val="both"/>
        <w:outlineLvl w:val="1"/>
        <w:rPr>
          <w:rFonts w:hint="eastAsia" w:ascii="仿宋" w:hAnsi="仿宋" w:eastAsia="仿宋" w:cs="仿宋"/>
          <w:b/>
          <w:sz w:val="21"/>
          <w:szCs w:val="21"/>
        </w:rPr>
      </w:pPr>
      <w:bookmarkStart w:id="304" w:name="_Toc31811"/>
      <w:bookmarkStart w:id="305" w:name="_Toc115436128"/>
      <w:bookmarkStart w:id="306" w:name="_Toc114589536"/>
      <w:bookmarkStart w:id="307" w:name="_Toc23120"/>
      <w:bookmarkStart w:id="308" w:name="_Toc32360"/>
      <w:bookmarkStart w:id="309" w:name="_Toc507399530"/>
      <w:bookmarkStart w:id="310" w:name="_Toc7415"/>
      <w:bookmarkStart w:id="311" w:name="_Toc16714"/>
      <w:r>
        <w:rPr>
          <w:rFonts w:hint="eastAsia" w:ascii="仿宋" w:hAnsi="仿宋" w:eastAsia="仿宋" w:cs="仿宋"/>
          <w:b/>
          <w:sz w:val="21"/>
          <w:szCs w:val="21"/>
        </w:rPr>
        <w:t xml:space="preserve">附件4   </w:t>
      </w:r>
      <w:bookmarkStart w:id="312" w:name="_Hlt520355504"/>
      <w:bookmarkEnd w:id="312"/>
      <w:r>
        <w:rPr>
          <w:rFonts w:hint="eastAsia" w:ascii="仿宋" w:hAnsi="仿宋" w:eastAsia="仿宋" w:cs="仿宋"/>
          <w:b/>
          <w:sz w:val="21"/>
          <w:szCs w:val="21"/>
        </w:rPr>
        <w:t>投标书</w:t>
      </w:r>
      <w:bookmarkEnd w:id="304"/>
      <w:bookmarkEnd w:id="305"/>
      <w:bookmarkEnd w:id="306"/>
      <w:bookmarkEnd w:id="307"/>
      <w:bookmarkEnd w:id="308"/>
      <w:bookmarkEnd w:id="309"/>
      <w:bookmarkEnd w:id="310"/>
      <w:bookmarkEnd w:id="311"/>
    </w:p>
    <w:p w14:paraId="7770405B">
      <w:pPr>
        <w:pStyle w:val="156"/>
        <w:spacing w:line="360" w:lineRule="auto"/>
        <w:jc w:val="center"/>
        <w:rPr>
          <w:rFonts w:hint="eastAsia" w:ascii="仿宋" w:hAnsi="仿宋" w:eastAsia="仿宋" w:cs="仿宋"/>
          <w:bCs w:val="0"/>
          <w:sz w:val="32"/>
          <w:szCs w:val="32"/>
        </w:rPr>
      </w:pPr>
      <w:r>
        <w:rPr>
          <w:rFonts w:hint="eastAsia" w:ascii="仿宋" w:hAnsi="仿宋" w:eastAsia="仿宋" w:cs="仿宋"/>
          <w:b/>
          <w:sz w:val="32"/>
          <w:szCs w:val="32"/>
        </w:rPr>
        <w:t>投标书</w:t>
      </w:r>
    </w:p>
    <w:p w14:paraId="6EE8F24F">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致：XXXXXXXXXX</w:t>
      </w:r>
    </w:p>
    <w:p w14:paraId="6D55A93B">
      <w:pPr>
        <w:pStyle w:val="156"/>
        <w:spacing w:line="440" w:lineRule="exact"/>
        <w:ind w:firstLine="520" w:firstLineChars="200"/>
        <w:rPr>
          <w:rFonts w:hint="eastAsia" w:ascii="仿宋" w:hAnsi="仿宋" w:eastAsia="仿宋" w:cs="仿宋"/>
          <w:bCs w:val="0"/>
          <w:sz w:val="24"/>
          <w:szCs w:val="24"/>
        </w:rPr>
      </w:pPr>
      <w:r>
        <w:rPr>
          <w:rFonts w:hint="eastAsia" w:ascii="仿宋" w:hAnsi="仿宋" w:eastAsia="仿宋" w:cs="仿宋"/>
          <w:bCs w:val="0"/>
          <w:sz w:val="24"/>
          <w:szCs w:val="24"/>
        </w:rPr>
        <w:t>根据贵方为</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lang w:eastAsia="zh-CN"/>
        </w:rPr>
        <w:t>（</w:t>
      </w:r>
      <w:r>
        <w:rPr>
          <w:rFonts w:hint="eastAsia" w:ascii="仿宋" w:hAnsi="仿宋" w:eastAsia="仿宋" w:cs="仿宋"/>
          <w:bCs w:val="0"/>
          <w:sz w:val="24"/>
          <w:szCs w:val="24"/>
          <w:u w:val="single"/>
        </w:rPr>
        <w:t>项目名称、项目编号</w:t>
      </w:r>
      <w:r>
        <w:rPr>
          <w:rFonts w:hint="eastAsia" w:ascii="仿宋" w:hAnsi="仿宋" w:eastAsia="仿宋" w:cs="仿宋"/>
          <w:bCs w:val="0"/>
          <w:sz w:val="24"/>
          <w:szCs w:val="24"/>
          <w:u w:val="single"/>
          <w:lang w:eastAsia="zh-CN"/>
        </w:rPr>
        <w:t>）</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rPr>
        <w:t>项目的投标邀请</w:t>
      </w:r>
      <w:r>
        <w:rPr>
          <w:rFonts w:hint="eastAsia" w:ascii="仿宋" w:hAnsi="仿宋" w:eastAsia="仿宋" w:cs="仿宋"/>
          <w:bCs w:val="0"/>
          <w:sz w:val="24"/>
          <w:szCs w:val="24"/>
          <w:lang w:eastAsia="zh-CN"/>
        </w:rPr>
        <w:t>，</w:t>
      </w:r>
      <w:r>
        <w:rPr>
          <w:rFonts w:hint="eastAsia" w:ascii="仿宋" w:hAnsi="仿宋" w:eastAsia="仿宋" w:cs="仿宋"/>
          <w:bCs w:val="0"/>
          <w:sz w:val="24"/>
          <w:szCs w:val="24"/>
        </w:rPr>
        <w:t>签字代表</w:t>
      </w:r>
      <w:r>
        <w:rPr>
          <w:rFonts w:hint="eastAsia" w:ascii="仿宋" w:hAnsi="仿宋" w:eastAsia="仿宋" w:cs="仿宋"/>
          <w:bCs w:val="0"/>
          <w:sz w:val="24"/>
          <w:szCs w:val="24"/>
          <w:lang w:eastAsia="zh-CN"/>
        </w:rPr>
        <w:t>（</w:t>
      </w:r>
      <w:r>
        <w:rPr>
          <w:rFonts w:hint="eastAsia" w:ascii="仿宋" w:hAnsi="仿宋" w:eastAsia="仿宋" w:cs="仿宋"/>
          <w:bCs w:val="0"/>
          <w:sz w:val="24"/>
          <w:szCs w:val="24"/>
          <w:u w:val="single"/>
        </w:rPr>
        <w:t>姓名、职务</w:t>
      </w:r>
      <w:r>
        <w:rPr>
          <w:rFonts w:hint="eastAsia" w:ascii="仿宋" w:hAnsi="仿宋" w:eastAsia="仿宋" w:cs="仿宋"/>
          <w:bCs w:val="0"/>
          <w:sz w:val="24"/>
          <w:szCs w:val="24"/>
          <w:u w:val="single"/>
          <w:lang w:eastAsia="zh-CN"/>
        </w:rPr>
        <w:t>）</w:t>
      </w:r>
      <w:r>
        <w:rPr>
          <w:rFonts w:hint="eastAsia" w:ascii="仿宋" w:hAnsi="仿宋" w:eastAsia="仿宋" w:cs="仿宋"/>
          <w:bCs w:val="0"/>
          <w:sz w:val="24"/>
          <w:szCs w:val="24"/>
        </w:rPr>
        <w:t>经正式授权并代表</w:t>
      </w:r>
      <w:r>
        <w:rPr>
          <w:rFonts w:hint="eastAsia" w:ascii="仿宋" w:hAnsi="仿宋" w:eastAsia="仿宋" w:cs="仿宋"/>
          <w:bCs w:val="0"/>
          <w:sz w:val="24"/>
          <w:szCs w:val="24"/>
          <w:lang w:eastAsia="zh-CN"/>
        </w:rPr>
        <w:t>投标供应商</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lang w:eastAsia="zh-CN"/>
        </w:rPr>
        <w:t>投标供应商</w:t>
      </w:r>
      <w:r>
        <w:rPr>
          <w:rFonts w:hint="eastAsia" w:ascii="仿宋" w:hAnsi="仿宋" w:eastAsia="仿宋" w:cs="仿宋"/>
          <w:bCs w:val="0"/>
          <w:sz w:val="24"/>
          <w:szCs w:val="24"/>
          <w:u w:val="single"/>
        </w:rPr>
        <w:t>名称、地址）</w:t>
      </w:r>
      <w:r>
        <w:rPr>
          <w:rFonts w:hint="eastAsia" w:ascii="仿宋" w:hAnsi="仿宋" w:eastAsia="仿宋" w:cs="仿宋"/>
          <w:bCs w:val="0"/>
          <w:sz w:val="24"/>
          <w:szCs w:val="24"/>
        </w:rPr>
        <w:t>提交下述文件，以</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rPr>
        <w:t>形式出具的金额为人民币</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rPr>
        <w:t>元的</w:t>
      </w:r>
      <w:r>
        <w:rPr>
          <w:rFonts w:hint="eastAsia" w:ascii="仿宋" w:hAnsi="仿宋" w:eastAsia="仿宋" w:cs="仿宋"/>
          <w:bCs w:val="0"/>
          <w:sz w:val="24"/>
          <w:szCs w:val="24"/>
          <w:lang w:eastAsia="zh-CN"/>
        </w:rPr>
        <w:t>谈判保证金</w:t>
      </w:r>
      <w:r>
        <w:rPr>
          <w:rFonts w:hint="eastAsia" w:ascii="仿宋" w:hAnsi="仿宋" w:eastAsia="仿宋" w:cs="仿宋"/>
          <w:bCs w:val="0"/>
          <w:sz w:val="24"/>
          <w:szCs w:val="24"/>
        </w:rPr>
        <w:t>。并作出如下承诺：</w:t>
      </w:r>
    </w:p>
    <w:p w14:paraId="6EFA5695">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1、如果我方被确定为</w:t>
      </w:r>
      <w:r>
        <w:rPr>
          <w:rFonts w:hint="eastAsia" w:ascii="仿宋" w:hAnsi="仿宋" w:eastAsia="仿宋" w:cs="仿宋"/>
          <w:bCs w:val="0"/>
          <w:sz w:val="24"/>
          <w:szCs w:val="24"/>
          <w:lang w:eastAsia="zh-CN"/>
        </w:rPr>
        <w:t>成交</w:t>
      </w:r>
      <w:r>
        <w:rPr>
          <w:rFonts w:hint="eastAsia" w:ascii="仿宋" w:hAnsi="仿宋" w:eastAsia="仿宋" w:cs="仿宋"/>
          <w:bCs w:val="0"/>
          <w:sz w:val="24"/>
          <w:szCs w:val="24"/>
        </w:rPr>
        <w:t>人，我们将按照采购文件、我方响应文件及双方确认的合同条款的要求执行。</w:t>
      </w:r>
    </w:p>
    <w:p w14:paraId="4F9632D3">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2、我方保证忠实地执行双方所签的合同，并承担合同规定的责任和义务。</w:t>
      </w:r>
    </w:p>
    <w:p w14:paraId="54779682">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3、我方愿意向贵方提供任何与此报价有关的数据、情况和技术资料。完全理解贵方不一定接受最低价的投标或收到的任何投标。</w:t>
      </w:r>
    </w:p>
    <w:p w14:paraId="6442A93C">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4、我方提交的响应文件及报价自提交日期起</w:t>
      </w:r>
      <w:r>
        <w:rPr>
          <w:rFonts w:hint="eastAsia" w:ascii="仿宋" w:hAnsi="仿宋" w:eastAsia="仿宋" w:cs="仿宋"/>
          <w:bCs w:val="0"/>
          <w:sz w:val="24"/>
          <w:szCs w:val="24"/>
          <w:lang w:val="en-US" w:eastAsia="zh-CN"/>
        </w:rPr>
        <w:t xml:space="preserve">  </w:t>
      </w:r>
      <w:r>
        <w:rPr>
          <w:rFonts w:hint="eastAsia" w:ascii="仿宋" w:hAnsi="仿宋" w:eastAsia="仿宋" w:cs="仿宋"/>
          <w:bCs w:val="0"/>
          <w:sz w:val="24"/>
          <w:szCs w:val="24"/>
        </w:rPr>
        <w:t>天有效，并对我方具有约束力。</w:t>
      </w:r>
    </w:p>
    <w:p w14:paraId="74F0717C">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5、我方已详细审查全部采购文件，包括所有补充通知（如果有的话）。我们完全理解并同意放弃对这方面有不明、误解和质疑的权力。</w:t>
      </w:r>
    </w:p>
    <w:p w14:paraId="65DCC27B">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6、在规定的</w:t>
      </w:r>
      <w:r>
        <w:rPr>
          <w:rFonts w:hint="eastAsia" w:ascii="仿宋" w:hAnsi="仿宋" w:eastAsia="仿宋" w:cs="仿宋"/>
          <w:bCs w:val="0"/>
          <w:sz w:val="24"/>
          <w:szCs w:val="24"/>
          <w:lang w:eastAsia="zh-CN"/>
        </w:rPr>
        <w:t>谈判</w:t>
      </w:r>
      <w:r>
        <w:rPr>
          <w:rFonts w:hint="eastAsia" w:ascii="仿宋" w:hAnsi="仿宋" w:eastAsia="仿宋" w:cs="仿宋"/>
          <w:bCs w:val="0"/>
          <w:sz w:val="24"/>
          <w:szCs w:val="24"/>
        </w:rPr>
        <w:t>时间后，</w:t>
      </w:r>
      <w:r>
        <w:rPr>
          <w:rFonts w:hint="eastAsia" w:ascii="仿宋" w:hAnsi="仿宋" w:eastAsia="仿宋" w:cs="仿宋"/>
          <w:bCs w:val="0"/>
          <w:sz w:val="24"/>
          <w:szCs w:val="24"/>
          <w:lang w:eastAsia="zh-CN"/>
        </w:rPr>
        <w:t>投标供应商</w:t>
      </w:r>
      <w:r>
        <w:rPr>
          <w:rFonts w:hint="eastAsia" w:ascii="仿宋" w:hAnsi="仿宋" w:eastAsia="仿宋" w:cs="仿宋"/>
          <w:bCs w:val="0"/>
          <w:sz w:val="24"/>
          <w:szCs w:val="24"/>
        </w:rPr>
        <w:t>保证遵守采购文件中有关保证金的规定。</w:t>
      </w:r>
    </w:p>
    <w:p w14:paraId="1CDB1906">
      <w:pPr>
        <w:pStyle w:val="156"/>
        <w:spacing w:line="440" w:lineRule="exact"/>
        <w:outlineLvl w:val="1"/>
        <w:rPr>
          <w:rFonts w:hint="eastAsia" w:ascii="仿宋" w:hAnsi="仿宋" w:eastAsia="仿宋" w:cs="仿宋"/>
          <w:bCs w:val="0"/>
          <w:sz w:val="24"/>
          <w:szCs w:val="24"/>
        </w:rPr>
      </w:pPr>
      <w:r>
        <w:rPr>
          <w:rFonts w:hint="eastAsia" w:ascii="仿宋" w:hAnsi="仿宋" w:eastAsia="仿宋" w:cs="仿宋"/>
          <w:bCs w:val="0"/>
          <w:sz w:val="24"/>
          <w:szCs w:val="24"/>
        </w:rPr>
        <w:t>7、与本投标有关的一切正式往来信函请寄：</w:t>
      </w:r>
    </w:p>
    <w:p w14:paraId="35C37390">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地址：</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rPr>
        <w:t xml:space="preserve">                                     </w:t>
      </w:r>
    </w:p>
    <w:p w14:paraId="38CDB3DA">
      <w:pPr>
        <w:pStyle w:val="156"/>
        <w:spacing w:line="440" w:lineRule="exact"/>
        <w:rPr>
          <w:rFonts w:hint="eastAsia" w:ascii="仿宋" w:hAnsi="仿宋" w:eastAsia="仿宋" w:cs="仿宋"/>
          <w:bCs w:val="0"/>
          <w:sz w:val="24"/>
          <w:szCs w:val="24"/>
        </w:rPr>
      </w:pPr>
      <w:r>
        <w:rPr>
          <w:rFonts w:hint="eastAsia" w:ascii="仿宋" w:hAnsi="仿宋" w:eastAsia="仿宋" w:cs="仿宋"/>
          <w:bCs w:val="0"/>
          <w:sz w:val="24"/>
          <w:szCs w:val="24"/>
        </w:rPr>
        <w:t>电话：</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rPr>
        <w:t xml:space="preserve">     电子函件：</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rPr>
        <w:t xml:space="preserve">         </w:t>
      </w:r>
    </w:p>
    <w:p w14:paraId="085C31BA">
      <w:pPr>
        <w:pStyle w:val="156"/>
        <w:spacing w:line="360" w:lineRule="auto"/>
        <w:rPr>
          <w:rFonts w:hint="eastAsia" w:ascii="仿宋" w:hAnsi="仿宋" w:eastAsia="仿宋" w:cs="仿宋"/>
          <w:bCs w:val="0"/>
          <w:sz w:val="24"/>
          <w:szCs w:val="24"/>
        </w:rPr>
      </w:pPr>
      <w:r>
        <w:rPr>
          <w:rFonts w:hint="eastAsia" w:ascii="仿宋" w:hAnsi="仿宋" w:eastAsia="仿宋" w:cs="仿宋"/>
          <w:bCs w:val="0"/>
          <w:sz w:val="24"/>
          <w:szCs w:val="24"/>
          <w:lang w:eastAsia="zh-CN"/>
        </w:rPr>
        <w:t>供应商</w:t>
      </w:r>
      <w:r>
        <w:rPr>
          <w:rFonts w:hint="eastAsia" w:ascii="仿宋" w:hAnsi="仿宋" w:eastAsia="仿宋" w:cs="仿宋"/>
          <w:bCs w:val="0"/>
          <w:sz w:val="24"/>
          <w:szCs w:val="24"/>
        </w:rPr>
        <w:t>：</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sz w:val="24"/>
          <w:szCs w:val="24"/>
          <w:u w:val="single"/>
        </w:rPr>
        <w:t xml:space="preserve">             （公章）</w:t>
      </w:r>
      <w:r>
        <w:rPr>
          <w:rFonts w:hint="eastAsia" w:ascii="仿宋" w:hAnsi="仿宋" w:eastAsia="仿宋" w:cs="仿宋"/>
          <w:bCs w:val="0"/>
          <w:sz w:val="24"/>
          <w:szCs w:val="24"/>
        </w:rPr>
        <w:tab/>
      </w:r>
    </w:p>
    <w:p w14:paraId="06F43B4A">
      <w:pPr>
        <w:pStyle w:val="156"/>
        <w:spacing w:line="360" w:lineRule="auto"/>
        <w:rPr>
          <w:rFonts w:hint="eastAsia" w:ascii="仿宋" w:hAnsi="仿宋" w:eastAsia="仿宋" w:cs="仿宋"/>
          <w:bCs w:val="0"/>
          <w:sz w:val="24"/>
          <w:szCs w:val="24"/>
        </w:rPr>
      </w:pPr>
      <w:r>
        <w:rPr>
          <w:rFonts w:hint="eastAsia" w:ascii="仿宋" w:hAnsi="仿宋" w:eastAsia="仿宋" w:cs="仿宋"/>
          <w:bCs w:val="0"/>
          <w:sz w:val="24"/>
          <w:szCs w:val="24"/>
        </w:rPr>
        <w:t>法定代表人或其授权代理人：</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sz w:val="24"/>
          <w:szCs w:val="24"/>
          <w:u w:val="single"/>
        </w:rPr>
        <w:t>（签字或签章）</w:t>
      </w:r>
      <w:r>
        <w:rPr>
          <w:rFonts w:hint="eastAsia" w:ascii="仿宋" w:hAnsi="仿宋" w:eastAsia="仿宋" w:cs="仿宋"/>
          <w:bCs w:val="0"/>
          <w:sz w:val="24"/>
          <w:szCs w:val="24"/>
        </w:rPr>
        <w:tab/>
      </w:r>
    </w:p>
    <w:p w14:paraId="69E0D55F">
      <w:pPr>
        <w:pStyle w:val="156"/>
        <w:spacing w:line="360" w:lineRule="auto"/>
        <w:rPr>
          <w:rFonts w:hint="eastAsia" w:ascii="仿宋" w:hAnsi="仿宋" w:eastAsia="仿宋" w:cs="仿宋"/>
          <w:bCs w:val="0"/>
          <w:sz w:val="24"/>
          <w:szCs w:val="24"/>
        </w:rPr>
      </w:pPr>
      <w:r>
        <w:rPr>
          <w:rFonts w:hint="eastAsia" w:ascii="仿宋" w:hAnsi="仿宋" w:eastAsia="仿宋" w:cs="仿宋"/>
          <w:bCs w:val="0"/>
          <w:sz w:val="24"/>
          <w:szCs w:val="24"/>
        </w:rPr>
        <w:t xml:space="preserve">日期： </w:t>
      </w:r>
      <w:r>
        <w:rPr>
          <w:rFonts w:hint="eastAsia" w:ascii="仿宋" w:hAnsi="仿宋" w:eastAsia="仿宋" w:cs="仿宋"/>
          <w:bCs w:val="0"/>
          <w:sz w:val="24"/>
          <w:szCs w:val="24"/>
        </w:rPr>
        <w:tab/>
      </w:r>
      <w:r>
        <w:rPr>
          <w:rFonts w:hint="eastAsia" w:ascii="仿宋" w:hAnsi="仿宋" w:eastAsia="仿宋" w:cs="仿宋"/>
          <w:bCs w:val="0"/>
          <w:sz w:val="24"/>
          <w:szCs w:val="24"/>
        </w:rPr>
        <w:t>年   月   日</w:t>
      </w:r>
    </w:p>
    <w:p w14:paraId="162AD1DC">
      <w:pPr>
        <w:pStyle w:val="156"/>
        <w:spacing w:line="360" w:lineRule="auto"/>
        <w:rPr>
          <w:rFonts w:hint="eastAsia" w:ascii="仿宋" w:hAnsi="仿宋" w:eastAsia="仿宋" w:cs="仿宋"/>
          <w:bCs w:val="0"/>
          <w:sz w:val="24"/>
          <w:szCs w:val="24"/>
        </w:rPr>
        <w:sectPr>
          <w:footerReference r:id="rId16" w:type="default"/>
          <w:pgSz w:w="11906" w:h="16838"/>
          <w:pgMar w:top="1440" w:right="1800" w:bottom="1440" w:left="1800" w:header="851" w:footer="992" w:gutter="0"/>
          <w:pgNumType w:fmt="decimal"/>
          <w:cols w:space="720" w:num="1"/>
          <w:docGrid w:type="lines" w:linePitch="312" w:charSpace="0"/>
        </w:sectPr>
      </w:pPr>
    </w:p>
    <w:p w14:paraId="67492C87">
      <w:pPr>
        <w:pStyle w:val="156"/>
        <w:spacing w:line="360" w:lineRule="auto"/>
        <w:jc w:val="both"/>
        <w:outlineLvl w:val="1"/>
        <w:rPr>
          <w:rFonts w:hint="eastAsia" w:ascii="仿宋" w:hAnsi="仿宋" w:eastAsia="仿宋" w:cs="仿宋"/>
          <w:b/>
          <w:sz w:val="21"/>
          <w:szCs w:val="21"/>
        </w:rPr>
      </w:pPr>
      <w:bookmarkStart w:id="313" w:name="_Toc28687"/>
      <w:bookmarkStart w:id="314" w:name="_Toc216582817"/>
      <w:bookmarkStart w:id="315" w:name="_Toc507399533"/>
      <w:bookmarkStart w:id="316" w:name="_Toc115436131"/>
      <w:bookmarkStart w:id="317" w:name="_Toc28605"/>
      <w:bookmarkStart w:id="318" w:name="_Toc15379"/>
      <w:bookmarkStart w:id="319" w:name="_Toc29754"/>
      <w:bookmarkStart w:id="320" w:name="_Toc114589539"/>
      <w:bookmarkStart w:id="321" w:name="_Toc32182"/>
      <w:r>
        <w:rPr>
          <w:rFonts w:hint="eastAsia" w:ascii="仿宋" w:hAnsi="仿宋" w:eastAsia="仿宋" w:cs="仿宋"/>
          <w:b/>
          <w:sz w:val="21"/>
          <w:szCs w:val="21"/>
        </w:rPr>
        <w:t>附件5   技术规格偏离表</w:t>
      </w:r>
      <w:bookmarkEnd w:id="313"/>
      <w:bookmarkEnd w:id="314"/>
      <w:bookmarkEnd w:id="315"/>
      <w:bookmarkEnd w:id="316"/>
      <w:bookmarkEnd w:id="317"/>
      <w:bookmarkEnd w:id="318"/>
      <w:bookmarkEnd w:id="319"/>
      <w:bookmarkEnd w:id="320"/>
      <w:bookmarkEnd w:id="321"/>
    </w:p>
    <w:p w14:paraId="3AE9A041">
      <w:pPr>
        <w:pStyle w:val="25"/>
        <w:spacing w:line="360" w:lineRule="auto"/>
        <w:ind w:left="1080" w:leftChars="257" w:hanging="540"/>
        <w:jc w:val="center"/>
        <w:rPr>
          <w:rFonts w:hint="eastAsia" w:ascii="仿宋" w:hAnsi="仿宋" w:eastAsia="仿宋" w:cs="仿宋"/>
          <w:sz w:val="32"/>
          <w:szCs w:val="32"/>
        </w:rPr>
      </w:pPr>
      <w:r>
        <w:rPr>
          <w:rFonts w:hint="eastAsia" w:ascii="仿宋" w:hAnsi="仿宋" w:eastAsia="仿宋" w:cs="仿宋"/>
          <w:b/>
          <w:bCs/>
          <w:sz w:val="32"/>
          <w:szCs w:val="32"/>
        </w:rPr>
        <w:t>技术规格偏离表</w:t>
      </w:r>
    </w:p>
    <w:p w14:paraId="76E6D31F">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w:t>
      </w:r>
      <w:r>
        <w:rPr>
          <w:rFonts w:hint="eastAsia" w:ascii="仿宋" w:hAnsi="仿宋" w:eastAsia="仿宋" w:cs="仿宋"/>
          <w:sz w:val="24"/>
          <w:szCs w:val="24"/>
        </w:rPr>
        <w:t xml:space="preserve">                       项目编号</w:t>
      </w:r>
      <w:r>
        <w:rPr>
          <w:rFonts w:hint="eastAsia" w:ascii="仿宋" w:hAnsi="仿宋" w:eastAsia="仿宋" w:cs="仿宋"/>
          <w:sz w:val="24"/>
          <w:szCs w:val="24"/>
          <w:lang w:eastAsia="zh-CN"/>
        </w:rPr>
        <w:t>：</w:t>
      </w:r>
      <w:r>
        <w:rPr>
          <w:rFonts w:hint="eastAsia" w:ascii="仿宋" w:hAnsi="仿宋" w:eastAsia="仿宋" w:cs="仿宋"/>
          <w:sz w:val="24"/>
          <w:szCs w:val="24"/>
        </w:rPr>
        <w:t xml:space="preserve">                 包号</w:t>
      </w:r>
      <w:r>
        <w:rPr>
          <w:rFonts w:hint="eastAsia" w:ascii="仿宋" w:hAnsi="仿宋" w:eastAsia="仿宋" w:cs="仿宋"/>
          <w:sz w:val="24"/>
          <w:szCs w:val="24"/>
          <w:lang w:eastAsia="zh-CN"/>
        </w:rPr>
        <w:t>：</w:t>
      </w:r>
    </w:p>
    <w:tbl>
      <w:tblPr>
        <w:tblStyle w:val="46"/>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7AEB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noWrap w:val="0"/>
            <w:vAlign w:val="center"/>
          </w:tcPr>
          <w:p w14:paraId="3A5555D3">
            <w:pPr>
              <w:pStyle w:val="25"/>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07" w:type="dxa"/>
            <w:noWrap w:val="0"/>
            <w:vAlign w:val="center"/>
          </w:tcPr>
          <w:p w14:paraId="6DEFA898">
            <w:pPr>
              <w:pStyle w:val="25"/>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2044" w:type="dxa"/>
            <w:noWrap w:val="0"/>
            <w:vAlign w:val="center"/>
          </w:tcPr>
          <w:p w14:paraId="5FC08E31">
            <w:pPr>
              <w:pStyle w:val="25"/>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采购文件条款号及规格</w:t>
            </w:r>
          </w:p>
        </w:tc>
        <w:tc>
          <w:tcPr>
            <w:tcW w:w="1791" w:type="dxa"/>
            <w:noWrap w:val="0"/>
            <w:vAlign w:val="center"/>
          </w:tcPr>
          <w:p w14:paraId="2B75DFA0">
            <w:pPr>
              <w:pStyle w:val="25"/>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投标规格</w:t>
            </w:r>
          </w:p>
        </w:tc>
        <w:tc>
          <w:tcPr>
            <w:tcW w:w="2010" w:type="dxa"/>
            <w:noWrap w:val="0"/>
            <w:vAlign w:val="center"/>
          </w:tcPr>
          <w:p w14:paraId="1A9F666E">
            <w:pPr>
              <w:pStyle w:val="25"/>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偏离说明</w:t>
            </w:r>
          </w:p>
        </w:tc>
      </w:tr>
      <w:tr w14:paraId="6773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7EA3EDC6">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407" w:type="dxa"/>
            <w:noWrap w:val="0"/>
            <w:vAlign w:val="top"/>
          </w:tcPr>
          <w:p w14:paraId="3477A21A">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44" w:type="dxa"/>
            <w:noWrap w:val="0"/>
            <w:vAlign w:val="top"/>
          </w:tcPr>
          <w:p w14:paraId="4C9BDAE4">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791" w:type="dxa"/>
            <w:noWrap w:val="0"/>
            <w:vAlign w:val="top"/>
          </w:tcPr>
          <w:p w14:paraId="0E981265">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10" w:type="dxa"/>
            <w:noWrap w:val="0"/>
            <w:vAlign w:val="top"/>
          </w:tcPr>
          <w:p w14:paraId="1851308C">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r>
      <w:tr w14:paraId="1296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6714594D">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407" w:type="dxa"/>
            <w:noWrap w:val="0"/>
            <w:vAlign w:val="top"/>
          </w:tcPr>
          <w:p w14:paraId="0B7974C5">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44" w:type="dxa"/>
            <w:noWrap w:val="0"/>
            <w:vAlign w:val="top"/>
          </w:tcPr>
          <w:p w14:paraId="20E42055">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791" w:type="dxa"/>
            <w:noWrap w:val="0"/>
            <w:vAlign w:val="top"/>
          </w:tcPr>
          <w:p w14:paraId="5E2E73FC">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10" w:type="dxa"/>
            <w:noWrap w:val="0"/>
            <w:vAlign w:val="top"/>
          </w:tcPr>
          <w:p w14:paraId="77F98AAF">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r>
      <w:tr w14:paraId="6CD7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610B797C">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407" w:type="dxa"/>
            <w:noWrap w:val="0"/>
            <w:vAlign w:val="top"/>
          </w:tcPr>
          <w:p w14:paraId="29645607">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44" w:type="dxa"/>
            <w:noWrap w:val="0"/>
            <w:vAlign w:val="top"/>
          </w:tcPr>
          <w:p w14:paraId="03A577D4">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791" w:type="dxa"/>
            <w:noWrap w:val="0"/>
            <w:vAlign w:val="top"/>
          </w:tcPr>
          <w:p w14:paraId="2268E7D7">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10" w:type="dxa"/>
            <w:noWrap w:val="0"/>
            <w:vAlign w:val="top"/>
          </w:tcPr>
          <w:p w14:paraId="7BD27266">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r>
      <w:tr w14:paraId="15CB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2EFDF0B8">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407" w:type="dxa"/>
            <w:noWrap w:val="0"/>
            <w:vAlign w:val="top"/>
          </w:tcPr>
          <w:p w14:paraId="2C70574C">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44" w:type="dxa"/>
            <w:noWrap w:val="0"/>
            <w:vAlign w:val="top"/>
          </w:tcPr>
          <w:p w14:paraId="4EAF3A35">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791" w:type="dxa"/>
            <w:noWrap w:val="0"/>
            <w:vAlign w:val="top"/>
          </w:tcPr>
          <w:p w14:paraId="3C530083">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10" w:type="dxa"/>
            <w:noWrap w:val="0"/>
            <w:vAlign w:val="top"/>
          </w:tcPr>
          <w:p w14:paraId="7E711D42">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r>
      <w:tr w14:paraId="509B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42D5EC5F">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407" w:type="dxa"/>
            <w:noWrap w:val="0"/>
            <w:vAlign w:val="top"/>
          </w:tcPr>
          <w:p w14:paraId="2155A340">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44" w:type="dxa"/>
            <w:noWrap w:val="0"/>
            <w:vAlign w:val="top"/>
          </w:tcPr>
          <w:p w14:paraId="4C750AEA">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791" w:type="dxa"/>
            <w:noWrap w:val="0"/>
            <w:vAlign w:val="top"/>
          </w:tcPr>
          <w:p w14:paraId="5A5A2984">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10" w:type="dxa"/>
            <w:noWrap w:val="0"/>
            <w:vAlign w:val="top"/>
          </w:tcPr>
          <w:p w14:paraId="1D2BF257">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r>
      <w:tr w14:paraId="51B2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B3D46D0">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407" w:type="dxa"/>
            <w:noWrap w:val="0"/>
            <w:vAlign w:val="top"/>
          </w:tcPr>
          <w:p w14:paraId="7287624A">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44" w:type="dxa"/>
            <w:noWrap w:val="0"/>
            <w:vAlign w:val="top"/>
          </w:tcPr>
          <w:p w14:paraId="4CFCEFE8">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791" w:type="dxa"/>
            <w:noWrap w:val="0"/>
            <w:vAlign w:val="top"/>
          </w:tcPr>
          <w:p w14:paraId="6AF9A876">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10" w:type="dxa"/>
            <w:noWrap w:val="0"/>
            <w:vAlign w:val="top"/>
          </w:tcPr>
          <w:p w14:paraId="72EAF196">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r>
      <w:tr w14:paraId="2BC0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1F5D3355">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407" w:type="dxa"/>
            <w:noWrap w:val="0"/>
            <w:vAlign w:val="top"/>
          </w:tcPr>
          <w:p w14:paraId="30DC9416">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44" w:type="dxa"/>
            <w:noWrap w:val="0"/>
            <w:vAlign w:val="top"/>
          </w:tcPr>
          <w:p w14:paraId="4FACA08D">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1791" w:type="dxa"/>
            <w:noWrap w:val="0"/>
            <w:vAlign w:val="top"/>
          </w:tcPr>
          <w:p w14:paraId="0BB867C9">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c>
          <w:tcPr>
            <w:tcW w:w="2010" w:type="dxa"/>
            <w:noWrap w:val="0"/>
            <w:vAlign w:val="top"/>
          </w:tcPr>
          <w:p w14:paraId="1D84037A">
            <w:pPr>
              <w:pStyle w:val="25"/>
              <w:keepNext w:val="0"/>
              <w:keepLines w:val="0"/>
              <w:suppressLineNumbers w:val="0"/>
              <w:spacing w:before="0" w:beforeAutospacing="0" w:after="0" w:afterAutospacing="0"/>
              <w:ind w:left="1080" w:leftChars="257" w:right="0" w:hanging="540"/>
              <w:rPr>
                <w:rFonts w:hint="eastAsia" w:ascii="仿宋" w:hAnsi="仿宋" w:eastAsia="仿宋" w:cs="仿宋"/>
                <w:sz w:val="24"/>
                <w:szCs w:val="24"/>
              </w:rPr>
            </w:pPr>
          </w:p>
        </w:tc>
      </w:tr>
    </w:tbl>
    <w:p w14:paraId="28653043">
      <w:pPr>
        <w:pStyle w:val="25"/>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注：</w:t>
      </w:r>
    </w:p>
    <w:p w14:paraId="0D637ACC">
      <w:pPr>
        <w:pStyle w:val="25"/>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1.有偏离的技术条款须在该表中逐一列明，并在“响应文件的技术条款”栏填写具体应答内容， 在“偏离说明”中说明偏离具体情形。若无偏离则不需列明。</w:t>
      </w:r>
    </w:p>
    <w:p w14:paraId="054BBE4D">
      <w:pPr>
        <w:pStyle w:val="25"/>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2.未声明部分将被视为已接受响应文件要求，签约时未经采购人同意不得改变。</w:t>
      </w:r>
    </w:p>
    <w:p w14:paraId="7BE77C14">
      <w:pPr>
        <w:pStyle w:val="25"/>
        <w:adjustRightInd w:val="0"/>
        <w:snapToGrid w:val="0"/>
        <w:spacing w:line="240" w:lineRule="atLeast"/>
        <w:outlineLvl w:val="1"/>
        <w:rPr>
          <w:rFonts w:hint="eastAsia" w:ascii="仿宋" w:hAnsi="仿宋" w:eastAsia="仿宋" w:cs="仿宋"/>
          <w:sz w:val="24"/>
          <w:szCs w:val="24"/>
        </w:rPr>
      </w:pPr>
      <w:r>
        <w:rPr>
          <w:rFonts w:hint="eastAsia" w:ascii="仿宋" w:hAnsi="仿宋" w:eastAsia="仿宋" w:cs="仿宋"/>
          <w:sz w:val="24"/>
          <w:szCs w:val="24"/>
        </w:rPr>
        <w:t>3.本表为空则视为无偏离。</w:t>
      </w:r>
    </w:p>
    <w:p w14:paraId="69A9F462">
      <w:pPr>
        <w:pStyle w:val="25"/>
        <w:spacing w:line="240" w:lineRule="atLeast"/>
        <w:ind w:left="1080" w:leftChars="257" w:hanging="540"/>
        <w:rPr>
          <w:rFonts w:hint="eastAsia" w:ascii="仿宋" w:hAnsi="仿宋" w:eastAsia="仿宋" w:cs="仿宋"/>
          <w:sz w:val="24"/>
          <w:szCs w:val="24"/>
        </w:rPr>
      </w:pPr>
    </w:p>
    <w:p w14:paraId="035E3C75">
      <w:pPr>
        <w:pStyle w:val="25"/>
        <w:spacing w:line="240" w:lineRule="atLeast"/>
        <w:ind w:left="1080" w:leftChars="257" w:hanging="540"/>
        <w:rPr>
          <w:rFonts w:hint="eastAsia" w:ascii="仿宋" w:hAnsi="仿宋" w:eastAsia="仿宋" w:cs="仿宋"/>
          <w:sz w:val="24"/>
          <w:szCs w:val="24"/>
        </w:rPr>
      </w:pPr>
    </w:p>
    <w:p w14:paraId="2645468D">
      <w:pPr>
        <w:pStyle w:val="156"/>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法定代表人（或授权代表）签字：</w:t>
      </w:r>
    </w:p>
    <w:p w14:paraId="2DBEA28A">
      <w:pPr>
        <w:pStyle w:val="156"/>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名称（加盖公章）：</w:t>
      </w:r>
    </w:p>
    <w:p w14:paraId="1DA61421">
      <w:pPr>
        <w:pStyle w:val="25"/>
        <w:tabs>
          <w:tab w:val="left" w:pos="5580"/>
        </w:tabs>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日期：   年   月   日</w:t>
      </w:r>
    </w:p>
    <w:p w14:paraId="304FF7C6">
      <w:pPr>
        <w:pStyle w:val="156"/>
        <w:spacing w:line="360" w:lineRule="auto"/>
        <w:rPr>
          <w:rFonts w:hint="eastAsia" w:ascii="仿宋" w:hAnsi="仿宋" w:eastAsia="仿宋" w:cs="仿宋"/>
          <w:sz w:val="24"/>
          <w:szCs w:val="24"/>
        </w:rPr>
        <w:sectPr>
          <w:pgSz w:w="11906" w:h="16838"/>
          <w:pgMar w:top="1440" w:right="1800" w:bottom="1440" w:left="1800" w:header="851" w:footer="992" w:gutter="0"/>
          <w:pgNumType w:fmt="decimal"/>
          <w:cols w:space="720" w:num="1"/>
          <w:docGrid w:type="lines" w:linePitch="312" w:charSpace="0"/>
        </w:sectPr>
      </w:pPr>
    </w:p>
    <w:p w14:paraId="5ED6D7E1">
      <w:pPr>
        <w:pStyle w:val="156"/>
        <w:spacing w:line="360" w:lineRule="auto"/>
        <w:jc w:val="both"/>
        <w:outlineLvl w:val="1"/>
        <w:rPr>
          <w:rFonts w:hint="eastAsia" w:ascii="仿宋" w:hAnsi="仿宋" w:eastAsia="仿宋" w:cs="仿宋"/>
          <w:b/>
          <w:sz w:val="21"/>
          <w:szCs w:val="21"/>
        </w:rPr>
      </w:pPr>
      <w:bookmarkStart w:id="322" w:name="_Toc25702"/>
      <w:bookmarkStart w:id="323" w:name="_Toc9582"/>
      <w:bookmarkStart w:id="324" w:name="_Toc2234"/>
      <w:bookmarkStart w:id="325" w:name="_Toc6068"/>
      <w:bookmarkStart w:id="326" w:name="_Toc23907"/>
      <w:bookmarkStart w:id="327" w:name="_Toc114589540"/>
      <w:bookmarkStart w:id="328" w:name="_Toc216582818"/>
      <w:bookmarkStart w:id="329" w:name="_Toc507399534"/>
      <w:bookmarkStart w:id="330" w:name="_Toc115436132"/>
      <w:r>
        <w:rPr>
          <w:rFonts w:hint="eastAsia" w:ascii="仿宋" w:hAnsi="仿宋" w:eastAsia="仿宋" w:cs="仿宋"/>
          <w:b/>
          <w:sz w:val="21"/>
          <w:szCs w:val="21"/>
        </w:rPr>
        <w:t>附件6   商务条款偏离表</w:t>
      </w:r>
      <w:bookmarkEnd w:id="322"/>
      <w:bookmarkEnd w:id="323"/>
      <w:bookmarkEnd w:id="324"/>
      <w:bookmarkEnd w:id="325"/>
      <w:bookmarkEnd w:id="326"/>
      <w:bookmarkEnd w:id="327"/>
      <w:bookmarkEnd w:id="328"/>
      <w:bookmarkEnd w:id="329"/>
      <w:bookmarkEnd w:id="330"/>
      <w:r>
        <w:rPr>
          <w:rFonts w:hint="eastAsia" w:ascii="仿宋" w:hAnsi="仿宋" w:eastAsia="仿宋" w:cs="仿宋"/>
          <w:b/>
          <w:sz w:val="21"/>
          <w:szCs w:val="21"/>
        </w:rPr>
        <w:t xml:space="preserve"> </w:t>
      </w:r>
    </w:p>
    <w:p w14:paraId="364BF2BF">
      <w:pPr>
        <w:pStyle w:val="25"/>
        <w:spacing w:line="240" w:lineRule="atLeast"/>
        <w:ind w:left="1080" w:leftChars="257" w:hanging="540"/>
        <w:jc w:val="center"/>
        <w:rPr>
          <w:rFonts w:hint="eastAsia" w:ascii="仿宋" w:hAnsi="仿宋" w:eastAsia="仿宋" w:cs="仿宋"/>
          <w:b/>
          <w:bCs/>
          <w:sz w:val="32"/>
          <w:szCs w:val="32"/>
        </w:rPr>
      </w:pPr>
      <w:r>
        <w:rPr>
          <w:rFonts w:hint="eastAsia" w:ascii="仿宋" w:hAnsi="仿宋" w:eastAsia="仿宋" w:cs="仿宋"/>
          <w:b/>
          <w:bCs/>
          <w:sz w:val="32"/>
          <w:szCs w:val="32"/>
        </w:rPr>
        <w:t>商务条款偏离表</w:t>
      </w:r>
    </w:p>
    <w:p w14:paraId="31A44B9C">
      <w:pPr>
        <w:pStyle w:val="25"/>
        <w:spacing w:line="240" w:lineRule="atLeast"/>
        <w:ind w:left="1080" w:leftChars="257" w:hanging="540"/>
        <w:rPr>
          <w:rFonts w:hint="eastAsia" w:ascii="仿宋" w:hAnsi="仿宋" w:eastAsia="仿宋" w:cs="仿宋"/>
          <w:sz w:val="21"/>
          <w:szCs w:val="21"/>
        </w:rPr>
      </w:pPr>
    </w:p>
    <w:p w14:paraId="2429010D">
      <w:pPr>
        <w:pStyle w:val="25"/>
        <w:spacing w:line="240" w:lineRule="atLeast"/>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w:t>
      </w:r>
      <w:r>
        <w:rPr>
          <w:rFonts w:hint="eastAsia" w:ascii="仿宋" w:hAnsi="仿宋" w:eastAsia="仿宋" w:cs="仿宋"/>
          <w:sz w:val="24"/>
          <w:szCs w:val="24"/>
        </w:rPr>
        <w:t xml:space="preserve">                      项目编号</w:t>
      </w:r>
      <w:r>
        <w:rPr>
          <w:rFonts w:hint="eastAsia" w:ascii="仿宋" w:hAnsi="仿宋" w:eastAsia="仿宋" w:cs="仿宋"/>
          <w:sz w:val="24"/>
          <w:szCs w:val="24"/>
          <w:lang w:eastAsia="zh-CN"/>
        </w:rPr>
        <w:t>：</w:t>
      </w:r>
      <w:r>
        <w:rPr>
          <w:rFonts w:hint="eastAsia" w:ascii="仿宋" w:hAnsi="仿宋" w:eastAsia="仿宋" w:cs="仿宋"/>
          <w:sz w:val="24"/>
          <w:szCs w:val="24"/>
        </w:rPr>
        <w:t xml:space="preserve">             包号</w:t>
      </w:r>
      <w:r>
        <w:rPr>
          <w:rFonts w:hint="eastAsia" w:ascii="仿宋" w:hAnsi="仿宋" w:eastAsia="仿宋" w:cs="仿宋"/>
          <w:sz w:val="24"/>
          <w:szCs w:val="24"/>
          <w:lang w:eastAsia="zh-CN"/>
        </w:rPr>
        <w:t>：</w:t>
      </w:r>
    </w:p>
    <w:p w14:paraId="26AD2F97">
      <w:pPr>
        <w:pStyle w:val="25"/>
        <w:spacing w:line="240" w:lineRule="atLeast"/>
        <w:ind w:left="1080" w:leftChars="257" w:hanging="540"/>
        <w:rPr>
          <w:rFonts w:hint="eastAsia" w:ascii="仿宋" w:hAnsi="仿宋" w:eastAsia="仿宋" w:cs="仿宋"/>
          <w:sz w:val="24"/>
          <w:szCs w:val="24"/>
        </w:rPr>
      </w:pPr>
    </w:p>
    <w:tbl>
      <w:tblPr>
        <w:tblStyle w:val="46"/>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3087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noWrap w:val="0"/>
            <w:vAlign w:val="center"/>
          </w:tcPr>
          <w:p w14:paraId="09BDC997">
            <w:pPr>
              <w:pStyle w:val="25"/>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70" w:type="dxa"/>
            <w:noWrap w:val="0"/>
            <w:vAlign w:val="center"/>
          </w:tcPr>
          <w:p w14:paraId="5BBB07D6">
            <w:pPr>
              <w:pStyle w:val="25"/>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2853" w:type="dxa"/>
            <w:noWrap w:val="0"/>
            <w:vAlign w:val="center"/>
          </w:tcPr>
          <w:p w14:paraId="77C2CAF9">
            <w:pPr>
              <w:pStyle w:val="25"/>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1365" w:type="dxa"/>
            <w:noWrap w:val="0"/>
            <w:vAlign w:val="center"/>
          </w:tcPr>
          <w:p w14:paraId="50028027">
            <w:pPr>
              <w:pStyle w:val="25"/>
              <w:keepNext w:val="0"/>
              <w:keepLines w:val="0"/>
              <w:suppressLineNumbers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sz w:val="24"/>
                <w:szCs w:val="24"/>
              </w:rPr>
              <w:t>偏离说明</w:t>
            </w:r>
          </w:p>
        </w:tc>
      </w:tr>
      <w:tr w14:paraId="5FEB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0AF4DE2E">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70" w:type="dxa"/>
            <w:noWrap w:val="0"/>
            <w:vAlign w:val="top"/>
          </w:tcPr>
          <w:p w14:paraId="4916BA65">
            <w:pPr>
              <w:pStyle w:val="2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4"/>
                <w:szCs w:val="24"/>
              </w:rPr>
            </w:pPr>
          </w:p>
        </w:tc>
        <w:tc>
          <w:tcPr>
            <w:tcW w:w="2853" w:type="dxa"/>
            <w:noWrap w:val="0"/>
            <w:vAlign w:val="top"/>
          </w:tcPr>
          <w:p w14:paraId="6E588BC9">
            <w:pPr>
              <w:pStyle w:val="2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sz w:val="24"/>
                <w:szCs w:val="24"/>
              </w:rPr>
            </w:pPr>
          </w:p>
        </w:tc>
        <w:tc>
          <w:tcPr>
            <w:tcW w:w="1365" w:type="dxa"/>
            <w:noWrap w:val="0"/>
            <w:vAlign w:val="top"/>
          </w:tcPr>
          <w:p w14:paraId="24417E99">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r>
      <w:tr w14:paraId="41C8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41892501">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70" w:type="dxa"/>
            <w:noWrap w:val="0"/>
            <w:vAlign w:val="top"/>
          </w:tcPr>
          <w:p w14:paraId="35FBE50F">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53" w:type="dxa"/>
            <w:noWrap w:val="0"/>
            <w:vAlign w:val="top"/>
          </w:tcPr>
          <w:p w14:paraId="0F7A90AD">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1365" w:type="dxa"/>
            <w:noWrap w:val="0"/>
            <w:vAlign w:val="top"/>
          </w:tcPr>
          <w:p w14:paraId="5A1B34C2">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r>
      <w:tr w14:paraId="3A39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1C34169A">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70" w:type="dxa"/>
            <w:noWrap w:val="0"/>
            <w:vAlign w:val="top"/>
          </w:tcPr>
          <w:p w14:paraId="36DDC9A3">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53" w:type="dxa"/>
            <w:noWrap w:val="0"/>
            <w:vAlign w:val="top"/>
          </w:tcPr>
          <w:p w14:paraId="3E6D410A">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1365" w:type="dxa"/>
            <w:noWrap w:val="0"/>
            <w:vAlign w:val="top"/>
          </w:tcPr>
          <w:p w14:paraId="3F1CCDCB">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r>
      <w:tr w14:paraId="306E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32D5050A">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70" w:type="dxa"/>
            <w:noWrap w:val="0"/>
            <w:vAlign w:val="top"/>
          </w:tcPr>
          <w:p w14:paraId="1A614024">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53" w:type="dxa"/>
            <w:noWrap w:val="0"/>
            <w:vAlign w:val="top"/>
          </w:tcPr>
          <w:p w14:paraId="5076DA15">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1365" w:type="dxa"/>
            <w:noWrap w:val="0"/>
            <w:vAlign w:val="top"/>
          </w:tcPr>
          <w:p w14:paraId="5994A778">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r>
      <w:tr w14:paraId="754F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45D61B1F">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70" w:type="dxa"/>
            <w:noWrap w:val="0"/>
            <w:vAlign w:val="top"/>
          </w:tcPr>
          <w:p w14:paraId="266C381A">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53" w:type="dxa"/>
            <w:noWrap w:val="0"/>
            <w:vAlign w:val="top"/>
          </w:tcPr>
          <w:p w14:paraId="4DD9F2DD">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1365" w:type="dxa"/>
            <w:noWrap w:val="0"/>
            <w:vAlign w:val="top"/>
          </w:tcPr>
          <w:p w14:paraId="7288B169">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r>
      <w:tr w14:paraId="34A5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3463C663">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70" w:type="dxa"/>
            <w:noWrap w:val="0"/>
            <w:vAlign w:val="top"/>
          </w:tcPr>
          <w:p w14:paraId="3462AC3C">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53" w:type="dxa"/>
            <w:noWrap w:val="0"/>
            <w:vAlign w:val="top"/>
          </w:tcPr>
          <w:p w14:paraId="6A466892">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1365" w:type="dxa"/>
            <w:noWrap w:val="0"/>
            <w:vAlign w:val="top"/>
          </w:tcPr>
          <w:p w14:paraId="3AC8A38D">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r>
      <w:tr w14:paraId="631C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60B5DA79">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70" w:type="dxa"/>
            <w:noWrap w:val="0"/>
            <w:vAlign w:val="top"/>
          </w:tcPr>
          <w:p w14:paraId="74CDA4F9">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2853" w:type="dxa"/>
            <w:noWrap w:val="0"/>
            <w:vAlign w:val="top"/>
          </w:tcPr>
          <w:p w14:paraId="2B94ED59">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c>
          <w:tcPr>
            <w:tcW w:w="1365" w:type="dxa"/>
            <w:noWrap w:val="0"/>
            <w:vAlign w:val="top"/>
          </w:tcPr>
          <w:p w14:paraId="615D4F63">
            <w:pPr>
              <w:pStyle w:val="2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sz w:val="24"/>
                <w:szCs w:val="24"/>
              </w:rPr>
            </w:pPr>
          </w:p>
        </w:tc>
      </w:tr>
    </w:tbl>
    <w:p w14:paraId="540AB839">
      <w:pPr>
        <w:pStyle w:val="25"/>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注：1.有偏离的商务条款须在该表中逐一列明，并在“响应文件的商务条款”栏填写具体应答内容，在“偏离说明”中说明偏离具体情形。若无偏离则不需列明。</w:t>
      </w:r>
    </w:p>
    <w:p w14:paraId="366446DA">
      <w:pPr>
        <w:pStyle w:val="25"/>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2.未声明部分将被视为已接受采购文件要求，签约时未经</w:t>
      </w:r>
      <w:r>
        <w:rPr>
          <w:rFonts w:hint="eastAsia" w:ascii="仿宋" w:hAnsi="仿宋" w:eastAsia="仿宋" w:cs="仿宋"/>
          <w:sz w:val="24"/>
          <w:szCs w:val="24"/>
          <w:lang w:eastAsia="zh-CN"/>
        </w:rPr>
        <w:t>采购</w:t>
      </w:r>
      <w:r>
        <w:rPr>
          <w:rFonts w:hint="eastAsia" w:ascii="仿宋" w:hAnsi="仿宋" w:eastAsia="仿宋" w:cs="仿宋"/>
          <w:sz w:val="24"/>
          <w:szCs w:val="24"/>
        </w:rPr>
        <w:t>方同意不得改变。</w:t>
      </w:r>
    </w:p>
    <w:p w14:paraId="29E754C9">
      <w:pPr>
        <w:pStyle w:val="25"/>
        <w:adjustRightInd w:val="0"/>
        <w:snapToGrid w:val="0"/>
        <w:spacing w:line="240" w:lineRule="atLeast"/>
        <w:outlineLvl w:val="1"/>
        <w:rPr>
          <w:rFonts w:hint="eastAsia" w:ascii="仿宋" w:hAnsi="仿宋" w:eastAsia="仿宋" w:cs="仿宋"/>
          <w:sz w:val="24"/>
          <w:szCs w:val="24"/>
        </w:rPr>
      </w:pPr>
      <w:r>
        <w:rPr>
          <w:rFonts w:hint="eastAsia" w:ascii="仿宋" w:hAnsi="仿宋" w:eastAsia="仿宋" w:cs="仿宋"/>
          <w:sz w:val="24"/>
          <w:szCs w:val="24"/>
        </w:rPr>
        <w:t>3.本表为空则视为无偏离。</w:t>
      </w:r>
    </w:p>
    <w:p w14:paraId="79A057BD">
      <w:pPr>
        <w:pStyle w:val="25"/>
        <w:spacing w:line="240" w:lineRule="atLeast"/>
        <w:rPr>
          <w:rFonts w:hint="eastAsia" w:ascii="仿宋" w:hAnsi="仿宋" w:eastAsia="仿宋" w:cs="仿宋"/>
          <w:sz w:val="24"/>
          <w:szCs w:val="24"/>
        </w:rPr>
      </w:pPr>
    </w:p>
    <w:p w14:paraId="252094C9">
      <w:pPr>
        <w:pStyle w:val="156"/>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法定代表人（或授权代表）签字：</w:t>
      </w:r>
    </w:p>
    <w:p w14:paraId="2C36A370">
      <w:pPr>
        <w:pStyle w:val="156"/>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名称（加盖公章）：</w:t>
      </w:r>
    </w:p>
    <w:p w14:paraId="5B2DE9AD">
      <w:pPr>
        <w:pStyle w:val="156"/>
        <w:spacing w:line="360" w:lineRule="auto"/>
        <w:rPr>
          <w:rFonts w:hint="eastAsia" w:ascii="仿宋" w:hAnsi="仿宋" w:eastAsia="仿宋" w:cs="仿宋"/>
          <w:sz w:val="24"/>
          <w:szCs w:val="24"/>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24"/>
          <w:szCs w:val="24"/>
        </w:rPr>
        <w:t>日期：   年   月   日</w:t>
      </w:r>
    </w:p>
    <w:p w14:paraId="086FC9E7">
      <w:pPr>
        <w:pStyle w:val="156"/>
        <w:spacing w:line="360" w:lineRule="auto"/>
        <w:jc w:val="both"/>
        <w:outlineLvl w:val="1"/>
        <w:rPr>
          <w:rFonts w:hint="eastAsia" w:ascii="仿宋" w:hAnsi="仿宋" w:eastAsia="仿宋" w:cs="仿宋"/>
          <w:b/>
          <w:sz w:val="21"/>
          <w:szCs w:val="21"/>
        </w:rPr>
      </w:pPr>
      <w:bookmarkStart w:id="331" w:name="_Ref467988543"/>
      <w:bookmarkStart w:id="332" w:name="_Toc480942355"/>
      <w:bookmarkStart w:id="333" w:name="_Toc216582819"/>
      <w:bookmarkStart w:id="334" w:name="_Toc520356224"/>
      <w:bookmarkStart w:id="335" w:name="_Toc7341"/>
      <w:bookmarkStart w:id="336" w:name="_Toc115436133"/>
      <w:bookmarkStart w:id="337" w:name="_Toc114589541"/>
      <w:bookmarkStart w:id="338" w:name="_Toc9592"/>
      <w:bookmarkStart w:id="339" w:name="_Toc2152"/>
      <w:bookmarkStart w:id="340" w:name="_Toc507399535"/>
      <w:bookmarkStart w:id="341" w:name="_Toc10858"/>
      <w:bookmarkStart w:id="342" w:name="_Toc20238"/>
      <w:r>
        <w:rPr>
          <w:rFonts w:hint="eastAsia" w:ascii="仿宋" w:hAnsi="仿宋" w:eastAsia="仿宋" w:cs="仿宋"/>
          <w:b/>
          <w:sz w:val="21"/>
          <w:szCs w:val="21"/>
        </w:rPr>
        <w:t>附件7  关于对本响应文件中资料真实性的承诺</w:t>
      </w:r>
      <w:bookmarkEnd w:id="331"/>
      <w:bookmarkEnd w:id="332"/>
      <w:bookmarkEnd w:id="333"/>
      <w:bookmarkEnd w:id="334"/>
      <w:bookmarkStart w:id="343" w:name="_Hlt520274065"/>
      <w:bookmarkEnd w:id="343"/>
      <w:bookmarkStart w:id="344" w:name="_Hlt520271212"/>
      <w:bookmarkEnd w:id="344"/>
      <w:bookmarkStart w:id="345" w:name="_Hlt520350918"/>
      <w:bookmarkEnd w:id="345"/>
      <w:bookmarkStart w:id="346" w:name="_Hlt520273711"/>
      <w:bookmarkEnd w:id="346"/>
      <w:bookmarkStart w:id="347" w:name="_Hlt520343000"/>
      <w:bookmarkEnd w:id="347"/>
      <w:bookmarkStart w:id="348" w:name="_Hlt520274407"/>
      <w:bookmarkEnd w:id="348"/>
      <w:bookmarkStart w:id="349" w:name="_Hlt520273973"/>
      <w:bookmarkEnd w:id="349"/>
      <w:bookmarkStart w:id="350" w:name="_Hlt520274911"/>
      <w:bookmarkEnd w:id="350"/>
      <w:bookmarkStart w:id="351" w:name="_Hlt520274393"/>
      <w:bookmarkEnd w:id="351"/>
      <w:bookmarkStart w:id="352" w:name="_Hlt520343392"/>
      <w:bookmarkEnd w:id="352"/>
      <w:bookmarkStart w:id="353" w:name="_Hlt520350957"/>
      <w:bookmarkEnd w:id="353"/>
      <w:bookmarkStart w:id="354" w:name="_Toc216582821"/>
      <w:bookmarkStart w:id="355" w:name="_Toc216513801"/>
      <w:r>
        <w:rPr>
          <w:rFonts w:hint="eastAsia" w:ascii="仿宋" w:hAnsi="仿宋" w:eastAsia="仿宋" w:cs="仿宋"/>
          <w:b/>
          <w:sz w:val="21"/>
          <w:szCs w:val="21"/>
        </w:rPr>
        <w:t>书</w:t>
      </w:r>
      <w:bookmarkEnd w:id="335"/>
      <w:bookmarkEnd w:id="336"/>
      <w:bookmarkEnd w:id="337"/>
      <w:bookmarkEnd w:id="338"/>
      <w:bookmarkEnd w:id="339"/>
      <w:bookmarkEnd w:id="340"/>
      <w:bookmarkEnd w:id="341"/>
      <w:bookmarkEnd w:id="342"/>
    </w:p>
    <w:p w14:paraId="7D066E26">
      <w:pPr>
        <w:spacing w:line="240" w:lineRule="atLeast"/>
        <w:ind w:left="1080" w:leftChars="257" w:hanging="540"/>
        <w:rPr>
          <w:rFonts w:hint="eastAsia" w:ascii="仿宋" w:hAnsi="仿宋" w:eastAsia="仿宋" w:cs="仿宋"/>
          <w:b/>
          <w:sz w:val="21"/>
          <w:szCs w:val="21"/>
        </w:rPr>
      </w:pPr>
    </w:p>
    <w:bookmarkEnd w:id="354"/>
    <w:bookmarkEnd w:id="355"/>
    <w:p w14:paraId="10C0A9E4">
      <w:pPr>
        <w:jc w:val="center"/>
        <w:rPr>
          <w:rFonts w:hint="eastAsia" w:ascii="仿宋" w:hAnsi="仿宋" w:eastAsia="仿宋" w:cs="仿宋"/>
          <w:b/>
          <w:kern w:val="0"/>
          <w:sz w:val="32"/>
          <w:szCs w:val="32"/>
        </w:rPr>
      </w:pPr>
      <w:bookmarkStart w:id="356" w:name="_Toc114589542"/>
      <w:bookmarkStart w:id="357" w:name="_Toc115436134"/>
      <w:bookmarkStart w:id="358" w:name="_Toc1502"/>
      <w:bookmarkStart w:id="359" w:name="_Toc14711"/>
      <w:r>
        <w:rPr>
          <w:rFonts w:hint="eastAsia" w:ascii="仿宋" w:hAnsi="仿宋" w:eastAsia="仿宋" w:cs="仿宋"/>
          <w:b/>
          <w:kern w:val="0"/>
          <w:sz w:val="32"/>
          <w:szCs w:val="32"/>
        </w:rPr>
        <w:t>关于对本响应文件中资料真实性的承诺</w:t>
      </w:r>
    </w:p>
    <w:p w14:paraId="0553B407">
      <w:pPr>
        <w:rPr>
          <w:rFonts w:hint="eastAsia" w:ascii="仿宋" w:hAnsi="仿宋" w:eastAsia="仿宋" w:cs="仿宋"/>
          <w:b/>
          <w:kern w:val="0"/>
          <w:sz w:val="32"/>
          <w:szCs w:val="32"/>
        </w:rPr>
      </w:pPr>
    </w:p>
    <w:p w14:paraId="0ED8FFFD">
      <w:pPr>
        <w:spacing w:line="360" w:lineRule="auto"/>
        <w:rPr>
          <w:rFonts w:hint="eastAsia" w:ascii="仿宋" w:hAnsi="仿宋" w:eastAsia="仿宋" w:cs="仿宋"/>
          <w:b/>
          <w:kern w:val="0"/>
          <w:sz w:val="24"/>
          <w:szCs w:val="24"/>
          <w:u w:val="single"/>
        </w:rPr>
      </w:pPr>
      <w:r>
        <w:rPr>
          <w:rFonts w:hint="eastAsia" w:ascii="仿宋" w:hAnsi="仿宋" w:eastAsia="仿宋" w:cs="仿宋"/>
          <w:b/>
          <w:kern w:val="0"/>
          <w:sz w:val="24"/>
          <w:szCs w:val="24"/>
        </w:rPr>
        <w:t>至：</w:t>
      </w:r>
      <w:r>
        <w:rPr>
          <w:rFonts w:hint="eastAsia" w:ascii="仿宋" w:hAnsi="仿宋" w:eastAsia="仿宋" w:cs="仿宋"/>
          <w:b/>
          <w:kern w:val="0"/>
          <w:sz w:val="24"/>
          <w:szCs w:val="24"/>
          <w:u w:val="single"/>
        </w:rPr>
        <w:t xml:space="preserve"> （项目名称）</w:t>
      </w:r>
      <w:r>
        <w:rPr>
          <w:rFonts w:hint="eastAsia" w:ascii="仿宋" w:hAnsi="仿宋" w:eastAsia="仿宋" w:cs="仿宋"/>
          <w:b/>
          <w:kern w:val="0"/>
          <w:sz w:val="24"/>
          <w:szCs w:val="24"/>
          <w:u w:val="single"/>
          <w:lang w:eastAsia="zh-CN"/>
        </w:rPr>
        <w:t>谈判小组</w:t>
      </w:r>
      <w:r>
        <w:rPr>
          <w:rFonts w:hint="eastAsia" w:ascii="仿宋" w:hAnsi="仿宋" w:eastAsia="仿宋" w:cs="仿宋"/>
          <w:b/>
          <w:kern w:val="0"/>
          <w:sz w:val="24"/>
          <w:szCs w:val="24"/>
          <w:u w:val="single"/>
        </w:rPr>
        <w:t xml:space="preserve">  </w:t>
      </w:r>
    </w:p>
    <w:p w14:paraId="6DB0BDBD">
      <w:pPr>
        <w:spacing w:line="360" w:lineRule="auto"/>
        <w:ind w:firstLine="720" w:firstLineChars="300"/>
        <w:rPr>
          <w:rFonts w:hint="eastAsia" w:ascii="仿宋" w:hAnsi="仿宋" w:eastAsia="仿宋" w:cs="仿宋"/>
          <w:kern w:val="0"/>
          <w:sz w:val="24"/>
          <w:szCs w:val="24"/>
        </w:rPr>
      </w:pPr>
      <w:r>
        <w:rPr>
          <w:rFonts w:hint="eastAsia" w:ascii="仿宋" w:hAnsi="仿宋" w:eastAsia="仿宋" w:cs="仿宋"/>
          <w:kern w:val="0"/>
          <w:sz w:val="24"/>
          <w:szCs w:val="24"/>
        </w:rPr>
        <w:t>根据《中华人民共和国政府采购法</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中华人民共和国政府采购法实施条例》等有关法律、法规的规定和</w:t>
      </w:r>
      <w:r>
        <w:rPr>
          <w:rFonts w:hint="eastAsia" w:ascii="仿宋" w:hAnsi="仿宋" w:eastAsia="仿宋" w:cs="仿宋"/>
          <w:kern w:val="0"/>
          <w:sz w:val="24"/>
          <w:szCs w:val="24"/>
          <w:u w:val="single"/>
        </w:rPr>
        <w:t>        （项目、包段名称）         </w:t>
      </w:r>
      <w:r>
        <w:rPr>
          <w:rFonts w:hint="eastAsia" w:ascii="仿宋" w:hAnsi="仿宋" w:eastAsia="仿宋" w:cs="仿宋"/>
          <w:kern w:val="0"/>
          <w:sz w:val="24"/>
          <w:szCs w:val="24"/>
        </w:rPr>
        <w:t>的采购文件的要求，我公司在</w:t>
      </w:r>
      <w:r>
        <w:rPr>
          <w:rFonts w:hint="eastAsia" w:ascii="仿宋" w:hAnsi="仿宋" w:eastAsia="仿宋" w:cs="仿宋"/>
          <w:kern w:val="0"/>
          <w:sz w:val="24"/>
          <w:szCs w:val="24"/>
          <w:u w:val="single"/>
        </w:rPr>
        <w:t>   （项目、包段名称）   </w:t>
      </w:r>
      <w:r>
        <w:rPr>
          <w:rFonts w:hint="eastAsia" w:ascii="仿宋" w:hAnsi="仿宋" w:eastAsia="仿宋" w:cs="仿宋"/>
          <w:kern w:val="0"/>
          <w:sz w:val="24"/>
          <w:szCs w:val="24"/>
        </w:rPr>
        <w:t>响应文件中所提供资料真实性作如下承诺：</w:t>
      </w:r>
    </w:p>
    <w:p w14:paraId="66EEED39">
      <w:pPr>
        <w:spacing w:line="360" w:lineRule="auto"/>
        <w:ind w:firstLine="720" w:firstLineChars="300"/>
        <w:rPr>
          <w:rFonts w:hint="eastAsia" w:ascii="仿宋" w:hAnsi="仿宋" w:eastAsia="仿宋" w:cs="仿宋"/>
          <w:kern w:val="0"/>
          <w:sz w:val="24"/>
          <w:szCs w:val="24"/>
        </w:rPr>
      </w:pPr>
      <w:r>
        <w:rPr>
          <w:rFonts w:hint="eastAsia" w:ascii="仿宋" w:hAnsi="仿宋" w:eastAsia="仿宋" w:cs="仿宋"/>
          <w:kern w:val="0"/>
          <w:sz w:val="24"/>
          <w:szCs w:val="24"/>
        </w:rPr>
        <w:t xml:space="preserve">我公司将严格按采购文件要求，在编制本响应文件时，对响应文件中所提供的资料全部真实和正确，并对提供的所有资料（资格、业绩、其他材料等）的真实性负责！ </w:t>
      </w:r>
    </w:p>
    <w:p w14:paraId="4B9DD472">
      <w:pPr>
        <w:spacing w:line="360" w:lineRule="auto"/>
        <w:ind w:firstLine="720" w:firstLineChars="300"/>
        <w:rPr>
          <w:rFonts w:hint="eastAsia" w:ascii="仿宋" w:hAnsi="仿宋" w:eastAsia="仿宋" w:cs="仿宋"/>
          <w:kern w:val="0"/>
          <w:sz w:val="24"/>
          <w:szCs w:val="24"/>
        </w:rPr>
      </w:pPr>
      <w:r>
        <w:rPr>
          <w:rFonts w:hint="eastAsia" w:ascii="仿宋" w:hAnsi="仿宋" w:eastAsia="仿宋" w:cs="仿宋"/>
          <w:kern w:val="0"/>
          <w:sz w:val="24"/>
          <w:szCs w:val="24"/>
        </w:rPr>
        <w:t>对提供的全部资料中有存在不真实（伪造或租借等虚假资料）情形，将无条件接受任何处罚，自行承担由此引起的一切责任！</w:t>
      </w:r>
    </w:p>
    <w:p w14:paraId="3F8FC514">
      <w:pPr>
        <w:spacing w:line="360" w:lineRule="auto"/>
        <w:ind w:firstLine="723" w:firstLineChars="300"/>
        <w:rPr>
          <w:rFonts w:hint="eastAsia" w:ascii="仿宋" w:hAnsi="仿宋" w:eastAsia="仿宋" w:cs="仿宋"/>
          <w:b/>
          <w:kern w:val="0"/>
          <w:sz w:val="24"/>
          <w:szCs w:val="24"/>
        </w:rPr>
      </w:pPr>
    </w:p>
    <w:p w14:paraId="68C6BA71">
      <w:pPr>
        <w:spacing w:line="360" w:lineRule="auto"/>
        <w:ind w:firstLine="723" w:firstLineChars="300"/>
        <w:rPr>
          <w:rFonts w:hint="eastAsia" w:ascii="仿宋" w:hAnsi="仿宋" w:eastAsia="仿宋" w:cs="仿宋"/>
          <w:b/>
          <w:kern w:val="0"/>
          <w:sz w:val="24"/>
          <w:szCs w:val="24"/>
        </w:rPr>
      </w:pPr>
      <w:r>
        <w:rPr>
          <w:rFonts w:hint="eastAsia" w:ascii="仿宋" w:hAnsi="仿宋" w:eastAsia="仿宋" w:cs="仿宋"/>
          <w:b/>
          <w:kern w:val="0"/>
          <w:sz w:val="24"/>
          <w:szCs w:val="24"/>
        </w:rPr>
        <w:t>特此承诺</w:t>
      </w:r>
    </w:p>
    <w:p w14:paraId="655A3D70">
      <w:pPr>
        <w:spacing w:line="360" w:lineRule="auto"/>
        <w:ind w:firstLine="723" w:firstLineChars="300"/>
        <w:rPr>
          <w:rFonts w:hint="eastAsia" w:ascii="仿宋" w:hAnsi="仿宋" w:eastAsia="仿宋" w:cs="仿宋"/>
          <w:b/>
          <w:kern w:val="0"/>
          <w:sz w:val="24"/>
          <w:szCs w:val="24"/>
        </w:rPr>
      </w:pPr>
    </w:p>
    <w:p w14:paraId="02EA309F">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rPr>
        <w:t>供应商（全称）：</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（盖章）</w:t>
      </w:r>
    </w:p>
    <w:p w14:paraId="582FC210">
      <w:pPr>
        <w:spacing w:line="360" w:lineRule="auto"/>
        <w:jc w:val="right"/>
        <w:rPr>
          <w:rFonts w:hint="eastAsia" w:ascii="仿宋" w:hAnsi="仿宋" w:eastAsia="仿宋" w:cs="仿宋"/>
          <w:b/>
          <w:kern w:val="0"/>
          <w:sz w:val="24"/>
          <w:szCs w:val="24"/>
        </w:rPr>
      </w:pPr>
      <w:r>
        <w:rPr>
          <w:rFonts w:hint="eastAsia" w:ascii="仿宋" w:hAnsi="仿宋" w:eastAsia="仿宋" w:cs="仿宋"/>
          <w:b/>
          <w:kern w:val="0"/>
          <w:sz w:val="24"/>
          <w:szCs w:val="24"/>
        </w:rPr>
        <w:t>法定代表人：</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（签字）</w:t>
      </w:r>
    </w:p>
    <w:p w14:paraId="0939D6B5">
      <w:pPr>
        <w:spacing w:line="360" w:lineRule="auto"/>
        <w:jc w:val="right"/>
        <w:rPr>
          <w:rFonts w:hint="eastAsia" w:ascii="仿宋" w:hAnsi="仿宋" w:eastAsia="仿宋" w:cs="仿宋"/>
          <w:b/>
          <w:kern w:val="0"/>
          <w:sz w:val="24"/>
          <w:szCs w:val="24"/>
        </w:rPr>
      </w:pPr>
      <w:r>
        <w:rPr>
          <w:rFonts w:hint="eastAsia" w:ascii="仿宋" w:hAnsi="仿宋" w:eastAsia="仿宋" w:cs="仿宋"/>
          <w:b/>
          <w:kern w:val="0"/>
          <w:sz w:val="24"/>
          <w:szCs w:val="24"/>
        </w:rPr>
        <w:t>有效的联系方式：</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（手机号）</w:t>
      </w:r>
    </w:p>
    <w:p w14:paraId="3E2D81D4">
      <w:pPr>
        <w:spacing w:line="360" w:lineRule="auto"/>
        <w:ind w:firstLine="4337" w:firstLineChars="1800"/>
        <w:rPr>
          <w:rFonts w:hint="eastAsia" w:ascii="仿宋" w:hAnsi="仿宋" w:eastAsia="仿宋" w:cs="仿宋"/>
          <w:b/>
          <w:kern w:val="0"/>
          <w:sz w:val="24"/>
          <w:szCs w:val="24"/>
        </w:rPr>
      </w:pPr>
    </w:p>
    <w:p w14:paraId="2A1C619E">
      <w:pPr>
        <w:spacing w:line="360" w:lineRule="auto"/>
        <w:ind w:firstLine="6023" w:firstLineChars="2500"/>
        <w:rPr>
          <w:rFonts w:hint="eastAsia" w:ascii="仿宋" w:hAnsi="仿宋" w:eastAsia="仿宋" w:cs="仿宋"/>
          <w:b/>
          <w:kern w:val="0"/>
          <w:sz w:val="24"/>
          <w:szCs w:val="24"/>
        </w:rPr>
      </w:pPr>
      <w:r>
        <w:rPr>
          <w:rFonts w:hint="eastAsia" w:ascii="仿宋" w:hAnsi="仿宋" w:eastAsia="仿宋" w:cs="仿宋"/>
          <w:b/>
          <w:kern w:val="0"/>
          <w:sz w:val="24"/>
          <w:szCs w:val="24"/>
        </w:rPr>
        <w:t>年      月       日</w:t>
      </w:r>
    </w:p>
    <w:p w14:paraId="1E18976E">
      <w:pPr>
        <w:spacing w:line="360" w:lineRule="auto"/>
        <w:rPr>
          <w:rFonts w:hint="eastAsia" w:ascii="仿宋" w:hAnsi="仿宋" w:eastAsia="仿宋" w:cs="仿宋"/>
          <w:b/>
          <w:kern w:val="0"/>
          <w:sz w:val="24"/>
          <w:szCs w:val="24"/>
        </w:rPr>
      </w:pPr>
    </w:p>
    <w:p w14:paraId="5595B6C3">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说明：供应商应按上述要求将内容填写完整，未提供此承诺的其投标将被拒绝！</w:t>
      </w:r>
    </w:p>
    <w:p w14:paraId="5D519B07">
      <w:pPr>
        <w:pStyle w:val="22"/>
        <w:tabs>
          <w:tab w:val="left" w:pos="9214"/>
        </w:tabs>
        <w:ind w:right="-57" w:firstLine="0"/>
        <w:outlineLvl w:val="1"/>
        <w:rPr>
          <w:rFonts w:hint="eastAsia" w:ascii="仿宋" w:hAnsi="仿宋" w:eastAsia="仿宋" w:cs="仿宋"/>
          <w:b/>
          <w:color w:val="auto"/>
          <w:sz w:val="21"/>
          <w:szCs w:val="21"/>
          <w:lang w:eastAsia="zh-CN"/>
        </w:rPr>
      </w:pPr>
      <w:r>
        <w:rPr>
          <w:rFonts w:hint="eastAsia" w:ascii="仿宋" w:hAnsi="仿宋" w:eastAsia="仿宋" w:cs="仿宋"/>
          <w:sz w:val="24"/>
          <w:szCs w:val="24"/>
        </w:rPr>
        <w:br w:type="page"/>
      </w:r>
      <w:bookmarkStart w:id="360" w:name="_Toc26136"/>
      <w:bookmarkStart w:id="361" w:name="_Toc5898"/>
      <w:bookmarkStart w:id="362" w:name="_Toc7087"/>
      <w:r>
        <w:rPr>
          <w:rFonts w:hint="eastAsia" w:ascii="仿宋" w:hAnsi="仿宋" w:eastAsia="仿宋" w:cs="仿宋"/>
          <w:b/>
          <w:sz w:val="21"/>
          <w:szCs w:val="21"/>
        </w:rPr>
        <w:t xml:space="preserve">附件8  </w:t>
      </w:r>
      <w:bookmarkEnd w:id="356"/>
      <w:bookmarkEnd w:id="357"/>
      <w:bookmarkEnd w:id="360"/>
      <w:bookmarkEnd w:id="361"/>
      <w:bookmarkEnd w:id="362"/>
      <w:r>
        <w:rPr>
          <w:rFonts w:hint="eastAsia" w:ascii="仿宋" w:hAnsi="仿宋" w:eastAsia="仿宋" w:cs="仿宋"/>
          <w:b/>
          <w:color w:val="auto"/>
          <w:sz w:val="21"/>
          <w:szCs w:val="21"/>
          <w:lang w:val="en-US" w:eastAsia="zh-CN"/>
        </w:rPr>
        <w:t>小微</w:t>
      </w:r>
      <w:r>
        <w:rPr>
          <w:rFonts w:hint="eastAsia" w:ascii="仿宋" w:hAnsi="仿宋" w:eastAsia="仿宋" w:cs="仿宋"/>
          <w:b/>
          <w:color w:val="auto"/>
          <w:sz w:val="21"/>
          <w:szCs w:val="21"/>
          <w:lang w:eastAsia="zh-CN"/>
        </w:rPr>
        <w:t>企业声明函</w:t>
      </w:r>
    </w:p>
    <w:p w14:paraId="5D3FCAB0">
      <w:pPr>
        <w:pStyle w:val="156"/>
        <w:spacing w:line="360" w:lineRule="auto"/>
        <w:jc w:val="center"/>
        <w:outlineLvl w:val="2"/>
        <w:rPr>
          <w:rFonts w:hint="eastAsia" w:ascii="仿宋" w:hAnsi="仿宋" w:eastAsia="仿宋" w:cs="仿宋"/>
          <w:b/>
          <w:color w:val="auto"/>
          <w:sz w:val="32"/>
          <w:szCs w:val="32"/>
        </w:rPr>
      </w:pPr>
      <w:bookmarkStart w:id="363" w:name="_Toc115436135"/>
      <w:bookmarkStart w:id="364" w:name="_Toc24019"/>
      <w:bookmarkStart w:id="365" w:name="_Toc114589543"/>
      <w:bookmarkStart w:id="366" w:name="_Toc13400"/>
      <w:bookmarkStart w:id="367" w:name="_Toc16588"/>
      <w:r>
        <w:rPr>
          <w:rFonts w:hint="eastAsia" w:ascii="仿宋" w:hAnsi="仿宋" w:eastAsia="仿宋" w:cs="仿宋"/>
          <w:b/>
          <w:color w:val="auto"/>
          <w:sz w:val="32"/>
          <w:szCs w:val="32"/>
        </w:rPr>
        <w:t>附件8-1</w:t>
      </w:r>
      <w:bookmarkStart w:id="368" w:name="_Toc71631935"/>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val="en-US" w:eastAsia="zh-CN"/>
        </w:rPr>
        <w:t>小微</w:t>
      </w:r>
      <w:r>
        <w:rPr>
          <w:rFonts w:hint="eastAsia" w:ascii="仿宋" w:hAnsi="仿宋" w:eastAsia="仿宋" w:cs="仿宋"/>
          <w:b/>
          <w:color w:val="auto"/>
          <w:sz w:val="32"/>
          <w:szCs w:val="32"/>
        </w:rPr>
        <w:t>企业声明函</w:t>
      </w:r>
      <w:bookmarkEnd w:id="368"/>
      <w:r>
        <w:rPr>
          <w:rFonts w:hint="eastAsia" w:ascii="仿宋" w:hAnsi="仿宋" w:eastAsia="仿宋" w:cs="仿宋"/>
          <w:b/>
          <w:color w:val="auto"/>
          <w:sz w:val="32"/>
          <w:szCs w:val="32"/>
        </w:rPr>
        <w:t>（如是）</w:t>
      </w:r>
      <w:bookmarkEnd w:id="358"/>
      <w:bookmarkEnd w:id="359"/>
      <w:bookmarkEnd w:id="363"/>
      <w:bookmarkEnd w:id="364"/>
      <w:bookmarkEnd w:id="365"/>
      <w:bookmarkEnd w:id="366"/>
      <w:bookmarkEnd w:id="367"/>
    </w:p>
    <w:p w14:paraId="1B70917A">
      <w:pPr>
        <w:adjustRightInd w:val="0"/>
        <w:snapToGrid w:val="0"/>
        <w:spacing w:line="360" w:lineRule="auto"/>
        <w:ind w:hanging="540"/>
        <w:jc w:val="center"/>
        <w:rPr>
          <w:rFonts w:hint="eastAsia" w:ascii="仿宋" w:hAnsi="仿宋" w:eastAsia="仿宋" w:cs="仿宋"/>
          <w:b/>
          <w:color w:val="auto"/>
          <w:kern w:val="0"/>
          <w:sz w:val="24"/>
          <w:szCs w:val="24"/>
        </w:rPr>
      </w:pPr>
    </w:p>
    <w:p w14:paraId="380B6CE3">
      <w:pPr>
        <w:pStyle w:val="25"/>
        <w:tabs>
          <w:tab w:val="left" w:pos="558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w:t>
      </w:r>
      <w:r>
        <w:rPr>
          <w:rFonts w:hint="eastAsia" w:ascii="仿宋" w:hAnsi="仿宋" w:eastAsia="仿宋" w:cs="仿宋"/>
          <w:i w:val="0"/>
          <w:color w:val="auto"/>
          <w:sz w:val="24"/>
          <w:szCs w:val="24"/>
          <w:u w:val="none"/>
        </w:rPr>
        <w:t>（</w:t>
      </w:r>
      <w:r>
        <w:rPr>
          <w:rFonts w:hint="eastAsia" w:ascii="仿宋" w:hAnsi="仿宋" w:eastAsia="仿宋" w:cs="仿宋"/>
          <w:i w:val="0"/>
          <w:color w:val="auto"/>
          <w:sz w:val="24"/>
          <w:szCs w:val="24"/>
          <w:u w:val="single"/>
        </w:rPr>
        <w:t>单位名称）</w:t>
      </w:r>
      <w:r>
        <w:rPr>
          <w:rFonts w:hint="eastAsia" w:ascii="仿宋" w:hAnsi="仿宋" w:eastAsia="仿宋" w:cs="仿宋"/>
          <w:color w:val="auto"/>
          <w:sz w:val="24"/>
          <w:szCs w:val="24"/>
        </w:rPr>
        <w:t>的</w:t>
      </w:r>
      <w:r>
        <w:rPr>
          <w:rFonts w:hint="eastAsia" w:ascii="仿宋" w:hAnsi="仿宋" w:eastAsia="仿宋" w:cs="仿宋"/>
          <w:i w:val="0"/>
          <w:color w:val="auto"/>
          <w:sz w:val="24"/>
          <w:szCs w:val="24"/>
          <w:u w:val="none"/>
        </w:rPr>
        <w:t>（</w:t>
      </w:r>
      <w:r>
        <w:rPr>
          <w:rFonts w:hint="eastAsia" w:ascii="仿宋" w:hAnsi="仿宋" w:eastAsia="仿宋" w:cs="仿宋"/>
          <w:i w:val="0"/>
          <w:color w:val="auto"/>
          <w:sz w:val="24"/>
          <w:szCs w:val="24"/>
          <w:u w:val="single"/>
        </w:rPr>
        <w:t>项目名称）</w:t>
      </w:r>
      <w:r>
        <w:rPr>
          <w:rFonts w:hint="eastAsia" w:ascii="仿宋" w:hAnsi="仿宋" w:eastAsia="仿宋" w:cs="仿宋"/>
          <w:color w:val="auto"/>
          <w:sz w:val="24"/>
          <w:szCs w:val="24"/>
        </w:rPr>
        <w:t>采购活动，提供的货物全部由符合政策要求的</w:t>
      </w:r>
      <w:r>
        <w:rPr>
          <w:rFonts w:hint="eastAsia" w:ascii="仿宋" w:hAnsi="仿宋" w:eastAsia="仿宋" w:cs="仿宋"/>
          <w:color w:val="auto"/>
          <w:sz w:val="24"/>
          <w:szCs w:val="24"/>
          <w:lang w:val="en-US" w:eastAsia="zh-CN"/>
        </w:rPr>
        <w:t>小微</w:t>
      </w:r>
      <w:r>
        <w:rPr>
          <w:rFonts w:hint="eastAsia" w:ascii="仿宋" w:hAnsi="仿宋" w:eastAsia="仿宋" w:cs="仿宋"/>
          <w:color w:val="auto"/>
          <w:sz w:val="24"/>
          <w:szCs w:val="24"/>
        </w:rPr>
        <w:t>企业制造。相关企业（含联合体中的</w:t>
      </w:r>
      <w:r>
        <w:rPr>
          <w:rFonts w:hint="eastAsia" w:ascii="仿宋" w:hAnsi="仿宋" w:eastAsia="仿宋" w:cs="仿宋"/>
          <w:color w:val="auto"/>
          <w:sz w:val="24"/>
          <w:szCs w:val="24"/>
          <w:lang w:val="en-US" w:eastAsia="zh-CN"/>
        </w:rPr>
        <w:t>小微</w:t>
      </w:r>
      <w:r>
        <w:rPr>
          <w:rFonts w:hint="eastAsia" w:ascii="仿宋" w:hAnsi="仿宋" w:eastAsia="仿宋" w:cs="仿宋"/>
          <w:color w:val="auto"/>
          <w:sz w:val="24"/>
          <w:szCs w:val="24"/>
        </w:rPr>
        <w:t>企业、签订分包意向协议的</w:t>
      </w:r>
      <w:r>
        <w:rPr>
          <w:rFonts w:hint="eastAsia" w:ascii="仿宋" w:hAnsi="仿宋" w:eastAsia="仿宋" w:cs="仿宋"/>
          <w:color w:val="auto"/>
          <w:sz w:val="24"/>
          <w:szCs w:val="24"/>
          <w:lang w:val="en-US" w:eastAsia="zh-CN"/>
        </w:rPr>
        <w:t>小微</w:t>
      </w:r>
      <w:r>
        <w:rPr>
          <w:rFonts w:hint="eastAsia" w:ascii="仿宋" w:hAnsi="仿宋" w:eastAsia="仿宋" w:cs="仿宋"/>
          <w:color w:val="auto"/>
          <w:sz w:val="24"/>
          <w:szCs w:val="24"/>
        </w:rPr>
        <w:t>企业）的具体情况如下：</w:t>
      </w:r>
    </w:p>
    <w:p w14:paraId="600F1033">
      <w:pPr>
        <w:pStyle w:val="25"/>
        <w:tabs>
          <w:tab w:val="left" w:pos="558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 xml:space="preserve">1. </w:t>
      </w:r>
      <w:r>
        <w:rPr>
          <w:rFonts w:hint="eastAsia" w:ascii="仿宋" w:hAnsi="仿宋" w:eastAsia="仿宋" w:cs="仿宋"/>
          <w:i w:val="0"/>
          <w:color w:val="auto"/>
          <w:sz w:val="24"/>
          <w:szCs w:val="24"/>
          <w:u w:val="none"/>
        </w:rPr>
        <w:t>（标的名称）</w:t>
      </w:r>
      <w:r>
        <w:rPr>
          <w:rFonts w:hint="eastAsia" w:ascii="仿宋" w:hAnsi="仿宋" w:eastAsia="仿宋" w:cs="仿宋"/>
          <w:color w:val="auto"/>
          <w:sz w:val="24"/>
          <w:szCs w:val="24"/>
        </w:rPr>
        <w:t>，属于</w:t>
      </w:r>
      <w:r>
        <w:rPr>
          <w:rFonts w:hint="eastAsia" w:ascii="仿宋" w:hAnsi="仿宋" w:eastAsia="仿宋" w:cs="仿宋"/>
          <w:i w:val="0"/>
          <w:color w:val="auto"/>
          <w:sz w:val="24"/>
          <w:szCs w:val="24"/>
          <w:u w:val="single"/>
        </w:rPr>
        <w:t>（采购文件中明确的所属行业）</w:t>
      </w:r>
      <w:r>
        <w:rPr>
          <w:rFonts w:hint="eastAsia" w:ascii="仿宋" w:hAnsi="仿宋" w:eastAsia="仿宋" w:cs="仿宋"/>
          <w:color w:val="auto"/>
          <w:sz w:val="24"/>
          <w:szCs w:val="24"/>
        </w:rPr>
        <w:t>行业；制造商为</w:t>
      </w:r>
      <w:r>
        <w:rPr>
          <w:rFonts w:hint="eastAsia" w:ascii="仿宋" w:hAnsi="仿宋" w:eastAsia="仿宋" w:cs="仿宋"/>
          <w:i w:val="0"/>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w:t>
      </w:r>
      <w:r>
        <w:rPr>
          <w:rFonts w:hint="eastAsia" w:ascii="仿宋" w:hAnsi="仿宋" w:eastAsia="仿宋" w:cs="仿宋"/>
          <w:sz w:val="24"/>
          <w:szCs w:val="24"/>
        </w:rPr>
        <w:t>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i w:val="0"/>
          <w:sz w:val="24"/>
          <w:szCs w:val="24"/>
          <w:u w:val="none"/>
        </w:rPr>
        <w:t>（中型企业、小型企业、微型企业）</w:t>
      </w:r>
      <w:r>
        <w:rPr>
          <w:rFonts w:hint="eastAsia" w:ascii="仿宋" w:hAnsi="仿宋" w:eastAsia="仿宋" w:cs="仿宋"/>
          <w:sz w:val="24"/>
          <w:szCs w:val="24"/>
        </w:rPr>
        <w:t>；</w:t>
      </w:r>
    </w:p>
    <w:p w14:paraId="0731EC9E">
      <w:pPr>
        <w:pStyle w:val="25"/>
        <w:tabs>
          <w:tab w:val="left" w:pos="558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none"/>
        </w:rPr>
        <w:t>（</w:t>
      </w:r>
      <w:r>
        <w:rPr>
          <w:rFonts w:hint="eastAsia" w:ascii="仿宋" w:hAnsi="仿宋" w:eastAsia="仿宋" w:cs="仿宋"/>
          <w:i w:val="0"/>
          <w:sz w:val="24"/>
          <w:szCs w:val="24"/>
          <w:u w:val="none"/>
        </w:rPr>
        <w:t>标的名称）</w:t>
      </w:r>
      <w:r>
        <w:rPr>
          <w:rFonts w:hint="eastAsia" w:ascii="仿宋" w:hAnsi="仿宋" w:eastAsia="仿宋" w:cs="仿宋"/>
          <w:sz w:val="24"/>
          <w:szCs w:val="24"/>
        </w:rPr>
        <w:t>，属于</w:t>
      </w:r>
      <w:r>
        <w:rPr>
          <w:rFonts w:hint="eastAsia" w:ascii="仿宋" w:hAnsi="仿宋" w:eastAsia="仿宋" w:cs="仿宋"/>
          <w:i w:val="0"/>
          <w:sz w:val="24"/>
          <w:szCs w:val="24"/>
          <w:u w:val="single"/>
        </w:rPr>
        <w:t>（采购文件中明确的所属行业）</w:t>
      </w:r>
      <w:r>
        <w:rPr>
          <w:rFonts w:hint="eastAsia" w:ascii="仿宋" w:hAnsi="仿宋" w:eastAsia="仿宋" w:cs="仿宋"/>
          <w:sz w:val="24"/>
          <w:szCs w:val="24"/>
        </w:rPr>
        <w:t>行业；制造商为</w:t>
      </w:r>
      <w:r>
        <w:rPr>
          <w:rFonts w:hint="eastAsia" w:ascii="仿宋" w:hAnsi="仿宋" w:eastAsia="仿宋" w:cs="仿宋"/>
          <w:i w:val="0"/>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i w:val="0"/>
          <w:sz w:val="24"/>
          <w:szCs w:val="24"/>
          <w:u w:val="none"/>
        </w:rPr>
        <w:t>（中型企业、小型企业、微型企业）</w:t>
      </w:r>
      <w:r>
        <w:rPr>
          <w:rFonts w:hint="eastAsia" w:ascii="仿宋" w:hAnsi="仿宋" w:eastAsia="仿宋" w:cs="仿宋"/>
          <w:sz w:val="24"/>
          <w:szCs w:val="24"/>
        </w:rPr>
        <w:t>；</w:t>
      </w:r>
    </w:p>
    <w:p w14:paraId="1065DC84">
      <w:pPr>
        <w:pStyle w:val="25"/>
        <w:tabs>
          <w:tab w:val="left" w:pos="5580"/>
        </w:tabs>
        <w:adjustRightInd w:val="0"/>
        <w:snapToGrid w:val="0"/>
        <w:spacing w:line="360" w:lineRule="auto"/>
        <w:ind w:left="46" w:hanging="45" w:hangingChars="19"/>
        <w:rPr>
          <w:rFonts w:hint="eastAsia" w:ascii="仿宋" w:hAnsi="仿宋" w:eastAsia="仿宋" w:cs="仿宋"/>
          <w:sz w:val="24"/>
          <w:szCs w:val="24"/>
        </w:rPr>
      </w:pPr>
      <w:r>
        <w:rPr>
          <w:rFonts w:hint="eastAsia" w:ascii="仿宋" w:hAnsi="仿宋" w:eastAsia="仿宋" w:cs="仿宋"/>
          <w:sz w:val="24"/>
          <w:szCs w:val="24"/>
        </w:rPr>
        <w:t>……</w:t>
      </w:r>
    </w:p>
    <w:p w14:paraId="18F0329C">
      <w:pPr>
        <w:pStyle w:val="25"/>
        <w:tabs>
          <w:tab w:val="left" w:pos="5580"/>
        </w:tabs>
        <w:adjustRightInd w:val="0"/>
        <w:snapToGrid w:val="0"/>
        <w:spacing w:line="360" w:lineRule="auto"/>
        <w:ind w:firstLine="491" w:firstLineChars="205"/>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4B5CA8C">
      <w:pPr>
        <w:pStyle w:val="25"/>
        <w:tabs>
          <w:tab w:val="left" w:pos="5580"/>
        </w:tabs>
        <w:adjustRightInd w:val="0"/>
        <w:snapToGrid w:val="0"/>
        <w:spacing w:line="360" w:lineRule="auto"/>
        <w:ind w:firstLine="491" w:firstLineChars="205"/>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1B665F51">
      <w:pPr>
        <w:pStyle w:val="25"/>
        <w:tabs>
          <w:tab w:val="left" w:pos="5580"/>
        </w:tabs>
        <w:adjustRightInd w:val="0"/>
        <w:snapToGrid w:val="0"/>
        <w:spacing w:line="360" w:lineRule="auto"/>
        <w:ind w:hanging="527"/>
        <w:rPr>
          <w:rFonts w:hint="eastAsia" w:ascii="仿宋" w:hAnsi="仿宋" w:eastAsia="仿宋" w:cs="仿宋"/>
          <w:sz w:val="24"/>
          <w:szCs w:val="24"/>
        </w:rPr>
      </w:pPr>
    </w:p>
    <w:p w14:paraId="3C2267B9">
      <w:pPr>
        <w:pStyle w:val="25"/>
        <w:tabs>
          <w:tab w:val="left" w:pos="5580"/>
        </w:tabs>
        <w:adjustRightInd w:val="0"/>
        <w:snapToGrid w:val="0"/>
        <w:spacing w:line="360" w:lineRule="auto"/>
        <w:ind w:hanging="527"/>
        <w:rPr>
          <w:rFonts w:hint="eastAsia" w:ascii="仿宋" w:hAnsi="仿宋" w:eastAsia="仿宋" w:cs="仿宋"/>
          <w:sz w:val="24"/>
          <w:szCs w:val="24"/>
        </w:rPr>
      </w:pPr>
    </w:p>
    <w:p w14:paraId="26F9F2A2">
      <w:pPr>
        <w:pStyle w:val="25"/>
        <w:tabs>
          <w:tab w:val="left" w:pos="5580"/>
        </w:tabs>
        <w:adjustRightInd w:val="0"/>
        <w:snapToGrid w:val="0"/>
        <w:spacing w:line="360" w:lineRule="auto"/>
        <w:ind w:firstLine="4680" w:firstLineChars="1950"/>
        <w:rPr>
          <w:rFonts w:hint="eastAsia" w:ascii="仿宋" w:hAnsi="仿宋" w:eastAsia="仿宋" w:cs="仿宋"/>
          <w:sz w:val="24"/>
          <w:szCs w:val="24"/>
        </w:rPr>
      </w:pPr>
      <w:r>
        <w:rPr>
          <w:rFonts w:hint="eastAsia" w:ascii="仿宋" w:hAnsi="仿宋" w:eastAsia="仿宋" w:cs="仿宋"/>
          <w:sz w:val="24"/>
          <w:szCs w:val="24"/>
        </w:rPr>
        <w:t>企业名称（盖章）：</w:t>
      </w:r>
    </w:p>
    <w:p w14:paraId="633D06A8">
      <w:pPr>
        <w:pStyle w:val="25"/>
        <w:tabs>
          <w:tab w:val="left" w:pos="5580"/>
        </w:tabs>
        <w:adjustRightInd w:val="0"/>
        <w:snapToGrid w:val="0"/>
        <w:spacing w:line="360" w:lineRule="auto"/>
        <w:ind w:firstLine="4680" w:firstLineChars="1950"/>
        <w:rPr>
          <w:rFonts w:hint="eastAsia" w:ascii="仿宋" w:hAnsi="仿宋" w:eastAsia="仿宋" w:cs="仿宋"/>
          <w:sz w:val="24"/>
          <w:szCs w:val="24"/>
        </w:rPr>
      </w:pPr>
      <w:r>
        <w:rPr>
          <w:rFonts w:hint="eastAsia" w:ascii="仿宋" w:hAnsi="仿宋" w:eastAsia="仿宋" w:cs="仿宋"/>
          <w:sz w:val="24"/>
          <w:szCs w:val="24"/>
        </w:rPr>
        <w:t>日期：</w:t>
      </w:r>
    </w:p>
    <w:p w14:paraId="6D8BC161">
      <w:pPr>
        <w:pStyle w:val="25"/>
        <w:tabs>
          <w:tab w:val="left" w:pos="5580"/>
        </w:tabs>
        <w:adjustRightInd w:val="0"/>
        <w:snapToGrid w:val="0"/>
        <w:spacing w:line="360" w:lineRule="auto"/>
        <w:ind w:hanging="527"/>
        <w:rPr>
          <w:rFonts w:hint="eastAsia" w:ascii="仿宋" w:hAnsi="仿宋" w:eastAsia="仿宋" w:cs="仿宋"/>
          <w:sz w:val="24"/>
          <w:szCs w:val="24"/>
        </w:rPr>
      </w:pPr>
    </w:p>
    <w:p w14:paraId="4A08C40A">
      <w:pPr>
        <w:pStyle w:val="25"/>
        <w:tabs>
          <w:tab w:val="left" w:pos="5580"/>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注1、从业人员、营业收入、资产总额填报上一年度数据，无上一年度数据的新成立企业可不填报。</w:t>
      </w:r>
    </w:p>
    <w:p w14:paraId="28ECB80C">
      <w:pPr>
        <w:pStyle w:val="25"/>
        <w:tabs>
          <w:tab w:val="left" w:pos="5580"/>
        </w:tabs>
        <w:adjustRightInd w:val="0"/>
        <w:snapToGrid w:val="0"/>
        <w:spacing w:line="360" w:lineRule="auto"/>
        <w:outlineLvl w:val="1"/>
        <w:rPr>
          <w:rFonts w:hint="eastAsia" w:ascii="仿宋" w:hAnsi="仿宋" w:eastAsia="仿宋" w:cs="仿宋"/>
          <w:sz w:val="24"/>
          <w:szCs w:val="24"/>
        </w:rPr>
      </w:pPr>
      <w:r>
        <w:rPr>
          <w:rFonts w:hint="eastAsia" w:ascii="仿宋" w:hAnsi="仿宋" w:eastAsia="仿宋" w:cs="仿宋"/>
          <w:sz w:val="24"/>
          <w:szCs w:val="24"/>
        </w:rPr>
        <w:t>2、请在本表中填写</w:t>
      </w:r>
      <w:r>
        <w:rPr>
          <w:rFonts w:hint="eastAsia" w:ascii="仿宋" w:hAnsi="仿宋" w:eastAsia="仿宋" w:cs="仿宋"/>
          <w:sz w:val="24"/>
          <w:szCs w:val="24"/>
          <w:u w:val="single"/>
        </w:rPr>
        <w:t>供应商须知前附表</w:t>
      </w:r>
      <w:r>
        <w:rPr>
          <w:rFonts w:hint="eastAsia" w:ascii="仿宋" w:hAnsi="仿宋" w:eastAsia="仿宋" w:cs="仿宋"/>
          <w:sz w:val="24"/>
          <w:szCs w:val="24"/>
        </w:rPr>
        <w:t>中写明的</w:t>
      </w:r>
      <w:r>
        <w:rPr>
          <w:rFonts w:hint="eastAsia" w:ascii="仿宋" w:hAnsi="仿宋" w:eastAsia="仿宋" w:cs="仿宋"/>
          <w:sz w:val="24"/>
          <w:szCs w:val="24"/>
          <w:lang w:val="en-US" w:eastAsia="zh-CN"/>
        </w:rPr>
        <w:t>小微</w:t>
      </w:r>
      <w:r>
        <w:rPr>
          <w:rFonts w:hint="eastAsia" w:ascii="仿宋" w:hAnsi="仿宋" w:eastAsia="仿宋" w:cs="仿宋"/>
          <w:sz w:val="24"/>
          <w:szCs w:val="24"/>
        </w:rPr>
        <w:t>企业</w:t>
      </w:r>
      <w:r>
        <w:rPr>
          <w:rFonts w:hint="eastAsia" w:ascii="仿宋" w:hAnsi="仿宋" w:eastAsia="仿宋" w:cs="仿宋"/>
          <w:sz w:val="24"/>
          <w:szCs w:val="24"/>
          <w:lang w:val="en-US" w:eastAsia="zh-CN"/>
        </w:rPr>
        <w:t>划分标准所属行业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本项目对应的小微企业划分标准所属行业为：</w:t>
      </w:r>
      <w:r>
        <w:rPr>
          <w:rFonts w:hint="eastAsia" w:ascii="仿宋" w:hAnsi="仿宋" w:eastAsia="仿宋" w:cs="仿宋"/>
          <w:b/>
          <w:bCs/>
          <w:sz w:val="24"/>
          <w:szCs w:val="24"/>
          <w:lang w:val="en-US" w:eastAsia="zh-CN"/>
        </w:rPr>
        <w:t>工业</w:t>
      </w:r>
      <w:r>
        <w:rPr>
          <w:rFonts w:hint="eastAsia" w:ascii="仿宋" w:hAnsi="仿宋" w:eastAsia="仿宋" w:cs="仿宋"/>
          <w:sz w:val="24"/>
          <w:szCs w:val="24"/>
        </w:rPr>
        <w:t>。</w:t>
      </w:r>
    </w:p>
    <w:p w14:paraId="21A57601">
      <w:pPr>
        <w:pStyle w:val="156"/>
        <w:adjustRightInd w:val="0"/>
        <w:snapToGrid w:val="0"/>
        <w:spacing w:before="0" w:after="0" w:line="360" w:lineRule="auto"/>
        <w:ind w:left="0" w:leftChars="0" w:firstLine="0" w:firstLineChars="0"/>
        <w:rPr>
          <w:rFonts w:hint="eastAsia" w:ascii="仿宋" w:hAnsi="仿宋" w:eastAsia="仿宋" w:cs="仿宋"/>
          <w:bCs w:val="0"/>
          <w:spacing w:val="0"/>
          <w:kern w:val="2"/>
          <w:sz w:val="24"/>
          <w:szCs w:val="24"/>
          <w:lang w:val="en-US" w:eastAsia="zh-CN" w:bidi="ar-SA"/>
        </w:rPr>
      </w:pPr>
      <w:r>
        <w:rPr>
          <w:rFonts w:hint="eastAsia" w:ascii="仿宋" w:hAnsi="仿宋" w:eastAsia="仿宋" w:cs="仿宋"/>
          <w:bCs w:val="0"/>
          <w:spacing w:val="0"/>
          <w:kern w:val="2"/>
          <w:sz w:val="24"/>
          <w:szCs w:val="24"/>
          <w:lang w:val="en-US" w:eastAsia="zh-CN" w:bidi="ar-SA"/>
        </w:rPr>
        <w:t>3、制造商如为监狱企业或残疾人福利性单位的，视同为小型、微型企业，请填写此声明函，并需要出具相应的声明函和证明文件（格式后附）。</w:t>
      </w:r>
    </w:p>
    <w:p w14:paraId="303EC5D0">
      <w:pPr>
        <w:rPr>
          <w:rFonts w:hint="eastAsia" w:ascii="仿宋" w:hAnsi="仿宋" w:eastAsia="仿宋" w:cs="仿宋"/>
          <w:sz w:val="24"/>
          <w:szCs w:val="24"/>
        </w:rPr>
      </w:pPr>
      <w:r>
        <w:rPr>
          <w:rFonts w:hint="eastAsia" w:ascii="仿宋" w:hAnsi="仿宋" w:eastAsia="仿宋" w:cs="仿宋"/>
          <w:sz w:val="24"/>
          <w:szCs w:val="24"/>
        </w:rPr>
        <w:br w:type="page"/>
      </w:r>
    </w:p>
    <w:p w14:paraId="22FD5CD0">
      <w:pPr>
        <w:pStyle w:val="156"/>
        <w:spacing w:line="360" w:lineRule="auto"/>
        <w:ind w:left="0" w:leftChars="0" w:firstLine="0" w:firstLineChars="0"/>
        <w:jc w:val="center"/>
        <w:outlineLvl w:val="2"/>
        <w:rPr>
          <w:rFonts w:hint="eastAsia" w:ascii="仿宋" w:hAnsi="仿宋" w:eastAsia="仿宋" w:cs="仿宋"/>
          <w:b/>
          <w:sz w:val="32"/>
          <w:szCs w:val="32"/>
        </w:rPr>
      </w:pPr>
      <w:bookmarkStart w:id="369" w:name="_Toc71631936"/>
      <w:bookmarkStart w:id="370" w:name="_Toc30616"/>
      <w:bookmarkStart w:id="371" w:name="_Toc114589544"/>
      <w:bookmarkStart w:id="372" w:name="_Toc5109"/>
      <w:bookmarkStart w:id="373" w:name="_Toc7552"/>
      <w:bookmarkStart w:id="374" w:name="_Toc115436136"/>
      <w:bookmarkStart w:id="375" w:name="_Toc12969"/>
      <w:r>
        <w:rPr>
          <w:rFonts w:hint="eastAsia" w:ascii="仿宋" w:hAnsi="仿宋" w:eastAsia="仿宋" w:cs="仿宋"/>
          <w:b/>
          <w:sz w:val="32"/>
          <w:szCs w:val="32"/>
        </w:rPr>
        <w:t>附件8-2  监狱企业声明函</w:t>
      </w:r>
      <w:bookmarkEnd w:id="369"/>
      <w:r>
        <w:rPr>
          <w:rFonts w:hint="eastAsia" w:ascii="仿宋" w:hAnsi="仿宋" w:eastAsia="仿宋" w:cs="仿宋"/>
          <w:b/>
          <w:sz w:val="32"/>
          <w:szCs w:val="32"/>
        </w:rPr>
        <w:t>（如是）</w:t>
      </w:r>
      <w:bookmarkEnd w:id="370"/>
      <w:bookmarkEnd w:id="371"/>
      <w:bookmarkEnd w:id="372"/>
      <w:bookmarkEnd w:id="373"/>
      <w:bookmarkEnd w:id="374"/>
      <w:bookmarkEnd w:id="375"/>
    </w:p>
    <w:p w14:paraId="0FEF9F2D">
      <w:pPr>
        <w:adjustRightInd w:val="0"/>
        <w:snapToGrid w:val="0"/>
        <w:spacing w:line="360" w:lineRule="auto"/>
        <w:rPr>
          <w:rFonts w:hint="eastAsia" w:ascii="仿宋" w:hAnsi="仿宋" w:eastAsia="仿宋" w:cs="仿宋"/>
          <w:b/>
          <w:kern w:val="0"/>
          <w:sz w:val="21"/>
          <w:szCs w:val="21"/>
        </w:rPr>
      </w:pPr>
    </w:p>
    <w:p w14:paraId="1CFCCBD2">
      <w:pPr>
        <w:widowControl/>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本单位郑重声明，本单位在参加</w:t>
      </w:r>
      <w:r>
        <w:rPr>
          <w:rFonts w:hint="eastAsia" w:ascii="仿宋" w:hAnsi="仿宋" w:eastAsia="仿宋" w:cs="仿宋"/>
          <w:kern w:val="0"/>
          <w:sz w:val="24"/>
          <w:szCs w:val="24"/>
          <w:u w:val="single"/>
        </w:rPr>
        <w:t>（采购人名称）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eastAsia="zh-CN"/>
        </w:rPr>
        <w:t>采购</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项目采购活动提供以下监狱企业制造的货物（或监狱企业承担的工程或监狱企业承接的服务），具体情况如下：（按照实际情况勾选或填空）</w:t>
      </w:r>
    </w:p>
    <w:p w14:paraId="44585134">
      <w:pPr>
        <w:widowControl/>
        <w:adjustRightInd w:val="0"/>
        <w:snapToGrid w:val="0"/>
        <w:spacing w:line="360" w:lineRule="auto"/>
        <w:ind w:firstLine="360" w:firstLineChars="15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（制造商名称）</w:t>
      </w:r>
      <w:r>
        <w:rPr>
          <w:rFonts w:hint="eastAsia" w:ascii="仿宋" w:hAnsi="仿宋" w:eastAsia="仿宋" w:cs="仿宋"/>
          <w:kern w:val="0"/>
          <w:sz w:val="24"/>
          <w:szCs w:val="24"/>
        </w:rPr>
        <w:t>属于监狱企业，后附省级以上监狱管理局、戒毒管理局（含新疆生产建设兵团）出具的属于监狱企业的证明文件。</w:t>
      </w:r>
    </w:p>
    <w:p w14:paraId="7791C0E4">
      <w:pPr>
        <w:widowControl/>
        <w:adjustRightInd w:val="0"/>
        <w:snapToGrid w:val="0"/>
        <w:spacing w:line="360" w:lineRule="auto"/>
        <w:ind w:firstLine="42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（制造商名称）</w:t>
      </w:r>
      <w:r>
        <w:rPr>
          <w:rFonts w:hint="eastAsia" w:ascii="仿宋" w:hAnsi="仿宋" w:eastAsia="仿宋" w:cs="仿宋"/>
          <w:kern w:val="0"/>
          <w:sz w:val="24"/>
          <w:szCs w:val="24"/>
        </w:rPr>
        <w:t>属于监狱企业并作为联合体一方，其提供协议合同金额占到共同投标协议合同总金额的比例为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。后附省级以上监狱管理局、戒毒管理局（含新疆生产建设兵团）出具的属于监狱企业的证明文件。</w:t>
      </w:r>
    </w:p>
    <w:p w14:paraId="56CA1F78">
      <w:pPr>
        <w:widowControl/>
        <w:adjustRightInd w:val="0"/>
        <w:snapToGrid w:val="0"/>
        <w:spacing w:line="360" w:lineRule="auto"/>
        <w:ind w:firstLine="420"/>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（制造商名称）</w:t>
      </w:r>
      <w:r>
        <w:rPr>
          <w:rFonts w:hint="eastAsia" w:ascii="仿宋" w:hAnsi="仿宋" w:eastAsia="仿宋" w:cs="仿宋"/>
          <w:kern w:val="0"/>
          <w:sz w:val="24"/>
          <w:szCs w:val="24"/>
        </w:rPr>
        <w:t>属于监狱企业并作为分包方，其提供协议合同金额占到分包意向协议合同总金额的比例为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。后附省级以上监狱管理局、戒毒管理局（含新疆生产建设兵团）出具的属于监狱企业的证明文件。</w:t>
      </w:r>
    </w:p>
    <w:p w14:paraId="42CF785E">
      <w:pPr>
        <w:widowControl/>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本单位对上述声明的真实性负责。如有虚假，将依法承担相应责任。</w:t>
      </w:r>
    </w:p>
    <w:p w14:paraId="0114CBBA">
      <w:pPr>
        <w:widowControl/>
        <w:adjustRightInd w:val="0"/>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p w14:paraId="062EE0FE">
      <w:pPr>
        <w:widowControl/>
        <w:adjustRightInd w:val="0"/>
        <w:snapToGrid w:val="0"/>
        <w:spacing w:line="360" w:lineRule="auto"/>
        <w:jc w:val="left"/>
        <w:rPr>
          <w:rFonts w:hint="eastAsia" w:ascii="仿宋" w:hAnsi="仿宋" w:eastAsia="仿宋" w:cs="仿宋"/>
          <w:kern w:val="0"/>
          <w:sz w:val="24"/>
          <w:szCs w:val="24"/>
        </w:rPr>
      </w:pPr>
    </w:p>
    <w:p w14:paraId="2DA8E153">
      <w:pPr>
        <w:widowControl/>
        <w:adjustRightInd w:val="0"/>
        <w:snapToGrid w:val="0"/>
        <w:spacing w:line="360" w:lineRule="auto"/>
        <w:jc w:val="left"/>
        <w:rPr>
          <w:rFonts w:hint="eastAsia" w:ascii="仿宋" w:hAnsi="仿宋" w:eastAsia="仿宋" w:cs="仿宋"/>
          <w:kern w:val="0"/>
          <w:sz w:val="24"/>
          <w:szCs w:val="24"/>
        </w:rPr>
      </w:pPr>
    </w:p>
    <w:p w14:paraId="36CFDFA7">
      <w:pPr>
        <w:adjustRightInd w:val="0"/>
        <w:snapToGrid w:val="0"/>
        <w:spacing w:line="360" w:lineRule="auto"/>
        <w:ind w:hanging="540"/>
        <w:jc w:val="center"/>
        <w:rPr>
          <w:rFonts w:hint="eastAsia" w:ascii="仿宋" w:hAnsi="仿宋" w:eastAsia="仿宋" w:cs="仿宋"/>
          <w:b/>
          <w:kern w:val="0"/>
          <w:sz w:val="24"/>
          <w:szCs w:val="24"/>
        </w:rPr>
      </w:pPr>
      <w:r>
        <w:rPr>
          <w:rFonts w:hint="eastAsia" w:ascii="仿宋" w:hAnsi="仿宋" w:eastAsia="仿宋" w:cs="仿宋"/>
          <w:b/>
          <w:kern w:val="0"/>
          <w:sz w:val="24"/>
          <w:szCs w:val="24"/>
        </w:rPr>
        <w:t>　</w:t>
      </w:r>
    </w:p>
    <w:p w14:paraId="3EB9C521">
      <w:pPr>
        <w:adjustRightInd w:val="0"/>
        <w:snapToGrid w:val="0"/>
        <w:spacing w:line="360" w:lineRule="auto"/>
        <w:ind w:firstLine="5280" w:firstLineChars="2200"/>
        <w:rPr>
          <w:rFonts w:hint="eastAsia" w:ascii="仿宋" w:hAnsi="仿宋" w:eastAsia="仿宋" w:cs="仿宋"/>
          <w:kern w:val="0"/>
          <w:sz w:val="24"/>
          <w:szCs w:val="24"/>
        </w:rPr>
      </w:pPr>
      <w:r>
        <w:rPr>
          <w:rFonts w:hint="eastAsia" w:ascii="仿宋" w:hAnsi="仿宋" w:eastAsia="仿宋" w:cs="仿宋"/>
          <w:kern w:val="0"/>
          <w:sz w:val="24"/>
          <w:szCs w:val="24"/>
        </w:rPr>
        <w:t>单位名称（盖章）：</w:t>
      </w:r>
    </w:p>
    <w:p w14:paraId="74CB31C6">
      <w:pPr>
        <w:widowControl/>
        <w:adjustRightInd w:val="0"/>
        <w:snapToGrid w:val="0"/>
        <w:spacing w:line="360" w:lineRule="auto"/>
        <w:ind w:firstLine="5280" w:firstLineChars="2200"/>
        <w:jc w:val="left"/>
        <w:rPr>
          <w:rFonts w:hint="eastAsia" w:ascii="仿宋" w:hAnsi="仿宋" w:eastAsia="仿宋" w:cs="仿宋"/>
          <w:kern w:val="0"/>
          <w:sz w:val="24"/>
          <w:szCs w:val="24"/>
        </w:rPr>
      </w:pPr>
      <w:r>
        <w:rPr>
          <w:rFonts w:hint="eastAsia" w:ascii="仿宋" w:hAnsi="仿宋" w:eastAsia="仿宋" w:cs="仿宋"/>
          <w:kern w:val="0"/>
          <w:sz w:val="24"/>
          <w:szCs w:val="24"/>
        </w:rPr>
        <w:t>日  期：</w:t>
      </w:r>
    </w:p>
    <w:p w14:paraId="7627942D">
      <w:pPr>
        <w:rPr>
          <w:rFonts w:hint="eastAsia" w:ascii="仿宋" w:hAnsi="仿宋" w:eastAsia="仿宋" w:cs="仿宋"/>
          <w:sz w:val="24"/>
          <w:szCs w:val="24"/>
        </w:rPr>
      </w:pPr>
      <w:r>
        <w:rPr>
          <w:rFonts w:hint="eastAsia" w:ascii="仿宋" w:hAnsi="仿宋" w:eastAsia="仿宋" w:cs="仿宋"/>
          <w:sz w:val="24"/>
          <w:szCs w:val="24"/>
        </w:rPr>
        <w:br w:type="page"/>
      </w:r>
    </w:p>
    <w:p w14:paraId="19A59562">
      <w:pPr>
        <w:pStyle w:val="156"/>
        <w:spacing w:line="360" w:lineRule="auto"/>
        <w:jc w:val="both"/>
        <w:outlineLvl w:val="2"/>
        <w:rPr>
          <w:rFonts w:hint="eastAsia" w:ascii="仿宋" w:hAnsi="仿宋" w:eastAsia="仿宋" w:cs="仿宋"/>
          <w:b/>
          <w:sz w:val="32"/>
          <w:szCs w:val="32"/>
        </w:rPr>
      </w:pPr>
      <w:bookmarkStart w:id="376" w:name="_Toc71631937"/>
      <w:bookmarkStart w:id="377" w:name="_Toc115436137"/>
      <w:bookmarkStart w:id="378" w:name="_Toc22510"/>
      <w:bookmarkStart w:id="379" w:name="_Toc114589545"/>
      <w:bookmarkStart w:id="380" w:name="_Toc2819"/>
      <w:bookmarkStart w:id="381" w:name="_Toc11282"/>
      <w:bookmarkStart w:id="382" w:name="_Toc28543"/>
      <w:bookmarkStart w:id="383" w:name="_Toc19189"/>
      <w:bookmarkStart w:id="384" w:name="OLE_LINK14"/>
      <w:bookmarkStart w:id="385" w:name="OLE_LINK13"/>
      <w:r>
        <w:rPr>
          <w:rFonts w:hint="eastAsia" w:ascii="仿宋" w:hAnsi="仿宋" w:eastAsia="仿宋" w:cs="仿宋"/>
          <w:b/>
          <w:sz w:val="32"/>
          <w:szCs w:val="32"/>
        </w:rPr>
        <w:t>附件8-3  残疾人福利性单位声明函</w:t>
      </w:r>
      <w:bookmarkEnd w:id="376"/>
      <w:r>
        <w:rPr>
          <w:rFonts w:hint="eastAsia" w:ascii="仿宋" w:hAnsi="仿宋" w:eastAsia="仿宋" w:cs="仿宋"/>
          <w:b/>
          <w:sz w:val="32"/>
          <w:szCs w:val="32"/>
        </w:rPr>
        <w:t>（如是）</w:t>
      </w:r>
      <w:bookmarkEnd w:id="377"/>
      <w:bookmarkEnd w:id="378"/>
      <w:bookmarkEnd w:id="379"/>
      <w:bookmarkEnd w:id="380"/>
      <w:bookmarkEnd w:id="381"/>
      <w:bookmarkEnd w:id="382"/>
      <w:bookmarkEnd w:id="383"/>
    </w:p>
    <w:bookmarkEnd w:id="384"/>
    <w:bookmarkEnd w:id="385"/>
    <w:p w14:paraId="4B29E4EF">
      <w:pPr>
        <w:spacing w:line="360" w:lineRule="auto"/>
        <w:ind w:hanging="540"/>
        <w:jc w:val="center"/>
        <w:rPr>
          <w:rFonts w:hint="eastAsia" w:ascii="仿宋" w:hAnsi="仿宋" w:eastAsia="仿宋" w:cs="仿宋"/>
          <w:kern w:val="0"/>
          <w:sz w:val="21"/>
          <w:szCs w:val="21"/>
        </w:rPr>
      </w:pPr>
    </w:p>
    <w:p w14:paraId="3D4B55B5">
      <w:pPr>
        <w:spacing w:line="360" w:lineRule="auto"/>
        <w:ind w:firstLine="567"/>
        <w:rPr>
          <w:rFonts w:hint="eastAsia" w:ascii="仿宋" w:hAnsi="仿宋" w:eastAsia="仿宋" w:cs="仿宋"/>
          <w:kern w:val="0"/>
          <w:sz w:val="21"/>
          <w:szCs w:val="21"/>
        </w:rPr>
      </w:pPr>
    </w:p>
    <w:p w14:paraId="17D6E513">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978B9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本单位对上述声明的真实性负责。如有虚假，将依法承担相应责任。</w:t>
      </w:r>
    </w:p>
    <w:p w14:paraId="08614C63">
      <w:pPr>
        <w:spacing w:line="360" w:lineRule="auto"/>
        <w:ind w:firstLine="480" w:firstLineChars="200"/>
        <w:rPr>
          <w:rFonts w:hint="eastAsia" w:ascii="仿宋" w:hAnsi="仿宋" w:eastAsia="仿宋" w:cs="仿宋"/>
          <w:kern w:val="0"/>
          <w:sz w:val="24"/>
          <w:szCs w:val="24"/>
        </w:rPr>
      </w:pPr>
    </w:p>
    <w:p w14:paraId="09C1F177">
      <w:pPr>
        <w:spacing w:line="360" w:lineRule="auto"/>
        <w:ind w:firstLine="504" w:firstLineChars="200"/>
        <w:rPr>
          <w:rFonts w:hint="eastAsia" w:ascii="仿宋" w:hAnsi="仿宋" w:eastAsia="仿宋" w:cs="仿宋"/>
          <w:spacing w:val="6"/>
          <w:sz w:val="24"/>
          <w:szCs w:val="24"/>
        </w:rPr>
      </w:pPr>
    </w:p>
    <w:p w14:paraId="1B96521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单位名称（盖章）：</w:t>
      </w:r>
    </w:p>
    <w:p w14:paraId="1E84E19B">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日  期：</w:t>
      </w:r>
    </w:p>
    <w:p w14:paraId="55D91BDE">
      <w:pPr>
        <w:spacing w:line="360" w:lineRule="auto"/>
        <w:ind w:left="1080" w:leftChars="257" w:hanging="540"/>
        <w:jc w:val="center"/>
        <w:rPr>
          <w:rFonts w:hint="eastAsia" w:ascii="仿宋" w:hAnsi="仿宋" w:eastAsia="仿宋" w:cs="仿宋"/>
          <w:b/>
          <w:kern w:val="0"/>
          <w:sz w:val="24"/>
          <w:szCs w:val="24"/>
        </w:rPr>
      </w:pPr>
    </w:p>
    <w:p w14:paraId="4A1D6E1A">
      <w:pPr>
        <w:rPr>
          <w:rFonts w:hint="eastAsia" w:ascii="仿宋" w:hAnsi="仿宋" w:eastAsia="仿宋" w:cs="仿宋"/>
          <w:sz w:val="21"/>
          <w:szCs w:val="21"/>
        </w:rPr>
      </w:pPr>
      <w:r>
        <w:rPr>
          <w:rFonts w:hint="eastAsia" w:ascii="仿宋" w:hAnsi="仿宋" w:eastAsia="仿宋" w:cs="仿宋"/>
          <w:sz w:val="21"/>
          <w:szCs w:val="21"/>
        </w:rPr>
        <w:br w:type="page"/>
      </w:r>
    </w:p>
    <w:p w14:paraId="565D7E59">
      <w:pPr>
        <w:pStyle w:val="156"/>
        <w:spacing w:line="360" w:lineRule="auto"/>
        <w:ind w:left="0" w:leftChars="0" w:firstLine="0" w:firstLineChars="0"/>
        <w:jc w:val="center"/>
        <w:outlineLvl w:val="1"/>
        <w:rPr>
          <w:rFonts w:hint="eastAsia" w:ascii="仿宋" w:hAnsi="仿宋" w:eastAsia="仿宋" w:cs="仿宋"/>
          <w:b/>
          <w:sz w:val="32"/>
          <w:szCs w:val="32"/>
        </w:rPr>
      </w:pPr>
      <w:bookmarkStart w:id="386" w:name="_Toc23664"/>
      <w:bookmarkStart w:id="387" w:name="_Toc14318"/>
      <w:bookmarkStart w:id="388" w:name="_Toc20607"/>
      <w:bookmarkStart w:id="389" w:name="_Toc71631940"/>
      <w:bookmarkStart w:id="390" w:name="_Toc115436138"/>
      <w:bookmarkStart w:id="391" w:name="_Toc17940"/>
      <w:bookmarkStart w:id="392" w:name="_Toc114589546"/>
      <w:bookmarkStart w:id="393" w:name="_Toc29152"/>
      <w:r>
        <w:rPr>
          <w:rFonts w:hint="eastAsia" w:ascii="仿宋" w:hAnsi="仿宋" w:eastAsia="仿宋" w:cs="仿宋"/>
          <w:b/>
          <w:sz w:val="32"/>
          <w:szCs w:val="32"/>
        </w:rPr>
        <w:t>附件</w:t>
      </w:r>
      <w:bookmarkStart w:id="394" w:name="_Toc532473516"/>
      <w:bookmarkStart w:id="395" w:name="_Toc2582330"/>
      <w:r>
        <w:rPr>
          <w:rFonts w:hint="eastAsia" w:ascii="仿宋" w:hAnsi="仿宋" w:eastAsia="仿宋" w:cs="仿宋"/>
          <w:b/>
          <w:sz w:val="32"/>
          <w:szCs w:val="32"/>
        </w:rPr>
        <w:t xml:space="preserve">9  </w:t>
      </w:r>
      <w:r>
        <w:rPr>
          <w:rFonts w:hint="eastAsia" w:ascii="仿宋" w:hAnsi="仿宋" w:eastAsia="仿宋" w:cs="仿宋"/>
          <w:b/>
          <w:sz w:val="32"/>
          <w:szCs w:val="32"/>
          <w:lang w:val="en-US" w:eastAsia="zh-CN"/>
        </w:rPr>
        <w:t>谈判</w:t>
      </w:r>
      <w:r>
        <w:rPr>
          <w:rFonts w:hint="eastAsia" w:ascii="仿宋" w:hAnsi="仿宋" w:eastAsia="仿宋" w:cs="仿宋"/>
          <w:b/>
          <w:sz w:val="32"/>
          <w:szCs w:val="32"/>
        </w:rPr>
        <w:t>所需要的其他商务文件</w:t>
      </w:r>
      <w:bookmarkEnd w:id="386"/>
      <w:bookmarkEnd w:id="387"/>
      <w:bookmarkEnd w:id="388"/>
      <w:bookmarkEnd w:id="389"/>
      <w:bookmarkEnd w:id="390"/>
      <w:bookmarkEnd w:id="391"/>
      <w:bookmarkEnd w:id="392"/>
      <w:bookmarkEnd w:id="393"/>
      <w:bookmarkEnd w:id="394"/>
      <w:bookmarkEnd w:id="395"/>
    </w:p>
    <w:p w14:paraId="0F91731C">
      <w:pPr>
        <w:pStyle w:val="156"/>
        <w:adjustRightInd w:val="0"/>
        <w:snapToGrid w:val="0"/>
        <w:spacing w:before="0" w:after="0" w:line="360" w:lineRule="auto"/>
        <w:rPr>
          <w:rFonts w:hint="eastAsia" w:ascii="仿宋" w:hAnsi="仿宋" w:eastAsia="仿宋" w:cs="仿宋"/>
          <w:b/>
          <w:bCs w:val="0"/>
          <w:sz w:val="21"/>
          <w:szCs w:val="21"/>
        </w:rPr>
      </w:pPr>
    </w:p>
    <w:p w14:paraId="7459728E">
      <w:pPr>
        <w:pStyle w:val="156"/>
        <w:adjustRightInd w:val="0"/>
        <w:snapToGrid w:val="0"/>
        <w:spacing w:before="0" w:after="0" w:line="360" w:lineRule="auto"/>
        <w:rPr>
          <w:rFonts w:hint="eastAsia" w:ascii="仿宋" w:hAnsi="仿宋" w:eastAsia="仿宋" w:cs="仿宋"/>
          <w:b/>
          <w:bCs w:val="0"/>
          <w:sz w:val="21"/>
          <w:szCs w:val="21"/>
        </w:rPr>
      </w:pPr>
    </w:p>
    <w:p w14:paraId="13CA44E6">
      <w:pPr>
        <w:rPr>
          <w:rFonts w:hint="eastAsia" w:ascii="仿宋" w:hAnsi="仿宋" w:eastAsia="仿宋" w:cs="仿宋"/>
          <w:b/>
          <w:sz w:val="21"/>
          <w:szCs w:val="21"/>
        </w:rPr>
      </w:pPr>
      <w:bookmarkStart w:id="396" w:name="_Toc71631941"/>
      <w:r>
        <w:rPr>
          <w:rFonts w:hint="eastAsia" w:ascii="仿宋" w:hAnsi="仿宋" w:eastAsia="仿宋" w:cs="仿宋"/>
          <w:b/>
          <w:sz w:val="21"/>
          <w:szCs w:val="21"/>
        </w:rPr>
        <w:br w:type="page"/>
      </w:r>
    </w:p>
    <w:p w14:paraId="6E0CD528">
      <w:pPr>
        <w:pStyle w:val="156"/>
        <w:spacing w:line="360" w:lineRule="auto"/>
        <w:ind w:left="0" w:leftChars="0" w:firstLine="0" w:firstLineChars="0"/>
        <w:jc w:val="center"/>
        <w:outlineLvl w:val="1"/>
        <w:rPr>
          <w:rFonts w:hint="eastAsia" w:ascii="仿宋" w:hAnsi="仿宋" w:eastAsia="仿宋" w:cs="仿宋"/>
          <w:b/>
          <w:sz w:val="32"/>
          <w:szCs w:val="32"/>
        </w:rPr>
      </w:pPr>
      <w:bookmarkStart w:id="397" w:name="_Toc845"/>
      <w:bookmarkStart w:id="398" w:name="_Toc2602"/>
      <w:bookmarkStart w:id="399" w:name="_Toc27794"/>
      <w:bookmarkStart w:id="400" w:name="_Toc11888"/>
      <w:bookmarkStart w:id="401" w:name="_Toc114589547"/>
      <w:bookmarkStart w:id="402" w:name="_Toc115436139"/>
      <w:bookmarkStart w:id="403" w:name="_Toc29840"/>
      <w:r>
        <w:rPr>
          <w:rFonts w:hint="eastAsia" w:ascii="仿宋" w:hAnsi="仿宋" w:eastAsia="仿宋" w:cs="仿宋"/>
          <w:b/>
          <w:sz w:val="32"/>
          <w:szCs w:val="32"/>
        </w:rPr>
        <w:t>附件10  响应文件还应包括的技术文件</w:t>
      </w:r>
      <w:bookmarkEnd w:id="396"/>
      <w:bookmarkEnd w:id="397"/>
      <w:bookmarkEnd w:id="398"/>
      <w:bookmarkEnd w:id="399"/>
      <w:bookmarkEnd w:id="400"/>
      <w:bookmarkEnd w:id="401"/>
      <w:bookmarkEnd w:id="402"/>
      <w:bookmarkEnd w:id="403"/>
    </w:p>
    <w:p w14:paraId="77A47969">
      <w:pPr>
        <w:pStyle w:val="156"/>
        <w:adjustRightInd w:val="0"/>
        <w:snapToGrid w:val="0"/>
        <w:spacing w:before="0" w:after="0" w:line="360" w:lineRule="auto"/>
        <w:rPr>
          <w:rFonts w:hint="eastAsia" w:ascii="仿宋" w:hAnsi="仿宋" w:eastAsia="仿宋" w:cs="仿宋"/>
          <w:sz w:val="21"/>
          <w:szCs w:val="21"/>
        </w:rPr>
      </w:pPr>
    </w:p>
    <w:p w14:paraId="3B0D20BD">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应根据</w:t>
      </w:r>
      <w:r>
        <w:rPr>
          <w:rFonts w:hint="eastAsia" w:ascii="仿宋" w:hAnsi="仿宋" w:eastAsia="仿宋" w:cs="仿宋"/>
          <w:sz w:val="24"/>
          <w:szCs w:val="24"/>
          <w:lang w:eastAsia="zh-CN"/>
        </w:rPr>
        <w:t>谈判</w:t>
      </w:r>
      <w:r>
        <w:rPr>
          <w:rFonts w:hint="eastAsia" w:ascii="仿宋" w:hAnsi="仿宋" w:eastAsia="仿宋" w:cs="仿宋"/>
          <w:sz w:val="24"/>
          <w:szCs w:val="24"/>
        </w:rPr>
        <w:t>文件第五章、第六章的规定自行编写， 详细叙述拟提供产品/服务情况。</w:t>
      </w:r>
    </w:p>
    <w:p w14:paraId="6466A6C7">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包括，但不限于：</w:t>
      </w:r>
    </w:p>
    <w:p w14:paraId="5EEC819C">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供应商可</w:t>
      </w:r>
      <w:r>
        <w:rPr>
          <w:rFonts w:hint="eastAsia" w:ascii="仿宋" w:hAnsi="仿宋" w:eastAsia="仿宋" w:cs="仿宋"/>
          <w:sz w:val="24"/>
          <w:szCs w:val="24"/>
        </w:rPr>
        <w:t>提</w:t>
      </w:r>
      <w:r>
        <w:rPr>
          <w:rFonts w:hint="eastAsia" w:ascii="仿宋" w:hAnsi="仿宋" w:eastAsia="仿宋" w:cs="仿宋"/>
          <w:sz w:val="24"/>
          <w:szCs w:val="24"/>
          <w:lang w:eastAsia="zh-CN"/>
        </w:rPr>
        <w:t>供满足采购文件采购标的技术要求的</w:t>
      </w:r>
      <w:r>
        <w:rPr>
          <w:rFonts w:hint="eastAsia" w:ascii="仿宋" w:hAnsi="仿宋" w:eastAsia="仿宋" w:cs="仿宋"/>
          <w:sz w:val="24"/>
          <w:szCs w:val="24"/>
        </w:rPr>
        <w:t>证明文件，证明其拟供的合同项下的货物及服务的合格性符合</w:t>
      </w:r>
      <w:r>
        <w:rPr>
          <w:rFonts w:hint="eastAsia" w:ascii="仿宋" w:hAnsi="仿宋" w:eastAsia="仿宋" w:cs="仿宋"/>
          <w:sz w:val="24"/>
          <w:szCs w:val="24"/>
          <w:lang w:eastAsia="zh-CN"/>
        </w:rPr>
        <w:t>谈判</w:t>
      </w:r>
      <w:r>
        <w:rPr>
          <w:rFonts w:hint="eastAsia" w:ascii="仿宋" w:hAnsi="仿宋" w:eastAsia="仿宋" w:cs="仿宋"/>
          <w:sz w:val="24"/>
          <w:szCs w:val="24"/>
        </w:rPr>
        <w:t>文件规定。该证明文件是投标文件的一部分。上款所述的证明文件，可以是文字资料、图纸和数据。</w:t>
      </w:r>
    </w:p>
    <w:p w14:paraId="019A6F3D">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可提供</w:t>
      </w:r>
      <w:r>
        <w:rPr>
          <w:rFonts w:hint="eastAsia" w:ascii="仿宋" w:hAnsi="仿宋" w:eastAsia="仿宋" w:cs="仿宋"/>
          <w:sz w:val="24"/>
          <w:szCs w:val="24"/>
        </w:rPr>
        <w:t>主要采购需求和性能的详细说明。</w:t>
      </w:r>
    </w:p>
    <w:p w14:paraId="0AC50294">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3.从采购方开始使用至</w:t>
      </w:r>
      <w:r>
        <w:rPr>
          <w:rFonts w:hint="eastAsia" w:ascii="仿宋" w:hAnsi="仿宋" w:eastAsia="仿宋" w:cs="仿宋"/>
          <w:sz w:val="24"/>
          <w:szCs w:val="24"/>
          <w:lang w:eastAsia="zh-CN"/>
        </w:rPr>
        <w:t>谈判</w:t>
      </w:r>
      <w:r>
        <w:rPr>
          <w:rFonts w:hint="eastAsia" w:ascii="仿宋" w:hAnsi="仿宋" w:eastAsia="仿宋" w:cs="仿宋"/>
          <w:sz w:val="24"/>
          <w:szCs w:val="24"/>
        </w:rPr>
        <w:t>文件规定的服务期内正常、连续地使用所必须的备件和专用工具清单，包括备件和专用工具的货源及现行价格。</w:t>
      </w:r>
    </w:p>
    <w:p w14:paraId="010923FA">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4.对照</w:t>
      </w:r>
      <w:r>
        <w:rPr>
          <w:rFonts w:hint="eastAsia" w:ascii="仿宋" w:hAnsi="仿宋" w:eastAsia="仿宋" w:cs="仿宋"/>
          <w:sz w:val="24"/>
          <w:szCs w:val="24"/>
          <w:lang w:eastAsia="zh-CN"/>
        </w:rPr>
        <w:t>谈判</w:t>
      </w:r>
      <w:r>
        <w:rPr>
          <w:rFonts w:hint="eastAsia" w:ascii="仿宋" w:hAnsi="仿宋" w:eastAsia="仿宋" w:cs="仿宋"/>
          <w:sz w:val="24"/>
          <w:szCs w:val="24"/>
        </w:rPr>
        <w:t>文件技术规格，逐条说明所提供服务已对</w:t>
      </w:r>
      <w:r>
        <w:rPr>
          <w:rFonts w:hint="eastAsia" w:ascii="仿宋" w:hAnsi="仿宋" w:eastAsia="仿宋" w:cs="仿宋"/>
          <w:sz w:val="24"/>
          <w:szCs w:val="24"/>
          <w:lang w:eastAsia="zh-CN"/>
        </w:rPr>
        <w:t>谈判</w:t>
      </w:r>
      <w:r>
        <w:rPr>
          <w:rFonts w:hint="eastAsia" w:ascii="仿宋" w:hAnsi="仿宋" w:eastAsia="仿宋" w:cs="仿宋"/>
          <w:sz w:val="24"/>
          <w:szCs w:val="24"/>
        </w:rPr>
        <w:t>文件的技术规格做出了实质性的响应，或申明与技术规格条文的偏差和例外。</w:t>
      </w:r>
    </w:p>
    <w:p w14:paraId="3F061528">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5.项目实施方案等；</w:t>
      </w:r>
    </w:p>
    <w:p w14:paraId="221DC4F6">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谈判</w:t>
      </w:r>
      <w:r>
        <w:rPr>
          <w:rFonts w:hint="eastAsia" w:ascii="仿宋" w:hAnsi="仿宋" w:eastAsia="仿宋" w:cs="仿宋"/>
          <w:sz w:val="24"/>
          <w:szCs w:val="24"/>
        </w:rPr>
        <w:t>文件要求的或</w:t>
      </w:r>
      <w:r>
        <w:rPr>
          <w:rFonts w:hint="eastAsia" w:ascii="仿宋" w:hAnsi="仿宋" w:eastAsia="仿宋" w:cs="仿宋"/>
          <w:sz w:val="24"/>
          <w:szCs w:val="24"/>
          <w:lang w:eastAsia="zh-CN"/>
        </w:rPr>
        <w:t>供应商</w:t>
      </w:r>
      <w:r>
        <w:rPr>
          <w:rFonts w:hint="eastAsia" w:ascii="仿宋" w:hAnsi="仿宋" w:eastAsia="仿宋" w:cs="仿宋"/>
          <w:sz w:val="24"/>
          <w:szCs w:val="24"/>
        </w:rPr>
        <w:t>认为有必要提供的其他技术文件；</w:t>
      </w:r>
    </w:p>
    <w:p w14:paraId="2A4129AA">
      <w:pPr>
        <w:pStyle w:val="156"/>
        <w:spacing w:line="360" w:lineRule="auto"/>
        <w:jc w:val="both"/>
        <w:outlineLvl w:val="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供应商</w:t>
      </w:r>
      <w:r>
        <w:rPr>
          <w:rFonts w:hint="eastAsia" w:ascii="仿宋" w:hAnsi="仿宋" w:eastAsia="仿宋" w:cs="仿宋"/>
          <w:sz w:val="24"/>
          <w:szCs w:val="24"/>
        </w:rPr>
        <w:t>认为其它需要说明的事宜。</w:t>
      </w:r>
    </w:p>
    <w:p w14:paraId="1515C9D2">
      <w:pPr>
        <w:pStyle w:val="156"/>
        <w:spacing w:line="360" w:lineRule="auto"/>
        <w:ind w:left="0" w:leftChars="0" w:firstLine="0" w:firstLineChars="0"/>
        <w:jc w:val="center"/>
        <w:outlineLvl w:val="0"/>
        <w:rPr>
          <w:rFonts w:hint="eastAsia" w:ascii="仿宋" w:hAnsi="仿宋" w:eastAsia="仿宋" w:cs="仿宋"/>
          <w:b/>
          <w:sz w:val="32"/>
          <w:szCs w:val="32"/>
        </w:rPr>
      </w:pPr>
      <w:r>
        <w:rPr>
          <w:rFonts w:hint="eastAsia" w:ascii="仿宋" w:hAnsi="仿宋" w:eastAsia="仿宋" w:cs="仿宋"/>
          <w:sz w:val="24"/>
          <w:szCs w:val="24"/>
        </w:rPr>
        <w:br w:type="page"/>
      </w:r>
      <w:bookmarkStart w:id="404" w:name="_Toc9206"/>
      <w:bookmarkStart w:id="405" w:name="_Toc31714"/>
      <w:bookmarkStart w:id="406" w:name="_Toc14050"/>
      <w:bookmarkStart w:id="407" w:name="_Toc18099"/>
      <w:bookmarkStart w:id="408" w:name="_Toc2353"/>
      <w:r>
        <w:rPr>
          <w:rFonts w:hint="eastAsia" w:ascii="仿宋" w:hAnsi="仿宋" w:eastAsia="仿宋" w:cs="仿宋"/>
          <w:b/>
          <w:sz w:val="32"/>
          <w:szCs w:val="32"/>
        </w:rPr>
        <w:t>附件1</w:t>
      </w:r>
      <w:r>
        <w:rPr>
          <w:rFonts w:hint="eastAsia" w:ascii="仿宋" w:hAnsi="仿宋" w:eastAsia="仿宋" w:cs="仿宋"/>
          <w:b/>
          <w:sz w:val="32"/>
          <w:szCs w:val="32"/>
          <w:lang w:val="en-US" w:eastAsia="zh-CN"/>
        </w:rPr>
        <w:t>1</w:t>
      </w:r>
      <w:r>
        <w:rPr>
          <w:rFonts w:hint="eastAsia" w:ascii="仿宋" w:hAnsi="仿宋" w:eastAsia="仿宋" w:cs="仿宋"/>
          <w:b/>
          <w:sz w:val="32"/>
          <w:szCs w:val="32"/>
        </w:rPr>
        <w:t xml:space="preserve">  售后服务方案</w:t>
      </w:r>
      <w:bookmarkEnd w:id="404"/>
      <w:bookmarkEnd w:id="405"/>
      <w:bookmarkEnd w:id="406"/>
      <w:bookmarkEnd w:id="407"/>
      <w:bookmarkEnd w:id="408"/>
    </w:p>
    <w:p w14:paraId="628F3ED5">
      <w:pPr>
        <w:spacing w:before="0" w:line="240" w:lineRule="auto"/>
        <w:ind w:right="0"/>
        <w:rPr>
          <w:rFonts w:hint="eastAsia" w:ascii="仿宋" w:hAnsi="仿宋" w:eastAsia="仿宋" w:cs="仿宋"/>
          <w:bCs/>
          <w:spacing w:val="10"/>
          <w:kern w:val="0"/>
          <w:sz w:val="24"/>
          <w:szCs w:val="24"/>
        </w:rPr>
      </w:pPr>
      <w:r>
        <w:rPr>
          <w:rFonts w:hint="eastAsia" w:ascii="仿宋" w:hAnsi="仿宋" w:eastAsia="仿宋" w:cs="仿宋"/>
          <w:bCs/>
          <w:spacing w:val="10"/>
          <w:kern w:val="0"/>
          <w:sz w:val="24"/>
          <w:szCs w:val="24"/>
          <w:lang w:eastAsia="zh-CN"/>
        </w:rPr>
        <w:t>投标供应商</w:t>
      </w:r>
      <w:r>
        <w:rPr>
          <w:rFonts w:hint="eastAsia" w:ascii="仿宋" w:hAnsi="仿宋" w:eastAsia="仿宋" w:cs="仿宋"/>
          <w:bCs/>
          <w:spacing w:val="10"/>
          <w:kern w:val="0"/>
          <w:sz w:val="24"/>
          <w:szCs w:val="24"/>
        </w:rPr>
        <w:t>需提供售后服务方案，方案内容包括但不限于：</w:t>
      </w:r>
    </w:p>
    <w:p w14:paraId="7E9AFA4C">
      <w:pPr>
        <w:spacing w:before="0" w:line="240" w:lineRule="auto"/>
        <w:ind w:right="0"/>
        <w:rPr>
          <w:rFonts w:hint="eastAsia" w:ascii="仿宋" w:hAnsi="仿宋" w:eastAsia="仿宋" w:cs="仿宋"/>
          <w:bCs/>
          <w:spacing w:val="10"/>
          <w:kern w:val="0"/>
          <w:sz w:val="24"/>
          <w:szCs w:val="24"/>
        </w:rPr>
      </w:pPr>
      <w:r>
        <w:rPr>
          <w:rFonts w:hint="eastAsia" w:ascii="仿宋" w:hAnsi="仿宋" w:eastAsia="仿宋" w:cs="仿宋"/>
          <w:bCs/>
          <w:spacing w:val="10"/>
          <w:kern w:val="0"/>
          <w:sz w:val="24"/>
          <w:szCs w:val="24"/>
          <w:lang w:val="en-US" w:eastAsia="zh-CN"/>
        </w:rPr>
        <w:t>1</w:t>
      </w:r>
      <w:r>
        <w:rPr>
          <w:rFonts w:hint="eastAsia" w:ascii="仿宋" w:hAnsi="仿宋" w:eastAsia="仿宋" w:cs="仿宋"/>
          <w:bCs/>
          <w:spacing w:val="10"/>
          <w:kern w:val="0"/>
          <w:sz w:val="24"/>
          <w:szCs w:val="24"/>
        </w:rPr>
        <w:t>.售后服务内容</w:t>
      </w:r>
      <w:r>
        <w:rPr>
          <w:rFonts w:hint="eastAsia" w:ascii="仿宋" w:hAnsi="仿宋" w:eastAsia="仿宋" w:cs="仿宋"/>
          <w:bCs/>
          <w:spacing w:val="10"/>
          <w:kern w:val="0"/>
          <w:sz w:val="24"/>
          <w:szCs w:val="24"/>
          <w:lang w:eastAsia="zh-CN"/>
        </w:rPr>
        <w:t>（</w:t>
      </w:r>
      <w:r>
        <w:rPr>
          <w:rFonts w:hint="eastAsia" w:ascii="仿宋" w:hAnsi="仿宋" w:eastAsia="仿宋" w:cs="仿宋"/>
          <w:bCs/>
          <w:spacing w:val="10"/>
          <w:kern w:val="0"/>
          <w:sz w:val="24"/>
          <w:szCs w:val="24"/>
          <w:lang w:val="en-US" w:eastAsia="zh-CN"/>
        </w:rPr>
        <w:t>包含质保期2年等内容</w:t>
      </w:r>
      <w:r>
        <w:rPr>
          <w:rFonts w:hint="eastAsia" w:ascii="仿宋" w:hAnsi="仿宋" w:eastAsia="仿宋" w:cs="仿宋"/>
          <w:bCs/>
          <w:spacing w:val="10"/>
          <w:kern w:val="0"/>
          <w:sz w:val="24"/>
          <w:szCs w:val="24"/>
          <w:lang w:eastAsia="zh-CN"/>
        </w:rPr>
        <w:t>）</w:t>
      </w:r>
      <w:r>
        <w:rPr>
          <w:rFonts w:hint="eastAsia" w:ascii="仿宋" w:hAnsi="仿宋" w:eastAsia="仿宋" w:cs="仿宋"/>
          <w:bCs/>
          <w:spacing w:val="10"/>
          <w:kern w:val="0"/>
          <w:sz w:val="24"/>
          <w:szCs w:val="24"/>
        </w:rPr>
        <w:t>；</w:t>
      </w:r>
    </w:p>
    <w:p w14:paraId="20FF238B">
      <w:pPr>
        <w:spacing w:before="0" w:line="240" w:lineRule="auto"/>
        <w:ind w:right="0"/>
        <w:rPr>
          <w:rFonts w:hint="eastAsia" w:ascii="仿宋" w:hAnsi="仿宋" w:eastAsia="仿宋" w:cs="仿宋"/>
          <w:bCs/>
          <w:spacing w:val="10"/>
          <w:kern w:val="0"/>
          <w:sz w:val="24"/>
          <w:szCs w:val="24"/>
        </w:rPr>
      </w:pPr>
      <w:r>
        <w:rPr>
          <w:rFonts w:hint="eastAsia" w:ascii="仿宋" w:hAnsi="仿宋" w:eastAsia="仿宋" w:cs="仿宋"/>
          <w:bCs/>
          <w:spacing w:val="10"/>
          <w:kern w:val="0"/>
          <w:sz w:val="24"/>
          <w:szCs w:val="24"/>
          <w:lang w:val="en-US" w:eastAsia="zh-CN"/>
        </w:rPr>
        <w:t>2</w:t>
      </w:r>
      <w:r>
        <w:rPr>
          <w:rFonts w:hint="eastAsia" w:ascii="仿宋" w:hAnsi="仿宋" w:eastAsia="仿宋" w:cs="仿宋"/>
          <w:bCs/>
          <w:spacing w:val="10"/>
          <w:kern w:val="0"/>
          <w:sz w:val="24"/>
          <w:szCs w:val="24"/>
        </w:rPr>
        <w:t>.服务方式；</w:t>
      </w:r>
    </w:p>
    <w:p w14:paraId="5E991727">
      <w:pPr>
        <w:rPr>
          <w:rFonts w:hint="eastAsia" w:ascii="仿宋" w:hAnsi="仿宋" w:eastAsia="仿宋" w:cs="仿宋"/>
          <w:bCs/>
          <w:spacing w:val="10"/>
          <w:kern w:val="0"/>
          <w:sz w:val="24"/>
          <w:szCs w:val="24"/>
        </w:rPr>
      </w:pPr>
      <w:r>
        <w:rPr>
          <w:rFonts w:hint="eastAsia" w:ascii="仿宋" w:hAnsi="仿宋" w:eastAsia="仿宋" w:cs="仿宋"/>
          <w:bCs/>
          <w:spacing w:val="10"/>
          <w:kern w:val="0"/>
          <w:sz w:val="24"/>
          <w:szCs w:val="24"/>
          <w:lang w:val="en-US" w:eastAsia="zh-CN"/>
        </w:rPr>
        <w:t>3</w:t>
      </w:r>
      <w:r>
        <w:rPr>
          <w:rFonts w:hint="eastAsia" w:ascii="仿宋" w:hAnsi="仿宋" w:eastAsia="仿宋" w:cs="仿宋"/>
          <w:bCs/>
          <w:spacing w:val="10"/>
          <w:kern w:val="0"/>
          <w:sz w:val="24"/>
          <w:szCs w:val="24"/>
        </w:rPr>
        <w:t>.售后人员配备及相对应的保障措施</w:t>
      </w:r>
      <w:r>
        <w:rPr>
          <w:rFonts w:hint="eastAsia" w:ascii="仿宋" w:hAnsi="仿宋" w:eastAsia="仿宋" w:cs="仿宋"/>
          <w:bCs/>
          <w:spacing w:val="10"/>
          <w:kern w:val="0"/>
          <w:sz w:val="24"/>
          <w:szCs w:val="24"/>
          <w:lang w:eastAsia="zh-CN"/>
        </w:rPr>
        <w:t>（</w:t>
      </w:r>
      <w:r>
        <w:rPr>
          <w:rFonts w:hint="eastAsia" w:ascii="仿宋" w:hAnsi="仿宋" w:eastAsia="仿宋" w:cs="仿宋"/>
          <w:bCs/>
          <w:spacing w:val="10"/>
          <w:kern w:val="0"/>
          <w:sz w:val="24"/>
          <w:szCs w:val="24"/>
          <w:lang w:val="en-US" w:eastAsia="zh-CN"/>
        </w:rPr>
        <w:t>如车辆、工器具等</w:t>
      </w:r>
      <w:r>
        <w:rPr>
          <w:rFonts w:hint="eastAsia" w:ascii="仿宋" w:hAnsi="仿宋" w:eastAsia="仿宋" w:cs="仿宋"/>
          <w:bCs/>
          <w:spacing w:val="10"/>
          <w:kern w:val="0"/>
          <w:sz w:val="24"/>
          <w:szCs w:val="24"/>
          <w:lang w:eastAsia="zh-CN"/>
        </w:rPr>
        <w:t>）</w:t>
      </w:r>
    </w:p>
    <w:p w14:paraId="25AA37EC">
      <w:pPr>
        <w:spacing w:line="380" w:lineRule="exact"/>
        <w:rPr>
          <w:rFonts w:hint="eastAsia" w:ascii="仿宋" w:hAnsi="仿宋" w:eastAsia="仿宋" w:cs="仿宋"/>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Swis721 Blk BT">
    <w:altName w:val="Microsoft YaHei UI"/>
    <w:panose1 w:val="020B0904030502020204"/>
    <w:charset w:val="00"/>
    <w:family w:val="swiss"/>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8399">
    <w:pPr>
      <w:pStyle w:val="30"/>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C69D">
    <w:pPr>
      <w:pStyle w:val="30"/>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6C713">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A6C713">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3E54">
    <w:pPr>
      <w:pStyle w:val="3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24B115">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D24B115">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0B6DFEC2">
    <w:pPr>
      <w:spacing w:line="188" w:lineRule="auto"/>
      <w:ind w:left="4084"/>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5C589">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D0ACE">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71D0ACE">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1"/>
        <w:sz w:val="17"/>
        <w:szCs w:val="17"/>
      </w:rPr>
      <w:t>2</w:t>
    </w:r>
    <w:r>
      <w:rPr>
        <w:rFonts w:ascii="Calibri" w:hAnsi="Calibri" w:eastAsia="Calibri" w:cs="Calibri"/>
        <w:sz w:val="17"/>
        <w:szCs w:val="17"/>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EE61">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B185F">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4CB185F">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1EEC">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66747">
                          <w:pPr>
                            <w:pStyle w:val="30"/>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A166747">
                    <w:pPr>
                      <w:pStyle w:val="3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052F6CC3">
    <w:pPr>
      <w:pStyle w:val="3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E794">
    <w:pPr>
      <w:pStyle w:val="2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3702050</wp:posOffset>
              </wp:positionH>
              <wp:positionV relativeFrom="page">
                <wp:posOffset>9893935</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07A894D">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5pt;margin-top:779.05pt;height:12pt;width:13.1pt;mso-position-horizontal-relative:page;mso-position-vertical-relative:page;z-index:-251657216;mso-width-relative:page;mso-height-relative:page;" filled="f" stroked="f" coordsize="21600,21600" o:gfxdata="UEsDBAoAAAAAAIdO4kAAAAAAAAAAAAAAAAAEAAAAZHJzL1BLAwQUAAAACACHTuJAMJTZFtoAAAAN&#10;AQAADwAAAGRycy9kb3ducmV2LnhtbE2PzU7DMBCE70i8g7VI3KidoERpiFMhBCckRBoOHJ3YTazG&#10;6xC7P7w92xM97sxo9ptqc3YTO5olWI8SkpUAZrD32uIg4at9eyiAhahQq8mjkfBrAmzq25tKldqf&#10;sDHHbRwYlWAolYQxxrnkPPSjcSqs/GyQvJ1fnIp0LgPXizpRuZt4KkTOnbJIH0Y1m5fR9PvtwUl4&#10;/sbm1f58dJ/NrrFtuxb4nu+lvL9LxBOwaM7xPwwXfEKHmpg6f0Ad2CQhKx5pSyQjy4oEGEVysU6B&#10;dRepSBPgdcWvV9R/UEsDBBQAAAAIAIdO4kAF4AakugEAAHEDAAAOAAAAZHJzL2Uyb0RvYy54bWyt&#10;U0uOEzEQ3SNxB8t74k4YklErnZFQNCMkBEgzcwDHbact+aeyk+5cAG7Aig17zpVzUHbSGRg2s2Dj&#10;LleVn9975V7eDNaQvYSovWvodFJRIp3wrXbbhj4+3L65piQm7lpuvJMNPchIb1avXy37UMuZ77xp&#10;JRAEcbHuQ0O7lELNWBSdtDxOfJAOi8qD5Qm3sGUt8B7RrWGzqpqz3kMbwAsZI2bXpyI9I8JLAL1S&#10;Wsi1FzsrXTqhgjQ8oaTY6RDpqrBVSor0WakoEzENRaWprHgJxpu8stWS11vgodPiTIG/hMIzTZZr&#10;h5deoNY8cbID/Q+U1QJ89CpNhLfsJKQ4giqm1TNv7jseZNGCVsdwMT3+P1jxaf8FiG4buqDEcYsD&#10;P37/dvzx6/jzK1lke/oQa+y6D9iXhvd+wEcz5iMms+pBgc1f1EOwjuYeLubKIRGRD83nbxdYEVia&#10;vptdVcV89nQ4QEx30luSg4YCzq5YyvcfY0Ii2Dq25Lucv9XGlPkZ91cCG3OGZeYnhjlKw2Y4y9n4&#10;9oBqzAe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TZFtoAAAANAQAADwAAAAAAAAABACAAAAAiAAAAZHJzL2Rvd25yZXYueG1sUEsB&#10;AhQAFAAAAAgAh07iQAXgBqS6AQAAcQMAAA4AAAAAAAAAAQAgAAAAKQEAAGRycy9lMm9Eb2MueG1s&#10;UEsFBgAAAAAGAAYAWQEAAFUFAAAAAA==&#10;">
              <v:fill on="f" focussize="0,0"/>
              <v:stroke on="f"/>
              <v:imagedata o:title=""/>
              <o:lock v:ext="edit" aspectratio="f"/>
              <v:textbox inset="0mm,0mm,0mm,0mm">
                <w:txbxContent>
                  <w:p w14:paraId="007A894D">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3B51">
    <w:pPr>
      <w:ind w:firstLine="576"/>
    </w:pPr>
    <w:r>
      <mc:AlternateContent>
        <mc:Choice Requires="wps">
          <w:drawing>
            <wp:anchor distT="0" distB="0" distL="114300" distR="114300" simplePos="0" relativeHeight="251711488"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A6B14F0"/>
                      </w:txbxContent>
                    </wps:txbx>
                    <wps:bodyPr wrap="none" lIns="0" tIns="0" rIns="0" bIns="0">
                      <a:spAutoFit/>
                    </wps:bodyPr>
                  </wps:wsp>
                </a:graphicData>
              </a:graphic>
            </wp:anchor>
          </w:drawing>
        </mc:Choice>
        <mc:Fallback>
          <w:pict>
            <v:shape id="_x0000_s1026" o:spid="_x0000_s1026" o:spt="202" type="#_x0000_t202" style="position:absolute;left:0pt;margin-left:173.85pt;margin-top:-1.35pt;height:144pt;width:144pt;mso-position-horizontal-relative:margin;mso-wrap-style:none;z-index:251711488;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BuNaw70AEAAKYDAAAOAAAAZHJzL2Uyb0RvYy54bWytU02O&#10;0zAU3iNxB8t7mkylqUpUdwSqBiEhQBo4gOvYjSX/yc9t0gvADVixYc+5eg6enaSDhs0s2CTvz5/f&#10;973nzd1gDTnJCNo7Rm8WNSXSCd9qd2D065f7V2tKIHHXcuOdZPQsgd5tX77Y9KGRS99508pIEMRB&#10;0wdGu5RCU1UgOmk5LHyQDpPKR8sTuvFQtZH3iG5NtazrVdX72IbohQTA6G5M0gkxPgfQK6WF3Hlx&#10;tNKlETVKwxNSgk4HoNvSrVJSpE9KgUzEMIpMU/niJWjv87fabnhziDx0Wkwt8Oe08IST5drhpVeo&#10;HU+cHKP+B8pqET14lRbC22okUhRBFjf1E20eOh5k4YJSQ7iKDv8PVnw8fY5Et4yuVpQ4bnHilx/f&#10;Lz9/X359IxhDgfoADdY9BKxMw1s/4NrMccBg5j2oaPMfGRHMo7znq7xySETkQ+vlel1jSmBudhC/&#10;ejweIqR30luSDUYjzq/Iyk8fII2lc0m+zfl7bUyZoXGkZ/T17fK2HLhmENy4XCvLNkwwmdLYerbS&#10;sB8mnnvfnpFmjxvBqMMHQIl571DwvDyzEWdjPxkZH8KbY8J+SpsZdYRCetnB8RWi06rl/fjbL1WP&#10;z2v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9vxYvXAAAACgEAAA8AAAAAAAAAAQAgAAAAIgAA&#10;AGRycy9kb3ducmV2LnhtbFBLAQIUABQAAAAIAIdO4kBuNaw70AEAAKYDAAAOAAAAAAAAAAEAIAAA&#10;ACYBAABkcnMvZTJvRG9jLnhtbFBLBQYAAAAABgAGAFkBAABoBQAAAAA=&#10;">
              <v:fill on="f" focussize="0,0"/>
              <v:stroke on="f"/>
              <v:imagedata o:title=""/>
              <o:lock v:ext="edit" aspectratio="f"/>
              <v:textbox inset="0mm,0mm,0mm,0mm" style="mso-fit-shape-to-text:t;">
                <w:txbxContent>
                  <w:p w14:paraId="3A6B14F0"/>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BF8A">
    <w:pPr>
      <w:pStyle w:val="30"/>
      <w:rPr>
        <w:rFonts w:ascii="宋体" w:hAns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1132">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78603F">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378603F">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1828EF19">
    <w:pPr>
      <w:pStyle w:val="3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F369">
    <w:pPr>
      <w:pStyle w:val="32"/>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08C3">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9A0C">
    <w:pPr>
      <w:pBdr>
        <w:bottom w:val="none" w:color="auto" w:sz="0" w:space="0"/>
      </w:pBdr>
      <w:bidi w:val="0"/>
      <w:jc w:val="center"/>
      <w:rPr>
        <w:rFonts w:hint="eastAsia" w:ascii="Swis721 Blk BT"/>
        <w:lang w:eastAsia="zh-CN"/>
      </w:rPr>
    </w:pPr>
  </w:p>
  <w:p w14:paraId="791E5ED9">
    <w:pPr>
      <w:pBdr>
        <w:bottom w:val="none" w:color="auto" w:sz="0" w:space="0"/>
      </w:pBdr>
      <w:bidi w:val="0"/>
      <w:jc w:val="center"/>
      <w:rPr>
        <w:rFonts w:hint="eastAsia" w:ascii="宋体" w:hAnsi="宋体" w:eastAsia="宋体" w:cs="宋体"/>
        <w:sz w:val="16"/>
        <w:szCs w:val="16"/>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C94B">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8D951"/>
    <w:multiLevelType w:val="singleLevel"/>
    <w:tmpl w:val="CE48D951"/>
    <w:lvl w:ilvl="0" w:tentative="0">
      <w:start w:val="1"/>
      <w:numFmt w:val="decimal"/>
      <w:pStyle w:val="80"/>
      <w:suff w:val="nothing"/>
      <w:lvlText w:val="%1、"/>
      <w:lvlJc w:val="left"/>
    </w:lvl>
  </w:abstractNum>
  <w:abstractNum w:abstractNumId="1">
    <w:nsid w:val="D02EBE38"/>
    <w:multiLevelType w:val="singleLevel"/>
    <w:tmpl w:val="D02EBE38"/>
    <w:lvl w:ilvl="0" w:tentative="0">
      <w:start w:val="1"/>
      <w:numFmt w:val="decimal"/>
      <w:suff w:val="nothing"/>
      <w:lvlText w:val="%1、"/>
      <w:lvlJc w:val="left"/>
    </w:lvl>
  </w:abstractNum>
  <w:abstractNum w:abstractNumId="2">
    <w:nsid w:val="D51A1115"/>
    <w:multiLevelType w:val="singleLevel"/>
    <w:tmpl w:val="D51A1115"/>
    <w:lvl w:ilvl="0" w:tentative="0">
      <w:start w:val="2"/>
      <w:numFmt w:val="chineseCounting"/>
      <w:suff w:val="space"/>
      <w:lvlText w:val="第%1章"/>
      <w:lvlJc w:val="left"/>
      <w:rPr>
        <w:rFonts w:hint="eastAsia"/>
      </w:rPr>
    </w:lvl>
  </w:abstractNum>
  <w:abstractNum w:abstractNumId="3">
    <w:nsid w:val="EFB0A198"/>
    <w:multiLevelType w:val="singleLevel"/>
    <w:tmpl w:val="EFB0A198"/>
    <w:lvl w:ilvl="0" w:tentative="0">
      <w:start w:val="7"/>
      <w:numFmt w:val="chineseCounting"/>
      <w:suff w:val="space"/>
      <w:lvlText w:val="第%1章"/>
      <w:lvlJc w:val="left"/>
      <w:pPr>
        <w:ind w:left="630"/>
      </w:pPr>
      <w:rPr>
        <w:rFonts w:hint="eastAsia"/>
      </w:rPr>
    </w:lvl>
  </w:abstractNum>
  <w:abstractNum w:abstractNumId="4">
    <w:nsid w:val="0000000C"/>
    <w:multiLevelType w:val="multilevel"/>
    <w:tmpl w:val="0000000C"/>
    <w:lvl w:ilvl="0" w:tentative="0">
      <w:start w:val="2"/>
      <w:numFmt w:val="decimal"/>
      <w:pStyle w:val="56"/>
      <w:suff w:val="nothing"/>
      <w:lvlText w:val="%1、"/>
      <w:lvlJc w:val="left"/>
    </w:lvl>
    <w:lvl w:ilvl="1" w:tentative="0">
      <w:start w:val="1"/>
      <w:numFmt w:val="decimal"/>
      <w:pStyle w:val="79"/>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7"/>
      <w:lvlText w:val="%4)"/>
      <w:lvlJc w:val="left"/>
      <w:pPr>
        <w:tabs>
          <w:tab w:val="left" w:pos="1680"/>
        </w:tabs>
        <w:ind w:left="1680" w:hanging="420"/>
      </w:pPr>
      <w:rPr>
        <w:rFonts w:hint="default"/>
      </w:rPr>
    </w:lvl>
    <w:lvl w:ilvl="4" w:tentative="0">
      <w:start w:val="1"/>
      <w:numFmt w:val="lowerLetter"/>
      <w:pStyle w:val="8"/>
      <w:lvlText w:val="%5."/>
      <w:lvlJc w:val="left"/>
      <w:pPr>
        <w:tabs>
          <w:tab w:val="left" w:pos="2100"/>
        </w:tabs>
        <w:ind w:left="2100" w:hanging="420"/>
      </w:pPr>
      <w:rPr>
        <w:rFonts w:hint="default"/>
      </w:rPr>
    </w:lvl>
    <w:lvl w:ilvl="5" w:tentative="0">
      <w:start w:val="1"/>
      <w:numFmt w:val="lowerLetter"/>
      <w:pStyle w:val="9"/>
      <w:lvlText w:val="%6)"/>
      <w:lvlJc w:val="left"/>
      <w:pPr>
        <w:tabs>
          <w:tab w:val="left" w:pos="2520"/>
        </w:tabs>
        <w:ind w:left="2520" w:hanging="420"/>
      </w:pPr>
      <w:rPr>
        <w:rFonts w:hint="default"/>
      </w:rPr>
    </w:lvl>
    <w:lvl w:ilvl="6" w:tentative="0">
      <w:start w:val="1"/>
      <w:numFmt w:val="lowerRoman"/>
      <w:pStyle w:val="10"/>
      <w:lvlText w:val="%7."/>
      <w:lvlJc w:val="left"/>
      <w:pPr>
        <w:tabs>
          <w:tab w:val="left" w:pos="2940"/>
        </w:tabs>
        <w:ind w:left="2940" w:hanging="420"/>
      </w:pPr>
      <w:rPr>
        <w:rFonts w:hint="default"/>
      </w:rPr>
    </w:lvl>
    <w:lvl w:ilvl="7" w:tentative="0">
      <w:start w:val="1"/>
      <w:numFmt w:val="lowerRoman"/>
      <w:pStyle w:val="11"/>
      <w:lvlText w:val="%8)"/>
      <w:lvlJc w:val="left"/>
      <w:pPr>
        <w:tabs>
          <w:tab w:val="left" w:pos="3360"/>
        </w:tabs>
        <w:ind w:left="3360" w:hanging="420"/>
      </w:pPr>
      <w:rPr>
        <w:rFonts w:hint="default"/>
      </w:rPr>
    </w:lvl>
    <w:lvl w:ilvl="8" w:tentative="0">
      <w:start w:val="1"/>
      <w:numFmt w:val="lowerLetter"/>
      <w:pStyle w:val="12"/>
      <w:lvlText w:val="%9."/>
      <w:lvlJc w:val="left"/>
      <w:pPr>
        <w:tabs>
          <w:tab w:val="left" w:pos="3780"/>
        </w:tabs>
        <w:ind w:left="3780" w:hanging="420"/>
      </w:pPr>
      <w:rPr>
        <w:rFonts w:hint="default"/>
      </w:rPr>
    </w:lvl>
  </w:abstractNum>
  <w:abstractNum w:abstractNumId="5">
    <w:nsid w:val="19C5E42D"/>
    <w:multiLevelType w:val="singleLevel"/>
    <w:tmpl w:val="19C5E42D"/>
    <w:lvl w:ilvl="0" w:tentative="0">
      <w:start w:val="1"/>
      <w:numFmt w:val="decimal"/>
      <w:pStyle w:val="15"/>
      <w:lvlText w:val="%1."/>
      <w:lvlJc w:val="left"/>
      <w:pPr>
        <w:tabs>
          <w:tab w:val="left" w:pos="360"/>
        </w:tabs>
        <w:ind w:left="360" w:hanging="360"/>
      </w:pPr>
    </w:lvl>
  </w:abstractNum>
  <w:abstractNum w:abstractNumId="6">
    <w:nsid w:val="323AA98F"/>
    <w:multiLevelType w:val="singleLevel"/>
    <w:tmpl w:val="323AA98F"/>
    <w:lvl w:ilvl="0" w:tentative="0">
      <w:start w:val="12"/>
      <w:numFmt w:val="decimal"/>
      <w:suff w:val="nothing"/>
      <w:lvlText w:val="%1、"/>
      <w:lvlJc w:val="left"/>
    </w:lvl>
  </w:abstractNum>
  <w:abstractNum w:abstractNumId="7">
    <w:nsid w:val="635D2DBE"/>
    <w:multiLevelType w:val="singleLevel"/>
    <w:tmpl w:val="635D2DBE"/>
    <w:lvl w:ilvl="0" w:tentative="0">
      <w:start w:val="1"/>
      <w:numFmt w:val="decimal"/>
      <w:suff w:val="nothing"/>
      <w:lvlText w:val="%1、"/>
      <w:lvlJc w:val="left"/>
      <w:pPr>
        <w:ind w:left="386" w:firstLine="0"/>
      </w:pPr>
    </w:lvl>
  </w:abstractNum>
  <w:abstractNum w:abstractNumId="8">
    <w:nsid w:val="6B6EE266"/>
    <w:multiLevelType w:val="singleLevel"/>
    <w:tmpl w:val="6B6EE266"/>
    <w:lvl w:ilvl="0" w:tentative="0">
      <w:start w:val="3"/>
      <w:numFmt w:val="chineseCounting"/>
      <w:suff w:val="nothing"/>
      <w:lvlText w:val="%1、"/>
      <w:lvlJc w:val="left"/>
      <w:rPr>
        <w:rFonts w:hint="eastAsia"/>
      </w:rPr>
    </w:lvl>
  </w:abstractNum>
  <w:num w:numId="1">
    <w:abstractNumId w:val="4"/>
  </w:num>
  <w:num w:numId="2">
    <w:abstractNumId w:val="5"/>
  </w:num>
  <w:num w:numId="3">
    <w:abstractNumId w:val="0"/>
  </w:num>
  <w:num w:numId="4">
    <w:abstractNumId w:val="2"/>
  </w:num>
  <w:num w:numId="5">
    <w:abstractNumId w:val="8"/>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DUyYWViNGNkODYzZGNlN2FhN2Q1MDI5ZDFiZGYifQ=="/>
  </w:docVars>
  <w:rsids>
    <w:rsidRoot w:val="00172A27"/>
    <w:rsid w:val="000F78F8"/>
    <w:rsid w:val="00164C33"/>
    <w:rsid w:val="00215C08"/>
    <w:rsid w:val="002F5EFC"/>
    <w:rsid w:val="002F6D43"/>
    <w:rsid w:val="004852A3"/>
    <w:rsid w:val="006843FA"/>
    <w:rsid w:val="006A7838"/>
    <w:rsid w:val="00735ACC"/>
    <w:rsid w:val="0078578F"/>
    <w:rsid w:val="00844169"/>
    <w:rsid w:val="00870BAE"/>
    <w:rsid w:val="009D1D6B"/>
    <w:rsid w:val="00A54779"/>
    <w:rsid w:val="00B42D9D"/>
    <w:rsid w:val="00B71FBF"/>
    <w:rsid w:val="00C56DFF"/>
    <w:rsid w:val="00D41950"/>
    <w:rsid w:val="00D4336C"/>
    <w:rsid w:val="00D70EA7"/>
    <w:rsid w:val="00E77F2B"/>
    <w:rsid w:val="00E83F8F"/>
    <w:rsid w:val="00EF1595"/>
    <w:rsid w:val="00F564C7"/>
    <w:rsid w:val="00FD7FED"/>
    <w:rsid w:val="017753C6"/>
    <w:rsid w:val="017F5739"/>
    <w:rsid w:val="01882F2E"/>
    <w:rsid w:val="018A7679"/>
    <w:rsid w:val="01916D9E"/>
    <w:rsid w:val="01A26771"/>
    <w:rsid w:val="01A74FC8"/>
    <w:rsid w:val="01B031C8"/>
    <w:rsid w:val="01D10442"/>
    <w:rsid w:val="01E951BF"/>
    <w:rsid w:val="022A7A8C"/>
    <w:rsid w:val="024A0BA6"/>
    <w:rsid w:val="025678F5"/>
    <w:rsid w:val="02647AD4"/>
    <w:rsid w:val="029167E5"/>
    <w:rsid w:val="02A14C7A"/>
    <w:rsid w:val="02B62DA2"/>
    <w:rsid w:val="02DA6FE9"/>
    <w:rsid w:val="02EB4148"/>
    <w:rsid w:val="03164A81"/>
    <w:rsid w:val="03793B97"/>
    <w:rsid w:val="03895ADE"/>
    <w:rsid w:val="03CA7259"/>
    <w:rsid w:val="03D604BB"/>
    <w:rsid w:val="04257B1C"/>
    <w:rsid w:val="0462668B"/>
    <w:rsid w:val="048C2C9E"/>
    <w:rsid w:val="04B213C1"/>
    <w:rsid w:val="04B54A0D"/>
    <w:rsid w:val="04C04534"/>
    <w:rsid w:val="04D07A99"/>
    <w:rsid w:val="04EE6171"/>
    <w:rsid w:val="04F20AE5"/>
    <w:rsid w:val="04FD70C7"/>
    <w:rsid w:val="0510448D"/>
    <w:rsid w:val="054933A7"/>
    <w:rsid w:val="05536562"/>
    <w:rsid w:val="055920B6"/>
    <w:rsid w:val="05621F2C"/>
    <w:rsid w:val="05692D56"/>
    <w:rsid w:val="05DC228D"/>
    <w:rsid w:val="05F00FB5"/>
    <w:rsid w:val="060747A6"/>
    <w:rsid w:val="060C2D53"/>
    <w:rsid w:val="060D148A"/>
    <w:rsid w:val="062B7991"/>
    <w:rsid w:val="06691F53"/>
    <w:rsid w:val="066B5890"/>
    <w:rsid w:val="06717375"/>
    <w:rsid w:val="06AF013D"/>
    <w:rsid w:val="06ED232C"/>
    <w:rsid w:val="06F9464B"/>
    <w:rsid w:val="07436C5F"/>
    <w:rsid w:val="079D7849"/>
    <w:rsid w:val="07B25F62"/>
    <w:rsid w:val="07BA1167"/>
    <w:rsid w:val="07E15CC2"/>
    <w:rsid w:val="082F3FD3"/>
    <w:rsid w:val="08C17437"/>
    <w:rsid w:val="08F655F4"/>
    <w:rsid w:val="094D1F28"/>
    <w:rsid w:val="095C4021"/>
    <w:rsid w:val="097A4F8F"/>
    <w:rsid w:val="099A5D5B"/>
    <w:rsid w:val="0A035572"/>
    <w:rsid w:val="0A124C34"/>
    <w:rsid w:val="0A3379CB"/>
    <w:rsid w:val="0A3E13D9"/>
    <w:rsid w:val="0A8214DE"/>
    <w:rsid w:val="0A932CCA"/>
    <w:rsid w:val="0AD1579D"/>
    <w:rsid w:val="0AE305BC"/>
    <w:rsid w:val="0B306B9A"/>
    <w:rsid w:val="0B380146"/>
    <w:rsid w:val="0B410F8B"/>
    <w:rsid w:val="0B58238F"/>
    <w:rsid w:val="0B7E012E"/>
    <w:rsid w:val="0B8C1F3D"/>
    <w:rsid w:val="0B8E7D66"/>
    <w:rsid w:val="0BBA6113"/>
    <w:rsid w:val="0BD81D82"/>
    <w:rsid w:val="0C3C5A14"/>
    <w:rsid w:val="0C70367A"/>
    <w:rsid w:val="0C871385"/>
    <w:rsid w:val="0C9615C8"/>
    <w:rsid w:val="0C9B30E4"/>
    <w:rsid w:val="0CB66415"/>
    <w:rsid w:val="0CBA6A64"/>
    <w:rsid w:val="0CBE1BE2"/>
    <w:rsid w:val="0CC54204"/>
    <w:rsid w:val="0CD23E02"/>
    <w:rsid w:val="0D3851A2"/>
    <w:rsid w:val="0D410B01"/>
    <w:rsid w:val="0DA815B3"/>
    <w:rsid w:val="0DC54E21"/>
    <w:rsid w:val="0E187EE3"/>
    <w:rsid w:val="0E1D5F25"/>
    <w:rsid w:val="0E2A2E8C"/>
    <w:rsid w:val="0E395338"/>
    <w:rsid w:val="0E4F198B"/>
    <w:rsid w:val="0E572FD9"/>
    <w:rsid w:val="0E5952EE"/>
    <w:rsid w:val="0E6E3480"/>
    <w:rsid w:val="0E796AAB"/>
    <w:rsid w:val="0E8276D6"/>
    <w:rsid w:val="0EAC48BD"/>
    <w:rsid w:val="0EBF3FBE"/>
    <w:rsid w:val="0F3B0774"/>
    <w:rsid w:val="0F597EC1"/>
    <w:rsid w:val="0F6D24C6"/>
    <w:rsid w:val="0FA9345E"/>
    <w:rsid w:val="103709CC"/>
    <w:rsid w:val="104135F9"/>
    <w:rsid w:val="105D6BCF"/>
    <w:rsid w:val="10824ED0"/>
    <w:rsid w:val="108B08F2"/>
    <w:rsid w:val="10907D37"/>
    <w:rsid w:val="10A9611E"/>
    <w:rsid w:val="10E332F1"/>
    <w:rsid w:val="11114205"/>
    <w:rsid w:val="1120496E"/>
    <w:rsid w:val="11341481"/>
    <w:rsid w:val="11693E13"/>
    <w:rsid w:val="119B0672"/>
    <w:rsid w:val="11A7392F"/>
    <w:rsid w:val="11B5604C"/>
    <w:rsid w:val="11D9089D"/>
    <w:rsid w:val="11E93B5E"/>
    <w:rsid w:val="122A0B8B"/>
    <w:rsid w:val="1233026B"/>
    <w:rsid w:val="12584933"/>
    <w:rsid w:val="12723C85"/>
    <w:rsid w:val="12A003E8"/>
    <w:rsid w:val="12C246A7"/>
    <w:rsid w:val="12EE7E64"/>
    <w:rsid w:val="12F812AB"/>
    <w:rsid w:val="13063E3E"/>
    <w:rsid w:val="131655CE"/>
    <w:rsid w:val="134C2C02"/>
    <w:rsid w:val="134F3193"/>
    <w:rsid w:val="13AC4083"/>
    <w:rsid w:val="13EA53A0"/>
    <w:rsid w:val="1420103F"/>
    <w:rsid w:val="142F202D"/>
    <w:rsid w:val="145F228C"/>
    <w:rsid w:val="14710DC1"/>
    <w:rsid w:val="14754F4B"/>
    <w:rsid w:val="147F687F"/>
    <w:rsid w:val="14C82A75"/>
    <w:rsid w:val="14D868FD"/>
    <w:rsid w:val="14FB007B"/>
    <w:rsid w:val="153F193C"/>
    <w:rsid w:val="15524BE4"/>
    <w:rsid w:val="15C76F56"/>
    <w:rsid w:val="15DB6150"/>
    <w:rsid w:val="16290DB7"/>
    <w:rsid w:val="162D6097"/>
    <w:rsid w:val="164D7AC0"/>
    <w:rsid w:val="165C65FA"/>
    <w:rsid w:val="165E2C35"/>
    <w:rsid w:val="16866FA7"/>
    <w:rsid w:val="16893CA2"/>
    <w:rsid w:val="16EB21A1"/>
    <w:rsid w:val="17011545"/>
    <w:rsid w:val="17124F91"/>
    <w:rsid w:val="175B1B2C"/>
    <w:rsid w:val="178253FE"/>
    <w:rsid w:val="17852965"/>
    <w:rsid w:val="17A0586A"/>
    <w:rsid w:val="17CE13EE"/>
    <w:rsid w:val="17EC02EE"/>
    <w:rsid w:val="18622CA6"/>
    <w:rsid w:val="1867248F"/>
    <w:rsid w:val="18725D99"/>
    <w:rsid w:val="189E2620"/>
    <w:rsid w:val="18D46954"/>
    <w:rsid w:val="18F173E8"/>
    <w:rsid w:val="190268FE"/>
    <w:rsid w:val="194850C4"/>
    <w:rsid w:val="196B7110"/>
    <w:rsid w:val="197163E1"/>
    <w:rsid w:val="19A253D3"/>
    <w:rsid w:val="19B91707"/>
    <w:rsid w:val="19D40F30"/>
    <w:rsid w:val="19F85670"/>
    <w:rsid w:val="1A415875"/>
    <w:rsid w:val="1A8E6A9C"/>
    <w:rsid w:val="1ACD2659"/>
    <w:rsid w:val="1AF23E6D"/>
    <w:rsid w:val="1AF37BE5"/>
    <w:rsid w:val="1B2158C7"/>
    <w:rsid w:val="1B6A152C"/>
    <w:rsid w:val="1B807EA4"/>
    <w:rsid w:val="1BDA7085"/>
    <w:rsid w:val="1BED22CE"/>
    <w:rsid w:val="1BFE19A3"/>
    <w:rsid w:val="1C006EAF"/>
    <w:rsid w:val="1C190A99"/>
    <w:rsid w:val="1C206580"/>
    <w:rsid w:val="1C3D63ED"/>
    <w:rsid w:val="1C3F5943"/>
    <w:rsid w:val="1C652B6A"/>
    <w:rsid w:val="1C6B037B"/>
    <w:rsid w:val="1C8E5E18"/>
    <w:rsid w:val="1CBB4922"/>
    <w:rsid w:val="1CCB2A5A"/>
    <w:rsid w:val="1CD10B7A"/>
    <w:rsid w:val="1CE2284F"/>
    <w:rsid w:val="1CE27665"/>
    <w:rsid w:val="1D1F7314"/>
    <w:rsid w:val="1D8E3BF5"/>
    <w:rsid w:val="1D985169"/>
    <w:rsid w:val="1DAA1CFA"/>
    <w:rsid w:val="1DCA10D2"/>
    <w:rsid w:val="1DF47391"/>
    <w:rsid w:val="1E0B6D0F"/>
    <w:rsid w:val="1E436CBC"/>
    <w:rsid w:val="1E4F29BA"/>
    <w:rsid w:val="1E4F50EF"/>
    <w:rsid w:val="1E676920"/>
    <w:rsid w:val="1E9445B9"/>
    <w:rsid w:val="1E9637FD"/>
    <w:rsid w:val="1EBB7EAA"/>
    <w:rsid w:val="1ECB747F"/>
    <w:rsid w:val="1F026509"/>
    <w:rsid w:val="1F771A4D"/>
    <w:rsid w:val="20451F26"/>
    <w:rsid w:val="206705CC"/>
    <w:rsid w:val="207C716F"/>
    <w:rsid w:val="20A6633B"/>
    <w:rsid w:val="20F011EF"/>
    <w:rsid w:val="20F73191"/>
    <w:rsid w:val="210510A3"/>
    <w:rsid w:val="21310218"/>
    <w:rsid w:val="21A16738"/>
    <w:rsid w:val="21B346A3"/>
    <w:rsid w:val="21BB1762"/>
    <w:rsid w:val="21DC0A70"/>
    <w:rsid w:val="21E10FB5"/>
    <w:rsid w:val="21E620E9"/>
    <w:rsid w:val="220215B6"/>
    <w:rsid w:val="22441A8B"/>
    <w:rsid w:val="22DD430D"/>
    <w:rsid w:val="231E427C"/>
    <w:rsid w:val="23505C6F"/>
    <w:rsid w:val="23915BF2"/>
    <w:rsid w:val="23AB72AF"/>
    <w:rsid w:val="23AE6F3A"/>
    <w:rsid w:val="23EF0D93"/>
    <w:rsid w:val="23F9781D"/>
    <w:rsid w:val="24564250"/>
    <w:rsid w:val="24635540"/>
    <w:rsid w:val="24740FED"/>
    <w:rsid w:val="247B615F"/>
    <w:rsid w:val="248701F4"/>
    <w:rsid w:val="248E4857"/>
    <w:rsid w:val="24E53A07"/>
    <w:rsid w:val="24ED1F1B"/>
    <w:rsid w:val="24EF6BB0"/>
    <w:rsid w:val="2500187D"/>
    <w:rsid w:val="25495698"/>
    <w:rsid w:val="25550F0F"/>
    <w:rsid w:val="2567077F"/>
    <w:rsid w:val="2593449F"/>
    <w:rsid w:val="259B4ADE"/>
    <w:rsid w:val="25AD7F1A"/>
    <w:rsid w:val="25C46060"/>
    <w:rsid w:val="25C91C6F"/>
    <w:rsid w:val="26086C3B"/>
    <w:rsid w:val="260E4A99"/>
    <w:rsid w:val="2628627A"/>
    <w:rsid w:val="262D4932"/>
    <w:rsid w:val="26360BC2"/>
    <w:rsid w:val="263B7010"/>
    <w:rsid w:val="26527375"/>
    <w:rsid w:val="26705CF5"/>
    <w:rsid w:val="26845B90"/>
    <w:rsid w:val="26955E2C"/>
    <w:rsid w:val="26A15028"/>
    <w:rsid w:val="26D05437"/>
    <w:rsid w:val="26EA0F62"/>
    <w:rsid w:val="26F70735"/>
    <w:rsid w:val="270C0EC9"/>
    <w:rsid w:val="27266595"/>
    <w:rsid w:val="275270C1"/>
    <w:rsid w:val="27585507"/>
    <w:rsid w:val="275E310C"/>
    <w:rsid w:val="27AB234F"/>
    <w:rsid w:val="27B15482"/>
    <w:rsid w:val="27C54C43"/>
    <w:rsid w:val="27CB1478"/>
    <w:rsid w:val="27D677D0"/>
    <w:rsid w:val="27FE496D"/>
    <w:rsid w:val="281015F1"/>
    <w:rsid w:val="282C4100"/>
    <w:rsid w:val="28727659"/>
    <w:rsid w:val="28845CC2"/>
    <w:rsid w:val="28A702B9"/>
    <w:rsid w:val="28BE3623"/>
    <w:rsid w:val="28C96735"/>
    <w:rsid w:val="28DB6EAA"/>
    <w:rsid w:val="28F97C5E"/>
    <w:rsid w:val="290556B4"/>
    <w:rsid w:val="2920429C"/>
    <w:rsid w:val="29223A0C"/>
    <w:rsid w:val="2934650A"/>
    <w:rsid w:val="293715E5"/>
    <w:rsid w:val="29436FDB"/>
    <w:rsid w:val="294C32E2"/>
    <w:rsid w:val="296C4096"/>
    <w:rsid w:val="29B80F87"/>
    <w:rsid w:val="29CD3DEB"/>
    <w:rsid w:val="2A32072A"/>
    <w:rsid w:val="2A3558B4"/>
    <w:rsid w:val="2A613DB9"/>
    <w:rsid w:val="2A992C71"/>
    <w:rsid w:val="2AA8758A"/>
    <w:rsid w:val="2AAE6BCF"/>
    <w:rsid w:val="2AE06085"/>
    <w:rsid w:val="2AE80DE9"/>
    <w:rsid w:val="2AF07C9E"/>
    <w:rsid w:val="2B2D4A4E"/>
    <w:rsid w:val="2B433BE2"/>
    <w:rsid w:val="2BC90C1A"/>
    <w:rsid w:val="2C0078D2"/>
    <w:rsid w:val="2C06412D"/>
    <w:rsid w:val="2C1F083A"/>
    <w:rsid w:val="2C2C721C"/>
    <w:rsid w:val="2C70553A"/>
    <w:rsid w:val="2CA138FF"/>
    <w:rsid w:val="2CDA0972"/>
    <w:rsid w:val="2D3463AC"/>
    <w:rsid w:val="2D3F156A"/>
    <w:rsid w:val="2D4F7387"/>
    <w:rsid w:val="2D913ECB"/>
    <w:rsid w:val="2DA3330E"/>
    <w:rsid w:val="2DC01BA9"/>
    <w:rsid w:val="2DC16D9B"/>
    <w:rsid w:val="2E0C1292"/>
    <w:rsid w:val="2E0C5E9C"/>
    <w:rsid w:val="2E231423"/>
    <w:rsid w:val="2E4B76EC"/>
    <w:rsid w:val="2E9B7AA3"/>
    <w:rsid w:val="2EC01102"/>
    <w:rsid w:val="2EC51780"/>
    <w:rsid w:val="2EEC1136"/>
    <w:rsid w:val="2EF56EA2"/>
    <w:rsid w:val="2F1A5892"/>
    <w:rsid w:val="2F1D1D8E"/>
    <w:rsid w:val="2F2A04CA"/>
    <w:rsid w:val="2F2B74F6"/>
    <w:rsid w:val="2F4C12F7"/>
    <w:rsid w:val="2F52087C"/>
    <w:rsid w:val="2F570AD7"/>
    <w:rsid w:val="2F84708E"/>
    <w:rsid w:val="2F9D1627"/>
    <w:rsid w:val="2FC75471"/>
    <w:rsid w:val="2FD76221"/>
    <w:rsid w:val="2FEA0789"/>
    <w:rsid w:val="2FEA776D"/>
    <w:rsid w:val="300A4BE4"/>
    <w:rsid w:val="302225B6"/>
    <w:rsid w:val="302945C4"/>
    <w:rsid w:val="30384235"/>
    <w:rsid w:val="30B240A1"/>
    <w:rsid w:val="30BA5D83"/>
    <w:rsid w:val="30D15413"/>
    <w:rsid w:val="30F465F9"/>
    <w:rsid w:val="31025BFE"/>
    <w:rsid w:val="310B5295"/>
    <w:rsid w:val="310F03E5"/>
    <w:rsid w:val="31665252"/>
    <w:rsid w:val="31CB168D"/>
    <w:rsid w:val="31EB38F9"/>
    <w:rsid w:val="31F877A0"/>
    <w:rsid w:val="320B3E33"/>
    <w:rsid w:val="327021AB"/>
    <w:rsid w:val="32731930"/>
    <w:rsid w:val="329218B6"/>
    <w:rsid w:val="32B05762"/>
    <w:rsid w:val="32D16607"/>
    <w:rsid w:val="32F2603F"/>
    <w:rsid w:val="330971A9"/>
    <w:rsid w:val="332E6D2C"/>
    <w:rsid w:val="33501C21"/>
    <w:rsid w:val="33650BC1"/>
    <w:rsid w:val="336E18C5"/>
    <w:rsid w:val="337D01A8"/>
    <w:rsid w:val="33A06705"/>
    <w:rsid w:val="33A13516"/>
    <w:rsid w:val="33A9307D"/>
    <w:rsid w:val="33AD37C7"/>
    <w:rsid w:val="33F64849"/>
    <w:rsid w:val="3405793E"/>
    <w:rsid w:val="342601B1"/>
    <w:rsid w:val="347C79C5"/>
    <w:rsid w:val="34966C87"/>
    <w:rsid w:val="34D23D8F"/>
    <w:rsid w:val="34E17CC1"/>
    <w:rsid w:val="34F75048"/>
    <w:rsid w:val="3508142F"/>
    <w:rsid w:val="350F0948"/>
    <w:rsid w:val="351C3972"/>
    <w:rsid w:val="35535DF9"/>
    <w:rsid w:val="357830FD"/>
    <w:rsid w:val="358A639D"/>
    <w:rsid w:val="36101977"/>
    <w:rsid w:val="363A12E4"/>
    <w:rsid w:val="365517B7"/>
    <w:rsid w:val="36722E94"/>
    <w:rsid w:val="36767BF1"/>
    <w:rsid w:val="3681127D"/>
    <w:rsid w:val="368C74AA"/>
    <w:rsid w:val="368F3F76"/>
    <w:rsid w:val="369A4AAB"/>
    <w:rsid w:val="36B63A76"/>
    <w:rsid w:val="36D16E9F"/>
    <w:rsid w:val="36DF4142"/>
    <w:rsid w:val="37180D0B"/>
    <w:rsid w:val="37352257"/>
    <w:rsid w:val="373C45E9"/>
    <w:rsid w:val="374C7D9F"/>
    <w:rsid w:val="374E0226"/>
    <w:rsid w:val="374F4745"/>
    <w:rsid w:val="375A3AF3"/>
    <w:rsid w:val="37622048"/>
    <w:rsid w:val="387B5166"/>
    <w:rsid w:val="38C60AB9"/>
    <w:rsid w:val="38CF0F38"/>
    <w:rsid w:val="38EE5DE8"/>
    <w:rsid w:val="38FA6EBF"/>
    <w:rsid w:val="39083B56"/>
    <w:rsid w:val="39575489"/>
    <w:rsid w:val="395E28CA"/>
    <w:rsid w:val="396C57B4"/>
    <w:rsid w:val="39DD53FD"/>
    <w:rsid w:val="3A0349B2"/>
    <w:rsid w:val="3A05640B"/>
    <w:rsid w:val="3A34505A"/>
    <w:rsid w:val="3A442FE9"/>
    <w:rsid w:val="3A5969B4"/>
    <w:rsid w:val="3A60099C"/>
    <w:rsid w:val="3A702926"/>
    <w:rsid w:val="3A81151C"/>
    <w:rsid w:val="3A9F759A"/>
    <w:rsid w:val="3B1C3467"/>
    <w:rsid w:val="3B3D2A8B"/>
    <w:rsid w:val="3B547DD5"/>
    <w:rsid w:val="3B674DD1"/>
    <w:rsid w:val="3B7F4C3A"/>
    <w:rsid w:val="3B887742"/>
    <w:rsid w:val="3B8C0F2B"/>
    <w:rsid w:val="3B9628EE"/>
    <w:rsid w:val="3B9B23CA"/>
    <w:rsid w:val="3BBD597A"/>
    <w:rsid w:val="3C35239A"/>
    <w:rsid w:val="3C3A012D"/>
    <w:rsid w:val="3C457305"/>
    <w:rsid w:val="3C5B7C42"/>
    <w:rsid w:val="3C621722"/>
    <w:rsid w:val="3CB31014"/>
    <w:rsid w:val="3CE17E80"/>
    <w:rsid w:val="3CF83553"/>
    <w:rsid w:val="3D2F72C4"/>
    <w:rsid w:val="3D6469F5"/>
    <w:rsid w:val="3DE758F0"/>
    <w:rsid w:val="3DF46EE2"/>
    <w:rsid w:val="3DFA4C63"/>
    <w:rsid w:val="3E012500"/>
    <w:rsid w:val="3E5F0393"/>
    <w:rsid w:val="3E987FAB"/>
    <w:rsid w:val="3E9B3456"/>
    <w:rsid w:val="3EDA5274"/>
    <w:rsid w:val="3F1D60A0"/>
    <w:rsid w:val="3FA13A7E"/>
    <w:rsid w:val="3FB90913"/>
    <w:rsid w:val="3FBF5890"/>
    <w:rsid w:val="3FC94073"/>
    <w:rsid w:val="40116F68"/>
    <w:rsid w:val="40132590"/>
    <w:rsid w:val="402703F5"/>
    <w:rsid w:val="406946E9"/>
    <w:rsid w:val="41661607"/>
    <w:rsid w:val="41831962"/>
    <w:rsid w:val="4193006A"/>
    <w:rsid w:val="41B164B6"/>
    <w:rsid w:val="41CB6494"/>
    <w:rsid w:val="41CF588A"/>
    <w:rsid w:val="41D628A7"/>
    <w:rsid w:val="41E24788"/>
    <w:rsid w:val="41EC0D67"/>
    <w:rsid w:val="41EE08A5"/>
    <w:rsid w:val="420C2C04"/>
    <w:rsid w:val="423B7251"/>
    <w:rsid w:val="427325F4"/>
    <w:rsid w:val="42882165"/>
    <w:rsid w:val="42AF2D93"/>
    <w:rsid w:val="430B642E"/>
    <w:rsid w:val="430C2C22"/>
    <w:rsid w:val="4377495C"/>
    <w:rsid w:val="43DC7892"/>
    <w:rsid w:val="43DF5027"/>
    <w:rsid w:val="441278C2"/>
    <w:rsid w:val="44213529"/>
    <w:rsid w:val="442549A0"/>
    <w:rsid w:val="445E6CD2"/>
    <w:rsid w:val="446932F5"/>
    <w:rsid w:val="44BD7C24"/>
    <w:rsid w:val="44DD2EE3"/>
    <w:rsid w:val="4504461A"/>
    <w:rsid w:val="450D65D4"/>
    <w:rsid w:val="45524604"/>
    <w:rsid w:val="455E4BA2"/>
    <w:rsid w:val="456071E7"/>
    <w:rsid w:val="45863910"/>
    <w:rsid w:val="45920B15"/>
    <w:rsid w:val="459D123E"/>
    <w:rsid w:val="45BE0C6C"/>
    <w:rsid w:val="45DB4035"/>
    <w:rsid w:val="45EA1A61"/>
    <w:rsid w:val="45EB3DD6"/>
    <w:rsid w:val="4610213A"/>
    <w:rsid w:val="461C6256"/>
    <w:rsid w:val="462D5C7F"/>
    <w:rsid w:val="46325C58"/>
    <w:rsid w:val="46466F77"/>
    <w:rsid w:val="465C6A23"/>
    <w:rsid w:val="467008B0"/>
    <w:rsid w:val="469519CD"/>
    <w:rsid w:val="46A74B88"/>
    <w:rsid w:val="46B124BA"/>
    <w:rsid w:val="46BA07E8"/>
    <w:rsid w:val="46E4489A"/>
    <w:rsid w:val="46F04E55"/>
    <w:rsid w:val="47304E59"/>
    <w:rsid w:val="476C6809"/>
    <w:rsid w:val="47B944D6"/>
    <w:rsid w:val="48021647"/>
    <w:rsid w:val="48313978"/>
    <w:rsid w:val="485633DE"/>
    <w:rsid w:val="486D481D"/>
    <w:rsid w:val="48793F29"/>
    <w:rsid w:val="48AC1460"/>
    <w:rsid w:val="48B03117"/>
    <w:rsid w:val="48BE55D6"/>
    <w:rsid w:val="48C87B66"/>
    <w:rsid w:val="48D470A4"/>
    <w:rsid w:val="48E56510"/>
    <w:rsid w:val="48E716FF"/>
    <w:rsid w:val="48E90A51"/>
    <w:rsid w:val="49090976"/>
    <w:rsid w:val="49154F13"/>
    <w:rsid w:val="493B5A1C"/>
    <w:rsid w:val="496E2020"/>
    <w:rsid w:val="4971269F"/>
    <w:rsid w:val="498B2FA1"/>
    <w:rsid w:val="49C71CCA"/>
    <w:rsid w:val="49E13B64"/>
    <w:rsid w:val="4A2951D7"/>
    <w:rsid w:val="4A4D0245"/>
    <w:rsid w:val="4A64447A"/>
    <w:rsid w:val="4A9D7E98"/>
    <w:rsid w:val="4AE772C5"/>
    <w:rsid w:val="4AED40DB"/>
    <w:rsid w:val="4B037A9E"/>
    <w:rsid w:val="4B0C247A"/>
    <w:rsid w:val="4B2E23F0"/>
    <w:rsid w:val="4B5A3EFD"/>
    <w:rsid w:val="4B6C4969"/>
    <w:rsid w:val="4B8A593A"/>
    <w:rsid w:val="4B9F73FC"/>
    <w:rsid w:val="4BA708E2"/>
    <w:rsid w:val="4BBC79FC"/>
    <w:rsid w:val="4BD05255"/>
    <w:rsid w:val="4C202322"/>
    <w:rsid w:val="4C272F70"/>
    <w:rsid w:val="4C770388"/>
    <w:rsid w:val="4C8046A5"/>
    <w:rsid w:val="4C83676C"/>
    <w:rsid w:val="4C863258"/>
    <w:rsid w:val="4CA014AC"/>
    <w:rsid w:val="4CAA5AA7"/>
    <w:rsid w:val="4CD33736"/>
    <w:rsid w:val="4CD34A28"/>
    <w:rsid w:val="4CD7475C"/>
    <w:rsid w:val="4D3105D5"/>
    <w:rsid w:val="4D866514"/>
    <w:rsid w:val="4DBA61BD"/>
    <w:rsid w:val="4DE374C2"/>
    <w:rsid w:val="4DF32B56"/>
    <w:rsid w:val="4DF5104E"/>
    <w:rsid w:val="4E1E3B72"/>
    <w:rsid w:val="4E37382D"/>
    <w:rsid w:val="4E6C3D94"/>
    <w:rsid w:val="4E8A5566"/>
    <w:rsid w:val="4E984E43"/>
    <w:rsid w:val="4EAD1C03"/>
    <w:rsid w:val="4EDE7C89"/>
    <w:rsid w:val="4F59232C"/>
    <w:rsid w:val="4F714FA1"/>
    <w:rsid w:val="4FAD7AC0"/>
    <w:rsid w:val="4FBF0985"/>
    <w:rsid w:val="4FC21359"/>
    <w:rsid w:val="4FCF7562"/>
    <w:rsid w:val="4FD25A40"/>
    <w:rsid w:val="4FF2658A"/>
    <w:rsid w:val="506C4329"/>
    <w:rsid w:val="50B45146"/>
    <w:rsid w:val="512F2209"/>
    <w:rsid w:val="5144471C"/>
    <w:rsid w:val="51681AE8"/>
    <w:rsid w:val="519F6E1A"/>
    <w:rsid w:val="51A60DC3"/>
    <w:rsid w:val="52103A14"/>
    <w:rsid w:val="52131332"/>
    <w:rsid w:val="521C76E1"/>
    <w:rsid w:val="529E7E5B"/>
    <w:rsid w:val="52BB5599"/>
    <w:rsid w:val="52DD1D7B"/>
    <w:rsid w:val="52E2398A"/>
    <w:rsid w:val="52E62083"/>
    <w:rsid w:val="52EF4B5B"/>
    <w:rsid w:val="530E61AC"/>
    <w:rsid w:val="53151A46"/>
    <w:rsid w:val="53395CCF"/>
    <w:rsid w:val="53AD5812"/>
    <w:rsid w:val="53CB38EA"/>
    <w:rsid w:val="53EC2E48"/>
    <w:rsid w:val="53FA7A5F"/>
    <w:rsid w:val="5403415B"/>
    <w:rsid w:val="540D1096"/>
    <w:rsid w:val="545413CC"/>
    <w:rsid w:val="547312EF"/>
    <w:rsid w:val="54B47EFB"/>
    <w:rsid w:val="54B6276D"/>
    <w:rsid w:val="54DB0F18"/>
    <w:rsid w:val="55011C7A"/>
    <w:rsid w:val="55406B1E"/>
    <w:rsid w:val="55543AF1"/>
    <w:rsid w:val="5564406D"/>
    <w:rsid w:val="55706241"/>
    <w:rsid w:val="559A7000"/>
    <w:rsid w:val="559C6CBA"/>
    <w:rsid w:val="55B94875"/>
    <w:rsid w:val="55CC2F32"/>
    <w:rsid w:val="55D46EDA"/>
    <w:rsid w:val="55D51B93"/>
    <w:rsid w:val="56066D9E"/>
    <w:rsid w:val="560D04B5"/>
    <w:rsid w:val="563D2AE1"/>
    <w:rsid w:val="56F72230"/>
    <w:rsid w:val="5719502F"/>
    <w:rsid w:val="573A3ECB"/>
    <w:rsid w:val="575A5F43"/>
    <w:rsid w:val="578339E3"/>
    <w:rsid w:val="57A71BCE"/>
    <w:rsid w:val="57B65C47"/>
    <w:rsid w:val="57BE68AA"/>
    <w:rsid w:val="57CD61F5"/>
    <w:rsid w:val="57D305A7"/>
    <w:rsid w:val="57E53B64"/>
    <w:rsid w:val="57FA3D86"/>
    <w:rsid w:val="581E4D42"/>
    <w:rsid w:val="583409BB"/>
    <w:rsid w:val="588F48D4"/>
    <w:rsid w:val="58985D02"/>
    <w:rsid w:val="58AB7BD9"/>
    <w:rsid w:val="58AF759C"/>
    <w:rsid w:val="58C73FD6"/>
    <w:rsid w:val="58C7682F"/>
    <w:rsid w:val="58E66A6D"/>
    <w:rsid w:val="58F22CAF"/>
    <w:rsid w:val="591744DE"/>
    <w:rsid w:val="59262959"/>
    <w:rsid w:val="597328A2"/>
    <w:rsid w:val="59DB079F"/>
    <w:rsid w:val="59FA4317"/>
    <w:rsid w:val="5A100581"/>
    <w:rsid w:val="5A3306E9"/>
    <w:rsid w:val="5A42433D"/>
    <w:rsid w:val="5A630FB9"/>
    <w:rsid w:val="5A6539D1"/>
    <w:rsid w:val="5A6A3F7A"/>
    <w:rsid w:val="5A88315D"/>
    <w:rsid w:val="5AA2162F"/>
    <w:rsid w:val="5ADD5E18"/>
    <w:rsid w:val="5B0B2D3B"/>
    <w:rsid w:val="5B134400"/>
    <w:rsid w:val="5B1E4CF9"/>
    <w:rsid w:val="5B212785"/>
    <w:rsid w:val="5B80374A"/>
    <w:rsid w:val="5B8E13FE"/>
    <w:rsid w:val="5B98279E"/>
    <w:rsid w:val="5BB500C9"/>
    <w:rsid w:val="5BD64486"/>
    <w:rsid w:val="5BE57EE0"/>
    <w:rsid w:val="5C514CA0"/>
    <w:rsid w:val="5C686917"/>
    <w:rsid w:val="5CA57B86"/>
    <w:rsid w:val="5CC77C96"/>
    <w:rsid w:val="5CDB057C"/>
    <w:rsid w:val="5CDF6C21"/>
    <w:rsid w:val="5CF557A7"/>
    <w:rsid w:val="5CF94C07"/>
    <w:rsid w:val="5D0244C4"/>
    <w:rsid w:val="5D2327C3"/>
    <w:rsid w:val="5D5051EE"/>
    <w:rsid w:val="5D523508"/>
    <w:rsid w:val="5D546753"/>
    <w:rsid w:val="5D6D7EF5"/>
    <w:rsid w:val="5D9500AD"/>
    <w:rsid w:val="5DA930C5"/>
    <w:rsid w:val="5DF23751"/>
    <w:rsid w:val="5DF87C16"/>
    <w:rsid w:val="5E0A1538"/>
    <w:rsid w:val="5E2A239D"/>
    <w:rsid w:val="5E9465B6"/>
    <w:rsid w:val="5ED859B9"/>
    <w:rsid w:val="5F480A20"/>
    <w:rsid w:val="5F51329D"/>
    <w:rsid w:val="5F541A66"/>
    <w:rsid w:val="5F6A29B1"/>
    <w:rsid w:val="5F7E5940"/>
    <w:rsid w:val="5FCF559B"/>
    <w:rsid w:val="5FDF599A"/>
    <w:rsid w:val="5FE56811"/>
    <w:rsid w:val="5FF37A81"/>
    <w:rsid w:val="5FF53085"/>
    <w:rsid w:val="602C45FD"/>
    <w:rsid w:val="604F4FC3"/>
    <w:rsid w:val="60795CBD"/>
    <w:rsid w:val="60824919"/>
    <w:rsid w:val="60F47BEC"/>
    <w:rsid w:val="611D735E"/>
    <w:rsid w:val="61202383"/>
    <w:rsid w:val="614222FA"/>
    <w:rsid w:val="617701F5"/>
    <w:rsid w:val="61816125"/>
    <w:rsid w:val="61A113A4"/>
    <w:rsid w:val="61E51427"/>
    <w:rsid w:val="622D2FAA"/>
    <w:rsid w:val="624806F1"/>
    <w:rsid w:val="6272022C"/>
    <w:rsid w:val="629D0895"/>
    <w:rsid w:val="629D1EDE"/>
    <w:rsid w:val="62A626FF"/>
    <w:rsid w:val="62C0222F"/>
    <w:rsid w:val="62C57339"/>
    <w:rsid w:val="62C75F18"/>
    <w:rsid w:val="62FB09B2"/>
    <w:rsid w:val="63443247"/>
    <w:rsid w:val="63B41EBE"/>
    <w:rsid w:val="63DB0885"/>
    <w:rsid w:val="63EA5A54"/>
    <w:rsid w:val="64004AD3"/>
    <w:rsid w:val="640702F6"/>
    <w:rsid w:val="6415508D"/>
    <w:rsid w:val="64267CB1"/>
    <w:rsid w:val="64746C6E"/>
    <w:rsid w:val="64E10284"/>
    <w:rsid w:val="64FE216F"/>
    <w:rsid w:val="65363F24"/>
    <w:rsid w:val="65622F6B"/>
    <w:rsid w:val="65EB6652"/>
    <w:rsid w:val="66212F88"/>
    <w:rsid w:val="663920A3"/>
    <w:rsid w:val="66574FE9"/>
    <w:rsid w:val="669727FD"/>
    <w:rsid w:val="669F28F3"/>
    <w:rsid w:val="66B50673"/>
    <w:rsid w:val="66F629D6"/>
    <w:rsid w:val="6744454D"/>
    <w:rsid w:val="676C462E"/>
    <w:rsid w:val="67754838"/>
    <w:rsid w:val="67762C3A"/>
    <w:rsid w:val="677A4210"/>
    <w:rsid w:val="679B13E4"/>
    <w:rsid w:val="67B0620F"/>
    <w:rsid w:val="67C27CF0"/>
    <w:rsid w:val="67F264CF"/>
    <w:rsid w:val="67FF6CD4"/>
    <w:rsid w:val="68937458"/>
    <w:rsid w:val="68AE4433"/>
    <w:rsid w:val="68C04A1C"/>
    <w:rsid w:val="68C1269E"/>
    <w:rsid w:val="68EB00B3"/>
    <w:rsid w:val="691E5105"/>
    <w:rsid w:val="69365338"/>
    <w:rsid w:val="69431085"/>
    <w:rsid w:val="694F1A58"/>
    <w:rsid w:val="696B5AAD"/>
    <w:rsid w:val="697138A5"/>
    <w:rsid w:val="69803202"/>
    <w:rsid w:val="69A850EA"/>
    <w:rsid w:val="69DE36E3"/>
    <w:rsid w:val="69F60484"/>
    <w:rsid w:val="6A354541"/>
    <w:rsid w:val="6A843B25"/>
    <w:rsid w:val="6A8B2F63"/>
    <w:rsid w:val="6AEB3A02"/>
    <w:rsid w:val="6B440736"/>
    <w:rsid w:val="6B453FD7"/>
    <w:rsid w:val="6B707A3D"/>
    <w:rsid w:val="6B7770FD"/>
    <w:rsid w:val="6B7B1A68"/>
    <w:rsid w:val="6BA537D6"/>
    <w:rsid w:val="6BB1273B"/>
    <w:rsid w:val="6BB85D17"/>
    <w:rsid w:val="6BC82C73"/>
    <w:rsid w:val="6BDC44C7"/>
    <w:rsid w:val="6C2B781D"/>
    <w:rsid w:val="6C2C7FB1"/>
    <w:rsid w:val="6C474B12"/>
    <w:rsid w:val="6C5B4CE2"/>
    <w:rsid w:val="6D194857"/>
    <w:rsid w:val="6D302529"/>
    <w:rsid w:val="6D442A0F"/>
    <w:rsid w:val="6D535911"/>
    <w:rsid w:val="6D7878FB"/>
    <w:rsid w:val="6DB46F41"/>
    <w:rsid w:val="6DC64D96"/>
    <w:rsid w:val="6E7D3EAA"/>
    <w:rsid w:val="6E9A304F"/>
    <w:rsid w:val="6EBB207A"/>
    <w:rsid w:val="6EC47B07"/>
    <w:rsid w:val="6EC9405A"/>
    <w:rsid w:val="6EEE1ED2"/>
    <w:rsid w:val="6EF035FA"/>
    <w:rsid w:val="6EF9070E"/>
    <w:rsid w:val="6EFC7DC4"/>
    <w:rsid w:val="6FBC32DD"/>
    <w:rsid w:val="6FEB70E8"/>
    <w:rsid w:val="70017D21"/>
    <w:rsid w:val="702678A4"/>
    <w:rsid w:val="704A6337"/>
    <w:rsid w:val="70957B36"/>
    <w:rsid w:val="709F5ADF"/>
    <w:rsid w:val="70AC03D4"/>
    <w:rsid w:val="70BA2FFA"/>
    <w:rsid w:val="713A744C"/>
    <w:rsid w:val="7141561C"/>
    <w:rsid w:val="71465DA4"/>
    <w:rsid w:val="71551BD5"/>
    <w:rsid w:val="715A74D5"/>
    <w:rsid w:val="718E0763"/>
    <w:rsid w:val="71D37FA9"/>
    <w:rsid w:val="72101EA0"/>
    <w:rsid w:val="723E5522"/>
    <w:rsid w:val="72AA61C2"/>
    <w:rsid w:val="72B91FED"/>
    <w:rsid w:val="72C2773E"/>
    <w:rsid w:val="73050C51"/>
    <w:rsid w:val="7315161C"/>
    <w:rsid w:val="73307EC9"/>
    <w:rsid w:val="7352233B"/>
    <w:rsid w:val="7358775B"/>
    <w:rsid w:val="73870838"/>
    <w:rsid w:val="739871D5"/>
    <w:rsid w:val="739C16A8"/>
    <w:rsid w:val="73F23F7B"/>
    <w:rsid w:val="74067081"/>
    <w:rsid w:val="741C1C19"/>
    <w:rsid w:val="745E05AD"/>
    <w:rsid w:val="747C4852"/>
    <w:rsid w:val="74835184"/>
    <w:rsid w:val="74A4132C"/>
    <w:rsid w:val="74D476E4"/>
    <w:rsid w:val="74FD680C"/>
    <w:rsid w:val="75691987"/>
    <w:rsid w:val="75787206"/>
    <w:rsid w:val="758E6836"/>
    <w:rsid w:val="75A512B8"/>
    <w:rsid w:val="75BF77EE"/>
    <w:rsid w:val="75D70FF2"/>
    <w:rsid w:val="75FA1E0C"/>
    <w:rsid w:val="75FB3FF3"/>
    <w:rsid w:val="7610390D"/>
    <w:rsid w:val="76186A30"/>
    <w:rsid w:val="762C31BE"/>
    <w:rsid w:val="7653467E"/>
    <w:rsid w:val="76653DBE"/>
    <w:rsid w:val="768A0573"/>
    <w:rsid w:val="76B3499D"/>
    <w:rsid w:val="76DA2C69"/>
    <w:rsid w:val="772B4ED2"/>
    <w:rsid w:val="776E58C5"/>
    <w:rsid w:val="77777E50"/>
    <w:rsid w:val="779D6681"/>
    <w:rsid w:val="77E652C6"/>
    <w:rsid w:val="77E97927"/>
    <w:rsid w:val="77EC0645"/>
    <w:rsid w:val="782563F5"/>
    <w:rsid w:val="78262BC8"/>
    <w:rsid w:val="78461006"/>
    <w:rsid w:val="78485FF0"/>
    <w:rsid w:val="78541432"/>
    <w:rsid w:val="78880F29"/>
    <w:rsid w:val="78E51A91"/>
    <w:rsid w:val="790B4825"/>
    <w:rsid w:val="79205317"/>
    <w:rsid w:val="794723D1"/>
    <w:rsid w:val="7977267E"/>
    <w:rsid w:val="798525E4"/>
    <w:rsid w:val="79865022"/>
    <w:rsid w:val="798D3A7B"/>
    <w:rsid w:val="79E45A62"/>
    <w:rsid w:val="7A8A1906"/>
    <w:rsid w:val="7AB67AD9"/>
    <w:rsid w:val="7AB67B89"/>
    <w:rsid w:val="7ABB2CBA"/>
    <w:rsid w:val="7ACA6A91"/>
    <w:rsid w:val="7ACE1913"/>
    <w:rsid w:val="7B0E23F7"/>
    <w:rsid w:val="7B515EAC"/>
    <w:rsid w:val="7B9128FA"/>
    <w:rsid w:val="7BAA251B"/>
    <w:rsid w:val="7C06770E"/>
    <w:rsid w:val="7C291333"/>
    <w:rsid w:val="7C7B2E38"/>
    <w:rsid w:val="7C8C0805"/>
    <w:rsid w:val="7C90112B"/>
    <w:rsid w:val="7C946125"/>
    <w:rsid w:val="7C9A26AF"/>
    <w:rsid w:val="7CAE256B"/>
    <w:rsid w:val="7CBB645C"/>
    <w:rsid w:val="7CC32006"/>
    <w:rsid w:val="7CD35C4B"/>
    <w:rsid w:val="7CD630C7"/>
    <w:rsid w:val="7CD67A48"/>
    <w:rsid w:val="7CE335DB"/>
    <w:rsid w:val="7D0664BA"/>
    <w:rsid w:val="7D084A67"/>
    <w:rsid w:val="7D2324BD"/>
    <w:rsid w:val="7D376D46"/>
    <w:rsid w:val="7D853013"/>
    <w:rsid w:val="7D8F5320"/>
    <w:rsid w:val="7DCA74A7"/>
    <w:rsid w:val="7DD06BB4"/>
    <w:rsid w:val="7DE61A14"/>
    <w:rsid w:val="7DFD5ADC"/>
    <w:rsid w:val="7E0D5970"/>
    <w:rsid w:val="7E1B0636"/>
    <w:rsid w:val="7E367B16"/>
    <w:rsid w:val="7E3937A2"/>
    <w:rsid w:val="7E3942C0"/>
    <w:rsid w:val="7E5A6E32"/>
    <w:rsid w:val="7E604E32"/>
    <w:rsid w:val="7E702E8C"/>
    <w:rsid w:val="7E7D3123"/>
    <w:rsid w:val="7EC34539"/>
    <w:rsid w:val="7F221B2F"/>
    <w:rsid w:val="7F2B0A14"/>
    <w:rsid w:val="7F2B7A07"/>
    <w:rsid w:val="7F3103EC"/>
    <w:rsid w:val="7F5176FB"/>
    <w:rsid w:val="7F6F37A7"/>
    <w:rsid w:val="7FD650F3"/>
    <w:rsid w:val="7FF76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8"/>
    <w:autoRedefine/>
    <w:qFormat/>
    <w:uiPriority w:val="0"/>
    <w:pPr>
      <w:keepNext/>
      <w:keepLines/>
      <w:spacing w:before="340" w:beforeLines="0" w:after="330" w:afterLines="0" w:line="578" w:lineRule="auto"/>
      <w:jc w:val="center"/>
      <w:outlineLvl w:val="0"/>
    </w:pPr>
    <w:rPr>
      <w:rFonts w:ascii="Times New Roman" w:hAnsi="Times New Roman" w:eastAsia="宋体"/>
      <w:b/>
      <w:bCs/>
      <w:kern w:val="44"/>
      <w:sz w:val="32"/>
      <w:szCs w:val="44"/>
    </w:rPr>
  </w:style>
  <w:style w:type="paragraph" w:styleId="5">
    <w:name w:val="heading 2"/>
    <w:basedOn w:val="1"/>
    <w:next w:val="1"/>
    <w:link w:val="135"/>
    <w:autoRedefine/>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6">
    <w:name w:val="heading 3"/>
    <w:basedOn w:val="1"/>
    <w:next w:val="1"/>
    <w:link w:val="148"/>
    <w:autoRedefine/>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7">
    <w:name w:val="heading 4"/>
    <w:basedOn w:val="1"/>
    <w:next w:val="1"/>
    <w:link w:val="142"/>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136"/>
    <w:autoRedefine/>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12"/>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137"/>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117"/>
    <w:autoRedefine/>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141"/>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link w:val="49"/>
    <w:autoRedefine/>
    <w:qFormat/>
    <w:uiPriority w:val="0"/>
    <w:rPr>
      <w:szCs w:val="21"/>
    </w:rPr>
  </w:style>
  <w:style w:type="table" w:default="1" w:styleId="4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121"/>
    <w:autoRedefine/>
    <w:qFormat/>
    <w:uiPriority w:val="0"/>
    <w:pPr>
      <w:ind w:left="1588" w:leftChars="832" w:firstLine="433"/>
    </w:pPr>
    <w:rPr>
      <w:rFonts w:eastAsia="仿宋_GB2312"/>
      <w:spacing w:val="15"/>
      <w:kern w:val="10"/>
      <w:sz w:val="24"/>
      <w:szCs w:val="24"/>
    </w:rPr>
  </w:style>
  <w:style w:type="paragraph" w:styleId="3">
    <w:name w:val="Body Text Indent"/>
    <w:basedOn w:val="1"/>
    <w:link w:val="122"/>
    <w:autoRedefine/>
    <w:qFormat/>
    <w:uiPriority w:val="0"/>
    <w:pPr>
      <w:spacing w:line="360" w:lineRule="auto"/>
      <w:ind w:firstLine="560" w:firstLineChars="200"/>
    </w:pPr>
    <w:rPr>
      <w:sz w:val="28"/>
    </w:rPr>
  </w:style>
  <w:style w:type="paragraph" w:styleId="13">
    <w:name w:val="List 3"/>
    <w:basedOn w:val="1"/>
    <w:autoRedefine/>
    <w:qFormat/>
    <w:uiPriority w:val="0"/>
    <w:pPr>
      <w:ind w:left="100" w:leftChars="400" w:hanging="200" w:hangingChars="200"/>
    </w:pPr>
    <w:rPr>
      <w:szCs w:val="24"/>
    </w:rPr>
  </w:style>
  <w:style w:type="paragraph" w:styleId="14">
    <w:name w:val="table of authorities"/>
    <w:basedOn w:val="1"/>
    <w:next w:val="1"/>
    <w:autoRedefine/>
    <w:unhideWhenUsed/>
    <w:qFormat/>
    <w:uiPriority w:val="99"/>
    <w:pPr>
      <w:ind w:left="420" w:leftChars="200"/>
    </w:pPr>
  </w:style>
  <w:style w:type="paragraph" w:styleId="15">
    <w:name w:val="List Number"/>
    <w:basedOn w:val="1"/>
    <w:autoRedefine/>
    <w:qFormat/>
    <w:uiPriority w:val="0"/>
    <w:pPr>
      <w:numPr>
        <w:ilvl w:val="0"/>
        <w:numId w:val="2"/>
      </w:numPr>
    </w:pPr>
  </w:style>
  <w:style w:type="paragraph" w:styleId="16">
    <w:name w:val="Normal Indent"/>
    <w:basedOn w:val="1"/>
    <w:next w:val="1"/>
    <w:autoRedefine/>
    <w:qFormat/>
    <w:uiPriority w:val="0"/>
    <w:pPr>
      <w:adjustRightInd w:val="0"/>
      <w:ind w:firstLine="420"/>
    </w:pPr>
    <w:rPr>
      <w:rFonts w:eastAsia="楷体_GB2312"/>
      <w:sz w:val="24"/>
      <w:lang w:val="en-US" w:eastAsia="zh-CN" w:bidi="ar-SA"/>
    </w:rPr>
  </w:style>
  <w:style w:type="paragraph" w:styleId="17">
    <w:name w:val="caption"/>
    <w:basedOn w:val="1"/>
    <w:next w:val="1"/>
    <w:autoRedefine/>
    <w:qFormat/>
    <w:uiPriority w:val="0"/>
    <w:pPr>
      <w:spacing w:before="152" w:after="160"/>
    </w:pPr>
    <w:rPr>
      <w:rFonts w:ascii="Arial" w:hAnsi="Arial" w:eastAsia="黑体" w:cs="Arial"/>
      <w:sz w:val="20"/>
    </w:rPr>
  </w:style>
  <w:style w:type="paragraph" w:styleId="18">
    <w:name w:val="Document Map"/>
    <w:basedOn w:val="1"/>
    <w:link w:val="115"/>
    <w:autoRedefine/>
    <w:qFormat/>
    <w:uiPriority w:val="0"/>
    <w:pPr>
      <w:shd w:val="clear" w:color="auto" w:fill="000080"/>
    </w:pPr>
    <w:rPr>
      <w:szCs w:val="24"/>
    </w:rPr>
  </w:style>
  <w:style w:type="paragraph" w:styleId="19">
    <w:name w:val="toa heading"/>
    <w:basedOn w:val="1"/>
    <w:next w:val="1"/>
    <w:autoRedefine/>
    <w:qFormat/>
    <w:uiPriority w:val="99"/>
    <w:pPr>
      <w:spacing w:before="120"/>
    </w:pPr>
    <w:rPr>
      <w:rFonts w:ascii="Arial" w:hAnsi="Arial" w:eastAsia="仿宋"/>
      <w:sz w:val="24"/>
      <w:szCs w:val="20"/>
    </w:rPr>
  </w:style>
  <w:style w:type="paragraph" w:styleId="20">
    <w:name w:val="annotation text"/>
    <w:basedOn w:val="1"/>
    <w:link w:val="98"/>
    <w:autoRedefine/>
    <w:qFormat/>
    <w:uiPriority w:val="0"/>
    <w:pPr>
      <w:jc w:val="left"/>
    </w:pPr>
  </w:style>
  <w:style w:type="paragraph" w:styleId="21">
    <w:name w:val="Body Text 3"/>
    <w:basedOn w:val="1"/>
    <w:link w:val="138"/>
    <w:autoRedefine/>
    <w:qFormat/>
    <w:uiPriority w:val="0"/>
    <w:pPr>
      <w:spacing w:after="120"/>
    </w:pPr>
    <w:rPr>
      <w:sz w:val="16"/>
      <w:szCs w:val="16"/>
    </w:rPr>
  </w:style>
  <w:style w:type="paragraph" w:styleId="22">
    <w:name w:val="Body Text"/>
    <w:basedOn w:val="1"/>
    <w:link w:val="129"/>
    <w:autoRedefine/>
    <w:qFormat/>
    <w:uiPriority w:val="0"/>
    <w:pPr>
      <w:spacing w:after="120"/>
    </w:pPr>
    <w:rPr>
      <w:szCs w:val="24"/>
    </w:rPr>
  </w:style>
  <w:style w:type="paragraph" w:styleId="23">
    <w:name w:val="List 2"/>
    <w:basedOn w:val="1"/>
    <w:autoRedefine/>
    <w:qFormat/>
    <w:uiPriority w:val="0"/>
    <w:pPr>
      <w:ind w:left="100" w:leftChars="200" w:hanging="200" w:hangingChars="200"/>
    </w:pPr>
    <w:rPr>
      <w:szCs w:val="24"/>
    </w:rPr>
  </w:style>
  <w:style w:type="paragraph" w:styleId="24">
    <w:name w:val="toc 3"/>
    <w:basedOn w:val="1"/>
    <w:next w:val="1"/>
    <w:autoRedefine/>
    <w:qFormat/>
    <w:uiPriority w:val="39"/>
    <w:pPr>
      <w:ind w:left="840" w:leftChars="400"/>
    </w:pPr>
    <w:rPr>
      <w:szCs w:val="24"/>
    </w:rPr>
  </w:style>
  <w:style w:type="paragraph" w:styleId="25">
    <w:name w:val="Plain Text"/>
    <w:basedOn w:val="1"/>
    <w:next w:val="26"/>
    <w:link w:val="118"/>
    <w:autoRedefine/>
    <w:qFormat/>
    <w:uiPriority w:val="0"/>
    <w:rPr>
      <w:rFonts w:ascii="宋体" w:hAnsi="Courier New"/>
    </w:rPr>
  </w:style>
  <w:style w:type="paragraph" w:styleId="26">
    <w:name w:val="index 7"/>
    <w:basedOn w:val="1"/>
    <w:next w:val="1"/>
    <w:autoRedefine/>
    <w:qFormat/>
    <w:uiPriority w:val="0"/>
    <w:pPr>
      <w:ind w:left="2520"/>
    </w:pPr>
    <w:rPr>
      <w:szCs w:val="22"/>
    </w:rPr>
  </w:style>
  <w:style w:type="paragraph" w:styleId="27">
    <w:name w:val="Date"/>
    <w:basedOn w:val="1"/>
    <w:next w:val="1"/>
    <w:link w:val="132"/>
    <w:autoRedefine/>
    <w:qFormat/>
    <w:uiPriority w:val="0"/>
    <w:pPr>
      <w:ind w:left="100" w:leftChars="2500"/>
    </w:pPr>
    <w:rPr>
      <w:szCs w:val="24"/>
    </w:rPr>
  </w:style>
  <w:style w:type="paragraph" w:styleId="28">
    <w:name w:val="Body Text Indent 2"/>
    <w:basedOn w:val="1"/>
    <w:link w:val="140"/>
    <w:autoRedefine/>
    <w:qFormat/>
    <w:uiPriority w:val="0"/>
    <w:pPr>
      <w:spacing w:after="120" w:line="480" w:lineRule="auto"/>
      <w:ind w:left="420" w:leftChars="200"/>
    </w:pPr>
    <w:rPr>
      <w:szCs w:val="24"/>
    </w:rPr>
  </w:style>
  <w:style w:type="paragraph" w:styleId="29">
    <w:name w:val="Balloon Text"/>
    <w:basedOn w:val="1"/>
    <w:link w:val="139"/>
    <w:autoRedefine/>
    <w:qFormat/>
    <w:uiPriority w:val="0"/>
    <w:rPr>
      <w:sz w:val="18"/>
      <w:szCs w:val="18"/>
    </w:rPr>
  </w:style>
  <w:style w:type="paragraph" w:styleId="30">
    <w:name w:val="footer"/>
    <w:basedOn w:val="1"/>
    <w:next w:val="31"/>
    <w:link w:val="116"/>
    <w:autoRedefine/>
    <w:qFormat/>
    <w:uiPriority w:val="99"/>
    <w:pPr>
      <w:tabs>
        <w:tab w:val="center" w:pos="4153"/>
        <w:tab w:val="right" w:pos="8306"/>
      </w:tabs>
      <w:snapToGrid w:val="0"/>
      <w:jc w:val="left"/>
    </w:pPr>
    <w:rPr>
      <w:sz w:val="18"/>
      <w:szCs w:val="18"/>
    </w:rPr>
  </w:style>
  <w:style w:type="paragraph" w:styleId="31">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3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autoRedefine/>
    <w:qFormat/>
    <w:uiPriority w:val="39"/>
    <w:rPr>
      <w:szCs w:val="24"/>
    </w:rPr>
  </w:style>
  <w:style w:type="paragraph" w:styleId="34">
    <w:name w:val="Subtitle"/>
    <w:basedOn w:val="1"/>
    <w:next w:val="1"/>
    <w:link w:val="127"/>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List"/>
    <w:basedOn w:val="1"/>
    <w:autoRedefine/>
    <w:qFormat/>
    <w:uiPriority w:val="0"/>
    <w:pPr>
      <w:spacing w:before="312" w:beforeLines="100" w:line="360" w:lineRule="auto"/>
      <w:jc w:val="center"/>
    </w:pPr>
    <w:rPr>
      <w:rFonts w:ascii="宋体" w:hAnsi="宋体"/>
      <w:b/>
      <w:sz w:val="28"/>
      <w:szCs w:val="24"/>
    </w:rPr>
  </w:style>
  <w:style w:type="paragraph" w:styleId="36">
    <w:name w:val="footnote text"/>
    <w:basedOn w:val="1"/>
    <w:link w:val="126"/>
    <w:autoRedefine/>
    <w:qFormat/>
    <w:uiPriority w:val="0"/>
    <w:pPr>
      <w:adjustRightInd w:val="0"/>
      <w:spacing w:line="312" w:lineRule="atLeast"/>
      <w:textAlignment w:val="baseline"/>
    </w:pPr>
    <w:rPr>
      <w:kern w:val="0"/>
      <w:sz w:val="18"/>
    </w:rPr>
  </w:style>
  <w:style w:type="paragraph" w:styleId="37">
    <w:name w:val="toc 6"/>
    <w:basedOn w:val="1"/>
    <w:next w:val="1"/>
    <w:autoRedefine/>
    <w:qFormat/>
    <w:uiPriority w:val="0"/>
    <w:pPr>
      <w:ind w:left="1400"/>
    </w:pPr>
    <w:rPr>
      <w:rFonts w:ascii="Calibri"/>
      <w:sz w:val="18"/>
      <w:szCs w:val="18"/>
    </w:rPr>
  </w:style>
  <w:style w:type="paragraph" w:styleId="38">
    <w:name w:val="Body Text Indent 3"/>
    <w:basedOn w:val="1"/>
    <w:link w:val="103"/>
    <w:autoRedefine/>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9">
    <w:name w:val="toc 2"/>
    <w:basedOn w:val="1"/>
    <w:next w:val="1"/>
    <w:autoRedefine/>
    <w:qFormat/>
    <w:uiPriority w:val="39"/>
    <w:pPr>
      <w:ind w:left="420" w:leftChars="200"/>
    </w:pPr>
    <w:rPr>
      <w:szCs w:val="24"/>
    </w:rPr>
  </w:style>
  <w:style w:type="paragraph" w:styleId="40">
    <w:name w:val="Body Text 2"/>
    <w:basedOn w:val="1"/>
    <w:autoRedefine/>
    <w:qFormat/>
    <w:uiPriority w:val="0"/>
    <w:pPr>
      <w:spacing w:after="120" w:line="480" w:lineRule="auto"/>
    </w:pPr>
  </w:style>
  <w:style w:type="paragraph" w:styleId="41">
    <w:name w:val="HTML Preformatted"/>
    <w:basedOn w:val="1"/>
    <w:link w:val="1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2">
    <w:name w:val="Normal (Web)"/>
    <w:basedOn w:val="1"/>
    <w:autoRedefine/>
    <w:qFormat/>
    <w:uiPriority w:val="0"/>
    <w:pPr>
      <w:spacing w:before="100" w:beforeLines="0" w:beforeAutospacing="1" w:after="100" w:afterLines="0" w:afterAutospacing="1"/>
      <w:jc w:val="left"/>
    </w:pPr>
    <w:rPr>
      <w:rFonts w:ascii="Calibri" w:hAnsi="Calibri"/>
      <w:kern w:val="0"/>
      <w:sz w:val="24"/>
      <w:szCs w:val="24"/>
    </w:rPr>
  </w:style>
  <w:style w:type="paragraph" w:styleId="43">
    <w:name w:val="Title"/>
    <w:basedOn w:val="1"/>
    <w:next w:val="1"/>
    <w:link w:val="131"/>
    <w:autoRedefine/>
    <w:qFormat/>
    <w:uiPriority w:val="0"/>
    <w:pPr>
      <w:spacing w:before="240" w:after="60"/>
      <w:jc w:val="center"/>
      <w:outlineLvl w:val="0"/>
    </w:pPr>
    <w:rPr>
      <w:rFonts w:ascii="Cambria" w:hAnsi="Cambria"/>
      <w:b/>
      <w:bCs/>
      <w:sz w:val="32"/>
      <w:szCs w:val="32"/>
    </w:rPr>
  </w:style>
  <w:style w:type="paragraph" w:styleId="44">
    <w:name w:val="annotation subject"/>
    <w:basedOn w:val="20"/>
    <w:next w:val="20"/>
    <w:link w:val="111"/>
    <w:autoRedefine/>
    <w:qFormat/>
    <w:uiPriority w:val="0"/>
    <w:rPr>
      <w:b/>
      <w:bCs/>
      <w:szCs w:val="24"/>
    </w:rPr>
  </w:style>
  <w:style w:type="paragraph" w:styleId="45">
    <w:name w:val="Body Text First Indent"/>
    <w:basedOn w:val="22"/>
    <w:next w:val="1"/>
    <w:autoRedefine/>
    <w:qFormat/>
    <w:uiPriority w:val="0"/>
    <w:pPr>
      <w:tabs>
        <w:tab w:val="left" w:pos="9214"/>
      </w:tabs>
      <w:spacing w:after="0"/>
      <w:ind w:firstLine="200" w:firstLineChars="200"/>
    </w:pPr>
  </w:style>
  <w:style w:type="table" w:styleId="47">
    <w:name w:val="Table Grid"/>
    <w:basedOn w:val="46"/>
    <w:autoRedefine/>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49">
    <w:name w:val="Char Char Char Char"/>
    <w:basedOn w:val="1"/>
    <w:link w:val="48"/>
    <w:autoRedefine/>
    <w:qFormat/>
    <w:uiPriority w:val="0"/>
    <w:rPr>
      <w:szCs w:val="21"/>
    </w:rPr>
  </w:style>
  <w:style w:type="character" w:styleId="50">
    <w:name w:val="Strong"/>
    <w:basedOn w:val="48"/>
    <w:autoRedefine/>
    <w:qFormat/>
    <w:uiPriority w:val="0"/>
    <w:rPr>
      <w:b/>
      <w:bCs/>
    </w:rPr>
  </w:style>
  <w:style w:type="character" w:styleId="51">
    <w:name w:val="page number"/>
    <w:basedOn w:val="48"/>
    <w:autoRedefine/>
    <w:qFormat/>
    <w:uiPriority w:val="0"/>
  </w:style>
  <w:style w:type="character" w:styleId="52">
    <w:name w:val="Emphasis"/>
    <w:basedOn w:val="48"/>
    <w:autoRedefine/>
    <w:qFormat/>
    <w:uiPriority w:val="0"/>
    <w:rPr>
      <w:i/>
    </w:rPr>
  </w:style>
  <w:style w:type="character" w:styleId="53">
    <w:name w:val="Hyperlink"/>
    <w:basedOn w:val="48"/>
    <w:autoRedefine/>
    <w:qFormat/>
    <w:uiPriority w:val="99"/>
    <w:rPr>
      <w:color w:val="0000FF"/>
      <w:u w:val="single"/>
    </w:rPr>
  </w:style>
  <w:style w:type="character" w:styleId="54">
    <w:name w:val="annotation reference"/>
    <w:autoRedefine/>
    <w:qFormat/>
    <w:uiPriority w:val="0"/>
    <w:rPr>
      <w:sz w:val="21"/>
      <w:szCs w:val="21"/>
    </w:rPr>
  </w:style>
  <w:style w:type="paragraph" w:customStyle="1" w:styleId="5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样式1"/>
    <w:basedOn w:val="19"/>
    <w:next w:val="7"/>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57">
    <w:name w:val="文本正文"/>
    <w:basedOn w:val="1"/>
    <w:autoRedefine/>
    <w:qFormat/>
    <w:uiPriority w:val="0"/>
    <w:pPr>
      <w:spacing w:afterLines="50"/>
      <w:ind w:firstLine="200" w:firstLineChars="200"/>
      <w:jc w:val="left"/>
    </w:pPr>
    <w:rPr>
      <w:rFonts w:ascii="Calibri" w:hAnsi="Calibri"/>
      <w:szCs w:val="22"/>
      <w:lang w:bidi="en-US"/>
    </w:rPr>
  </w:style>
  <w:style w:type="character" w:customStyle="1" w:styleId="58">
    <w:name w:val="标题 1 Char"/>
    <w:link w:val="4"/>
    <w:autoRedefine/>
    <w:qFormat/>
    <w:uiPriority w:val="0"/>
    <w:rPr>
      <w:rFonts w:ascii="Times New Roman" w:hAnsi="Times New Roman" w:eastAsia="宋体"/>
      <w:b/>
      <w:bCs/>
      <w:kern w:val="44"/>
      <w:sz w:val="32"/>
      <w:szCs w:val="44"/>
    </w:rPr>
  </w:style>
  <w:style w:type="paragraph" w:customStyle="1" w:styleId="59">
    <w:name w:val="_Style 5"/>
    <w:basedOn w:val="1"/>
    <w:autoRedefine/>
    <w:qFormat/>
    <w:uiPriority w:val="0"/>
    <w:pPr>
      <w:tabs>
        <w:tab w:val="left" w:pos="360"/>
      </w:tabs>
      <w:ind w:firstLine="420" w:firstLineChars="150"/>
    </w:pPr>
    <w:rPr>
      <w:rFonts w:ascii="Arial" w:hAnsi="Arial" w:cs="Arial"/>
      <w:sz w:val="20"/>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customStyle="1" w:styleId="61">
    <w:name w:val="pa-7"/>
    <w:basedOn w:val="1"/>
    <w:autoRedefine/>
    <w:qFormat/>
    <w:uiPriority w:val="0"/>
    <w:pPr>
      <w:widowControl/>
      <w:spacing w:before="150" w:beforeLines="0" w:after="150" w:afterLines="0"/>
      <w:jc w:val="left"/>
    </w:pPr>
    <w:rPr>
      <w:rFonts w:ascii="宋体" w:hAnsi="宋体" w:cs="宋体"/>
      <w:kern w:val="0"/>
      <w:sz w:val="24"/>
      <w:szCs w:val="24"/>
    </w:rPr>
  </w:style>
  <w:style w:type="paragraph" w:customStyle="1" w:styleId="62">
    <w:name w:val="Char Char Char Char Char Char"/>
    <w:basedOn w:val="18"/>
    <w:autoRedefine/>
    <w:qFormat/>
    <w:uiPriority w:val="0"/>
    <w:rPr>
      <w:rFonts w:ascii="Tahoma" w:hAnsi="Tahoma"/>
      <w:sz w:val="24"/>
    </w:rPr>
  </w:style>
  <w:style w:type="paragraph" w:customStyle="1" w:styleId="63">
    <w:name w:val="缺省文本"/>
    <w:autoRedefine/>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4">
    <w:name w:val="p16"/>
    <w:basedOn w:val="1"/>
    <w:autoRedefine/>
    <w:qFormat/>
    <w:uiPriority w:val="0"/>
    <w:pPr>
      <w:widowControl/>
    </w:pPr>
    <w:rPr>
      <w:kern w:val="0"/>
      <w:szCs w:val="21"/>
    </w:rPr>
  </w:style>
  <w:style w:type="paragraph" w:customStyle="1" w:styleId="65">
    <w:name w:val="WPSOffice手动目录 2"/>
    <w:autoRedefine/>
    <w:qFormat/>
    <w:uiPriority w:val="0"/>
    <w:pPr>
      <w:ind w:leftChars="200"/>
    </w:pPr>
    <w:rPr>
      <w:rFonts w:ascii="Times New Roman" w:hAnsi="Times New Roman" w:eastAsia="宋体" w:cs="Times New Roman"/>
      <w:sz w:val="20"/>
      <w:szCs w:val="20"/>
    </w:rPr>
  </w:style>
  <w:style w:type="paragraph" w:customStyle="1" w:styleId="66">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7">
    <w:name w:val=" Char Char Char Char"/>
    <w:basedOn w:val="1"/>
    <w:autoRedefine/>
    <w:qFormat/>
    <w:uiPriority w:val="0"/>
    <w:pPr>
      <w:tabs>
        <w:tab w:val="left" w:pos="360"/>
      </w:tabs>
      <w:ind w:firstLine="420" w:firstLineChars="150"/>
    </w:pPr>
    <w:rPr>
      <w:rFonts w:ascii="Arial" w:hAnsi="Arial" w:cs="Arial"/>
      <w:sz w:val="20"/>
    </w:rPr>
  </w:style>
  <w:style w:type="paragraph" w:customStyle="1" w:styleId="68">
    <w:name w:val="Plain Text1"/>
    <w:basedOn w:val="1"/>
    <w:autoRedefine/>
    <w:qFormat/>
    <w:uiPriority w:val="99"/>
    <w:rPr>
      <w:rFonts w:ascii="宋体" w:hAnsi="Courier New"/>
    </w:rPr>
  </w:style>
  <w:style w:type="paragraph" w:customStyle="1" w:styleId="69">
    <w:name w:val="Char Char Char"/>
    <w:basedOn w:val="1"/>
    <w:autoRedefine/>
    <w:qFormat/>
    <w:uiPriority w:val="0"/>
    <w:pPr>
      <w:widowControl/>
      <w:spacing w:after="160" w:line="240" w:lineRule="exact"/>
      <w:jc w:val="left"/>
    </w:pPr>
    <w:rPr>
      <w:szCs w:val="24"/>
    </w:rPr>
  </w:style>
  <w:style w:type="paragraph" w:customStyle="1" w:styleId="70">
    <w:name w:val="正文缩进1"/>
    <w:basedOn w:val="1"/>
    <w:autoRedefine/>
    <w:qFormat/>
    <w:uiPriority w:val="0"/>
    <w:pPr>
      <w:autoSpaceDE w:val="0"/>
      <w:autoSpaceDN w:val="0"/>
      <w:adjustRightInd w:val="0"/>
      <w:ind w:firstLine="420"/>
    </w:pPr>
    <w:rPr>
      <w:rFonts w:ascii="宋体" w:hAnsi="Calibri"/>
      <w:szCs w:val="22"/>
    </w:rPr>
  </w:style>
  <w:style w:type="paragraph" w:customStyle="1" w:styleId="71">
    <w:name w:val="Normal"/>
    <w:autoRedefine/>
    <w:qFormat/>
    <w:uiPriority w:val="0"/>
    <w:rPr>
      <w:rFonts w:ascii="Times New Roman" w:hAnsi="Times New Roman" w:eastAsia="Times New Roman" w:cs="Times New Roman"/>
      <w:sz w:val="24"/>
      <w:szCs w:val="24"/>
      <w:lang w:val="en-US" w:eastAsia="zh-CN" w:bidi="ar-SA"/>
    </w:rPr>
  </w:style>
  <w:style w:type="paragraph" w:customStyle="1" w:styleId="72">
    <w:name w:val="List 2"/>
    <w:basedOn w:val="1"/>
    <w:autoRedefine/>
    <w:qFormat/>
    <w:uiPriority w:val="0"/>
    <w:pPr>
      <w:spacing w:beforeAutospacing="1" w:afterAutospacing="1" w:line="360" w:lineRule="auto"/>
      <w:ind w:left="100" w:leftChars="200" w:hanging="200" w:hangingChars="200"/>
      <w:contextualSpacing/>
    </w:pPr>
    <w:rPr>
      <w:sz w:val="24"/>
    </w:rPr>
  </w:style>
  <w:style w:type="paragraph" w:customStyle="1" w:styleId="73">
    <w:name w:val="_Style 62"/>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_Style 7"/>
    <w:basedOn w:val="1"/>
    <w:autoRedefine/>
    <w:qFormat/>
    <w:uiPriority w:val="0"/>
    <w:pPr>
      <w:tabs>
        <w:tab w:val="left" w:pos="360"/>
      </w:tabs>
      <w:ind w:firstLine="420" w:firstLineChars="150"/>
    </w:pPr>
    <w:rPr>
      <w:rFonts w:ascii="Arial" w:hAnsi="Arial" w:cs="Arial"/>
      <w:sz w:val="20"/>
    </w:rPr>
  </w:style>
  <w:style w:type="paragraph" w:customStyle="1" w:styleId="75">
    <w:name w:val="_Style 11"/>
    <w:basedOn w:val="1"/>
    <w:autoRedefine/>
    <w:qFormat/>
    <w:uiPriority w:val="0"/>
    <w:pPr>
      <w:tabs>
        <w:tab w:val="left" w:pos="360"/>
      </w:tabs>
      <w:ind w:firstLine="420" w:firstLineChars="150"/>
    </w:pPr>
    <w:rPr>
      <w:rFonts w:ascii="Arial" w:hAnsi="Arial" w:cs="Arial"/>
      <w:sz w:val="20"/>
    </w:rPr>
  </w:style>
  <w:style w:type="paragraph" w:customStyle="1" w:styleId="76">
    <w:name w:val="p15"/>
    <w:basedOn w:val="1"/>
    <w:autoRedefine/>
    <w:qFormat/>
    <w:uiPriority w:val="0"/>
    <w:pPr>
      <w:widowControl/>
    </w:pPr>
    <w:rPr>
      <w:rFonts w:ascii="宋体" w:hAnsi="宋体" w:cs="宋体"/>
      <w:kern w:val="0"/>
      <w:szCs w:val="21"/>
    </w:rPr>
  </w:style>
  <w:style w:type="paragraph" w:customStyle="1" w:styleId="77">
    <w:name w:val="正文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8">
    <w:name w:val="正文1"/>
    <w:basedOn w:val="1"/>
    <w:autoRedefine/>
    <w:qFormat/>
    <w:uiPriority w:val="0"/>
    <w:pPr>
      <w:spacing w:before="156" w:beforeLines="50" w:line="360" w:lineRule="auto"/>
      <w:ind w:firstLine="420" w:firstLineChars="200"/>
    </w:pPr>
    <w:rPr>
      <w:rFonts w:ascii="宋体" w:hAnsi="宋体"/>
      <w:iCs/>
      <w:szCs w:val="21"/>
    </w:rPr>
  </w:style>
  <w:style w:type="paragraph" w:customStyle="1" w:styleId="79">
    <w:name w:val="样式 标题 2 + 宋体 五号 非加粗 黑色"/>
    <w:basedOn w:val="5"/>
    <w:autoRedefine/>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80">
    <w:name w:val="正文序号 1"/>
    <w:basedOn w:val="1"/>
    <w:autoRedefine/>
    <w:qFormat/>
    <w:uiPriority w:val="0"/>
    <w:pPr>
      <w:numPr>
        <w:ilvl w:val="0"/>
        <w:numId w:val="3"/>
      </w:numPr>
      <w:tabs>
        <w:tab w:val="left" w:pos="502"/>
        <w:tab w:val="left" w:pos="839"/>
      </w:tabs>
      <w:spacing w:before="60"/>
    </w:pPr>
    <w:rPr>
      <w:szCs w:val="24"/>
    </w:rPr>
  </w:style>
  <w:style w:type="paragraph" w:customStyle="1" w:styleId="81">
    <w:name w:val="p0"/>
    <w:basedOn w:val="1"/>
    <w:autoRedefine/>
    <w:qFormat/>
    <w:uiPriority w:val="0"/>
    <w:pPr>
      <w:widowControl/>
      <w:jc w:val="left"/>
    </w:pPr>
    <w:rPr>
      <w:kern w:val="0"/>
      <w:szCs w:val="21"/>
    </w:rPr>
  </w:style>
  <w:style w:type="paragraph" w:customStyle="1" w:styleId="82">
    <w:name w:val="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83">
    <w:name w:val="样式 标题 4 + 段前: 5 磅 段后: 5 磅 行距: 单倍行距"/>
    <w:basedOn w:val="7"/>
    <w:autoRedefine/>
    <w:qFormat/>
    <w:uiPriority w:val="0"/>
    <w:pPr>
      <w:spacing w:before="100" w:after="100" w:line="240" w:lineRule="auto"/>
    </w:pPr>
    <w:rPr>
      <w:rFonts w:cs="宋体"/>
      <w:szCs w:val="20"/>
    </w:rPr>
  </w:style>
  <w:style w:type="paragraph" w:customStyle="1" w:styleId="84">
    <w:name w:val=" Char"/>
    <w:basedOn w:val="1"/>
    <w:autoRedefine/>
    <w:qFormat/>
    <w:uiPriority w:val="0"/>
    <w:pPr>
      <w:widowControl/>
      <w:spacing w:after="160" w:afterLines="0" w:line="240" w:lineRule="exact"/>
      <w:jc w:val="left"/>
    </w:pPr>
    <w:rPr>
      <w:rFonts w:ascii="Verdana" w:hAnsi="Verdana" w:cs="Verdana"/>
      <w:kern w:val="0"/>
      <w:szCs w:val="21"/>
      <w:lang w:eastAsia="en-US"/>
    </w:rPr>
  </w:style>
  <w:style w:type="paragraph" w:customStyle="1" w:styleId="85">
    <w:name w:val="列出段落1"/>
    <w:basedOn w:val="1"/>
    <w:autoRedefine/>
    <w:qFormat/>
    <w:uiPriority w:val="34"/>
    <w:pPr>
      <w:ind w:firstLine="420" w:firstLineChars="200"/>
    </w:pPr>
  </w:style>
  <w:style w:type="paragraph" w:customStyle="1" w:styleId="8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Char"/>
    <w:basedOn w:val="1"/>
    <w:autoRedefine/>
    <w:qFormat/>
    <w:uiPriority w:val="0"/>
    <w:pPr>
      <w:tabs>
        <w:tab w:val="left" w:pos="360"/>
      </w:tabs>
      <w:spacing w:line="360" w:lineRule="auto"/>
      <w:ind w:firstLine="480" w:firstLineChars="200"/>
    </w:pPr>
    <w:rPr>
      <w:rFonts w:ascii="楷体_GB2312" w:eastAsia="楷体_GB2312"/>
      <w:sz w:val="24"/>
      <w:szCs w:val="24"/>
    </w:rPr>
  </w:style>
  <w:style w:type="paragraph" w:customStyle="1" w:styleId="88">
    <w:name w:val="表头文本"/>
    <w:basedOn w:val="1"/>
    <w:autoRedefine/>
    <w:qFormat/>
    <w:uiPriority w:val="0"/>
    <w:pPr>
      <w:autoSpaceDE w:val="0"/>
      <w:autoSpaceDN w:val="0"/>
      <w:adjustRightInd w:val="0"/>
      <w:jc w:val="center"/>
    </w:pPr>
    <w:rPr>
      <w:b/>
      <w:kern w:val="0"/>
      <w:sz w:val="24"/>
    </w:rPr>
  </w:style>
  <w:style w:type="paragraph" w:customStyle="1" w:styleId="89">
    <w:name w:val="默认段落字体 Para Char Char Char Char Char Char Char Char Char Char Char Char Char Char Char Char"/>
    <w:basedOn w:val="1"/>
    <w:autoRedefine/>
    <w:qFormat/>
    <w:uiPriority w:val="0"/>
    <w:rPr>
      <w:rFonts w:ascii="Tahoma" w:hAnsi="Tahoma"/>
      <w:sz w:val="24"/>
    </w:rPr>
  </w:style>
  <w:style w:type="paragraph" w:customStyle="1" w:styleId="90">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样式2"/>
    <w:basedOn w:val="1"/>
    <w:autoRedefine/>
    <w:qFormat/>
    <w:uiPriority w:val="0"/>
    <w:pPr>
      <w:spacing w:line="560" w:lineRule="exact"/>
      <w:ind w:firstLine="601"/>
    </w:pPr>
    <w:rPr>
      <w:rFonts w:eastAsia="宋体"/>
      <w:kern w:val="2"/>
      <w:sz w:val="28"/>
      <w:lang w:val="en-US" w:eastAsia="zh-CN" w:bidi="ar-SA"/>
    </w:rPr>
  </w:style>
  <w:style w:type="paragraph" w:customStyle="1" w:styleId="9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标题 3_0"/>
    <w:basedOn w:val="77"/>
    <w:next w:val="77"/>
    <w:link w:val="124"/>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94">
    <w:name w:val="附件正文"/>
    <w:basedOn w:val="1"/>
    <w:autoRedefine/>
    <w:qFormat/>
    <w:uiPriority w:val="0"/>
    <w:pPr>
      <w:snapToGrid w:val="0"/>
      <w:spacing w:line="500" w:lineRule="exact"/>
      <w:ind w:firstLine="540" w:firstLineChars="225"/>
    </w:pPr>
    <w:rPr>
      <w:kern w:val="0"/>
      <w:sz w:val="24"/>
      <w:szCs w:val="24"/>
    </w:rPr>
  </w:style>
  <w:style w:type="paragraph" w:styleId="95">
    <w:name w:val="List Paragraph"/>
    <w:basedOn w:val="1"/>
    <w:autoRedefine/>
    <w:qFormat/>
    <w:uiPriority w:val="0"/>
    <w:pPr>
      <w:ind w:firstLine="420" w:firstLineChars="200"/>
    </w:pPr>
    <w:rPr>
      <w:rFonts w:ascii="Calibri" w:hAnsi="Calibri"/>
      <w:szCs w:val="22"/>
    </w:rPr>
  </w:style>
  <w:style w:type="paragraph" w:customStyle="1" w:styleId="96">
    <w:name w:val="正文文字"/>
    <w:basedOn w:val="1"/>
    <w:link w:val="123"/>
    <w:autoRedefine/>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7">
    <w:name w:val="WPSOffice手动目录 3"/>
    <w:autoRedefine/>
    <w:qFormat/>
    <w:uiPriority w:val="0"/>
    <w:pPr>
      <w:ind w:leftChars="400"/>
    </w:pPr>
    <w:rPr>
      <w:rFonts w:ascii="Times New Roman" w:hAnsi="Times New Roman" w:eastAsia="宋体" w:cs="Times New Roman"/>
      <w:sz w:val="20"/>
      <w:szCs w:val="20"/>
    </w:rPr>
  </w:style>
  <w:style w:type="character" w:customStyle="1" w:styleId="98">
    <w:name w:val="批注文字 Char1"/>
    <w:basedOn w:val="48"/>
    <w:link w:val="20"/>
    <w:autoRedefine/>
    <w:qFormat/>
    <w:uiPriority w:val="0"/>
    <w:rPr>
      <w:kern w:val="2"/>
      <w:sz w:val="21"/>
    </w:rPr>
  </w:style>
  <w:style w:type="character" w:customStyle="1" w:styleId="99">
    <w:name w:val="批注文字 Char"/>
    <w:autoRedefine/>
    <w:qFormat/>
    <w:uiPriority w:val="0"/>
    <w:rPr>
      <w:rFonts w:eastAsia="宋体"/>
      <w:kern w:val="2"/>
      <w:sz w:val="21"/>
      <w:szCs w:val="24"/>
      <w:lang w:val="en-US" w:eastAsia="zh-CN" w:bidi="ar-SA"/>
    </w:rPr>
  </w:style>
  <w:style w:type="character" w:customStyle="1" w:styleId="100">
    <w:name w:val="font41"/>
    <w:basedOn w:val="48"/>
    <w:autoRedefine/>
    <w:qFormat/>
    <w:uiPriority w:val="0"/>
    <w:rPr>
      <w:rFonts w:hint="eastAsia" w:ascii="宋体" w:hAnsi="宋体" w:eastAsia="宋体" w:cs="宋体"/>
      <w:color w:val="000000"/>
      <w:sz w:val="20"/>
      <w:szCs w:val="20"/>
      <w:u w:val="none"/>
    </w:rPr>
  </w:style>
  <w:style w:type="character" w:customStyle="1" w:styleId="101">
    <w:name w:val="font141"/>
    <w:basedOn w:val="48"/>
    <w:autoRedefine/>
    <w:qFormat/>
    <w:uiPriority w:val="0"/>
    <w:rPr>
      <w:rFonts w:hint="eastAsia" w:ascii="宋体" w:hAnsi="宋体" w:eastAsia="宋体" w:cs="宋体"/>
      <w:color w:val="000000"/>
      <w:sz w:val="24"/>
      <w:szCs w:val="24"/>
      <w:u w:val="none"/>
    </w:rPr>
  </w:style>
  <w:style w:type="character" w:customStyle="1" w:styleId="102">
    <w:name w:val="font51"/>
    <w:basedOn w:val="48"/>
    <w:autoRedefine/>
    <w:qFormat/>
    <w:uiPriority w:val="0"/>
    <w:rPr>
      <w:rFonts w:hint="eastAsia" w:ascii="宋体" w:hAnsi="宋体" w:eastAsia="宋体" w:cs="宋体"/>
      <w:color w:val="FF0000"/>
      <w:sz w:val="20"/>
      <w:szCs w:val="20"/>
      <w:u w:val="none"/>
    </w:rPr>
  </w:style>
  <w:style w:type="character" w:customStyle="1" w:styleId="103">
    <w:name w:val="正文文本缩进 3 Char"/>
    <w:basedOn w:val="48"/>
    <w:link w:val="38"/>
    <w:autoRedefine/>
    <w:qFormat/>
    <w:uiPriority w:val="0"/>
    <w:rPr>
      <w:rFonts w:eastAsia="黑体"/>
      <w:b/>
      <w:bCs/>
      <w:kern w:val="2"/>
      <w:sz w:val="72"/>
      <w:szCs w:val="24"/>
    </w:rPr>
  </w:style>
  <w:style w:type="character" w:customStyle="1" w:styleId="104">
    <w:name w:val="HTML 预设格式 Char"/>
    <w:basedOn w:val="48"/>
    <w:link w:val="41"/>
    <w:autoRedefine/>
    <w:qFormat/>
    <w:uiPriority w:val="0"/>
    <w:rPr>
      <w:rFonts w:ascii="宋体" w:hAnsi="宋体"/>
      <w:sz w:val="24"/>
      <w:szCs w:val="24"/>
    </w:rPr>
  </w:style>
  <w:style w:type="character" w:customStyle="1" w:styleId="105">
    <w:name w:val="font31"/>
    <w:basedOn w:val="48"/>
    <w:autoRedefine/>
    <w:qFormat/>
    <w:uiPriority w:val="0"/>
    <w:rPr>
      <w:rFonts w:hint="eastAsia" w:ascii="宋体" w:hAnsi="宋体" w:eastAsia="宋体" w:cs="宋体"/>
      <w:color w:val="000000"/>
      <w:sz w:val="16"/>
      <w:szCs w:val="16"/>
      <w:u w:val="none"/>
    </w:rPr>
  </w:style>
  <w:style w:type="character" w:customStyle="1" w:styleId="106">
    <w:name w:val="标题 3 Char"/>
    <w:basedOn w:val="48"/>
    <w:link w:val="6"/>
    <w:autoRedefine/>
    <w:qFormat/>
    <w:uiPriority w:val="0"/>
    <w:rPr>
      <w:b/>
      <w:bCs/>
      <w:kern w:val="2"/>
      <w:sz w:val="32"/>
      <w:szCs w:val="32"/>
    </w:rPr>
  </w:style>
  <w:style w:type="character" w:customStyle="1" w:styleId="107">
    <w:name w:val="正文文本缩进 Char"/>
    <w:autoRedefine/>
    <w:qFormat/>
    <w:uiPriority w:val="0"/>
    <w:rPr>
      <w:rFonts w:eastAsia="宋体"/>
      <w:kern w:val="2"/>
      <w:sz w:val="24"/>
      <w:szCs w:val="24"/>
      <w:lang w:val="en-US" w:eastAsia="zh-CN" w:bidi="ar-SA"/>
    </w:rPr>
  </w:style>
  <w:style w:type="character" w:customStyle="1" w:styleId="108">
    <w:name w:val="font11"/>
    <w:basedOn w:val="48"/>
    <w:autoRedefine/>
    <w:qFormat/>
    <w:uiPriority w:val="0"/>
    <w:rPr>
      <w:rFonts w:hint="eastAsia" w:ascii="宋体" w:hAnsi="宋体" w:eastAsia="宋体" w:cs="宋体"/>
      <w:color w:val="000000"/>
      <w:sz w:val="16"/>
      <w:szCs w:val="16"/>
      <w:u w:val="none"/>
    </w:rPr>
  </w:style>
  <w:style w:type="character" w:customStyle="1" w:styleId="109">
    <w:name w:val="font01"/>
    <w:basedOn w:val="48"/>
    <w:autoRedefine/>
    <w:qFormat/>
    <w:uiPriority w:val="0"/>
    <w:rPr>
      <w:rFonts w:hint="eastAsia" w:ascii="宋体" w:hAnsi="宋体" w:eastAsia="宋体" w:cs="宋体"/>
      <w:color w:val="000000"/>
      <w:sz w:val="24"/>
      <w:szCs w:val="24"/>
      <w:u w:val="none"/>
    </w:rPr>
  </w:style>
  <w:style w:type="character" w:customStyle="1" w:styleId="110">
    <w:name w:val="正文文本 Char1"/>
    <w:basedOn w:val="48"/>
    <w:link w:val="22"/>
    <w:autoRedefine/>
    <w:qFormat/>
    <w:uiPriority w:val="0"/>
    <w:rPr>
      <w:kern w:val="2"/>
      <w:sz w:val="21"/>
    </w:rPr>
  </w:style>
  <w:style w:type="character" w:customStyle="1" w:styleId="111">
    <w:name w:val="批注主题 Char"/>
    <w:basedOn w:val="98"/>
    <w:link w:val="44"/>
    <w:autoRedefine/>
    <w:qFormat/>
    <w:uiPriority w:val="0"/>
  </w:style>
  <w:style w:type="character" w:customStyle="1" w:styleId="112">
    <w:name w:val="标题 6 Char"/>
    <w:basedOn w:val="48"/>
    <w:link w:val="9"/>
    <w:autoRedefine/>
    <w:qFormat/>
    <w:uiPriority w:val="0"/>
    <w:rPr>
      <w:rFonts w:eastAsia="黑体"/>
      <w:b/>
      <w:bCs/>
      <w:sz w:val="24"/>
      <w:szCs w:val="24"/>
    </w:rPr>
  </w:style>
  <w:style w:type="character" w:customStyle="1" w:styleId="113">
    <w:name w:val="font151"/>
    <w:basedOn w:val="48"/>
    <w:autoRedefine/>
    <w:qFormat/>
    <w:uiPriority w:val="0"/>
    <w:rPr>
      <w:rFonts w:hint="default" w:ascii="Times New Roman" w:hAnsi="Times New Roman" w:cs="Times New Roman"/>
      <w:color w:val="000000"/>
      <w:sz w:val="20"/>
      <w:szCs w:val="20"/>
      <w:u w:val="none"/>
    </w:rPr>
  </w:style>
  <w:style w:type="character" w:customStyle="1" w:styleId="114">
    <w:name w:val="font61"/>
    <w:basedOn w:val="48"/>
    <w:autoRedefine/>
    <w:qFormat/>
    <w:uiPriority w:val="0"/>
    <w:rPr>
      <w:rFonts w:hint="eastAsia" w:ascii="微软雅黑" w:hAnsi="微软雅黑" w:eastAsia="微软雅黑" w:cs="微软雅黑"/>
      <w:color w:val="000000"/>
      <w:sz w:val="16"/>
      <w:szCs w:val="16"/>
      <w:u w:val="none"/>
    </w:rPr>
  </w:style>
  <w:style w:type="character" w:customStyle="1" w:styleId="115">
    <w:name w:val="文档结构图 Char"/>
    <w:basedOn w:val="48"/>
    <w:link w:val="18"/>
    <w:autoRedefine/>
    <w:qFormat/>
    <w:uiPriority w:val="0"/>
    <w:rPr>
      <w:kern w:val="2"/>
      <w:sz w:val="21"/>
      <w:szCs w:val="24"/>
      <w:shd w:val="clear" w:color="auto" w:fill="000080"/>
    </w:rPr>
  </w:style>
  <w:style w:type="character" w:customStyle="1" w:styleId="116">
    <w:name w:val="页脚 Char"/>
    <w:link w:val="30"/>
    <w:autoRedefine/>
    <w:qFormat/>
    <w:uiPriority w:val="99"/>
    <w:rPr>
      <w:kern w:val="2"/>
      <w:sz w:val="18"/>
      <w:szCs w:val="18"/>
    </w:rPr>
  </w:style>
  <w:style w:type="character" w:customStyle="1" w:styleId="117">
    <w:name w:val="标题 8 Char"/>
    <w:basedOn w:val="48"/>
    <w:link w:val="11"/>
    <w:autoRedefine/>
    <w:qFormat/>
    <w:uiPriority w:val="0"/>
    <w:rPr>
      <w:rFonts w:eastAsia="黑体"/>
      <w:sz w:val="24"/>
      <w:szCs w:val="24"/>
    </w:rPr>
  </w:style>
  <w:style w:type="character" w:customStyle="1" w:styleId="118">
    <w:name w:val="纯文本 Char"/>
    <w:link w:val="25"/>
    <w:autoRedefine/>
    <w:qFormat/>
    <w:uiPriority w:val="0"/>
    <w:rPr>
      <w:rFonts w:ascii="宋体" w:hAnsi="Courier New"/>
      <w:kern w:val="2"/>
      <w:sz w:val="21"/>
    </w:rPr>
  </w:style>
  <w:style w:type="character" w:customStyle="1" w:styleId="119">
    <w:name w:val="font112"/>
    <w:basedOn w:val="48"/>
    <w:autoRedefine/>
    <w:qFormat/>
    <w:uiPriority w:val="0"/>
    <w:rPr>
      <w:rFonts w:hint="eastAsia" w:ascii="宋体" w:hAnsi="宋体" w:eastAsia="宋体" w:cs="宋体"/>
      <w:color w:val="000000"/>
      <w:sz w:val="16"/>
      <w:szCs w:val="16"/>
      <w:u w:val="none"/>
    </w:rPr>
  </w:style>
  <w:style w:type="character" w:customStyle="1" w:styleId="120">
    <w:name w:val="纯文本 Char1"/>
    <w:basedOn w:val="48"/>
    <w:autoRedefine/>
    <w:qFormat/>
    <w:uiPriority w:val="0"/>
    <w:rPr>
      <w:rFonts w:eastAsia="宋体"/>
      <w:kern w:val="2"/>
      <w:sz w:val="24"/>
      <w:lang w:val="en-US" w:eastAsia="zh-CN" w:bidi="ar-SA"/>
    </w:rPr>
  </w:style>
  <w:style w:type="character" w:customStyle="1" w:styleId="121">
    <w:name w:val="正文首行缩进 2 Char"/>
    <w:basedOn w:val="122"/>
    <w:link w:val="2"/>
    <w:autoRedefine/>
    <w:qFormat/>
    <w:uiPriority w:val="0"/>
  </w:style>
  <w:style w:type="character" w:customStyle="1" w:styleId="122">
    <w:name w:val="正文文本缩进 Char1"/>
    <w:basedOn w:val="48"/>
    <w:link w:val="3"/>
    <w:autoRedefine/>
    <w:qFormat/>
    <w:uiPriority w:val="0"/>
    <w:rPr>
      <w:kern w:val="2"/>
      <w:sz w:val="28"/>
    </w:rPr>
  </w:style>
  <w:style w:type="character" w:customStyle="1" w:styleId="123">
    <w:name w:val="正文文字 Char1"/>
    <w:basedOn w:val="48"/>
    <w:link w:val="96"/>
    <w:autoRedefine/>
    <w:qFormat/>
    <w:uiPriority w:val="0"/>
    <w:rPr>
      <w:rFonts w:ascii="宋体"/>
      <w:color w:val="000000"/>
      <w:kern w:val="0"/>
      <w:sz w:val="28"/>
      <w:u w:val="none" w:color="000000"/>
    </w:rPr>
  </w:style>
  <w:style w:type="character" w:customStyle="1" w:styleId="124">
    <w:name w:val="标题 3 Char_0"/>
    <w:link w:val="93"/>
    <w:autoRedefine/>
    <w:qFormat/>
    <w:uiPriority w:val="0"/>
    <w:rPr>
      <w:rFonts w:ascii="宋体" w:hAnsi="宋体"/>
      <w:b/>
      <w:kern w:val="2"/>
      <w:sz w:val="28"/>
      <w:szCs w:val="28"/>
    </w:rPr>
  </w:style>
  <w:style w:type="character" w:customStyle="1" w:styleId="125">
    <w:name w:val="font21"/>
    <w:basedOn w:val="48"/>
    <w:autoRedefine/>
    <w:qFormat/>
    <w:uiPriority w:val="0"/>
    <w:rPr>
      <w:rFonts w:hint="eastAsia" w:ascii="宋体" w:hAnsi="宋体" w:eastAsia="宋体" w:cs="宋体"/>
      <w:color w:val="000000"/>
      <w:sz w:val="22"/>
      <w:szCs w:val="22"/>
      <w:u w:val="none"/>
    </w:rPr>
  </w:style>
  <w:style w:type="character" w:customStyle="1" w:styleId="126">
    <w:name w:val="脚注文本 Char"/>
    <w:basedOn w:val="48"/>
    <w:link w:val="36"/>
    <w:autoRedefine/>
    <w:qFormat/>
    <w:uiPriority w:val="0"/>
    <w:rPr>
      <w:sz w:val="18"/>
    </w:rPr>
  </w:style>
  <w:style w:type="character" w:customStyle="1" w:styleId="127">
    <w:name w:val="副标题 Char"/>
    <w:link w:val="34"/>
    <w:autoRedefine/>
    <w:qFormat/>
    <w:uiPriority w:val="0"/>
    <w:rPr>
      <w:rFonts w:ascii="Cambria" w:hAnsi="Cambria" w:eastAsia="宋体"/>
      <w:b/>
      <w:bCs/>
      <w:kern w:val="28"/>
      <w:sz w:val="32"/>
      <w:szCs w:val="32"/>
      <w:lang w:val="en-US" w:eastAsia="zh-CN" w:bidi="ar-SA"/>
    </w:rPr>
  </w:style>
  <w:style w:type="character" w:customStyle="1" w:styleId="128">
    <w:name w:val=" Char Char3"/>
    <w:autoRedefine/>
    <w:qFormat/>
    <w:uiPriority w:val="0"/>
    <w:rPr>
      <w:rFonts w:eastAsia="宋体"/>
      <w:kern w:val="2"/>
      <w:sz w:val="21"/>
      <w:szCs w:val="24"/>
      <w:lang w:val="en-US" w:eastAsia="zh-CN" w:bidi="ar-SA"/>
    </w:rPr>
  </w:style>
  <w:style w:type="character" w:customStyle="1" w:styleId="129">
    <w:name w:val="正文文本 Char"/>
    <w:link w:val="22"/>
    <w:autoRedefine/>
    <w:qFormat/>
    <w:uiPriority w:val="0"/>
    <w:rPr>
      <w:kern w:val="2"/>
      <w:sz w:val="21"/>
      <w:szCs w:val="24"/>
    </w:rPr>
  </w:style>
  <w:style w:type="character" w:customStyle="1" w:styleId="130">
    <w:name w:val=" Char Char6"/>
    <w:autoRedefine/>
    <w:qFormat/>
    <w:uiPriority w:val="0"/>
    <w:rPr>
      <w:rFonts w:eastAsia="宋体"/>
      <w:kern w:val="2"/>
      <w:sz w:val="21"/>
      <w:szCs w:val="24"/>
      <w:lang w:val="en-US" w:eastAsia="zh-CN" w:bidi="ar-SA"/>
    </w:rPr>
  </w:style>
  <w:style w:type="character" w:customStyle="1" w:styleId="131">
    <w:name w:val="标题 Char"/>
    <w:basedOn w:val="48"/>
    <w:link w:val="43"/>
    <w:autoRedefine/>
    <w:qFormat/>
    <w:uiPriority w:val="0"/>
    <w:rPr>
      <w:rFonts w:ascii="Cambria" w:hAnsi="Cambria"/>
      <w:b/>
      <w:bCs/>
      <w:kern w:val="2"/>
      <w:sz w:val="32"/>
      <w:szCs w:val="32"/>
    </w:rPr>
  </w:style>
  <w:style w:type="character" w:customStyle="1" w:styleId="132">
    <w:name w:val="日期 Char"/>
    <w:basedOn w:val="48"/>
    <w:link w:val="27"/>
    <w:autoRedefine/>
    <w:qFormat/>
    <w:uiPriority w:val="0"/>
    <w:rPr>
      <w:kern w:val="2"/>
      <w:sz w:val="21"/>
      <w:szCs w:val="24"/>
    </w:rPr>
  </w:style>
  <w:style w:type="character" w:customStyle="1" w:styleId="133">
    <w:name w:val="ca-1"/>
    <w:basedOn w:val="48"/>
    <w:autoRedefine/>
    <w:qFormat/>
    <w:uiPriority w:val="0"/>
  </w:style>
  <w:style w:type="character" w:customStyle="1" w:styleId="134">
    <w:name w:val="font101"/>
    <w:basedOn w:val="48"/>
    <w:autoRedefine/>
    <w:qFormat/>
    <w:uiPriority w:val="0"/>
    <w:rPr>
      <w:rFonts w:ascii="Arial Unicode MS" w:hAnsi="Arial Unicode MS" w:eastAsia="Arial Unicode MS" w:cs="Arial Unicode MS"/>
      <w:color w:val="000000"/>
      <w:sz w:val="16"/>
      <w:szCs w:val="16"/>
      <w:u w:val="none"/>
    </w:rPr>
  </w:style>
  <w:style w:type="character" w:customStyle="1" w:styleId="135">
    <w:name w:val="标题 2 Char"/>
    <w:link w:val="5"/>
    <w:autoRedefine/>
    <w:qFormat/>
    <w:uiPriority w:val="0"/>
    <w:rPr>
      <w:rFonts w:ascii="Arial Black" w:hAnsi="Arial Black" w:eastAsia="黑体"/>
      <w:b/>
      <w:bCs/>
      <w:kern w:val="2"/>
      <w:sz w:val="32"/>
      <w:szCs w:val="32"/>
      <w:lang w:val="en-US" w:eastAsia="zh-CN" w:bidi="ar-SA"/>
    </w:rPr>
  </w:style>
  <w:style w:type="character" w:customStyle="1" w:styleId="136">
    <w:name w:val="标题 5 Char"/>
    <w:basedOn w:val="48"/>
    <w:link w:val="8"/>
    <w:autoRedefine/>
    <w:qFormat/>
    <w:uiPriority w:val="0"/>
    <w:rPr>
      <w:b/>
      <w:bCs/>
      <w:sz w:val="28"/>
      <w:szCs w:val="28"/>
    </w:rPr>
  </w:style>
  <w:style w:type="character" w:customStyle="1" w:styleId="137">
    <w:name w:val="标题 7 Char"/>
    <w:basedOn w:val="48"/>
    <w:link w:val="10"/>
    <w:autoRedefine/>
    <w:qFormat/>
    <w:uiPriority w:val="0"/>
    <w:rPr>
      <w:b/>
      <w:bCs/>
      <w:sz w:val="24"/>
      <w:szCs w:val="24"/>
    </w:rPr>
  </w:style>
  <w:style w:type="character" w:customStyle="1" w:styleId="138">
    <w:name w:val="正文文本 3 Char"/>
    <w:basedOn w:val="48"/>
    <w:link w:val="21"/>
    <w:autoRedefine/>
    <w:qFormat/>
    <w:uiPriority w:val="0"/>
    <w:rPr>
      <w:kern w:val="2"/>
      <w:sz w:val="16"/>
      <w:szCs w:val="16"/>
    </w:rPr>
  </w:style>
  <w:style w:type="character" w:customStyle="1" w:styleId="139">
    <w:name w:val="批注框文本 Char"/>
    <w:basedOn w:val="48"/>
    <w:link w:val="29"/>
    <w:autoRedefine/>
    <w:qFormat/>
    <w:uiPriority w:val="0"/>
    <w:rPr>
      <w:kern w:val="2"/>
      <w:sz w:val="18"/>
      <w:szCs w:val="18"/>
    </w:rPr>
  </w:style>
  <w:style w:type="character" w:customStyle="1" w:styleId="140">
    <w:name w:val="正文文本缩进 2 Char"/>
    <w:basedOn w:val="48"/>
    <w:link w:val="28"/>
    <w:autoRedefine/>
    <w:qFormat/>
    <w:uiPriority w:val="0"/>
    <w:rPr>
      <w:kern w:val="2"/>
      <w:sz w:val="21"/>
      <w:szCs w:val="24"/>
    </w:rPr>
  </w:style>
  <w:style w:type="character" w:customStyle="1" w:styleId="141">
    <w:name w:val="标题 9 Char"/>
    <w:basedOn w:val="48"/>
    <w:link w:val="12"/>
    <w:autoRedefine/>
    <w:qFormat/>
    <w:uiPriority w:val="0"/>
    <w:rPr>
      <w:rFonts w:eastAsia="黑体"/>
      <w:sz w:val="21"/>
      <w:szCs w:val="21"/>
    </w:rPr>
  </w:style>
  <w:style w:type="character" w:customStyle="1" w:styleId="142">
    <w:name w:val="标题 4 Char"/>
    <w:basedOn w:val="48"/>
    <w:link w:val="7"/>
    <w:autoRedefine/>
    <w:qFormat/>
    <w:uiPriority w:val="0"/>
    <w:rPr>
      <w:rFonts w:eastAsia="黑体"/>
      <w:b/>
      <w:bCs/>
      <w:sz w:val="28"/>
      <w:szCs w:val="28"/>
    </w:rPr>
  </w:style>
  <w:style w:type="character" w:customStyle="1" w:styleId="143">
    <w:name w:val="font91"/>
    <w:basedOn w:val="48"/>
    <w:autoRedefine/>
    <w:qFormat/>
    <w:uiPriority w:val="0"/>
    <w:rPr>
      <w:rFonts w:hint="eastAsia" w:ascii="宋体" w:hAnsi="宋体" w:eastAsia="宋体" w:cs="宋体"/>
      <w:b/>
      <w:color w:val="FF0000"/>
      <w:sz w:val="20"/>
      <w:szCs w:val="20"/>
      <w:u w:val="none"/>
    </w:rPr>
  </w:style>
  <w:style w:type="paragraph" w:customStyle="1" w:styleId="144">
    <w:name w:val="Table Paragraph"/>
    <w:basedOn w:val="1"/>
    <w:autoRedefine/>
    <w:qFormat/>
    <w:uiPriority w:val="1"/>
    <w:rPr>
      <w:rFonts w:ascii="宋体" w:hAnsi="宋体" w:eastAsia="宋体" w:cs="宋体"/>
      <w:lang w:val="zh-CN" w:eastAsia="zh-CN" w:bidi="zh-CN"/>
    </w:rPr>
  </w:style>
  <w:style w:type="paragraph" w:customStyle="1" w:styleId="145">
    <w:name w:val="图"/>
    <w:basedOn w:val="1"/>
    <w:autoRedefine/>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46">
    <w:name w:val="样式3"/>
    <w:basedOn w:val="25"/>
    <w:autoRedefine/>
    <w:qFormat/>
    <w:uiPriority w:val="0"/>
    <w:pPr>
      <w:spacing w:line="0" w:lineRule="atLeast"/>
      <w:outlineLvl w:val="0"/>
    </w:pPr>
    <w:rPr>
      <w:sz w:val="28"/>
    </w:rPr>
  </w:style>
  <w:style w:type="paragraph" w:customStyle="1" w:styleId="147">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148">
    <w:name w:val="标题 3 字符"/>
    <w:basedOn w:val="48"/>
    <w:link w:val="6"/>
    <w:autoRedefine/>
    <w:semiHidden/>
    <w:qFormat/>
    <w:locked/>
    <w:uiPriority w:val="99"/>
    <w:rPr>
      <w:rFonts w:cs="Times New Roman"/>
      <w:b/>
      <w:bCs/>
      <w:sz w:val="32"/>
      <w:szCs w:val="32"/>
    </w:rPr>
  </w:style>
  <w:style w:type="character" w:customStyle="1" w:styleId="149">
    <w:name w:val="NormalCharacter"/>
    <w:autoRedefine/>
    <w:qFormat/>
    <w:uiPriority w:val="0"/>
    <w:rPr>
      <w:rFonts w:ascii="Times New Roman" w:hAnsi="Times New Roman" w:eastAsia="宋体"/>
      <w:kern w:val="2"/>
      <w:sz w:val="21"/>
      <w:lang w:val="en-US" w:eastAsia="zh-CN" w:bidi="ar-SA"/>
    </w:rPr>
  </w:style>
  <w:style w:type="paragraph" w:customStyle="1" w:styleId="150">
    <w:name w:val="UserStyle_10"/>
    <w:basedOn w:val="1"/>
    <w:autoRedefine/>
    <w:qFormat/>
    <w:uiPriority w:val="0"/>
    <w:pPr>
      <w:jc w:val="left"/>
    </w:pPr>
    <w:rPr>
      <w:rFonts w:ascii="宋体" w:hAnsi="宋体"/>
      <w:kern w:val="0"/>
    </w:rPr>
  </w:style>
  <w:style w:type="paragraph" w:customStyle="1" w:styleId="151">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52">
    <w:name w:val="样式 左侧:  0.74 厘米"/>
    <w:basedOn w:val="1"/>
    <w:qFormat/>
    <w:uiPriority w:val="0"/>
    <w:pPr>
      <w:spacing w:line="360" w:lineRule="auto"/>
      <w:ind w:left="620" w:hanging="200" w:hangingChars="200"/>
    </w:pPr>
    <w:rPr>
      <w:rFonts w:ascii="Times New Roman" w:hAnsi="Times New Roman"/>
      <w:kern w:val="0"/>
      <w:sz w:val="20"/>
      <w:szCs w:val="20"/>
    </w:rPr>
  </w:style>
  <w:style w:type="paragraph" w:customStyle="1" w:styleId="15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55">
    <w:name w:val="纯文本1"/>
    <w:basedOn w:val="1"/>
    <w:qFormat/>
    <w:uiPriority w:val="0"/>
    <w:rPr>
      <w:rFonts w:ascii="宋体" w:hAnsi="Courier New" w:eastAsia="宋体" w:cs="Times New Roman"/>
      <w:szCs w:val="22"/>
    </w:rPr>
  </w:style>
  <w:style w:type="paragraph" w:customStyle="1" w:styleId="156">
    <w:name w:val="表格文字2"/>
    <w:basedOn w:val="78"/>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157">
    <w:name w:val="引用1"/>
    <w:next w:val="1"/>
    <w:qFormat/>
    <w:uiPriority w:val="99"/>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58">
    <w:name w:val="BodyText"/>
    <w:basedOn w:val="1"/>
    <w:next w:val="1"/>
    <w:qFormat/>
    <w:uiPriority w:val="0"/>
    <w:pPr>
      <w:tabs>
        <w:tab w:val="left" w:pos="9214"/>
      </w:tabs>
      <w:spacing w:after="120" w:line="400" w:lineRule="atLeast"/>
      <w:ind w:right="-58" w:firstLine="600"/>
      <w:textAlignment w:val="bottom"/>
    </w:pPr>
    <w:rPr>
      <w:rFonts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0" Type="http://schemas.openxmlformats.org/officeDocument/2006/relationships/fontTable" Target="fontTable.xml"/><Relationship Id="rId7" Type="http://schemas.openxmlformats.org/officeDocument/2006/relationships/footer" Target="footer4.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50.png"/><Relationship Id="rId66" Type="http://schemas.openxmlformats.org/officeDocument/2006/relationships/image" Target="media/image49.png"/><Relationship Id="rId65" Type="http://schemas.openxmlformats.org/officeDocument/2006/relationships/image" Target="media/image48.png"/><Relationship Id="rId64" Type="http://schemas.openxmlformats.org/officeDocument/2006/relationships/image" Target="media/image47.png"/><Relationship Id="rId63" Type="http://schemas.openxmlformats.org/officeDocument/2006/relationships/image" Target="media/image46.png"/><Relationship Id="rId62" Type="http://schemas.openxmlformats.org/officeDocument/2006/relationships/image" Target="media/image45.png"/><Relationship Id="rId61" Type="http://schemas.openxmlformats.org/officeDocument/2006/relationships/image" Target="media/image44.png"/><Relationship Id="rId60" Type="http://schemas.openxmlformats.org/officeDocument/2006/relationships/image" Target="media/image43.png"/><Relationship Id="rId6" Type="http://schemas.openxmlformats.org/officeDocument/2006/relationships/footer" Target="footer3.xml"/><Relationship Id="rId59" Type="http://schemas.openxmlformats.org/officeDocument/2006/relationships/image" Target="media/image42.png"/><Relationship Id="rId58" Type="http://schemas.openxmlformats.org/officeDocument/2006/relationships/image" Target="media/image41.png"/><Relationship Id="rId57" Type="http://schemas.openxmlformats.org/officeDocument/2006/relationships/image" Target="media/image40.png"/><Relationship Id="rId56" Type="http://schemas.openxmlformats.org/officeDocument/2006/relationships/image" Target="media/image39.png"/><Relationship Id="rId55" Type="http://schemas.openxmlformats.org/officeDocument/2006/relationships/image" Target="media/image38.png"/><Relationship Id="rId54" Type="http://schemas.openxmlformats.org/officeDocument/2006/relationships/image" Target="media/image37.png"/><Relationship Id="rId53" Type="http://schemas.openxmlformats.org/officeDocument/2006/relationships/image" Target="media/image36.png"/><Relationship Id="rId52" Type="http://schemas.openxmlformats.org/officeDocument/2006/relationships/image" Target="media/image35.png"/><Relationship Id="rId51" Type="http://schemas.openxmlformats.org/officeDocument/2006/relationships/image" Target="media/image34.png"/><Relationship Id="rId50" Type="http://schemas.openxmlformats.org/officeDocument/2006/relationships/image" Target="media/image33.png"/><Relationship Id="rId5" Type="http://schemas.openxmlformats.org/officeDocument/2006/relationships/footer" Target="footer2.xml"/><Relationship Id="rId49" Type="http://schemas.openxmlformats.org/officeDocument/2006/relationships/image" Target="media/image32.png"/><Relationship Id="rId48" Type="http://schemas.openxmlformats.org/officeDocument/2006/relationships/image" Target="media/image31.png"/><Relationship Id="rId47" Type="http://schemas.openxmlformats.org/officeDocument/2006/relationships/image" Target="media/image30.png"/><Relationship Id="rId46" Type="http://schemas.openxmlformats.org/officeDocument/2006/relationships/image" Target="media/image29.png"/><Relationship Id="rId45" Type="http://schemas.openxmlformats.org/officeDocument/2006/relationships/image" Target="media/image28.png"/><Relationship Id="rId44" Type="http://schemas.openxmlformats.org/officeDocument/2006/relationships/image" Target="media/image27.png"/><Relationship Id="rId43" Type="http://schemas.openxmlformats.org/officeDocument/2006/relationships/image" Target="media/image26.png"/><Relationship Id="rId42" Type="http://schemas.openxmlformats.org/officeDocument/2006/relationships/image" Target="media/image25.png"/><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96</Pages>
  <Words>20151</Words>
  <Characters>21895</Characters>
  <Lines>1</Lines>
  <Paragraphs>1</Paragraphs>
  <TotalTime>2</TotalTime>
  <ScaleCrop>false</ScaleCrop>
  <LinksUpToDate>false</LinksUpToDate>
  <CharactersWithSpaces>23723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Administrator</cp:lastModifiedBy>
  <cp:lastPrinted>2022-12-27T09:19:00Z</cp:lastPrinted>
  <dcterms:modified xsi:type="dcterms:W3CDTF">2025-07-02T10:44:41Z</dcterms:modified>
  <dc:title>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1F96577B06BF47078F781C9D94DFD8BC_13</vt:lpwstr>
  </property>
  <property fmtid="{D5CDD505-2E9C-101B-9397-08002B2CF9AE}" pid="4" name="KSOTemplateDocerSaveRecord">
    <vt:lpwstr>eyJoZGlkIjoiN2RjNThkOGExNzI3ZWY2OTI5YzZjZWJhNjUwNTE4ZDciLCJ1c2VySWQiOiIzNTgyMDI5NzkifQ==</vt:lpwstr>
  </property>
</Properties>
</file>