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5AC24">
      <w:pPr>
        <w:shd w:val="clear" w:color="auto" w:fill="auto"/>
        <w:jc w:val="center"/>
        <w:outlineLvl w:val="9"/>
        <w:rPr>
          <w:rFonts w:hint="eastAsia" w:ascii="宋体"/>
          <w:b/>
          <w:color w:val="auto"/>
          <w:sz w:val="28"/>
          <w:szCs w:val="28"/>
          <w:highlight w:val="none"/>
        </w:rPr>
      </w:pPr>
    </w:p>
    <w:p w14:paraId="28161D1F">
      <w:pPr>
        <w:shd w:val="clear" w:color="auto" w:fill="auto"/>
        <w:spacing w:after="156" w:afterLines="50"/>
        <w:ind w:left="-850" w:leftChars="-405" w:right="-625"/>
        <w:jc w:val="center"/>
        <w:outlineLvl w:val="9"/>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阿图什市基层医疗卫生机构改造提升项目</w:t>
      </w:r>
    </w:p>
    <w:p w14:paraId="67A0D81F">
      <w:pPr>
        <w:shd w:val="clear" w:color="auto" w:fill="auto"/>
        <w:spacing w:after="156" w:afterLines="50"/>
        <w:ind w:left="-850" w:leftChars="-405" w:right="-625"/>
        <w:jc w:val="center"/>
        <w:outlineLvl w:val="9"/>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设备采购</w:t>
      </w:r>
    </w:p>
    <w:p w14:paraId="5794107C">
      <w:pPr>
        <w:shd w:val="clear" w:color="auto" w:fill="auto"/>
        <w:spacing w:after="156" w:afterLines="50"/>
        <w:ind w:left="-850" w:leftChars="-405" w:right="-625"/>
        <w:jc w:val="center"/>
        <w:outlineLvl w:val="9"/>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项目编号：</w:t>
      </w:r>
      <w:r>
        <w:rPr>
          <w:rFonts w:hint="eastAsia" w:ascii="仿宋" w:hAnsi="仿宋" w:eastAsia="仿宋" w:cs="仿宋"/>
          <w:bCs/>
          <w:color w:val="auto"/>
          <w:sz w:val="28"/>
          <w:szCs w:val="28"/>
          <w:highlight w:val="none"/>
          <w:lang w:val="en-US" w:eastAsia="zh-CN"/>
        </w:rPr>
        <w:t>ATSCG-2025051</w:t>
      </w:r>
    </w:p>
    <w:p w14:paraId="6601C3F0">
      <w:pPr>
        <w:shd w:val="clear" w:color="auto" w:fill="auto"/>
        <w:outlineLvl w:val="9"/>
        <w:rPr>
          <w:rFonts w:hint="eastAsia" w:ascii="仿宋" w:hAnsi="仿宋" w:eastAsia="仿宋" w:cs="仿宋"/>
          <w:bCs/>
          <w:color w:val="auto"/>
          <w:szCs w:val="21"/>
          <w:highlight w:val="none"/>
        </w:rPr>
      </w:pPr>
    </w:p>
    <w:p w14:paraId="1DBEC756">
      <w:pPr>
        <w:widowControl/>
        <w:autoSpaceDE w:val="0"/>
        <w:autoSpaceDN w:val="0"/>
        <w:ind w:right="-26"/>
        <w:jc w:val="center"/>
        <w:textAlignment w:val="bottom"/>
        <w:outlineLvl w:val="9"/>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 xml:space="preserve">招 </w:t>
      </w:r>
    </w:p>
    <w:p w14:paraId="11AB63A5">
      <w:pPr>
        <w:pStyle w:val="34"/>
        <w:outlineLvl w:val="9"/>
        <w:rPr>
          <w:rFonts w:hint="eastAsia" w:ascii="仿宋" w:hAnsi="仿宋" w:eastAsia="仿宋" w:cs="仿宋"/>
          <w:lang w:val="en-US" w:eastAsia="zh-CN"/>
        </w:rPr>
      </w:pPr>
    </w:p>
    <w:p w14:paraId="69AE1E21">
      <w:pPr>
        <w:widowControl/>
        <w:autoSpaceDE w:val="0"/>
        <w:autoSpaceDN w:val="0"/>
        <w:ind w:right="-26"/>
        <w:jc w:val="center"/>
        <w:textAlignment w:val="bottom"/>
        <w:outlineLvl w:val="9"/>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标</w:t>
      </w:r>
    </w:p>
    <w:p w14:paraId="329C5CB9">
      <w:pPr>
        <w:pStyle w:val="34"/>
        <w:outlineLvl w:val="9"/>
        <w:rPr>
          <w:rFonts w:hint="eastAsia" w:ascii="仿宋" w:hAnsi="仿宋" w:eastAsia="仿宋" w:cs="仿宋"/>
          <w:lang w:val="en-US" w:eastAsia="zh-CN"/>
        </w:rPr>
      </w:pPr>
    </w:p>
    <w:p w14:paraId="31173CD2">
      <w:pPr>
        <w:widowControl/>
        <w:autoSpaceDE w:val="0"/>
        <w:autoSpaceDN w:val="0"/>
        <w:ind w:right="-26"/>
        <w:jc w:val="center"/>
        <w:textAlignment w:val="bottom"/>
        <w:outlineLvl w:val="9"/>
        <w:rPr>
          <w:rFonts w:hint="eastAsia" w:ascii="仿宋" w:hAnsi="仿宋" w:eastAsia="仿宋" w:cs="仿宋"/>
          <w:b/>
          <w:sz w:val="72"/>
          <w:szCs w:val="72"/>
        </w:rPr>
      </w:pPr>
      <w:r>
        <w:rPr>
          <w:rFonts w:hint="eastAsia" w:ascii="仿宋" w:hAnsi="仿宋" w:eastAsia="仿宋" w:cs="仿宋"/>
          <w:b/>
          <w:sz w:val="72"/>
          <w:szCs w:val="72"/>
        </w:rPr>
        <w:t xml:space="preserve">文 </w:t>
      </w:r>
    </w:p>
    <w:p w14:paraId="7354E2B3">
      <w:pPr>
        <w:pStyle w:val="34"/>
        <w:outlineLvl w:val="9"/>
        <w:rPr>
          <w:rFonts w:hint="eastAsia" w:ascii="仿宋" w:hAnsi="仿宋" w:eastAsia="仿宋" w:cs="仿宋"/>
        </w:rPr>
      </w:pPr>
    </w:p>
    <w:p w14:paraId="5C9DE162">
      <w:pPr>
        <w:widowControl/>
        <w:autoSpaceDE w:val="0"/>
        <w:autoSpaceDN w:val="0"/>
        <w:ind w:right="-26"/>
        <w:jc w:val="center"/>
        <w:textAlignment w:val="bottom"/>
        <w:outlineLvl w:val="9"/>
        <w:rPr>
          <w:rFonts w:hint="eastAsia" w:ascii="仿宋" w:hAnsi="仿宋" w:eastAsia="仿宋" w:cs="仿宋"/>
          <w:b/>
          <w:bCs/>
          <w:color w:val="000000"/>
          <w:sz w:val="24"/>
          <w:lang w:val="zh-CN"/>
        </w:rPr>
      </w:pPr>
      <w:r>
        <w:rPr>
          <w:rFonts w:hint="eastAsia" w:ascii="仿宋" w:hAnsi="仿宋" w:eastAsia="仿宋" w:cs="仿宋"/>
          <w:b/>
          <w:sz w:val="72"/>
          <w:szCs w:val="72"/>
        </w:rPr>
        <w:t>件</w:t>
      </w:r>
    </w:p>
    <w:p w14:paraId="0FD49646">
      <w:pPr>
        <w:shd w:val="clear" w:color="auto" w:fill="auto"/>
        <w:outlineLvl w:val="9"/>
        <w:rPr>
          <w:rFonts w:hint="eastAsia" w:ascii="仿宋" w:hAnsi="仿宋" w:eastAsia="仿宋" w:cs="仿宋"/>
          <w:color w:val="auto"/>
          <w:sz w:val="28"/>
          <w:szCs w:val="28"/>
          <w:highlight w:val="none"/>
        </w:rPr>
      </w:pPr>
    </w:p>
    <w:p w14:paraId="6FC60D8D">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lang w:val="en-US" w:eastAsia="zh-CN"/>
        </w:rPr>
      </w:pPr>
      <w:r>
        <w:rPr>
          <w:rFonts w:hint="eastAsia" w:ascii="仿宋" w:hAnsi="仿宋" w:eastAsia="仿宋" w:cs="仿宋"/>
          <w:b/>
          <w:sz w:val="32"/>
        </w:rPr>
        <w:t>采购单位：</w:t>
      </w:r>
      <w:r>
        <w:rPr>
          <w:rFonts w:hint="eastAsia" w:ascii="仿宋" w:hAnsi="仿宋" w:eastAsia="仿宋" w:cs="仿宋"/>
          <w:b/>
          <w:sz w:val="32"/>
          <w:lang w:eastAsia="zh-CN"/>
        </w:rPr>
        <w:t>阿图什市卫生健康委员会</w:t>
      </w:r>
      <w:r>
        <w:rPr>
          <w:rFonts w:hint="eastAsia" w:ascii="仿宋" w:hAnsi="仿宋" w:eastAsia="仿宋" w:cs="仿宋"/>
          <w:b/>
          <w:sz w:val="32"/>
          <w:lang w:val="en-US" w:eastAsia="zh-CN"/>
        </w:rPr>
        <w:t>（盖章）</w:t>
      </w:r>
    </w:p>
    <w:p w14:paraId="674F8FEB">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lang w:val="en-US" w:eastAsia="zh-CN"/>
        </w:rPr>
      </w:pPr>
      <w:r>
        <w:rPr>
          <w:rFonts w:hint="eastAsia" w:ascii="仿宋" w:hAnsi="仿宋" w:eastAsia="仿宋" w:cs="仿宋"/>
          <w:b/>
          <w:sz w:val="32"/>
          <w:lang w:val="en-US" w:eastAsia="zh-CN"/>
        </w:rPr>
        <w:t>联 系 人：胡先生</w:t>
      </w:r>
    </w:p>
    <w:p w14:paraId="12187504">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highlight w:val="none"/>
          <w:lang w:val="en-US" w:eastAsia="zh-CN"/>
        </w:rPr>
      </w:pPr>
      <w:r>
        <w:rPr>
          <w:rFonts w:hint="eastAsia" w:ascii="仿宋" w:hAnsi="仿宋" w:eastAsia="仿宋" w:cs="仿宋"/>
          <w:b/>
          <w:sz w:val="32"/>
          <w:highlight w:val="none"/>
          <w:lang w:val="en-US" w:eastAsia="zh-CN"/>
        </w:rPr>
        <w:t>联系电话：13345373958</w:t>
      </w:r>
    </w:p>
    <w:p w14:paraId="19796F51">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rPr>
      </w:pPr>
      <w:r>
        <w:rPr>
          <w:rFonts w:hint="eastAsia" w:ascii="仿宋" w:hAnsi="仿宋" w:eastAsia="仿宋" w:cs="仿宋"/>
          <w:b/>
          <w:sz w:val="32"/>
        </w:rPr>
        <w:t>代理机构：</w:t>
      </w:r>
      <w:r>
        <w:rPr>
          <w:rFonts w:hint="eastAsia" w:ascii="仿宋" w:hAnsi="仿宋" w:eastAsia="仿宋" w:cs="仿宋"/>
          <w:b/>
          <w:sz w:val="32"/>
          <w:lang w:val="en-US" w:eastAsia="zh-CN"/>
        </w:rPr>
        <w:t>新疆天勤工程管理有限公司</w:t>
      </w:r>
      <w:r>
        <w:rPr>
          <w:rFonts w:hint="eastAsia" w:ascii="仿宋" w:hAnsi="仿宋" w:eastAsia="仿宋" w:cs="仿宋"/>
          <w:b/>
          <w:sz w:val="32"/>
          <w:lang w:val="zh-CN"/>
        </w:rPr>
        <w:t>（盖章）</w:t>
      </w:r>
    </w:p>
    <w:p w14:paraId="280648C5">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lang w:val="en-US"/>
        </w:rPr>
      </w:pPr>
      <w:r>
        <w:rPr>
          <w:rFonts w:hint="eastAsia" w:ascii="仿宋" w:hAnsi="仿宋" w:eastAsia="仿宋" w:cs="仿宋"/>
          <w:b/>
          <w:sz w:val="32"/>
        </w:rPr>
        <w:t>联 系 人：</w:t>
      </w:r>
      <w:r>
        <w:rPr>
          <w:rFonts w:hint="eastAsia" w:ascii="仿宋" w:hAnsi="仿宋" w:eastAsia="仿宋" w:cs="仿宋"/>
          <w:b/>
          <w:sz w:val="32"/>
          <w:lang w:val="en-US" w:eastAsia="zh-CN"/>
        </w:rPr>
        <w:t>王先生</w:t>
      </w:r>
    </w:p>
    <w:p w14:paraId="26D9278E">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color w:val="auto"/>
          <w:sz w:val="32"/>
          <w:szCs w:val="32"/>
          <w:highlight w:val="none"/>
        </w:rPr>
      </w:pPr>
      <w:r>
        <w:rPr>
          <w:rFonts w:hint="eastAsia" w:ascii="仿宋" w:hAnsi="仿宋" w:eastAsia="仿宋" w:cs="仿宋"/>
          <w:b/>
          <w:sz w:val="32"/>
        </w:rPr>
        <w:t xml:space="preserve">联系电话: </w:t>
      </w:r>
      <w:r>
        <w:rPr>
          <w:rFonts w:hint="eastAsia" w:ascii="仿宋" w:hAnsi="仿宋" w:eastAsia="仿宋" w:cs="仿宋"/>
          <w:b/>
          <w:sz w:val="32"/>
          <w:lang w:val="en-US" w:eastAsia="zh-CN"/>
        </w:rPr>
        <w:t>13779615026</w:t>
      </w:r>
    </w:p>
    <w:p w14:paraId="767A4BCE">
      <w:pPr>
        <w:outlineLvl w:val="9"/>
        <w:rPr>
          <w:rFonts w:hint="eastAsia"/>
          <w:b/>
          <w:color w:val="auto"/>
          <w:sz w:val="36"/>
          <w:highlight w:val="none"/>
        </w:rPr>
      </w:pPr>
      <w:r>
        <w:rPr>
          <w:rFonts w:hint="eastAsia"/>
          <w:b/>
          <w:color w:val="auto"/>
          <w:sz w:val="36"/>
          <w:highlight w:val="none"/>
        </w:rPr>
        <w:br w:type="page"/>
      </w:r>
    </w:p>
    <w:p w14:paraId="0A34EF3A">
      <w:pPr>
        <w:outlineLvl w:val="9"/>
        <w:rPr>
          <w:rFonts w:hint="eastAsia"/>
        </w:rPr>
      </w:pPr>
    </w:p>
    <w:p w14:paraId="5AD56E77">
      <w:pPr>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招投标监督管理机构备案登记栏</w:t>
      </w:r>
    </w:p>
    <w:tbl>
      <w:tblPr>
        <w:tblStyle w:val="2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952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7" w:hRule="atLeast"/>
          <w:jc w:val="center"/>
        </w:trPr>
        <w:tc>
          <w:tcPr>
            <w:tcW w:w="8460" w:type="dxa"/>
          </w:tcPr>
          <w:p w14:paraId="61769B44">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highlight w:val="none"/>
              </w:rPr>
            </w:pPr>
          </w:p>
          <w:p w14:paraId="612F5F18">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14:paraId="2E691C8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14:paraId="37B8A174">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sz w:val="28"/>
                <w:szCs w:val="28"/>
                <w:highlight w:val="none"/>
              </w:rPr>
              <w:t>采购单位：</w:t>
            </w:r>
            <w:r>
              <w:rPr>
                <w:rFonts w:hint="eastAsia" w:ascii="仿宋" w:hAnsi="仿宋" w:eastAsia="仿宋" w:cs="仿宋"/>
                <w:color w:val="auto"/>
                <w:sz w:val="28"/>
                <w:szCs w:val="28"/>
                <w:highlight w:val="none"/>
                <w:lang w:eastAsia="zh-CN"/>
              </w:rPr>
              <w:t>阿图什市卫生健康委员会</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w w:val="95"/>
                <w:sz w:val="28"/>
                <w:szCs w:val="28"/>
                <w:highlight w:val="none"/>
                <w:lang w:eastAsia="zh-CN"/>
              </w:rPr>
              <w:t>（盖章）</w:t>
            </w:r>
          </w:p>
          <w:p w14:paraId="29889403">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 xml:space="preserve">                                           </w:t>
            </w:r>
          </w:p>
          <w:p w14:paraId="14D4F5EE">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08E515C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7F36BCF9">
            <w:pPr>
              <w:pageBreakBefore w:val="0"/>
              <w:widowControl w:val="0"/>
              <w:kinsoku/>
              <w:wordWrap/>
              <w:overflowPunct/>
              <w:topLinePunct w:val="0"/>
              <w:autoSpaceDE/>
              <w:autoSpaceDN/>
              <w:bidi w:val="0"/>
              <w:adjustRightInd/>
              <w:snapToGrid/>
              <w:spacing w:line="500" w:lineRule="exact"/>
              <w:ind w:left="3520" w:hanging="3080" w:hangingChars="1100"/>
              <w:jc w:val="left"/>
              <w:textAlignment w:val="auto"/>
              <w:outlineLvl w:val="9"/>
              <w:rPr>
                <w:rFonts w:hint="eastAsia" w:ascii="仿宋" w:hAnsi="仿宋" w:eastAsia="仿宋" w:cs="仿宋"/>
                <w:color w:val="auto"/>
                <w:sz w:val="28"/>
                <w:szCs w:val="28"/>
                <w:highlight w:val="none"/>
              </w:rPr>
            </w:pPr>
          </w:p>
          <w:p w14:paraId="3CB5124D">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阿图什市基层医疗卫生机构改造提升项目设备采购</w:t>
            </w:r>
          </w:p>
          <w:p w14:paraId="2B3C030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4221DDB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7F7C49A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5846AFE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399B497D">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新疆天勤工程管理有限公司（盖章）</w:t>
            </w:r>
          </w:p>
          <w:p w14:paraId="7A922BF0">
            <w:pPr>
              <w:jc w:val="center"/>
              <w:outlineLvl w:val="9"/>
              <w:rPr>
                <w:rFonts w:hint="eastAsia" w:ascii="仿宋" w:hAnsi="仿宋" w:eastAsia="仿宋" w:cs="仿宋"/>
                <w:color w:val="auto"/>
                <w:highlight w:val="none"/>
              </w:rPr>
            </w:pPr>
          </w:p>
          <w:p w14:paraId="18A795A3">
            <w:pPr>
              <w:outlineLvl w:val="9"/>
              <w:rPr>
                <w:rFonts w:hint="eastAsia"/>
              </w:rPr>
            </w:pPr>
          </w:p>
          <w:p w14:paraId="78700DE9">
            <w:pPr>
              <w:outlineLvl w:val="9"/>
              <w:rPr>
                <w:rFonts w:hint="eastAsia"/>
              </w:rPr>
            </w:pPr>
          </w:p>
          <w:p w14:paraId="33209810">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p>
          <w:p w14:paraId="647CEE73">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p>
          <w:p w14:paraId="453B5341">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日  期：20</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月</w:t>
            </w:r>
          </w:p>
          <w:p w14:paraId="43F2F1A5">
            <w:pPr>
              <w:outlineLvl w:val="9"/>
              <w:rPr>
                <w:rFonts w:hint="eastAsia" w:ascii="仿宋" w:hAnsi="仿宋" w:eastAsia="仿宋" w:cs="仿宋"/>
                <w:color w:val="auto"/>
                <w:highlight w:val="none"/>
              </w:rPr>
            </w:pPr>
          </w:p>
        </w:tc>
      </w:tr>
    </w:tbl>
    <w:p w14:paraId="7932397D">
      <w:pPr>
        <w:outlineLvl w:val="9"/>
        <w:rPr>
          <w:rFonts w:hint="eastAsia"/>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p>
    <w:p w14:paraId="3B74AC7F">
      <w:pPr>
        <w:keepNext w:val="0"/>
        <w:keepLines w:val="0"/>
        <w:pageBreakBefore w:val="0"/>
        <w:widowControl w:val="0"/>
        <w:shd w:val="clear" w:color="auto" w:fill="auto"/>
        <w:kinsoku/>
        <w:wordWrap/>
        <w:overflowPunct/>
        <w:topLinePunct w:val="0"/>
        <w:autoSpaceDE/>
        <w:autoSpaceDN/>
        <w:bidi w:val="0"/>
        <w:adjustRightInd/>
        <w:snapToGrid/>
        <w:spacing w:line="700" w:lineRule="exact"/>
        <w:jc w:val="center"/>
        <w:textAlignment w:val="auto"/>
        <w:outlineLvl w:val="9"/>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目  录</w:t>
      </w:r>
    </w:p>
    <w:p w14:paraId="7660379B">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56"/>
          <w:szCs w:val="56"/>
          <w:highlight w:val="none"/>
        </w:rPr>
        <w:fldChar w:fldCharType="begin"/>
      </w:r>
      <w:r>
        <w:rPr>
          <w:rFonts w:hint="eastAsia" w:ascii="仿宋" w:hAnsi="仿宋" w:eastAsia="仿宋" w:cs="仿宋"/>
          <w:color w:val="auto"/>
          <w:sz w:val="56"/>
          <w:szCs w:val="56"/>
          <w:highlight w:val="none"/>
        </w:rPr>
        <w:instrText xml:space="preserve"> TOC \o "1-3" \h \z \u </w:instrText>
      </w:r>
      <w:r>
        <w:rPr>
          <w:rFonts w:hint="eastAsia" w:ascii="仿宋" w:hAnsi="仿宋" w:eastAsia="仿宋" w:cs="仿宋"/>
          <w:color w:val="auto"/>
          <w:sz w:val="56"/>
          <w:szCs w:val="56"/>
          <w:highlight w:val="none"/>
        </w:rPr>
        <w:fldChar w:fldCharType="separate"/>
      </w: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_Toc697 </w:instrText>
      </w:r>
      <w:r>
        <w:rPr>
          <w:rFonts w:hint="eastAsia" w:ascii="仿宋" w:hAnsi="仿宋" w:eastAsia="仿宋" w:cs="仿宋"/>
          <w:sz w:val="40"/>
          <w:szCs w:val="56"/>
          <w:highlight w:val="none"/>
        </w:rPr>
        <w:fldChar w:fldCharType="separate"/>
      </w:r>
      <w:r>
        <w:rPr>
          <w:rFonts w:hint="default" w:ascii="仿宋" w:hAnsi="仿宋" w:eastAsia="仿宋" w:cs="仿宋"/>
          <w:bCs/>
          <w:sz w:val="40"/>
          <w:szCs w:val="72"/>
        </w:rPr>
        <w:t xml:space="preserve">第一章 </w:t>
      </w:r>
      <w:r>
        <w:rPr>
          <w:rFonts w:hint="eastAsia" w:ascii="仿宋" w:hAnsi="仿宋" w:eastAsia="仿宋" w:cs="仿宋"/>
          <w:bCs/>
          <w:sz w:val="40"/>
          <w:szCs w:val="72"/>
          <w:highlight w:val="none"/>
        </w:rPr>
        <w:t>招标公告</w:t>
      </w:r>
      <w:r>
        <w:rPr>
          <w:sz w:val="40"/>
          <w:szCs w:val="48"/>
        </w:rPr>
        <w:tab/>
      </w:r>
      <w:r>
        <w:rPr>
          <w:sz w:val="40"/>
          <w:szCs w:val="48"/>
        </w:rPr>
        <w:fldChar w:fldCharType="begin"/>
      </w:r>
      <w:r>
        <w:rPr>
          <w:sz w:val="40"/>
          <w:szCs w:val="48"/>
        </w:rPr>
        <w:instrText xml:space="preserve"> PAGEREF _Toc697 \h </w:instrText>
      </w:r>
      <w:r>
        <w:rPr>
          <w:sz w:val="40"/>
          <w:szCs w:val="48"/>
        </w:rPr>
        <w:fldChar w:fldCharType="separate"/>
      </w:r>
      <w:r>
        <w:rPr>
          <w:sz w:val="40"/>
          <w:szCs w:val="48"/>
        </w:rPr>
        <w:t>1</w:t>
      </w:r>
      <w:r>
        <w:rPr>
          <w:sz w:val="40"/>
          <w:szCs w:val="48"/>
        </w:rPr>
        <w:fldChar w:fldCharType="end"/>
      </w:r>
      <w:r>
        <w:rPr>
          <w:rFonts w:hint="eastAsia" w:ascii="仿宋" w:hAnsi="仿宋" w:eastAsia="仿宋" w:cs="仿宋"/>
          <w:color w:val="auto"/>
          <w:sz w:val="40"/>
          <w:szCs w:val="56"/>
          <w:highlight w:val="none"/>
        </w:rPr>
        <w:fldChar w:fldCharType="end"/>
      </w:r>
    </w:p>
    <w:p w14:paraId="764E4C64">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_Toc24479 </w:instrText>
      </w:r>
      <w:r>
        <w:rPr>
          <w:rFonts w:hint="eastAsia" w:ascii="仿宋" w:hAnsi="仿宋" w:eastAsia="仿宋" w:cs="仿宋"/>
          <w:sz w:val="40"/>
          <w:szCs w:val="56"/>
          <w:highlight w:val="none"/>
        </w:rPr>
        <w:fldChar w:fldCharType="separate"/>
      </w:r>
      <w:r>
        <w:rPr>
          <w:rFonts w:hint="eastAsia" w:ascii="仿宋" w:hAnsi="仿宋" w:eastAsia="仿宋" w:cs="仿宋"/>
          <w:sz w:val="40"/>
          <w:szCs w:val="56"/>
          <w:highlight w:val="none"/>
        </w:rPr>
        <w:t>第二章 投标人须知</w:t>
      </w:r>
      <w:r>
        <w:rPr>
          <w:sz w:val="40"/>
          <w:szCs w:val="48"/>
        </w:rPr>
        <w:tab/>
      </w:r>
      <w:r>
        <w:rPr>
          <w:sz w:val="40"/>
          <w:szCs w:val="48"/>
        </w:rPr>
        <w:fldChar w:fldCharType="begin"/>
      </w:r>
      <w:r>
        <w:rPr>
          <w:sz w:val="40"/>
          <w:szCs w:val="48"/>
        </w:rPr>
        <w:instrText xml:space="preserve"> PAGEREF _Toc24479 \h </w:instrText>
      </w:r>
      <w:r>
        <w:rPr>
          <w:sz w:val="40"/>
          <w:szCs w:val="48"/>
        </w:rPr>
        <w:fldChar w:fldCharType="separate"/>
      </w:r>
      <w:r>
        <w:rPr>
          <w:sz w:val="40"/>
          <w:szCs w:val="48"/>
        </w:rPr>
        <w:t>7</w:t>
      </w:r>
      <w:r>
        <w:rPr>
          <w:sz w:val="40"/>
          <w:szCs w:val="48"/>
        </w:rPr>
        <w:fldChar w:fldCharType="end"/>
      </w:r>
      <w:r>
        <w:rPr>
          <w:rFonts w:hint="eastAsia" w:ascii="仿宋" w:hAnsi="仿宋" w:eastAsia="仿宋" w:cs="仿宋"/>
          <w:color w:val="auto"/>
          <w:sz w:val="40"/>
          <w:szCs w:val="56"/>
          <w:highlight w:val="none"/>
        </w:rPr>
        <w:fldChar w:fldCharType="end"/>
      </w:r>
    </w:p>
    <w:p w14:paraId="5D321185">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_Toc16733 </w:instrText>
      </w:r>
      <w:r>
        <w:rPr>
          <w:rFonts w:hint="eastAsia" w:ascii="仿宋" w:hAnsi="仿宋" w:eastAsia="仿宋" w:cs="仿宋"/>
          <w:sz w:val="40"/>
          <w:szCs w:val="56"/>
          <w:highlight w:val="none"/>
        </w:rPr>
        <w:fldChar w:fldCharType="separate"/>
      </w:r>
      <w:r>
        <w:rPr>
          <w:rFonts w:hint="eastAsia" w:ascii="仿宋" w:hAnsi="仿宋" w:eastAsia="仿宋" w:cs="仿宋"/>
          <w:bCs/>
          <w:sz w:val="40"/>
          <w:szCs w:val="72"/>
          <w:highlight w:val="none"/>
        </w:rPr>
        <w:t>第三章 评标办法</w:t>
      </w:r>
      <w:r>
        <w:rPr>
          <w:sz w:val="40"/>
          <w:szCs w:val="48"/>
        </w:rPr>
        <w:tab/>
      </w:r>
      <w:r>
        <w:rPr>
          <w:sz w:val="40"/>
          <w:szCs w:val="48"/>
        </w:rPr>
        <w:fldChar w:fldCharType="begin"/>
      </w:r>
      <w:r>
        <w:rPr>
          <w:sz w:val="40"/>
          <w:szCs w:val="48"/>
        </w:rPr>
        <w:instrText xml:space="preserve"> PAGEREF _Toc16733 \h </w:instrText>
      </w:r>
      <w:r>
        <w:rPr>
          <w:sz w:val="40"/>
          <w:szCs w:val="48"/>
        </w:rPr>
        <w:fldChar w:fldCharType="separate"/>
      </w:r>
      <w:r>
        <w:rPr>
          <w:sz w:val="40"/>
          <w:szCs w:val="48"/>
        </w:rPr>
        <w:t>42</w:t>
      </w:r>
      <w:r>
        <w:rPr>
          <w:sz w:val="40"/>
          <w:szCs w:val="48"/>
        </w:rPr>
        <w:fldChar w:fldCharType="end"/>
      </w:r>
      <w:r>
        <w:rPr>
          <w:rFonts w:hint="eastAsia" w:ascii="仿宋" w:hAnsi="仿宋" w:eastAsia="仿宋" w:cs="仿宋"/>
          <w:color w:val="auto"/>
          <w:sz w:val="40"/>
          <w:szCs w:val="56"/>
          <w:highlight w:val="none"/>
        </w:rPr>
        <w:fldChar w:fldCharType="end"/>
      </w:r>
    </w:p>
    <w:p w14:paraId="23BB724D">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_Toc31425 </w:instrText>
      </w:r>
      <w:r>
        <w:rPr>
          <w:rFonts w:hint="eastAsia" w:ascii="仿宋" w:hAnsi="仿宋" w:eastAsia="仿宋" w:cs="仿宋"/>
          <w:sz w:val="40"/>
          <w:szCs w:val="56"/>
          <w:highlight w:val="none"/>
        </w:rPr>
        <w:fldChar w:fldCharType="separate"/>
      </w:r>
      <w:r>
        <w:rPr>
          <w:rFonts w:hint="eastAsia" w:ascii="仿宋" w:hAnsi="仿宋" w:eastAsia="仿宋" w:cs="仿宋"/>
          <w:sz w:val="40"/>
          <w:szCs w:val="72"/>
          <w:highlight w:val="none"/>
        </w:rPr>
        <w:t>第四章 采购内容及技术参数要求</w:t>
      </w:r>
      <w:r>
        <w:rPr>
          <w:sz w:val="40"/>
          <w:szCs w:val="48"/>
        </w:rPr>
        <w:tab/>
      </w:r>
      <w:r>
        <w:rPr>
          <w:sz w:val="40"/>
          <w:szCs w:val="48"/>
        </w:rPr>
        <w:fldChar w:fldCharType="begin"/>
      </w:r>
      <w:r>
        <w:rPr>
          <w:sz w:val="40"/>
          <w:szCs w:val="48"/>
        </w:rPr>
        <w:instrText xml:space="preserve"> PAGEREF _Toc31425 \h </w:instrText>
      </w:r>
      <w:r>
        <w:rPr>
          <w:sz w:val="40"/>
          <w:szCs w:val="48"/>
        </w:rPr>
        <w:fldChar w:fldCharType="separate"/>
      </w:r>
      <w:r>
        <w:rPr>
          <w:sz w:val="40"/>
          <w:szCs w:val="48"/>
        </w:rPr>
        <w:t>52</w:t>
      </w:r>
      <w:r>
        <w:rPr>
          <w:sz w:val="40"/>
          <w:szCs w:val="48"/>
        </w:rPr>
        <w:fldChar w:fldCharType="end"/>
      </w:r>
      <w:r>
        <w:rPr>
          <w:rFonts w:hint="eastAsia" w:ascii="仿宋" w:hAnsi="仿宋" w:eastAsia="仿宋" w:cs="仿宋"/>
          <w:color w:val="auto"/>
          <w:sz w:val="40"/>
          <w:szCs w:val="56"/>
          <w:highlight w:val="none"/>
        </w:rPr>
        <w:fldChar w:fldCharType="end"/>
      </w:r>
    </w:p>
    <w:p w14:paraId="6C56E766">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_Toc6896 </w:instrText>
      </w:r>
      <w:r>
        <w:rPr>
          <w:rFonts w:hint="eastAsia" w:ascii="仿宋" w:hAnsi="仿宋" w:eastAsia="仿宋" w:cs="仿宋"/>
          <w:sz w:val="40"/>
          <w:szCs w:val="56"/>
          <w:highlight w:val="none"/>
        </w:rPr>
        <w:fldChar w:fldCharType="separate"/>
      </w:r>
      <w:r>
        <w:rPr>
          <w:rFonts w:hint="eastAsia" w:ascii="仿宋" w:hAnsi="仿宋" w:eastAsia="仿宋" w:cs="仿宋"/>
          <w:sz w:val="40"/>
          <w:szCs w:val="72"/>
          <w:highlight w:val="none"/>
          <w:lang w:eastAsia="zh-CN"/>
        </w:rPr>
        <w:t>第五章 合同条款及格式</w:t>
      </w:r>
      <w:r>
        <w:rPr>
          <w:sz w:val="40"/>
          <w:szCs w:val="48"/>
        </w:rPr>
        <w:tab/>
      </w:r>
      <w:r>
        <w:rPr>
          <w:sz w:val="40"/>
          <w:szCs w:val="48"/>
        </w:rPr>
        <w:fldChar w:fldCharType="begin"/>
      </w:r>
      <w:r>
        <w:rPr>
          <w:sz w:val="40"/>
          <w:szCs w:val="48"/>
        </w:rPr>
        <w:instrText xml:space="preserve"> PAGEREF _Toc6896 \h </w:instrText>
      </w:r>
      <w:r>
        <w:rPr>
          <w:sz w:val="40"/>
          <w:szCs w:val="48"/>
        </w:rPr>
        <w:fldChar w:fldCharType="separate"/>
      </w:r>
      <w:r>
        <w:rPr>
          <w:sz w:val="40"/>
          <w:szCs w:val="48"/>
        </w:rPr>
        <w:t>142</w:t>
      </w:r>
      <w:r>
        <w:rPr>
          <w:sz w:val="40"/>
          <w:szCs w:val="48"/>
        </w:rPr>
        <w:fldChar w:fldCharType="end"/>
      </w:r>
      <w:r>
        <w:rPr>
          <w:rFonts w:hint="eastAsia" w:ascii="仿宋" w:hAnsi="仿宋" w:eastAsia="仿宋" w:cs="仿宋"/>
          <w:color w:val="auto"/>
          <w:sz w:val="40"/>
          <w:szCs w:val="56"/>
          <w:highlight w:val="none"/>
        </w:rPr>
        <w:fldChar w:fldCharType="end"/>
      </w:r>
    </w:p>
    <w:p w14:paraId="1AA8852D">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_Toc23744 </w:instrText>
      </w:r>
      <w:r>
        <w:rPr>
          <w:rFonts w:hint="eastAsia" w:ascii="仿宋" w:hAnsi="仿宋" w:eastAsia="仿宋" w:cs="仿宋"/>
          <w:sz w:val="40"/>
          <w:szCs w:val="56"/>
          <w:highlight w:val="none"/>
        </w:rPr>
        <w:fldChar w:fldCharType="separate"/>
      </w:r>
      <w:r>
        <w:rPr>
          <w:rFonts w:hint="eastAsia" w:ascii="仿宋" w:hAnsi="仿宋" w:eastAsia="仿宋" w:cs="仿宋"/>
          <w:bCs/>
          <w:sz w:val="40"/>
          <w:szCs w:val="72"/>
        </w:rPr>
        <w:t>第</w:t>
      </w:r>
      <w:r>
        <w:rPr>
          <w:rFonts w:hint="eastAsia" w:ascii="仿宋" w:hAnsi="仿宋" w:eastAsia="仿宋" w:cs="仿宋"/>
          <w:bCs/>
          <w:sz w:val="40"/>
          <w:szCs w:val="72"/>
          <w:lang w:eastAsia="zh-CN"/>
        </w:rPr>
        <w:t>六</w:t>
      </w:r>
      <w:r>
        <w:rPr>
          <w:rFonts w:hint="eastAsia" w:ascii="仿宋" w:hAnsi="仿宋" w:eastAsia="仿宋" w:cs="仿宋"/>
          <w:bCs/>
          <w:sz w:val="40"/>
          <w:szCs w:val="72"/>
          <w:lang w:val="en-US" w:eastAsia="zh-CN"/>
        </w:rPr>
        <w:t xml:space="preserve">章 </w:t>
      </w:r>
      <w:r>
        <w:rPr>
          <w:rFonts w:hint="eastAsia" w:ascii="仿宋" w:hAnsi="仿宋" w:eastAsia="仿宋" w:cs="仿宋"/>
          <w:bCs/>
          <w:sz w:val="40"/>
          <w:szCs w:val="72"/>
        </w:rPr>
        <w:t>投标文件格式</w:t>
      </w:r>
      <w:r>
        <w:rPr>
          <w:sz w:val="40"/>
          <w:szCs w:val="48"/>
        </w:rPr>
        <w:tab/>
      </w:r>
      <w:r>
        <w:rPr>
          <w:sz w:val="40"/>
          <w:szCs w:val="48"/>
        </w:rPr>
        <w:fldChar w:fldCharType="begin"/>
      </w:r>
      <w:r>
        <w:rPr>
          <w:sz w:val="40"/>
          <w:szCs w:val="48"/>
        </w:rPr>
        <w:instrText xml:space="preserve"> PAGEREF _Toc23744 \h </w:instrText>
      </w:r>
      <w:r>
        <w:rPr>
          <w:sz w:val="40"/>
          <w:szCs w:val="48"/>
        </w:rPr>
        <w:fldChar w:fldCharType="separate"/>
      </w:r>
      <w:r>
        <w:rPr>
          <w:sz w:val="40"/>
          <w:szCs w:val="48"/>
        </w:rPr>
        <w:t>147</w:t>
      </w:r>
      <w:r>
        <w:rPr>
          <w:sz w:val="40"/>
          <w:szCs w:val="48"/>
        </w:rPr>
        <w:fldChar w:fldCharType="end"/>
      </w:r>
      <w:r>
        <w:rPr>
          <w:rFonts w:hint="eastAsia" w:ascii="仿宋" w:hAnsi="仿宋" w:eastAsia="仿宋" w:cs="仿宋"/>
          <w:color w:val="auto"/>
          <w:sz w:val="40"/>
          <w:szCs w:val="56"/>
          <w:highlight w:val="none"/>
        </w:rPr>
        <w:fldChar w:fldCharType="end"/>
      </w:r>
    </w:p>
    <w:p w14:paraId="4D6FDBF2">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700" w:lineRule="exact"/>
        <w:ind w:left="0" w:right="0" w:firstLine="420"/>
        <w:textAlignment w:val="auto"/>
        <w:outlineLvl w:val="9"/>
        <w:rPr>
          <w:rFonts w:hint="eastAsia" w:ascii="仿宋" w:hAnsi="仿宋" w:eastAsia="仿宋" w:cs="仿宋"/>
          <w:color w:val="auto"/>
          <w:sz w:val="56"/>
          <w:szCs w:val="56"/>
          <w:highlight w:val="none"/>
        </w:rPr>
      </w:pPr>
      <w:r>
        <w:rPr>
          <w:rFonts w:hint="eastAsia" w:ascii="仿宋" w:hAnsi="仿宋" w:eastAsia="仿宋" w:cs="仿宋"/>
          <w:color w:val="auto"/>
          <w:sz w:val="48"/>
          <w:szCs w:val="56"/>
          <w:highlight w:val="none"/>
        </w:rPr>
        <w:fldChar w:fldCharType="end"/>
      </w:r>
    </w:p>
    <w:p w14:paraId="6F4F7E8B">
      <w:pPr>
        <w:pStyle w:val="24"/>
        <w:keepNext w:val="0"/>
        <w:keepLines w:val="0"/>
        <w:pageBreakBefore w:val="0"/>
        <w:widowControl/>
        <w:suppressLineNumbers w:val="0"/>
        <w:kinsoku/>
        <w:wordWrap/>
        <w:overflowPunct/>
        <w:topLinePunct w:val="0"/>
        <w:autoSpaceDE/>
        <w:autoSpaceDN/>
        <w:bidi w:val="0"/>
        <w:spacing w:before="75" w:beforeAutospacing="0" w:after="75" w:afterAutospacing="0" w:line="120" w:lineRule="auto"/>
        <w:ind w:left="0" w:right="0" w:firstLine="420"/>
        <w:outlineLvl w:val="9"/>
        <w:rPr>
          <w:rFonts w:hint="eastAsia" w:ascii="宋体" w:hAnsi="宋体" w:cs="宋体"/>
          <w:color w:val="auto"/>
          <w:sz w:val="24"/>
          <w:highlight w:val="none"/>
        </w:rPr>
      </w:pPr>
    </w:p>
    <w:p w14:paraId="46986E1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distribute"/>
        <w:textAlignment w:val="auto"/>
        <w:outlineLvl w:val="9"/>
        <w:rPr>
          <w:rFonts w:hint="eastAsia" w:ascii="宋体" w:hAnsi="宋体" w:cs="宋体"/>
          <w:color w:val="auto"/>
          <w:sz w:val="24"/>
          <w:highlight w:val="none"/>
        </w:rPr>
      </w:pPr>
    </w:p>
    <w:p w14:paraId="0C4B6402">
      <w:pPr>
        <w:numPr>
          <w:ilvl w:val="0"/>
          <w:numId w:val="3"/>
        </w:numPr>
        <w:shd w:val="clear" w:color="auto" w:fill="auto"/>
        <w:spacing w:line="420" w:lineRule="exact"/>
        <w:jc w:val="center"/>
        <w:outlineLvl w:val="9"/>
        <w:rPr>
          <w:rFonts w:hint="eastAsia" w:ascii="宋体"/>
          <w:b/>
          <w:bCs/>
          <w:color w:val="auto"/>
          <w:sz w:val="32"/>
          <w:szCs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bookmarkStart w:id="0" w:name="_Toc469495720"/>
    </w:p>
    <w:p w14:paraId="02BE54CC">
      <w:pPr>
        <w:numPr>
          <w:ilvl w:val="0"/>
          <w:numId w:val="3"/>
        </w:numPr>
        <w:shd w:val="clear" w:color="auto" w:fill="auto"/>
        <w:spacing w:line="420" w:lineRule="exact"/>
        <w:jc w:val="center"/>
        <w:outlineLvl w:val="0"/>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lang w:val="en-US" w:eastAsia="zh-CN"/>
        </w:rPr>
        <w:t xml:space="preserve"> </w:t>
      </w:r>
      <w:bookmarkStart w:id="1" w:name="_Toc22750"/>
      <w:bookmarkStart w:id="2" w:name="_Toc32642"/>
      <w:bookmarkStart w:id="3" w:name="_Toc697"/>
      <w:r>
        <w:rPr>
          <w:rFonts w:hint="eastAsia" w:ascii="仿宋" w:hAnsi="仿宋" w:eastAsia="仿宋" w:cs="仿宋"/>
          <w:b/>
          <w:bCs/>
          <w:color w:val="auto"/>
          <w:sz w:val="40"/>
          <w:szCs w:val="40"/>
          <w:highlight w:val="none"/>
        </w:rPr>
        <w:t>招标公告</w:t>
      </w:r>
      <w:bookmarkEnd w:id="0"/>
      <w:bookmarkEnd w:id="1"/>
      <w:bookmarkEnd w:id="2"/>
      <w:bookmarkEnd w:id="3"/>
    </w:p>
    <w:p w14:paraId="3B2D3451">
      <w:pPr>
        <w:pStyle w:val="24"/>
        <w:keepNext w:val="0"/>
        <w:keepLines w:val="0"/>
        <w:widowControl/>
        <w:suppressLineNumbers w:val="0"/>
        <w:spacing w:before="75" w:beforeAutospacing="0" w:after="75" w:afterAutospacing="0" w:line="240" w:lineRule="auto"/>
        <w:ind w:left="0" w:right="0" w:firstLine="0"/>
        <w:jc w:val="left"/>
        <w:outlineLvl w:val="9"/>
        <w:rPr>
          <w:rFonts w:hint="default" w:ascii="仿宋" w:hAnsi="仿宋" w:eastAsia="仿宋" w:cs="仿宋"/>
          <w:lang w:val="en-US" w:eastAsia="zh-CN"/>
        </w:rPr>
      </w:pPr>
      <w:bookmarkStart w:id="4" w:name="_Toc469495721"/>
    </w:p>
    <w:p w14:paraId="0B4E9287">
      <w:pPr>
        <w:pStyle w:val="34"/>
        <w:keepNext w:val="0"/>
        <w:keepLines w:val="0"/>
        <w:pageBreakBefore w:val="0"/>
        <w:shd w:val="clear" w:color="auto" w:fill="auto"/>
        <w:kinsoku/>
        <w:wordWrap/>
        <w:overflowPunct/>
        <w:topLinePunct w:val="0"/>
        <w:autoSpaceDE/>
        <w:autoSpaceDN/>
        <w:bidi w:val="0"/>
        <w:spacing w:line="480" w:lineRule="auto"/>
        <w:ind w:firstLine="0"/>
        <w:jc w:val="center"/>
        <w:outlineLvl w:val="9"/>
        <w:rPr>
          <w:rFonts w:hint="eastAsia" w:ascii="仿宋" w:hAnsi="仿宋" w:eastAsia="仿宋" w:cs="仿宋"/>
          <w:b/>
          <w:color w:val="auto"/>
          <w:sz w:val="40"/>
          <w:szCs w:val="40"/>
          <w:highlight w:val="none"/>
          <w:shd w:val="clear" w:color="auto" w:fill="FFFFFF"/>
          <w:lang w:val="en-US" w:eastAsia="zh-CN"/>
        </w:rPr>
      </w:pPr>
      <w:r>
        <w:rPr>
          <w:rFonts w:hint="eastAsia" w:ascii="仿宋" w:hAnsi="仿宋" w:eastAsia="仿宋" w:cs="仿宋"/>
          <w:b/>
          <w:color w:val="auto"/>
          <w:sz w:val="40"/>
          <w:szCs w:val="40"/>
          <w:highlight w:val="none"/>
          <w:shd w:val="clear" w:color="auto" w:fill="FFFFFF"/>
          <w:lang w:val="en-US" w:eastAsia="zh-CN"/>
        </w:rPr>
        <w:t>阿图什市基层医疗卫生机构改造提升项目设备采购公开招标公告</w:t>
      </w:r>
    </w:p>
    <w:p w14:paraId="1D800C4E">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项目概况</w:t>
      </w:r>
    </w:p>
    <w:p w14:paraId="14CD698C">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480" w:lineRule="auto"/>
        <w:ind w:firstLine="420" w:firstLineChars="200"/>
        <w:textAlignment w:val="auto"/>
        <w:outlineLvl w:val="9"/>
        <w:rPr>
          <w:rFonts w:hint="eastAsia" w:ascii="仿宋" w:hAnsi="仿宋" w:eastAsia="仿宋" w:cs="仿宋"/>
          <w:i w:val="0"/>
          <w:iCs w:val="0"/>
          <w:caps w:val="0"/>
          <w:color w:val="auto"/>
          <w:spacing w:val="0"/>
          <w:sz w:val="28"/>
          <w:szCs w:val="28"/>
          <w:highlight w:val="none"/>
          <w:u w:val="none"/>
          <w:lang w:val="en-US" w:eastAsia="zh-CN"/>
        </w:rPr>
      </w:pPr>
      <w:r>
        <w:rPr>
          <w:rFonts w:hint="eastAsia" w:ascii="仿宋" w:hAnsi="仿宋" w:eastAsia="仿宋" w:cs="仿宋"/>
          <w:i w:val="0"/>
          <w:iCs w:val="0"/>
          <w:caps w:val="0"/>
          <w:color w:val="auto"/>
          <w:spacing w:val="0"/>
          <w:sz w:val="21"/>
          <w:szCs w:val="21"/>
          <w:highlight w:val="none"/>
          <w:lang w:eastAsia="zh-CN"/>
        </w:rPr>
        <w:t xml:space="preserve"> </w:t>
      </w:r>
      <w:r>
        <w:rPr>
          <w:rFonts w:hint="eastAsia" w:ascii="仿宋" w:hAnsi="仿宋" w:eastAsia="仿宋" w:cs="仿宋"/>
          <w:i w:val="0"/>
          <w:iCs w:val="0"/>
          <w:caps w:val="0"/>
          <w:color w:val="auto"/>
          <w:spacing w:val="0"/>
          <w:sz w:val="28"/>
          <w:szCs w:val="28"/>
          <w:highlight w:val="none"/>
          <w:lang w:eastAsia="zh-CN"/>
        </w:rPr>
        <w:t xml:space="preserve"> 阿图什市基层医疗卫生机构改造提升项目设备采购招标项目的潜在投标人应在政采云平台线上获取招标文件，并于2025年</w:t>
      </w:r>
      <w:r>
        <w:rPr>
          <w:rFonts w:hint="eastAsia" w:ascii="仿宋" w:hAnsi="仿宋" w:eastAsia="仿宋" w:cs="仿宋"/>
          <w:i w:val="0"/>
          <w:iCs w:val="0"/>
          <w:caps w:val="0"/>
          <w:color w:val="auto"/>
          <w:spacing w:val="0"/>
          <w:sz w:val="28"/>
          <w:szCs w:val="28"/>
          <w:highlight w:val="none"/>
          <w:lang w:val="en-US" w:eastAsia="zh-CN"/>
        </w:rPr>
        <w:t>07</w:t>
      </w:r>
      <w:r>
        <w:rPr>
          <w:rFonts w:hint="eastAsia" w:ascii="仿宋" w:hAnsi="仿宋" w:eastAsia="仿宋" w:cs="仿宋"/>
          <w:i w:val="0"/>
          <w:iCs w:val="0"/>
          <w:caps w:val="0"/>
          <w:color w:val="auto"/>
          <w:spacing w:val="0"/>
          <w:sz w:val="28"/>
          <w:szCs w:val="28"/>
          <w:highlight w:val="none"/>
          <w:lang w:eastAsia="zh-CN"/>
        </w:rPr>
        <w:t>月</w:t>
      </w:r>
      <w:r>
        <w:rPr>
          <w:rFonts w:hint="eastAsia" w:ascii="仿宋" w:hAnsi="仿宋" w:eastAsia="仿宋" w:cs="仿宋"/>
          <w:i w:val="0"/>
          <w:iCs w:val="0"/>
          <w:caps w:val="0"/>
          <w:color w:val="auto"/>
          <w:spacing w:val="0"/>
          <w:sz w:val="28"/>
          <w:szCs w:val="28"/>
          <w:highlight w:val="none"/>
          <w:lang w:val="en-US" w:eastAsia="zh-CN"/>
        </w:rPr>
        <w:t>10</w:t>
      </w:r>
      <w:r>
        <w:rPr>
          <w:rFonts w:hint="eastAsia" w:ascii="仿宋" w:hAnsi="仿宋" w:eastAsia="仿宋" w:cs="仿宋"/>
          <w:i w:val="0"/>
          <w:iCs w:val="0"/>
          <w:caps w:val="0"/>
          <w:color w:val="auto"/>
          <w:spacing w:val="0"/>
          <w:sz w:val="28"/>
          <w:szCs w:val="28"/>
          <w:highlight w:val="none"/>
          <w:lang w:eastAsia="zh-CN"/>
        </w:rPr>
        <w:t>日 10:10（北京时间）前递交投标文件。</w:t>
      </w:r>
    </w:p>
    <w:p w14:paraId="7E6B6C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一、项目基本情况</w:t>
      </w:r>
    </w:p>
    <w:p w14:paraId="601D153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项目编号：ATSCG-2025051</w:t>
      </w:r>
    </w:p>
    <w:p w14:paraId="375A8A1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项目名称：阿图什市基层医疗卫生机构改造提升项目设备采购</w:t>
      </w:r>
    </w:p>
    <w:p w14:paraId="60FE44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采购方式：公开招标</w:t>
      </w:r>
    </w:p>
    <w:p w14:paraId="609F92A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预算金额（元）：9592478</w:t>
      </w:r>
    </w:p>
    <w:p w14:paraId="24ED5E5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最高限价（元）：4798718、4793760</w:t>
      </w:r>
    </w:p>
    <w:p w14:paraId="49C624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w:t>
      </w:r>
    </w:p>
    <w:p w14:paraId="33021B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标项一   </w:t>
      </w:r>
    </w:p>
    <w:p w14:paraId="53AD6AD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标项名称：阿图什市基层医疗卫生机构改造提升项目设备采购（1包） </w:t>
      </w:r>
    </w:p>
    <w:p w14:paraId="69DC28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数量：1     </w:t>
      </w:r>
    </w:p>
    <w:p w14:paraId="214AD24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预算金额（元）：4798718</w:t>
      </w:r>
    </w:p>
    <w:p w14:paraId="49113B1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单位：批 </w:t>
      </w:r>
    </w:p>
    <w:p w14:paraId="3A68DFB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简要规格描述：主要采购急救设备、内科设备、监护设备等医疗设备。（具体详见采购需求或采购文件）</w:t>
      </w:r>
    </w:p>
    <w:p w14:paraId="3C3EA8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备注：</w:t>
      </w:r>
    </w:p>
    <w:p w14:paraId="6DA3278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标项二    </w:t>
      </w:r>
    </w:p>
    <w:p w14:paraId="7A3EA9A7">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标项名称：阿图什市基层医疗卫生机构改造提升项目设备采购（2包） </w:t>
      </w:r>
    </w:p>
    <w:p w14:paraId="4B153163">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数量：1     </w:t>
      </w:r>
    </w:p>
    <w:p w14:paraId="403DC35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预算金额（元）：4793760</w:t>
      </w:r>
    </w:p>
    <w:p w14:paraId="76BA46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单位：批</w:t>
      </w:r>
    </w:p>
    <w:p w14:paraId="289BBB5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简要规格描述：主要采购检验设备、放射设备、康复医疗设备等医疗设备。（具体详见采购需求或采购文件）</w:t>
      </w:r>
    </w:p>
    <w:p w14:paraId="74361F7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备注：</w:t>
      </w:r>
    </w:p>
    <w:p w14:paraId="3307E1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合同履约期限：标项 1、2，具体详见采购文件</w:t>
      </w:r>
    </w:p>
    <w:p w14:paraId="2D6BA7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本项目（否）接受联合体投标。</w:t>
      </w:r>
    </w:p>
    <w:p w14:paraId="1CC0FF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二、申请人的资格要求：</w:t>
      </w:r>
    </w:p>
    <w:p w14:paraId="34EB57D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1.满足《中华人民共和国政府采购法》第二十二条规定；</w:t>
      </w:r>
    </w:p>
    <w:p w14:paraId="478595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需满足的资格要求：标项1、2：本项目为非专门面向中小企业，根据《政府采购促进中小企业发展管理办法》（财库【2020】46号）及（财库[2022]19号）的规定，评标时将给予此类企业进行价格扣除10%的优惠，用优惠后的价格参与评审。</w:t>
      </w:r>
    </w:p>
    <w:p w14:paraId="38AD20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3.本项目的特定资格要求：</w:t>
      </w:r>
    </w:p>
    <w:p w14:paraId="5C16251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【标项1、2】</w:t>
      </w:r>
    </w:p>
    <w:p w14:paraId="3EBD43C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sz w:val="28"/>
          <w:szCs w:val="28"/>
          <w:highlight w:val="none"/>
          <w:lang w:val="en-US" w:eastAsia="zh-CN"/>
        </w:rPr>
        <w:t>具备三证合一营业执照副本；</w:t>
      </w:r>
    </w:p>
    <w:p w14:paraId="16BA1CD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(2).法定代表人参加的需提供法定代表人身份证明及身份证原件扫描件，授权委托人参加的需提供附有法定代表人身份证明的授权委托书及被委托人身份证原件扫描件;</w:t>
      </w:r>
    </w:p>
    <w:p w14:paraId="6726CB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(3).投标企业须提供投标人（被授权本单位在职人员）近6个月内任何1个月已依法缴纳社会保险的凭据（依法不需要缴纳社会保障资金的供应商，应提供相应证明文件）；</w:t>
      </w:r>
    </w:p>
    <w:p w14:paraId="14CB4F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3CD8F7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2A1E3D5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3E79B9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18BD5EE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(8).具有履行合同所必需的设备和专业技术能力（提供书面声明函）；</w:t>
      </w:r>
    </w:p>
    <w:p w14:paraId="1383F9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(9).提供参加政府采购活动前三年内，在经营活动中没有重大违法记录（承诺函原件扫描件）；</w:t>
      </w:r>
    </w:p>
    <w:p w14:paraId="306B2C3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bookmarkStart w:id="126" w:name="_GoBack"/>
      <w:bookmarkEnd w:id="126"/>
      <w:r>
        <w:rPr>
          <w:rFonts w:hint="eastAsia" w:ascii="仿宋" w:hAnsi="仿宋" w:eastAsia="仿宋" w:cs="仿宋"/>
          <w:color w:val="auto"/>
          <w:sz w:val="28"/>
          <w:szCs w:val="28"/>
          <w:highlight w:val="none"/>
          <w:lang w:val="en-US" w:eastAsia="zh-CN"/>
        </w:rPr>
        <w:t>企业负责人为同一人或者存在直接控股、管理关系的不同投标人，不得参加同一合同项下的政府采购活动（提供书面声明函）；</w:t>
      </w:r>
    </w:p>
    <w:p w14:paraId="38667E9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三、获取招标文件</w:t>
      </w:r>
    </w:p>
    <w:p w14:paraId="2C6F32D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时间：2025年06月19日至2025年06月26日，每天上午10:00至14:00，下午16:00至20:00（北京时间，法定节假日除外）</w:t>
      </w:r>
    </w:p>
    <w:p w14:paraId="42074A6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地点：政采云平台线上</w:t>
      </w:r>
    </w:p>
    <w:p w14:paraId="0F0E6E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F7406A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售价（元）：0</w:t>
      </w:r>
    </w:p>
    <w:p w14:paraId="591F6DD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t>四、</w:t>
      </w:r>
      <w:r>
        <w:rPr>
          <w:rFonts w:hint="eastAsia" w:ascii="仿宋" w:hAnsi="仿宋" w:eastAsia="仿宋" w:cs="仿宋"/>
          <w:b/>
          <w:bCs/>
          <w:color w:val="auto"/>
          <w:sz w:val="28"/>
          <w:szCs w:val="28"/>
          <w:highlight w:val="none"/>
          <w:lang w:val="en-US" w:eastAsia="zh-CN"/>
        </w:rPr>
        <w:t>提交投标文件截止时间、开标时间和地点</w:t>
      </w:r>
    </w:p>
    <w:p w14:paraId="40FE2FD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提交投标文件截止时间：2025年07月10日 10:10（北京时间）</w:t>
      </w:r>
    </w:p>
    <w:p w14:paraId="36843FD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投标地点：政采云平台https://www.zcygov.cn/</w:t>
      </w:r>
    </w:p>
    <w:p w14:paraId="1CED76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开标时间：2025年07月10日 10:10（北京时间）</w:t>
      </w:r>
    </w:p>
    <w:p w14:paraId="2B4A089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开标地点：投标人登录政采云平台https://www.zcygov.cn/，进入“项目采购-开标评标-右边选择对应项目点击“进入项目”进入开标大厅。</w:t>
      </w:r>
    </w:p>
    <w:p w14:paraId="724F6A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五、公告期限</w:t>
      </w:r>
    </w:p>
    <w:p w14:paraId="06B6758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自本公告发布之日起5个工作日。</w:t>
      </w:r>
    </w:p>
    <w:p w14:paraId="565BAAC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六、其他补充事宜</w:t>
      </w:r>
    </w:p>
    <w:p w14:paraId="1F8D7C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1、本项目实行网上投标，采用电子投标文件。</w:t>
      </w:r>
    </w:p>
    <w:p w14:paraId="5CE11A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48D924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3、供应商将政采云电子交易客户端下载、安装完成后，可通过账号密码或CA登录客户端进行投标文件的制作。在使用政采云投标客户端时，建议使用WIN7及以上操作系统。</w:t>
      </w:r>
    </w:p>
    <w:p w14:paraId="6C5181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4、其他事项：/   </w:t>
      </w:r>
    </w:p>
    <w:p w14:paraId="248937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特别提示：</w:t>
      </w:r>
    </w:p>
    <w:p w14:paraId="30FC9D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1、采购限额标准以上，200万元以下的货物和服务采购项目、400万元以下的工程采购项目，适宜由中小企业提供的，采购人应当专门面向中小企业采购。</w:t>
      </w:r>
    </w:p>
    <w:p w14:paraId="1DBD09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2、超过200万元的货物和服务采购项目，预留该部分采购项目预算总额的30%以上专门面向中小企业采购，其中预留给小微企业的比例不低于60%。</w:t>
      </w:r>
    </w:p>
    <w:p w14:paraId="458B9A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3、超过400万元的工程采购项目中适宜由中小企业提供的，预留该部分采购项目预算总额的40%以上专门面向中小企业采购，其中预留给小微企业的比例不低于60%。</w:t>
      </w:r>
    </w:p>
    <w:p w14:paraId="6B8637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6B18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57481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七、凡对本次招标提出询问，请按以下方式联系</w:t>
      </w:r>
    </w:p>
    <w:p w14:paraId="42C6A9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1.采购人信息</w:t>
      </w:r>
    </w:p>
    <w:p w14:paraId="75AD18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称：阿图什市卫生健康委员会</w:t>
      </w:r>
    </w:p>
    <w:p w14:paraId="568248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址：阿图什市</w:t>
      </w:r>
    </w:p>
    <w:p w14:paraId="730743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联系方式：13345373958</w:t>
      </w:r>
    </w:p>
    <w:p w14:paraId="33E719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2.采购代理机构信息</w:t>
      </w:r>
    </w:p>
    <w:p w14:paraId="6A3C9C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称：新疆天勤工程管理有限公司</w:t>
      </w:r>
    </w:p>
    <w:p w14:paraId="3F35CC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址：克州阿图什市迎宾路80号三楼</w:t>
      </w:r>
    </w:p>
    <w:p w14:paraId="10FE6D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联系方式：13779615026</w:t>
      </w:r>
    </w:p>
    <w:p w14:paraId="026F07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p>
    <w:p w14:paraId="402C7B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项目联系人：王先生</w:t>
      </w:r>
    </w:p>
    <w:p w14:paraId="07409BC7">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highlight w:val="none"/>
        </w:rPr>
      </w:pPr>
      <w:r>
        <w:rPr>
          <w:rFonts w:hint="eastAsia" w:ascii="仿宋" w:hAnsi="仿宋" w:eastAsia="仿宋" w:cs="仿宋"/>
          <w:color w:val="auto"/>
          <w:sz w:val="28"/>
          <w:szCs w:val="28"/>
          <w:highlight w:val="none"/>
          <w:lang w:val="en-US" w:eastAsia="zh-CN"/>
        </w:rPr>
        <w:t>电 话：13779615026</w:t>
      </w:r>
    </w:p>
    <w:p w14:paraId="1DAE34F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jc w:val="left"/>
        <w:textAlignment w:val="auto"/>
        <w:outlineLvl w:val="9"/>
        <w:rPr>
          <w:rFonts w:hint="default" w:ascii="仿宋" w:hAnsi="仿宋" w:eastAsia="仿宋" w:cs="仿宋"/>
          <w:color w:val="auto"/>
          <w:highlight w:val="none"/>
          <w:lang w:val="en-US" w:eastAsia="zh-CN"/>
        </w:rPr>
      </w:pPr>
    </w:p>
    <w:p w14:paraId="7C9A1B64">
      <w:pPr>
        <w:keepNext w:val="0"/>
        <w:keepLines w:val="0"/>
        <w:pageBreakBefore w:val="0"/>
        <w:kinsoku/>
        <w:wordWrap/>
        <w:overflowPunct/>
        <w:topLinePunct w:val="0"/>
        <w:autoSpaceDE/>
        <w:autoSpaceDN/>
        <w:bidi w:val="0"/>
        <w:spacing w:line="480" w:lineRule="auto"/>
        <w:rPr>
          <w:color w:val="auto"/>
          <w:highlight w:val="none"/>
        </w:rPr>
      </w:pPr>
    </w:p>
    <w:p w14:paraId="75FEC8A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0"/>
        <w:jc w:val="left"/>
        <w:textAlignment w:val="auto"/>
        <w:outlineLvl w:val="9"/>
        <w:rPr>
          <w:rFonts w:hint="default" w:ascii="仿宋" w:hAnsi="仿宋" w:eastAsia="仿宋" w:cs="仿宋"/>
          <w:lang w:val="en-US" w:eastAsia="zh-CN"/>
        </w:rPr>
      </w:pPr>
    </w:p>
    <w:p w14:paraId="14E0AF96"/>
    <w:p w14:paraId="4D1C0E94">
      <w:pPr>
        <w:pStyle w:val="24"/>
        <w:keepNext w:val="0"/>
        <w:keepLines w:val="0"/>
        <w:widowControl/>
        <w:suppressLineNumbers w:val="0"/>
        <w:spacing w:before="75" w:beforeAutospacing="0" w:after="75" w:afterAutospacing="0" w:line="240" w:lineRule="auto"/>
        <w:ind w:left="0" w:right="0" w:firstLine="0"/>
        <w:jc w:val="left"/>
        <w:outlineLvl w:val="9"/>
        <w:rPr>
          <w:rFonts w:hint="default" w:ascii="仿宋" w:hAnsi="仿宋" w:eastAsia="仿宋" w:cs="仿宋"/>
          <w:lang w:val="en-US" w:eastAsia="zh-CN"/>
        </w:rPr>
      </w:pPr>
    </w:p>
    <w:p w14:paraId="3495B449">
      <w:pPr>
        <w:pStyle w:val="24"/>
        <w:keepNext w:val="0"/>
        <w:keepLines w:val="0"/>
        <w:widowControl/>
        <w:suppressLineNumbers w:val="0"/>
        <w:spacing w:before="75" w:beforeAutospacing="0" w:after="75" w:afterAutospacing="0" w:line="240" w:lineRule="auto"/>
        <w:ind w:left="0" w:right="0" w:firstLine="0"/>
        <w:jc w:val="left"/>
        <w:outlineLvl w:val="9"/>
        <w:rPr>
          <w:rFonts w:hint="eastAsia" w:ascii="仿宋" w:hAnsi="仿宋" w:eastAsia="仿宋" w:cs="仿宋"/>
        </w:rPr>
      </w:pPr>
    </w:p>
    <w:p w14:paraId="5793A5DC">
      <w:pPr>
        <w:rPr>
          <w:rFonts w:hint="eastAsia" w:ascii="宋体"/>
          <w:b/>
          <w:color w:val="auto"/>
          <w:sz w:val="32"/>
          <w:szCs w:val="32"/>
          <w:highlight w:val="none"/>
        </w:rPr>
      </w:pPr>
      <w:bookmarkStart w:id="5" w:name="_Toc31442"/>
      <w:bookmarkStart w:id="6" w:name="_Toc17939"/>
      <w:r>
        <w:rPr>
          <w:rFonts w:hint="eastAsia" w:ascii="宋体"/>
          <w:b/>
          <w:color w:val="auto"/>
          <w:sz w:val="32"/>
          <w:szCs w:val="32"/>
          <w:highlight w:val="none"/>
        </w:rPr>
        <w:br w:type="page"/>
      </w:r>
    </w:p>
    <w:p w14:paraId="556FAE83">
      <w:pPr>
        <w:shd w:val="clear" w:color="auto" w:fill="auto"/>
        <w:spacing w:line="500" w:lineRule="exact"/>
        <w:jc w:val="center"/>
        <w:outlineLvl w:val="0"/>
        <w:rPr>
          <w:rFonts w:hint="eastAsia" w:ascii="仿宋" w:hAnsi="仿宋" w:eastAsia="仿宋" w:cs="仿宋"/>
          <w:b/>
          <w:color w:val="auto"/>
          <w:sz w:val="32"/>
          <w:szCs w:val="32"/>
          <w:highlight w:val="none"/>
        </w:rPr>
      </w:pPr>
      <w:bookmarkStart w:id="7" w:name="_Toc24479"/>
      <w:r>
        <w:rPr>
          <w:rFonts w:hint="eastAsia" w:ascii="仿宋" w:hAnsi="仿宋" w:eastAsia="仿宋" w:cs="仿宋"/>
          <w:b/>
          <w:color w:val="auto"/>
          <w:sz w:val="32"/>
          <w:szCs w:val="32"/>
          <w:highlight w:val="none"/>
        </w:rPr>
        <w:t>第二章 投标人须知</w:t>
      </w:r>
      <w:bookmarkEnd w:id="4"/>
      <w:bookmarkEnd w:id="5"/>
      <w:bookmarkEnd w:id="6"/>
      <w:bookmarkEnd w:id="7"/>
    </w:p>
    <w:p w14:paraId="00210684">
      <w:pPr>
        <w:shd w:val="clear" w:color="auto" w:fill="auto"/>
        <w:snapToGrid w:val="0"/>
        <w:spacing w:line="500" w:lineRule="exact"/>
        <w:jc w:val="center"/>
        <w:outlineLvl w:val="9"/>
        <w:rPr>
          <w:rFonts w:hint="eastAsia" w:ascii="仿宋" w:hAnsi="仿宋" w:eastAsia="仿宋" w:cs="仿宋"/>
          <w:b/>
          <w:color w:val="auto"/>
          <w:sz w:val="28"/>
          <w:szCs w:val="28"/>
          <w:highlight w:val="none"/>
        </w:rPr>
      </w:pPr>
      <w:bookmarkStart w:id="8" w:name="_Toc469495722"/>
      <w:r>
        <w:rPr>
          <w:rFonts w:hint="eastAsia" w:ascii="仿宋" w:hAnsi="仿宋" w:eastAsia="仿宋" w:cs="仿宋"/>
          <w:b/>
          <w:color w:val="auto"/>
          <w:sz w:val="32"/>
          <w:szCs w:val="32"/>
          <w:highlight w:val="none"/>
        </w:rPr>
        <w:t>一、</w:t>
      </w:r>
      <w:r>
        <w:rPr>
          <w:rFonts w:hint="eastAsia" w:ascii="仿宋" w:hAnsi="仿宋" w:eastAsia="仿宋" w:cs="仿宋"/>
          <w:b/>
          <w:color w:val="auto"/>
          <w:sz w:val="28"/>
          <w:szCs w:val="28"/>
          <w:highlight w:val="none"/>
        </w:rPr>
        <w:t>投标人须知前附表</w:t>
      </w:r>
      <w:bookmarkEnd w:id="8"/>
    </w:p>
    <w:tbl>
      <w:tblPr>
        <w:tblStyle w:val="26"/>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057"/>
        <w:gridCol w:w="7522"/>
      </w:tblGrid>
      <w:tr w14:paraId="365E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77" w:type="dxa"/>
            <w:noWrap w:val="0"/>
            <w:vAlign w:val="center"/>
          </w:tcPr>
          <w:p w14:paraId="590FABC9">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 号</w:t>
            </w:r>
          </w:p>
        </w:tc>
        <w:tc>
          <w:tcPr>
            <w:tcW w:w="2057" w:type="dxa"/>
            <w:noWrap w:val="0"/>
            <w:vAlign w:val="center"/>
          </w:tcPr>
          <w:p w14:paraId="2A7C94A5">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  称</w:t>
            </w:r>
          </w:p>
        </w:tc>
        <w:tc>
          <w:tcPr>
            <w:tcW w:w="7522" w:type="dxa"/>
            <w:noWrap w:val="0"/>
            <w:vAlign w:val="center"/>
          </w:tcPr>
          <w:p w14:paraId="0D335CF7">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14:paraId="4ABC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restart"/>
            <w:noWrap w:val="0"/>
            <w:vAlign w:val="center"/>
          </w:tcPr>
          <w:p w14:paraId="39049E1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2057" w:type="dxa"/>
            <w:vMerge w:val="restart"/>
            <w:noWrap w:val="0"/>
            <w:vAlign w:val="center"/>
          </w:tcPr>
          <w:p w14:paraId="16EB7A42">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（1包）</w:t>
            </w:r>
          </w:p>
          <w:p w14:paraId="0D4A8AC5">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p w14:paraId="13CC0513">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p w14:paraId="19E0969C">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w:t>
            </w:r>
          </w:p>
          <w:p w14:paraId="2D25100D">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p w14:paraId="058D588A">
            <w:pPr>
              <w:shd w:val="clear" w:color="auto" w:fill="auto"/>
              <w:spacing w:line="360" w:lineRule="auto"/>
              <w:jc w:val="center"/>
              <w:outlineLvl w:val="9"/>
              <w:rPr>
                <w:rFonts w:hint="eastAsia"/>
                <w:lang w:val="en-US" w:eastAsia="zh-CN"/>
              </w:rPr>
            </w:pPr>
            <w:r>
              <w:rPr>
                <w:rFonts w:hint="eastAsia" w:ascii="仿宋" w:hAnsi="仿宋" w:eastAsia="仿宋" w:cs="仿宋"/>
                <w:color w:val="auto"/>
                <w:sz w:val="24"/>
                <w:szCs w:val="24"/>
                <w:highlight w:val="none"/>
                <w:lang w:val="en-US" w:eastAsia="zh-CN"/>
              </w:rPr>
              <w:t>质保期</w:t>
            </w:r>
          </w:p>
        </w:tc>
        <w:tc>
          <w:tcPr>
            <w:tcW w:w="7522" w:type="dxa"/>
            <w:noWrap w:val="0"/>
            <w:vAlign w:val="center"/>
          </w:tcPr>
          <w:p w14:paraId="29239357">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项目名称：阿图什市基层医疗卫生机构改造提升项目设备采购（1包）</w:t>
            </w:r>
          </w:p>
        </w:tc>
      </w:tr>
      <w:tr w14:paraId="787C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continue"/>
            <w:noWrap w:val="0"/>
            <w:vAlign w:val="center"/>
          </w:tcPr>
          <w:p w14:paraId="38EA4BF4">
            <w:pPr>
              <w:shd w:val="clear" w:color="auto" w:fill="auto"/>
              <w:spacing w:line="360" w:lineRule="auto"/>
              <w:jc w:val="left"/>
              <w:outlineLvl w:val="9"/>
              <w:rPr>
                <w:rFonts w:hint="eastAsia" w:ascii="仿宋" w:hAnsi="仿宋" w:eastAsia="仿宋" w:cs="仿宋"/>
                <w:sz w:val="24"/>
                <w:szCs w:val="24"/>
              </w:rPr>
            </w:pPr>
          </w:p>
        </w:tc>
        <w:tc>
          <w:tcPr>
            <w:tcW w:w="2057" w:type="dxa"/>
            <w:vMerge w:val="continue"/>
            <w:noWrap w:val="0"/>
            <w:vAlign w:val="center"/>
          </w:tcPr>
          <w:p w14:paraId="17BDB6F7">
            <w:pPr>
              <w:shd w:val="clear" w:color="auto" w:fill="auto"/>
              <w:spacing w:line="360" w:lineRule="auto"/>
              <w:jc w:val="left"/>
              <w:outlineLvl w:val="9"/>
              <w:rPr>
                <w:rFonts w:hint="eastAsia" w:ascii="仿宋" w:hAnsi="仿宋" w:eastAsia="仿宋" w:cs="仿宋"/>
                <w:sz w:val="24"/>
                <w:szCs w:val="24"/>
                <w:highlight w:val="none"/>
              </w:rPr>
            </w:pPr>
          </w:p>
        </w:tc>
        <w:tc>
          <w:tcPr>
            <w:tcW w:w="7522" w:type="dxa"/>
            <w:noWrap w:val="0"/>
            <w:vAlign w:val="center"/>
          </w:tcPr>
          <w:p w14:paraId="1E71219C">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项目编号：ATSCG-2025051-1</w:t>
            </w:r>
          </w:p>
        </w:tc>
      </w:tr>
      <w:tr w14:paraId="03A9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7" w:type="dxa"/>
            <w:vMerge w:val="continue"/>
            <w:noWrap w:val="0"/>
            <w:vAlign w:val="center"/>
          </w:tcPr>
          <w:p w14:paraId="27C0D7A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5A08C26E">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7983EAF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项目内容：主要采购急救设备、内科设备、监护设备等医疗设备。（具体详见采购需求或采购文件）</w:t>
            </w:r>
          </w:p>
        </w:tc>
      </w:tr>
      <w:tr w14:paraId="57F1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7" w:type="dxa"/>
            <w:vMerge w:val="continue"/>
            <w:noWrap w:val="0"/>
            <w:vAlign w:val="center"/>
          </w:tcPr>
          <w:p w14:paraId="496F4AF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52A5162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00E97541">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供货期：自签订合同之日起20个日历日完成供货及安装。（具体时间按照甲乙双方合同约定执行）</w:t>
            </w:r>
          </w:p>
        </w:tc>
      </w:tr>
      <w:tr w14:paraId="6820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continue"/>
            <w:noWrap w:val="0"/>
            <w:vAlign w:val="center"/>
          </w:tcPr>
          <w:p w14:paraId="6465544F">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459E80B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1AFF17BE">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p>
        </w:tc>
      </w:tr>
      <w:tr w14:paraId="51A6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67D94AD5">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restart"/>
            <w:noWrap w:val="0"/>
            <w:vAlign w:val="center"/>
          </w:tcPr>
          <w:p w14:paraId="2870FC6D">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（2包）</w:t>
            </w:r>
          </w:p>
          <w:p w14:paraId="58821616">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p w14:paraId="03432455">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p w14:paraId="3DD041B9">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w:t>
            </w:r>
          </w:p>
          <w:p w14:paraId="0A94519C">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p w14:paraId="1D0454D6">
            <w:pPr>
              <w:shd w:val="clear" w:color="auto" w:fill="auto"/>
              <w:spacing w:line="360" w:lineRule="auto"/>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522" w:type="dxa"/>
            <w:noWrap w:val="0"/>
            <w:vAlign w:val="center"/>
          </w:tcPr>
          <w:p w14:paraId="7D0A6E51">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项目名称：阿图什市基层医疗卫生机构改造提升项目设备采购（2包）</w:t>
            </w:r>
          </w:p>
        </w:tc>
      </w:tr>
      <w:tr w14:paraId="0C14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7B6BE0C8">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2CFC47CC">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4CDC936E">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项目编号：ATSCG-2025051-2</w:t>
            </w:r>
          </w:p>
        </w:tc>
      </w:tr>
      <w:tr w14:paraId="1221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47917D5A">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377AE99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18F3F5D0">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项目内容：主要采购检验设备、放射设备、康复医疗设备等医疗设备。（具体详见采购需求或采购文件）</w:t>
            </w:r>
          </w:p>
        </w:tc>
      </w:tr>
      <w:tr w14:paraId="0B75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08C588D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3BA9FEA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0286663D">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供货期：自签订合同之日起20个日历日完成供货及安装。（具体时间按照甲乙双方合同约定执行）</w:t>
            </w:r>
          </w:p>
        </w:tc>
      </w:tr>
      <w:tr w14:paraId="46E9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72C1DDB9">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6D2282CA">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41EB6FC8">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p>
        </w:tc>
      </w:tr>
      <w:tr w14:paraId="59FB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7" w:type="dxa"/>
            <w:noWrap w:val="0"/>
            <w:vAlign w:val="center"/>
          </w:tcPr>
          <w:p w14:paraId="4C38F4C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2057" w:type="dxa"/>
            <w:noWrap w:val="0"/>
            <w:vAlign w:val="center"/>
          </w:tcPr>
          <w:p w14:paraId="4D29994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采购人信息</w:t>
            </w:r>
          </w:p>
        </w:tc>
        <w:tc>
          <w:tcPr>
            <w:tcW w:w="7522" w:type="dxa"/>
            <w:noWrap w:val="0"/>
            <w:vAlign w:val="center"/>
          </w:tcPr>
          <w:p w14:paraId="4F82DD7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称：阿图什市卫生健康委员会</w:t>
            </w:r>
          </w:p>
          <w:p w14:paraId="7FEC3E5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联系人：胡先生       电  话：13345373958</w:t>
            </w:r>
          </w:p>
        </w:tc>
      </w:tr>
      <w:tr w14:paraId="19F4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6D81AB6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2057" w:type="dxa"/>
            <w:noWrap w:val="0"/>
            <w:vAlign w:val="center"/>
          </w:tcPr>
          <w:p w14:paraId="034FE949">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w:t>
            </w:r>
          </w:p>
        </w:tc>
        <w:tc>
          <w:tcPr>
            <w:tcW w:w="7522" w:type="dxa"/>
            <w:noWrap w:val="0"/>
            <w:vAlign w:val="center"/>
          </w:tcPr>
          <w:p w14:paraId="7EACC50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称：新疆天勤工程管理有限公司</w:t>
            </w:r>
          </w:p>
          <w:p w14:paraId="0C1CC2D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地  址：克州阿图什市迎宾路80号三楼 </w:t>
            </w:r>
          </w:p>
          <w:p w14:paraId="74B83EC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联系人：王</w:t>
            </w:r>
            <w:r>
              <w:rPr>
                <w:rFonts w:hint="eastAsia" w:ascii="仿宋" w:hAnsi="仿宋" w:eastAsia="仿宋" w:cs="仿宋"/>
                <w:b w:val="0"/>
                <w:color w:val="auto"/>
                <w:kern w:val="2"/>
                <w:sz w:val="24"/>
                <w:szCs w:val="24"/>
                <w:highlight w:val="none"/>
                <w:lang w:val="en-US" w:eastAsia="zh-CN" w:bidi="ar-SA"/>
              </w:rPr>
              <w:t>先生</w:t>
            </w:r>
            <w:r>
              <w:rPr>
                <w:rFonts w:hint="eastAsia" w:ascii="仿宋" w:hAnsi="仿宋" w:eastAsia="仿宋" w:cs="仿宋"/>
                <w:b w:val="0"/>
                <w:bCs w:val="0"/>
                <w:color w:val="auto"/>
                <w:sz w:val="24"/>
                <w:szCs w:val="24"/>
                <w:highlight w:val="none"/>
                <w:lang w:val="en-US" w:eastAsia="zh-CN"/>
              </w:rPr>
              <w:t xml:space="preserve">       电  话：13779615026</w:t>
            </w:r>
          </w:p>
        </w:tc>
      </w:tr>
      <w:tr w14:paraId="6D95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4DBBD39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2057" w:type="dxa"/>
            <w:noWrap w:val="0"/>
            <w:vAlign w:val="center"/>
          </w:tcPr>
          <w:p w14:paraId="2CAAE12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最终供货地点</w:t>
            </w:r>
          </w:p>
        </w:tc>
        <w:tc>
          <w:tcPr>
            <w:tcW w:w="7522" w:type="dxa"/>
            <w:noWrap w:val="0"/>
            <w:vAlign w:val="center"/>
          </w:tcPr>
          <w:p w14:paraId="266BB18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阿图什市（按照甲方指定的地点供货）</w:t>
            </w:r>
          </w:p>
        </w:tc>
      </w:tr>
      <w:tr w14:paraId="5B51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85DECB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2057" w:type="dxa"/>
            <w:noWrap w:val="0"/>
            <w:vAlign w:val="center"/>
          </w:tcPr>
          <w:p w14:paraId="46C7981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资格要求</w:t>
            </w:r>
          </w:p>
        </w:tc>
        <w:tc>
          <w:tcPr>
            <w:tcW w:w="7522" w:type="dxa"/>
            <w:noWrap w:val="0"/>
            <w:vAlign w:val="center"/>
          </w:tcPr>
          <w:p w14:paraId="4E3718A2">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1.满足《中华人民共和国政府采购法》第二十二条规定；</w:t>
            </w:r>
          </w:p>
          <w:p w14:paraId="14592808">
            <w:pPr>
              <w:shd w:val="clear" w:color="auto" w:fill="auto"/>
              <w:spacing w:line="360" w:lineRule="auto"/>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2.落实政府采购政策需满足的资格要求：</w:t>
            </w:r>
            <w:r>
              <w:rPr>
                <w:rFonts w:hint="eastAsia" w:ascii="仿宋" w:hAnsi="仿宋" w:eastAsia="仿宋" w:cs="仿宋"/>
                <w:sz w:val="24"/>
                <w:szCs w:val="24"/>
                <w:highlight w:val="none"/>
                <w:lang w:val="en-US" w:eastAsia="zh-CN"/>
              </w:rPr>
              <w:t>标项1、2：本项目为非专门面向中小企业，根据《政府采购促进中小企业发展管理办法》（财库【2020】46号）及（财库[2022]19号）的规定，评标时将给予此类企业进行价格扣除10%的优惠，用优惠后的价格参与评审。</w:t>
            </w:r>
          </w:p>
          <w:p w14:paraId="02BACCC7">
            <w:pPr>
              <w:shd w:val="clear" w:color="auto" w:fill="auto"/>
              <w:spacing w:line="360" w:lineRule="auto"/>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3.本项目的特定资格要求：</w:t>
            </w:r>
          </w:p>
          <w:p w14:paraId="602A7AFE">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(1).具备三证合一营业执照副本；</w:t>
            </w:r>
          </w:p>
          <w:p w14:paraId="74DE29E9">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(2).法定代表人参加的需提供法定代表人身份证明及身份证原件扫描件，授权委托人参加的需提供附有法定代表人身份证明的授权委托书及被委托人身份证原件扫描件;</w:t>
            </w:r>
          </w:p>
          <w:p w14:paraId="3F42C45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(3).投标企业须提供投标人（被授权本单位在职人员）近6个月内任何1个月已依法缴纳社会保险的凭据（依法不需要缴纳社会保障资金的供应商，应提供相应证明文件）；</w:t>
            </w:r>
          </w:p>
          <w:p w14:paraId="23E30FC1">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3FADAEA4">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756677DA">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DD13DCE">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1E7700C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(8).具有履行合同所必需的设备和专业技术能力（提供书面声明函）；</w:t>
            </w:r>
          </w:p>
          <w:p w14:paraId="7439397D">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default" w:ascii="仿宋" w:hAnsi="仿宋" w:eastAsia="仿宋" w:cs="仿宋"/>
                <w:sz w:val="24"/>
                <w:szCs w:val="24"/>
                <w:lang w:val="en-US" w:eastAsia="zh-CN"/>
              </w:rPr>
              <w:t>提供参加政府采购活动前三年内，在经营活动中没有重大违法记录（承诺函原件扫描件）；</w:t>
            </w:r>
          </w:p>
          <w:p w14:paraId="68F6B4DA">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(10).企业负责人为同一人或者存在直接控股、管理关系的不同投标人，不得参加同一合同项下的政府采购活动（提供书面声明函）；</w:t>
            </w:r>
          </w:p>
          <w:p w14:paraId="456CA6D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4.本项目不接受联合体投标；</w:t>
            </w:r>
          </w:p>
        </w:tc>
      </w:tr>
      <w:tr w14:paraId="335D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2111BC6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2057" w:type="dxa"/>
            <w:noWrap w:val="0"/>
            <w:vAlign w:val="center"/>
          </w:tcPr>
          <w:p w14:paraId="55DDE8E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资金来源</w:t>
            </w:r>
          </w:p>
        </w:tc>
        <w:tc>
          <w:tcPr>
            <w:tcW w:w="7522" w:type="dxa"/>
            <w:noWrap w:val="0"/>
            <w:vAlign w:val="center"/>
          </w:tcPr>
          <w:p w14:paraId="00CCD69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自治区专项补助资金</w:t>
            </w:r>
          </w:p>
        </w:tc>
      </w:tr>
      <w:tr w14:paraId="16E3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23C4BCA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2057" w:type="dxa"/>
            <w:noWrap w:val="0"/>
            <w:vAlign w:val="center"/>
          </w:tcPr>
          <w:p w14:paraId="336061B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付款方式</w:t>
            </w:r>
          </w:p>
        </w:tc>
        <w:tc>
          <w:tcPr>
            <w:tcW w:w="7522" w:type="dxa"/>
            <w:noWrap w:val="0"/>
            <w:vAlign w:val="center"/>
          </w:tcPr>
          <w:p w14:paraId="61F36A08">
            <w:pPr>
              <w:shd w:val="clear" w:color="auto" w:fill="auto"/>
              <w:spacing w:line="360" w:lineRule="auto"/>
              <w:jc w:val="left"/>
              <w:outlineLvl w:val="9"/>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具体以甲乙双方签订合同为准</w:t>
            </w:r>
          </w:p>
        </w:tc>
      </w:tr>
      <w:tr w14:paraId="0361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5D158BC9">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2057" w:type="dxa"/>
            <w:noWrap w:val="0"/>
            <w:vAlign w:val="center"/>
          </w:tcPr>
          <w:p w14:paraId="02647C5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招标方式</w:t>
            </w:r>
          </w:p>
        </w:tc>
        <w:tc>
          <w:tcPr>
            <w:tcW w:w="7522" w:type="dxa"/>
            <w:noWrap w:val="0"/>
            <w:vAlign w:val="center"/>
          </w:tcPr>
          <w:p w14:paraId="7EE7633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公开招标(本项目采用网上电子招投标)  </w:t>
            </w:r>
          </w:p>
        </w:tc>
      </w:tr>
      <w:tr w14:paraId="6CF9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6C28C0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2057" w:type="dxa"/>
            <w:noWrap w:val="0"/>
            <w:vAlign w:val="center"/>
          </w:tcPr>
          <w:p w14:paraId="1EC4058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供应商信用查询</w:t>
            </w:r>
          </w:p>
        </w:tc>
        <w:tc>
          <w:tcPr>
            <w:tcW w:w="7522" w:type="dxa"/>
            <w:noWrap w:val="0"/>
            <w:vAlign w:val="center"/>
          </w:tcPr>
          <w:p w14:paraId="094840B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1、查询渠道：信用中国（网址：http://www.creditchina.gov.cn）、中国政府采购网(网址：http://www.ccgp.gov.cn）。</w:t>
            </w:r>
          </w:p>
          <w:p w14:paraId="7635883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2、截止时点：开标后评标前。</w:t>
            </w:r>
          </w:p>
          <w:p w14:paraId="0F92989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3、信用信息查询记录和证据留存的具体方式：由采购组织机构在规定查询时间内打印信用信息查询记录并归入项目档案。</w:t>
            </w:r>
          </w:p>
          <w:p w14:paraId="313CDC3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887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0680E3E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2057" w:type="dxa"/>
            <w:noWrap w:val="0"/>
            <w:vAlign w:val="center"/>
          </w:tcPr>
          <w:p w14:paraId="683269A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是否接受联合体投标</w:t>
            </w:r>
          </w:p>
        </w:tc>
        <w:tc>
          <w:tcPr>
            <w:tcW w:w="7522" w:type="dxa"/>
            <w:noWrap w:val="0"/>
            <w:vAlign w:val="center"/>
          </w:tcPr>
          <w:p w14:paraId="614FE53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■不接受</w:t>
            </w:r>
          </w:p>
          <w:p w14:paraId="4646EEA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□接  受</w:t>
            </w:r>
          </w:p>
        </w:tc>
      </w:tr>
      <w:tr w14:paraId="34B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103E0F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2057" w:type="dxa"/>
            <w:noWrap w:val="0"/>
            <w:vAlign w:val="center"/>
          </w:tcPr>
          <w:p w14:paraId="5062F73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 （开标时间）</w:t>
            </w:r>
          </w:p>
        </w:tc>
        <w:tc>
          <w:tcPr>
            <w:tcW w:w="7522" w:type="dxa"/>
            <w:noWrap w:val="0"/>
            <w:vAlign w:val="center"/>
          </w:tcPr>
          <w:p w14:paraId="38D159E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截止时间：2025年07月10日 10:10（北京时间）</w:t>
            </w:r>
          </w:p>
        </w:tc>
      </w:tr>
      <w:tr w14:paraId="35D0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76D4F2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2057" w:type="dxa"/>
            <w:noWrap w:val="0"/>
            <w:vAlign w:val="center"/>
          </w:tcPr>
          <w:p w14:paraId="4BC4920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投标有效期</w:t>
            </w:r>
          </w:p>
        </w:tc>
        <w:tc>
          <w:tcPr>
            <w:tcW w:w="7522" w:type="dxa"/>
            <w:noWrap w:val="0"/>
            <w:vAlign w:val="center"/>
          </w:tcPr>
          <w:p w14:paraId="5B90604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60 天</w:t>
            </w:r>
          </w:p>
        </w:tc>
      </w:tr>
      <w:tr w14:paraId="724E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CC3CB6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2057" w:type="dxa"/>
            <w:noWrap w:val="0"/>
            <w:vAlign w:val="center"/>
          </w:tcPr>
          <w:p w14:paraId="1486A40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w:t>
            </w:r>
          </w:p>
        </w:tc>
        <w:tc>
          <w:tcPr>
            <w:tcW w:w="7522" w:type="dxa"/>
            <w:noWrap w:val="0"/>
            <w:vAlign w:val="center"/>
          </w:tcPr>
          <w:p w14:paraId="04946638">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投标保证金要求：</w:t>
            </w:r>
          </w:p>
          <w:p w14:paraId="3F0B3A7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投标保证金交纳方式：投标保证金应当以支票、汇票、本票、网上银行支付或者金融机构、担保机构出具的保函等非现金形式交纳。</w:t>
            </w:r>
          </w:p>
          <w:p w14:paraId="724FE72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投标保证金的金额：</w:t>
            </w:r>
          </w:p>
          <w:p w14:paraId="78B9506E">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一包：50000.00元；（伍万元整）</w:t>
            </w:r>
          </w:p>
          <w:p w14:paraId="794C801A">
            <w:pPr>
              <w:outlineLvl w:val="9"/>
              <w:rPr>
                <w:rFonts w:hint="eastAsia"/>
                <w:lang w:val="en-US" w:eastAsia="zh-CN"/>
              </w:rPr>
            </w:pPr>
            <w:r>
              <w:rPr>
                <w:rFonts w:hint="eastAsia" w:ascii="仿宋" w:hAnsi="仿宋" w:eastAsia="仿宋" w:cs="仿宋"/>
                <w:b/>
                <w:bCs/>
                <w:color w:val="auto"/>
                <w:sz w:val="24"/>
                <w:szCs w:val="24"/>
                <w:highlight w:val="none"/>
                <w:lang w:val="en-US" w:eastAsia="zh-CN"/>
              </w:rPr>
              <w:t>二包：55000.00元；（伍万伍仟元整）</w:t>
            </w:r>
          </w:p>
          <w:p w14:paraId="309C6F0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一、投标保证金交纳要求：   </w:t>
            </w:r>
          </w:p>
          <w:p w14:paraId="6E55FA9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049D40C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3B3751D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户名：阿图什市政务服务和公共资源交易中心</w:t>
            </w:r>
          </w:p>
          <w:p w14:paraId="69A8FF92">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账号：30456301040005267</w:t>
            </w:r>
          </w:p>
          <w:p w14:paraId="143EDD54">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行名：中国农业银行阿图什市天山分理处</w:t>
            </w:r>
          </w:p>
          <w:p w14:paraId="528A94B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行号：103893045636</w:t>
            </w:r>
          </w:p>
          <w:p w14:paraId="5BD2B06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联系人：王女士</w:t>
            </w:r>
          </w:p>
          <w:p w14:paraId="7EA3DF0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电话：0908-4222076    </w:t>
            </w:r>
          </w:p>
          <w:p w14:paraId="1A0C5F5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备注：必须写清楚xx公司xx项目保证金）</w:t>
            </w:r>
          </w:p>
          <w:p w14:paraId="4509B3A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7F48249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1、投标企业：待开标完成后，未中标企业3-5个工作日内政资中心将收取的项目投标保证金按投标企业基本户退回。</w:t>
            </w:r>
          </w:p>
          <w:p w14:paraId="3507885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2、中标企业：需提供已签订合同复印件一份，复印件每页需加盖企业公章（并携带合同原件，由中心工作人员核对后退还）。</w:t>
            </w:r>
          </w:p>
          <w:p w14:paraId="54E45A4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126499F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lang w:eastAsia="zh-CN"/>
              </w:rPr>
              <w:t xml:space="preserve">1、按照招标文件要求规定：投标企业无正当理由不参加该项目投标且在规定开标时间前不递交弃标函，投标保证金不予退还。    </w:t>
            </w:r>
            <w:r>
              <w:rPr>
                <w:rFonts w:hint="eastAsia" w:ascii="仿宋" w:hAnsi="仿宋" w:eastAsia="仿宋" w:cs="仿宋"/>
                <w:b w:val="0"/>
                <w:bCs w:val="0"/>
                <w:color w:val="auto"/>
                <w:sz w:val="24"/>
                <w:szCs w:val="24"/>
                <w:highlight w:val="none"/>
                <w:lang w:val="en-US" w:eastAsia="zh-CN"/>
              </w:rPr>
              <w:t xml:space="preserve">             </w:t>
            </w:r>
          </w:p>
        </w:tc>
      </w:tr>
      <w:tr w14:paraId="68F3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AC0F77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2057" w:type="dxa"/>
            <w:noWrap w:val="0"/>
            <w:vAlign w:val="center"/>
          </w:tcPr>
          <w:p w14:paraId="0577666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是否允许递交备选投标方案</w:t>
            </w:r>
          </w:p>
        </w:tc>
        <w:tc>
          <w:tcPr>
            <w:tcW w:w="7522" w:type="dxa"/>
            <w:noWrap w:val="0"/>
            <w:vAlign w:val="center"/>
          </w:tcPr>
          <w:p w14:paraId="33A486E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■不允许</w:t>
            </w:r>
          </w:p>
          <w:p w14:paraId="23E6964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□允  许</w:t>
            </w:r>
          </w:p>
        </w:tc>
      </w:tr>
      <w:tr w14:paraId="55EB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C8ADB4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2057" w:type="dxa"/>
            <w:noWrap w:val="0"/>
            <w:vAlign w:val="center"/>
          </w:tcPr>
          <w:p w14:paraId="24154F6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招标文件领取</w:t>
            </w:r>
          </w:p>
        </w:tc>
        <w:tc>
          <w:tcPr>
            <w:tcW w:w="7522" w:type="dxa"/>
            <w:noWrap w:val="0"/>
            <w:vAlign w:val="center"/>
          </w:tcPr>
          <w:p w14:paraId="28A9957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时间：2025年06月19日至2025年 06月26日，</w:t>
            </w:r>
            <w:r>
              <w:rPr>
                <w:rFonts w:hint="eastAsia" w:ascii="仿宋" w:hAnsi="仿宋" w:eastAsia="仿宋" w:cs="仿宋"/>
                <w:b w:val="0"/>
                <w:bCs w:val="0"/>
                <w:color w:val="auto"/>
                <w:sz w:val="24"/>
                <w:szCs w:val="24"/>
                <w:highlight w:val="none"/>
                <w:lang w:val="en-US" w:eastAsia="zh-CN"/>
              </w:rPr>
              <w:t>每天上午10:00至14:00，下午16:00至20：00（北京时间，节假日除外）</w:t>
            </w:r>
          </w:p>
          <w:p w14:paraId="46A2590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地点：政采云平台线上</w:t>
            </w:r>
          </w:p>
          <w:p w14:paraId="14EE7B6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方式：供应商登录政采云平台https://www.zcygov.cn/在线申请获取采购文件（进入“项目采购”应用，在获取采购文件菜单中选择项目，申请获取采购文件）</w:t>
            </w:r>
          </w:p>
        </w:tc>
      </w:tr>
      <w:tr w14:paraId="1E28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05AF965C">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2057" w:type="dxa"/>
            <w:noWrap w:val="0"/>
            <w:vAlign w:val="center"/>
          </w:tcPr>
          <w:p w14:paraId="6DC29E4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投标文件形式</w:t>
            </w:r>
          </w:p>
        </w:tc>
        <w:tc>
          <w:tcPr>
            <w:tcW w:w="7522" w:type="dxa"/>
            <w:noWrap w:val="0"/>
            <w:vAlign w:val="center"/>
          </w:tcPr>
          <w:p w14:paraId="4BAA69E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电子投标文件包括“电子加密投标文件”和“备份投标文件”，在投标文件编制完成后同时生成。</w:t>
            </w:r>
          </w:p>
          <w:p w14:paraId="393D006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1、“电子加密投标文件”是指通过“政采云电子交易客户端”完成投标文件编制后生成并加密的数据电文形式的投标文件。</w:t>
            </w:r>
          </w:p>
          <w:p w14:paraId="78C3B07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600F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77" w:type="dxa"/>
            <w:noWrap w:val="0"/>
            <w:vAlign w:val="center"/>
          </w:tcPr>
          <w:p w14:paraId="4CBAE55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w:t>
            </w:r>
          </w:p>
        </w:tc>
        <w:tc>
          <w:tcPr>
            <w:tcW w:w="2057" w:type="dxa"/>
            <w:noWrap w:val="0"/>
            <w:vAlign w:val="center"/>
          </w:tcPr>
          <w:p w14:paraId="5E0197A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7522" w:type="dxa"/>
            <w:noWrap w:val="0"/>
            <w:vAlign w:val="center"/>
          </w:tcPr>
          <w:p w14:paraId="6B37C2E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1、一份电子加密标书（“.jmbs”格式），一份备份标书文件（“.bfbs”格式）。</w:t>
            </w:r>
          </w:p>
          <w:p w14:paraId="6F25D37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2、每份电子投标文件应包括资格证明文件和商务及技术文件两部分。</w:t>
            </w:r>
          </w:p>
        </w:tc>
      </w:tr>
      <w:tr w14:paraId="4626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restart"/>
            <w:noWrap w:val="0"/>
            <w:vAlign w:val="center"/>
          </w:tcPr>
          <w:p w14:paraId="42852A6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2057" w:type="dxa"/>
            <w:vMerge w:val="restart"/>
            <w:noWrap w:val="0"/>
            <w:vAlign w:val="center"/>
          </w:tcPr>
          <w:p w14:paraId="79820D9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投标文件的上传和递交</w:t>
            </w:r>
          </w:p>
        </w:tc>
        <w:tc>
          <w:tcPr>
            <w:tcW w:w="7522" w:type="dxa"/>
            <w:noWrap w:val="0"/>
            <w:vAlign w:val="center"/>
          </w:tcPr>
          <w:p w14:paraId="17F90EB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1E3BB2F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a.供应商未能在投标截止时间前成功上传电子加密投标文件的投标无效。</w:t>
            </w:r>
          </w:p>
          <w:p w14:paraId="462A57A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b.供应商成功上传电子加密投标文件后，可自行打印投标文件接收回执。</w:t>
            </w:r>
          </w:p>
        </w:tc>
      </w:tr>
      <w:tr w14:paraId="73B8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725D83B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8191BD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2CE69A2">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31"/>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31"/>
                <w:rFonts w:hint="eastAsia" w:ascii="仿宋" w:hAnsi="仿宋" w:eastAsia="仿宋" w:cs="仿宋"/>
                <w:color w:val="auto"/>
                <w:sz w:val="24"/>
                <w:szCs w:val="24"/>
                <w:highlight w:val="none"/>
                <w:u w:val="single"/>
                <w:lang w:bidi="zh-CN"/>
              </w:rPr>
              <w:t>，电话：</w:t>
            </w:r>
            <w:r>
              <w:rPr>
                <w:rStyle w:val="31"/>
                <w:rFonts w:hint="eastAsia" w:ascii="仿宋" w:hAnsi="仿宋" w:eastAsia="仿宋" w:cs="仿宋"/>
                <w:color w:val="auto"/>
                <w:sz w:val="24"/>
                <w:szCs w:val="24"/>
                <w:highlight w:val="none"/>
                <w:u w:val="single"/>
                <w:lang w:val="en-US" w:bidi="zh-CN"/>
              </w:rPr>
              <w:t xml:space="preserve">18104746080 </w:t>
            </w:r>
            <w:r>
              <w:rPr>
                <w:rFonts w:hint="eastAsia" w:ascii="仿宋" w:hAnsi="仿宋" w:eastAsia="仿宋" w:cs="仿宋"/>
                <w:b w:val="0"/>
                <w:bCs w:val="0"/>
                <w:color w:val="auto"/>
                <w:sz w:val="24"/>
                <w:szCs w:val="24"/>
                <w:highlight w:val="none"/>
                <w:lang w:val="en-US" w:eastAsia="zh-CN"/>
              </w:rPr>
              <w:t>），“备份投标文件”由供应商自愿提供，招标文件 不作强制性要求；如不提供或未按要求提供的，当电子投标文件无法解密时，将导致无备份投标文件而失去投标资格。</w:t>
            </w:r>
          </w:p>
          <w:p w14:paraId="323A7C1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0DB0F0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C5B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6A4F4B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2057" w:type="dxa"/>
            <w:noWrap w:val="0"/>
            <w:vAlign w:val="center"/>
          </w:tcPr>
          <w:p w14:paraId="1EF9070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评标委员会的组建</w:t>
            </w:r>
          </w:p>
        </w:tc>
        <w:tc>
          <w:tcPr>
            <w:tcW w:w="7522" w:type="dxa"/>
            <w:noWrap w:val="0"/>
            <w:vAlign w:val="center"/>
          </w:tcPr>
          <w:p w14:paraId="33B06638">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评标委员会由招标人依法组建；</w:t>
            </w:r>
          </w:p>
          <w:p w14:paraId="44F8AB07">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评标专家确定方式：专家评委由招标人在开标前从政采云专家库中随机抽取；</w:t>
            </w:r>
          </w:p>
        </w:tc>
      </w:tr>
      <w:tr w14:paraId="7CB2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B7BE76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2057" w:type="dxa"/>
            <w:noWrap w:val="0"/>
            <w:vAlign w:val="center"/>
          </w:tcPr>
          <w:p w14:paraId="62A9665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是否授权评标委员会确定中标候选人</w:t>
            </w:r>
          </w:p>
        </w:tc>
        <w:tc>
          <w:tcPr>
            <w:tcW w:w="7522" w:type="dxa"/>
            <w:noWrap w:val="0"/>
            <w:vAlign w:val="center"/>
          </w:tcPr>
          <w:p w14:paraId="084EAB60">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是；</w:t>
            </w:r>
            <w:r>
              <w:rPr>
                <w:rFonts w:hint="eastAsia" w:ascii="仿宋" w:hAnsi="仿宋" w:eastAsia="仿宋" w:cs="仿宋"/>
                <w:b w:val="0"/>
                <w:bCs w:val="0"/>
                <w:color w:val="auto"/>
                <w:sz w:val="24"/>
                <w:szCs w:val="24"/>
                <w:highlight w:val="none"/>
                <w:lang w:val="en-US" w:eastAsia="zh-CN"/>
              </w:rPr>
              <w:tab/>
            </w:r>
          </w:p>
        </w:tc>
      </w:tr>
      <w:tr w14:paraId="4D96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BA29A1F">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2057" w:type="dxa"/>
            <w:noWrap w:val="0"/>
            <w:vAlign w:val="center"/>
          </w:tcPr>
          <w:p w14:paraId="65D5842C">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递交投标文件地点</w:t>
            </w:r>
          </w:p>
        </w:tc>
        <w:tc>
          <w:tcPr>
            <w:tcW w:w="7522" w:type="dxa"/>
            <w:noWrap w:val="0"/>
            <w:vAlign w:val="center"/>
          </w:tcPr>
          <w:p w14:paraId="7E960414">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投标截止时间：2025年07月10日 10:10（北京时间）</w:t>
            </w:r>
          </w:p>
          <w:p w14:paraId="10CCD43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投标地点：请登录政采云投标客户端投标</w:t>
            </w:r>
          </w:p>
        </w:tc>
      </w:tr>
      <w:tr w14:paraId="7645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665BA4F">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2057" w:type="dxa"/>
            <w:noWrap w:val="0"/>
            <w:vAlign w:val="center"/>
          </w:tcPr>
          <w:p w14:paraId="7C9EB12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开标时间和地点</w:t>
            </w:r>
          </w:p>
        </w:tc>
        <w:tc>
          <w:tcPr>
            <w:tcW w:w="7522" w:type="dxa"/>
            <w:noWrap w:val="0"/>
            <w:vAlign w:val="center"/>
          </w:tcPr>
          <w:p w14:paraId="296380A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开标时间：2025年07月10日 10:10（北京时间）</w:t>
            </w:r>
          </w:p>
          <w:p w14:paraId="6E5A743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开标地点：投标人登录政采云平台https://www.zcygov.cn/，进入“项目采购-开标评标-右边选择对应项目点击“进入项目”进入开标大厅。      </w:t>
            </w:r>
          </w:p>
        </w:tc>
      </w:tr>
      <w:tr w14:paraId="7496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restart"/>
            <w:noWrap w:val="0"/>
            <w:vAlign w:val="center"/>
          </w:tcPr>
          <w:p w14:paraId="6308057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c>
          <w:tcPr>
            <w:tcW w:w="2057" w:type="dxa"/>
            <w:vMerge w:val="restart"/>
            <w:noWrap w:val="0"/>
            <w:vAlign w:val="center"/>
          </w:tcPr>
          <w:p w14:paraId="264252F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重要说明</w:t>
            </w:r>
          </w:p>
        </w:tc>
        <w:tc>
          <w:tcPr>
            <w:tcW w:w="7522" w:type="dxa"/>
            <w:noWrap w:val="0"/>
            <w:vAlign w:val="center"/>
          </w:tcPr>
          <w:p w14:paraId="5E5274F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3B85EA0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14:paraId="736004D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2A4F4AA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79EF677C">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60E4515F">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仿宋" w:hAnsi="仿宋" w:eastAsia="仿宋" w:cs="仿宋"/>
                <w:b w:val="0"/>
                <w:bCs w:val="0"/>
                <w:color w:val="auto"/>
                <w:sz w:val="24"/>
                <w:szCs w:val="24"/>
                <w:highlight w:val="none"/>
                <w:lang w:val="en-US" w:eastAsia="zh-CN"/>
              </w:rPr>
              <w:t>7.为了保证开评标顺利进行，政采云线上开标功能完全实现，供应商开标所使用的电脑设备须具有视频及语音功能。</w:t>
            </w:r>
          </w:p>
        </w:tc>
      </w:tr>
      <w:tr w14:paraId="181A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1F10367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9DEE63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01EB25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1、电子招投标情况说明：</w:t>
            </w:r>
          </w:p>
          <w:p w14:paraId="3E910F4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（1）电子招投标：本项目以数据电文形式，依托“政府采购云平台（www.zcygov.cn）”进行招投标活动。</w:t>
            </w:r>
          </w:p>
          <w:p w14:paraId="11878B47">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416E72E">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（3）招标文件的获取：使用账号登录或者短信验证码或者使用CA登录政采云平台；进入“项目采购”应用，在获取招标文件 菜单中选择项目，获取招标文件 。</w:t>
            </w:r>
          </w:p>
          <w:p w14:paraId="6805CFC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4B57FA5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31"/>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31"/>
                <w:rFonts w:hint="eastAsia" w:ascii="仿宋" w:hAnsi="仿宋" w:eastAsia="仿宋" w:cs="仿宋"/>
                <w:color w:val="auto"/>
                <w:sz w:val="24"/>
                <w:szCs w:val="24"/>
                <w:highlight w:val="none"/>
                <w:u w:val="single"/>
                <w:lang w:bidi="zh-CN"/>
              </w:rPr>
              <w:t>，电话：</w:t>
            </w:r>
            <w:r>
              <w:rPr>
                <w:rStyle w:val="31"/>
                <w:rFonts w:hint="eastAsia" w:ascii="仿宋" w:hAnsi="仿宋" w:eastAsia="仿宋" w:cs="仿宋"/>
                <w:color w:val="auto"/>
                <w:sz w:val="24"/>
                <w:szCs w:val="24"/>
                <w:highlight w:val="none"/>
                <w:u w:val="single"/>
                <w:lang w:val="en-US" w:bidi="zh-CN"/>
              </w:rPr>
              <w:t>18104746080</w:t>
            </w:r>
            <w:r>
              <w:rPr>
                <w:rFonts w:hint="eastAsia" w:ascii="仿宋" w:hAnsi="仿宋" w:eastAsia="仿宋" w:cs="仿宋"/>
                <w:color w:val="auto"/>
                <w:sz w:val="24"/>
                <w:szCs w:val="24"/>
                <w:highlight w:val="none"/>
                <w:lang w:bidi="zh-CN"/>
              </w:rPr>
              <w:t>）</w:t>
            </w:r>
            <w:r>
              <w:rPr>
                <w:rFonts w:hint="eastAsia" w:ascii="仿宋" w:hAnsi="仿宋" w:eastAsia="仿宋" w:cs="仿宋"/>
                <w:b w:val="0"/>
                <w:bCs w:val="0"/>
                <w:color w:val="auto"/>
                <w:sz w:val="24"/>
                <w:szCs w:val="24"/>
                <w:highlight w:val="none"/>
                <w:lang w:val="en-US"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7C72F51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853474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（7）具体操作指南：详见政采云平台“服务中心-帮助文档-项目采购-操作流程-电子招投标-政府采购项目电子交易管理操作指南-供应商”。</w:t>
            </w:r>
          </w:p>
          <w:p w14:paraId="640AB07F">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（8）供应商在进行上述操作时，如遇技术问题可登录政采云（https://</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HYPERLINK "http://www.zcygov.cn/" \h</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www.zcygov.cn/</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），点击右侧咨询小采，获取采小蜜智能服务管家帮助，或拨打政采云服务热线 95763 获取热线服务帮助。</w:t>
            </w:r>
          </w:p>
          <w:p w14:paraId="5115B8E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温馨提醒：供应商应提前上传，以便在上传时遇到技术问题，有充足的时间请教平台的技术人员。</w:t>
            </w:r>
          </w:p>
          <w:p w14:paraId="213EF93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5BE5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4CA1E32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p>
        </w:tc>
        <w:tc>
          <w:tcPr>
            <w:tcW w:w="2057" w:type="dxa"/>
            <w:noWrap w:val="0"/>
            <w:vAlign w:val="center"/>
          </w:tcPr>
          <w:p w14:paraId="67C1A15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中标候选人公示媒介</w:t>
            </w:r>
          </w:p>
        </w:tc>
        <w:tc>
          <w:tcPr>
            <w:tcW w:w="7522" w:type="dxa"/>
            <w:noWrap w:val="0"/>
            <w:vAlign w:val="center"/>
          </w:tcPr>
          <w:p w14:paraId="75E7968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克州公共资源交易网、新疆政府采购网，公示期为一个工作日。</w:t>
            </w:r>
          </w:p>
        </w:tc>
      </w:tr>
      <w:tr w14:paraId="5452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70DF7C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2057" w:type="dxa"/>
            <w:noWrap w:val="0"/>
            <w:vAlign w:val="center"/>
          </w:tcPr>
          <w:p w14:paraId="74A0E38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招标代理服务费</w:t>
            </w:r>
          </w:p>
        </w:tc>
        <w:tc>
          <w:tcPr>
            <w:tcW w:w="7522" w:type="dxa"/>
            <w:noWrap w:val="0"/>
            <w:vAlign w:val="center"/>
          </w:tcPr>
          <w:p w14:paraId="4BE33818">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收费标准：参照《国家计委关于印发招标代理服务收费管理暂行办法的通知（计价格[2015]299号）中规定收取代理费。</w:t>
            </w:r>
          </w:p>
        </w:tc>
      </w:tr>
      <w:tr w14:paraId="4CC6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5ACF2BA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w:t>
            </w:r>
          </w:p>
        </w:tc>
        <w:tc>
          <w:tcPr>
            <w:tcW w:w="9579" w:type="dxa"/>
            <w:gridSpan w:val="2"/>
            <w:noWrap w:val="0"/>
            <w:vAlign w:val="center"/>
          </w:tcPr>
          <w:p w14:paraId="3451453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评标办法：</w:t>
            </w:r>
            <w:r>
              <w:rPr>
                <w:rFonts w:hint="eastAsia" w:ascii="仿宋" w:hAnsi="仿宋" w:eastAsia="仿宋" w:cs="仿宋"/>
                <w:b/>
                <w:bCs/>
                <w:color w:val="auto"/>
                <w:sz w:val="24"/>
                <w:szCs w:val="24"/>
                <w:highlight w:val="none"/>
                <w:lang w:val="en-US" w:eastAsia="zh-CN"/>
              </w:rPr>
              <w:t>本项目采用综合评分法。</w:t>
            </w:r>
          </w:p>
        </w:tc>
      </w:tr>
      <w:tr w14:paraId="3BCB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EBC3A1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w:t>
            </w:r>
          </w:p>
        </w:tc>
        <w:tc>
          <w:tcPr>
            <w:tcW w:w="9579" w:type="dxa"/>
            <w:gridSpan w:val="2"/>
            <w:noWrap w:val="0"/>
            <w:vAlign w:val="center"/>
          </w:tcPr>
          <w:p w14:paraId="44848E5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不管投标结果如何，投标人均应承担自己投标所需一切费用。</w:t>
            </w:r>
          </w:p>
        </w:tc>
      </w:tr>
      <w:tr w14:paraId="2E7B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CF2CE1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w:t>
            </w:r>
          </w:p>
        </w:tc>
        <w:tc>
          <w:tcPr>
            <w:tcW w:w="9579" w:type="dxa"/>
            <w:gridSpan w:val="2"/>
            <w:noWrap w:val="0"/>
            <w:vAlign w:val="center"/>
          </w:tcPr>
          <w:p w14:paraId="784E4C5E">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最高投标限价：招标人设置投标报价最高上限：</w:t>
            </w:r>
          </w:p>
          <w:p w14:paraId="7131744C">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一包：4798718.00元（肆佰柒拾玖万捌仟柒佰壹拾捌元整）；</w:t>
            </w:r>
          </w:p>
          <w:p w14:paraId="4C475B77">
            <w:pPr>
              <w:outlineLvl w:val="9"/>
              <w:rPr>
                <w:rFonts w:hint="default"/>
                <w:lang w:val="en-US" w:eastAsia="zh-CN"/>
              </w:rPr>
            </w:pPr>
            <w:r>
              <w:rPr>
                <w:rFonts w:hint="eastAsia" w:ascii="仿宋" w:hAnsi="仿宋" w:eastAsia="仿宋" w:cs="仿宋"/>
                <w:b/>
                <w:bCs/>
                <w:color w:val="auto"/>
                <w:sz w:val="24"/>
                <w:szCs w:val="24"/>
                <w:highlight w:val="none"/>
                <w:lang w:val="en-US" w:eastAsia="zh-CN"/>
              </w:rPr>
              <w:t>二包：4793760.00元（肆佰柒拾玖万叁仟柒佰陆拾元整）；</w:t>
            </w:r>
          </w:p>
          <w:p w14:paraId="0B793D4A">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val="en-US" w:eastAsia="zh-CN"/>
              </w:rPr>
              <w:t>高于最高限价的其投标文件按无效投标处理。</w:t>
            </w:r>
          </w:p>
        </w:tc>
      </w:tr>
      <w:tr w14:paraId="79DE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77" w:type="dxa"/>
            <w:vMerge w:val="restart"/>
            <w:noWrap w:val="0"/>
            <w:vAlign w:val="center"/>
          </w:tcPr>
          <w:p w14:paraId="5794CFE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w:t>
            </w:r>
          </w:p>
        </w:tc>
        <w:tc>
          <w:tcPr>
            <w:tcW w:w="2057" w:type="dxa"/>
            <w:vMerge w:val="restart"/>
            <w:noWrap w:val="0"/>
            <w:vAlign w:val="center"/>
          </w:tcPr>
          <w:p w14:paraId="473E3B8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中小微企业政策文件</w:t>
            </w:r>
          </w:p>
        </w:tc>
        <w:tc>
          <w:tcPr>
            <w:tcW w:w="7522" w:type="dxa"/>
            <w:noWrap w:val="0"/>
            <w:vAlign w:val="center"/>
          </w:tcPr>
          <w:p w14:paraId="3314A08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b w:val="0"/>
                <w:bCs w:val="0"/>
                <w:color w:val="auto"/>
                <w:sz w:val="24"/>
                <w:szCs w:val="24"/>
                <w:highlight w:val="none"/>
                <w:lang w:eastAsia="zh-CN"/>
              </w:rPr>
              <w:t>招标文件</w:t>
            </w:r>
            <w:r>
              <w:rPr>
                <w:rFonts w:hint="eastAsia" w:ascii="仿宋" w:hAnsi="仿宋" w:eastAsia="仿宋" w:cs="仿宋"/>
                <w:b w:val="0"/>
                <w:bCs w:val="0"/>
                <w:color w:val="auto"/>
                <w:sz w:val="24"/>
                <w:szCs w:val="24"/>
                <w:highlight w:val="none"/>
              </w:rPr>
              <w:t>格式提供《中小企业声明函》。</w:t>
            </w:r>
          </w:p>
        </w:tc>
      </w:tr>
      <w:tr w14:paraId="1CB9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3841F4C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6160FA4">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5484440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117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4092197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2D74002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21D32E44">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1B2E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jc w:val="center"/>
        </w:trPr>
        <w:tc>
          <w:tcPr>
            <w:tcW w:w="577" w:type="dxa"/>
            <w:noWrap w:val="0"/>
            <w:vAlign w:val="center"/>
          </w:tcPr>
          <w:p w14:paraId="53B3007B">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w:t>
            </w:r>
          </w:p>
        </w:tc>
        <w:tc>
          <w:tcPr>
            <w:tcW w:w="2057" w:type="dxa"/>
            <w:noWrap w:val="0"/>
            <w:vAlign w:val="center"/>
          </w:tcPr>
          <w:p w14:paraId="7DA4D0C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中小微企业政策文件说明</w:t>
            </w:r>
          </w:p>
        </w:tc>
        <w:tc>
          <w:tcPr>
            <w:tcW w:w="7522" w:type="dxa"/>
            <w:noWrap w:val="0"/>
            <w:vAlign w:val="center"/>
          </w:tcPr>
          <w:p w14:paraId="2630EDAD">
            <w:pPr>
              <w:numPr>
                <w:ilvl w:val="0"/>
                <w:numId w:val="0"/>
              </w:numPr>
              <w:shd w:val="clear" w:color="auto" w:fill="auto"/>
              <w:spacing w:line="360" w:lineRule="auto"/>
              <w:jc w:val="left"/>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（1）本项目为非专门面向中小企业（含中型、小型、微型企业）采购项目。</w:t>
            </w:r>
          </w:p>
          <w:p w14:paraId="3F927C0D">
            <w:pPr>
              <w:numPr>
                <w:ilvl w:val="0"/>
                <w:numId w:val="0"/>
              </w:numPr>
              <w:shd w:val="clear" w:color="auto" w:fill="auto"/>
              <w:spacing w:line="360" w:lineRule="auto"/>
              <w:jc w:val="left"/>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本项目对属于小型和微型企业的投标人的投标报价给予10%的扣除，用扣除后的价格参与评审。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p w14:paraId="10A4B135">
            <w:pPr>
              <w:numPr>
                <w:ilvl w:val="0"/>
                <w:numId w:val="0"/>
              </w:numPr>
              <w:shd w:val="clear" w:color="auto" w:fill="auto"/>
              <w:spacing w:line="360" w:lineRule="auto"/>
              <w:jc w:val="left"/>
              <w:outlineLvl w:val="9"/>
              <w:rPr>
                <w:rFonts w:hint="eastAsia"/>
              </w:rPr>
            </w:pPr>
            <w:r>
              <w:rPr>
                <w:rFonts w:hint="eastAsia" w:ascii="仿宋" w:hAnsi="仿宋" w:eastAsia="仿宋" w:cs="仿宋"/>
                <w:b/>
                <w:bCs/>
                <w:color w:val="auto"/>
                <w:kern w:val="2"/>
                <w:sz w:val="24"/>
                <w:szCs w:val="24"/>
                <w:lang w:val="en-US" w:eastAsia="zh-CN" w:bidi="ar-SA"/>
              </w:rPr>
              <w:t>不符合上述适用情形的投标人无需提供上述声明函件。</w:t>
            </w:r>
          </w:p>
        </w:tc>
      </w:tr>
      <w:tr w14:paraId="35F6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77" w:type="dxa"/>
            <w:noWrap w:val="0"/>
            <w:vAlign w:val="center"/>
          </w:tcPr>
          <w:p w14:paraId="300CDFC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w:t>
            </w:r>
          </w:p>
        </w:tc>
        <w:tc>
          <w:tcPr>
            <w:tcW w:w="2057" w:type="dxa"/>
            <w:noWrap w:val="0"/>
            <w:vAlign w:val="center"/>
          </w:tcPr>
          <w:p w14:paraId="412CBE7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低于成本价不正当竞争预防措施</w:t>
            </w:r>
          </w:p>
        </w:tc>
        <w:tc>
          <w:tcPr>
            <w:tcW w:w="7522" w:type="dxa"/>
            <w:noWrap w:val="0"/>
            <w:vAlign w:val="center"/>
          </w:tcPr>
          <w:p w14:paraId="003DC34E">
            <w:pPr>
              <w:outlineLvl w:val="9"/>
              <w:rPr>
                <w:rFonts w:hint="default" w:ascii="仿宋" w:hAnsi="仿宋" w:eastAsia="仿宋" w:cs="仿宋"/>
                <w:sz w:val="24"/>
                <w:szCs w:val="24"/>
                <w:highlight w:val="none"/>
                <w:lang w:val="en-US" w:eastAsia="zh-CN"/>
              </w:rPr>
            </w:pPr>
            <w:r>
              <w:rPr>
                <w:rFonts w:hint="eastAsia" w:ascii="仿宋" w:hAnsi="仿宋" w:eastAsia="仿宋" w:cs="仿宋"/>
                <w:b/>
                <w:bCs/>
                <w:color w:val="auto"/>
                <w:kern w:val="2"/>
                <w:sz w:val="24"/>
                <w:szCs w:val="24"/>
                <w:highlight w:val="none"/>
                <w:u w:val="single"/>
                <w:lang w:val="en-US" w:eastAsia="zh-CN" w:bidi="ar-SA"/>
              </w:rPr>
              <w:t>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431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577" w:type="dxa"/>
            <w:noWrap w:val="0"/>
            <w:vAlign w:val="center"/>
          </w:tcPr>
          <w:p w14:paraId="34C4832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w:t>
            </w:r>
          </w:p>
        </w:tc>
        <w:tc>
          <w:tcPr>
            <w:tcW w:w="2057" w:type="dxa"/>
            <w:noWrap w:val="0"/>
            <w:vAlign w:val="center"/>
          </w:tcPr>
          <w:p w14:paraId="26BA7F22">
            <w:pPr>
              <w:shd w:val="clear" w:color="auto" w:fill="auto"/>
              <w:spacing w:line="360" w:lineRule="auto"/>
              <w:ind w:firstLine="240" w:firstLineChars="100"/>
              <w:jc w:val="both"/>
              <w:outlineLvl w:val="9"/>
              <w:rPr>
                <w:rFonts w:hint="eastAsia" w:ascii="仿宋" w:hAnsi="仿宋" w:eastAsia="仿宋" w:cs="仿宋"/>
                <w:b w:val="0"/>
                <w:bCs w:val="0"/>
                <w:color w:val="auto"/>
                <w:sz w:val="24"/>
                <w:szCs w:val="24"/>
                <w:highlight w:val="none"/>
              </w:rPr>
            </w:pPr>
          </w:p>
          <w:p w14:paraId="5611B61C">
            <w:pPr>
              <w:shd w:val="clear" w:color="auto" w:fill="auto"/>
              <w:spacing w:line="360" w:lineRule="auto"/>
              <w:jc w:val="both"/>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履约保证金</w:t>
            </w:r>
          </w:p>
          <w:p w14:paraId="380731A8">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1B43AFF">
            <w:pPr>
              <w:shd w:val="clear" w:color="auto" w:fill="auto"/>
              <w:spacing w:line="360" w:lineRule="auto"/>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履约担保的形式： 甲乙双方签订合同时协商约定。</w:t>
            </w:r>
          </w:p>
          <w:p w14:paraId="1CC52C15">
            <w:pPr>
              <w:shd w:val="clear" w:color="auto" w:fill="auto"/>
              <w:spacing w:line="360" w:lineRule="auto"/>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中标人应在领取《中标通知书》后的十个日历日内，办理履约保证金，金额为不超过合同总价的10%，否则招标人可取消中标人的中标资格。</w:t>
            </w:r>
          </w:p>
        </w:tc>
      </w:tr>
      <w:tr w14:paraId="1B10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77" w:type="dxa"/>
            <w:noWrap w:val="0"/>
            <w:vAlign w:val="center"/>
          </w:tcPr>
          <w:p w14:paraId="754E5FD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w:t>
            </w:r>
          </w:p>
        </w:tc>
        <w:tc>
          <w:tcPr>
            <w:tcW w:w="2057" w:type="dxa"/>
            <w:noWrap w:val="0"/>
            <w:vAlign w:val="center"/>
          </w:tcPr>
          <w:p w14:paraId="70F8FC79">
            <w:pPr>
              <w:shd w:val="clear" w:color="auto" w:fill="auto"/>
              <w:spacing w:line="360" w:lineRule="auto"/>
              <w:jc w:val="left"/>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信用记录查询</w:t>
            </w:r>
          </w:p>
          <w:p w14:paraId="3696D00B">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top"/>
          </w:tcPr>
          <w:p w14:paraId="21E680DE">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凡拟参加本次招标项目的投标人，在“信用中国 ”网站（www.creditchina.gov.cn）、 中国政府采购网（www.ccgp.gov.cn）二个网站的查询结果，如投标人被列入失信被执行人、重大税收违法案件当事人名单、经营异常名录的、政府采购严重违法失信行为记录名单的（尚在处罚期内的），将拒绝其参本次政府采购活动（开标现场查询，</w:t>
            </w:r>
            <w:r>
              <w:rPr>
                <w:rFonts w:hint="eastAsia" w:ascii="仿宋" w:hAnsi="仿宋" w:eastAsia="仿宋" w:cs="仿宋"/>
                <w:b w:val="0"/>
                <w:bCs w:val="0"/>
                <w:color w:val="auto"/>
                <w:sz w:val="24"/>
                <w:szCs w:val="24"/>
                <w:highlight w:val="none"/>
                <w:lang w:val="en-US" w:eastAsia="zh-CN"/>
              </w:rPr>
              <w:t>并</w:t>
            </w:r>
            <w:r>
              <w:rPr>
                <w:rFonts w:hint="eastAsia" w:ascii="仿宋" w:hAnsi="仿宋" w:eastAsia="仿宋" w:cs="仿宋"/>
                <w:b w:val="0"/>
                <w:bCs w:val="0"/>
                <w:color w:val="auto"/>
                <w:sz w:val="24"/>
                <w:szCs w:val="24"/>
                <w:highlight w:val="none"/>
                <w:lang w:val="zh-CN"/>
              </w:rPr>
              <w:t>投标人提供截图）；</w:t>
            </w:r>
          </w:p>
          <w:p w14:paraId="124D0462">
            <w:pPr>
              <w:shd w:val="clear" w:color="auto" w:fill="auto"/>
              <w:spacing w:line="360" w:lineRule="auto"/>
              <w:jc w:val="left"/>
              <w:outlineLvl w:val="9"/>
              <w:rPr>
                <w:rFonts w:hint="eastAsia" w:ascii="仿宋" w:hAnsi="仿宋" w:eastAsia="仿宋" w:cs="仿宋"/>
                <w:sz w:val="24"/>
                <w:szCs w:val="24"/>
                <w:lang w:val="zh-CN"/>
              </w:rPr>
            </w:pPr>
            <w:r>
              <w:rPr>
                <w:rFonts w:hint="eastAsia" w:ascii="仿宋" w:hAnsi="仿宋" w:eastAsia="仿宋" w:cs="仿宋"/>
                <w:b/>
                <w:bCs/>
                <w:color w:val="auto"/>
                <w:sz w:val="24"/>
                <w:szCs w:val="24"/>
                <w:highlight w:val="none"/>
                <w:lang w:val="zh-CN"/>
              </w:rPr>
              <w:t>本项目不接受失信企业投标。</w:t>
            </w:r>
          </w:p>
        </w:tc>
      </w:tr>
      <w:tr w14:paraId="620F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noWrap w:val="0"/>
            <w:vAlign w:val="center"/>
          </w:tcPr>
          <w:p w14:paraId="444A088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w:t>
            </w:r>
          </w:p>
        </w:tc>
        <w:tc>
          <w:tcPr>
            <w:tcW w:w="2057" w:type="dxa"/>
            <w:noWrap w:val="0"/>
            <w:vAlign w:val="center"/>
          </w:tcPr>
          <w:p w14:paraId="5ADBEB9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质疑</w:t>
            </w:r>
          </w:p>
        </w:tc>
        <w:tc>
          <w:tcPr>
            <w:tcW w:w="7522" w:type="dxa"/>
            <w:noWrap w:val="0"/>
            <w:vAlign w:val="top"/>
          </w:tcPr>
          <w:p w14:paraId="21B97CE6">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供应商认为招标文件、采购过程或中标结果使自己的合法权益受到损害的，应当在知道或者应知其权益受到损害之日起在规定的期限内，以书面或邮件形式一次 性向采购人（采购代理机构）提出质疑或供应商对采购人（采购代理机构）的质疑答复不满意或者采购人（采购代理机构）未在规定时间内做出答复的，可以在答复期满后五个工作日内向有关监管部门投诉。</w:t>
            </w:r>
          </w:p>
          <w:p w14:paraId="2DB528A4">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注：根据《中华人民共和国政府采购法》的规定，供应商质疑不得超出招标文件、招标过程及招标结果的范围及时效限制。</w:t>
            </w:r>
          </w:p>
        </w:tc>
      </w:tr>
      <w:tr w14:paraId="09EC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77" w:type="dxa"/>
            <w:noWrap w:val="0"/>
            <w:vAlign w:val="center"/>
          </w:tcPr>
          <w:p w14:paraId="48C1FF2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w:t>
            </w:r>
          </w:p>
        </w:tc>
        <w:tc>
          <w:tcPr>
            <w:tcW w:w="2057" w:type="dxa"/>
            <w:noWrap w:val="0"/>
            <w:vAlign w:val="center"/>
          </w:tcPr>
          <w:p w14:paraId="182C755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投诉</w:t>
            </w:r>
          </w:p>
        </w:tc>
        <w:tc>
          <w:tcPr>
            <w:tcW w:w="7522" w:type="dxa"/>
            <w:noWrap w:val="0"/>
            <w:vAlign w:val="top"/>
          </w:tcPr>
          <w:p w14:paraId="2271D10D">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（1）质疑供应商对采购人、采购代理机构的答复不满意或者采购人、采购 代理机构未在规定的时间内作出答复的，可以在答复期满后十五个工作日内向同级政府采购监督管理部门投诉。</w:t>
            </w:r>
          </w:p>
          <w:p w14:paraId="250646F2">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4498F225">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注：根据《中华人民共和国政府采购法实施条例》的规定，供应商投诉事项不得超出已质疑事项的范围。</w:t>
            </w:r>
          </w:p>
        </w:tc>
      </w:tr>
      <w:tr w14:paraId="275B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77" w:type="dxa"/>
            <w:noWrap w:val="0"/>
            <w:vAlign w:val="center"/>
          </w:tcPr>
          <w:p w14:paraId="7E0E9DEB">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w:t>
            </w:r>
          </w:p>
        </w:tc>
        <w:tc>
          <w:tcPr>
            <w:tcW w:w="2057" w:type="dxa"/>
            <w:noWrap w:val="0"/>
            <w:vAlign w:val="center"/>
          </w:tcPr>
          <w:p w14:paraId="7D1D4816">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投标人对招标文件提出质疑联系方式</w:t>
            </w:r>
          </w:p>
          <w:p w14:paraId="73562448">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top"/>
          </w:tcPr>
          <w:p w14:paraId="5905284D">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（1）接收质疑函的方式：将PDF格式电子版质疑文件加盖公章扫描发送至</w:t>
            </w:r>
            <w:r>
              <w:rPr>
                <w:rFonts w:hint="eastAsia" w:ascii="仿宋" w:hAnsi="仿宋" w:eastAsia="仿宋" w:cs="仿宋"/>
                <w:b w:val="0"/>
                <w:bCs w:val="0"/>
                <w:color w:val="auto"/>
                <w:sz w:val="24"/>
                <w:szCs w:val="24"/>
                <w:highlight w:val="none"/>
                <w:lang w:val="en-US" w:eastAsia="zh-CN"/>
              </w:rPr>
              <w:t>284200209@qq.com</w:t>
            </w:r>
            <w:r>
              <w:rPr>
                <w:rFonts w:hint="eastAsia" w:ascii="仿宋" w:hAnsi="仿宋" w:eastAsia="仿宋" w:cs="仿宋"/>
                <w:b w:val="0"/>
                <w:bCs w:val="0"/>
                <w:color w:val="auto"/>
                <w:sz w:val="24"/>
                <w:szCs w:val="24"/>
                <w:highlight w:val="none"/>
                <w:lang w:val="zh-CN"/>
              </w:rPr>
              <w:t>邮箱。</w:t>
            </w:r>
          </w:p>
          <w:p w14:paraId="179CC62A">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（2）接受质疑的单位： 新疆天勤工程管理有限公司</w:t>
            </w:r>
          </w:p>
          <w:p w14:paraId="3DADA25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（3）联系电话：</w:t>
            </w:r>
            <w:r>
              <w:rPr>
                <w:rFonts w:hint="eastAsia" w:ascii="仿宋" w:hAnsi="仿宋" w:eastAsia="仿宋" w:cs="仿宋"/>
                <w:b w:val="0"/>
                <w:bCs w:val="0"/>
                <w:color w:val="auto"/>
                <w:sz w:val="24"/>
                <w:szCs w:val="24"/>
                <w:highlight w:val="none"/>
                <w:lang w:val="en-US" w:eastAsia="zh-CN"/>
              </w:rPr>
              <w:t>13779615026/18104746080</w:t>
            </w:r>
          </w:p>
          <w:p w14:paraId="0E65E1B1">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（4）地址：克州阿图什市迎宾路80号三楼</w:t>
            </w:r>
          </w:p>
        </w:tc>
      </w:tr>
      <w:tr w14:paraId="7E0C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34" w:type="dxa"/>
            <w:gridSpan w:val="2"/>
            <w:noWrap w:val="0"/>
            <w:vAlign w:val="center"/>
          </w:tcPr>
          <w:p w14:paraId="1AC86AF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备注</w:t>
            </w:r>
          </w:p>
        </w:tc>
        <w:tc>
          <w:tcPr>
            <w:tcW w:w="7522" w:type="dxa"/>
            <w:noWrap w:val="0"/>
            <w:vAlign w:val="center"/>
          </w:tcPr>
          <w:p w14:paraId="0158AD4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1、着重提醒各供应商注意，并认真查看招标文件中的每一个条款及要求，因误读招标文件而造成的后果，招标人概不负责。</w:t>
            </w:r>
          </w:p>
          <w:p w14:paraId="72C31C2A">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2、供应商使用相同IP地址的，一经发现，相关部门将进一步核实，查实后按串通投标处理。</w:t>
            </w:r>
          </w:p>
          <w:p w14:paraId="79E7CCB4">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3、为保证本项目质量，良好的售后服务，最低报价不作为中标的唯一依据。</w:t>
            </w:r>
          </w:p>
          <w:p w14:paraId="1014F90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4、采购人若发现中标候选供应商在投标过程中提供虚假证明文件，故意隐瞒公司不良信誉和财务状况，以及其他可能对合同圆满履行造成风险的因素等，则按规定取消其成交资格，监管部门依法进行处理。</w:t>
            </w:r>
          </w:p>
          <w:p w14:paraId="7F6A90C9">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5、如为信息系统采购项目，供应商不得为该整体项目或其中分项目前期工作提供过设计、编制、管理等服务的法人及附属单位。</w:t>
            </w:r>
          </w:p>
          <w:p w14:paraId="1C3F4428">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5AEC6BFF">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7、投标文件内凡涉及法人或授权委托人签字、签章、盖章等，签字或盖章均予以认可。</w:t>
            </w:r>
          </w:p>
          <w:p w14:paraId="3DA46A08">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、其它：</w:t>
            </w:r>
          </w:p>
          <w:p w14:paraId="7B524F7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（1）投标企业严格遵守国家的法律法规及招标纪律，无违法违纪及商业贿赂行为。</w:t>
            </w:r>
          </w:p>
          <w:p w14:paraId="5DA4D92F">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（2）不管投标结果如何，供应商均应自行承担投标所需一切费用。</w:t>
            </w:r>
          </w:p>
          <w:p w14:paraId="48F6FE39">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（3）供应商应以书面形式保证中标后由本公司组织实施，不得以任何理由将项目转包给其他机构。</w:t>
            </w:r>
          </w:p>
          <w:p w14:paraId="6C57F71B">
            <w:pPr>
              <w:shd w:val="clear" w:color="auto" w:fill="auto"/>
              <w:spacing w:line="360" w:lineRule="auto"/>
              <w:ind w:left="0" w:leftChars="0" w:right="0" w:rightChars="0" w:firstLine="0" w:firstLineChars="0"/>
              <w:jc w:val="left"/>
              <w:outlineLvl w:val="9"/>
              <w:rPr>
                <w:rFonts w:hint="eastAsia" w:eastAsia="宋体"/>
                <w:lang w:val="en-US"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）招标文件中如出现前后不一致情况，均以前附表内容为准。</w:t>
            </w:r>
          </w:p>
        </w:tc>
      </w:tr>
      <w:tr w14:paraId="34AA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156" w:type="dxa"/>
            <w:gridSpan w:val="3"/>
            <w:noWrap w:val="0"/>
            <w:vAlign w:val="center"/>
          </w:tcPr>
          <w:p w14:paraId="399BCC91">
            <w:pPr>
              <w:shd w:val="clear" w:color="auto" w:fill="auto"/>
              <w:spacing w:line="360" w:lineRule="auto"/>
              <w:ind w:left="0" w:leftChars="0" w:right="0" w:rightChars="0" w:firstLine="0" w:firstLineChars="0"/>
              <w:jc w:val="left"/>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4C5E698D">
      <w:pPr>
        <w:pageBreakBefore/>
        <w:shd w:val="clear" w:color="auto" w:fill="auto"/>
        <w:spacing w:line="240" w:lineRule="auto"/>
        <w:jc w:val="center"/>
        <w:outlineLvl w:val="9"/>
        <w:rPr>
          <w:rFonts w:hint="eastAsia" w:ascii="仿宋" w:hAnsi="仿宋" w:eastAsia="仿宋" w:cs="仿宋"/>
          <w:b/>
          <w:color w:val="auto"/>
          <w:sz w:val="24"/>
          <w:szCs w:val="24"/>
          <w:highlight w:val="none"/>
        </w:rPr>
      </w:pPr>
      <w:bookmarkStart w:id="9" w:name="_Toc469495723"/>
      <w:r>
        <w:rPr>
          <w:rFonts w:hint="eastAsia" w:ascii="仿宋" w:hAnsi="仿宋" w:eastAsia="仿宋" w:cs="仿宋"/>
          <w:b/>
          <w:color w:val="auto"/>
          <w:sz w:val="24"/>
          <w:szCs w:val="24"/>
          <w:highlight w:val="none"/>
        </w:rPr>
        <w:t>二、投标人须知</w:t>
      </w:r>
      <w:bookmarkEnd w:id="9"/>
    </w:p>
    <w:p w14:paraId="5D40A68D">
      <w:pPr>
        <w:shd w:val="clear" w:color="auto" w:fill="auto"/>
        <w:spacing w:line="440" w:lineRule="exact"/>
        <w:jc w:val="center"/>
        <w:outlineLvl w:val="9"/>
        <w:rPr>
          <w:rFonts w:hint="eastAsia" w:ascii="仿宋" w:hAnsi="仿宋" w:eastAsia="仿宋" w:cs="仿宋"/>
          <w:color w:val="auto"/>
          <w:sz w:val="24"/>
          <w:szCs w:val="24"/>
          <w:highlight w:val="none"/>
        </w:rPr>
      </w:pPr>
      <w:bookmarkStart w:id="10" w:name="_Toc469495724"/>
      <w:r>
        <w:rPr>
          <w:rFonts w:hint="eastAsia" w:ascii="仿宋" w:hAnsi="仿宋" w:eastAsia="仿宋" w:cs="仿宋"/>
          <w:b/>
          <w:color w:val="auto"/>
          <w:sz w:val="24"/>
          <w:szCs w:val="24"/>
          <w:highlight w:val="none"/>
        </w:rPr>
        <w:t>（一）总  则</w:t>
      </w:r>
      <w:bookmarkEnd w:id="10"/>
    </w:p>
    <w:p w14:paraId="517EE3A4">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14:paraId="49FA868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1.1本次招标采购项目名称：见投标人须知前附表。</w:t>
      </w:r>
    </w:p>
    <w:p w14:paraId="645335E1">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项目编号：见投标人须知前附表。</w:t>
      </w:r>
    </w:p>
    <w:p w14:paraId="24EDAA3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招标人：见投标人须知前附表。</w:t>
      </w:r>
    </w:p>
    <w:p w14:paraId="6C048CA7">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供货期（服务周期）：见投标人须知前附表。</w:t>
      </w:r>
    </w:p>
    <w:p w14:paraId="0D0BE80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供货地点：见投标人须知前附表。</w:t>
      </w:r>
    </w:p>
    <w:p w14:paraId="2702300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1.2招标人及联系人: 见投标人须知前附表。</w:t>
      </w:r>
    </w:p>
    <w:p w14:paraId="53D9D105">
      <w:pPr>
        <w:shd w:val="clear" w:color="auto" w:fill="auto"/>
        <w:snapToGrid w:val="0"/>
        <w:spacing w:line="440" w:lineRule="exact"/>
        <w:ind w:firstLine="600" w:firstLineChars="25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代理机构及联系人: 见投标人须知前附表。</w:t>
      </w:r>
    </w:p>
    <w:p w14:paraId="263A96D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1.3资金来源：见投标人须知前附表。</w:t>
      </w:r>
    </w:p>
    <w:p w14:paraId="112DE72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1.4本项目预算：见投标人须知前附表。</w:t>
      </w:r>
    </w:p>
    <w:p w14:paraId="681B343D">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1.5本项目控制价：见投标人须知前附表。</w:t>
      </w:r>
    </w:p>
    <w:p w14:paraId="440E7B9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14:paraId="52D49384">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 采购内容：见投标人须知前附表。</w:t>
      </w:r>
    </w:p>
    <w:p w14:paraId="4B2D57E5">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技术要求：详见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第四章 采购内容及技术参数要求。。</w:t>
      </w:r>
    </w:p>
    <w:p w14:paraId="11186DC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3.标包划分：</w:t>
      </w:r>
    </w:p>
    <w:p w14:paraId="487F7B19">
      <w:pPr>
        <w:shd w:val="clear" w:color="auto" w:fill="auto"/>
        <w:snapToGrid w:val="0"/>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3.1本项目划分：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个标包</w:t>
      </w:r>
      <w:r>
        <w:rPr>
          <w:rFonts w:hint="eastAsia" w:ascii="仿宋" w:hAnsi="仿宋" w:eastAsia="仿宋" w:cs="仿宋"/>
          <w:color w:val="auto"/>
          <w:kern w:val="0"/>
          <w:sz w:val="24"/>
          <w:szCs w:val="24"/>
          <w:highlight w:val="none"/>
        </w:rPr>
        <w:t>。</w:t>
      </w:r>
    </w:p>
    <w:p w14:paraId="3FA417C2">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4.招标方式：</w:t>
      </w:r>
    </w:p>
    <w:p w14:paraId="23F131E3">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4.1本项目招标方式：见投标人须知前附表。</w:t>
      </w:r>
    </w:p>
    <w:p w14:paraId="5B93C4E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5.计价方式：</w:t>
      </w:r>
    </w:p>
    <w:p w14:paraId="1FE8850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5.1本次招标项目合同采用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总价</w:t>
      </w:r>
      <w:r>
        <w:rPr>
          <w:rFonts w:hint="eastAsia" w:ascii="仿宋" w:hAnsi="仿宋" w:eastAsia="仿宋" w:cs="仿宋"/>
          <w:color w:val="auto"/>
          <w:sz w:val="24"/>
          <w:szCs w:val="24"/>
          <w:highlight w:val="none"/>
          <w:u w:val="single"/>
        </w:rPr>
        <w:t xml:space="preserve"> 。</w:t>
      </w:r>
    </w:p>
    <w:p w14:paraId="44EA366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6.评标办法：</w:t>
      </w:r>
    </w:p>
    <w:p w14:paraId="6CA5D216">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6.1本次招标评标采用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综合评分</w:t>
      </w:r>
      <w:r>
        <w:rPr>
          <w:rFonts w:hint="eastAsia" w:ascii="仿宋" w:hAnsi="仿宋" w:eastAsia="仿宋" w:cs="仿宋"/>
          <w:color w:val="auto"/>
          <w:sz w:val="24"/>
          <w:szCs w:val="24"/>
          <w:highlight w:val="none"/>
          <w:u w:val="single"/>
        </w:rPr>
        <w:t xml:space="preserve">法 </w:t>
      </w:r>
      <w:r>
        <w:rPr>
          <w:rFonts w:hint="eastAsia" w:ascii="仿宋" w:hAnsi="仿宋" w:eastAsia="仿宋" w:cs="仿宋"/>
          <w:color w:val="auto"/>
          <w:sz w:val="24"/>
          <w:szCs w:val="24"/>
          <w:highlight w:val="none"/>
        </w:rPr>
        <w:t>（详见第三章评标办法）</w:t>
      </w:r>
    </w:p>
    <w:p w14:paraId="4DA01192">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7.投标人资格：</w:t>
      </w:r>
    </w:p>
    <w:p w14:paraId="0F1DC6A1">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7.1参与采购活动的投标人必须是满足《中华人民共和国政府采购法》规定条件的法人、其他组织或者自然人：</w:t>
      </w:r>
    </w:p>
    <w:p w14:paraId="61263203">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7.2由于政府采购项目的差异性，投标人在参与具体政府采购项目活动时，应仔细阅读该项目的资质要求,具体见投标人须知前附表。</w:t>
      </w:r>
    </w:p>
    <w:p w14:paraId="074746BF">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425EF8F0">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7.4投标人必须确保自己在信息库中注册的信息真实、准确，并保证投标文件中的有关信息与库中的信息相一致。否则，投标人因此蒙受损失，招标人概不负责。</w:t>
      </w:r>
    </w:p>
    <w:p w14:paraId="3540AC27">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投标费用</w:t>
      </w:r>
    </w:p>
    <w:p w14:paraId="7C30B278">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8.1投标人准备和参加投标活动发生的费用自理。</w:t>
      </w:r>
    </w:p>
    <w:p w14:paraId="5F2B5625">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bookmarkStart w:id="11" w:name="_Toc247513962"/>
      <w:bookmarkStart w:id="12" w:name="_Toc152042315"/>
      <w:bookmarkStart w:id="13" w:name="_Toc296602429"/>
      <w:bookmarkStart w:id="14" w:name="_Toc247527563"/>
      <w:bookmarkStart w:id="15" w:name="_Toc247592876"/>
      <w:bookmarkStart w:id="16" w:name="_Toc152045539"/>
      <w:bookmarkStart w:id="17" w:name="_Toc144974507"/>
      <w:r>
        <w:rPr>
          <w:rFonts w:hint="eastAsia" w:ascii="仿宋" w:hAnsi="仿宋" w:eastAsia="仿宋" w:cs="仿宋"/>
          <w:b/>
          <w:color w:val="auto"/>
          <w:sz w:val="24"/>
          <w:szCs w:val="24"/>
          <w:highlight w:val="none"/>
        </w:rPr>
        <w:t xml:space="preserve"> 踏勘现场</w:t>
      </w:r>
      <w:bookmarkEnd w:id="11"/>
      <w:bookmarkEnd w:id="12"/>
      <w:bookmarkEnd w:id="13"/>
      <w:bookmarkEnd w:id="14"/>
      <w:bookmarkEnd w:id="15"/>
      <w:bookmarkEnd w:id="16"/>
      <w:bookmarkEnd w:id="17"/>
    </w:p>
    <w:p w14:paraId="631E8A4A">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投标人须知前附表规定组织踏勘现场的，招标人按投标人须知前附表规定的时间、地点组织投标人踏勘项目现场。</w:t>
      </w:r>
      <w:r>
        <w:rPr>
          <w:rFonts w:hint="eastAsia" w:ascii="仿宋" w:hAnsi="仿宋" w:eastAsia="仿宋" w:cs="仿宋"/>
          <w:color w:val="auto"/>
          <w:sz w:val="24"/>
          <w:szCs w:val="24"/>
          <w:highlight w:val="none"/>
          <w:lang w:eastAsia="zh-CN"/>
        </w:rPr>
        <w:t>如需踏勘现场，投标人自行踏勘现场的，可咨询本项目采购人或采购代理机构联系人。</w:t>
      </w:r>
      <w:r>
        <w:rPr>
          <w:rFonts w:hint="eastAsia" w:ascii="仿宋" w:hAnsi="仿宋" w:eastAsia="仿宋" w:cs="仿宋"/>
          <w:b/>
          <w:bCs/>
          <w:color w:val="auto"/>
          <w:sz w:val="24"/>
          <w:szCs w:val="24"/>
          <w:highlight w:val="none"/>
          <w:lang w:eastAsia="zh-CN"/>
        </w:rPr>
        <w:t>投标人自行踏勘现场的，可咨询本项目采购人或采购代理机构联系人。</w:t>
      </w:r>
      <w:r>
        <w:rPr>
          <w:rFonts w:hint="eastAsia" w:ascii="仿宋" w:hAnsi="仿宋" w:eastAsia="仿宋" w:cs="仿宋"/>
          <w:b/>
          <w:bCs/>
          <w:color w:val="auto"/>
          <w:sz w:val="24"/>
          <w:szCs w:val="24"/>
          <w:highlight w:val="none"/>
        </w:rPr>
        <w:t xml:space="preserve"> </w:t>
      </w:r>
    </w:p>
    <w:p w14:paraId="4E02588D">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投标人踏勘现场发生的费用自理。</w:t>
      </w:r>
    </w:p>
    <w:p w14:paraId="24D310EF">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除招标人的原因外，投标人自行负责在踏勘现场中所发生的人员伤亡和财产损失。</w:t>
      </w:r>
    </w:p>
    <w:p w14:paraId="7D82B7AD">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招标人在踏勘现场中介绍的场地和相关的周边环境情况，供投标人在编制投标文件时参考，招标人不对投标人据此作出的判断和决策负责。</w:t>
      </w:r>
      <w:bookmarkStart w:id="18" w:name="_Toc152045540"/>
      <w:bookmarkStart w:id="19" w:name="_Toc247513963"/>
      <w:bookmarkStart w:id="20" w:name="_Toc247527564"/>
      <w:bookmarkStart w:id="21" w:name="_Toc152042316"/>
      <w:bookmarkStart w:id="22" w:name="_Toc247592877"/>
      <w:bookmarkStart w:id="23" w:name="_Toc296602430"/>
      <w:bookmarkStart w:id="24" w:name="_Toc144974508"/>
    </w:p>
    <w:p w14:paraId="29FE876A">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投标预备会</w:t>
      </w:r>
      <w:bookmarkEnd w:id="18"/>
      <w:bookmarkEnd w:id="19"/>
      <w:bookmarkEnd w:id="20"/>
      <w:bookmarkEnd w:id="21"/>
      <w:bookmarkEnd w:id="22"/>
      <w:bookmarkEnd w:id="23"/>
      <w:bookmarkEnd w:id="24"/>
    </w:p>
    <w:p w14:paraId="49B8AE5A">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10.1投标人须知前附表规定召开投标预备会的，招标人按投标人须知前附表规定的时间和地点召开投标预备会，澄清投标人提出的问题。</w:t>
      </w:r>
    </w:p>
    <w:p w14:paraId="64223A18">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10.2投标人应在投标人须知前附表规定的时间前，将提出的问题送达招标人，以便招标人澄清。</w:t>
      </w:r>
    </w:p>
    <w:p w14:paraId="51957643">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10.3招标人在投标人须知前附表规定的时间，将对投标人所提的问题进行澄清。该澄清内容为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w:t>
      </w:r>
    </w:p>
    <w:p w14:paraId="2DE78BEA">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联合投标</w:t>
      </w:r>
    </w:p>
    <w:p w14:paraId="27730C34">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63D44B3C">
      <w:pPr>
        <w:shd w:val="clear" w:color="auto" w:fill="auto"/>
        <w:spacing w:line="40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F5A273A">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联合体应当确定其中一个单位为投标的全权代表，负责参加投标的一切事务，并承担投标及履约中应承担的全部责任与义务。</w:t>
      </w:r>
    </w:p>
    <w:p w14:paraId="6EA47562">
      <w:pPr>
        <w:pStyle w:val="12"/>
        <w:shd w:val="clear" w:color="auto" w:fill="auto"/>
        <w:spacing w:after="0" w:line="400" w:lineRule="exact"/>
        <w:ind w:left="0" w:leftChars="0" w:firstLine="484" w:firstLineChars="20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联合体各方应当共同与招标人签订采购合同，就采购合同约定的事项对招标人承担连带责任。</w:t>
      </w:r>
    </w:p>
    <w:p w14:paraId="44EB6429">
      <w:pPr>
        <w:shd w:val="clear" w:color="auto" w:fill="auto"/>
        <w:spacing w:line="440" w:lineRule="exact"/>
        <w:ind w:firstLine="472" w:firstLineChars="196"/>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12.招标代理费</w:t>
      </w:r>
    </w:p>
    <w:p w14:paraId="724A81D0">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12.1</w:t>
      </w:r>
      <w:r>
        <w:rPr>
          <w:rFonts w:hint="eastAsia" w:ascii="仿宋" w:hAnsi="仿宋" w:eastAsia="仿宋" w:cs="仿宋"/>
          <w:color w:val="auto"/>
          <w:kern w:val="2"/>
          <w:sz w:val="24"/>
          <w:szCs w:val="24"/>
          <w:highlight w:val="none"/>
          <w:lang w:val="en-US" w:eastAsia="zh-CN" w:bidi="ar-SA"/>
        </w:rPr>
        <w:t>收费标准：参照《国家计委关于印发招标代理服务收费管理暂行办法的通知（计价格[2015]299号）中规定收取代理费。</w:t>
      </w:r>
    </w:p>
    <w:p w14:paraId="3E6E4ABC">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13.投标人应注意的事项</w:t>
      </w:r>
    </w:p>
    <w:p w14:paraId="5567A118">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13.1投标人一旦按规定缴纳了投标保证金并参加投标，即被认为接受了本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文件中的所有条件和规定。投标人必须严格按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的要求编制投标文件，投标文件宜编制页码和目录，以便评委审核。否则，由此产生的一切后果由投标人承担。</w:t>
      </w:r>
    </w:p>
    <w:p w14:paraId="2E2D1C0C">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投标人对采购内容中规定的技术参数、规格等要求必须完全响应或优于</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中的要求。</w:t>
      </w:r>
    </w:p>
    <w:p w14:paraId="340C2C14">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所有投标人的投标保证金都应在</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规定的投标保证金缴纳截止日期前缴纳。</w:t>
      </w:r>
    </w:p>
    <w:p w14:paraId="6AAEF40A">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w:t>
      </w:r>
    </w:p>
    <w:p w14:paraId="1214DDAC">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本项目只接受</w:t>
      </w:r>
      <w:r>
        <w:rPr>
          <w:rFonts w:hint="eastAsia" w:ascii="仿宋" w:hAnsi="仿宋" w:eastAsia="仿宋" w:cs="仿宋"/>
          <w:color w:val="auto"/>
          <w:sz w:val="24"/>
          <w:szCs w:val="24"/>
          <w:highlight w:val="none"/>
        </w:rPr>
        <w:t>成为新疆维吾尔自治区政府采购网正式注册入库并完成CA数字证书申领供应商</w:t>
      </w:r>
      <w:r>
        <w:rPr>
          <w:rFonts w:hint="eastAsia" w:ascii="仿宋" w:hAnsi="仿宋" w:eastAsia="仿宋" w:cs="仿宋"/>
          <w:color w:val="auto"/>
          <w:sz w:val="24"/>
          <w:szCs w:val="24"/>
          <w:highlight w:val="none"/>
          <w:lang w:eastAsia="zh-CN"/>
        </w:rPr>
        <w:t>参与投标</w:t>
      </w:r>
      <w:r>
        <w:rPr>
          <w:rFonts w:hint="eastAsia" w:ascii="仿宋" w:hAnsi="仿宋" w:eastAsia="仿宋" w:cs="仿宋"/>
          <w:color w:val="auto"/>
          <w:sz w:val="24"/>
          <w:szCs w:val="24"/>
          <w:highlight w:val="none"/>
        </w:rPr>
        <w:t>。因未注册入库、未办理CA数字证书等原因造成无法投标或投标失败等后果由供应商自行承担。</w:t>
      </w:r>
    </w:p>
    <w:p w14:paraId="20AAE988">
      <w:pPr>
        <w:shd w:val="clear" w:color="auto" w:fill="auto"/>
        <w:wordWrap w:val="0"/>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  投标人被视为充分熟悉本招标项目所在地的与履行合同有关的各种情况，包括但不限于：</w:t>
      </w:r>
    </w:p>
    <w:p w14:paraId="0C6332A5">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（1）国家对本次投标货物和服务的生产、安装调试、验收、维修等有关法律、法规及行业管理标准；</w:t>
      </w:r>
    </w:p>
    <w:p w14:paraId="3FFC3DB4">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本地区</w:t>
      </w:r>
      <w:r>
        <w:rPr>
          <w:rFonts w:hint="eastAsia" w:ascii="仿宋" w:hAnsi="仿宋" w:eastAsia="仿宋" w:cs="仿宋"/>
          <w:bCs/>
          <w:color w:val="auto"/>
          <w:sz w:val="24"/>
          <w:szCs w:val="24"/>
          <w:highlight w:val="none"/>
        </w:rPr>
        <w:t>有关管理部门的相关规定；</w:t>
      </w:r>
    </w:p>
    <w:p w14:paraId="442FCF78">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（3）招标人的相关场地情况、基础建设、电力供应情况及相关设计标准。</w:t>
      </w:r>
    </w:p>
    <w:p w14:paraId="087E0E12">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不再对上述情况进行描述。</w:t>
      </w:r>
    </w:p>
    <w:p w14:paraId="1A87744A">
      <w:pPr>
        <w:shd w:val="clear" w:color="auto" w:fill="auto"/>
        <w:spacing w:before="312" w:beforeLines="100" w:after="312" w:afterLines="100" w:line="440" w:lineRule="exact"/>
        <w:jc w:val="center"/>
        <w:outlineLvl w:val="9"/>
        <w:rPr>
          <w:rFonts w:hint="eastAsia" w:ascii="仿宋" w:hAnsi="仿宋" w:eastAsia="仿宋" w:cs="仿宋"/>
          <w:b/>
          <w:color w:val="auto"/>
          <w:sz w:val="24"/>
          <w:szCs w:val="24"/>
          <w:highlight w:val="none"/>
          <w:lang w:eastAsia="zh-CN"/>
        </w:rPr>
      </w:pPr>
      <w:bookmarkStart w:id="25" w:name="_Toc469495725"/>
      <w:r>
        <w:rPr>
          <w:rFonts w:hint="eastAsia" w:ascii="仿宋" w:hAnsi="仿宋" w:eastAsia="仿宋" w:cs="仿宋"/>
          <w:b/>
          <w:color w:val="auto"/>
          <w:sz w:val="24"/>
          <w:szCs w:val="24"/>
          <w:highlight w:val="none"/>
        </w:rPr>
        <w:t>（二）</w:t>
      </w:r>
      <w:bookmarkEnd w:id="25"/>
      <w:r>
        <w:rPr>
          <w:rFonts w:hint="eastAsia" w:ascii="仿宋" w:hAnsi="仿宋" w:eastAsia="仿宋" w:cs="仿宋"/>
          <w:b/>
          <w:color w:val="auto"/>
          <w:sz w:val="24"/>
          <w:szCs w:val="24"/>
          <w:highlight w:val="none"/>
          <w:lang w:eastAsia="zh-CN"/>
        </w:rPr>
        <w:t>招标文件</w:t>
      </w:r>
    </w:p>
    <w:p w14:paraId="35C3457D">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15.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的编制依据</w:t>
      </w:r>
    </w:p>
    <w:p w14:paraId="00ABBC6C">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根据《中华人民共和国政府采购法》、《政府采购货物和服务招标投标管理办法》和《中华人民共和国合同法》</w:t>
      </w:r>
      <w:r>
        <w:rPr>
          <w:rFonts w:hint="eastAsia" w:ascii="仿宋" w:hAnsi="仿宋" w:eastAsia="仿宋" w:cs="仿宋"/>
          <w:color w:val="auto"/>
          <w:spacing w:val="-2"/>
          <w:sz w:val="24"/>
          <w:szCs w:val="24"/>
          <w:highlight w:val="none"/>
        </w:rPr>
        <w:t>等相关法律法规和规章及部、省、市级规范性文件的规定，编制本</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w:t>
      </w:r>
    </w:p>
    <w:p w14:paraId="3188528B">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16.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的组成</w:t>
      </w:r>
    </w:p>
    <w:p w14:paraId="41D067D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包括内容：</w:t>
      </w:r>
    </w:p>
    <w:p w14:paraId="7EED7F13">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eastAsia="zh-CN"/>
        </w:rPr>
        <w:t>招</w:t>
      </w:r>
      <w:r>
        <w:rPr>
          <w:rFonts w:hint="eastAsia" w:ascii="仿宋" w:hAnsi="仿宋" w:eastAsia="仿宋" w:cs="仿宋"/>
          <w:color w:val="auto"/>
          <w:sz w:val="24"/>
          <w:szCs w:val="24"/>
          <w:highlight w:val="none"/>
        </w:rPr>
        <w:t>标公告</w:t>
      </w:r>
    </w:p>
    <w:p w14:paraId="6132BFFA">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投标须知</w:t>
      </w:r>
    </w:p>
    <w:p w14:paraId="006D2F55">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评标办法</w:t>
      </w:r>
    </w:p>
    <w:p w14:paraId="6B85996A">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w:t>
      </w:r>
      <w:r>
        <w:rPr>
          <w:rFonts w:hint="eastAsia" w:ascii="仿宋" w:hAnsi="仿宋" w:eastAsia="仿宋" w:cs="仿宋"/>
          <w:color w:val="auto"/>
          <w:sz w:val="24"/>
          <w:szCs w:val="24"/>
          <w:highlight w:val="none"/>
          <w:lang w:val="en-US" w:eastAsia="zh-CN"/>
        </w:rPr>
        <w:t>采购内容及技术参数要求。</w:t>
      </w:r>
    </w:p>
    <w:p w14:paraId="520A3609">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合同条款及格式</w:t>
      </w:r>
    </w:p>
    <w:p w14:paraId="55172CE5">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投标文件格式文本</w:t>
      </w:r>
    </w:p>
    <w:p w14:paraId="551F3663">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招标单位、招标代理机构对本文件的确认</w:t>
      </w:r>
    </w:p>
    <w:p w14:paraId="2C71D618">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16.2 除16.1内容外，招标答疑亦为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的组成部分，对招标人和投标人起约束作用。</w:t>
      </w:r>
    </w:p>
    <w:p w14:paraId="7464E879">
      <w:pPr>
        <w:pStyle w:val="16"/>
        <w:shd w:val="clear" w:color="auto" w:fill="auto"/>
        <w:wordWrap w:val="0"/>
        <w:spacing w:line="400" w:lineRule="exact"/>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16.3</w:t>
      </w:r>
      <w:r>
        <w:rPr>
          <w:rFonts w:hint="eastAsia" w:ascii="仿宋" w:hAnsi="仿宋" w:eastAsia="仿宋" w:cs="仿宋"/>
          <w:color w:val="auto"/>
          <w:sz w:val="24"/>
          <w:szCs w:val="24"/>
          <w:highlight w:val="none"/>
          <w:u w:val="none" w:color="auto"/>
        </w:rPr>
        <w:t>投标人应仔细阅读和检查</w:t>
      </w:r>
      <w:r>
        <w:rPr>
          <w:rFonts w:hint="eastAsia" w:ascii="仿宋" w:hAnsi="仿宋" w:eastAsia="仿宋" w:cs="仿宋"/>
          <w:color w:val="auto"/>
          <w:sz w:val="24"/>
          <w:szCs w:val="24"/>
          <w:highlight w:val="none"/>
          <w:u w:val="none" w:color="auto"/>
          <w:lang w:eastAsia="zh-CN"/>
        </w:rPr>
        <w:t>采购文件</w:t>
      </w:r>
      <w:r>
        <w:rPr>
          <w:rFonts w:hint="eastAsia" w:ascii="仿宋" w:hAnsi="仿宋" w:eastAsia="仿宋" w:cs="仿宋"/>
          <w:color w:val="auto"/>
          <w:sz w:val="24"/>
          <w:szCs w:val="24"/>
          <w:highlight w:val="none"/>
          <w:u w:val="none" w:color="auto"/>
        </w:rPr>
        <w:t>的全部内容。如发现缺页或附件不全，应及时向招标人提出，以便补齐。如有疑问，投标人应在</w:t>
      </w:r>
      <w:r>
        <w:rPr>
          <w:rFonts w:hint="eastAsia" w:ascii="仿宋" w:hAnsi="仿宋" w:eastAsia="仿宋" w:cs="仿宋"/>
          <w:color w:val="auto"/>
          <w:sz w:val="24"/>
          <w:szCs w:val="24"/>
          <w:highlight w:val="none"/>
        </w:rPr>
        <w:t>以书面形式一次性向采购人和采购代理机构提出同一环节的质疑</w:t>
      </w:r>
      <w:r>
        <w:rPr>
          <w:rFonts w:hint="eastAsia" w:ascii="仿宋" w:hAnsi="仿宋" w:eastAsia="仿宋" w:cs="仿宋"/>
          <w:color w:val="auto"/>
          <w:sz w:val="24"/>
          <w:szCs w:val="24"/>
          <w:highlight w:val="none"/>
          <w:u w:val="none" w:color="auto"/>
        </w:rPr>
        <w:t>。</w:t>
      </w:r>
    </w:p>
    <w:p w14:paraId="588E4C29">
      <w:pPr>
        <w:shd w:val="clear" w:color="auto" w:fill="auto"/>
        <w:wordWrap w:val="0"/>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政府采购网下载专区下载。</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的澄清将在</w:t>
      </w:r>
      <w:r>
        <w:rPr>
          <w:rFonts w:hint="eastAsia" w:ascii="仿宋" w:hAnsi="仿宋" w:eastAsia="仿宋" w:cs="仿宋"/>
          <w:color w:val="auto"/>
          <w:sz w:val="24"/>
          <w:szCs w:val="24"/>
          <w:highlight w:val="none"/>
          <w:lang w:eastAsia="zh-CN"/>
        </w:rPr>
        <w:t>政采云平台“更正公告”栏目予以公告</w:t>
      </w:r>
      <w:r>
        <w:rPr>
          <w:rFonts w:hint="eastAsia" w:ascii="仿宋" w:hAnsi="仿宋" w:eastAsia="仿宋" w:cs="仿宋"/>
          <w:color w:val="auto"/>
          <w:sz w:val="24"/>
          <w:szCs w:val="24"/>
          <w:highlight w:val="none"/>
        </w:rPr>
        <w:t>，但不指明澄清问题的来源。如果澄清内容影响投标文件编制的，将相应延长投标截止时间。</w:t>
      </w:r>
    </w:p>
    <w:p w14:paraId="2F3DEA09">
      <w:pPr>
        <w:shd w:val="clear" w:color="auto" w:fill="auto"/>
        <w:spacing w:line="440" w:lineRule="exact"/>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的修改、补充、解释</w:t>
      </w:r>
    </w:p>
    <w:p w14:paraId="1E5CB9AA">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发出后，招标人在规定的投标截止时间前可对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进行必要的修改和补充，并以</w:t>
      </w:r>
      <w:r>
        <w:rPr>
          <w:rFonts w:hint="eastAsia" w:ascii="仿宋" w:hAnsi="仿宋" w:eastAsia="仿宋" w:cs="仿宋"/>
          <w:color w:val="auto"/>
          <w:sz w:val="24"/>
          <w:szCs w:val="24"/>
          <w:highlight w:val="none"/>
          <w:lang w:eastAsia="zh-CN"/>
        </w:rPr>
        <w:t>更正</w:t>
      </w:r>
      <w:r>
        <w:rPr>
          <w:rFonts w:hint="eastAsia" w:ascii="仿宋" w:hAnsi="仿宋" w:eastAsia="仿宋" w:cs="仿宋"/>
          <w:color w:val="auto"/>
          <w:sz w:val="24"/>
          <w:szCs w:val="24"/>
          <w:highlight w:val="none"/>
        </w:rPr>
        <w:t>公告形式在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”栏目予以公告，请各位投标人注意查看有关澄清内容，如不及时查看造成后果由投标人自负。</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的修改、补充等内容作为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的组成部分，具有约束作用。</w:t>
      </w:r>
    </w:p>
    <w:p w14:paraId="428EF44E">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53E90BAC">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供应商在规定的时间内未对采购文件提出疑问、质疑或要求澄清的，将视其为无异议。</w:t>
      </w:r>
    </w:p>
    <w:p w14:paraId="7EC5CA0D">
      <w:pPr>
        <w:shd w:val="clear" w:color="auto" w:fill="auto"/>
        <w:spacing w:line="40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的解释</w:t>
      </w:r>
    </w:p>
    <w:p w14:paraId="3DF73F2B">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由招标人（或其委托的招标代理机构）负责解释。</w:t>
      </w:r>
    </w:p>
    <w:p w14:paraId="7F564C85">
      <w:pPr>
        <w:shd w:val="clear" w:color="auto" w:fill="auto"/>
        <w:spacing w:line="40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18.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的发出</w:t>
      </w:r>
    </w:p>
    <w:p w14:paraId="54541E59">
      <w:pPr>
        <w:shd w:val="clear" w:color="auto" w:fill="auto"/>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的澄清、修改、补充及招标答疑等均应报</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备案后，方可发出。</w:t>
      </w:r>
    </w:p>
    <w:p w14:paraId="1CE124FA">
      <w:pPr>
        <w:shd w:val="clear" w:color="auto" w:fill="auto"/>
        <w:spacing w:line="440" w:lineRule="exact"/>
        <w:ind w:firstLine="320" w:firstLineChars="133"/>
        <w:outlineLvl w:val="9"/>
        <w:rPr>
          <w:rFonts w:hint="eastAsia" w:ascii="仿宋" w:hAnsi="仿宋" w:eastAsia="仿宋" w:cs="仿宋"/>
          <w:color w:val="auto"/>
          <w:sz w:val="24"/>
          <w:szCs w:val="24"/>
          <w:highlight w:val="none"/>
        </w:rPr>
      </w:pPr>
      <w:bookmarkStart w:id="26" w:name="_Toc469495726"/>
      <w:r>
        <w:rPr>
          <w:rFonts w:hint="eastAsia" w:ascii="仿宋" w:hAnsi="仿宋" w:eastAsia="仿宋" w:cs="仿宋"/>
          <w:b/>
          <w:color w:val="auto"/>
          <w:sz w:val="24"/>
          <w:szCs w:val="24"/>
          <w:highlight w:val="none"/>
        </w:rPr>
        <w:t xml:space="preserve">19. </w:t>
      </w:r>
      <w:r>
        <w:rPr>
          <w:rFonts w:hint="eastAsia" w:ascii="仿宋" w:hAnsi="仿宋" w:eastAsia="仿宋" w:cs="仿宋"/>
          <w:color w:val="auto"/>
          <w:sz w:val="24"/>
          <w:szCs w:val="24"/>
          <w:highlight w:val="none"/>
        </w:rPr>
        <w:t>凡需要设置样品情形时，必须明确是否需要随样品提交检测报告，并明确检测机构的要求、检测内容、</w:t>
      </w:r>
      <w:r>
        <w:rPr>
          <w:rFonts w:hint="eastAsia" w:ascii="仿宋" w:hAnsi="仿宋" w:eastAsia="仿宋" w:cs="仿宋"/>
          <w:b w:val="0"/>
          <w:bCs w:val="0"/>
          <w:color w:val="auto"/>
          <w:sz w:val="24"/>
          <w:szCs w:val="24"/>
          <w:highlight w:val="none"/>
        </w:rPr>
        <w:t>中标样品封存</w:t>
      </w:r>
      <w:r>
        <w:rPr>
          <w:rFonts w:hint="eastAsia" w:ascii="仿宋" w:hAnsi="仿宋" w:eastAsia="仿宋" w:cs="仿宋"/>
          <w:color w:val="auto"/>
          <w:sz w:val="24"/>
          <w:szCs w:val="24"/>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0C8D3519">
      <w:pPr>
        <w:shd w:val="clear" w:color="auto" w:fill="auto"/>
        <w:spacing w:line="400" w:lineRule="exact"/>
        <w:ind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根据项目需求按上述要求自行描述）</w:t>
      </w:r>
    </w:p>
    <w:p w14:paraId="6AE27299">
      <w:pPr>
        <w:shd w:val="clear" w:color="auto" w:fill="auto"/>
        <w:spacing w:before="312" w:beforeLines="100" w:after="312" w:afterLines="100" w:line="44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（三）投标文件的编制</w:t>
      </w:r>
      <w:bookmarkEnd w:id="26"/>
    </w:p>
    <w:p w14:paraId="4943CAD8">
      <w:pPr>
        <w:shd w:val="clear" w:color="auto" w:fill="auto"/>
        <w:spacing w:line="440" w:lineRule="exact"/>
        <w:ind w:firstLine="349" w:firstLineChars="145"/>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 投标的语言及度量衡单位</w:t>
      </w:r>
    </w:p>
    <w:p w14:paraId="341ECE74">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49520122">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20.2除</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中另有规定外，投标书所使用的度量衡均须采用法定计量单位。</w:t>
      </w:r>
    </w:p>
    <w:p w14:paraId="4A9F3F84">
      <w:pPr>
        <w:shd w:val="clear" w:color="auto" w:fill="auto"/>
        <w:spacing w:line="400" w:lineRule="exact"/>
        <w:ind w:firstLine="236" w:firstLineChars="98"/>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投标文件的组成</w:t>
      </w:r>
    </w:p>
    <w:p w14:paraId="4B2C92F5">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资格证明文件和商务及技术文件两部分。</w:t>
      </w:r>
    </w:p>
    <w:p w14:paraId="7439F0F3">
      <w:pPr>
        <w:shd w:val="clear" w:color="auto" w:fill="auto"/>
        <w:spacing w:line="440" w:lineRule="exact"/>
        <w:ind w:firstLine="420" w:firstLineChars="0"/>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21.1资格证明文件</w:t>
      </w:r>
      <w:r>
        <w:rPr>
          <w:rFonts w:hint="eastAsia" w:ascii="仿宋" w:hAnsi="仿宋" w:eastAsia="仿宋" w:cs="仿宋"/>
          <w:b/>
          <w:color w:val="auto"/>
          <w:sz w:val="24"/>
          <w:szCs w:val="24"/>
          <w:highlight w:val="none"/>
          <w:lang w:eastAsia="zh-CN"/>
        </w:rPr>
        <w:t>（包括但不限于）</w:t>
      </w:r>
    </w:p>
    <w:p w14:paraId="7328DE4D">
      <w:pPr>
        <w:shd w:val="clear" w:color="auto" w:fill="auto"/>
        <w:spacing w:line="440" w:lineRule="exact"/>
        <w:ind w:firstLine="354" w:firstLineChars="147"/>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资格证明</w:t>
      </w:r>
      <w:r>
        <w:rPr>
          <w:rFonts w:hint="eastAsia" w:ascii="仿宋" w:hAnsi="仿宋" w:eastAsia="仿宋" w:cs="仿宋"/>
          <w:b/>
          <w:bCs/>
          <w:color w:val="auto"/>
          <w:sz w:val="24"/>
          <w:szCs w:val="24"/>
          <w:highlight w:val="none"/>
          <w:lang w:eastAsia="zh-CN"/>
        </w:rPr>
        <w:t>文件</w:t>
      </w:r>
      <w:r>
        <w:rPr>
          <w:rFonts w:hint="eastAsia" w:ascii="仿宋" w:hAnsi="仿宋" w:eastAsia="仿宋" w:cs="仿宋"/>
          <w:b/>
          <w:bCs/>
          <w:color w:val="auto"/>
          <w:sz w:val="24"/>
          <w:szCs w:val="24"/>
          <w:highlight w:val="none"/>
        </w:rPr>
        <w:t>是证明投标人有资格参加投标和中标后有能力履行合同的文件，这些文件应能满足招标的要求，否则作无效投标处理。</w:t>
      </w:r>
      <w:bookmarkStart w:id="27" w:name="_Toc20606"/>
      <w:bookmarkStart w:id="28" w:name="_Toc25614"/>
    </w:p>
    <w:bookmarkEnd w:id="27"/>
    <w:bookmarkEnd w:id="28"/>
    <w:p w14:paraId="4CE836FB">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具备三证合一营业执照副本；</w:t>
      </w:r>
    </w:p>
    <w:p w14:paraId="7C34B44B">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法定代表人参加的需提供法定代表人身份证明及身份证原件扫描件，授权委托人参加的需提供附有法定代表人身份证明的授权委托书及被委托人身份证原件扫描件;</w:t>
      </w:r>
    </w:p>
    <w:p w14:paraId="4C4FFAF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3、投标企业须提供投标人（被授权本单位在职人员）近6个月内任何1个月已依法缴纳社会保险的凭据（依法不需要缴纳社会保障资金的供应商，应提供相应证明文件）；</w:t>
      </w:r>
    </w:p>
    <w:p w14:paraId="21587CA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6AC917C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2D81458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2FAD829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r>
        <w:rPr>
          <w:rFonts w:hint="eastAsia" w:ascii="仿宋" w:hAnsi="仿宋" w:eastAsia="仿宋" w:cs="仿宋"/>
          <w:b w:val="0"/>
          <w:bCs/>
          <w:color w:val="auto"/>
          <w:sz w:val="24"/>
          <w:szCs w:val="24"/>
          <w:highlight w:val="none"/>
          <w:lang w:eastAsia="zh-CN"/>
        </w:rPr>
        <w:t>提</w:t>
      </w:r>
      <w:r>
        <w:rPr>
          <w:rFonts w:hint="eastAsia" w:ascii="仿宋" w:hAnsi="仿宋" w:eastAsia="仿宋" w:cs="仿宋"/>
          <w:b w:val="0"/>
          <w:bCs/>
          <w:color w:val="auto"/>
          <w:sz w:val="24"/>
          <w:szCs w:val="24"/>
          <w:highlight w:val="none"/>
        </w:rPr>
        <w:t>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61C9CE2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8、具有履行合同所必需的设备和专业技术能力（提供书面声明函）；</w:t>
      </w:r>
    </w:p>
    <w:p w14:paraId="66F07A7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9、提供参加政府采购活动前三年内，在经营活动中没有重大违法记录（承诺函原件扫描件）；</w:t>
      </w:r>
    </w:p>
    <w:p w14:paraId="57A3239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10、企业负责人为同一人或者存在直接控股、管理关系的不同投标人，不得参加同一合同项下的政府采购活动（提供书面声明函）；</w:t>
      </w:r>
    </w:p>
    <w:p w14:paraId="6F96E3D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、投标保证金缴纳凭证（银行回单）或保函等票据；</w:t>
      </w:r>
    </w:p>
    <w:p w14:paraId="3AC6B14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、供应商须知资料表要求的其他资格证明文件</w:t>
      </w:r>
      <w:r>
        <w:rPr>
          <w:rFonts w:hint="eastAsia" w:ascii="仿宋" w:hAnsi="仿宋" w:eastAsia="仿宋" w:cs="仿宋"/>
          <w:b w:val="0"/>
          <w:bCs/>
          <w:color w:val="auto"/>
          <w:sz w:val="24"/>
          <w:szCs w:val="24"/>
          <w:highlight w:val="none"/>
          <w:lang w:eastAsia="zh-CN"/>
        </w:rPr>
        <w:t>；</w:t>
      </w:r>
    </w:p>
    <w:p w14:paraId="5B5C16D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21.2</w:t>
      </w:r>
      <w:r>
        <w:rPr>
          <w:rFonts w:hint="eastAsia" w:ascii="仿宋" w:hAnsi="仿宋" w:eastAsia="仿宋" w:cs="仿宋"/>
          <w:b/>
          <w:bCs w:val="0"/>
          <w:color w:val="auto"/>
          <w:sz w:val="28"/>
          <w:szCs w:val="28"/>
          <w:highlight w:val="none"/>
          <w:lang w:val="en-US" w:eastAsia="zh-CN"/>
        </w:rPr>
        <w:t xml:space="preserve"> 商务及技术文件</w:t>
      </w:r>
      <w:r>
        <w:rPr>
          <w:rFonts w:hint="eastAsia" w:ascii="仿宋" w:hAnsi="仿宋" w:eastAsia="仿宋" w:cs="仿宋"/>
          <w:b/>
          <w:bCs w:val="0"/>
          <w:color w:val="auto"/>
          <w:sz w:val="28"/>
          <w:szCs w:val="28"/>
          <w:highlight w:val="none"/>
          <w:lang w:eastAsia="zh-CN"/>
        </w:rPr>
        <w:t>（包括但不限于）</w:t>
      </w:r>
    </w:p>
    <w:p w14:paraId="43C56988">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1、投标书（附件1）</w:t>
      </w:r>
    </w:p>
    <w:p w14:paraId="2A55C186">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2、开标一览表（附件2）</w:t>
      </w:r>
    </w:p>
    <w:p w14:paraId="517C9A04">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3、投标分项报价表（附件3）</w:t>
      </w:r>
    </w:p>
    <w:p w14:paraId="1C8989EA">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4、货物说明一览表（附件4）</w:t>
      </w:r>
    </w:p>
    <w:p w14:paraId="4306F562">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5、技术规格偏离表（附件5）</w:t>
      </w:r>
    </w:p>
    <w:p w14:paraId="70DC116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6、商务条款偏离表（附件6）</w:t>
      </w:r>
    </w:p>
    <w:p w14:paraId="79ED9FB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7、投标人关联单位的说明</w:t>
      </w:r>
    </w:p>
    <w:p w14:paraId="087FF01A">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8、中小企业声明函（货物）不符合中小企业的投标人无需提供。</w:t>
      </w:r>
    </w:p>
    <w:p w14:paraId="518AC5FD">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9、《残疾人福利性单位声明函》（附件7）</w:t>
      </w:r>
    </w:p>
    <w:p w14:paraId="069430B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10、评分标准和细则中技术部分证明材料（格式自拟）</w:t>
      </w:r>
    </w:p>
    <w:p w14:paraId="32D760E0">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11、评分标准和细则中商务部分证明材料（格式自拟）</w:t>
      </w:r>
    </w:p>
    <w:p w14:paraId="744AADBD">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12、投标人认为有必要提供的其他证明材料（格式自拟）</w:t>
      </w:r>
    </w:p>
    <w:p w14:paraId="3D63A447">
      <w:pPr>
        <w:shd w:val="clear" w:color="auto" w:fill="auto"/>
        <w:spacing w:line="400" w:lineRule="exact"/>
        <w:ind w:firstLine="479"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。投标文件内凡涉及法人或授权委托人签字、签章、盖章等，签字或盖章均予以认可。</w:t>
      </w:r>
    </w:p>
    <w:p w14:paraId="0AB9DAF1">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投标文件的要求</w:t>
      </w:r>
    </w:p>
    <w:p w14:paraId="654F4E90">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351616B4">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）投标文件格式应按本采购文件第六章格式要求编制，不得对采购文件格式进行增删更改，否则按无效标处理。</w:t>
      </w:r>
    </w:p>
    <w:p w14:paraId="5E9234EB">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4A943324">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）投标文件为电子投标文件，电子投标文件按“政采云供应商项目采购-电子招投标操作指南”及本采购文件要求制作、加密传输。</w:t>
      </w:r>
    </w:p>
    <w:p w14:paraId="3DCED9AE">
      <w:pPr>
        <w:shd w:val="clear" w:color="auto" w:fill="auto"/>
        <w:spacing w:line="400" w:lineRule="exact"/>
        <w:ind w:firstLine="477" w:firstLineChars="1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）投标文件未在投标截止时间前完成传输的，视为投标文件撤回；投标文件未按时解密也未提供备份投标文件的，亦视为投标文件撤回。</w:t>
      </w:r>
    </w:p>
    <w:p w14:paraId="48179E78">
      <w:pPr>
        <w:shd w:val="clear" w:color="auto" w:fill="auto"/>
        <w:spacing w:line="44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投标报价</w:t>
      </w:r>
    </w:p>
    <w:p w14:paraId="2BE430D9">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22.1投标报价文件中的单价和总价全部采用人民币表示。</w:t>
      </w:r>
    </w:p>
    <w:p w14:paraId="7F57EA9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22.2投标报价表上应清楚地标明投标人拟提供</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的名称、数量、单价和总价。</w:t>
      </w:r>
    </w:p>
    <w:p w14:paraId="443665B4">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22.3投标人只允许有一个方案、一个报价。</w:t>
      </w:r>
    </w:p>
    <w:p w14:paraId="6B716149">
      <w:pPr>
        <w:shd w:val="clear" w:color="auto" w:fill="auto"/>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22.4投标人应按“</w:t>
      </w:r>
      <w:r>
        <w:rPr>
          <w:rFonts w:hint="eastAsia" w:ascii="仿宋" w:hAnsi="仿宋" w:eastAsia="仿宋" w:cs="仿宋"/>
          <w:color w:val="auto"/>
          <w:sz w:val="24"/>
          <w:szCs w:val="24"/>
          <w:highlight w:val="none"/>
          <w:lang w:eastAsia="zh-CN"/>
        </w:rPr>
        <w:t>项目需求</w:t>
      </w:r>
      <w:r>
        <w:rPr>
          <w:rFonts w:hint="eastAsia" w:ascii="仿宋" w:hAnsi="仿宋" w:eastAsia="仿宋" w:cs="仿宋"/>
          <w:color w:val="auto"/>
          <w:sz w:val="24"/>
          <w:szCs w:val="24"/>
          <w:highlight w:val="none"/>
        </w:rPr>
        <w:t>”所列</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进行报价，并最终按</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总量乘以</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单价报总价，不得采用总价下浮的方式进行报价。综合单价包括：</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本身价格、保险费用、</w:t>
      </w:r>
      <w:r>
        <w:rPr>
          <w:rFonts w:hint="eastAsia" w:ascii="仿宋" w:hAnsi="仿宋" w:eastAsia="仿宋" w:cs="仿宋"/>
          <w:color w:val="auto"/>
          <w:sz w:val="24"/>
          <w:szCs w:val="24"/>
          <w:highlight w:val="none"/>
          <w:lang w:eastAsia="zh-CN"/>
        </w:rPr>
        <w:t>培训费、交通</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eastAsia="zh-CN"/>
        </w:rPr>
        <w:t>住宿费</w:t>
      </w:r>
      <w:r>
        <w:rPr>
          <w:rFonts w:hint="eastAsia" w:ascii="仿宋" w:hAnsi="仿宋" w:eastAsia="仿宋" w:cs="仿宋"/>
          <w:color w:val="auto"/>
          <w:sz w:val="24"/>
          <w:szCs w:val="24"/>
          <w:highlight w:val="none"/>
        </w:rPr>
        <w:t>、自检费</w:t>
      </w:r>
      <w:r>
        <w:rPr>
          <w:rFonts w:hint="eastAsia" w:ascii="仿宋" w:hAnsi="仿宋" w:eastAsia="仿宋" w:cs="仿宋"/>
          <w:color w:val="auto"/>
          <w:sz w:val="24"/>
          <w:szCs w:val="24"/>
          <w:highlight w:val="none"/>
          <w:lang w:eastAsia="zh-CN"/>
        </w:rPr>
        <w:t>、人工费、其他服务期使用的设备费</w:t>
      </w:r>
      <w:r>
        <w:rPr>
          <w:rFonts w:hint="eastAsia" w:ascii="仿宋" w:hAnsi="仿宋" w:eastAsia="仿宋" w:cs="仿宋"/>
          <w:color w:val="auto"/>
          <w:sz w:val="24"/>
          <w:szCs w:val="24"/>
          <w:highlight w:val="none"/>
        </w:rPr>
        <w:t>及验收合格前和</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内发生的一切费用、应当提供的伴随服务/售后服务费用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及国家对中标单位征收的各种税费等所有一切费用，综合单价今后将不作任何调整。</w:t>
      </w:r>
    </w:p>
    <w:p w14:paraId="6BA81002">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22.5投标报价的价格是</w:t>
      </w:r>
      <w:r>
        <w:rPr>
          <w:rFonts w:hint="eastAsia" w:ascii="仿宋" w:hAnsi="仿宋" w:eastAsia="仿宋" w:cs="仿宋"/>
          <w:color w:val="auto"/>
          <w:sz w:val="24"/>
          <w:szCs w:val="24"/>
          <w:highlight w:val="none"/>
          <w:lang w:eastAsia="zh-CN"/>
        </w:rPr>
        <w:t>服务完成</w:t>
      </w:r>
      <w:r>
        <w:rPr>
          <w:rFonts w:hint="eastAsia" w:ascii="仿宋" w:hAnsi="仿宋" w:eastAsia="仿宋" w:cs="仿宋"/>
          <w:color w:val="auto"/>
          <w:sz w:val="24"/>
          <w:szCs w:val="24"/>
          <w:highlight w:val="none"/>
        </w:rPr>
        <w:t>验收价格，其总价即为履行合同的固定总价。</w:t>
      </w:r>
    </w:p>
    <w:p w14:paraId="7E4C42F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22.6投标文件报价为含税价，招标人不再为此次招标支付任何费用。</w:t>
      </w:r>
    </w:p>
    <w:p w14:paraId="41D594E9">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22.7投标报价应由法定代表人或被授权人签署。</w:t>
      </w:r>
    </w:p>
    <w:p w14:paraId="648D7DA7">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22.8</w:t>
      </w:r>
      <w:r>
        <w:rPr>
          <w:rFonts w:hint="eastAsia" w:ascii="仿宋" w:hAnsi="仿宋" w:eastAsia="仿宋" w:cs="仿宋"/>
          <w:b/>
          <w:color w:val="auto"/>
          <w:sz w:val="24"/>
          <w:szCs w:val="24"/>
          <w:highlight w:val="none"/>
        </w:rPr>
        <w:t>投标人投标总报价，不得高于本次招标设置的最高限价</w:t>
      </w:r>
      <w:r>
        <w:rPr>
          <w:rFonts w:hint="eastAsia" w:ascii="仿宋" w:hAnsi="仿宋" w:eastAsia="仿宋" w:cs="仿宋"/>
          <w:b/>
          <w:color w:val="auto"/>
          <w:sz w:val="24"/>
          <w:szCs w:val="24"/>
          <w:highlight w:val="none"/>
          <w:lang w:val="en-US" w:eastAsia="zh-CN"/>
        </w:rPr>
        <w:t>(单价)</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否则将作为无效投标处理。</w:t>
      </w:r>
    </w:p>
    <w:p w14:paraId="5C8C3292">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22.9如投标文件中未列明全面实现投标</w:t>
      </w:r>
      <w:r>
        <w:rPr>
          <w:rFonts w:hint="eastAsia" w:ascii="仿宋" w:hAnsi="仿宋" w:eastAsia="仿宋" w:cs="仿宋"/>
          <w:color w:val="auto"/>
          <w:sz w:val="24"/>
          <w:szCs w:val="24"/>
          <w:highlight w:val="none"/>
          <w:lang w:eastAsia="zh-CN"/>
        </w:rPr>
        <w:t>服务范围</w:t>
      </w:r>
      <w:r>
        <w:rPr>
          <w:rFonts w:hint="eastAsia" w:ascii="仿宋" w:hAnsi="仿宋" w:eastAsia="仿宋" w:cs="仿宋"/>
          <w:color w:val="auto"/>
          <w:sz w:val="24"/>
          <w:szCs w:val="24"/>
          <w:highlight w:val="none"/>
        </w:rPr>
        <w:t>而必须配置的配套或辅助设施及相应技术措施的费用，这些费用将被视为已包含在总投标价中。</w:t>
      </w:r>
    </w:p>
    <w:p w14:paraId="7CEB852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22.10总投标价中不得包含</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要求以外的内容，否则，在评标时不予核减，但在授予合同时，招标人有权将这部分价格从其中标价格中扣除。</w:t>
      </w:r>
    </w:p>
    <w:p w14:paraId="64C81FB4">
      <w:pPr>
        <w:shd w:val="clear" w:color="auto" w:fill="auto"/>
        <w:spacing w:line="440" w:lineRule="exact"/>
        <w:ind w:firstLine="460" w:firstLineChars="192"/>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22.11总投标价中不得缺漏</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 w:val="24"/>
          <w:szCs w:val="24"/>
          <w:highlight w:val="none"/>
          <w:lang w:val="en-US" w:eastAsia="zh-CN"/>
        </w:rPr>
        <w:t xml:space="preserve">    </w:t>
      </w:r>
    </w:p>
    <w:p w14:paraId="070AF493">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22.12投标人不得对从第三方采购</w:t>
      </w:r>
      <w:r>
        <w:rPr>
          <w:rFonts w:hint="eastAsia" w:ascii="仿宋" w:hAnsi="仿宋" w:eastAsia="仿宋" w:cs="仿宋"/>
          <w:color w:val="auto"/>
          <w:sz w:val="24"/>
          <w:szCs w:val="24"/>
          <w:highlight w:val="none"/>
          <w:lang w:eastAsia="zh-CN"/>
        </w:rPr>
        <w:t>的服务</w:t>
      </w:r>
      <w:r>
        <w:rPr>
          <w:rFonts w:hint="eastAsia" w:ascii="仿宋" w:hAnsi="仿宋" w:eastAsia="仿宋" w:cs="仿宋"/>
          <w:color w:val="auto"/>
          <w:sz w:val="24"/>
          <w:szCs w:val="24"/>
          <w:highlight w:val="none"/>
        </w:rPr>
        <w:t>另行收费，否则在计算评标价时这部分费用将不予扣除，在授予合同时将从中标价格中扣除该部分费用。</w:t>
      </w:r>
    </w:p>
    <w:p w14:paraId="2F496E7E">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22.13投标人应根据</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状况列出</w:t>
      </w:r>
      <w:r>
        <w:rPr>
          <w:rFonts w:hint="eastAsia" w:ascii="仿宋" w:hAnsi="仿宋" w:eastAsia="仿宋" w:cs="仿宋"/>
          <w:color w:val="auto"/>
          <w:sz w:val="24"/>
          <w:szCs w:val="24"/>
          <w:highlight w:val="none"/>
          <w:lang w:eastAsia="zh-CN"/>
        </w:rPr>
        <w:t>所需人员和设备</w:t>
      </w:r>
      <w:r>
        <w:rPr>
          <w:rFonts w:hint="eastAsia" w:ascii="仿宋" w:hAnsi="仿宋" w:eastAsia="仿宋" w:cs="仿宋"/>
          <w:color w:val="auto"/>
          <w:sz w:val="24"/>
          <w:szCs w:val="24"/>
          <w:highlight w:val="none"/>
        </w:rPr>
        <w:t>，并将该</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价格计入总投标价，若所提供的</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无需</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，则应在投标文件中说明；无论投标人在报价中列明</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的数量及价格多少，在</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内招标人均无需为</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所需的</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另行支付费用。</w:t>
      </w:r>
    </w:p>
    <w:p w14:paraId="266875B2">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投标有效期</w:t>
      </w:r>
    </w:p>
    <w:p w14:paraId="7591414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除投标人须知前附表另有规定外</w:t>
      </w:r>
      <w:r>
        <w:rPr>
          <w:rFonts w:hint="eastAsia" w:ascii="仿宋" w:hAnsi="仿宋" w:eastAsia="仿宋" w:cs="仿宋"/>
          <w:b/>
          <w:bCs/>
          <w:color w:val="auto"/>
          <w:sz w:val="24"/>
          <w:szCs w:val="24"/>
          <w:highlight w:val="none"/>
        </w:rPr>
        <w:t>，投标有效期为60天。</w:t>
      </w:r>
    </w:p>
    <w:p w14:paraId="7DA1DD3C">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23.2在投标有效期内，投标人撤销或修改其投标文件的，应承担</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和法律规定的责任。</w:t>
      </w:r>
    </w:p>
    <w:p w14:paraId="33CEA29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68BCB74">
      <w:pPr>
        <w:shd w:val="clear" w:color="auto" w:fill="auto"/>
        <w:spacing w:line="440" w:lineRule="exact"/>
        <w:ind w:firstLine="463" w:firstLineChars="192"/>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投标保证金</w:t>
      </w:r>
    </w:p>
    <w:p w14:paraId="051C185E">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bookmarkStart w:id="29" w:name="_Toc469495727"/>
      <w:r>
        <w:rPr>
          <w:rFonts w:hint="eastAsia" w:ascii="仿宋" w:hAnsi="仿宋" w:eastAsia="仿宋" w:cs="仿宋"/>
          <w:color w:val="auto"/>
          <w:sz w:val="24"/>
          <w:szCs w:val="24"/>
          <w:highlight w:val="none"/>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79314A57">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24.2自中标通知书发出之日起5个工作日内退还未中标供应商的投标保证金，自政府采购合同签订之日起5个工作日内退还中标人的投标保证金。</w:t>
      </w:r>
    </w:p>
    <w:p w14:paraId="287EC37C">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24.3有下列情形之一的，投标保证金将不予退还： </w:t>
      </w:r>
    </w:p>
    <w:p w14:paraId="7B3A7DA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（1）供应商在规定的投标有效期内撤回或修改其投标文件；</w:t>
      </w:r>
    </w:p>
    <w:p w14:paraId="11730AE1">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（2）中标通知书发出后三十天内，中标人无正当理由拒签合同协议书或未按采购文件规定提交履约担保。</w:t>
      </w:r>
    </w:p>
    <w:p w14:paraId="7DA477F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（3）提供虚假材料谋取中标的；</w:t>
      </w:r>
    </w:p>
    <w:p w14:paraId="6A57DCDC">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（4）经查实属于陪标、串通投标的等。</w:t>
      </w:r>
    </w:p>
    <w:p w14:paraId="4B9063B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24.4投标保证金按供应商须知前附表第</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条规定执行。</w:t>
      </w:r>
    </w:p>
    <w:p w14:paraId="05D5CB67">
      <w:pPr>
        <w:shd w:val="clear" w:color="auto" w:fill="auto"/>
        <w:bidi w:val="0"/>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w:t>
      </w:r>
      <w:bookmarkEnd w:id="29"/>
      <w:r>
        <w:rPr>
          <w:rFonts w:hint="eastAsia" w:ascii="仿宋" w:hAnsi="仿宋" w:eastAsia="仿宋" w:cs="仿宋"/>
          <w:b/>
          <w:bCs/>
          <w:color w:val="auto"/>
          <w:sz w:val="32"/>
          <w:szCs w:val="32"/>
          <w:highlight w:val="none"/>
        </w:rPr>
        <w:t>投标文件的制作、上传及递交要求</w:t>
      </w:r>
    </w:p>
    <w:p w14:paraId="7DDB1902">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14:paraId="761D0198">
      <w:pPr>
        <w:pStyle w:val="8"/>
        <w:shd w:val="clear" w:color="auto" w:fill="auto"/>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14:paraId="3432D8C4">
      <w:pPr>
        <w:pStyle w:val="8"/>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0B3DB237">
      <w:pPr>
        <w:pStyle w:val="8"/>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14:paraId="242DB31E">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14:paraId="46199517">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09272F5B">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3F563044">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14:paraId="7ADAB1EF">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14:paraId="34543422">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14:paraId="566419E9">
      <w:pPr>
        <w:pStyle w:val="8"/>
        <w:shd w:val="clear" w:color="auto" w:fill="auto"/>
        <w:snapToGrid w:val="0"/>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14:paraId="400CFCEF">
      <w:pPr>
        <w:pStyle w:val="8"/>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14:paraId="2E4AB440">
      <w:pPr>
        <w:pStyle w:val="8"/>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14:paraId="70AF67E3">
      <w:pPr>
        <w:pStyle w:val="8"/>
        <w:shd w:val="clear" w:color="auto" w:fill="auto"/>
        <w:snapToGrid w:val="0"/>
        <w:spacing w:line="360" w:lineRule="auto"/>
        <w:outlineLvl w:val="9"/>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14:paraId="434D1036">
      <w:pPr>
        <w:pStyle w:val="8"/>
        <w:shd w:val="clear" w:color="auto" w:fill="auto"/>
        <w:snapToGrid w:val="0"/>
        <w:spacing w:line="360" w:lineRule="auto"/>
        <w:ind w:firstLine="600" w:firstLineChars="250"/>
        <w:outlineLvl w:val="9"/>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4"/>
          <w:szCs w:val="24"/>
          <w:highlight w:val="none"/>
          <w:u w:val="single"/>
          <w:lang w:val="en-US" w:bidi="zh-CN"/>
        </w:rPr>
        <w:t>820740061</w:t>
      </w:r>
      <w:r>
        <w:rPr>
          <w:rFonts w:hint="eastAsia" w:ascii="仿宋" w:hAnsi="仿宋" w:eastAsia="仿宋" w:cs="仿宋"/>
          <w:color w:val="auto"/>
          <w:sz w:val="24"/>
          <w:szCs w:val="24"/>
          <w:highlight w:val="none"/>
          <w:u w:val="single"/>
          <w:lang w:bidi="zh-CN"/>
        </w:rPr>
        <w:fldChar w:fldCharType="begin"/>
      </w:r>
      <w:r>
        <w:rPr>
          <w:rFonts w:hint="eastAsia" w:ascii="仿宋" w:hAnsi="仿宋" w:eastAsia="仿宋" w:cs="仿宋"/>
          <w:color w:val="auto"/>
          <w:sz w:val="24"/>
          <w:szCs w:val="24"/>
          <w:highlight w:val="none"/>
          <w:u w:val="single"/>
          <w:lang w:bidi="zh-CN"/>
        </w:rPr>
        <w:instrText xml:space="preserve"> HYPERLINK "mailto:1207446769@qq.com，接收人：陈加轲，电话：15157655122" </w:instrText>
      </w:r>
      <w:r>
        <w:rPr>
          <w:rFonts w:hint="eastAsia" w:ascii="仿宋" w:hAnsi="仿宋" w:eastAsia="仿宋" w:cs="仿宋"/>
          <w:color w:val="auto"/>
          <w:sz w:val="24"/>
          <w:szCs w:val="24"/>
          <w:highlight w:val="none"/>
          <w:u w:val="single"/>
          <w:lang w:bidi="zh-CN"/>
        </w:rPr>
        <w:fldChar w:fldCharType="separate"/>
      </w:r>
      <w:r>
        <w:rPr>
          <w:rFonts w:hint="eastAsia" w:ascii="仿宋" w:hAnsi="仿宋" w:eastAsia="仿宋" w:cs="仿宋"/>
          <w:color w:val="auto"/>
          <w:sz w:val="24"/>
          <w:szCs w:val="24"/>
          <w:highlight w:val="none"/>
          <w:u w:val="single"/>
          <w:lang w:val="en-US" w:bidi="zh-CN"/>
        </w:rPr>
        <w:t>@qq</w:t>
      </w:r>
      <w:r>
        <w:rPr>
          <w:rFonts w:hint="eastAsia" w:ascii="仿宋" w:hAnsi="仿宋" w:eastAsia="仿宋" w:cs="仿宋"/>
          <w:color w:val="auto"/>
          <w:sz w:val="24"/>
          <w:szCs w:val="24"/>
          <w:highlight w:val="none"/>
          <w:u w:val="single"/>
          <w:lang w:bidi="zh-CN"/>
        </w:rPr>
        <w:t>.com</w:t>
      </w:r>
      <w:r>
        <w:rPr>
          <w:rStyle w:val="31"/>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bidi="zh-CN"/>
        </w:rPr>
        <w:t>王</w:t>
      </w:r>
      <w:r>
        <w:rPr>
          <w:rFonts w:hint="eastAsia" w:ascii="仿宋" w:hAnsi="仿宋" w:eastAsia="仿宋" w:cs="仿宋"/>
          <w:color w:val="auto"/>
          <w:sz w:val="24"/>
          <w:szCs w:val="24"/>
          <w:highlight w:val="none"/>
          <w:u w:val="single"/>
          <w:lang w:val="en-US" w:bidi="zh-CN"/>
        </w:rPr>
        <w:t>先生</w:t>
      </w:r>
      <w:r>
        <w:rPr>
          <w:rStyle w:val="31"/>
          <w:rFonts w:hint="eastAsia" w:ascii="仿宋" w:hAnsi="仿宋" w:eastAsia="仿宋" w:cs="仿宋"/>
          <w:color w:val="auto"/>
          <w:sz w:val="24"/>
          <w:szCs w:val="24"/>
          <w:highlight w:val="none"/>
          <w:u w:val="single"/>
          <w:lang w:bidi="zh-CN"/>
        </w:rPr>
        <w:t>，电话：</w:t>
      </w:r>
      <w:r>
        <w:rPr>
          <w:rFonts w:hint="eastAsia" w:ascii="仿宋" w:hAnsi="仿宋" w:eastAsia="仿宋" w:cs="仿宋"/>
          <w:color w:val="auto"/>
          <w:sz w:val="24"/>
          <w:szCs w:val="24"/>
          <w:highlight w:val="none"/>
          <w:u w:val="single"/>
          <w:lang w:val="en-US" w:bidi="zh-CN"/>
        </w:rPr>
        <w:t>1</w:t>
      </w:r>
      <w:r>
        <w:rPr>
          <w:rFonts w:hint="eastAsia" w:ascii="仿宋" w:hAnsi="仿宋" w:eastAsia="仿宋" w:cs="仿宋"/>
          <w:color w:val="auto"/>
          <w:sz w:val="24"/>
          <w:szCs w:val="24"/>
          <w:highlight w:val="none"/>
          <w:u w:val="single"/>
          <w:lang w:bidi="zh-CN"/>
        </w:rPr>
        <w:fldChar w:fldCharType="end"/>
      </w:r>
      <w:r>
        <w:rPr>
          <w:rFonts w:hint="eastAsia" w:ascii="仿宋" w:hAnsi="仿宋" w:eastAsia="仿宋" w:cs="仿宋"/>
          <w:color w:val="auto"/>
          <w:sz w:val="24"/>
          <w:szCs w:val="24"/>
          <w:highlight w:val="none"/>
          <w:u w:val="single"/>
          <w:lang w:val="en-US" w:bidi="zh-CN"/>
        </w:rPr>
        <w:t>8104746080</w:t>
      </w:r>
      <w:r>
        <w:rPr>
          <w:rFonts w:hint="eastAsia" w:ascii="仿宋" w:hAnsi="仿宋" w:eastAsia="仿宋" w:cs="仿宋"/>
          <w:color w:val="auto"/>
          <w:sz w:val="24"/>
          <w:szCs w:val="24"/>
          <w:highlight w:val="none"/>
          <w:lang w:bidi="zh-CN"/>
        </w:rPr>
        <w:t>）；</w:t>
      </w:r>
    </w:p>
    <w:p w14:paraId="78C08EB5">
      <w:pPr>
        <w:pStyle w:val="8"/>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E5DCA0C">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14:paraId="4B3C475E">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04D85BC4">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14:paraId="32B15373">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5DD17858">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14:paraId="656DC9C8">
      <w:pPr>
        <w:shd w:val="clear" w:color="auto" w:fill="auto"/>
        <w:tabs>
          <w:tab w:val="left" w:pos="960"/>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495E270C">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4"/>
          <w:szCs w:val="24"/>
          <w:highlight w:val="none"/>
        </w:rPr>
      </w:pPr>
      <w:bookmarkStart w:id="30" w:name="_Toc469495728"/>
    </w:p>
    <w:p w14:paraId="396A4A53">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（五）开 标、评标和定标</w:t>
      </w:r>
      <w:bookmarkEnd w:id="30"/>
    </w:p>
    <w:p w14:paraId="1DFCB271">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14:paraId="306B25AA">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bookmarkStart w:id="31" w:name="_Toc73975822"/>
      <w:r>
        <w:rPr>
          <w:rFonts w:hint="eastAsia" w:ascii="仿宋" w:hAnsi="仿宋" w:eastAsia="仿宋" w:cs="仿宋"/>
          <w:b/>
          <w:bCs/>
          <w:color w:val="auto"/>
          <w:sz w:val="24"/>
          <w:szCs w:val="24"/>
          <w:highlight w:val="none"/>
          <w:lang w:val="en-US" w:eastAsia="zh-CN"/>
        </w:rPr>
        <w:t>29.1开标邀请</w:t>
      </w:r>
      <w:bookmarkEnd w:id="31"/>
    </w:p>
    <w:p w14:paraId="6D8783AC">
      <w:pPr>
        <w:pStyle w:val="16"/>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11229B12">
      <w:pPr>
        <w:pStyle w:val="16"/>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5B23E0E7">
      <w:pPr>
        <w:pStyle w:val="16"/>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1"/>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14:paraId="6DC0B659">
      <w:pPr>
        <w:pStyle w:val="16"/>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0DA3EEE">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bookmarkStart w:id="32" w:name="_Toc73975823"/>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32"/>
    </w:p>
    <w:p w14:paraId="37A21BE3">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67A2EAC7">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68B44952">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3DC59753">
      <w:pPr>
        <w:shd w:val="clear" w:color="auto" w:fill="auto"/>
        <w:snapToGrid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w:t>
      </w:r>
    </w:p>
    <w:p w14:paraId="34D5F087">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14:paraId="0D5E9C61">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14:paraId="3CC01498">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并【开启签字时段】，供应商对开标纪录进行在线签字确认（不予确认的应说明理由，否则视为无异议）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14:paraId="2A699444">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F0222EC">
      <w:pPr>
        <w:shd w:val="clear" w:color="auto" w:fill="auto"/>
        <w:snapToGrid w:val="0"/>
        <w:spacing w:line="360" w:lineRule="auto"/>
        <w:ind w:left="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306B23A2">
      <w:pPr>
        <w:shd w:val="clear" w:color="auto" w:fill="auto"/>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35D81DF9">
      <w:pPr>
        <w:shd w:val="clear" w:color="auto" w:fill="auto"/>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6E6F7CF2">
      <w:pPr>
        <w:shd w:val="clear" w:color="auto" w:fill="auto"/>
        <w:snapToGrid w:val="0"/>
        <w:spacing w:line="360" w:lineRule="auto"/>
        <w:ind w:firstLine="482" w:firstLineChars="20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14:paraId="6F41671C">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14:paraId="67A0068A">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50388E4">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14:paraId="175312D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评审工作的组织</w:t>
      </w:r>
    </w:p>
    <w:p w14:paraId="5CF3A44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采购人或采购代理机构负责组织本项目的评审工作，并依据《政府采购货物和服务招标投标管理办法（财政部第87号令）》第四十五条的相关规定履行职责。</w:t>
      </w:r>
    </w:p>
    <w:p w14:paraId="4881A9D4">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 评标委员会的组建</w:t>
      </w:r>
    </w:p>
    <w:p w14:paraId="35725715">
      <w:pPr>
        <w:widowControl/>
        <w:shd w:val="clear" w:color="auto" w:fill="auto"/>
        <w:spacing w:line="440" w:lineRule="exact"/>
        <w:ind w:firstLine="241" w:firstLineChars="1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31</w:t>
      </w:r>
      <w:r>
        <w:rPr>
          <w:rFonts w:hint="eastAsia" w:ascii="仿宋" w:hAnsi="仿宋" w:eastAsia="仿宋" w:cs="仿宋"/>
          <w:b/>
          <w:bCs/>
          <w:color w:val="auto"/>
          <w:sz w:val="24"/>
          <w:szCs w:val="24"/>
          <w:highlight w:val="none"/>
        </w:rPr>
        <w:t>.1评标委员会由采购人或采购代理机构依法组建，成员由采购人代表1人和评审专家4人，成员人数为5人，其中评审专家不少于成员总数的三分之二。</w:t>
      </w:r>
    </w:p>
    <w:p w14:paraId="462AE2B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.2评审专家从</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政府采购云平台专家库中通过随机方式抽取产生。评标委员会成员名单在采购结果公告前保密。</w:t>
      </w:r>
    </w:p>
    <w:p w14:paraId="5874AB99">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.评标委员会的职责</w:t>
      </w:r>
    </w:p>
    <w:p w14:paraId="291CA39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.1审查、评价投标文件是否符合采购文件的商务、技术等实质性要求。</w:t>
      </w:r>
    </w:p>
    <w:p w14:paraId="11D0CED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.2要求供应商对投标文件有关事项作出澄清或者说明。</w:t>
      </w:r>
    </w:p>
    <w:p w14:paraId="7246046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.3对投标文件进行比较和评价。</w:t>
      </w:r>
    </w:p>
    <w:p w14:paraId="0A8E855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.4确定中标候选人名单，以及根据采购人委托直接确定中标人。</w:t>
      </w:r>
    </w:p>
    <w:p w14:paraId="331ABDD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.5向采购人、采购代理机构或者有关部门报告评审中发现的违法行为。</w:t>
      </w:r>
    </w:p>
    <w:p w14:paraId="20039A3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评标原则</w:t>
      </w:r>
    </w:p>
    <w:p w14:paraId="641377B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.1评标委员会将遵循公平、公正、科学的原则，对供应商提交的投标文件进行综合评审，评标委员会按照采购文件规定的评标细则进行评分。</w:t>
      </w:r>
    </w:p>
    <w:p w14:paraId="11778330">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xml:space="preserve">.2客观公正对待所有供应商，对所有投标评价均采用相同的程序和标准。 </w:t>
      </w:r>
    </w:p>
    <w:p w14:paraId="6D70184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41B81395">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124FC7C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4CB2420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 评委纪律</w:t>
      </w:r>
    </w:p>
    <w:p w14:paraId="216E12B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002CC0B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评标程序</w:t>
      </w:r>
    </w:p>
    <w:p w14:paraId="37D6C46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 在评审专家中推选评标委员会组长，采购人代表不得担任评标委员会组长。</w:t>
      </w:r>
    </w:p>
    <w:p w14:paraId="3E304D9A">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245C49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3 评审人员对符合资格的供应商的投标文件的有效性、符合性、完整性和响应程度进行审查，确定是否对采购文件作出实质性响应。</w:t>
      </w:r>
    </w:p>
    <w:p w14:paraId="26F7B8B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4 评审人员按采购文件规定的评审方法和评审标准，依法独立对供应商投标文件进行评估、比较，并给予评价或打分，不受任何单位和个人的干预。</w:t>
      </w:r>
    </w:p>
    <w:p w14:paraId="276D4B61">
      <w:pPr>
        <w:widowControl/>
        <w:shd w:val="clear" w:color="auto" w:fill="auto"/>
        <w:spacing w:line="4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w:t>
      </w:r>
      <w:r>
        <w:rPr>
          <w:rFonts w:hint="eastAsia" w:ascii="仿宋" w:hAnsi="仿宋" w:eastAsia="仿宋" w:cs="仿宋"/>
          <w:color w:val="auto"/>
          <w:kern w:val="0"/>
          <w:sz w:val="24"/>
          <w:szCs w:val="24"/>
          <w:highlight w:val="none"/>
          <w:lang w:eastAsia="zh-CN"/>
        </w:rPr>
        <w:t>货物</w:t>
      </w:r>
      <w:r>
        <w:rPr>
          <w:rFonts w:hint="eastAsia" w:ascii="仿宋" w:hAnsi="仿宋" w:eastAsia="仿宋" w:cs="仿宋"/>
          <w:color w:val="auto"/>
          <w:kern w:val="0"/>
          <w:sz w:val="24"/>
          <w:szCs w:val="24"/>
          <w:highlight w:val="none"/>
        </w:rPr>
        <w:t>项目的价格分值占总分值的比重(即权值</w:t>
      </w:r>
      <w:r>
        <w:rPr>
          <w:rFonts w:hint="eastAsia" w:ascii="仿宋" w:hAnsi="仿宋" w:eastAsia="仿宋" w:cs="仿宋"/>
          <w:color w:val="FF0000"/>
          <w:kern w:val="0"/>
          <w:sz w:val="24"/>
          <w:szCs w:val="24"/>
          <w:highlight w:val="none"/>
        </w:rPr>
        <w:t>)为</w:t>
      </w:r>
      <w:r>
        <w:rPr>
          <w:rFonts w:hint="eastAsia" w:ascii="仿宋" w:hAnsi="仿宋" w:eastAsia="仿宋" w:cs="仿宋"/>
          <w:color w:val="FF0000"/>
          <w:kern w:val="0"/>
          <w:sz w:val="24"/>
          <w:szCs w:val="24"/>
          <w:highlight w:val="none"/>
          <w:lang w:val="en-US" w:eastAsia="zh-CN"/>
        </w:rPr>
        <w:t>30</w:t>
      </w:r>
      <w:r>
        <w:rPr>
          <w:rFonts w:hint="eastAsia" w:ascii="仿宋" w:hAnsi="仿宋" w:eastAsia="仿宋" w:cs="仿宋"/>
          <w:color w:val="FF0000"/>
          <w:kern w:val="0"/>
          <w:sz w:val="24"/>
          <w:szCs w:val="24"/>
          <w:highlight w:val="none"/>
        </w:rPr>
        <w:t>％，</w:t>
      </w:r>
      <w:r>
        <w:rPr>
          <w:rFonts w:hint="eastAsia" w:ascii="仿宋" w:hAnsi="仿宋" w:eastAsia="仿宋" w:cs="仿宋"/>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14:paraId="23AC5BFC">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综合评分法中的价格分统一采用低价优先法计算，即满足</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文件要求且最后报价最低的供应商的价格为</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基准价，其价格分为满分。其他供应商的价格分统一按照下列公式计算：</w:t>
      </w:r>
    </w:p>
    <w:p w14:paraId="116C776C">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报价得分=（基准价/</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报价）×价格权值×100</w:t>
      </w:r>
    </w:p>
    <w:p w14:paraId="1A6CC58E">
      <w:pPr>
        <w:widowControl/>
        <w:shd w:val="clear" w:color="auto" w:fill="auto"/>
        <w:spacing w:line="440" w:lineRule="exact"/>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项目评审过程中，不得去掉最后报价中的最高报价和最低报价。</w:t>
      </w:r>
    </w:p>
    <w:p w14:paraId="62E9AB3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29F80C8">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%以上的）情形的，应由相关人员当场改正或作出书面说明；拒不改正又不作书面说明的，由现场监督员如实记载后存入项目档案资料。</w:t>
      </w:r>
    </w:p>
    <w:p w14:paraId="7E8097E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7 评标委员会根据评审汇总情况和采购文件规定确定中标候选供应商排序名单。</w:t>
      </w:r>
    </w:p>
    <w:p w14:paraId="1A90DD6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 xml:space="preserve">8 起草评审报告，所有评审人员须在评审报告上签字确认，对自己的评审意见承担法律责任。 </w:t>
      </w:r>
    </w:p>
    <w:p w14:paraId="2DAD6F4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9 采购组织机构对评标委员会评审专家进行评价。</w:t>
      </w:r>
    </w:p>
    <w:p w14:paraId="1D8B01F5">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10 修改评审结果</w:t>
      </w:r>
    </w:p>
    <w:p w14:paraId="24A5AA5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评标结果汇总完成后，除下列情形外，任何人不得修改评标结果：</w:t>
      </w:r>
    </w:p>
    <w:p w14:paraId="7EB4E87A">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451F620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1F80F30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2F7F9A2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7CEF05D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FAF12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36．澄清、说明或补正的形式</w:t>
      </w:r>
    </w:p>
    <w:p w14:paraId="0E989D7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4"/>
          <w:szCs w:val="24"/>
          <w:highlight w:val="none"/>
          <w:lang w:val="en-US" w:eastAsia="zh-CN"/>
        </w:rPr>
        <w:t>投标供应商澄清、说明或补正时间为20分钟</w:t>
      </w:r>
      <w:r>
        <w:rPr>
          <w:rFonts w:hint="eastAsia" w:ascii="仿宋" w:hAnsi="仿宋" w:eastAsia="仿宋" w:cs="仿宋"/>
          <w:b w:val="0"/>
          <w:bCs w:val="0"/>
          <w:color w:val="auto"/>
          <w:sz w:val="24"/>
          <w:szCs w:val="24"/>
          <w:highlight w:val="none"/>
          <w:lang w:val="en-US" w:eastAsia="zh-CN"/>
        </w:rPr>
        <w:t>。</w:t>
      </w:r>
    </w:p>
    <w:p w14:paraId="449B137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7A6DF1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0D07F6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37．错误修正的原则</w:t>
      </w:r>
    </w:p>
    <w:p w14:paraId="5741FB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7E6F511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68BEB6F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37.1 投标函中表述的内容与报价表中不一致的，以报价表为准；报价表中的内容与报价明细表不一致的，以报价表为准；</w:t>
      </w:r>
    </w:p>
    <w:p w14:paraId="78E3302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 投标文件中的大写金额和小写金额不一致的，以大写金额为准；</w:t>
      </w:r>
    </w:p>
    <w:p w14:paraId="56F77EC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37.3 单价金额小数点或者百分比有明显错位的，以开标一览表的总价为准，并修改单价；</w:t>
      </w:r>
    </w:p>
    <w:p w14:paraId="67FE4C4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37.4 总价金额与按单价汇总金额不一致的，以单价金额计算结果为准；</w:t>
      </w:r>
    </w:p>
    <w:p w14:paraId="656E09D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37.5 若用文字表示的数值与用数字表示的数值不一致，以文字表示的数值为准；</w:t>
      </w:r>
    </w:p>
    <w:p w14:paraId="002B654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37.6 如有多报（指数量超出采购文件需求）、重报（指同一服务重复报价），其投标总价在评标过程中不予调整，如其中标，其合同价按其投标单价予以调整；</w:t>
      </w:r>
    </w:p>
    <w:p w14:paraId="39C491E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37.7 对不同文字文本投标文件的解释发生异议的，以中文文本为准；</w:t>
      </w:r>
    </w:p>
    <w:p w14:paraId="04AF6538">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 w:val="24"/>
          <w:szCs w:val="24"/>
          <w:highlight w:val="none"/>
          <w:lang w:val="en-US" w:eastAsia="zh-CN"/>
        </w:rPr>
        <w:t>修正应当采用电子询标的形式，并加盖公章（电子印章）。</w:t>
      </w:r>
    </w:p>
    <w:p w14:paraId="3F3944F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38．无效投标文件</w:t>
      </w:r>
    </w:p>
    <w:p w14:paraId="3FCD448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7154F3D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 报名的投标人与参加投标的投标人发生实质性变更的且未提供有效证明的；</w:t>
      </w:r>
    </w:p>
    <w:p w14:paraId="1E64022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38.2投标人提交两份或两份以上内容不同的投标文件，未声明哪一份有效的；</w:t>
      </w:r>
    </w:p>
    <w:p w14:paraId="67F8C29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38.3 投标文件非投标人法定代表人签署的，未提供或提供无效的法定代表人授权书；</w:t>
      </w:r>
    </w:p>
    <w:p w14:paraId="66B0F52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38.4 未按招标文件规定装订；</w:t>
      </w:r>
    </w:p>
    <w:p w14:paraId="2317C74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38.5 投标文件内容未按招标文件规定签字或盖章的；</w:t>
      </w:r>
    </w:p>
    <w:p w14:paraId="5D729C9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38.6 投标文件组成漏项或未按规定的格式编制或投标文件正、副本份数不足或内容不全或内容字迹模糊辨认不清的等而导致评标活动无法正常进行；</w:t>
      </w:r>
    </w:p>
    <w:p w14:paraId="578E8C6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38.7 投标人未按招标文件变更通知更改投标文件的；</w:t>
      </w:r>
    </w:p>
    <w:p w14:paraId="7C1B93E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38.8 《开标一览表》和《投标分项报价表》内容不完整且不接受修正意见或字迹不能辨认的或未提供；</w:t>
      </w:r>
    </w:p>
    <w:p w14:paraId="49A90E7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38.9 标项投标报价超过招标文件规定的预算金额或最高限价</w:t>
      </w:r>
    </w:p>
    <w:p w14:paraId="5978D87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38.10 因投标人原因编制错误造成经评标委员会修正后的报价达到或超过投标报价的0.5%；</w:t>
      </w:r>
    </w:p>
    <w:p w14:paraId="0D2E1E1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13EEBB5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38.12 未实质性响应招标文件中条款要求的投标文件；</w:t>
      </w:r>
    </w:p>
    <w:p w14:paraId="59C55BD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38.13 不符合招标范围、技术规格、技术标准的要求无法满足采购人使用要求；</w:t>
      </w:r>
    </w:p>
    <w:p w14:paraId="1F224B5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38.14 投标文件附有采购人不能接受的条款；</w:t>
      </w:r>
    </w:p>
    <w:p w14:paraId="173E04E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38.15 投标文件中提供了赠品或者与本项目采购无关的其他商品、服务；</w:t>
      </w:r>
    </w:p>
    <w:p w14:paraId="7B52D41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38.16 投标文件中承诺的投标有效期少于招标文件中载明的投标有效期；</w:t>
      </w:r>
    </w:p>
    <w:p w14:paraId="72C3D5C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38.17投标人串通投标，妨碍其他投标人的竞争行为，损害采购人或者其他投标人的合法权益；</w:t>
      </w:r>
    </w:p>
    <w:p w14:paraId="068165C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38.18违反国家及政府部门相关法律、法规、文件规定或经评标委员会认定的其他属于重大偏离；</w:t>
      </w:r>
    </w:p>
    <w:p w14:paraId="19F1C6B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39．废标</w:t>
      </w:r>
    </w:p>
    <w:p w14:paraId="2183A3F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39.1 符合招标文件规定废标情形的；</w:t>
      </w:r>
    </w:p>
    <w:p w14:paraId="6C089C6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39.2 出现影响采购公正的违法、违规行为的；</w:t>
      </w:r>
    </w:p>
    <w:p w14:paraId="2A19C0A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39.3 供应商的报价均超过了采购预算（或最高限价），采购人不能支付的;</w:t>
      </w:r>
    </w:p>
    <w:p w14:paraId="210323E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39.4 因重大变故，采购任务取消的。</w:t>
      </w:r>
    </w:p>
    <w:p w14:paraId="6F226CA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40．突发情况处理</w:t>
      </w:r>
    </w:p>
    <w:p w14:paraId="27321B9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40.1 采购过程中出现以下情形，导致电子交易平台无法正常运行，或者无法保证电子交易的公平、公正和安全时，采购组织机构可中止电子交易活动：</w:t>
      </w:r>
    </w:p>
    <w:p w14:paraId="31B905F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（1）电子交易平台发生故障而无法登录访问的； </w:t>
      </w:r>
    </w:p>
    <w:p w14:paraId="7B7067D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（2）电子交易平台应用或数据库出现错误，不能进行正常操作的；</w:t>
      </w:r>
    </w:p>
    <w:p w14:paraId="2B92CC0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（3）电子交易平台发现严重安全漏洞，有潜在泄密危险的；</w:t>
      </w:r>
    </w:p>
    <w:p w14:paraId="0FF8208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（4）病毒发作导致不能进行正常操作的； </w:t>
      </w:r>
    </w:p>
    <w:p w14:paraId="4A181CC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（5）其他无法保证电子交易的公平、公正和安全的情况。</w:t>
      </w:r>
    </w:p>
    <w:p w14:paraId="08F7891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4D10C8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40.2 采购代理机构或评审小组因不可抗力（不可抗力包括但不限于自然灾害、断电、传播疫病等）原因造成电子交易活动无法正常运行的，将采取以下措施：</w:t>
      </w:r>
    </w:p>
    <w:p w14:paraId="088A145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588F467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513BF592">
      <w:pPr>
        <w:shd w:val="clear" w:color="auto" w:fill="auto"/>
        <w:snapToGrid w:val="0"/>
        <w:spacing w:line="360" w:lineRule="exact"/>
        <w:ind w:firstLine="42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b/>
          <w:color w:val="auto"/>
          <w:sz w:val="24"/>
          <w:szCs w:val="24"/>
          <w:highlight w:val="none"/>
        </w:rPr>
        <w:t>. 定标</w:t>
      </w:r>
    </w:p>
    <w:p w14:paraId="75BA3A4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bookmarkStart w:id="33" w:name="_Toc469495729"/>
      <w:r>
        <w:rPr>
          <w:rFonts w:hint="eastAsia" w:ascii="仿宋" w:hAnsi="仿宋" w:eastAsia="仿宋" w:cs="仿宋"/>
          <w:b w:val="0"/>
          <w:bCs w:val="0"/>
          <w:color w:val="auto"/>
          <w:sz w:val="24"/>
          <w:szCs w:val="24"/>
          <w:highlight w:val="none"/>
          <w:lang w:val="en-US" w:eastAsia="zh-CN"/>
        </w:rPr>
        <w:t>41.1采购结果确认（确定中标供应商）</w:t>
      </w:r>
    </w:p>
    <w:p w14:paraId="2B5951A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采购结果确认（确定中标供应商）：本项目由采购人根据评标委员会提交的《评审报告》，通过“政府采购云平台”依法确认采购结果、确定中标供应商。具体流程如下：</w:t>
      </w:r>
    </w:p>
    <w:p w14:paraId="31CEA35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（1）采购代理机构将在评审结束后2个工作日内将评审报告送采购人。</w:t>
      </w:r>
    </w:p>
    <w:p w14:paraId="6525E40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0D679795">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41.2采购结果经采购人确认后2个工作日内，采购代理机构将在</w:t>
      </w:r>
      <w:r>
        <w:rPr>
          <w:rFonts w:hint="eastAsia" w:ascii="仿宋" w:hAnsi="仿宋" w:eastAsia="仿宋" w:cs="仿宋"/>
          <w:b/>
          <w:bCs/>
          <w:color w:val="auto"/>
          <w:sz w:val="24"/>
          <w:szCs w:val="24"/>
          <w:highlight w:val="none"/>
          <w:lang w:val="en-US" w:eastAsia="zh-CN"/>
        </w:rPr>
        <w:t>克州公共资源交易中心网、新疆政府采购网（www.zjzfcg.gov.cn）上公告采购结果，中标公告期限为1个工作日。</w:t>
      </w:r>
    </w:p>
    <w:p w14:paraId="38FE7CB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 中标通知书</w:t>
      </w:r>
    </w:p>
    <w:p w14:paraId="63A15CC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val="en-US" w:eastAsia="zh-CN"/>
        </w:rPr>
        <w:t>克州公共资源交易中心网、</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采购组织机构向中标人发出中标通知书。</w:t>
      </w:r>
    </w:p>
    <w:p w14:paraId="61D170B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BF78E92">
      <w:pPr>
        <w:shd w:val="clear" w:color="auto" w:fill="auto"/>
        <w:spacing w:before="156" w:beforeLines="50"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（六）合同的授予</w:t>
      </w:r>
      <w:bookmarkEnd w:id="33"/>
    </w:p>
    <w:p w14:paraId="7B188E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34" w:name="_Toc73975842"/>
      <w:bookmarkStart w:id="35" w:name="_Toc469495730"/>
      <w:r>
        <w:rPr>
          <w:rFonts w:hint="eastAsia" w:ascii="仿宋" w:hAnsi="仿宋" w:eastAsia="仿宋" w:cs="仿宋"/>
          <w:b w:val="0"/>
          <w:bCs w:val="0"/>
          <w:color w:val="auto"/>
          <w:sz w:val="24"/>
          <w:szCs w:val="24"/>
          <w:highlight w:val="none"/>
          <w:lang w:val="en-US" w:eastAsia="zh-CN"/>
        </w:rPr>
        <w:t>43．履约保证金</w:t>
      </w:r>
      <w:bookmarkEnd w:id="34"/>
    </w:p>
    <w:p w14:paraId="6A65A71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43.1 中标供应商在签订合同后5个工作日内向采购人交纳不超过合同总价的10%（鼓励以银行、保险公司出具的履约保函形式提交；若以电汇、银行转账方式提交的，必须转到采购人的指定账户）。</w:t>
      </w:r>
    </w:p>
    <w:p w14:paraId="2B81385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43.2 签订合同后，如中标供应商不按合同约定履约的，履约保证金不予退还，履约保证金不足以赔偿损失的，按实际损失赔偿。</w:t>
      </w:r>
    </w:p>
    <w:p w14:paraId="69BD9CA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43.3 如果中标供应商在建设期内没有涉及采购人的应付而未付金额或违约行为，采购人在项目验收合格后或提前终止合同后全额无息退还履约保证金。</w:t>
      </w:r>
    </w:p>
    <w:p w14:paraId="5274906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36" w:name="_Toc73975843"/>
      <w:r>
        <w:rPr>
          <w:rFonts w:hint="eastAsia" w:ascii="仿宋" w:hAnsi="仿宋" w:eastAsia="仿宋" w:cs="仿宋"/>
          <w:b w:val="0"/>
          <w:bCs w:val="0"/>
          <w:color w:val="auto"/>
          <w:sz w:val="24"/>
          <w:szCs w:val="24"/>
          <w:highlight w:val="none"/>
          <w:lang w:val="en-US" w:eastAsia="zh-CN"/>
        </w:rPr>
        <w:t>44．签订合同及公告</w:t>
      </w:r>
      <w:bookmarkEnd w:id="36"/>
    </w:p>
    <w:p w14:paraId="34BB171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44.1采购人在中标通知书发出之日起30日内与中标供应商签订合同。</w:t>
      </w:r>
    </w:p>
    <w:p w14:paraId="34C40E4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44.2中标供应商拖延、拒签合同的,取消中标资格。</w:t>
      </w:r>
    </w:p>
    <w:p w14:paraId="118FB29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2DBEF48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44.4采购人应当自政府采购合同签订之日起2个工作日内，在省级以上财政部门指定的政府采购信息发布媒体及相关网站上公告。</w:t>
      </w:r>
    </w:p>
    <w:p w14:paraId="6B500F7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44.5采购人应当自政府采购合同签订之日起7个工作日内，将政府采购合同副本报同级人民政府财政部门备案以及采购代理机构存档。</w:t>
      </w:r>
    </w:p>
    <w:p w14:paraId="16FB820A">
      <w:pPr>
        <w:shd w:val="clear" w:color="auto" w:fill="auto"/>
        <w:adjustRightInd w:val="0"/>
        <w:snapToGrid w:val="0"/>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（七）纪律和监督</w:t>
      </w:r>
      <w:bookmarkEnd w:id="35"/>
    </w:p>
    <w:p w14:paraId="2E469ACD">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45</w:t>
      </w:r>
      <w:r>
        <w:rPr>
          <w:rFonts w:hint="eastAsia" w:ascii="仿宋" w:hAnsi="仿宋" w:eastAsia="仿宋" w:cs="仿宋"/>
          <w:b/>
          <w:color w:val="auto"/>
          <w:sz w:val="24"/>
          <w:szCs w:val="24"/>
          <w:highlight w:val="none"/>
        </w:rPr>
        <w:t xml:space="preserve">. 对招标人的纪律要求 </w:t>
      </w:r>
    </w:p>
    <w:p w14:paraId="07CB5C51">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45</w:t>
      </w:r>
      <w:r>
        <w:rPr>
          <w:rFonts w:hint="eastAsia" w:ascii="仿宋" w:hAnsi="仿宋" w:eastAsia="仿宋" w:cs="仿宋"/>
          <w:color w:val="auto"/>
          <w:kern w:val="10"/>
          <w:sz w:val="24"/>
          <w:szCs w:val="24"/>
          <w:highlight w:val="none"/>
        </w:rPr>
        <w:t xml:space="preserve">.1招标人不得泄漏招标投标活动中应当保密的情况和资料，不得与投标人串通损害国家利益，社会公共利益或者他人合法权益。 </w:t>
      </w:r>
    </w:p>
    <w:p w14:paraId="5FA3A4C3">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46</w:t>
      </w:r>
      <w:r>
        <w:rPr>
          <w:rFonts w:hint="eastAsia" w:ascii="仿宋" w:hAnsi="仿宋" w:eastAsia="仿宋" w:cs="仿宋"/>
          <w:b/>
          <w:color w:val="auto"/>
          <w:sz w:val="24"/>
          <w:szCs w:val="24"/>
          <w:highlight w:val="none"/>
        </w:rPr>
        <w:t xml:space="preserve">. 对投标人的纪律要求 </w:t>
      </w:r>
    </w:p>
    <w:p w14:paraId="72ABF511">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46</w:t>
      </w:r>
      <w:r>
        <w:rPr>
          <w:rFonts w:hint="eastAsia" w:ascii="仿宋" w:hAnsi="仿宋" w:eastAsia="仿宋" w:cs="仿宋"/>
          <w:color w:val="auto"/>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525036FA">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47</w:t>
      </w:r>
      <w:r>
        <w:rPr>
          <w:rFonts w:hint="eastAsia" w:ascii="仿宋" w:hAnsi="仿宋" w:eastAsia="仿宋" w:cs="仿宋"/>
          <w:b/>
          <w:color w:val="auto"/>
          <w:sz w:val="24"/>
          <w:szCs w:val="24"/>
          <w:highlight w:val="none"/>
        </w:rPr>
        <w:t xml:space="preserve">. 对评标委员会成员的纪律要求 </w:t>
      </w:r>
    </w:p>
    <w:p w14:paraId="2D394C9E">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.1评标委员会成员不得收受他人的财物或者其他好处，不得向他人透漏对投标文件的评审和比较、中标候选人的推荐情况以及评标有关的其他情况。</w:t>
      </w:r>
    </w:p>
    <w:p w14:paraId="2A332BCE">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 xml:space="preserve">.2在评标活动中，评标委员会成员不得擅离职守，影响评标程序正常进行，不得使用第三章“评标办法”没有规定的评审因素和标准进行评标。 </w:t>
      </w:r>
    </w:p>
    <w:p w14:paraId="3EE0CA4D">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48</w:t>
      </w:r>
      <w:r>
        <w:rPr>
          <w:rFonts w:hint="eastAsia" w:ascii="仿宋" w:hAnsi="仿宋" w:eastAsia="仿宋" w:cs="仿宋"/>
          <w:b/>
          <w:color w:val="auto"/>
          <w:sz w:val="24"/>
          <w:szCs w:val="24"/>
          <w:highlight w:val="none"/>
        </w:rPr>
        <w:t xml:space="preserve">. 对与评标活动有关的工作人员的纪律要求 </w:t>
      </w:r>
    </w:p>
    <w:p w14:paraId="0DF4AF3F">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4</w:t>
      </w:r>
      <w:r>
        <w:rPr>
          <w:rFonts w:hint="eastAsia" w:ascii="仿宋" w:hAnsi="仿宋" w:eastAsia="仿宋" w:cs="仿宋"/>
          <w:color w:val="auto"/>
          <w:kern w:val="10"/>
          <w:sz w:val="24"/>
          <w:szCs w:val="24"/>
          <w:highlight w:val="none"/>
          <w:lang w:val="en-US" w:eastAsia="zh-CN"/>
        </w:rPr>
        <w:t>8</w:t>
      </w:r>
      <w:r>
        <w:rPr>
          <w:rFonts w:hint="eastAsia" w:ascii="仿宋" w:hAnsi="仿宋" w:eastAsia="仿宋" w:cs="仿宋"/>
          <w:color w:val="auto"/>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C38F242">
      <w:pPr>
        <w:shd w:val="clear" w:color="auto" w:fill="auto"/>
        <w:spacing w:before="156" w:beforeLines="50" w:after="156" w:afterLines="50" w:line="500" w:lineRule="exact"/>
        <w:ind w:firstLine="720" w:firstLineChars="3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（八）质疑与投诉</w:t>
      </w:r>
    </w:p>
    <w:p w14:paraId="232AAE9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49．质疑和投诉</w:t>
      </w:r>
    </w:p>
    <w:p w14:paraId="3A17515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2769CC1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（一）对可以质疑的采购文件提出质疑的，为收到采购文件之日或者采购文件公告期限届满之日；</w:t>
      </w:r>
    </w:p>
    <w:p w14:paraId="527456E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（二）对采购过程提出质疑的，为各采购程序环节结束之日；</w:t>
      </w:r>
    </w:p>
    <w:p w14:paraId="2C9D0D3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（三）对中标或者成交结果提出质疑的，为中标或者成交结果公告期限届满之日。</w:t>
      </w:r>
    </w:p>
    <w:p w14:paraId="2C421EE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9EB9A6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8FCF17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0835A8E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241294E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49.5供应商有下列情形之一的，采购代理机构将上报阿图什市财政局，将其列入不良行为记录名单：</w:t>
      </w:r>
    </w:p>
    <w:p w14:paraId="40B5438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（一）一年内三次以上质疑均查无实据的；</w:t>
      </w:r>
    </w:p>
    <w:p w14:paraId="5FC2B42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（二）捏造事实或者提供虚假质疑材料的。</w:t>
      </w:r>
    </w:p>
    <w:p w14:paraId="7B25F5D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（三）以非法手段取得证明材料。证据来源的合法性存在明显疑问，质疑人无法证明其取得方式合法的，视为以非法手段取得证明材料。</w:t>
      </w:r>
    </w:p>
    <w:p w14:paraId="7234F896">
      <w:pPr>
        <w:shd w:val="clear" w:color="auto" w:fill="auto"/>
        <w:spacing w:line="360" w:lineRule="exact"/>
        <w:jc w:val="center"/>
        <w:outlineLvl w:val="9"/>
        <w:rPr>
          <w:rFonts w:hint="eastAsia" w:ascii="仿宋" w:hAnsi="仿宋" w:eastAsia="仿宋" w:cs="仿宋"/>
          <w:color w:val="auto"/>
          <w:sz w:val="24"/>
          <w:szCs w:val="24"/>
          <w:highlight w:val="none"/>
        </w:rPr>
      </w:pPr>
    </w:p>
    <w:p w14:paraId="42A8A344">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78486C42">
      <w:pPr>
        <w:shd w:val="clear" w:color="auto" w:fill="auto"/>
        <w:jc w:val="left"/>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p>
    <w:p w14:paraId="23376DB1">
      <w:pPr>
        <w:shd w:val="clear" w:color="auto" w:fill="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政府采购投诉书（范本）、质疑函范本</w:t>
      </w:r>
    </w:p>
    <w:p w14:paraId="250B92A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政府采购投诉书（范本）</w:t>
      </w:r>
    </w:p>
    <w:p w14:paraId="21D4CA2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42E3A3E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65F2AD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7F40869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0B7708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1E10495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电话：</w:t>
      </w:r>
      <w:r>
        <w:rPr>
          <w:rFonts w:hint="eastAsia" w:ascii="仿宋" w:hAnsi="仿宋" w:eastAsia="仿宋" w:cs="仿宋"/>
          <w:color w:val="auto"/>
          <w:sz w:val="24"/>
          <w:szCs w:val="24"/>
          <w:highlight w:val="none"/>
          <w:u w:val="single"/>
        </w:rPr>
        <w:t xml:space="preserve">               </w:t>
      </w:r>
    </w:p>
    <w:p w14:paraId="5A574EA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p>
    <w:p w14:paraId="1A1B4D0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w:t>
      </w:r>
      <w:r>
        <w:rPr>
          <w:rFonts w:hint="eastAsia" w:ascii="仿宋" w:hAnsi="仿宋" w:eastAsia="仿宋" w:cs="仿宋"/>
          <w:color w:val="auto"/>
          <w:sz w:val="24"/>
          <w:szCs w:val="24"/>
          <w:highlight w:val="none"/>
          <w:u w:val="single"/>
        </w:rPr>
        <w:t>（采购人）（项目名称）（项目编号）</w:t>
      </w:r>
      <w:r>
        <w:rPr>
          <w:rFonts w:hint="eastAsia" w:ascii="仿宋" w:hAnsi="仿宋" w:eastAsia="仿宋" w:cs="仿宋"/>
          <w:color w:val="auto"/>
          <w:sz w:val="24"/>
          <w:szCs w:val="24"/>
          <w:highlight w:val="none"/>
        </w:rPr>
        <w:t>的采购活动，我公司认为该项目的</w:t>
      </w:r>
      <w:r>
        <w:rPr>
          <w:rFonts w:hint="eastAsia" w:ascii="仿宋" w:hAnsi="仿宋" w:eastAsia="仿宋" w:cs="仿宋"/>
          <w:color w:val="auto"/>
          <w:sz w:val="24"/>
          <w:szCs w:val="24"/>
          <w:highlight w:val="none"/>
          <w:u w:val="single"/>
        </w:rPr>
        <w:t>（采购文件/采购过程/中标（</w:t>
      </w:r>
      <w:r>
        <w:rPr>
          <w:rFonts w:hint="eastAsia" w:ascii="仿宋" w:hAnsi="仿宋" w:eastAsia="仿宋" w:cs="仿宋"/>
          <w:color w:val="auto"/>
          <w:sz w:val="24"/>
          <w:szCs w:val="24"/>
          <w:highlight w:val="none"/>
          <w:u w:val="single"/>
          <w:lang w:eastAsia="zh-CN"/>
        </w:rPr>
        <w:t>中标</w:t>
      </w:r>
      <w:r>
        <w:rPr>
          <w:rFonts w:hint="eastAsia" w:ascii="仿宋" w:hAnsi="仿宋" w:eastAsia="仿宋" w:cs="仿宋"/>
          <w:color w:val="auto"/>
          <w:sz w:val="24"/>
          <w:szCs w:val="24"/>
          <w:highlight w:val="none"/>
          <w:u w:val="single"/>
        </w:rPr>
        <w:t>）结果）</w:t>
      </w:r>
      <w:r>
        <w:rPr>
          <w:rFonts w:hint="eastAsia" w:ascii="仿宋" w:hAnsi="仿宋" w:eastAsia="仿宋" w:cs="仿宋"/>
          <w:color w:val="auto"/>
          <w:sz w:val="24"/>
          <w:szCs w:val="24"/>
          <w:highlight w:val="none"/>
        </w:rPr>
        <w:t>损害了我公司权益，对此，我公司于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（采购人或者政府采购代理机构）</w:t>
      </w:r>
      <w:r>
        <w:rPr>
          <w:rFonts w:hint="eastAsia" w:ascii="仿宋" w:hAnsi="仿宋" w:eastAsia="仿宋" w:cs="仿宋"/>
          <w:color w:val="auto"/>
          <w:sz w:val="24"/>
          <w:szCs w:val="24"/>
          <w:highlight w:val="none"/>
        </w:rPr>
        <w:t>提出了质疑，</w:t>
      </w:r>
      <w:r>
        <w:rPr>
          <w:rFonts w:hint="eastAsia" w:ascii="仿宋" w:hAnsi="仿宋" w:eastAsia="仿宋" w:cs="仿宋"/>
          <w:color w:val="auto"/>
          <w:sz w:val="24"/>
          <w:szCs w:val="24"/>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highlight w:val="none"/>
        </w:rPr>
        <w:t>，现向贵机关提起投诉：</w:t>
      </w:r>
    </w:p>
    <w:p w14:paraId="38DABB7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具体的投诉事项及事实依据；</w:t>
      </w:r>
    </w:p>
    <w:p w14:paraId="58771C7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质疑和质疑答复情况简要描述；</w:t>
      </w:r>
    </w:p>
    <w:p w14:paraId="1A8868E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投诉请求。</w:t>
      </w:r>
    </w:p>
    <w:p w14:paraId="5FE7973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14:paraId="39A6685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1.质疑书和质疑答复书；</w:t>
      </w:r>
    </w:p>
    <w:p w14:paraId="58BE17F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2.证据材料（需注明证据来源），证人的姓名、住址和联系方式等；</w:t>
      </w:r>
    </w:p>
    <w:p w14:paraId="67EDEA9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3.营业执照；</w:t>
      </w:r>
    </w:p>
    <w:p w14:paraId="12A767B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4.法定代表人身份证明函</w:t>
      </w:r>
    </w:p>
    <w:p w14:paraId="491435B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5.法定代表人授权委托书（包含法定代表人和委托代理人的身份证复印件）；</w:t>
      </w:r>
    </w:p>
    <w:p w14:paraId="373F408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6.政府采购监管部门认为应当提供的其它材料。</w:t>
      </w:r>
    </w:p>
    <w:p w14:paraId="3F691CF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投诉供应商：（盖章）</w:t>
      </w:r>
    </w:p>
    <w:p w14:paraId="602433D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法定代表人（或主要负责人）：（签字）</w:t>
      </w:r>
    </w:p>
    <w:p w14:paraId="010004C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31B432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531AA3C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本投诉书正本叁份，副本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份并附电子文档。</w:t>
      </w:r>
    </w:p>
    <w:p w14:paraId="29FFBB1F">
      <w:pPr>
        <w:shd w:val="clear" w:color="auto" w:fill="auto"/>
        <w:ind w:left="7951" w:hanging="4337" w:hangingChars="1800"/>
        <w:jc w:val="center"/>
        <w:outlineLvl w:val="9"/>
        <w:rPr>
          <w:rFonts w:hint="eastAsia" w:ascii="仿宋" w:hAnsi="仿宋" w:eastAsia="仿宋" w:cs="仿宋"/>
          <w:b/>
          <w:bCs/>
          <w:color w:val="auto"/>
          <w:sz w:val="24"/>
          <w:szCs w:val="24"/>
          <w:highlight w:val="none"/>
        </w:rPr>
      </w:pPr>
    </w:p>
    <w:p w14:paraId="16DA78C2">
      <w:pPr>
        <w:shd w:val="clear" w:color="auto" w:fill="auto"/>
        <w:jc w:val="both"/>
        <w:outlineLvl w:val="9"/>
        <w:rPr>
          <w:rFonts w:hint="eastAsia" w:ascii="仿宋" w:hAnsi="仿宋" w:eastAsia="仿宋" w:cs="仿宋"/>
          <w:b/>
          <w:bCs/>
          <w:color w:val="auto"/>
          <w:sz w:val="24"/>
          <w:szCs w:val="24"/>
          <w:highlight w:val="none"/>
        </w:rPr>
      </w:pPr>
      <w:bookmarkStart w:id="37" w:name="_Toc17515"/>
    </w:p>
    <w:p w14:paraId="2BF27485">
      <w:pPr>
        <w:pStyle w:val="10"/>
        <w:outlineLvl w:val="9"/>
        <w:rPr>
          <w:rFonts w:hint="eastAsia" w:ascii="仿宋" w:hAnsi="仿宋" w:eastAsia="仿宋" w:cs="仿宋"/>
          <w:b/>
          <w:bCs/>
          <w:color w:val="auto"/>
          <w:sz w:val="24"/>
          <w:szCs w:val="24"/>
          <w:highlight w:val="none"/>
        </w:rPr>
      </w:pPr>
    </w:p>
    <w:p w14:paraId="5D374BD4">
      <w:pPr>
        <w:outlineLvl w:val="9"/>
        <w:rPr>
          <w:rFonts w:hint="eastAsia" w:ascii="仿宋" w:hAnsi="仿宋" w:eastAsia="仿宋" w:cs="仿宋"/>
          <w:b/>
          <w:bCs/>
          <w:color w:val="auto"/>
          <w:sz w:val="24"/>
          <w:szCs w:val="24"/>
          <w:highlight w:val="none"/>
        </w:rPr>
      </w:pPr>
    </w:p>
    <w:p w14:paraId="32B3E316">
      <w:pPr>
        <w:rPr>
          <w:rFonts w:hint="eastAsia"/>
        </w:rPr>
      </w:pPr>
      <w:r>
        <w:rPr>
          <w:rFonts w:hint="eastAsia"/>
        </w:rPr>
        <w:br w:type="page"/>
      </w:r>
    </w:p>
    <w:p w14:paraId="7E366F9F">
      <w:pPr>
        <w:shd w:val="clear" w:color="auto" w:fill="auto"/>
        <w:ind w:left="7951" w:hanging="4337" w:hangingChars="1800"/>
        <w:jc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投诉相关说明</w:t>
      </w:r>
      <w:bookmarkEnd w:id="37"/>
    </w:p>
    <w:p w14:paraId="611DAEC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14:paraId="2369F5DF">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493" w:leftChars="304" w:hanging="3855" w:hangingChars="1600"/>
        <w:textAlignment w:val="auto"/>
        <w:outlineLvl w:val="9"/>
        <w:rPr>
          <w:rFonts w:hint="eastAsia" w:ascii="仿宋" w:hAnsi="仿宋" w:eastAsia="仿宋" w:cs="仿宋"/>
          <w:b/>
          <w:bCs/>
          <w:color w:val="auto"/>
          <w:sz w:val="24"/>
          <w:szCs w:val="24"/>
          <w:highlight w:val="none"/>
        </w:rPr>
      </w:pPr>
      <w:bookmarkStart w:id="38" w:name="_Toc11499"/>
      <w:r>
        <w:rPr>
          <w:rFonts w:hint="eastAsia" w:ascii="仿宋" w:hAnsi="仿宋" w:eastAsia="仿宋" w:cs="仿宋"/>
          <w:b/>
          <w:bCs/>
          <w:color w:val="auto"/>
          <w:sz w:val="24"/>
          <w:szCs w:val="24"/>
          <w:highlight w:val="none"/>
        </w:rPr>
        <w:t>质疑前置及时间要求</w:t>
      </w:r>
      <w:bookmarkEnd w:id="38"/>
    </w:p>
    <w:p w14:paraId="08DB9B6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79FD8CA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4BACF1F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880838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7DBB9E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3A7AB9D2">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39" w:name="_Toc13508"/>
      <w:r>
        <w:rPr>
          <w:rFonts w:hint="eastAsia" w:ascii="仿宋" w:hAnsi="仿宋" w:eastAsia="仿宋" w:cs="仿宋"/>
          <w:b/>
          <w:bCs/>
          <w:color w:val="auto"/>
          <w:sz w:val="24"/>
          <w:szCs w:val="24"/>
          <w:highlight w:val="none"/>
        </w:rPr>
        <w:t>二、书面方式</w:t>
      </w:r>
      <w:bookmarkEnd w:id="39"/>
    </w:p>
    <w:p w14:paraId="79E60320">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《政府采购供应商投诉处理办法》第八条：投诉人投诉时，应当提交投诉书，并按照被投诉人以及与投诉事项有关的供应商数量提供投诉书的副本。</w:t>
      </w:r>
    </w:p>
    <w:p w14:paraId="215B450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14:paraId="01305972">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14:paraId="1BE2E7F8">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14:paraId="269A94D4">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14:paraId="3743E707">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14:paraId="4E96D79E">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投诉书应当署名。投诉人为自然人，应当由本人签字；投诉人为法人或者其他组织的，应当由法定代表人或者主要负责人签字并加盖公章。</w:t>
      </w:r>
    </w:p>
    <w:p w14:paraId="3E7C4D94">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02625D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14:paraId="7AEFCD3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14:paraId="11749B0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14:paraId="44D616D6">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14:paraId="7139557E">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14:paraId="75DC406D">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14:paraId="7DDE3241">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14:paraId="383B3467">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14:paraId="570E3157">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5D194C6">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40" w:name="_Toc5978"/>
      <w:r>
        <w:rPr>
          <w:rFonts w:hint="eastAsia" w:ascii="仿宋" w:hAnsi="仿宋" w:eastAsia="仿宋" w:cs="仿宋"/>
          <w:b/>
          <w:bCs/>
          <w:color w:val="auto"/>
          <w:sz w:val="24"/>
          <w:szCs w:val="24"/>
          <w:highlight w:val="none"/>
        </w:rPr>
        <w:t>三、虚假、恶意投诉法律责任</w:t>
      </w:r>
      <w:bookmarkEnd w:id="40"/>
    </w:p>
    <w:p w14:paraId="3B96630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068022E5">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4C4A5499">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14:paraId="00141D44">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14:paraId="3779EE18">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7D11DA20">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42DA3872">
      <w:pPr>
        <w:shd w:val="clear" w:color="auto" w:fill="auto"/>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val="en-US" w:eastAsia="zh-CN"/>
        </w:rPr>
        <w:t>阿图什市财政局政府采购办</w:t>
      </w:r>
      <w:r>
        <w:rPr>
          <w:rFonts w:hint="eastAsia" w:ascii="仿宋" w:hAnsi="仿宋" w:eastAsia="仿宋" w:cs="仿宋"/>
          <w:color w:val="auto"/>
          <w:sz w:val="24"/>
          <w:szCs w:val="24"/>
          <w:highlight w:val="none"/>
        </w:rPr>
        <w:t>监管办公室</w:t>
      </w:r>
    </w:p>
    <w:p w14:paraId="5A6560D2">
      <w:pPr>
        <w:shd w:val="clear" w:color="auto" w:fill="auto"/>
        <w:jc w:val="right"/>
        <w:outlineLvl w:val="9"/>
        <w:rPr>
          <w:rFonts w:hint="eastAsia" w:ascii="仿宋" w:hAnsi="仿宋" w:eastAsia="仿宋" w:cs="仿宋"/>
          <w:color w:val="auto"/>
          <w:sz w:val="24"/>
          <w:szCs w:val="24"/>
          <w:highlight w:val="none"/>
        </w:rPr>
      </w:pPr>
    </w:p>
    <w:p w14:paraId="00D29BC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77AE354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3DD1607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3DFED09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58E9BC82">
      <w:pPr>
        <w:rPr>
          <w:rFonts w:hint="eastAsia" w:ascii="仿宋" w:hAnsi="仿宋" w:eastAsia="仿宋" w:cs="仿宋"/>
          <w:b/>
          <w:bCs/>
          <w:color w:val="auto"/>
          <w:sz w:val="24"/>
          <w:szCs w:val="24"/>
          <w:highlight w:val="none"/>
        </w:rPr>
      </w:pPr>
      <w:bookmarkStart w:id="41" w:name="_Toc1697"/>
      <w:r>
        <w:rPr>
          <w:rFonts w:hint="eastAsia" w:ascii="仿宋" w:hAnsi="仿宋" w:eastAsia="仿宋" w:cs="仿宋"/>
          <w:b/>
          <w:bCs/>
          <w:color w:val="auto"/>
          <w:sz w:val="24"/>
          <w:szCs w:val="24"/>
          <w:highlight w:val="none"/>
        </w:rPr>
        <w:br w:type="page"/>
      </w:r>
    </w:p>
    <w:p w14:paraId="4392D13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质疑函范本</w:t>
      </w:r>
      <w:bookmarkEnd w:id="41"/>
    </w:p>
    <w:p w14:paraId="0C4B1BDB">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9"/>
        <w:rPr>
          <w:rFonts w:hint="eastAsia" w:ascii="仿宋" w:hAnsi="仿宋" w:eastAsia="仿宋" w:cs="仿宋"/>
          <w:bCs/>
          <w:color w:val="auto"/>
          <w:sz w:val="24"/>
          <w:szCs w:val="24"/>
          <w:highlight w:val="none"/>
        </w:rPr>
      </w:pPr>
      <w:bookmarkStart w:id="42" w:name="_Toc9061"/>
      <w:r>
        <w:rPr>
          <w:rFonts w:hint="eastAsia" w:ascii="仿宋" w:hAnsi="仿宋" w:eastAsia="仿宋" w:cs="仿宋"/>
          <w:bCs/>
          <w:color w:val="auto"/>
          <w:sz w:val="24"/>
          <w:szCs w:val="24"/>
          <w:highlight w:val="none"/>
        </w:rPr>
        <w:t>一、质疑供应商基本信息</w:t>
      </w:r>
      <w:bookmarkEnd w:id="42"/>
    </w:p>
    <w:p w14:paraId="1B0B2C0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26D7C04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E01982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6E6F530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76B8CDF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4825F2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2754ED0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3" w:name="_Toc15938"/>
      <w:r>
        <w:rPr>
          <w:rFonts w:hint="eastAsia" w:ascii="仿宋" w:hAnsi="仿宋" w:eastAsia="仿宋" w:cs="仿宋"/>
          <w:bCs/>
          <w:color w:val="auto"/>
          <w:sz w:val="24"/>
          <w:szCs w:val="24"/>
          <w:highlight w:val="none"/>
        </w:rPr>
        <w:t>二、质疑项目基本情况</w:t>
      </w:r>
      <w:bookmarkEnd w:id="43"/>
    </w:p>
    <w:p w14:paraId="753DB3F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4ECE316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2EE1175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1C1EE36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286385D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4" w:name="_Toc18271"/>
      <w:r>
        <w:rPr>
          <w:rFonts w:hint="eastAsia" w:ascii="仿宋" w:hAnsi="仿宋" w:eastAsia="仿宋" w:cs="仿宋"/>
          <w:bCs/>
          <w:color w:val="auto"/>
          <w:sz w:val="24"/>
          <w:szCs w:val="24"/>
          <w:highlight w:val="none"/>
        </w:rPr>
        <w:t>三、质疑事项具体内容</w:t>
      </w:r>
      <w:bookmarkEnd w:id="44"/>
    </w:p>
    <w:p w14:paraId="3B1EE58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762BEA3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72F953D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2E91DF8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44E4D60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FE17A1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5" w:name="_Toc22365"/>
      <w:r>
        <w:rPr>
          <w:rFonts w:hint="eastAsia" w:ascii="仿宋" w:hAnsi="仿宋" w:eastAsia="仿宋" w:cs="仿宋"/>
          <w:bCs/>
          <w:color w:val="auto"/>
          <w:sz w:val="24"/>
          <w:szCs w:val="24"/>
          <w:highlight w:val="none"/>
        </w:rPr>
        <w:t>四、与质疑事项相关的质疑请求</w:t>
      </w:r>
      <w:bookmarkEnd w:id="45"/>
    </w:p>
    <w:p w14:paraId="0086DB1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3C500632">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46EB5B64">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日期：    </w:t>
      </w:r>
    </w:p>
    <w:p w14:paraId="61D6C763">
      <w:pPr>
        <w:keepNext w:val="0"/>
        <w:keepLines w:val="0"/>
        <w:pageBreakBefore w:val="0"/>
        <w:widowControl w:val="0"/>
        <w:shd w:val="clear" w:color="auto" w:fill="auto"/>
        <w:kinsoku/>
        <w:wordWrap/>
        <w:overflowPunct/>
        <w:topLinePunct w:val="0"/>
        <w:autoSpaceDE/>
        <w:autoSpaceDN/>
        <w:bidi w:val="0"/>
        <w:spacing w:line="540" w:lineRule="exact"/>
        <w:ind w:firstLine="482" w:firstLineChars="200"/>
        <w:textAlignment w:val="auto"/>
        <w:outlineLvl w:val="9"/>
        <w:rPr>
          <w:rFonts w:hint="eastAsia" w:ascii="仿宋" w:hAnsi="仿宋" w:eastAsia="仿宋" w:cs="仿宋"/>
          <w:b/>
          <w:bCs/>
          <w:color w:val="auto"/>
          <w:sz w:val="24"/>
          <w:szCs w:val="24"/>
          <w:highlight w:val="none"/>
        </w:rPr>
      </w:pPr>
    </w:p>
    <w:p w14:paraId="4F4761FA">
      <w:pPr>
        <w:pageBreakBefore/>
        <w:shd w:val="clear" w:color="auto" w:fill="auto"/>
        <w:spacing w:line="440" w:lineRule="exact"/>
        <w:jc w:val="center"/>
        <w:outlineLvl w:val="0"/>
        <w:rPr>
          <w:rFonts w:hint="eastAsia" w:ascii="仿宋" w:hAnsi="仿宋" w:eastAsia="仿宋" w:cs="仿宋"/>
          <w:b/>
          <w:bCs/>
          <w:color w:val="auto"/>
          <w:sz w:val="40"/>
          <w:szCs w:val="40"/>
          <w:highlight w:val="none"/>
        </w:rPr>
      </w:pPr>
      <w:bookmarkStart w:id="46" w:name="_Toc12769"/>
      <w:bookmarkStart w:id="47" w:name="_Toc469495731"/>
      <w:bookmarkStart w:id="48" w:name="_Toc9350"/>
      <w:bookmarkStart w:id="49" w:name="_Toc16733"/>
      <w:r>
        <w:rPr>
          <w:rFonts w:hint="eastAsia" w:ascii="仿宋" w:hAnsi="仿宋" w:eastAsia="仿宋" w:cs="仿宋"/>
          <w:b/>
          <w:bCs/>
          <w:color w:val="auto"/>
          <w:sz w:val="40"/>
          <w:szCs w:val="40"/>
          <w:highlight w:val="none"/>
        </w:rPr>
        <w:t>第三章 评标办法</w:t>
      </w:r>
      <w:bookmarkEnd w:id="46"/>
      <w:bookmarkEnd w:id="47"/>
      <w:bookmarkEnd w:id="48"/>
      <w:bookmarkEnd w:id="49"/>
    </w:p>
    <w:p w14:paraId="1A4A850D">
      <w:pPr>
        <w:shd w:val="clear" w:color="auto" w:fill="auto"/>
        <w:jc w:val="center"/>
        <w:outlineLvl w:val="9"/>
        <w:rPr>
          <w:rFonts w:hint="eastAsia" w:ascii="仿宋" w:hAnsi="仿宋" w:eastAsia="仿宋" w:cs="仿宋"/>
          <w:b/>
          <w:color w:val="auto"/>
          <w:sz w:val="24"/>
          <w:szCs w:val="24"/>
          <w:highlight w:val="none"/>
        </w:rPr>
      </w:pPr>
      <w:bookmarkStart w:id="50" w:name="_Toc362983802"/>
      <w:bookmarkStart w:id="51" w:name="_Toc469495733"/>
      <w:bookmarkStart w:id="52" w:name="_Toc267320058"/>
      <w:bookmarkStart w:id="53" w:name="_Toc363135205"/>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总  则</w:t>
      </w:r>
    </w:p>
    <w:p w14:paraId="3394AB5C">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14:paraId="7882F0AF">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1.1本项目的招标按照《中华人民共和国政府采购法》、《政府采购货物和服务招标投标管理办法》及政府采购的有关规定进行。</w:t>
      </w:r>
    </w:p>
    <w:p w14:paraId="68C67F40">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1.2评标必须遵循邀请、公平、公正、诚实信用的原则。</w:t>
      </w:r>
    </w:p>
    <w:p w14:paraId="1FC8D941">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14:paraId="234E2EFE">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1.4评标按照招标文件规定的内容进行，采取符合招标文件要求的最低评标价法；</w:t>
      </w:r>
    </w:p>
    <w:p w14:paraId="63258A69">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1.5本办法的评标对象是指投标人按照招标文件要求提供的有效投标文件，包括投标人应评标委员会要求对原投标文件作出的正式书面澄清文件。</w:t>
      </w:r>
    </w:p>
    <w:p w14:paraId="13B3B6E7">
      <w:pPr>
        <w:numPr>
          <w:ilvl w:val="0"/>
          <w:numId w:val="8"/>
        </w:num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评标组织机构的组成</w:t>
      </w:r>
    </w:p>
    <w:p w14:paraId="4FF769FC">
      <w:pPr>
        <w:numPr>
          <w:ilvl w:val="0"/>
          <w:numId w:val="0"/>
        </w:numPr>
        <w:shd w:val="clear" w:color="auto" w:fill="auto"/>
        <w:tabs>
          <w:tab w:val="left" w:pos="567"/>
          <w:tab w:val="left" w:pos="1145"/>
        </w:tabs>
        <w:spacing w:line="440" w:lineRule="exact"/>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项目评标委员会由5人组成（其中专家4人，招标人代表1人）。</w:t>
      </w:r>
    </w:p>
    <w:p w14:paraId="287755C5">
      <w:pPr>
        <w:widowControl/>
        <w:shd w:val="clear" w:color="auto" w:fill="auto"/>
        <w:spacing w:line="440" w:lineRule="exact"/>
        <w:ind w:firstLine="480"/>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 w:val="24"/>
          <w:szCs w:val="24"/>
          <w:highlight w:val="none"/>
          <w:lang w:bidi="ar-SA"/>
        </w:rPr>
        <w:t>评标委员会由采购人代表和有关技术、经济等方面的专家组成，成员人数应当为5人</w:t>
      </w:r>
      <w:r>
        <w:rPr>
          <w:rFonts w:hint="eastAsia" w:ascii="仿宋" w:hAnsi="仿宋" w:eastAsia="仿宋" w:cs="仿宋"/>
          <w:color w:val="auto"/>
          <w:kern w:val="0"/>
          <w:sz w:val="24"/>
          <w:szCs w:val="24"/>
          <w:highlight w:val="none"/>
          <w:lang w:eastAsia="zh-CN" w:bidi="ar-SA"/>
        </w:rPr>
        <w:t>或</w:t>
      </w:r>
      <w:r>
        <w:rPr>
          <w:rFonts w:hint="eastAsia" w:ascii="仿宋" w:hAnsi="仿宋" w:eastAsia="仿宋" w:cs="仿宋"/>
          <w:color w:val="auto"/>
          <w:kern w:val="0"/>
          <w:sz w:val="24"/>
          <w:szCs w:val="24"/>
          <w:highlight w:val="none"/>
          <w:lang w:val="en-US" w:eastAsia="zh-CN" w:bidi="ar-SA"/>
        </w:rPr>
        <w:t>5人</w:t>
      </w:r>
      <w:r>
        <w:rPr>
          <w:rFonts w:hint="eastAsia" w:ascii="仿宋" w:hAnsi="仿宋" w:eastAsia="仿宋" w:cs="仿宋"/>
          <w:color w:val="auto"/>
          <w:kern w:val="0"/>
          <w:sz w:val="24"/>
          <w:szCs w:val="24"/>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1B1CB62E">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2.2评标工作组由招标人及有关专家组成，由评标委员会确认，并接受其领导。</w:t>
      </w:r>
    </w:p>
    <w:p w14:paraId="06026585">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2.3评标委员会应相对独立工作，负责评标、撰写技术、商务评标报告。采购代理机构负责评标过程中资料的保管、发放、回收，整理、汇总评标资料。</w:t>
      </w:r>
    </w:p>
    <w:p w14:paraId="776483BD">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3、评标委员会职责</w:t>
      </w:r>
    </w:p>
    <w:p w14:paraId="272C95E4">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3.1审查投标文件是否符合招标文件要求，并作出评价；</w:t>
      </w:r>
    </w:p>
    <w:p w14:paraId="1E415252">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3.2要求投标人对投标文件有关事项作出解释或者澄清；</w:t>
      </w:r>
    </w:p>
    <w:p w14:paraId="5E473E01">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3.3推荐中标候选人名单；</w:t>
      </w:r>
    </w:p>
    <w:p w14:paraId="2086AFCD">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14:paraId="28BDEB89">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4、评标委员会义务</w:t>
      </w:r>
    </w:p>
    <w:p w14:paraId="470E2E62">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14:paraId="6DC7172E">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4.2按照招标文件规定的评标方法和评标标准进行评标，对评审意见承担个人责任；</w:t>
      </w:r>
    </w:p>
    <w:p w14:paraId="2BDE74B1">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4.3对评标过程和结果，以及投标人的商业秘密保密；</w:t>
      </w:r>
    </w:p>
    <w:p w14:paraId="0B81D92F">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14:paraId="70A219EB">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14:paraId="25F657D4">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4.6配合招标人、招标代理机构答复投标供应商提出的质疑。</w:t>
      </w:r>
    </w:p>
    <w:p w14:paraId="539C8D3E">
      <w:pPr>
        <w:shd w:val="clear" w:color="auto" w:fill="auto"/>
        <w:tabs>
          <w:tab w:val="left" w:pos="1547"/>
        </w:tabs>
        <w:spacing w:line="440" w:lineRule="exact"/>
        <w:ind w:firstLine="612" w:firstLineChars="255"/>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 评标程序</w:t>
      </w:r>
    </w:p>
    <w:p w14:paraId="4203E3E8">
      <w:pPr>
        <w:pStyle w:val="23"/>
        <w:shd w:val="clear" w:color="auto" w:fill="auto"/>
        <w:tabs>
          <w:tab w:val="left" w:pos="720"/>
          <w:tab w:val="clear" w:pos="0"/>
        </w:tabs>
        <w:spacing w:line="440" w:lineRule="exact"/>
        <w:ind w:firstLine="612" w:firstLineChars="255"/>
        <w:outlineLvl w:val="9"/>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5.1本次评标首先由评标委员会对投标人的投标文件进行初审，对未能通过初审的投标文件作无效标处理；</w:t>
      </w:r>
    </w:p>
    <w:p w14:paraId="04471F72">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5.2对通过初审的投标人的投标文件进行详细的比较和评价。如需要，进行必要的澄清工作；</w:t>
      </w:r>
    </w:p>
    <w:p w14:paraId="6C114533">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24"/>
          <w:szCs w:val="24"/>
          <w:highlight w:val="none"/>
          <w:lang w:bidi="ar-SA"/>
        </w:rPr>
      </w:pPr>
      <w:r>
        <w:rPr>
          <w:rFonts w:hint="eastAsia" w:ascii="仿宋" w:hAnsi="仿宋" w:eastAsia="仿宋" w:cs="仿宋"/>
          <w:color w:val="auto"/>
          <w:sz w:val="24"/>
          <w:szCs w:val="24"/>
          <w:highlight w:val="none"/>
          <w:lang w:bidi="ar-SA"/>
        </w:rPr>
        <w:t>5.3依据评分标准以及各项权值，各位评委单独就每个投标人的</w:t>
      </w:r>
      <w:r>
        <w:rPr>
          <w:rFonts w:hint="eastAsia" w:ascii="仿宋" w:hAnsi="仿宋" w:eastAsia="仿宋" w:cs="仿宋"/>
          <w:color w:val="auto"/>
          <w:kern w:val="0"/>
          <w:sz w:val="24"/>
          <w:szCs w:val="24"/>
          <w:highlight w:val="none"/>
          <w:lang w:bidi="ar-SA"/>
        </w:rPr>
        <w:t>投标文件进行价格、技术、</w:t>
      </w:r>
      <w:r>
        <w:rPr>
          <w:rFonts w:hint="eastAsia" w:ascii="仿宋" w:hAnsi="仿宋" w:eastAsia="仿宋" w:cs="仿宋"/>
          <w:color w:val="auto"/>
          <w:kern w:val="0"/>
          <w:sz w:val="24"/>
          <w:szCs w:val="24"/>
          <w:highlight w:val="none"/>
          <w:lang w:bidi="ar-SA"/>
        </w:rPr>
        <w:fldChar w:fldCharType="begin"/>
      </w:r>
      <w:r>
        <w:rPr>
          <w:rFonts w:hint="eastAsia" w:ascii="仿宋" w:hAnsi="仿宋" w:eastAsia="仿宋" w:cs="仿宋"/>
          <w:color w:val="auto"/>
          <w:kern w:val="0"/>
          <w:sz w:val="24"/>
          <w:szCs w:val="24"/>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 w:val="24"/>
          <w:szCs w:val="24"/>
          <w:highlight w:val="none"/>
          <w:lang w:bidi="ar-SA"/>
        </w:rPr>
        <w:fldChar w:fldCharType="separate"/>
      </w:r>
      <w:r>
        <w:rPr>
          <w:rFonts w:hint="eastAsia" w:ascii="仿宋" w:hAnsi="仿宋" w:eastAsia="仿宋" w:cs="仿宋"/>
          <w:color w:val="auto"/>
          <w:kern w:val="0"/>
          <w:sz w:val="24"/>
          <w:szCs w:val="24"/>
          <w:highlight w:val="none"/>
          <w:lang w:bidi="ar-SA"/>
        </w:rPr>
        <w:t>财务状况</w:t>
      </w:r>
      <w:r>
        <w:rPr>
          <w:rFonts w:hint="eastAsia" w:ascii="仿宋" w:hAnsi="仿宋" w:eastAsia="仿宋" w:cs="仿宋"/>
          <w:color w:val="auto"/>
          <w:kern w:val="0"/>
          <w:sz w:val="24"/>
          <w:szCs w:val="24"/>
          <w:highlight w:val="none"/>
          <w:lang w:bidi="ar-SA"/>
        </w:rPr>
        <w:fldChar w:fldCharType="end"/>
      </w:r>
      <w:r>
        <w:rPr>
          <w:rFonts w:hint="eastAsia" w:ascii="仿宋" w:hAnsi="仿宋" w:eastAsia="仿宋" w:cs="仿宋"/>
          <w:color w:val="auto"/>
          <w:kern w:val="0"/>
          <w:sz w:val="24"/>
          <w:szCs w:val="24"/>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1EB4AFB4">
      <w:pPr>
        <w:shd w:val="clear" w:color="auto" w:fill="auto"/>
        <w:jc w:val="center"/>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二  投标文件初审</w:t>
      </w:r>
      <w:bookmarkEnd w:id="50"/>
      <w:bookmarkEnd w:id="51"/>
      <w:r>
        <w:rPr>
          <w:rFonts w:hint="eastAsia" w:ascii="仿宋" w:hAnsi="仿宋" w:eastAsia="仿宋" w:cs="仿宋"/>
          <w:b/>
          <w:color w:val="auto"/>
          <w:sz w:val="24"/>
          <w:szCs w:val="24"/>
          <w:highlight w:val="none"/>
          <w:lang w:eastAsia="zh-CN"/>
        </w:rPr>
        <w:t>（适用于</w:t>
      </w:r>
      <w:r>
        <w:rPr>
          <w:rFonts w:hint="eastAsia" w:ascii="仿宋" w:hAnsi="仿宋" w:eastAsia="仿宋" w:cs="仿宋"/>
          <w:b/>
          <w:color w:val="auto"/>
          <w:sz w:val="24"/>
          <w:szCs w:val="24"/>
          <w:highlight w:val="none"/>
          <w:lang w:val="en-US" w:eastAsia="zh-CN"/>
        </w:rPr>
        <w:t>1包、2包</w:t>
      </w:r>
      <w:r>
        <w:rPr>
          <w:rFonts w:hint="eastAsia" w:ascii="仿宋" w:hAnsi="仿宋" w:eastAsia="仿宋" w:cs="仿宋"/>
          <w:b/>
          <w:color w:val="auto"/>
          <w:sz w:val="24"/>
          <w:szCs w:val="24"/>
          <w:highlight w:val="none"/>
          <w:lang w:eastAsia="zh-CN"/>
        </w:rPr>
        <w:t>）</w:t>
      </w:r>
    </w:p>
    <w:p w14:paraId="0BE9D11C">
      <w:pPr>
        <w:shd w:val="clear" w:color="auto" w:fill="auto"/>
        <w:spacing w:line="400" w:lineRule="exact"/>
        <w:ind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tbl>
      <w:tblPr>
        <w:tblStyle w:val="26"/>
        <w:tblpPr w:leftFromText="180" w:rightFromText="180" w:vertAnchor="text" w:horzAnchor="page" w:tblpX="1395"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41"/>
        <w:gridCol w:w="6649"/>
        <w:gridCol w:w="555"/>
        <w:gridCol w:w="654"/>
      </w:tblGrid>
      <w:tr w14:paraId="32E2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87" w:type="dxa"/>
            <w:vMerge w:val="restart"/>
            <w:noWrap w:val="0"/>
            <w:vAlign w:val="center"/>
          </w:tcPr>
          <w:p w14:paraId="2FE57922">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290" w:type="dxa"/>
            <w:gridSpan w:val="2"/>
            <w:vMerge w:val="restart"/>
            <w:noWrap w:val="0"/>
            <w:vAlign w:val="center"/>
          </w:tcPr>
          <w:p w14:paraId="1287E81F">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209" w:type="dxa"/>
            <w:gridSpan w:val="2"/>
            <w:noWrap w:val="0"/>
            <w:vAlign w:val="center"/>
          </w:tcPr>
          <w:p w14:paraId="7994787A">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6A77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87" w:type="dxa"/>
            <w:vMerge w:val="continue"/>
            <w:noWrap w:val="0"/>
            <w:vAlign w:val="center"/>
          </w:tcPr>
          <w:p w14:paraId="7F77B716">
            <w:pPr>
              <w:shd w:val="clear" w:color="auto" w:fill="auto"/>
              <w:outlineLvl w:val="9"/>
              <w:rPr>
                <w:rFonts w:hint="eastAsia" w:ascii="仿宋" w:hAnsi="仿宋" w:eastAsia="仿宋" w:cs="仿宋"/>
                <w:color w:val="auto"/>
                <w:sz w:val="24"/>
                <w:szCs w:val="24"/>
                <w:highlight w:val="none"/>
              </w:rPr>
            </w:pPr>
          </w:p>
        </w:tc>
        <w:tc>
          <w:tcPr>
            <w:tcW w:w="7290" w:type="dxa"/>
            <w:gridSpan w:val="2"/>
            <w:vMerge w:val="continue"/>
            <w:noWrap w:val="0"/>
            <w:vAlign w:val="top"/>
          </w:tcPr>
          <w:p w14:paraId="41D9F0A4">
            <w:pPr>
              <w:shd w:val="clear" w:color="auto" w:fill="auto"/>
              <w:outlineLvl w:val="9"/>
              <w:rPr>
                <w:rFonts w:hint="eastAsia" w:ascii="仿宋" w:hAnsi="仿宋" w:eastAsia="仿宋" w:cs="仿宋"/>
                <w:color w:val="auto"/>
                <w:sz w:val="24"/>
                <w:szCs w:val="24"/>
                <w:highlight w:val="none"/>
              </w:rPr>
            </w:pPr>
          </w:p>
        </w:tc>
        <w:tc>
          <w:tcPr>
            <w:tcW w:w="555" w:type="dxa"/>
            <w:noWrap w:val="0"/>
            <w:vAlign w:val="center"/>
          </w:tcPr>
          <w:p w14:paraId="54C5B016">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654" w:type="dxa"/>
            <w:noWrap w:val="0"/>
            <w:vAlign w:val="center"/>
          </w:tcPr>
          <w:p w14:paraId="03E31E4E">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2BCB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87" w:type="dxa"/>
            <w:vMerge w:val="restart"/>
            <w:noWrap w:val="0"/>
            <w:vAlign w:val="center"/>
          </w:tcPr>
          <w:p w14:paraId="7F0AA95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405D5A2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1D36A9E2">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2293E8AC">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p w14:paraId="68C3BF6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w:t>
            </w:r>
          </w:p>
          <w:p w14:paraId="1CBDA22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w:t>
            </w:r>
          </w:p>
          <w:p w14:paraId="3FD88CF6">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w:t>
            </w:r>
          </w:p>
          <w:p w14:paraId="7137208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14:paraId="18FDC7EC">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14:paraId="3FD42F8B">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w:t>
            </w:r>
          </w:p>
          <w:p w14:paraId="25B48AF7">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tc>
        <w:tc>
          <w:tcPr>
            <w:tcW w:w="641" w:type="dxa"/>
            <w:noWrap w:val="0"/>
            <w:vAlign w:val="center"/>
          </w:tcPr>
          <w:p w14:paraId="695D8758">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649" w:type="dxa"/>
            <w:noWrap w:val="0"/>
            <w:vAlign w:val="center"/>
          </w:tcPr>
          <w:p w14:paraId="5205E2B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c>
          <w:tcPr>
            <w:tcW w:w="555" w:type="dxa"/>
            <w:noWrap w:val="0"/>
            <w:vAlign w:val="top"/>
          </w:tcPr>
          <w:p w14:paraId="50B841C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C1FBD12">
            <w:pPr>
              <w:shd w:val="clear" w:color="auto" w:fill="auto"/>
              <w:outlineLvl w:val="9"/>
              <w:rPr>
                <w:rFonts w:hint="eastAsia" w:ascii="仿宋" w:hAnsi="仿宋" w:eastAsia="仿宋" w:cs="仿宋"/>
                <w:color w:val="auto"/>
                <w:sz w:val="24"/>
                <w:szCs w:val="24"/>
                <w:highlight w:val="none"/>
              </w:rPr>
            </w:pPr>
          </w:p>
        </w:tc>
      </w:tr>
      <w:tr w14:paraId="1D35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87" w:type="dxa"/>
            <w:vMerge w:val="continue"/>
            <w:noWrap w:val="0"/>
            <w:vAlign w:val="center"/>
          </w:tcPr>
          <w:p w14:paraId="1CD901E9">
            <w:pPr>
              <w:shd w:val="clear" w:color="auto" w:fill="auto"/>
              <w:jc w:val="center"/>
              <w:outlineLvl w:val="9"/>
              <w:rPr>
                <w:rFonts w:hint="eastAsia" w:ascii="仿宋" w:hAnsi="仿宋" w:eastAsia="仿宋" w:cs="仿宋"/>
                <w:color w:val="auto"/>
                <w:sz w:val="24"/>
                <w:szCs w:val="24"/>
                <w:highlight w:val="none"/>
              </w:rPr>
            </w:pPr>
          </w:p>
        </w:tc>
        <w:tc>
          <w:tcPr>
            <w:tcW w:w="641" w:type="dxa"/>
            <w:noWrap w:val="0"/>
            <w:vAlign w:val="center"/>
          </w:tcPr>
          <w:p w14:paraId="1E39A77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649" w:type="dxa"/>
            <w:noWrap w:val="0"/>
            <w:vAlign w:val="center"/>
          </w:tcPr>
          <w:p w14:paraId="56A9E041">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法定代表人参加的需提供法定代表人身份证明及身份证原件扫描件，授权委托人参加的需提供附有法定代表人身份证明的授权委托书及被委托人身份证原件扫描件;</w:t>
            </w:r>
          </w:p>
        </w:tc>
        <w:tc>
          <w:tcPr>
            <w:tcW w:w="555" w:type="dxa"/>
            <w:noWrap w:val="0"/>
            <w:vAlign w:val="top"/>
          </w:tcPr>
          <w:p w14:paraId="5C32CD37">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6FB1996">
            <w:pPr>
              <w:shd w:val="clear" w:color="auto" w:fill="auto"/>
              <w:outlineLvl w:val="9"/>
              <w:rPr>
                <w:rFonts w:hint="eastAsia" w:ascii="仿宋" w:hAnsi="仿宋" w:eastAsia="仿宋" w:cs="仿宋"/>
                <w:color w:val="auto"/>
                <w:sz w:val="24"/>
                <w:szCs w:val="24"/>
                <w:highlight w:val="none"/>
              </w:rPr>
            </w:pPr>
          </w:p>
        </w:tc>
      </w:tr>
      <w:tr w14:paraId="70BF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87" w:type="dxa"/>
            <w:vMerge w:val="continue"/>
            <w:noWrap w:val="0"/>
            <w:vAlign w:val="center"/>
          </w:tcPr>
          <w:p w14:paraId="683BF975">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BB665E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6649" w:type="dxa"/>
            <w:noWrap w:val="0"/>
            <w:vAlign w:val="center"/>
          </w:tcPr>
          <w:p w14:paraId="48F6413B">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投标企业须提供投标人（被授权本单位在职人员）近6个月内任何1个月已依法缴纳社会保险的凭据（依法不需要缴纳社会保障资金的供应商，应提供相应证明文件）；</w:t>
            </w:r>
          </w:p>
        </w:tc>
        <w:tc>
          <w:tcPr>
            <w:tcW w:w="555" w:type="dxa"/>
            <w:noWrap w:val="0"/>
            <w:vAlign w:val="top"/>
          </w:tcPr>
          <w:p w14:paraId="0BBC9389">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236C6C7">
            <w:pPr>
              <w:shd w:val="clear" w:color="auto" w:fill="auto"/>
              <w:outlineLvl w:val="9"/>
              <w:rPr>
                <w:rFonts w:hint="eastAsia" w:ascii="仿宋" w:hAnsi="仿宋" w:eastAsia="仿宋" w:cs="仿宋"/>
                <w:color w:val="auto"/>
                <w:sz w:val="24"/>
                <w:szCs w:val="24"/>
                <w:highlight w:val="none"/>
              </w:rPr>
            </w:pPr>
          </w:p>
        </w:tc>
      </w:tr>
      <w:tr w14:paraId="3D52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5E2CDA9F">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0C61624">
            <w:pPr>
              <w:shd w:val="clear" w:color="auto" w:fill="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649" w:type="dxa"/>
            <w:noWrap w:val="0"/>
            <w:vAlign w:val="center"/>
          </w:tcPr>
          <w:p w14:paraId="4EAE1EFF">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tc>
        <w:tc>
          <w:tcPr>
            <w:tcW w:w="555" w:type="dxa"/>
            <w:noWrap w:val="0"/>
            <w:vAlign w:val="top"/>
          </w:tcPr>
          <w:p w14:paraId="588398F3">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A970080">
            <w:pPr>
              <w:shd w:val="clear" w:color="auto" w:fill="auto"/>
              <w:outlineLvl w:val="9"/>
              <w:rPr>
                <w:rFonts w:hint="eastAsia" w:ascii="仿宋" w:hAnsi="仿宋" w:eastAsia="仿宋" w:cs="仿宋"/>
                <w:color w:val="auto"/>
                <w:sz w:val="24"/>
                <w:szCs w:val="24"/>
                <w:highlight w:val="none"/>
              </w:rPr>
            </w:pPr>
          </w:p>
        </w:tc>
      </w:tr>
      <w:tr w14:paraId="291F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0DB059A2">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26D1A807">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49" w:type="dxa"/>
            <w:noWrap w:val="0"/>
            <w:vAlign w:val="center"/>
          </w:tcPr>
          <w:p w14:paraId="4F5D9132">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sz w:val="24"/>
                <w:szCs w:val="24"/>
                <w:lang w:val="en-US" w:eastAsia="zh-CN"/>
              </w:rPr>
              <w:t>投标人不得被列入“信用中国”网站（www.creditchina.gov.cn）、中国政府采购网站（www.ccgp.gov.cn）失信被执行人、重大税收违法案件当事人名单、政府采购严重违法失信行为记录名单；（提供查询结果网页截图并加盖供应商公章）</w:t>
            </w:r>
          </w:p>
        </w:tc>
        <w:tc>
          <w:tcPr>
            <w:tcW w:w="555" w:type="dxa"/>
            <w:noWrap w:val="0"/>
            <w:vAlign w:val="top"/>
          </w:tcPr>
          <w:p w14:paraId="47CC3BA7">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CE4CDA8">
            <w:pPr>
              <w:shd w:val="clear" w:color="auto" w:fill="auto"/>
              <w:outlineLvl w:val="9"/>
              <w:rPr>
                <w:rFonts w:hint="eastAsia" w:ascii="仿宋" w:hAnsi="仿宋" w:eastAsia="仿宋" w:cs="仿宋"/>
                <w:color w:val="auto"/>
                <w:sz w:val="24"/>
                <w:szCs w:val="24"/>
                <w:highlight w:val="none"/>
              </w:rPr>
            </w:pPr>
          </w:p>
        </w:tc>
      </w:tr>
      <w:tr w14:paraId="6CCD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2D6D544C">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7B9FBB0E">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49" w:type="dxa"/>
            <w:noWrap w:val="0"/>
            <w:vAlign w:val="center"/>
          </w:tcPr>
          <w:p w14:paraId="7FB3B6D8">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tc>
        <w:tc>
          <w:tcPr>
            <w:tcW w:w="555" w:type="dxa"/>
            <w:noWrap w:val="0"/>
            <w:vAlign w:val="top"/>
          </w:tcPr>
          <w:p w14:paraId="3595356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7ABD4CB">
            <w:pPr>
              <w:shd w:val="clear" w:color="auto" w:fill="auto"/>
              <w:outlineLvl w:val="9"/>
              <w:rPr>
                <w:rFonts w:hint="eastAsia" w:ascii="仿宋" w:hAnsi="仿宋" w:eastAsia="仿宋" w:cs="仿宋"/>
                <w:color w:val="auto"/>
                <w:sz w:val="24"/>
                <w:szCs w:val="24"/>
                <w:highlight w:val="none"/>
              </w:rPr>
            </w:pPr>
          </w:p>
        </w:tc>
      </w:tr>
      <w:tr w14:paraId="37DF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4F95D42E">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16D9BF4A">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49" w:type="dxa"/>
            <w:noWrap w:val="0"/>
            <w:vAlign w:val="center"/>
          </w:tcPr>
          <w:p w14:paraId="66318676">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c>
          <w:tcPr>
            <w:tcW w:w="555" w:type="dxa"/>
            <w:noWrap w:val="0"/>
            <w:vAlign w:val="top"/>
          </w:tcPr>
          <w:p w14:paraId="5B31CA7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3AEA7D3C">
            <w:pPr>
              <w:shd w:val="clear" w:color="auto" w:fill="auto"/>
              <w:outlineLvl w:val="9"/>
              <w:rPr>
                <w:rFonts w:hint="eastAsia" w:ascii="仿宋" w:hAnsi="仿宋" w:eastAsia="仿宋" w:cs="仿宋"/>
                <w:color w:val="auto"/>
                <w:sz w:val="24"/>
                <w:szCs w:val="24"/>
                <w:highlight w:val="none"/>
              </w:rPr>
            </w:pPr>
          </w:p>
        </w:tc>
      </w:tr>
      <w:tr w14:paraId="640E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14AA1B58">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35FEC7FD">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49" w:type="dxa"/>
            <w:noWrap w:val="0"/>
            <w:vAlign w:val="center"/>
          </w:tcPr>
          <w:p w14:paraId="729DF82A">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具有履行合同所必需的设备和专业技术能力（提供书面声明函）；</w:t>
            </w:r>
          </w:p>
        </w:tc>
        <w:tc>
          <w:tcPr>
            <w:tcW w:w="555" w:type="dxa"/>
            <w:noWrap w:val="0"/>
            <w:vAlign w:val="top"/>
          </w:tcPr>
          <w:p w14:paraId="0AF9F00E">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1F22D3B">
            <w:pPr>
              <w:shd w:val="clear" w:color="auto" w:fill="auto"/>
              <w:outlineLvl w:val="9"/>
              <w:rPr>
                <w:rFonts w:hint="eastAsia" w:ascii="仿宋" w:hAnsi="仿宋" w:eastAsia="仿宋" w:cs="仿宋"/>
                <w:color w:val="auto"/>
                <w:sz w:val="24"/>
                <w:szCs w:val="24"/>
                <w:highlight w:val="none"/>
              </w:rPr>
            </w:pPr>
          </w:p>
        </w:tc>
      </w:tr>
      <w:tr w14:paraId="46D3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7CBE572B">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759FE7D7">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649" w:type="dxa"/>
            <w:noWrap w:val="0"/>
            <w:vAlign w:val="center"/>
          </w:tcPr>
          <w:p w14:paraId="0FCA1420">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提供参加政府采购活动前三年内，在经营活动中没有重大违法记录（承诺函原件扫描件）；</w:t>
            </w:r>
          </w:p>
        </w:tc>
        <w:tc>
          <w:tcPr>
            <w:tcW w:w="555" w:type="dxa"/>
            <w:noWrap w:val="0"/>
            <w:vAlign w:val="top"/>
          </w:tcPr>
          <w:p w14:paraId="365C321E">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3900289D">
            <w:pPr>
              <w:shd w:val="clear" w:color="auto" w:fill="auto"/>
              <w:outlineLvl w:val="9"/>
              <w:rPr>
                <w:rFonts w:hint="eastAsia" w:ascii="仿宋" w:hAnsi="仿宋" w:eastAsia="仿宋" w:cs="仿宋"/>
                <w:color w:val="auto"/>
                <w:sz w:val="24"/>
                <w:szCs w:val="24"/>
                <w:highlight w:val="none"/>
              </w:rPr>
            </w:pPr>
          </w:p>
        </w:tc>
      </w:tr>
      <w:tr w14:paraId="731E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31B795EB">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F3F5E00">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649" w:type="dxa"/>
            <w:noWrap w:val="0"/>
            <w:vAlign w:val="center"/>
          </w:tcPr>
          <w:p w14:paraId="59AB9E11">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企业负责人为同一人或者存在直接控股、管理关系的不同投标人，不得参加同一合同项下的政府采购活动（提供书面声明函）；</w:t>
            </w:r>
          </w:p>
        </w:tc>
        <w:tc>
          <w:tcPr>
            <w:tcW w:w="555" w:type="dxa"/>
            <w:noWrap w:val="0"/>
            <w:vAlign w:val="top"/>
          </w:tcPr>
          <w:p w14:paraId="131F87F3">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3D1D6D1">
            <w:pPr>
              <w:shd w:val="clear" w:color="auto" w:fill="auto"/>
              <w:outlineLvl w:val="9"/>
              <w:rPr>
                <w:rFonts w:hint="eastAsia" w:ascii="仿宋" w:hAnsi="仿宋" w:eastAsia="仿宋" w:cs="仿宋"/>
                <w:color w:val="auto"/>
                <w:sz w:val="24"/>
                <w:szCs w:val="24"/>
                <w:highlight w:val="none"/>
              </w:rPr>
            </w:pPr>
          </w:p>
        </w:tc>
      </w:tr>
      <w:tr w14:paraId="2F00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87" w:type="dxa"/>
            <w:vMerge w:val="continue"/>
            <w:noWrap w:val="0"/>
            <w:vAlign w:val="center"/>
          </w:tcPr>
          <w:p w14:paraId="384F28B4">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5D932941">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649" w:type="dxa"/>
            <w:noWrap w:val="0"/>
            <w:vAlign w:val="center"/>
          </w:tcPr>
          <w:p w14:paraId="26465AA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eastAsia="zh-CN" w:bidi="ar"/>
              </w:rPr>
              <w:t>投标保证金缴纳凭证（银行回单）或保函等票据；</w:t>
            </w:r>
          </w:p>
        </w:tc>
        <w:tc>
          <w:tcPr>
            <w:tcW w:w="555" w:type="dxa"/>
            <w:noWrap w:val="0"/>
            <w:vAlign w:val="top"/>
          </w:tcPr>
          <w:p w14:paraId="3DFEA1E9">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4FA89DC">
            <w:pPr>
              <w:shd w:val="clear" w:color="auto" w:fill="auto"/>
              <w:outlineLvl w:val="9"/>
              <w:rPr>
                <w:rFonts w:hint="eastAsia" w:ascii="仿宋" w:hAnsi="仿宋" w:eastAsia="仿宋" w:cs="仿宋"/>
                <w:color w:val="auto"/>
                <w:sz w:val="24"/>
                <w:szCs w:val="24"/>
                <w:highlight w:val="none"/>
              </w:rPr>
            </w:pPr>
          </w:p>
        </w:tc>
      </w:tr>
      <w:tr w14:paraId="3B20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87" w:type="dxa"/>
            <w:vMerge w:val="continue"/>
            <w:noWrap w:val="0"/>
            <w:vAlign w:val="center"/>
          </w:tcPr>
          <w:p w14:paraId="5D215FD9">
            <w:pPr>
              <w:shd w:val="clear" w:color="auto" w:fill="auto"/>
              <w:jc w:val="center"/>
              <w:outlineLvl w:val="9"/>
              <w:rPr>
                <w:rFonts w:hint="eastAsia" w:ascii="仿宋" w:hAnsi="仿宋" w:eastAsia="仿宋" w:cs="仿宋"/>
                <w:color w:val="auto"/>
                <w:sz w:val="24"/>
                <w:szCs w:val="24"/>
                <w:highlight w:val="none"/>
              </w:rPr>
            </w:pPr>
          </w:p>
        </w:tc>
        <w:tc>
          <w:tcPr>
            <w:tcW w:w="641" w:type="dxa"/>
            <w:noWrap w:val="0"/>
            <w:vAlign w:val="top"/>
          </w:tcPr>
          <w:p w14:paraId="3B8D5BC0">
            <w:pPr>
              <w:shd w:val="clear" w:color="auto" w:fill="auto"/>
              <w:spacing w:line="440" w:lineRule="exact"/>
              <w:outlineLvl w:val="9"/>
              <w:rPr>
                <w:rFonts w:hint="eastAsia" w:ascii="仿宋" w:hAnsi="仿宋" w:eastAsia="仿宋" w:cs="仿宋"/>
                <w:color w:val="auto"/>
                <w:sz w:val="24"/>
                <w:szCs w:val="24"/>
                <w:highlight w:val="none"/>
              </w:rPr>
            </w:pPr>
          </w:p>
        </w:tc>
        <w:tc>
          <w:tcPr>
            <w:tcW w:w="6649" w:type="dxa"/>
            <w:noWrap w:val="0"/>
            <w:vAlign w:val="top"/>
          </w:tcPr>
          <w:p w14:paraId="51743BB1">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4979B6E2">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209" w:type="dxa"/>
            <w:gridSpan w:val="2"/>
            <w:noWrap w:val="0"/>
            <w:vAlign w:val="top"/>
          </w:tcPr>
          <w:p w14:paraId="0C1616AE">
            <w:pPr>
              <w:shd w:val="clear" w:color="auto" w:fill="auto"/>
              <w:outlineLvl w:val="9"/>
              <w:rPr>
                <w:rFonts w:hint="eastAsia" w:ascii="仿宋" w:hAnsi="仿宋" w:eastAsia="仿宋" w:cs="仿宋"/>
                <w:color w:val="auto"/>
                <w:sz w:val="24"/>
                <w:szCs w:val="24"/>
                <w:highlight w:val="none"/>
              </w:rPr>
            </w:pPr>
          </w:p>
        </w:tc>
      </w:tr>
    </w:tbl>
    <w:p w14:paraId="7461CFE8">
      <w:pPr>
        <w:shd w:val="clear" w:color="auto" w:fill="auto"/>
        <w:spacing w:line="40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p w14:paraId="501EF1C2">
      <w:pPr>
        <w:shd w:val="clear" w:color="auto" w:fill="auto"/>
        <w:spacing w:line="400" w:lineRule="exact"/>
        <w:ind w:firstLine="581" w:firstLineChars="24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CB2F68C">
      <w:pPr>
        <w:shd w:val="clear" w:color="auto" w:fill="auto"/>
        <w:spacing w:before="156" w:beforeLines="50" w:line="440" w:lineRule="exact"/>
        <w:ind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r>
        <w:rPr>
          <w:rFonts w:hint="eastAsia" w:ascii="仿宋" w:hAnsi="仿宋" w:eastAsia="仿宋" w:cs="仿宋"/>
          <w:b/>
          <w:color w:val="auto"/>
          <w:sz w:val="24"/>
          <w:szCs w:val="24"/>
          <w:highlight w:val="none"/>
          <w:lang w:eastAsia="zh-CN"/>
        </w:rPr>
        <w:t>（适用于</w:t>
      </w:r>
      <w:r>
        <w:rPr>
          <w:rFonts w:hint="eastAsia" w:ascii="仿宋" w:hAnsi="仿宋" w:eastAsia="仿宋" w:cs="仿宋"/>
          <w:b/>
          <w:color w:val="auto"/>
          <w:sz w:val="24"/>
          <w:szCs w:val="24"/>
          <w:highlight w:val="none"/>
          <w:lang w:val="en-US" w:eastAsia="zh-CN"/>
        </w:rPr>
        <w:t>1包、2包</w:t>
      </w:r>
      <w:r>
        <w:rPr>
          <w:rFonts w:hint="eastAsia" w:ascii="仿宋" w:hAnsi="仿宋" w:eastAsia="仿宋" w:cs="仿宋"/>
          <w:b/>
          <w:color w:val="auto"/>
          <w:sz w:val="24"/>
          <w:szCs w:val="24"/>
          <w:highlight w:val="none"/>
          <w:lang w:eastAsia="zh-CN"/>
        </w:rPr>
        <w:t>）</w:t>
      </w:r>
    </w:p>
    <w:p w14:paraId="3CCE4E41">
      <w:pPr>
        <w:shd w:val="clear" w:color="auto" w:fill="auto"/>
        <w:spacing w:line="4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．1评审细则</w:t>
      </w:r>
    </w:p>
    <w:tbl>
      <w:tblPr>
        <w:tblStyle w:val="26"/>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4"/>
        <w:gridCol w:w="677"/>
        <w:gridCol w:w="6722"/>
        <w:gridCol w:w="463"/>
        <w:gridCol w:w="559"/>
      </w:tblGrid>
      <w:tr w14:paraId="444FC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14" w:type="dxa"/>
            <w:vMerge w:val="restart"/>
            <w:tcBorders>
              <w:top w:val="single" w:color="auto" w:sz="4" w:space="0"/>
              <w:left w:val="single" w:color="auto" w:sz="4" w:space="0"/>
            </w:tcBorders>
            <w:noWrap w:val="0"/>
            <w:vAlign w:val="center"/>
          </w:tcPr>
          <w:p w14:paraId="68B50FB9">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399" w:type="dxa"/>
            <w:gridSpan w:val="2"/>
            <w:vMerge w:val="restart"/>
            <w:tcBorders>
              <w:top w:val="single" w:color="auto" w:sz="4" w:space="0"/>
            </w:tcBorders>
            <w:noWrap w:val="0"/>
            <w:vAlign w:val="center"/>
          </w:tcPr>
          <w:p w14:paraId="6DD464D0">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022" w:type="dxa"/>
            <w:gridSpan w:val="2"/>
            <w:tcBorders>
              <w:top w:val="single" w:color="auto" w:sz="4" w:space="0"/>
              <w:right w:val="single" w:color="auto" w:sz="4" w:space="0"/>
            </w:tcBorders>
            <w:noWrap w:val="0"/>
            <w:vAlign w:val="center"/>
          </w:tcPr>
          <w:p w14:paraId="7522DEDC">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43D2C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bottom w:val="single" w:color="auto" w:sz="4" w:space="0"/>
            </w:tcBorders>
            <w:noWrap w:val="0"/>
            <w:vAlign w:val="center"/>
          </w:tcPr>
          <w:p w14:paraId="022B32A8">
            <w:pPr>
              <w:shd w:val="clear" w:color="auto" w:fill="auto"/>
              <w:outlineLvl w:val="9"/>
              <w:rPr>
                <w:rFonts w:hint="eastAsia" w:ascii="仿宋" w:hAnsi="仿宋" w:eastAsia="仿宋" w:cs="仿宋"/>
                <w:color w:val="auto"/>
                <w:sz w:val="24"/>
                <w:szCs w:val="24"/>
                <w:highlight w:val="none"/>
              </w:rPr>
            </w:pPr>
          </w:p>
        </w:tc>
        <w:tc>
          <w:tcPr>
            <w:tcW w:w="7399" w:type="dxa"/>
            <w:gridSpan w:val="2"/>
            <w:vMerge w:val="continue"/>
            <w:tcBorders>
              <w:bottom w:val="single" w:color="auto" w:sz="4" w:space="0"/>
            </w:tcBorders>
            <w:noWrap w:val="0"/>
            <w:vAlign w:val="top"/>
          </w:tcPr>
          <w:p w14:paraId="6E9D5CC6">
            <w:pPr>
              <w:shd w:val="clear" w:color="auto" w:fill="auto"/>
              <w:outlineLvl w:val="9"/>
              <w:rPr>
                <w:rFonts w:hint="eastAsia" w:ascii="仿宋" w:hAnsi="仿宋" w:eastAsia="仿宋" w:cs="仿宋"/>
                <w:color w:val="auto"/>
                <w:sz w:val="24"/>
                <w:szCs w:val="24"/>
                <w:highlight w:val="none"/>
              </w:rPr>
            </w:pPr>
          </w:p>
        </w:tc>
        <w:tc>
          <w:tcPr>
            <w:tcW w:w="463" w:type="dxa"/>
            <w:noWrap w:val="0"/>
            <w:vAlign w:val="center"/>
          </w:tcPr>
          <w:p w14:paraId="09608CD5">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559" w:type="dxa"/>
            <w:tcBorders>
              <w:right w:val="single" w:color="auto" w:sz="4" w:space="0"/>
            </w:tcBorders>
            <w:noWrap w:val="0"/>
            <w:vAlign w:val="center"/>
          </w:tcPr>
          <w:p w14:paraId="76EF8CD2">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67BA5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14" w:type="dxa"/>
            <w:vMerge w:val="restart"/>
            <w:tcBorders>
              <w:top w:val="single" w:color="auto" w:sz="4" w:space="0"/>
              <w:left w:val="single" w:color="auto" w:sz="4" w:space="0"/>
              <w:right w:val="single" w:color="auto" w:sz="4" w:space="0"/>
            </w:tcBorders>
            <w:noWrap w:val="0"/>
            <w:vAlign w:val="center"/>
          </w:tcPr>
          <w:p w14:paraId="497B28E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030CCB8B">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2064E64E">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5CEB9D8E">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677" w:type="dxa"/>
            <w:tcBorders>
              <w:top w:val="single" w:color="auto" w:sz="4" w:space="0"/>
              <w:left w:val="single" w:color="auto" w:sz="4" w:space="0"/>
              <w:right w:val="single" w:color="auto" w:sz="4" w:space="0"/>
            </w:tcBorders>
            <w:noWrap w:val="0"/>
            <w:vAlign w:val="center"/>
          </w:tcPr>
          <w:p w14:paraId="0BCF99D6">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2" w:type="dxa"/>
            <w:tcBorders>
              <w:top w:val="single" w:color="auto" w:sz="4" w:space="0"/>
              <w:left w:val="single" w:color="auto" w:sz="4" w:space="0"/>
              <w:right w:val="single" w:color="auto" w:sz="4" w:space="0"/>
            </w:tcBorders>
            <w:noWrap w:val="0"/>
            <w:vAlign w:val="center"/>
          </w:tcPr>
          <w:p w14:paraId="0552B3E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投标文件组成是否完整，主要内容是否齐全；</w:t>
            </w:r>
          </w:p>
        </w:tc>
        <w:tc>
          <w:tcPr>
            <w:tcW w:w="463" w:type="dxa"/>
            <w:tcBorders>
              <w:left w:val="single" w:color="auto" w:sz="4" w:space="0"/>
              <w:right w:val="single" w:color="auto" w:sz="4" w:space="0"/>
            </w:tcBorders>
            <w:noWrap w:val="0"/>
            <w:vAlign w:val="top"/>
          </w:tcPr>
          <w:p w14:paraId="6A5A27FB">
            <w:pPr>
              <w:shd w:val="clear" w:color="auto" w:fill="auto"/>
              <w:jc w:val="center"/>
              <w:outlineLvl w:val="9"/>
              <w:rPr>
                <w:rFonts w:hint="eastAsia" w:ascii="仿宋" w:hAnsi="仿宋" w:eastAsia="仿宋" w:cs="仿宋"/>
                <w:b/>
                <w:color w:val="auto"/>
                <w:sz w:val="24"/>
                <w:szCs w:val="24"/>
                <w:highlight w:val="none"/>
              </w:rPr>
            </w:pPr>
          </w:p>
        </w:tc>
        <w:tc>
          <w:tcPr>
            <w:tcW w:w="559" w:type="dxa"/>
            <w:tcBorders>
              <w:left w:val="single" w:color="auto" w:sz="4" w:space="0"/>
              <w:right w:val="single" w:color="auto" w:sz="4" w:space="0"/>
            </w:tcBorders>
            <w:noWrap w:val="0"/>
            <w:vAlign w:val="top"/>
          </w:tcPr>
          <w:p w14:paraId="3F3A8C6E">
            <w:pPr>
              <w:shd w:val="clear" w:color="auto" w:fill="auto"/>
              <w:jc w:val="center"/>
              <w:outlineLvl w:val="9"/>
              <w:rPr>
                <w:rFonts w:hint="eastAsia" w:ascii="仿宋" w:hAnsi="仿宋" w:eastAsia="仿宋" w:cs="仿宋"/>
                <w:b/>
                <w:color w:val="auto"/>
                <w:sz w:val="24"/>
                <w:szCs w:val="24"/>
                <w:highlight w:val="none"/>
              </w:rPr>
            </w:pPr>
          </w:p>
        </w:tc>
      </w:tr>
      <w:tr w14:paraId="06178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4" w:type="dxa"/>
            <w:vMerge w:val="continue"/>
            <w:tcBorders>
              <w:left w:val="single" w:color="auto" w:sz="4" w:space="0"/>
              <w:right w:val="single" w:color="auto" w:sz="4" w:space="0"/>
            </w:tcBorders>
            <w:noWrap w:val="0"/>
            <w:vAlign w:val="center"/>
          </w:tcPr>
          <w:p w14:paraId="2DDFC511">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A4776FD">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2" w:type="dxa"/>
            <w:tcBorders>
              <w:top w:val="single" w:color="auto" w:sz="4" w:space="0"/>
              <w:left w:val="single" w:color="auto" w:sz="4" w:space="0"/>
              <w:bottom w:val="single" w:color="auto" w:sz="4" w:space="0"/>
              <w:right w:val="single" w:color="auto" w:sz="4" w:space="0"/>
            </w:tcBorders>
            <w:noWrap w:val="0"/>
            <w:vAlign w:val="center"/>
          </w:tcPr>
          <w:p w14:paraId="1D59620E">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投标文件是否按采购文件要求进行签字或盖章；</w:t>
            </w:r>
          </w:p>
        </w:tc>
        <w:tc>
          <w:tcPr>
            <w:tcW w:w="463" w:type="dxa"/>
            <w:tcBorders>
              <w:left w:val="single" w:color="auto" w:sz="4" w:space="0"/>
            </w:tcBorders>
            <w:noWrap w:val="0"/>
            <w:vAlign w:val="top"/>
          </w:tcPr>
          <w:p w14:paraId="74CB6C6D">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7C5FCED0">
            <w:pPr>
              <w:shd w:val="clear" w:color="auto" w:fill="auto"/>
              <w:outlineLvl w:val="9"/>
              <w:rPr>
                <w:rFonts w:hint="eastAsia" w:ascii="仿宋" w:hAnsi="仿宋" w:eastAsia="仿宋" w:cs="仿宋"/>
                <w:color w:val="auto"/>
                <w:sz w:val="24"/>
                <w:szCs w:val="24"/>
                <w:highlight w:val="none"/>
              </w:rPr>
            </w:pPr>
          </w:p>
        </w:tc>
      </w:tr>
      <w:tr w14:paraId="71167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014" w:type="dxa"/>
            <w:vMerge w:val="continue"/>
            <w:tcBorders>
              <w:left w:val="single" w:color="auto" w:sz="4" w:space="0"/>
              <w:right w:val="single" w:color="auto" w:sz="4" w:space="0"/>
            </w:tcBorders>
            <w:noWrap w:val="0"/>
            <w:vAlign w:val="center"/>
          </w:tcPr>
          <w:p w14:paraId="2DDF0504">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right w:val="single" w:color="auto" w:sz="4" w:space="0"/>
            </w:tcBorders>
            <w:noWrap w:val="0"/>
            <w:vAlign w:val="center"/>
          </w:tcPr>
          <w:p w14:paraId="7E7CDD4B">
            <w:pPr>
              <w:widowControl/>
              <w:shd w:val="clear" w:color="auto" w:fill="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2" w:type="dxa"/>
            <w:tcBorders>
              <w:top w:val="single" w:color="auto" w:sz="4" w:space="0"/>
              <w:left w:val="single" w:color="auto" w:sz="4" w:space="0"/>
              <w:right w:val="single" w:color="auto" w:sz="4" w:space="0"/>
            </w:tcBorders>
            <w:noWrap w:val="0"/>
            <w:vAlign w:val="center"/>
          </w:tcPr>
          <w:p w14:paraId="09477C29">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的报价未超过</w:t>
            </w:r>
            <w:r>
              <w:rPr>
                <w:rFonts w:hint="eastAsia" w:ascii="仿宋" w:hAnsi="仿宋" w:eastAsia="仿宋" w:cs="仿宋"/>
                <w:color w:val="auto"/>
                <w:sz w:val="24"/>
                <w:szCs w:val="24"/>
                <w:highlight w:val="none"/>
                <w:lang w:val="en-US" w:eastAsia="zh-CN"/>
              </w:rPr>
              <w:t>最高限价的</w:t>
            </w:r>
            <w:r>
              <w:rPr>
                <w:rFonts w:hint="eastAsia" w:ascii="仿宋" w:hAnsi="仿宋" w:eastAsia="仿宋" w:cs="仿宋"/>
                <w:color w:val="auto"/>
                <w:sz w:val="24"/>
                <w:szCs w:val="24"/>
                <w:highlight w:val="none"/>
              </w:rPr>
              <w:t>；</w:t>
            </w:r>
          </w:p>
        </w:tc>
        <w:tc>
          <w:tcPr>
            <w:tcW w:w="463" w:type="dxa"/>
            <w:tcBorders>
              <w:left w:val="single" w:color="auto" w:sz="4" w:space="0"/>
            </w:tcBorders>
            <w:noWrap w:val="0"/>
            <w:vAlign w:val="top"/>
          </w:tcPr>
          <w:p w14:paraId="092AA9E6">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3D4F3EC3">
            <w:pPr>
              <w:shd w:val="clear" w:color="auto" w:fill="auto"/>
              <w:outlineLvl w:val="9"/>
              <w:rPr>
                <w:rFonts w:hint="eastAsia" w:ascii="仿宋" w:hAnsi="仿宋" w:eastAsia="仿宋" w:cs="仿宋"/>
                <w:color w:val="auto"/>
                <w:sz w:val="24"/>
                <w:szCs w:val="24"/>
                <w:highlight w:val="none"/>
              </w:rPr>
            </w:pPr>
          </w:p>
        </w:tc>
      </w:tr>
      <w:tr w14:paraId="0E6F4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014" w:type="dxa"/>
            <w:vMerge w:val="continue"/>
            <w:tcBorders>
              <w:left w:val="single" w:color="auto" w:sz="4" w:space="0"/>
              <w:right w:val="single" w:color="auto" w:sz="4" w:space="0"/>
            </w:tcBorders>
            <w:noWrap w:val="0"/>
            <w:vAlign w:val="center"/>
          </w:tcPr>
          <w:p w14:paraId="4DA42724">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tcBorders>
            <w:noWrap w:val="0"/>
            <w:vAlign w:val="center"/>
          </w:tcPr>
          <w:p w14:paraId="3DF5FFC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722" w:type="dxa"/>
            <w:tcBorders>
              <w:right w:val="single" w:color="auto" w:sz="4" w:space="0"/>
            </w:tcBorders>
            <w:noWrap w:val="0"/>
            <w:vAlign w:val="center"/>
          </w:tcPr>
          <w:p w14:paraId="0FDF2B9B">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投标有效期自提交投标文件截止之日起</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日历日；</w:t>
            </w:r>
          </w:p>
        </w:tc>
        <w:tc>
          <w:tcPr>
            <w:tcW w:w="463" w:type="dxa"/>
            <w:tcBorders>
              <w:left w:val="single" w:color="auto" w:sz="4" w:space="0"/>
            </w:tcBorders>
            <w:noWrap w:val="0"/>
            <w:vAlign w:val="top"/>
          </w:tcPr>
          <w:p w14:paraId="4408211B">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4C76E2C5">
            <w:pPr>
              <w:shd w:val="clear" w:color="auto" w:fill="auto"/>
              <w:outlineLvl w:val="9"/>
              <w:rPr>
                <w:rFonts w:hint="eastAsia" w:ascii="仿宋" w:hAnsi="仿宋" w:eastAsia="仿宋" w:cs="仿宋"/>
                <w:color w:val="auto"/>
                <w:sz w:val="24"/>
                <w:szCs w:val="24"/>
                <w:highlight w:val="none"/>
              </w:rPr>
            </w:pPr>
          </w:p>
        </w:tc>
      </w:tr>
      <w:tr w14:paraId="793D4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19250D92">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1C1CA7B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2" w:type="dxa"/>
            <w:tcBorders>
              <w:bottom w:val="single" w:color="auto" w:sz="4" w:space="0"/>
              <w:right w:val="single" w:color="auto" w:sz="4" w:space="0"/>
            </w:tcBorders>
            <w:noWrap w:val="0"/>
            <w:vAlign w:val="center"/>
          </w:tcPr>
          <w:p w14:paraId="7C410926">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投标报价按照招标文件要求进行报价，没有删除、缺项、漏项（数量不符合将被视为漏项）的；</w:t>
            </w:r>
          </w:p>
        </w:tc>
        <w:tc>
          <w:tcPr>
            <w:tcW w:w="463" w:type="dxa"/>
            <w:tcBorders>
              <w:left w:val="single" w:color="auto" w:sz="4" w:space="0"/>
              <w:bottom w:val="single" w:color="auto" w:sz="4" w:space="0"/>
            </w:tcBorders>
            <w:noWrap w:val="0"/>
            <w:vAlign w:val="top"/>
          </w:tcPr>
          <w:p w14:paraId="4A5BDD56">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5CF59835">
            <w:pPr>
              <w:shd w:val="clear" w:color="auto" w:fill="auto"/>
              <w:outlineLvl w:val="9"/>
              <w:rPr>
                <w:rFonts w:hint="eastAsia" w:ascii="仿宋" w:hAnsi="仿宋" w:eastAsia="仿宋" w:cs="仿宋"/>
                <w:color w:val="auto"/>
                <w:sz w:val="24"/>
                <w:szCs w:val="24"/>
                <w:highlight w:val="none"/>
              </w:rPr>
            </w:pPr>
          </w:p>
        </w:tc>
      </w:tr>
      <w:tr w14:paraId="33165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79B3FB80">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70A8812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2" w:type="dxa"/>
            <w:tcBorders>
              <w:bottom w:val="single" w:color="auto" w:sz="4" w:space="0"/>
              <w:right w:val="single" w:color="auto" w:sz="4" w:space="0"/>
            </w:tcBorders>
            <w:noWrap w:val="0"/>
            <w:vAlign w:val="center"/>
          </w:tcPr>
          <w:p w14:paraId="143DD933">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投标文件未含有采购人不能接受的附加条件。</w:t>
            </w:r>
          </w:p>
        </w:tc>
        <w:tc>
          <w:tcPr>
            <w:tcW w:w="463" w:type="dxa"/>
            <w:tcBorders>
              <w:left w:val="single" w:color="auto" w:sz="4" w:space="0"/>
              <w:bottom w:val="single" w:color="auto" w:sz="4" w:space="0"/>
            </w:tcBorders>
            <w:noWrap w:val="0"/>
            <w:vAlign w:val="top"/>
          </w:tcPr>
          <w:p w14:paraId="5B8093A6">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06F05346">
            <w:pPr>
              <w:shd w:val="clear" w:color="auto" w:fill="auto"/>
              <w:outlineLvl w:val="9"/>
              <w:rPr>
                <w:rFonts w:hint="eastAsia" w:ascii="仿宋" w:hAnsi="仿宋" w:eastAsia="仿宋" w:cs="仿宋"/>
                <w:color w:val="auto"/>
                <w:sz w:val="24"/>
                <w:szCs w:val="24"/>
                <w:highlight w:val="none"/>
              </w:rPr>
            </w:pPr>
          </w:p>
        </w:tc>
      </w:tr>
      <w:tr w14:paraId="06417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6FEFDF44">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1355AFF0">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2" w:type="dxa"/>
            <w:tcBorders>
              <w:bottom w:val="single" w:color="auto" w:sz="4" w:space="0"/>
              <w:right w:val="single" w:color="auto" w:sz="4" w:space="0"/>
            </w:tcBorders>
            <w:noWrap w:val="0"/>
            <w:vAlign w:val="center"/>
          </w:tcPr>
          <w:p w14:paraId="2B460312">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是否符合法律、法规和采购文件中规定的其他实质性要求；</w:t>
            </w:r>
          </w:p>
        </w:tc>
        <w:tc>
          <w:tcPr>
            <w:tcW w:w="463" w:type="dxa"/>
            <w:tcBorders>
              <w:left w:val="single" w:color="auto" w:sz="4" w:space="0"/>
              <w:bottom w:val="single" w:color="auto" w:sz="4" w:space="0"/>
            </w:tcBorders>
            <w:noWrap w:val="0"/>
            <w:vAlign w:val="top"/>
          </w:tcPr>
          <w:p w14:paraId="461EF53D">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06120D9E">
            <w:pPr>
              <w:shd w:val="clear" w:color="auto" w:fill="auto"/>
              <w:outlineLvl w:val="9"/>
              <w:rPr>
                <w:rFonts w:hint="eastAsia" w:ascii="仿宋" w:hAnsi="仿宋" w:eastAsia="仿宋" w:cs="仿宋"/>
                <w:color w:val="auto"/>
                <w:sz w:val="24"/>
                <w:szCs w:val="24"/>
                <w:highlight w:val="none"/>
              </w:rPr>
            </w:pPr>
          </w:p>
        </w:tc>
      </w:tr>
      <w:tr w14:paraId="7622C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014" w:type="dxa"/>
            <w:vMerge w:val="continue"/>
            <w:tcBorders>
              <w:left w:val="single" w:color="auto" w:sz="4" w:space="0"/>
              <w:right w:val="single" w:color="auto" w:sz="4" w:space="0"/>
            </w:tcBorders>
            <w:noWrap w:val="0"/>
            <w:vAlign w:val="center"/>
          </w:tcPr>
          <w:p w14:paraId="5A9468BF">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E28E488">
            <w:pPr>
              <w:widowControl/>
              <w:shd w:val="clear" w:color="auto" w:fill="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2" w:type="dxa"/>
            <w:tcBorders>
              <w:top w:val="single" w:color="auto" w:sz="4" w:space="0"/>
              <w:left w:val="single" w:color="auto" w:sz="4" w:space="0"/>
              <w:bottom w:val="single" w:color="auto" w:sz="4" w:space="0"/>
              <w:right w:val="single" w:color="auto" w:sz="4" w:space="0"/>
            </w:tcBorders>
            <w:noWrap w:val="0"/>
            <w:vAlign w:val="center"/>
          </w:tcPr>
          <w:p w14:paraId="60FED4DA">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投标人详细地址、联系人、电话</w:t>
            </w:r>
            <w:r>
              <w:rPr>
                <w:rFonts w:hint="eastAsia" w:ascii="仿宋" w:hAnsi="仿宋" w:eastAsia="仿宋" w:cs="仿宋"/>
                <w:color w:val="auto"/>
                <w:sz w:val="24"/>
                <w:szCs w:val="24"/>
                <w:highlight w:val="none"/>
                <w:lang w:eastAsia="zh-CN"/>
              </w:rPr>
              <w:t>；</w:t>
            </w:r>
          </w:p>
        </w:tc>
        <w:tc>
          <w:tcPr>
            <w:tcW w:w="463" w:type="dxa"/>
            <w:tcBorders>
              <w:top w:val="single" w:color="auto" w:sz="4" w:space="0"/>
              <w:left w:val="single" w:color="auto" w:sz="4" w:space="0"/>
              <w:bottom w:val="single" w:color="auto" w:sz="4" w:space="0"/>
              <w:right w:val="single" w:color="auto" w:sz="4" w:space="0"/>
            </w:tcBorders>
            <w:noWrap w:val="0"/>
            <w:vAlign w:val="top"/>
          </w:tcPr>
          <w:p w14:paraId="3725C0E6">
            <w:pPr>
              <w:shd w:val="clear" w:color="auto" w:fill="auto"/>
              <w:outlineLvl w:val="9"/>
              <w:rPr>
                <w:rFonts w:hint="eastAsia" w:ascii="仿宋" w:hAnsi="仿宋" w:eastAsia="仿宋" w:cs="仿宋"/>
                <w:color w:val="auto"/>
                <w:sz w:val="24"/>
                <w:szCs w:val="24"/>
                <w:highlight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14:paraId="1AD6C3C5">
            <w:pPr>
              <w:shd w:val="clear" w:color="auto" w:fill="auto"/>
              <w:outlineLvl w:val="9"/>
              <w:rPr>
                <w:rFonts w:hint="eastAsia" w:ascii="仿宋" w:hAnsi="仿宋" w:eastAsia="仿宋" w:cs="仿宋"/>
                <w:color w:val="auto"/>
                <w:sz w:val="24"/>
                <w:szCs w:val="24"/>
                <w:highlight w:val="none"/>
              </w:rPr>
            </w:pPr>
          </w:p>
        </w:tc>
      </w:tr>
      <w:tr w14:paraId="1EDCF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14" w:type="dxa"/>
            <w:tcBorders>
              <w:left w:val="single" w:color="auto" w:sz="4" w:space="0"/>
              <w:bottom w:val="single" w:color="auto" w:sz="4" w:space="0"/>
              <w:right w:val="single" w:color="auto" w:sz="4" w:space="0"/>
            </w:tcBorders>
            <w:noWrap w:val="0"/>
            <w:vAlign w:val="center"/>
          </w:tcPr>
          <w:p w14:paraId="65BDC465">
            <w:pPr>
              <w:shd w:val="clear" w:color="auto" w:fill="auto"/>
              <w:jc w:val="center"/>
              <w:outlineLvl w:val="9"/>
              <w:rPr>
                <w:rFonts w:hint="eastAsia" w:ascii="仿宋" w:hAnsi="仿宋" w:eastAsia="仿宋" w:cs="仿宋"/>
                <w:color w:val="auto"/>
                <w:sz w:val="24"/>
                <w:szCs w:val="24"/>
                <w:highlight w:val="none"/>
              </w:rPr>
            </w:pPr>
          </w:p>
        </w:tc>
        <w:tc>
          <w:tcPr>
            <w:tcW w:w="7399" w:type="dxa"/>
            <w:gridSpan w:val="2"/>
            <w:tcBorders>
              <w:left w:val="single" w:color="auto" w:sz="4" w:space="0"/>
              <w:bottom w:val="single" w:color="auto" w:sz="4" w:space="0"/>
              <w:right w:val="single" w:color="auto" w:sz="4" w:space="0"/>
            </w:tcBorders>
            <w:noWrap w:val="0"/>
            <w:vAlign w:val="top"/>
          </w:tcPr>
          <w:p w14:paraId="3BE2EBC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41517A8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022" w:type="dxa"/>
            <w:gridSpan w:val="2"/>
            <w:tcBorders>
              <w:left w:val="single" w:color="auto" w:sz="4" w:space="0"/>
              <w:bottom w:val="single" w:color="auto" w:sz="4" w:space="0"/>
              <w:right w:val="single" w:color="auto" w:sz="4" w:space="0"/>
            </w:tcBorders>
            <w:noWrap w:val="0"/>
            <w:vAlign w:val="top"/>
          </w:tcPr>
          <w:p w14:paraId="4EA50957">
            <w:pPr>
              <w:shd w:val="clear" w:color="auto" w:fill="auto"/>
              <w:outlineLvl w:val="9"/>
              <w:rPr>
                <w:rFonts w:hint="eastAsia" w:ascii="仿宋" w:hAnsi="仿宋" w:eastAsia="仿宋" w:cs="仿宋"/>
                <w:color w:val="auto"/>
                <w:sz w:val="24"/>
                <w:szCs w:val="24"/>
                <w:highlight w:val="none"/>
              </w:rPr>
            </w:pPr>
          </w:p>
        </w:tc>
      </w:tr>
    </w:tbl>
    <w:p w14:paraId="4C5A6CE2">
      <w:pPr>
        <w:shd w:val="clear" w:color="auto" w:fill="auto"/>
        <w:bidi w:val="0"/>
        <w:outlineLvl w:val="9"/>
        <w:rPr>
          <w:rFonts w:hint="eastAsia" w:ascii="仿宋" w:hAnsi="仿宋" w:eastAsia="仿宋" w:cs="仿宋"/>
          <w:color w:val="auto"/>
          <w:sz w:val="24"/>
          <w:szCs w:val="24"/>
          <w:highlight w:val="none"/>
        </w:rPr>
      </w:pPr>
    </w:p>
    <w:p w14:paraId="4FD2B6C1">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.2评委会判定投标文件的响应性只根据投标文件本身的内容，而不寻求外部的证据，但投标有不真实不正确的内容时除外。</w:t>
      </w:r>
    </w:p>
    <w:p w14:paraId="1427C4E1">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.3如果投标文件实质上没有响应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17072FE0">
      <w:pPr>
        <w:shd w:val="clear" w:color="auto" w:fill="auto"/>
        <w:spacing w:line="40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.4投标人可在现场20分钟内对评标委员会的评审结论提出异议，评标委员会根据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及有关规定对投标人的异议进行复议</w:t>
      </w:r>
      <w:r>
        <w:rPr>
          <w:rFonts w:hint="eastAsia" w:ascii="仿宋" w:hAnsi="仿宋" w:eastAsia="仿宋" w:cs="仿宋"/>
          <w:color w:val="auto"/>
          <w:sz w:val="24"/>
          <w:szCs w:val="24"/>
          <w:highlight w:val="none"/>
          <w:lang w:eastAsia="zh-CN"/>
        </w:rPr>
        <w:t>。</w:t>
      </w:r>
    </w:p>
    <w:p w14:paraId="6EBC5507">
      <w:pPr>
        <w:shd w:val="clear" w:color="auto" w:fill="auto"/>
        <w:spacing w:line="40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.5只有通过初审的投标人才能进入下一步评标程序。</w:t>
      </w:r>
    </w:p>
    <w:p w14:paraId="76D554B7">
      <w:pPr>
        <w:shd w:val="clear" w:color="auto" w:fill="auto"/>
        <w:spacing w:line="40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53048F9">
      <w:pPr>
        <w:shd w:val="clear" w:color="auto" w:fill="auto"/>
        <w:spacing w:before="156" w:beforeLines="50" w:line="400" w:lineRule="exact"/>
        <w:jc w:val="center"/>
        <w:outlineLvl w:val="9"/>
        <w:rPr>
          <w:rFonts w:hint="eastAsia" w:ascii="仿宋" w:hAnsi="仿宋" w:eastAsia="仿宋" w:cs="仿宋"/>
          <w:b/>
          <w:color w:val="auto"/>
          <w:sz w:val="24"/>
          <w:szCs w:val="24"/>
          <w:highlight w:val="none"/>
        </w:rPr>
      </w:pPr>
      <w:bookmarkStart w:id="54" w:name="_Toc362983803"/>
      <w:bookmarkStart w:id="55" w:name="_Toc469495734"/>
      <w:r>
        <w:rPr>
          <w:rFonts w:hint="eastAsia" w:ascii="仿宋" w:hAnsi="仿宋" w:eastAsia="仿宋" w:cs="仿宋"/>
          <w:b/>
          <w:color w:val="auto"/>
          <w:sz w:val="24"/>
          <w:szCs w:val="24"/>
          <w:highlight w:val="none"/>
        </w:rPr>
        <w:t>三  投标文件的澄清和补正</w:t>
      </w:r>
      <w:bookmarkEnd w:id="54"/>
      <w:bookmarkEnd w:id="55"/>
    </w:p>
    <w:p w14:paraId="72A8A95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8．澄清、说明或补正的形式</w:t>
      </w:r>
    </w:p>
    <w:p w14:paraId="11C9D0F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5D982B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E06219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98758B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9．错误修正的原则</w:t>
      </w:r>
    </w:p>
    <w:p w14:paraId="21B3B76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2844892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460733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3C72A47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 投标文件中的大写金额和小写金额不一致的，以大写金额为准；</w:t>
      </w:r>
    </w:p>
    <w:p w14:paraId="72840B1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 单价金额小数点或者百分比有明显错位的，以开标一览表的总价为准，并修改单价；</w:t>
      </w:r>
    </w:p>
    <w:p w14:paraId="7B21881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 总价金额与按单价汇总金额不一致的，以单价金额计算结果为准；</w:t>
      </w:r>
    </w:p>
    <w:p w14:paraId="4C80AA0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9.5 若用文字表示的数值与用数字表示的数值不一致，以文字表示的数值为准；</w:t>
      </w:r>
    </w:p>
    <w:p w14:paraId="38A62A5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9.6 如有多报（指数量超出采购文件需求）、重报（指同一服务重复报价），其投标总价在评标过程中不予调整，如其中标，其合同价按其投标单价予以调整；</w:t>
      </w:r>
    </w:p>
    <w:p w14:paraId="0DCB0B9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9.7 对不同文字文本投标文件的解释发生异议的，以中文文本为准；</w:t>
      </w:r>
    </w:p>
    <w:p w14:paraId="41F4823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52BA3B0">
      <w:pPr>
        <w:shd w:val="clear" w:color="auto" w:fill="auto"/>
        <w:spacing w:line="400" w:lineRule="exact"/>
        <w:ind w:firstLine="460" w:firstLineChars="192"/>
        <w:outlineLvl w:val="9"/>
        <w:rPr>
          <w:rFonts w:hint="eastAsia" w:ascii="仿宋" w:hAnsi="仿宋" w:eastAsia="仿宋" w:cs="仿宋"/>
          <w:color w:val="auto"/>
          <w:sz w:val="24"/>
          <w:szCs w:val="24"/>
          <w:highlight w:val="none"/>
        </w:rPr>
      </w:pPr>
    </w:p>
    <w:p w14:paraId="706A447F">
      <w:pPr>
        <w:shd w:val="clear" w:color="auto" w:fill="auto"/>
        <w:spacing w:line="400" w:lineRule="exact"/>
        <w:jc w:val="center"/>
        <w:outlineLvl w:val="9"/>
        <w:rPr>
          <w:rFonts w:hint="eastAsia" w:ascii="仿宋" w:hAnsi="仿宋" w:eastAsia="仿宋" w:cs="仿宋"/>
          <w:b/>
          <w:color w:val="auto"/>
          <w:sz w:val="24"/>
          <w:szCs w:val="24"/>
          <w:highlight w:val="none"/>
        </w:rPr>
      </w:pPr>
      <w:bookmarkStart w:id="56" w:name="_Toc469495735"/>
      <w:r>
        <w:rPr>
          <w:rFonts w:hint="eastAsia" w:ascii="仿宋" w:hAnsi="仿宋" w:eastAsia="仿宋" w:cs="仿宋"/>
          <w:b/>
          <w:color w:val="auto"/>
          <w:sz w:val="24"/>
          <w:szCs w:val="24"/>
          <w:highlight w:val="none"/>
        </w:rPr>
        <w:t>四 比较与评价</w:t>
      </w:r>
      <w:bookmarkEnd w:id="56"/>
    </w:p>
    <w:p w14:paraId="6C932D35">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bookmarkStart w:id="57" w:name="_Toc362983805"/>
      <w:bookmarkStart w:id="58" w:name="_Toc469495736"/>
      <w:r>
        <w:rPr>
          <w:rFonts w:hint="eastAsia" w:ascii="仿宋" w:hAnsi="仿宋" w:eastAsia="仿宋" w:cs="仿宋"/>
          <w:color w:val="auto"/>
          <w:sz w:val="24"/>
          <w:szCs w:val="24"/>
          <w:highlight w:val="none"/>
          <w:lang w:val="en-US" w:eastAsia="zh-CN" w:bidi="ar-SA"/>
        </w:rPr>
        <w:t>10.1</w:t>
      </w:r>
      <w:r>
        <w:rPr>
          <w:rFonts w:hint="eastAsia" w:ascii="仿宋" w:hAnsi="仿宋" w:eastAsia="仿宋" w:cs="仿宋"/>
          <w:color w:val="auto"/>
          <w:sz w:val="24"/>
          <w:szCs w:val="24"/>
          <w:highlight w:val="none"/>
          <w:lang w:bidi="ar-SA"/>
        </w:rPr>
        <w:t>评标委员会按招标文件中规定的评标方法和标准，对资格性检查和符合性检查合格的投标文件进行商务和技术评估、综合比较与评价。</w:t>
      </w:r>
    </w:p>
    <w:p w14:paraId="129B4EE0">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val="en-US" w:eastAsia="zh-CN" w:bidi="ar-SA"/>
        </w:rPr>
        <w:t>10.2</w:t>
      </w:r>
      <w:r>
        <w:rPr>
          <w:rFonts w:hint="eastAsia" w:ascii="仿宋" w:hAnsi="仿宋" w:eastAsia="仿宋" w:cs="仿宋"/>
          <w:color w:val="auto"/>
          <w:sz w:val="24"/>
          <w:szCs w:val="24"/>
          <w:highlight w:val="none"/>
          <w:lang w:bidi="ar-SA"/>
        </w:rPr>
        <w:t>评标委员会根据商务和技术评估的结果，采用综合评分法，分别对投标文件的商务、技术、价格等内容进行打分。其中，商务评估、技术评估、价格评估的评分权值（详见附件1）。</w:t>
      </w:r>
    </w:p>
    <w:p w14:paraId="455A35A3">
      <w:pPr>
        <w:shd w:val="clear" w:color="auto" w:fill="auto"/>
        <w:spacing w:line="440" w:lineRule="exact"/>
        <w:ind w:firstLine="616" w:firstLineChars="257"/>
        <w:outlineLvl w:val="9"/>
        <w:rPr>
          <w:rFonts w:hint="eastAsia" w:ascii="仿宋" w:hAnsi="仿宋" w:eastAsia="仿宋" w:cs="仿宋"/>
          <w:bCs/>
          <w:color w:val="auto"/>
          <w:sz w:val="24"/>
          <w:szCs w:val="24"/>
          <w:highlight w:val="none"/>
          <w:lang w:bidi="ar-SA"/>
        </w:rPr>
      </w:pP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bCs/>
          <w:color w:val="auto"/>
          <w:sz w:val="24"/>
          <w:szCs w:val="24"/>
          <w:highlight w:val="none"/>
          <w:lang w:val="en-US" w:eastAsia="zh-CN" w:bidi="ar-SA"/>
        </w:rPr>
        <w:t>2.1</w:t>
      </w:r>
      <w:r>
        <w:rPr>
          <w:rFonts w:hint="eastAsia" w:ascii="仿宋" w:hAnsi="仿宋" w:eastAsia="仿宋" w:cs="仿宋"/>
          <w:bCs/>
          <w:color w:val="auto"/>
          <w:sz w:val="24"/>
          <w:szCs w:val="24"/>
          <w:highlight w:val="none"/>
          <w:lang w:bidi="ar-SA"/>
        </w:rPr>
        <w:t>评委打分办法</w:t>
      </w:r>
    </w:p>
    <w:p w14:paraId="69430684">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bCs/>
          <w:color w:val="auto"/>
          <w:sz w:val="24"/>
          <w:szCs w:val="24"/>
          <w:highlight w:val="none"/>
          <w:lang w:bidi="ar-SA"/>
        </w:rPr>
        <w:t>（1）</w:t>
      </w:r>
      <w:r>
        <w:rPr>
          <w:rFonts w:hint="eastAsia" w:ascii="仿宋" w:hAnsi="仿宋" w:eastAsia="仿宋" w:cs="仿宋"/>
          <w:color w:val="auto"/>
          <w:sz w:val="24"/>
          <w:szCs w:val="24"/>
          <w:highlight w:val="none"/>
          <w:lang w:bidi="ar-SA"/>
        </w:rPr>
        <w:t>参加评分的评委应尽力体现客观、实事求是，避免学派偏见和个人偏好。</w:t>
      </w:r>
    </w:p>
    <w:p w14:paraId="6E6D8CB1">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（2）衡量、对比的依据，应以招标文件、投标文件、提供的正式试验数据、质询澄清中的文字为准，口头回答和收集的资料只作为参考。</w:t>
      </w:r>
    </w:p>
    <w:p w14:paraId="1B4672D5">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（3）评分主要是为比较各投标人的价格、商务和技术综合排序。</w:t>
      </w:r>
    </w:p>
    <w:p w14:paraId="51043AD0">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（4）评委打分采取记名形式。</w:t>
      </w:r>
    </w:p>
    <w:p w14:paraId="6ED897D5">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（5）各评委根据提供的技术打分表独立自主打分，任何人不得要求评委统一打分或统一确定等次顺序。</w:t>
      </w:r>
    </w:p>
    <w:p w14:paraId="1AED2918">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（6）对打分表中的每项条款，各评委应根据投标文件、澄清材料、招标文件要求，按满足的程度给投标人打分。</w:t>
      </w:r>
    </w:p>
    <w:p w14:paraId="5ACFADC1">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（7）评分程序</w:t>
      </w:r>
    </w:p>
    <w:p w14:paraId="74884E69">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1)就投标人的投标文件对照整理出商务、技术评标因素对比表、偏差表，并在经过校核的基础上逐项打分。</w:t>
      </w:r>
    </w:p>
    <w:p w14:paraId="648D7602">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2)各评委独立完成打分后，将评分表交给代理机构，由代理机构组织进行分数统计。</w:t>
      </w:r>
    </w:p>
    <w:p w14:paraId="6B4C4F6C">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3)最终汇总表中各投标人得分应为评委打分的算术平均值。</w:t>
      </w:r>
    </w:p>
    <w:p w14:paraId="3FDDC008">
      <w:pPr>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br w:type="page"/>
      </w:r>
    </w:p>
    <w:p w14:paraId="22FAEB09">
      <w:pPr>
        <w:pStyle w:val="5"/>
        <w:rPr>
          <w:rFonts w:hint="eastAsia"/>
        </w:rPr>
      </w:pPr>
    </w:p>
    <w:p w14:paraId="428294B5">
      <w:pPr>
        <w:numPr>
          <w:ilvl w:val="0"/>
          <w:numId w:val="9"/>
        </w:numPr>
        <w:shd w:val="clear" w:color="auto" w:fill="auto"/>
        <w:spacing w:line="500" w:lineRule="exact"/>
        <w:jc w:val="left"/>
        <w:outlineLvl w:val="9"/>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评分标准和细则（综合评分法评分标准）</w:t>
      </w:r>
    </w:p>
    <w:p w14:paraId="7D6FDCB8">
      <w:pPr>
        <w:numPr>
          <w:ilvl w:val="0"/>
          <w:numId w:val="0"/>
        </w:numPr>
        <w:shd w:val="clear" w:color="auto" w:fill="auto"/>
        <w:spacing w:line="500" w:lineRule="exact"/>
        <w:ind w:firstLine="723" w:firstLineChars="300"/>
        <w:jc w:val="left"/>
        <w:outlineLvl w:val="9"/>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对实质性响应的投标文件进行评估和比较采用综合评分法进行打分评比，打分方法：总分为100分，其中价格因素占30分，商务因素、技术因素占70分。将每位投标人的价格得分、商务得分、技术得分相加即为该投标人的总得分。详细评分标准如下：</w:t>
      </w:r>
    </w:p>
    <w:p w14:paraId="5D6D14FC">
      <w:pPr>
        <w:adjustRightInd w:val="0"/>
        <w:snapToGrid w:val="0"/>
        <w:spacing w:line="360" w:lineRule="auto"/>
        <w:ind w:firstLine="562" w:firstLineChars="20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详细评分标准表（</w:t>
      </w:r>
      <w:r>
        <w:rPr>
          <w:rFonts w:hint="eastAsia" w:ascii="仿宋" w:hAnsi="仿宋" w:eastAsia="仿宋" w:cs="仿宋"/>
          <w:b/>
          <w:bCs/>
          <w:color w:val="000000"/>
          <w:sz w:val="28"/>
          <w:szCs w:val="28"/>
          <w:highlight w:val="none"/>
          <w:lang w:eastAsia="zh-CN"/>
        </w:rPr>
        <w:t>适用于</w:t>
      </w:r>
      <w:r>
        <w:rPr>
          <w:rFonts w:hint="eastAsia" w:ascii="仿宋" w:hAnsi="仿宋" w:eastAsia="仿宋" w:cs="仿宋"/>
          <w:b/>
          <w:bCs/>
          <w:color w:val="000000"/>
          <w:sz w:val="28"/>
          <w:szCs w:val="28"/>
          <w:highlight w:val="none"/>
          <w:lang w:val="en-US" w:eastAsia="zh-CN"/>
        </w:rPr>
        <w:t>1包、2</w:t>
      </w:r>
      <w:r>
        <w:rPr>
          <w:rFonts w:hint="eastAsia" w:ascii="仿宋" w:hAnsi="仿宋" w:eastAsia="仿宋" w:cs="仿宋"/>
          <w:b/>
          <w:bCs/>
          <w:color w:val="000000"/>
          <w:sz w:val="28"/>
          <w:szCs w:val="28"/>
          <w:highlight w:val="none"/>
        </w:rPr>
        <w:t>包）</w:t>
      </w:r>
    </w:p>
    <w:p w14:paraId="7F332B7A">
      <w:pPr>
        <w:adjustRightInd w:val="0"/>
        <w:snapToGrid w:val="0"/>
        <w:spacing w:line="360" w:lineRule="auto"/>
        <w:ind w:firstLine="420" w:firstLineChars="200"/>
        <w:rPr>
          <w:rFonts w:hint="eastAsia" w:ascii="宋体" w:hAnsi="宋体" w:eastAsia="宋体" w:cs="宋体"/>
          <w:color w:val="000000"/>
          <w:sz w:val="21"/>
          <w:szCs w:val="21"/>
          <w:highlight w:val="none"/>
        </w:rPr>
      </w:pPr>
    </w:p>
    <w:p w14:paraId="61075097">
      <w:pPr>
        <w:spacing w:line="143" w:lineRule="exact"/>
        <w:rPr>
          <w:rFonts w:hint="eastAsia" w:ascii="宋体" w:hAnsi="宋体" w:eastAsia="宋体" w:cs="宋体"/>
          <w:color w:val="000000"/>
          <w:sz w:val="21"/>
          <w:szCs w:val="21"/>
        </w:rPr>
      </w:pPr>
    </w:p>
    <w:tbl>
      <w:tblPr>
        <w:tblStyle w:val="46"/>
        <w:tblW w:w="9908" w:type="dxa"/>
        <w:tblInd w:w="-2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075"/>
        <w:gridCol w:w="1525"/>
        <w:gridCol w:w="6545"/>
      </w:tblGrid>
      <w:tr w14:paraId="39B65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63" w:type="dxa"/>
            <w:noWrap w:val="0"/>
            <w:vAlign w:val="top"/>
          </w:tcPr>
          <w:p w14:paraId="4B342F58">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序号</w:t>
            </w:r>
          </w:p>
        </w:tc>
        <w:tc>
          <w:tcPr>
            <w:tcW w:w="1075" w:type="dxa"/>
            <w:noWrap w:val="0"/>
            <w:vAlign w:val="top"/>
          </w:tcPr>
          <w:p w14:paraId="5A1DF699">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评标因素</w:t>
            </w:r>
          </w:p>
        </w:tc>
        <w:tc>
          <w:tcPr>
            <w:tcW w:w="1525" w:type="dxa"/>
            <w:noWrap w:val="0"/>
            <w:vAlign w:val="top"/>
          </w:tcPr>
          <w:p w14:paraId="51BA5DB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分值</w:t>
            </w:r>
          </w:p>
        </w:tc>
        <w:tc>
          <w:tcPr>
            <w:tcW w:w="6545" w:type="dxa"/>
            <w:noWrap w:val="0"/>
            <w:vAlign w:val="top"/>
          </w:tcPr>
          <w:p w14:paraId="42E892F7">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评分说明</w:t>
            </w:r>
          </w:p>
        </w:tc>
      </w:tr>
      <w:tr w14:paraId="1C41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763" w:type="dxa"/>
            <w:tcBorders>
              <w:bottom w:val="single" w:color="auto" w:sz="4" w:space="0"/>
            </w:tcBorders>
            <w:noWrap w:val="0"/>
            <w:vAlign w:val="center"/>
          </w:tcPr>
          <w:p w14:paraId="3273D29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1</w:t>
            </w:r>
          </w:p>
        </w:tc>
        <w:tc>
          <w:tcPr>
            <w:tcW w:w="1075" w:type="dxa"/>
            <w:tcBorders>
              <w:bottom w:val="single" w:color="auto" w:sz="4" w:space="0"/>
            </w:tcBorders>
            <w:noWrap w:val="0"/>
            <w:vAlign w:val="center"/>
          </w:tcPr>
          <w:p w14:paraId="3DB522F7">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lang w:eastAsia="zh-CN"/>
              </w:rPr>
            </w:pPr>
            <w:r>
              <w:rPr>
                <w:rFonts w:hint="eastAsia" w:ascii="仿宋" w:hAnsi="仿宋" w:eastAsia="仿宋" w:cs="仿宋"/>
                <w:color w:val="000000"/>
                <w:spacing w:val="-1"/>
                <w:sz w:val="24"/>
                <w:szCs w:val="24"/>
              </w:rPr>
              <w:t>价格部分</w:t>
            </w:r>
            <w:r>
              <w:rPr>
                <w:rFonts w:hint="eastAsia" w:ascii="仿宋" w:hAnsi="仿宋" w:eastAsia="仿宋" w:cs="仿宋"/>
                <w:color w:val="000000"/>
                <w:spacing w:val="-1"/>
                <w:sz w:val="24"/>
                <w:szCs w:val="24"/>
                <w:lang w:eastAsia="zh-CN"/>
              </w:rPr>
              <w:t>（</w:t>
            </w:r>
            <w:r>
              <w:rPr>
                <w:rFonts w:hint="eastAsia" w:ascii="仿宋" w:hAnsi="仿宋" w:eastAsia="仿宋" w:cs="仿宋"/>
                <w:color w:val="000000"/>
                <w:spacing w:val="-1"/>
                <w:sz w:val="24"/>
                <w:szCs w:val="24"/>
                <w:lang w:val="en-US" w:eastAsia="zh-CN"/>
              </w:rPr>
              <w:t>30分</w:t>
            </w:r>
            <w:r>
              <w:rPr>
                <w:rFonts w:hint="eastAsia" w:ascii="仿宋" w:hAnsi="仿宋" w:eastAsia="仿宋" w:cs="仿宋"/>
                <w:color w:val="000000"/>
                <w:spacing w:val="-1"/>
                <w:sz w:val="24"/>
                <w:szCs w:val="24"/>
                <w:lang w:eastAsia="zh-CN"/>
              </w:rPr>
              <w:t>）</w:t>
            </w:r>
          </w:p>
        </w:tc>
        <w:tc>
          <w:tcPr>
            <w:tcW w:w="1525" w:type="dxa"/>
            <w:tcBorders>
              <w:bottom w:val="single" w:color="auto" w:sz="4" w:space="0"/>
            </w:tcBorders>
            <w:noWrap w:val="0"/>
            <w:vAlign w:val="center"/>
          </w:tcPr>
          <w:p w14:paraId="1A65BB85">
            <w:pPr>
              <w:pStyle w:val="45"/>
              <w:keepNext w:val="0"/>
              <w:keepLines w:val="0"/>
              <w:pageBreakBefore w:val="0"/>
              <w:widowControl w:val="0"/>
              <w:kinsoku/>
              <w:wordWrap/>
              <w:overflowPunct/>
              <w:topLinePunct w:val="0"/>
              <w:autoSpaceDE/>
              <w:autoSpaceDN/>
              <w:bidi w:val="0"/>
              <w:adjustRightInd/>
              <w:snapToGrid/>
              <w:spacing w:before="88" w:line="400" w:lineRule="exact"/>
              <w:ind w:left="229" w:leftChars="109" w:right="62" w:firstLine="119" w:firstLineChars="50"/>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lang w:val="en-US" w:eastAsia="zh-CN"/>
              </w:rPr>
              <w:t>30</w:t>
            </w:r>
            <w:r>
              <w:rPr>
                <w:rFonts w:hint="eastAsia" w:ascii="仿宋" w:hAnsi="仿宋" w:eastAsia="仿宋" w:cs="仿宋"/>
                <w:color w:val="000000"/>
                <w:spacing w:val="-1"/>
                <w:sz w:val="24"/>
                <w:szCs w:val="24"/>
              </w:rPr>
              <w:t xml:space="preserve"> </w:t>
            </w:r>
            <w:r>
              <w:rPr>
                <w:rFonts w:hint="eastAsia" w:ascii="仿宋" w:hAnsi="仿宋" w:eastAsia="仿宋" w:cs="仿宋"/>
                <w:color w:val="000000"/>
                <w:spacing w:val="-1"/>
                <w:sz w:val="24"/>
                <w:szCs w:val="24"/>
                <w:lang w:eastAsia="zh-CN"/>
              </w:rPr>
              <w:t>（</w:t>
            </w:r>
            <w:r>
              <w:rPr>
                <w:rFonts w:hint="eastAsia" w:ascii="仿宋" w:hAnsi="仿宋" w:eastAsia="仿宋" w:cs="仿宋"/>
                <w:color w:val="000000"/>
                <w:spacing w:val="-1"/>
                <w:sz w:val="24"/>
                <w:szCs w:val="24"/>
              </w:rPr>
              <w:t>分</w:t>
            </w:r>
            <w:r>
              <w:rPr>
                <w:rFonts w:hint="eastAsia" w:ascii="仿宋" w:hAnsi="仿宋" w:eastAsia="仿宋" w:cs="仿宋"/>
                <w:color w:val="000000"/>
                <w:spacing w:val="-1"/>
                <w:sz w:val="24"/>
                <w:szCs w:val="24"/>
                <w:lang w:eastAsia="zh-CN"/>
              </w:rPr>
              <w:t>）</w:t>
            </w:r>
          </w:p>
        </w:tc>
        <w:tc>
          <w:tcPr>
            <w:tcW w:w="6545" w:type="dxa"/>
            <w:tcBorders>
              <w:bottom w:val="single" w:color="auto" w:sz="4" w:space="0"/>
            </w:tcBorders>
            <w:noWrap w:val="0"/>
            <w:vAlign w:val="top"/>
          </w:tcPr>
          <w:p w14:paraId="49A328B4">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 xml:space="preserve">投标报价得分=（评标基准价/投标报价）*价格权重*100 </w:t>
            </w:r>
          </w:p>
          <w:p w14:paraId="3A25C82D">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注：基准价=响应招标文件的最低投标报价</w:t>
            </w:r>
          </w:p>
        </w:tc>
      </w:tr>
      <w:tr w14:paraId="14A3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763" w:type="dxa"/>
            <w:vMerge w:val="restart"/>
            <w:tcBorders>
              <w:top w:val="single" w:color="auto" w:sz="4" w:space="0"/>
              <w:left w:val="single" w:color="auto" w:sz="4" w:space="0"/>
            </w:tcBorders>
            <w:noWrap w:val="0"/>
            <w:vAlign w:val="center"/>
          </w:tcPr>
          <w:p w14:paraId="0952E43B">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2</w:t>
            </w:r>
          </w:p>
        </w:tc>
        <w:tc>
          <w:tcPr>
            <w:tcW w:w="1075" w:type="dxa"/>
            <w:vMerge w:val="restart"/>
            <w:tcBorders>
              <w:top w:val="single" w:color="auto" w:sz="4" w:space="0"/>
            </w:tcBorders>
            <w:noWrap w:val="0"/>
            <w:vAlign w:val="center"/>
          </w:tcPr>
          <w:p w14:paraId="6309725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rPr>
            </w:pPr>
          </w:p>
          <w:p w14:paraId="7307EF7A">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商务部分</w:t>
            </w:r>
          </w:p>
          <w:p w14:paraId="4C10353D">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lang w:val="en-US" w:eastAsia="zh-CN"/>
              </w:rPr>
              <w:t>9</w:t>
            </w:r>
            <w:r>
              <w:rPr>
                <w:rFonts w:hint="eastAsia" w:ascii="仿宋" w:hAnsi="仿宋" w:eastAsia="仿宋" w:cs="仿宋"/>
                <w:color w:val="000000"/>
                <w:spacing w:val="-1"/>
                <w:sz w:val="24"/>
                <w:szCs w:val="24"/>
              </w:rPr>
              <w:t>分）</w:t>
            </w:r>
          </w:p>
          <w:p w14:paraId="02DCCA35">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textAlignment w:val="auto"/>
              <w:rPr>
                <w:rFonts w:hint="eastAsia" w:ascii="仿宋" w:hAnsi="仿宋" w:eastAsia="仿宋" w:cs="仿宋"/>
                <w:color w:val="000000"/>
                <w:spacing w:val="-1"/>
                <w:sz w:val="24"/>
                <w:szCs w:val="24"/>
              </w:rPr>
            </w:pPr>
          </w:p>
          <w:p w14:paraId="1DB1DB40">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textAlignment w:val="auto"/>
              <w:rPr>
                <w:rFonts w:hint="eastAsia" w:ascii="仿宋" w:hAnsi="仿宋" w:eastAsia="仿宋" w:cs="仿宋"/>
                <w:color w:val="000000"/>
                <w:spacing w:val="-1"/>
                <w:sz w:val="24"/>
                <w:szCs w:val="24"/>
                <w:lang w:val="en-US" w:eastAsia="zh-CN"/>
              </w:rPr>
            </w:pPr>
          </w:p>
        </w:tc>
        <w:tc>
          <w:tcPr>
            <w:tcW w:w="1525" w:type="dxa"/>
            <w:tcBorders>
              <w:top w:val="single" w:color="auto" w:sz="4" w:space="0"/>
            </w:tcBorders>
            <w:noWrap w:val="0"/>
            <w:vAlign w:val="top"/>
          </w:tcPr>
          <w:p w14:paraId="4372D38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p>
          <w:p w14:paraId="67BE88E3">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b w:val="0"/>
                <w:bCs w:val="0"/>
                <w:color w:val="000000"/>
                <w:sz w:val="24"/>
                <w:szCs w:val="24"/>
              </w:rPr>
              <w:t>类似业绩</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6分</w:t>
            </w:r>
            <w:r>
              <w:rPr>
                <w:rFonts w:hint="eastAsia" w:ascii="仿宋" w:hAnsi="仿宋" w:eastAsia="仿宋" w:cs="仿宋"/>
                <w:b w:val="0"/>
                <w:bCs w:val="0"/>
                <w:color w:val="000000"/>
                <w:sz w:val="24"/>
                <w:szCs w:val="24"/>
                <w:lang w:eastAsia="zh-CN"/>
              </w:rPr>
              <w:t>）</w:t>
            </w:r>
          </w:p>
        </w:tc>
        <w:tc>
          <w:tcPr>
            <w:tcW w:w="6545" w:type="dxa"/>
            <w:tcBorders>
              <w:top w:val="single" w:color="auto" w:sz="4" w:space="0"/>
              <w:right w:val="single" w:color="auto" w:sz="4" w:space="0"/>
            </w:tcBorders>
            <w:noWrap w:val="0"/>
            <w:vAlign w:val="top"/>
          </w:tcPr>
          <w:p w14:paraId="2D9C4C79">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提供产品近三年内（以投标截止日往前推算三年内）类似业绩证明材料（投标文件内附中标通知书及合同扫描件），每提供一个得2分，最高得6分，无法辨认或未提供的不得分。</w:t>
            </w:r>
          </w:p>
          <w:p w14:paraId="0FF3CC43">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注：投标文件内附中标通知书及合同扫描件，未按要求提供的或无法认定的不得分。</w:t>
            </w:r>
          </w:p>
        </w:tc>
      </w:tr>
      <w:tr w14:paraId="27C42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63" w:type="dxa"/>
            <w:vMerge w:val="continue"/>
            <w:tcBorders>
              <w:left w:val="single" w:color="auto" w:sz="4" w:space="0"/>
            </w:tcBorders>
            <w:noWrap w:val="0"/>
            <w:vAlign w:val="center"/>
          </w:tcPr>
          <w:p w14:paraId="6202D3A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tc>
        <w:tc>
          <w:tcPr>
            <w:tcW w:w="1075" w:type="dxa"/>
            <w:vMerge w:val="continue"/>
            <w:noWrap w:val="0"/>
            <w:vAlign w:val="center"/>
          </w:tcPr>
          <w:p w14:paraId="50B80C30">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tcBorders>
              <w:top w:val="single" w:color="auto" w:sz="4" w:space="0"/>
            </w:tcBorders>
            <w:noWrap w:val="0"/>
            <w:vAlign w:val="center"/>
          </w:tcPr>
          <w:p w14:paraId="62C208C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检测报告</w:t>
            </w:r>
          </w:p>
          <w:p w14:paraId="798A03BD">
            <w:pPr>
              <w:pStyle w:val="45"/>
              <w:keepNext w:val="0"/>
              <w:keepLines w:val="0"/>
              <w:pageBreakBefore w:val="0"/>
              <w:widowControl w:val="0"/>
              <w:kinsoku/>
              <w:wordWrap/>
              <w:overflowPunct/>
              <w:topLinePunct w:val="0"/>
              <w:autoSpaceDE/>
              <w:autoSpaceDN/>
              <w:bidi w:val="0"/>
              <w:adjustRightInd/>
              <w:snapToGrid/>
              <w:spacing w:before="88" w:line="400" w:lineRule="exact"/>
              <w:ind w:left="120" w:leftChars="0" w:right="62" w:rightChars="0" w:hanging="120" w:hangingChars="50"/>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3分</w:t>
            </w:r>
            <w:r>
              <w:rPr>
                <w:rFonts w:hint="eastAsia" w:ascii="仿宋" w:hAnsi="仿宋" w:eastAsia="仿宋" w:cs="仿宋"/>
                <w:b w:val="0"/>
                <w:bCs w:val="0"/>
                <w:color w:val="000000"/>
                <w:sz w:val="24"/>
                <w:szCs w:val="24"/>
                <w:lang w:eastAsia="zh-CN"/>
              </w:rPr>
              <w:t>）</w:t>
            </w:r>
          </w:p>
        </w:tc>
        <w:tc>
          <w:tcPr>
            <w:tcW w:w="6545" w:type="dxa"/>
            <w:tcBorders>
              <w:top w:val="single" w:color="auto" w:sz="4" w:space="0"/>
              <w:right w:val="single" w:color="auto" w:sz="4" w:space="0"/>
            </w:tcBorders>
            <w:noWrap w:val="0"/>
            <w:vAlign w:val="top"/>
          </w:tcPr>
          <w:p w14:paraId="40C61AC3">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b w:val="0"/>
                <w:bCs w:val="0"/>
                <w:color w:val="000000"/>
                <w:spacing w:val="-1"/>
                <w:sz w:val="24"/>
                <w:szCs w:val="24"/>
                <w:highlight w:val="none"/>
                <w:lang w:val="en-US" w:eastAsia="zh-CN"/>
              </w:rPr>
              <w:t>提供核心设备完整的注册检测报告得3分，不提供或提供不全不得分。</w:t>
            </w:r>
          </w:p>
        </w:tc>
      </w:tr>
      <w:tr w14:paraId="6522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63" w:type="dxa"/>
            <w:vMerge w:val="restart"/>
            <w:tcBorders>
              <w:top w:val="single" w:color="auto" w:sz="4" w:space="0"/>
              <w:left w:val="single" w:color="auto" w:sz="4" w:space="0"/>
            </w:tcBorders>
            <w:noWrap w:val="0"/>
            <w:vAlign w:val="top"/>
          </w:tcPr>
          <w:p w14:paraId="436B2224">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277556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1749910E">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1854A83E">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2EF69A4">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526A9E7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40863BBC">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44B4822">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both"/>
              <w:textAlignment w:val="auto"/>
              <w:rPr>
                <w:rFonts w:hint="eastAsia" w:ascii="仿宋" w:hAnsi="仿宋" w:eastAsia="仿宋" w:cs="仿宋"/>
                <w:color w:val="000000"/>
                <w:spacing w:val="-1"/>
                <w:sz w:val="24"/>
                <w:szCs w:val="24"/>
                <w:lang w:val="en-US" w:eastAsia="zh-CN"/>
              </w:rPr>
            </w:pPr>
          </w:p>
          <w:p w14:paraId="5C656BA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64D9B8F">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lang w:val="en-US" w:eastAsia="zh-CN"/>
              </w:rPr>
              <w:t>3</w:t>
            </w:r>
          </w:p>
        </w:tc>
        <w:tc>
          <w:tcPr>
            <w:tcW w:w="1075" w:type="dxa"/>
            <w:vMerge w:val="restart"/>
            <w:tcBorders>
              <w:top w:val="single" w:color="auto" w:sz="4" w:space="0"/>
            </w:tcBorders>
            <w:noWrap w:val="0"/>
            <w:vAlign w:val="top"/>
          </w:tcPr>
          <w:p w14:paraId="783C219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CA70B4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00AAD3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77452578">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2DE5CD7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7E31F10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3604ACB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both"/>
              <w:textAlignment w:val="auto"/>
              <w:rPr>
                <w:rFonts w:hint="eastAsia" w:ascii="仿宋" w:hAnsi="仿宋" w:eastAsia="仿宋" w:cs="仿宋"/>
                <w:color w:val="000000"/>
                <w:spacing w:val="-1"/>
                <w:sz w:val="24"/>
                <w:szCs w:val="24"/>
                <w:lang w:val="en-US" w:eastAsia="zh-CN"/>
              </w:rPr>
            </w:pPr>
          </w:p>
          <w:p w14:paraId="01D9BC8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5D1D289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技术部分</w:t>
            </w:r>
          </w:p>
          <w:p w14:paraId="63D105C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lang w:val="en-US" w:eastAsia="zh-CN"/>
              </w:rPr>
              <w:t>61</w:t>
            </w:r>
            <w:r>
              <w:rPr>
                <w:rFonts w:hint="eastAsia" w:ascii="仿宋" w:hAnsi="仿宋" w:eastAsia="仿宋" w:cs="仿宋"/>
                <w:color w:val="000000"/>
                <w:spacing w:val="-1"/>
                <w:sz w:val="24"/>
                <w:szCs w:val="24"/>
              </w:rPr>
              <w:t>分）</w:t>
            </w:r>
          </w:p>
          <w:p w14:paraId="323C8F73">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3979E72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产品符合性</w:t>
            </w:r>
          </w:p>
          <w:p w14:paraId="086846C1">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（35分）</w:t>
            </w:r>
          </w:p>
          <w:p w14:paraId="05F30A6F">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p>
        </w:tc>
        <w:tc>
          <w:tcPr>
            <w:tcW w:w="6545" w:type="dxa"/>
            <w:tcBorders>
              <w:right w:val="single" w:color="auto" w:sz="4" w:space="0"/>
            </w:tcBorders>
            <w:noWrap w:val="0"/>
            <w:vAlign w:val="top"/>
          </w:tcPr>
          <w:p w14:paraId="73014764">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供应商全部满足招标文件“采购内容及技术参数要求”技术要求的得满分；由专家评审，逐条确定是否达到技术要求，技术参数中凡是带“★”项有负偏离的，每有一项负偏离扣3分；技术参数中一般参数条款有负偏离的，每有一项负偏离扣1分，扣完为止。</w:t>
            </w:r>
          </w:p>
          <w:p w14:paraId="4872C688">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（注：</w:t>
            </w:r>
          </w:p>
          <w:p w14:paraId="4B936406">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①所提供产品技术参数低于招标文件要求的，视为负偏离；</w:t>
            </w:r>
          </w:p>
          <w:p w14:paraId="5BA39311">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②技术参数响应条款（以投标文件内技术偏离表为准）与招标文件对比有缺项、漏项的，视为负偏离；</w:t>
            </w:r>
          </w:p>
          <w:p w14:paraId="45B12FED">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③投标文件中未按技术要求提供证明材料的视为负偏离；</w:t>
            </w:r>
          </w:p>
          <w:p w14:paraId="4CDE897D">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④投标人提供的投标文件中产品技术偏离表、产品技术规格书和产品检测报告内等证明材料描述的同一产品技术参数响应值不一致的，视为负偏离。）</w:t>
            </w:r>
          </w:p>
        </w:tc>
      </w:tr>
      <w:tr w14:paraId="7E3CC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63" w:type="dxa"/>
            <w:vMerge w:val="continue"/>
            <w:tcBorders>
              <w:left w:val="single" w:color="auto" w:sz="4" w:space="0"/>
            </w:tcBorders>
            <w:noWrap w:val="0"/>
            <w:vAlign w:val="top"/>
          </w:tcPr>
          <w:p w14:paraId="33444795">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p>
        </w:tc>
        <w:tc>
          <w:tcPr>
            <w:tcW w:w="1075" w:type="dxa"/>
            <w:vMerge w:val="continue"/>
            <w:noWrap w:val="0"/>
            <w:vAlign w:val="top"/>
          </w:tcPr>
          <w:p w14:paraId="7FB7284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5980912B">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供货计划</w:t>
            </w:r>
          </w:p>
          <w:p w14:paraId="03D26EAA">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lang w:eastAsia="zh-CN"/>
              </w:rPr>
            </w:pPr>
            <w:r>
              <w:rPr>
                <w:rFonts w:hint="eastAsia" w:ascii="仿宋" w:hAnsi="仿宋" w:eastAsia="仿宋" w:cs="仿宋"/>
                <w:b w:val="0"/>
                <w:bCs w:val="0"/>
                <w:color w:val="000000"/>
                <w:sz w:val="24"/>
                <w:szCs w:val="24"/>
                <w:lang w:val="en-US" w:eastAsia="zh-CN"/>
              </w:rPr>
              <w:t>（8分）</w:t>
            </w:r>
          </w:p>
        </w:tc>
        <w:tc>
          <w:tcPr>
            <w:tcW w:w="6545" w:type="dxa"/>
            <w:tcBorders>
              <w:right w:val="single" w:color="auto" w:sz="4" w:space="0"/>
            </w:tcBorders>
            <w:noWrap w:val="0"/>
            <w:vAlign w:val="top"/>
          </w:tcPr>
          <w:p w14:paraId="2413F24B">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提供针对本项目的供货方案，包括：①供货计划；②供货流程安排；③供货时间安排；④供货渠道；⑤验收方案。每有一项内容得2分，每小项内容存在缺陷的扣1分，扣完为止，不提供不得分。（缺陷是指：与本项目采购标的无关、方案内容前后不一致、前后逻辑错误、涉及的相关规范及标准错误、地点区域错误、内容缺失、只有简单描述无实质性内容）</w:t>
            </w:r>
          </w:p>
        </w:tc>
      </w:tr>
      <w:tr w14:paraId="17D53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63" w:type="dxa"/>
            <w:vMerge w:val="continue"/>
            <w:tcBorders>
              <w:left w:val="single" w:color="auto" w:sz="4" w:space="0"/>
            </w:tcBorders>
            <w:noWrap w:val="0"/>
            <w:vAlign w:val="center"/>
          </w:tcPr>
          <w:p w14:paraId="0F1682D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21E8C35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030F08B1">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培训方案</w:t>
            </w:r>
          </w:p>
          <w:p w14:paraId="0D878BA7">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（8分）</w:t>
            </w:r>
          </w:p>
        </w:tc>
        <w:tc>
          <w:tcPr>
            <w:tcW w:w="6545" w:type="dxa"/>
            <w:tcBorders>
              <w:right w:val="single" w:color="auto" w:sz="4" w:space="0"/>
            </w:tcBorders>
            <w:noWrap w:val="0"/>
            <w:vAlign w:val="top"/>
          </w:tcPr>
          <w:p w14:paraId="1C0065D7">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培训计划情况，应含详细合理的培训方案（包含:①培训时间；②培训地点；③培训产品基本原理；④操作使用和保养维修；⑤培训方式⑥培训计划方案）方案中包含以上每项内容，且方案切实可行，满足采购方需求得9分，每有一项内容缺失的扣1.5分，每有一项内容阐述不全面、不符合项目实际情况、无法满足采购需求的扣1分，扣完为止，不提供不得分。</w:t>
            </w:r>
          </w:p>
        </w:tc>
      </w:tr>
      <w:tr w14:paraId="025E3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763" w:type="dxa"/>
            <w:vMerge w:val="continue"/>
            <w:tcBorders>
              <w:left w:val="single" w:color="auto" w:sz="4" w:space="0"/>
            </w:tcBorders>
            <w:noWrap w:val="0"/>
            <w:vAlign w:val="center"/>
          </w:tcPr>
          <w:p w14:paraId="4EA5E23F">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32DFBDFC">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15A57E03">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质量保证</w:t>
            </w:r>
          </w:p>
          <w:p w14:paraId="13CEC8FD">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（5分）</w:t>
            </w:r>
          </w:p>
        </w:tc>
        <w:tc>
          <w:tcPr>
            <w:tcW w:w="6545" w:type="dxa"/>
            <w:tcBorders>
              <w:right w:val="single" w:color="auto" w:sz="4" w:space="0"/>
            </w:tcBorders>
            <w:noWrap w:val="0"/>
            <w:vAlign w:val="top"/>
          </w:tcPr>
          <w:p w14:paraId="00EABEFA">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供应商根据本项目的采购需求制定售后方案，包括售后维保、免费更换、更换响应时间、更换的必要性、在任何时候、任何地点均可享受到终生的免费咨询服务。方案完整，逻辑清晰，贴合采购需求，可行性高的得5分；方案较为合理，可行性较高的得3分；方案结构混乱，不贴合本项目的采购需求得1分；未提供不得分。</w:t>
            </w:r>
          </w:p>
        </w:tc>
      </w:tr>
      <w:tr w14:paraId="2692F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763" w:type="dxa"/>
            <w:vMerge w:val="continue"/>
            <w:tcBorders>
              <w:left w:val="single" w:color="auto" w:sz="4" w:space="0"/>
            </w:tcBorders>
            <w:noWrap w:val="0"/>
            <w:vAlign w:val="center"/>
          </w:tcPr>
          <w:p w14:paraId="37AF3E1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2C4F2153">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3D860F10">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售后服务</w:t>
            </w:r>
          </w:p>
          <w:p w14:paraId="10C09006">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（5分）</w:t>
            </w:r>
          </w:p>
        </w:tc>
        <w:tc>
          <w:tcPr>
            <w:tcW w:w="6545" w:type="dxa"/>
            <w:tcBorders>
              <w:right w:val="single" w:color="auto" w:sz="4" w:space="0"/>
            </w:tcBorders>
            <w:noWrap w:val="0"/>
            <w:vAlign w:val="top"/>
          </w:tcPr>
          <w:p w14:paraId="42A08880">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en-US"/>
              </w:rPr>
            </w:pPr>
            <w:r>
              <w:rPr>
                <w:rFonts w:hint="eastAsia" w:ascii="仿宋" w:hAnsi="仿宋" w:eastAsia="仿宋" w:cs="仿宋"/>
                <w:color w:val="000000"/>
                <w:spacing w:val="-1"/>
                <w:sz w:val="24"/>
                <w:szCs w:val="24"/>
                <w:lang w:val="en-US" w:eastAsia="zh-CN"/>
              </w:rPr>
              <w:t>供应商设有正规完善的售后维修服务机构，按照项目采购需求中要求进行更换，配备售后工程师，常备配件库房，提供配件库房资料、售后详细地址及新疆本地5名以上售后人员姓名、联系电话及身份证、近三个月社保证明复印件。人员要求资料齐全、方案合理可行得5分；人员要求资料较齐全、方案较合理可行得3分；人员要求资料不齐全、方案不合理可行得1分；未提供不得分。</w:t>
            </w:r>
          </w:p>
        </w:tc>
      </w:tr>
    </w:tbl>
    <w:p w14:paraId="32B3339B"/>
    <w:p w14:paraId="38774DCA">
      <w:pPr>
        <w:pStyle w:val="40"/>
        <w:shd w:val="clear" w:color="auto" w:fill="auto"/>
        <w:tabs>
          <w:tab w:val="left" w:pos="1701"/>
        </w:tabs>
        <w:spacing w:line="440" w:lineRule="exact"/>
        <w:ind w:left="0" w:leftChars="0" w:firstLine="0" w:firstLineChars="0"/>
        <w:outlineLvl w:val="9"/>
        <w:rPr>
          <w:rFonts w:hint="eastAsia" w:ascii="仿宋" w:hAnsi="仿宋" w:eastAsia="仿宋" w:cs="仿宋"/>
          <w:color w:val="auto"/>
          <w:sz w:val="24"/>
          <w:szCs w:val="24"/>
          <w:highlight w:val="none"/>
          <w:lang w:val="en-US" w:eastAsia="zh-CN" w:bidi="ar-SA"/>
        </w:rPr>
      </w:pPr>
    </w:p>
    <w:p w14:paraId="5606032E">
      <w:pPr>
        <w:pStyle w:val="40"/>
        <w:shd w:val="clear" w:color="auto" w:fill="auto"/>
        <w:tabs>
          <w:tab w:val="left" w:pos="1701"/>
        </w:tabs>
        <w:spacing w:line="440" w:lineRule="exact"/>
        <w:ind w:left="0"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val="en-US" w:eastAsia="zh-CN" w:bidi="ar-SA"/>
        </w:rPr>
        <w:t>10.2.2</w:t>
      </w:r>
      <w:r>
        <w:rPr>
          <w:rFonts w:hint="eastAsia" w:ascii="仿宋" w:hAnsi="仿宋" w:eastAsia="仿宋" w:cs="仿宋"/>
          <w:color w:val="auto"/>
          <w:sz w:val="24"/>
          <w:szCs w:val="24"/>
          <w:highlight w:val="none"/>
          <w:lang w:bidi="ar-SA"/>
        </w:rPr>
        <w:t>价格评分方法</w:t>
      </w:r>
    </w:p>
    <w:p w14:paraId="1A4EEE02">
      <w:pPr>
        <w:shd w:val="clear" w:color="auto" w:fill="auto"/>
        <w:spacing w:line="440" w:lineRule="exact"/>
        <w:ind w:firstLine="616" w:firstLineChars="257"/>
        <w:jc w:val="left"/>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 w:val="24"/>
          <w:szCs w:val="24"/>
          <w:highlight w:val="none"/>
          <w:lang w:eastAsia="zh-CN" w:bidi="ar-SA"/>
        </w:rPr>
        <w:t>。</w:t>
      </w:r>
    </w:p>
    <w:p w14:paraId="1B6D77F2">
      <w:pPr>
        <w:shd w:val="clear" w:color="auto" w:fill="auto"/>
        <w:spacing w:before="156" w:beforeLines="50" w:line="40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  推荐中标候选人</w:t>
      </w:r>
      <w:bookmarkEnd w:id="57"/>
      <w:bookmarkEnd w:id="58"/>
    </w:p>
    <w:p w14:paraId="4E60DA5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评标委员会推荐中标候选人，并标明排序。</w:t>
      </w:r>
    </w:p>
    <w:p w14:paraId="17D7D72D">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如出现报价相同情况，则由招标人现场抽签确定中标候选人排名顺序。</w:t>
      </w:r>
    </w:p>
    <w:bookmarkEnd w:id="52"/>
    <w:p w14:paraId="3D4A3EE0">
      <w:pPr>
        <w:shd w:val="clear" w:color="auto" w:fill="auto"/>
        <w:snapToGrid w:val="0"/>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无效投标条款</w:t>
      </w:r>
    </w:p>
    <w:p w14:paraId="3E05FEF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.1投标文件有下列情形之一的,其投标文件拒收:</w:t>
      </w:r>
    </w:p>
    <w:p w14:paraId="5270D2A4">
      <w:pPr>
        <w:shd w:val="clear" w:color="auto" w:fill="auto"/>
        <w:snapToGrid w:val="0"/>
        <w:spacing w:line="400" w:lineRule="exact"/>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(1) 未在开标截止时间前通过网上招标投标系统递交有效电子投标文件的，开标系统不予接收。</w:t>
      </w:r>
    </w:p>
    <w:p w14:paraId="4A6DE85A">
      <w:pPr>
        <w:shd w:val="clear" w:color="auto" w:fill="auto"/>
        <w:snapToGrid w:val="0"/>
        <w:spacing w:line="400" w:lineRule="exact"/>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color w:val="auto"/>
          <w:sz w:val="24"/>
          <w:szCs w:val="24"/>
          <w:highlight w:val="none"/>
        </w:rPr>
        <w:t>所有投标人应在规定时间里完成投标文件的解密工作</w:t>
      </w:r>
      <w:r>
        <w:rPr>
          <w:rFonts w:hint="eastAsia" w:ascii="仿宋" w:hAnsi="仿宋" w:eastAsia="仿宋" w:cs="仿宋"/>
          <w:b/>
          <w:bCs/>
          <w:color w:val="auto"/>
          <w:sz w:val="24"/>
          <w:szCs w:val="24"/>
          <w:highlight w:val="none"/>
        </w:rPr>
        <w:t>【投标人</w:t>
      </w:r>
      <w:r>
        <w:rPr>
          <w:rFonts w:hint="eastAsia" w:ascii="仿宋" w:hAnsi="仿宋" w:eastAsia="仿宋" w:cs="仿宋"/>
          <w:b/>
          <w:bCs/>
          <w:color w:val="auto"/>
          <w:sz w:val="24"/>
          <w:szCs w:val="24"/>
          <w:highlight w:val="none"/>
          <w:lang w:eastAsia="zh-CN"/>
        </w:rPr>
        <w:t>使用</w:t>
      </w:r>
      <w:r>
        <w:rPr>
          <w:rFonts w:hint="eastAsia" w:ascii="仿宋" w:hAnsi="仿宋" w:eastAsia="仿宋" w:cs="仿宋"/>
          <w:b/>
          <w:bCs/>
          <w:color w:val="auto"/>
          <w:sz w:val="24"/>
          <w:szCs w:val="24"/>
          <w:highlight w:val="none"/>
        </w:rPr>
        <w:t>其有效加密锁（CA锁）</w:t>
      </w:r>
      <w:r>
        <w:rPr>
          <w:rFonts w:hint="eastAsia" w:ascii="仿宋" w:hAnsi="仿宋" w:eastAsia="仿宋" w:cs="仿宋"/>
          <w:b/>
          <w:bCs/>
          <w:color w:val="auto"/>
          <w:sz w:val="24"/>
          <w:szCs w:val="24"/>
          <w:highlight w:val="none"/>
          <w:lang w:eastAsia="zh-CN"/>
        </w:rPr>
        <w:t>进行</w:t>
      </w:r>
      <w:r>
        <w:rPr>
          <w:rFonts w:hint="eastAsia" w:ascii="仿宋" w:hAnsi="仿宋" w:eastAsia="仿宋" w:cs="仿宋"/>
          <w:b/>
          <w:bCs/>
          <w:color w:val="auto"/>
          <w:sz w:val="24"/>
          <w:szCs w:val="24"/>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 w:val="24"/>
          <w:szCs w:val="24"/>
          <w:highlight w:val="none"/>
        </w:rPr>
        <w:t>，因系统原因未能成功解密的投标文件，可导入</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也无法导入的，则投标文件被否决。</w:t>
      </w:r>
    </w:p>
    <w:p w14:paraId="149B2182">
      <w:pPr>
        <w:shd w:val="clear" w:color="auto" w:fill="auto"/>
        <w:snapToGrid w:val="0"/>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.2投标人有下列情形之一的,资格审查后其投标作无效投标处理：</w:t>
      </w:r>
    </w:p>
    <w:p w14:paraId="50EE120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(1)法定代表人参加开标会议未携带有效的法定代表人身份证明原件和本人身份证的；委托代理人参加开标会议未携带有效的法定代表人授权书和本人身份证；</w:t>
      </w:r>
    </w:p>
    <w:p w14:paraId="2DE08DC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(2)投标人为本项目提供招标代理服务的；</w:t>
      </w:r>
    </w:p>
    <w:p w14:paraId="2380559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(3)投标人与在本项目代理机构存在相互任职或工作的；</w:t>
      </w:r>
    </w:p>
    <w:p w14:paraId="0D48BBC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(4)投标保证金未按规定要求缴纳的；</w:t>
      </w:r>
    </w:p>
    <w:p w14:paraId="3B8E1BBB">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bCs/>
          <w:color w:val="auto"/>
          <w:sz w:val="24"/>
          <w:szCs w:val="24"/>
          <w:highlight w:val="none"/>
        </w:rPr>
        <w:t>评标专家无法查看并检验电子标书中相关资料的；</w:t>
      </w:r>
    </w:p>
    <w:p w14:paraId="20ABD8D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(6)投标人超出营业范围投标的；</w:t>
      </w:r>
    </w:p>
    <w:p w14:paraId="3FD241E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(7)联合体投标未提交联合体协议的；</w:t>
      </w:r>
    </w:p>
    <w:p w14:paraId="7C57392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(8)被暂停营业的；</w:t>
      </w:r>
    </w:p>
    <w:p w14:paraId="6DF1EE8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(9)被暂停或取消投标资格的；</w:t>
      </w:r>
    </w:p>
    <w:p w14:paraId="3B154DD1">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(10)财产被接管或冻结的；</w:t>
      </w:r>
    </w:p>
    <w:p w14:paraId="46B0609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(11)投标人单位负责人为同一人或者存在控股、管理关系的不同单位的；</w:t>
      </w:r>
    </w:p>
    <w:p w14:paraId="3209BE98">
      <w:pPr>
        <w:shd w:val="clear" w:color="auto" w:fill="auto"/>
        <w:snapToGrid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（12）投标人基本资格条件和特定资格条件中有一项及以上不符合要求的；</w:t>
      </w:r>
    </w:p>
    <w:p w14:paraId="79142599">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（13）投标人使用相同的MAC地址进行报名的；</w:t>
      </w:r>
    </w:p>
    <w:p w14:paraId="46EFF66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（14）其它情形，经评标委员会委提出按无效投标处理，并经公共资源交易监督部门核准的；</w:t>
      </w:r>
    </w:p>
    <w:p w14:paraId="0B8B1E1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（15）投标人使用相同IP地址报名的，一经发现，监管部门将进一步核实，查实后按串通投标处理；</w:t>
      </w:r>
    </w:p>
    <w:p w14:paraId="4926D687">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18F0C3E6">
      <w:pPr>
        <w:shd w:val="clear" w:color="auto" w:fill="auto"/>
        <w:snapToGrid w:val="0"/>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.3 投标人有下列情形之一的,符合性审查后其投标按无效投标处理：</w:t>
      </w:r>
    </w:p>
    <w:p w14:paraId="136B6E1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投标文件签字、盖章不全，经评标委员会一致认定对开评标内容有实质性影响并经监督部门核准的；</w:t>
      </w:r>
    </w:p>
    <w:p w14:paraId="459027A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)未按规定的格式填写，实质性内容不全或关键字迹模糊、无法辨认; 经监督部门核准的；</w:t>
      </w:r>
    </w:p>
    <w:p w14:paraId="5C6EEBB3">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)同一投标人提交两个以上不同的投标文件或者投标报价，但</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规定提交备选方案的除外；</w:t>
      </w:r>
    </w:p>
    <w:p w14:paraId="0CA692F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)投标文件没有对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的实质性要求和条件作出响应;</w:t>
      </w:r>
    </w:p>
    <w:p w14:paraId="6270A8FE">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)投标报价超出规定的投标限价或公布的采购预算的；注：投标人的投标报价各项单价均不得高于招标文件给定的单价最高限价，否则，其投标文件将按无效投标处理。</w:t>
      </w:r>
    </w:p>
    <w:p w14:paraId="0F11F50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)不按评标委员会要求澄清、说明或补正的，或者评标委员会根据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的规定对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的计算错误进行修正后，投标人不接受修正的投标报价的。</w:t>
      </w:r>
    </w:p>
    <w:p w14:paraId="09B56E35">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）其它情形，经评标委员会委提出按无效投标处理，并经公共资源交易监督部门核准的；</w:t>
      </w:r>
    </w:p>
    <w:p w14:paraId="0EBD9E92">
      <w:pPr>
        <w:widowControl/>
        <w:shd w:val="clear" w:color="auto" w:fill="auto"/>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shd w:val="clear" w:color="auto" w:fill="FFFFFF"/>
          <w:lang w:bidi="ar"/>
        </w:rPr>
        <w:t>未按照招标文件的规定提交投标保证金的；</w:t>
      </w:r>
    </w:p>
    <w:p w14:paraId="5EFE69BB">
      <w:pPr>
        <w:widowControl/>
        <w:shd w:val="clear" w:color="auto" w:fill="auto"/>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shd w:val="clear" w:color="auto" w:fill="FFFFFF"/>
          <w:lang w:bidi="ar"/>
        </w:rPr>
        <w:t>投标文件含有采购人不能接受的附加条件的;</w:t>
      </w:r>
    </w:p>
    <w:p w14:paraId="2F35DA16">
      <w:pPr>
        <w:shd w:val="clear" w:color="auto" w:fill="auto"/>
        <w:tabs>
          <w:tab w:val="left" w:pos="1123"/>
        </w:tabs>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54FDC5A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.4 投标人有下列情形之一的, 详细评审后其投标按无效投标处理：</w:t>
      </w:r>
    </w:p>
    <w:p w14:paraId="4F204AE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(1)投标产品不符合必须强制执行的国家标准的；</w:t>
      </w:r>
    </w:p>
    <w:p w14:paraId="3612554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(2)投标人有串通投标、弄虚作假、行贿等违法行为；</w:t>
      </w:r>
    </w:p>
    <w:p w14:paraId="438427A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(3)投标文件含有违反国家法律、法规的内容，或附有招标人不能接受的条件的；</w:t>
      </w:r>
    </w:p>
    <w:p w14:paraId="6611176D">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（4）在同一项目（或同一标段）中有多个投标人有效投标报价接近最高限价，且评标委员会认为报价出现异常的，可以宣布其投标无效；</w:t>
      </w:r>
    </w:p>
    <w:p w14:paraId="68AAF5B4">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（5）报价明显低于其他投标人，且不能证明报价合理性的投标无效；</w:t>
      </w:r>
    </w:p>
    <w:p w14:paraId="042C42AB">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（6）拒不确认评标委员会评审修正的投标无效；</w:t>
      </w:r>
    </w:p>
    <w:p w14:paraId="55FABCA1">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（7）其它情形，经评标委员会委提出按无效投标处理，并经公共资源交易监督部门核准的；</w:t>
      </w:r>
    </w:p>
    <w:p w14:paraId="3053D68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226B8515">
      <w:pPr>
        <w:pageBreakBefore/>
        <w:shd w:val="clear" w:color="auto" w:fill="auto"/>
        <w:spacing w:line="360" w:lineRule="auto"/>
        <w:jc w:val="center"/>
        <w:outlineLvl w:val="0"/>
        <w:rPr>
          <w:rFonts w:hint="eastAsia" w:ascii="仿宋" w:hAnsi="仿宋" w:eastAsia="仿宋" w:cs="仿宋"/>
          <w:b/>
          <w:color w:val="auto"/>
          <w:sz w:val="40"/>
          <w:szCs w:val="40"/>
          <w:highlight w:val="none"/>
        </w:rPr>
        <w:sectPr>
          <w:footerReference r:id="rId6" w:type="default"/>
          <w:pgSz w:w="11905" w:h="16838"/>
          <w:pgMar w:top="1440" w:right="1134" w:bottom="1440" w:left="1134" w:header="850" w:footer="992" w:gutter="0"/>
          <w:pgNumType w:fmt="decimal" w:start="1"/>
          <w:cols w:space="0" w:num="1"/>
          <w:rtlGutter w:val="0"/>
          <w:docGrid w:type="lines" w:linePitch="317" w:charSpace="0"/>
        </w:sectPr>
      </w:pPr>
      <w:bookmarkStart w:id="59" w:name="_Toc13160"/>
      <w:bookmarkStart w:id="60" w:name="_Toc469495737"/>
      <w:bookmarkStart w:id="61" w:name="_Toc4683"/>
      <w:bookmarkStart w:id="62" w:name="_Toc31425"/>
      <w:bookmarkStart w:id="63" w:name="OLE_LINK4"/>
    </w:p>
    <w:p w14:paraId="317E2F55">
      <w:pPr>
        <w:pageBreakBefore/>
        <w:shd w:val="clear" w:color="auto" w:fill="auto"/>
        <w:spacing w:line="360" w:lineRule="auto"/>
        <w:jc w:val="center"/>
        <w:outlineLvl w:val="0"/>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 xml:space="preserve">第四章 </w:t>
      </w:r>
      <w:bookmarkEnd w:id="53"/>
      <w:bookmarkEnd w:id="59"/>
      <w:bookmarkEnd w:id="60"/>
      <w:bookmarkEnd w:id="61"/>
      <w:r>
        <w:rPr>
          <w:rFonts w:hint="eastAsia" w:ascii="仿宋" w:hAnsi="仿宋" w:eastAsia="仿宋" w:cs="仿宋"/>
          <w:b/>
          <w:color w:val="auto"/>
          <w:sz w:val="40"/>
          <w:szCs w:val="40"/>
          <w:highlight w:val="none"/>
        </w:rPr>
        <w:t>采购内容及技术参数要求</w:t>
      </w:r>
      <w:bookmarkEnd w:id="62"/>
    </w:p>
    <w:p w14:paraId="0794D856">
      <w:pPr>
        <w:shd w:val="clear" w:color="auto" w:fill="auto"/>
        <w:spacing w:line="360" w:lineRule="auto"/>
        <w:ind w:firstLine="420" w:firstLineChars="150"/>
        <w:jc w:val="left"/>
        <w:outlineLvl w:val="9"/>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一、技术要求</w:t>
      </w:r>
    </w:p>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762"/>
        <w:gridCol w:w="2937"/>
        <w:gridCol w:w="784"/>
        <w:gridCol w:w="716"/>
        <w:gridCol w:w="934"/>
        <w:gridCol w:w="1150"/>
        <w:gridCol w:w="1266"/>
        <w:gridCol w:w="800"/>
        <w:gridCol w:w="956"/>
        <w:gridCol w:w="3155"/>
      </w:tblGrid>
      <w:tr w14:paraId="7290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4081" w:type="dxa"/>
            <w:gridSpan w:val="11"/>
            <w:shd w:val="clear" w:color="auto" w:fill="auto"/>
            <w:vAlign w:val="center"/>
          </w:tcPr>
          <w:p w14:paraId="5E23743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阿图什市基层医疗机构改造提升项目设备采购清单（1包）</w:t>
            </w:r>
          </w:p>
        </w:tc>
      </w:tr>
      <w:tr w14:paraId="4BF9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4A3B1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2" w:type="dxa"/>
            <w:shd w:val="clear" w:color="auto" w:fill="auto"/>
            <w:vAlign w:val="center"/>
          </w:tcPr>
          <w:p w14:paraId="45B8C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2937" w:type="dxa"/>
            <w:shd w:val="clear" w:color="auto" w:fill="auto"/>
            <w:vAlign w:val="center"/>
          </w:tcPr>
          <w:p w14:paraId="382F5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784" w:type="dxa"/>
            <w:shd w:val="clear" w:color="auto" w:fill="auto"/>
            <w:vAlign w:val="center"/>
          </w:tcPr>
          <w:p w14:paraId="34E0E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阿湖</w:t>
            </w:r>
          </w:p>
        </w:tc>
        <w:tc>
          <w:tcPr>
            <w:tcW w:w="716" w:type="dxa"/>
            <w:shd w:val="clear" w:color="auto" w:fill="auto"/>
            <w:vAlign w:val="center"/>
          </w:tcPr>
          <w:p w14:paraId="11599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阿扎克</w:t>
            </w:r>
          </w:p>
        </w:tc>
        <w:tc>
          <w:tcPr>
            <w:tcW w:w="934" w:type="dxa"/>
            <w:shd w:val="clear" w:color="auto" w:fill="auto"/>
            <w:noWrap/>
            <w:vAlign w:val="center"/>
          </w:tcPr>
          <w:p w14:paraId="707C3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格达良</w:t>
            </w:r>
          </w:p>
        </w:tc>
        <w:tc>
          <w:tcPr>
            <w:tcW w:w="1150" w:type="dxa"/>
            <w:shd w:val="clear" w:color="auto" w:fill="auto"/>
            <w:noWrap/>
            <w:vAlign w:val="center"/>
          </w:tcPr>
          <w:p w14:paraId="5C1CC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吐古买提</w:t>
            </w:r>
          </w:p>
        </w:tc>
        <w:tc>
          <w:tcPr>
            <w:tcW w:w="1266" w:type="dxa"/>
            <w:shd w:val="clear" w:color="auto" w:fill="auto"/>
            <w:noWrap/>
            <w:vAlign w:val="center"/>
          </w:tcPr>
          <w:p w14:paraId="73E97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小计/台套</w:t>
            </w:r>
          </w:p>
        </w:tc>
        <w:tc>
          <w:tcPr>
            <w:tcW w:w="800" w:type="dxa"/>
            <w:shd w:val="clear" w:color="auto" w:fill="auto"/>
            <w:noWrap/>
            <w:vAlign w:val="center"/>
          </w:tcPr>
          <w:p w14:paraId="12F69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56" w:type="dxa"/>
            <w:shd w:val="clear" w:color="auto" w:fill="auto"/>
            <w:noWrap/>
            <w:vAlign w:val="center"/>
          </w:tcPr>
          <w:p w14:paraId="56C41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3155" w:type="dxa"/>
            <w:shd w:val="clear" w:color="auto" w:fill="auto"/>
            <w:noWrap/>
            <w:vAlign w:val="center"/>
          </w:tcPr>
          <w:p w14:paraId="6AFC3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EA6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48EC8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2" w:type="dxa"/>
            <w:vMerge w:val="restart"/>
            <w:shd w:val="clear" w:color="auto" w:fill="auto"/>
            <w:vAlign w:val="center"/>
          </w:tcPr>
          <w:p w14:paraId="65A89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卫生院通用设备</w:t>
            </w:r>
          </w:p>
        </w:tc>
        <w:tc>
          <w:tcPr>
            <w:tcW w:w="2937" w:type="dxa"/>
            <w:shd w:val="clear" w:color="auto" w:fill="auto"/>
            <w:vAlign w:val="center"/>
          </w:tcPr>
          <w:p w14:paraId="736CC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监护设备</w:t>
            </w:r>
          </w:p>
        </w:tc>
        <w:tc>
          <w:tcPr>
            <w:tcW w:w="784" w:type="dxa"/>
            <w:shd w:val="clear" w:color="auto" w:fill="auto"/>
            <w:vAlign w:val="center"/>
          </w:tcPr>
          <w:p w14:paraId="0F49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2D518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6D86B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C17E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5805E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0" w:type="dxa"/>
            <w:shd w:val="clear" w:color="auto" w:fill="auto"/>
            <w:noWrap/>
            <w:vAlign w:val="center"/>
          </w:tcPr>
          <w:p w14:paraId="4E76C010">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F467E6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7CB1764">
            <w:pPr>
              <w:jc w:val="center"/>
              <w:rPr>
                <w:rFonts w:hint="eastAsia" w:ascii="宋体" w:hAnsi="宋体" w:eastAsia="宋体" w:cs="宋体"/>
                <w:i w:val="0"/>
                <w:iCs w:val="0"/>
                <w:color w:val="000000"/>
                <w:sz w:val="22"/>
                <w:szCs w:val="22"/>
                <w:u w:val="none"/>
              </w:rPr>
            </w:pPr>
          </w:p>
        </w:tc>
      </w:tr>
      <w:tr w14:paraId="4503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FCEB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2" w:type="dxa"/>
            <w:vMerge w:val="continue"/>
            <w:shd w:val="clear" w:color="auto" w:fill="auto"/>
            <w:vAlign w:val="center"/>
          </w:tcPr>
          <w:p w14:paraId="39CE699B">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2245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指夹血氧仪</w:t>
            </w:r>
          </w:p>
        </w:tc>
        <w:tc>
          <w:tcPr>
            <w:tcW w:w="784" w:type="dxa"/>
            <w:shd w:val="clear" w:color="auto" w:fill="auto"/>
            <w:vAlign w:val="center"/>
          </w:tcPr>
          <w:p w14:paraId="7ABBF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6" w:type="dxa"/>
            <w:shd w:val="clear" w:color="auto" w:fill="auto"/>
            <w:noWrap/>
            <w:vAlign w:val="center"/>
          </w:tcPr>
          <w:p w14:paraId="4400D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7DE85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70AAF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33F51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shd w:val="clear" w:color="auto" w:fill="auto"/>
            <w:noWrap/>
            <w:vAlign w:val="center"/>
          </w:tcPr>
          <w:p w14:paraId="2BF9A17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79B050D">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FA0603B">
            <w:pPr>
              <w:jc w:val="center"/>
              <w:rPr>
                <w:rFonts w:hint="eastAsia" w:ascii="宋体" w:hAnsi="宋体" w:eastAsia="宋体" w:cs="宋体"/>
                <w:i w:val="0"/>
                <w:iCs w:val="0"/>
                <w:color w:val="000000"/>
                <w:sz w:val="22"/>
                <w:szCs w:val="22"/>
                <w:u w:val="none"/>
              </w:rPr>
            </w:pPr>
          </w:p>
        </w:tc>
      </w:tr>
      <w:tr w14:paraId="298B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2152A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2" w:type="dxa"/>
            <w:vMerge w:val="continue"/>
            <w:shd w:val="clear" w:color="auto" w:fill="auto"/>
            <w:vAlign w:val="center"/>
          </w:tcPr>
          <w:p w14:paraId="6420C6D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8A0A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吸氧装置</w:t>
            </w:r>
          </w:p>
        </w:tc>
        <w:tc>
          <w:tcPr>
            <w:tcW w:w="784" w:type="dxa"/>
            <w:shd w:val="clear" w:color="auto" w:fill="auto"/>
            <w:vAlign w:val="center"/>
          </w:tcPr>
          <w:p w14:paraId="4D683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66E49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1E675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2F02F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vAlign w:val="center"/>
          </w:tcPr>
          <w:p w14:paraId="1246A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40B06D1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A6C95C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1C27AD7">
            <w:pPr>
              <w:jc w:val="center"/>
              <w:rPr>
                <w:rFonts w:hint="eastAsia" w:ascii="宋体" w:hAnsi="宋体" w:eastAsia="宋体" w:cs="宋体"/>
                <w:i w:val="0"/>
                <w:iCs w:val="0"/>
                <w:color w:val="FF0000"/>
                <w:sz w:val="22"/>
                <w:szCs w:val="22"/>
                <w:u w:val="none"/>
              </w:rPr>
            </w:pPr>
          </w:p>
        </w:tc>
      </w:tr>
      <w:tr w14:paraId="5167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7C722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2" w:type="dxa"/>
            <w:vMerge w:val="continue"/>
            <w:shd w:val="clear" w:color="auto" w:fill="auto"/>
            <w:vAlign w:val="center"/>
          </w:tcPr>
          <w:p w14:paraId="2EAE7688">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DC1C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十二导联远程心电图机</w:t>
            </w:r>
          </w:p>
        </w:tc>
        <w:tc>
          <w:tcPr>
            <w:tcW w:w="784" w:type="dxa"/>
            <w:shd w:val="clear" w:color="auto" w:fill="auto"/>
            <w:vAlign w:val="center"/>
          </w:tcPr>
          <w:p w14:paraId="7E5B2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6" w:type="dxa"/>
            <w:shd w:val="clear" w:color="auto" w:fill="auto"/>
            <w:noWrap/>
            <w:vAlign w:val="center"/>
          </w:tcPr>
          <w:p w14:paraId="27FB2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4" w:type="dxa"/>
            <w:shd w:val="clear" w:color="auto" w:fill="auto"/>
            <w:noWrap/>
            <w:vAlign w:val="center"/>
          </w:tcPr>
          <w:p w14:paraId="7C59E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shd w:val="clear" w:color="auto" w:fill="auto"/>
            <w:noWrap/>
            <w:vAlign w:val="center"/>
          </w:tcPr>
          <w:p w14:paraId="1B8BF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6" w:type="dxa"/>
            <w:shd w:val="clear" w:color="auto" w:fill="auto"/>
            <w:vAlign w:val="center"/>
          </w:tcPr>
          <w:p w14:paraId="34D88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0" w:type="dxa"/>
            <w:shd w:val="clear" w:color="auto" w:fill="auto"/>
            <w:noWrap/>
            <w:vAlign w:val="center"/>
          </w:tcPr>
          <w:p w14:paraId="5E998777">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29DAC56">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FB5EDEB">
            <w:pPr>
              <w:jc w:val="center"/>
              <w:rPr>
                <w:rFonts w:hint="eastAsia" w:ascii="宋体" w:hAnsi="宋体" w:eastAsia="宋体" w:cs="宋体"/>
                <w:i w:val="0"/>
                <w:iCs w:val="0"/>
                <w:color w:val="000000"/>
                <w:sz w:val="16"/>
                <w:szCs w:val="16"/>
                <w:u w:val="none"/>
              </w:rPr>
            </w:pPr>
          </w:p>
        </w:tc>
      </w:tr>
      <w:tr w14:paraId="2AC7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1" w:type="dxa"/>
            <w:shd w:val="clear" w:color="auto" w:fill="auto"/>
            <w:vAlign w:val="center"/>
          </w:tcPr>
          <w:p w14:paraId="6B1C9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2" w:type="dxa"/>
            <w:vMerge w:val="continue"/>
            <w:shd w:val="clear" w:color="auto" w:fill="auto"/>
            <w:vAlign w:val="center"/>
          </w:tcPr>
          <w:p w14:paraId="36462C9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3F207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自动体外除颤器</w:t>
            </w:r>
          </w:p>
        </w:tc>
        <w:tc>
          <w:tcPr>
            <w:tcW w:w="784" w:type="dxa"/>
            <w:shd w:val="clear" w:color="auto" w:fill="auto"/>
            <w:vAlign w:val="center"/>
          </w:tcPr>
          <w:p w14:paraId="45286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14AAD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4263E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A547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24EC0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0" w:type="dxa"/>
            <w:shd w:val="clear" w:color="auto" w:fill="auto"/>
            <w:noWrap/>
            <w:vAlign w:val="center"/>
          </w:tcPr>
          <w:p w14:paraId="666349F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A3CC83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A271BF7">
            <w:pPr>
              <w:jc w:val="center"/>
              <w:rPr>
                <w:rFonts w:hint="eastAsia" w:ascii="宋体" w:hAnsi="宋体" w:eastAsia="宋体" w:cs="宋体"/>
                <w:i w:val="0"/>
                <w:iCs w:val="0"/>
                <w:color w:val="000000"/>
                <w:sz w:val="22"/>
                <w:szCs w:val="22"/>
                <w:u w:val="none"/>
              </w:rPr>
            </w:pPr>
          </w:p>
        </w:tc>
      </w:tr>
      <w:tr w14:paraId="06A1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1" w:type="dxa"/>
            <w:shd w:val="clear" w:color="auto" w:fill="auto"/>
            <w:vAlign w:val="center"/>
          </w:tcPr>
          <w:p w14:paraId="5D0E8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dxa"/>
            <w:vMerge w:val="continue"/>
            <w:shd w:val="clear" w:color="auto" w:fill="auto"/>
            <w:vAlign w:val="center"/>
          </w:tcPr>
          <w:p w14:paraId="70107F68">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0735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病床</w:t>
            </w:r>
          </w:p>
        </w:tc>
        <w:tc>
          <w:tcPr>
            <w:tcW w:w="784" w:type="dxa"/>
            <w:shd w:val="clear" w:color="auto" w:fill="auto"/>
            <w:vAlign w:val="center"/>
          </w:tcPr>
          <w:p w14:paraId="6968E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6" w:type="dxa"/>
            <w:shd w:val="clear" w:color="auto" w:fill="auto"/>
            <w:noWrap/>
            <w:vAlign w:val="center"/>
          </w:tcPr>
          <w:p w14:paraId="5BAA9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34" w:type="dxa"/>
            <w:shd w:val="clear" w:color="auto" w:fill="auto"/>
            <w:noWrap/>
            <w:vAlign w:val="center"/>
          </w:tcPr>
          <w:p w14:paraId="0254D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50" w:type="dxa"/>
            <w:shd w:val="clear" w:color="auto" w:fill="auto"/>
            <w:noWrap/>
            <w:vAlign w:val="center"/>
          </w:tcPr>
          <w:p w14:paraId="19C34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4033B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00" w:type="dxa"/>
            <w:shd w:val="clear" w:color="auto" w:fill="auto"/>
            <w:noWrap/>
            <w:vAlign w:val="center"/>
          </w:tcPr>
          <w:p w14:paraId="1FDA608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FFDC234">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6478B46">
            <w:pPr>
              <w:jc w:val="center"/>
              <w:rPr>
                <w:rFonts w:hint="eastAsia" w:ascii="宋体" w:hAnsi="宋体" w:eastAsia="宋体" w:cs="宋体"/>
                <w:i w:val="0"/>
                <w:iCs w:val="0"/>
                <w:color w:val="000000"/>
                <w:sz w:val="22"/>
                <w:szCs w:val="22"/>
                <w:u w:val="none"/>
              </w:rPr>
            </w:pPr>
          </w:p>
        </w:tc>
      </w:tr>
      <w:tr w14:paraId="6F37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24A0E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2" w:type="dxa"/>
            <w:vMerge w:val="continue"/>
            <w:shd w:val="clear" w:color="auto" w:fill="auto"/>
            <w:vAlign w:val="center"/>
          </w:tcPr>
          <w:p w14:paraId="118F4D8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3AA3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784" w:type="dxa"/>
            <w:shd w:val="clear" w:color="auto" w:fill="auto"/>
            <w:vAlign w:val="center"/>
          </w:tcPr>
          <w:p w14:paraId="57D4C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64AD1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1E13C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42E13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485C9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7939987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F7CEC91">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8A410CD">
            <w:pPr>
              <w:jc w:val="center"/>
              <w:rPr>
                <w:rFonts w:hint="eastAsia" w:ascii="宋体" w:hAnsi="宋体" w:eastAsia="宋体" w:cs="宋体"/>
                <w:i w:val="0"/>
                <w:iCs w:val="0"/>
                <w:color w:val="000000"/>
                <w:sz w:val="22"/>
                <w:szCs w:val="22"/>
                <w:u w:val="none"/>
              </w:rPr>
            </w:pPr>
          </w:p>
        </w:tc>
      </w:tr>
      <w:tr w14:paraId="2C45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2E4C4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2" w:type="dxa"/>
            <w:vMerge w:val="continue"/>
            <w:shd w:val="clear" w:color="auto" w:fill="auto"/>
            <w:vAlign w:val="center"/>
          </w:tcPr>
          <w:p w14:paraId="1E890F4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5053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医用推车</w:t>
            </w:r>
          </w:p>
        </w:tc>
        <w:tc>
          <w:tcPr>
            <w:tcW w:w="784" w:type="dxa"/>
            <w:shd w:val="clear" w:color="auto" w:fill="auto"/>
            <w:vAlign w:val="center"/>
          </w:tcPr>
          <w:p w14:paraId="6A71E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374CF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0CB0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332E9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49E83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4655A5F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43C048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52E5FDE">
            <w:pPr>
              <w:jc w:val="center"/>
              <w:rPr>
                <w:rFonts w:hint="eastAsia" w:ascii="宋体" w:hAnsi="宋体" w:eastAsia="宋体" w:cs="宋体"/>
                <w:i w:val="0"/>
                <w:iCs w:val="0"/>
                <w:color w:val="000000"/>
                <w:sz w:val="22"/>
                <w:szCs w:val="22"/>
                <w:u w:val="none"/>
              </w:rPr>
            </w:pPr>
          </w:p>
        </w:tc>
      </w:tr>
      <w:tr w14:paraId="5A28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21" w:type="dxa"/>
            <w:shd w:val="clear" w:color="auto" w:fill="auto"/>
            <w:vAlign w:val="center"/>
          </w:tcPr>
          <w:p w14:paraId="5237D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2" w:type="dxa"/>
            <w:vMerge w:val="continue"/>
            <w:shd w:val="clear" w:color="auto" w:fill="auto"/>
            <w:vAlign w:val="center"/>
          </w:tcPr>
          <w:p w14:paraId="0A9E9181">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165B0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w:t>
            </w:r>
          </w:p>
        </w:tc>
        <w:tc>
          <w:tcPr>
            <w:tcW w:w="784" w:type="dxa"/>
            <w:shd w:val="clear" w:color="auto" w:fill="auto"/>
            <w:vAlign w:val="center"/>
          </w:tcPr>
          <w:p w14:paraId="31D43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506F8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04AC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61302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1CEDA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2EB608F4">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42B7E7F">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8379E79">
            <w:pPr>
              <w:jc w:val="center"/>
              <w:rPr>
                <w:rFonts w:hint="eastAsia" w:ascii="宋体" w:hAnsi="宋体" w:eastAsia="宋体" w:cs="宋体"/>
                <w:i w:val="0"/>
                <w:iCs w:val="0"/>
                <w:color w:val="000000"/>
                <w:sz w:val="22"/>
                <w:szCs w:val="22"/>
                <w:u w:val="none"/>
              </w:rPr>
            </w:pPr>
          </w:p>
        </w:tc>
      </w:tr>
      <w:tr w14:paraId="3591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1" w:type="dxa"/>
            <w:shd w:val="clear" w:color="auto" w:fill="auto"/>
            <w:vAlign w:val="center"/>
          </w:tcPr>
          <w:p w14:paraId="17B05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2" w:type="dxa"/>
            <w:vMerge w:val="restart"/>
            <w:shd w:val="clear" w:color="auto" w:fill="auto"/>
            <w:vAlign w:val="center"/>
          </w:tcPr>
          <w:p w14:paraId="119A8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急诊(抢救)室</w:t>
            </w:r>
          </w:p>
        </w:tc>
        <w:tc>
          <w:tcPr>
            <w:tcW w:w="2937" w:type="dxa"/>
            <w:shd w:val="clear" w:color="auto" w:fill="auto"/>
            <w:vAlign w:val="center"/>
          </w:tcPr>
          <w:p w14:paraId="09BCB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体外除颤设备</w:t>
            </w:r>
          </w:p>
        </w:tc>
        <w:tc>
          <w:tcPr>
            <w:tcW w:w="784" w:type="dxa"/>
            <w:shd w:val="clear" w:color="auto" w:fill="auto"/>
            <w:vAlign w:val="center"/>
          </w:tcPr>
          <w:p w14:paraId="19E05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62268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20FA8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DB87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66836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0" w:type="dxa"/>
            <w:shd w:val="clear" w:color="auto" w:fill="auto"/>
            <w:noWrap/>
            <w:vAlign w:val="center"/>
          </w:tcPr>
          <w:p w14:paraId="75C1463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E97853F">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7755516A">
            <w:pPr>
              <w:jc w:val="center"/>
              <w:rPr>
                <w:rFonts w:hint="eastAsia" w:ascii="宋体" w:hAnsi="宋体" w:eastAsia="宋体" w:cs="宋体"/>
                <w:i w:val="0"/>
                <w:iCs w:val="0"/>
                <w:color w:val="FF0000"/>
                <w:sz w:val="20"/>
                <w:szCs w:val="20"/>
                <w:u w:val="none"/>
              </w:rPr>
            </w:pPr>
          </w:p>
        </w:tc>
      </w:tr>
      <w:tr w14:paraId="3586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44D96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62" w:type="dxa"/>
            <w:vMerge w:val="continue"/>
            <w:shd w:val="clear" w:color="auto" w:fill="auto"/>
            <w:vAlign w:val="center"/>
          </w:tcPr>
          <w:p w14:paraId="67F4306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B94C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急诊抢救箱（外科急救箱）</w:t>
            </w:r>
          </w:p>
        </w:tc>
        <w:tc>
          <w:tcPr>
            <w:tcW w:w="784" w:type="dxa"/>
            <w:shd w:val="clear" w:color="auto" w:fill="auto"/>
            <w:vAlign w:val="center"/>
          </w:tcPr>
          <w:p w14:paraId="68FF8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38433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3CD56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4C6F3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5001F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08D2E089">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CA1D9B9">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E923AD1">
            <w:pPr>
              <w:jc w:val="center"/>
              <w:rPr>
                <w:rFonts w:hint="eastAsia" w:ascii="宋体" w:hAnsi="宋体" w:eastAsia="宋体" w:cs="宋体"/>
                <w:i w:val="0"/>
                <w:iCs w:val="0"/>
                <w:color w:val="000000"/>
                <w:sz w:val="22"/>
                <w:szCs w:val="22"/>
                <w:u w:val="none"/>
              </w:rPr>
            </w:pPr>
          </w:p>
        </w:tc>
      </w:tr>
      <w:tr w14:paraId="3533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1220A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2" w:type="dxa"/>
            <w:vMerge w:val="continue"/>
            <w:shd w:val="clear" w:color="auto" w:fill="auto"/>
            <w:vAlign w:val="center"/>
          </w:tcPr>
          <w:p w14:paraId="0CBB81C3">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39CF55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急诊抢救箱（内科急救箱）</w:t>
            </w:r>
          </w:p>
        </w:tc>
        <w:tc>
          <w:tcPr>
            <w:tcW w:w="784" w:type="dxa"/>
            <w:shd w:val="clear" w:color="auto" w:fill="auto"/>
            <w:vAlign w:val="center"/>
          </w:tcPr>
          <w:p w14:paraId="6A3F7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7E0F8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4673A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4DB21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396A4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5A609FA6">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AA558D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688983F">
            <w:pPr>
              <w:jc w:val="center"/>
              <w:rPr>
                <w:rFonts w:hint="eastAsia" w:ascii="宋体" w:hAnsi="宋体" w:eastAsia="宋体" w:cs="宋体"/>
                <w:i w:val="0"/>
                <w:iCs w:val="0"/>
                <w:color w:val="000000"/>
                <w:sz w:val="22"/>
                <w:szCs w:val="22"/>
                <w:u w:val="none"/>
              </w:rPr>
            </w:pPr>
          </w:p>
        </w:tc>
      </w:tr>
      <w:tr w14:paraId="2BCE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2EB4D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2" w:type="dxa"/>
            <w:vMerge w:val="continue"/>
            <w:shd w:val="clear" w:color="auto" w:fill="auto"/>
            <w:vAlign w:val="center"/>
          </w:tcPr>
          <w:p w14:paraId="76FAA9F8">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D0D6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呼吸球囊</w:t>
            </w:r>
          </w:p>
        </w:tc>
        <w:tc>
          <w:tcPr>
            <w:tcW w:w="784" w:type="dxa"/>
            <w:shd w:val="clear" w:color="auto" w:fill="auto"/>
            <w:vAlign w:val="center"/>
          </w:tcPr>
          <w:p w14:paraId="1C4E4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6" w:type="dxa"/>
            <w:shd w:val="clear" w:color="auto" w:fill="auto"/>
            <w:noWrap/>
            <w:vAlign w:val="center"/>
          </w:tcPr>
          <w:p w14:paraId="57324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0E874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7832B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3D377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00" w:type="dxa"/>
            <w:shd w:val="clear" w:color="auto" w:fill="auto"/>
            <w:noWrap/>
            <w:vAlign w:val="center"/>
          </w:tcPr>
          <w:p w14:paraId="6CD1219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CB25536">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4C8EA6D3">
            <w:pPr>
              <w:jc w:val="center"/>
              <w:rPr>
                <w:rFonts w:hint="eastAsia" w:ascii="宋体" w:hAnsi="宋体" w:eastAsia="宋体" w:cs="宋体"/>
                <w:i w:val="0"/>
                <w:iCs w:val="0"/>
                <w:color w:val="000000"/>
                <w:sz w:val="22"/>
                <w:szCs w:val="22"/>
                <w:u w:val="none"/>
              </w:rPr>
            </w:pPr>
          </w:p>
        </w:tc>
      </w:tr>
      <w:tr w14:paraId="403E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57102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62" w:type="dxa"/>
            <w:vMerge w:val="continue"/>
            <w:shd w:val="clear" w:color="auto" w:fill="auto"/>
            <w:vAlign w:val="center"/>
          </w:tcPr>
          <w:p w14:paraId="7ED94B58">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1AD69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吸痰器（便携式）</w:t>
            </w:r>
          </w:p>
        </w:tc>
        <w:tc>
          <w:tcPr>
            <w:tcW w:w="784" w:type="dxa"/>
            <w:shd w:val="clear" w:color="auto" w:fill="auto"/>
            <w:noWrap/>
            <w:vAlign w:val="center"/>
          </w:tcPr>
          <w:p w14:paraId="2578F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56E31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D4DF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47E2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5C151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6E6BB8C0">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F514D4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58A0468">
            <w:pPr>
              <w:jc w:val="center"/>
              <w:rPr>
                <w:rFonts w:hint="eastAsia" w:ascii="宋体" w:hAnsi="宋体" w:eastAsia="宋体" w:cs="宋体"/>
                <w:i w:val="0"/>
                <w:iCs w:val="0"/>
                <w:color w:val="000000"/>
                <w:sz w:val="22"/>
                <w:szCs w:val="22"/>
                <w:u w:val="none"/>
              </w:rPr>
            </w:pPr>
          </w:p>
        </w:tc>
      </w:tr>
      <w:tr w14:paraId="732B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5BFCF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2" w:type="dxa"/>
            <w:vMerge w:val="continue"/>
            <w:shd w:val="clear" w:color="auto" w:fill="auto"/>
            <w:vAlign w:val="center"/>
          </w:tcPr>
          <w:p w14:paraId="1774E0A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828D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吸痰器（大型）</w:t>
            </w:r>
          </w:p>
        </w:tc>
        <w:tc>
          <w:tcPr>
            <w:tcW w:w="784" w:type="dxa"/>
            <w:shd w:val="clear" w:color="auto" w:fill="auto"/>
            <w:noWrap/>
            <w:vAlign w:val="center"/>
          </w:tcPr>
          <w:p w14:paraId="691EE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2017F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D69C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7C1CB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0930A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7F3B3180">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134853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75A2FD3">
            <w:pPr>
              <w:jc w:val="center"/>
              <w:rPr>
                <w:rFonts w:hint="eastAsia" w:ascii="宋体" w:hAnsi="宋体" w:eastAsia="宋体" w:cs="宋体"/>
                <w:i w:val="0"/>
                <w:iCs w:val="0"/>
                <w:color w:val="FF0000"/>
                <w:sz w:val="22"/>
                <w:szCs w:val="22"/>
                <w:u w:val="none"/>
              </w:rPr>
            </w:pPr>
          </w:p>
        </w:tc>
      </w:tr>
      <w:tr w14:paraId="0070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621" w:type="dxa"/>
            <w:shd w:val="clear" w:color="auto" w:fill="auto"/>
            <w:vAlign w:val="center"/>
          </w:tcPr>
          <w:p w14:paraId="0C7F8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2" w:type="dxa"/>
            <w:vMerge w:val="continue"/>
            <w:shd w:val="clear" w:color="auto" w:fill="auto"/>
            <w:vAlign w:val="center"/>
          </w:tcPr>
          <w:p w14:paraId="49A7C0D3">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0D07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清创缝合器械</w:t>
            </w:r>
          </w:p>
        </w:tc>
        <w:tc>
          <w:tcPr>
            <w:tcW w:w="784" w:type="dxa"/>
            <w:shd w:val="clear" w:color="auto" w:fill="auto"/>
            <w:vAlign w:val="center"/>
          </w:tcPr>
          <w:p w14:paraId="47CC7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10FE0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3E29C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2CB65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6" w:type="dxa"/>
            <w:shd w:val="clear" w:color="auto" w:fill="auto"/>
            <w:noWrap/>
            <w:vAlign w:val="center"/>
          </w:tcPr>
          <w:p w14:paraId="4F8E0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0" w:type="dxa"/>
            <w:shd w:val="clear" w:color="auto" w:fill="auto"/>
            <w:noWrap/>
            <w:vAlign w:val="center"/>
          </w:tcPr>
          <w:p w14:paraId="694E92D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61D71E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CCE5D0D">
            <w:pPr>
              <w:jc w:val="center"/>
              <w:rPr>
                <w:rFonts w:hint="eastAsia" w:ascii="宋体" w:hAnsi="宋体" w:eastAsia="宋体" w:cs="宋体"/>
                <w:i w:val="0"/>
                <w:iCs w:val="0"/>
                <w:color w:val="000000"/>
                <w:sz w:val="22"/>
                <w:szCs w:val="22"/>
                <w:u w:val="none"/>
              </w:rPr>
            </w:pPr>
          </w:p>
        </w:tc>
      </w:tr>
      <w:tr w14:paraId="1CA4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5548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62" w:type="dxa"/>
            <w:vMerge w:val="continue"/>
            <w:shd w:val="clear" w:color="auto" w:fill="auto"/>
            <w:vAlign w:val="center"/>
          </w:tcPr>
          <w:p w14:paraId="59022219">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5A8E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心电监护仪+固定架</w:t>
            </w:r>
          </w:p>
        </w:tc>
        <w:tc>
          <w:tcPr>
            <w:tcW w:w="784" w:type="dxa"/>
            <w:shd w:val="clear" w:color="auto" w:fill="auto"/>
            <w:vAlign w:val="center"/>
          </w:tcPr>
          <w:p w14:paraId="0CE59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5D39B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1E79E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EE22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45AD7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7A91310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D43CEBF">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8E5ECDC">
            <w:pPr>
              <w:jc w:val="center"/>
              <w:rPr>
                <w:rFonts w:hint="eastAsia" w:ascii="宋体" w:hAnsi="宋体" w:eastAsia="宋体" w:cs="宋体"/>
                <w:i w:val="0"/>
                <w:iCs w:val="0"/>
                <w:color w:val="000000"/>
                <w:sz w:val="22"/>
                <w:szCs w:val="22"/>
                <w:u w:val="none"/>
              </w:rPr>
            </w:pPr>
          </w:p>
        </w:tc>
      </w:tr>
      <w:tr w14:paraId="4EAE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E266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2" w:type="dxa"/>
            <w:vMerge w:val="continue"/>
            <w:shd w:val="clear" w:color="auto" w:fill="auto"/>
            <w:vAlign w:val="center"/>
          </w:tcPr>
          <w:p w14:paraId="24BF856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72C6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输液泵</w:t>
            </w:r>
          </w:p>
        </w:tc>
        <w:tc>
          <w:tcPr>
            <w:tcW w:w="784" w:type="dxa"/>
            <w:shd w:val="clear" w:color="auto" w:fill="auto"/>
            <w:vAlign w:val="center"/>
          </w:tcPr>
          <w:p w14:paraId="1F5F2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2BC5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32D80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9192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1A492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0889A1C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4F8938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CD59A90">
            <w:pPr>
              <w:jc w:val="center"/>
              <w:rPr>
                <w:rFonts w:hint="eastAsia" w:ascii="宋体" w:hAnsi="宋体" w:eastAsia="宋体" w:cs="宋体"/>
                <w:i w:val="0"/>
                <w:iCs w:val="0"/>
                <w:color w:val="000000"/>
                <w:sz w:val="22"/>
                <w:szCs w:val="22"/>
                <w:u w:val="none"/>
              </w:rPr>
            </w:pPr>
          </w:p>
        </w:tc>
      </w:tr>
      <w:tr w14:paraId="4D6C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3588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62" w:type="dxa"/>
            <w:vMerge w:val="continue"/>
            <w:shd w:val="clear" w:color="auto" w:fill="auto"/>
            <w:vAlign w:val="center"/>
          </w:tcPr>
          <w:p w14:paraId="3D9158B7">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457B8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注射泵</w:t>
            </w:r>
          </w:p>
        </w:tc>
        <w:tc>
          <w:tcPr>
            <w:tcW w:w="784" w:type="dxa"/>
            <w:shd w:val="clear" w:color="auto" w:fill="auto"/>
            <w:vAlign w:val="center"/>
          </w:tcPr>
          <w:p w14:paraId="24B02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B00A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453DD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32EB5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1CDA5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3F7386A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8E8E3B4">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A64E22C">
            <w:pPr>
              <w:jc w:val="center"/>
              <w:rPr>
                <w:rFonts w:hint="eastAsia" w:ascii="宋体" w:hAnsi="宋体" w:eastAsia="宋体" w:cs="宋体"/>
                <w:i w:val="0"/>
                <w:iCs w:val="0"/>
                <w:color w:val="FF0000"/>
                <w:sz w:val="22"/>
                <w:szCs w:val="22"/>
                <w:u w:val="none"/>
              </w:rPr>
            </w:pPr>
          </w:p>
        </w:tc>
      </w:tr>
      <w:tr w14:paraId="2EFB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70F8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2" w:type="dxa"/>
            <w:vMerge w:val="continue"/>
            <w:shd w:val="clear" w:color="auto" w:fill="auto"/>
            <w:vAlign w:val="center"/>
          </w:tcPr>
          <w:p w14:paraId="674F641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F368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医用储存柜</w:t>
            </w:r>
          </w:p>
        </w:tc>
        <w:tc>
          <w:tcPr>
            <w:tcW w:w="784" w:type="dxa"/>
            <w:shd w:val="clear" w:color="auto" w:fill="auto"/>
            <w:vAlign w:val="center"/>
          </w:tcPr>
          <w:p w14:paraId="67804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284E2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32ABF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1AC58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259D6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0D9D4265">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7DE95E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0C8408E">
            <w:pPr>
              <w:jc w:val="center"/>
              <w:rPr>
                <w:rFonts w:hint="eastAsia" w:ascii="宋体" w:hAnsi="宋体" w:eastAsia="宋体" w:cs="宋体"/>
                <w:i w:val="0"/>
                <w:iCs w:val="0"/>
                <w:color w:val="FF0000"/>
                <w:sz w:val="22"/>
                <w:szCs w:val="22"/>
                <w:u w:val="none"/>
              </w:rPr>
            </w:pPr>
          </w:p>
        </w:tc>
      </w:tr>
      <w:tr w14:paraId="0664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DAA4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62" w:type="dxa"/>
            <w:vMerge w:val="continue"/>
            <w:shd w:val="clear" w:color="auto" w:fill="auto"/>
            <w:vAlign w:val="center"/>
          </w:tcPr>
          <w:p w14:paraId="31DEDC85">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953B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洗胃机</w:t>
            </w:r>
          </w:p>
        </w:tc>
        <w:tc>
          <w:tcPr>
            <w:tcW w:w="784" w:type="dxa"/>
            <w:shd w:val="clear" w:color="auto" w:fill="auto"/>
            <w:vAlign w:val="center"/>
          </w:tcPr>
          <w:p w14:paraId="7620F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14A1E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366E4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8984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759F4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29A67FD9">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DA8B5B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021DED1">
            <w:pPr>
              <w:jc w:val="center"/>
              <w:rPr>
                <w:rFonts w:hint="eastAsia" w:ascii="宋体" w:hAnsi="宋体" w:eastAsia="宋体" w:cs="宋体"/>
                <w:i w:val="0"/>
                <w:iCs w:val="0"/>
                <w:color w:val="000000"/>
                <w:sz w:val="22"/>
                <w:szCs w:val="22"/>
                <w:u w:val="none"/>
              </w:rPr>
            </w:pPr>
          </w:p>
        </w:tc>
      </w:tr>
      <w:tr w14:paraId="5DE7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5C28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62" w:type="dxa"/>
            <w:vMerge w:val="continue"/>
            <w:shd w:val="clear" w:color="auto" w:fill="auto"/>
            <w:vAlign w:val="center"/>
          </w:tcPr>
          <w:p w14:paraId="6BC4A87F">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AB44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听诊器</w:t>
            </w:r>
          </w:p>
        </w:tc>
        <w:tc>
          <w:tcPr>
            <w:tcW w:w="784" w:type="dxa"/>
            <w:shd w:val="clear" w:color="auto" w:fill="auto"/>
            <w:vAlign w:val="center"/>
          </w:tcPr>
          <w:p w14:paraId="4BA29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599E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1B56E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6DCFA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22196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3CB28D8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B35CE3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C1125C8">
            <w:pPr>
              <w:jc w:val="center"/>
              <w:rPr>
                <w:rFonts w:hint="eastAsia" w:ascii="宋体" w:hAnsi="宋体" w:eastAsia="宋体" w:cs="宋体"/>
                <w:i w:val="0"/>
                <w:iCs w:val="0"/>
                <w:color w:val="000000"/>
                <w:sz w:val="22"/>
                <w:szCs w:val="22"/>
                <w:u w:val="none"/>
              </w:rPr>
            </w:pPr>
          </w:p>
        </w:tc>
      </w:tr>
      <w:tr w14:paraId="2DE7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A18E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62" w:type="dxa"/>
            <w:vMerge w:val="continue"/>
            <w:shd w:val="clear" w:color="auto" w:fill="auto"/>
            <w:vAlign w:val="center"/>
          </w:tcPr>
          <w:p w14:paraId="3E8DD6F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86AF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便携式超声诊断仪</w:t>
            </w:r>
          </w:p>
        </w:tc>
        <w:tc>
          <w:tcPr>
            <w:tcW w:w="784" w:type="dxa"/>
            <w:shd w:val="clear" w:color="auto" w:fill="auto"/>
            <w:vAlign w:val="center"/>
          </w:tcPr>
          <w:p w14:paraId="79B1B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882A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5A8E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860D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673A5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4D48043B">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AA340B6">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D6CC8EA">
            <w:pPr>
              <w:jc w:val="center"/>
              <w:rPr>
                <w:rFonts w:hint="eastAsia" w:ascii="宋体" w:hAnsi="宋体" w:eastAsia="宋体" w:cs="宋体"/>
                <w:i w:val="0"/>
                <w:iCs w:val="0"/>
                <w:color w:val="000000"/>
                <w:sz w:val="22"/>
                <w:szCs w:val="22"/>
                <w:u w:val="none"/>
              </w:rPr>
            </w:pPr>
          </w:p>
        </w:tc>
      </w:tr>
      <w:tr w14:paraId="7CD6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33D5A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62" w:type="dxa"/>
            <w:vMerge w:val="continue"/>
            <w:shd w:val="clear" w:color="auto" w:fill="auto"/>
            <w:vAlign w:val="center"/>
          </w:tcPr>
          <w:p w14:paraId="6270FE6B">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2E4A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血糖仪</w:t>
            </w:r>
          </w:p>
        </w:tc>
        <w:tc>
          <w:tcPr>
            <w:tcW w:w="784" w:type="dxa"/>
            <w:shd w:val="clear" w:color="auto" w:fill="auto"/>
            <w:vAlign w:val="center"/>
          </w:tcPr>
          <w:p w14:paraId="2EBEF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28490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4215A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D58D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68011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196BA04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F2EE35E">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24437F9">
            <w:pPr>
              <w:jc w:val="center"/>
              <w:rPr>
                <w:rFonts w:hint="eastAsia" w:ascii="宋体" w:hAnsi="宋体" w:eastAsia="宋体" w:cs="宋体"/>
                <w:i w:val="0"/>
                <w:iCs w:val="0"/>
                <w:color w:val="000000"/>
                <w:sz w:val="22"/>
                <w:szCs w:val="22"/>
                <w:u w:val="none"/>
              </w:rPr>
            </w:pPr>
          </w:p>
        </w:tc>
      </w:tr>
      <w:tr w14:paraId="77AB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35D0A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2" w:type="dxa"/>
            <w:vMerge w:val="continue"/>
            <w:shd w:val="clear" w:color="auto" w:fill="auto"/>
            <w:vAlign w:val="center"/>
          </w:tcPr>
          <w:p w14:paraId="4F587A8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6AFB7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担架</w:t>
            </w:r>
          </w:p>
        </w:tc>
        <w:tc>
          <w:tcPr>
            <w:tcW w:w="784" w:type="dxa"/>
            <w:shd w:val="clear" w:color="auto" w:fill="auto"/>
            <w:vAlign w:val="center"/>
          </w:tcPr>
          <w:p w14:paraId="0300E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58C2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1322F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48D3D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454AB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0" w:type="dxa"/>
            <w:shd w:val="clear" w:color="auto" w:fill="auto"/>
            <w:noWrap/>
            <w:vAlign w:val="center"/>
          </w:tcPr>
          <w:p w14:paraId="2C3E28A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D32922E">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192BBACF">
            <w:pPr>
              <w:jc w:val="center"/>
              <w:rPr>
                <w:rFonts w:hint="eastAsia" w:ascii="宋体" w:hAnsi="宋体" w:eastAsia="宋体" w:cs="宋体"/>
                <w:i w:val="0"/>
                <w:iCs w:val="0"/>
                <w:color w:val="FF0000"/>
                <w:sz w:val="22"/>
                <w:szCs w:val="22"/>
                <w:u w:val="none"/>
              </w:rPr>
            </w:pPr>
          </w:p>
        </w:tc>
      </w:tr>
      <w:tr w14:paraId="345D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2572F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62" w:type="dxa"/>
            <w:vMerge w:val="continue"/>
            <w:shd w:val="clear" w:color="auto" w:fill="auto"/>
            <w:vAlign w:val="center"/>
          </w:tcPr>
          <w:p w14:paraId="1C232BBD">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63421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远程医疗会诊管理系统</w:t>
            </w:r>
          </w:p>
        </w:tc>
        <w:tc>
          <w:tcPr>
            <w:tcW w:w="784" w:type="dxa"/>
            <w:shd w:val="clear" w:color="auto" w:fill="auto"/>
            <w:vAlign w:val="center"/>
          </w:tcPr>
          <w:p w14:paraId="2C238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C196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154EC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29ACE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1BEAD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shd w:val="clear" w:color="auto" w:fill="auto"/>
            <w:noWrap/>
            <w:vAlign w:val="center"/>
          </w:tcPr>
          <w:p w14:paraId="713A4046">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5770CEF">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1CB5CB99">
            <w:pPr>
              <w:jc w:val="center"/>
              <w:rPr>
                <w:rFonts w:hint="eastAsia" w:ascii="宋体" w:hAnsi="宋体" w:eastAsia="宋体" w:cs="宋体"/>
                <w:i w:val="0"/>
                <w:iCs w:val="0"/>
                <w:color w:val="FF0000"/>
                <w:sz w:val="22"/>
                <w:szCs w:val="22"/>
                <w:u w:val="none"/>
              </w:rPr>
            </w:pPr>
          </w:p>
        </w:tc>
      </w:tr>
      <w:tr w14:paraId="709E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41CAB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62" w:type="dxa"/>
            <w:vMerge w:val="continue"/>
            <w:shd w:val="clear" w:color="auto" w:fill="auto"/>
            <w:vAlign w:val="center"/>
          </w:tcPr>
          <w:p w14:paraId="3FD2113A">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69F29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多功能床旁设备车</w:t>
            </w:r>
          </w:p>
        </w:tc>
        <w:tc>
          <w:tcPr>
            <w:tcW w:w="784" w:type="dxa"/>
            <w:shd w:val="clear" w:color="auto" w:fill="auto"/>
            <w:vAlign w:val="center"/>
          </w:tcPr>
          <w:p w14:paraId="45F5B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38CC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08F8B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3ECC8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7905E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236426B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1AA5968">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6B70013">
            <w:pPr>
              <w:jc w:val="center"/>
              <w:rPr>
                <w:rFonts w:hint="eastAsia" w:ascii="宋体" w:hAnsi="宋体" w:eastAsia="宋体" w:cs="宋体"/>
                <w:i w:val="0"/>
                <w:iCs w:val="0"/>
                <w:color w:val="000000"/>
                <w:sz w:val="22"/>
                <w:szCs w:val="22"/>
                <w:u w:val="none"/>
              </w:rPr>
            </w:pPr>
          </w:p>
        </w:tc>
      </w:tr>
      <w:tr w14:paraId="0962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52585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62" w:type="dxa"/>
            <w:vMerge w:val="continue"/>
            <w:shd w:val="clear" w:color="auto" w:fill="auto"/>
            <w:vAlign w:val="center"/>
          </w:tcPr>
          <w:p w14:paraId="62FA4D6B">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35F2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抢救车</w:t>
            </w:r>
          </w:p>
        </w:tc>
        <w:tc>
          <w:tcPr>
            <w:tcW w:w="784" w:type="dxa"/>
            <w:shd w:val="clear" w:color="auto" w:fill="auto"/>
            <w:vAlign w:val="center"/>
          </w:tcPr>
          <w:p w14:paraId="25426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765B8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B94B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09F99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5C603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65FC6C24">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6B647B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6574DAF6">
            <w:pPr>
              <w:jc w:val="center"/>
              <w:rPr>
                <w:rFonts w:hint="eastAsia" w:ascii="宋体" w:hAnsi="宋体" w:eastAsia="宋体" w:cs="宋体"/>
                <w:i w:val="0"/>
                <w:iCs w:val="0"/>
                <w:color w:val="000000"/>
                <w:sz w:val="22"/>
                <w:szCs w:val="22"/>
                <w:u w:val="none"/>
              </w:rPr>
            </w:pPr>
          </w:p>
        </w:tc>
      </w:tr>
      <w:tr w14:paraId="0CAF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1" w:type="dxa"/>
            <w:shd w:val="clear" w:color="auto" w:fill="auto"/>
            <w:vAlign w:val="center"/>
          </w:tcPr>
          <w:p w14:paraId="0FB4E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62" w:type="dxa"/>
            <w:vMerge w:val="continue"/>
            <w:shd w:val="clear" w:color="auto" w:fill="auto"/>
            <w:vAlign w:val="center"/>
          </w:tcPr>
          <w:p w14:paraId="49FD30D1">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184B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便携氧气桶</w:t>
            </w:r>
          </w:p>
        </w:tc>
        <w:tc>
          <w:tcPr>
            <w:tcW w:w="784" w:type="dxa"/>
            <w:shd w:val="clear" w:color="auto" w:fill="auto"/>
            <w:vAlign w:val="center"/>
          </w:tcPr>
          <w:p w14:paraId="3EB13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3EB4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F69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2BA65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528D7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354C98A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A650DB8">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B295E77">
            <w:pPr>
              <w:jc w:val="center"/>
              <w:rPr>
                <w:rFonts w:hint="eastAsia" w:ascii="宋体" w:hAnsi="宋体" w:eastAsia="宋体" w:cs="宋体"/>
                <w:i w:val="0"/>
                <w:iCs w:val="0"/>
                <w:color w:val="FF0000"/>
                <w:sz w:val="22"/>
                <w:szCs w:val="22"/>
                <w:u w:val="none"/>
              </w:rPr>
            </w:pPr>
          </w:p>
        </w:tc>
      </w:tr>
      <w:tr w14:paraId="3021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43C92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2" w:type="dxa"/>
            <w:vMerge w:val="continue"/>
            <w:shd w:val="clear" w:color="auto" w:fill="auto"/>
            <w:vAlign w:val="center"/>
          </w:tcPr>
          <w:p w14:paraId="61E165D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F1D7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中央监护系统</w:t>
            </w:r>
          </w:p>
        </w:tc>
        <w:tc>
          <w:tcPr>
            <w:tcW w:w="784" w:type="dxa"/>
            <w:shd w:val="clear" w:color="auto" w:fill="auto"/>
            <w:vAlign w:val="center"/>
          </w:tcPr>
          <w:p w14:paraId="33CA6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0B56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3D640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06B2E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3B431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shd w:val="clear" w:color="auto" w:fill="auto"/>
            <w:noWrap/>
            <w:vAlign w:val="center"/>
          </w:tcPr>
          <w:p w14:paraId="783B167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874044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7EEC638">
            <w:pPr>
              <w:jc w:val="center"/>
              <w:rPr>
                <w:rFonts w:hint="eastAsia" w:ascii="宋体" w:hAnsi="宋体" w:eastAsia="宋体" w:cs="宋体"/>
                <w:i w:val="0"/>
                <w:iCs w:val="0"/>
                <w:color w:val="000000"/>
                <w:sz w:val="22"/>
                <w:szCs w:val="22"/>
                <w:u w:val="none"/>
              </w:rPr>
            </w:pPr>
          </w:p>
        </w:tc>
      </w:tr>
      <w:tr w14:paraId="77D9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11FA3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62" w:type="dxa"/>
            <w:vMerge w:val="restart"/>
            <w:shd w:val="clear" w:color="auto" w:fill="auto"/>
            <w:vAlign w:val="center"/>
          </w:tcPr>
          <w:p w14:paraId="7A613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内（儿）科</w:t>
            </w:r>
          </w:p>
        </w:tc>
        <w:tc>
          <w:tcPr>
            <w:tcW w:w="2937" w:type="dxa"/>
            <w:shd w:val="clear" w:color="auto" w:fill="auto"/>
            <w:vAlign w:val="center"/>
          </w:tcPr>
          <w:p w14:paraId="17651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动态心电监测仪(HOLTER)</w:t>
            </w:r>
          </w:p>
        </w:tc>
        <w:tc>
          <w:tcPr>
            <w:tcW w:w="784" w:type="dxa"/>
            <w:shd w:val="clear" w:color="auto" w:fill="auto"/>
            <w:vAlign w:val="center"/>
          </w:tcPr>
          <w:p w14:paraId="7A65D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6" w:type="dxa"/>
            <w:shd w:val="clear" w:color="auto" w:fill="auto"/>
            <w:vAlign w:val="center"/>
          </w:tcPr>
          <w:p w14:paraId="24B4F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2DE06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78AC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08CDF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0" w:type="dxa"/>
            <w:shd w:val="clear" w:color="auto" w:fill="auto"/>
            <w:noWrap/>
            <w:vAlign w:val="center"/>
          </w:tcPr>
          <w:p w14:paraId="290861A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ECCD4B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E6835B9">
            <w:pPr>
              <w:jc w:val="center"/>
              <w:rPr>
                <w:rFonts w:hint="eastAsia" w:ascii="宋体" w:hAnsi="宋体" w:eastAsia="宋体" w:cs="宋体"/>
                <w:i w:val="0"/>
                <w:iCs w:val="0"/>
                <w:color w:val="000000"/>
                <w:sz w:val="22"/>
                <w:szCs w:val="22"/>
                <w:u w:val="none"/>
              </w:rPr>
            </w:pPr>
          </w:p>
        </w:tc>
      </w:tr>
      <w:tr w14:paraId="53A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A74B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2" w:type="dxa"/>
            <w:vMerge w:val="continue"/>
            <w:shd w:val="clear" w:color="auto" w:fill="auto"/>
            <w:vAlign w:val="center"/>
          </w:tcPr>
          <w:p w14:paraId="2FB48561">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3571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动态血压监测仪</w:t>
            </w:r>
          </w:p>
        </w:tc>
        <w:tc>
          <w:tcPr>
            <w:tcW w:w="784" w:type="dxa"/>
            <w:shd w:val="clear" w:color="auto" w:fill="auto"/>
            <w:vAlign w:val="center"/>
          </w:tcPr>
          <w:p w14:paraId="1FC45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6" w:type="dxa"/>
            <w:shd w:val="clear" w:color="auto" w:fill="auto"/>
            <w:vAlign w:val="center"/>
          </w:tcPr>
          <w:p w14:paraId="114FC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6895E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46446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0CEAF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0" w:type="dxa"/>
            <w:shd w:val="clear" w:color="auto" w:fill="auto"/>
            <w:noWrap/>
            <w:vAlign w:val="center"/>
          </w:tcPr>
          <w:p w14:paraId="221DFE4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73533FF">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59D9385">
            <w:pPr>
              <w:jc w:val="center"/>
              <w:rPr>
                <w:rFonts w:hint="eastAsia" w:ascii="宋体" w:hAnsi="宋体" w:eastAsia="宋体" w:cs="宋体"/>
                <w:i w:val="0"/>
                <w:iCs w:val="0"/>
                <w:color w:val="000000"/>
                <w:sz w:val="22"/>
                <w:szCs w:val="22"/>
                <w:u w:val="none"/>
              </w:rPr>
            </w:pPr>
          </w:p>
        </w:tc>
      </w:tr>
      <w:tr w14:paraId="57EE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8202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62" w:type="dxa"/>
            <w:vMerge w:val="continue"/>
            <w:shd w:val="clear" w:color="auto" w:fill="auto"/>
            <w:vAlign w:val="center"/>
          </w:tcPr>
          <w:p w14:paraId="3B948289">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7D2C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儿童输液床</w:t>
            </w:r>
          </w:p>
        </w:tc>
        <w:tc>
          <w:tcPr>
            <w:tcW w:w="784" w:type="dxa"/>
            <w:shd w:val="clear" w:color="auto" w:fill="auto"/>
            <w:vAlign w:val="center"/>
          </w:tcPr>
          <w:p w14:paraId="17695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4D634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5C02A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shd w:val="clear" w:color="auto" w:fill="auto"/>
            <w:noWrap/>
            <w:vAlign w:val="center"/>
          </w:tcPr>
          <w:p w14:paraId="69A09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63D84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shd w:val="clear" w:color="auto" w:fill="auto"/>
            <w:noWrap/>
            <w:vAlign w:val="center"/>
          </w:tcPr>
          <w:p w14:paraId="2B92A98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B13D7D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A112D8A">
            <w:pPr>
              <w:jc w:val="center"/>
              <w:rPr>
                <w:rFonts w:hint="eastAsia" w:ascii="宋体" w:hAnsi="宋体" w:eastAsia="宋体" w:cs="宋体"/>
                <w:i w:val="0"/>
                <w:iCs w:val="0"/>
                <w:color w:val="000000"/>
                <w:sz w:val="22"/>
                <w:szCs w:val="22"/>
                <w:u w:val="none"/>
              </w:rPr>
            </w:pPr>
          </w:p>
        </w:tc>
      </w:tr>
      <w:tr w14:paraId="4089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F6D8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62" w:type="dxa"/>
            <w:vMerge w:val="restart"/>
            <w:shd w:val="clear" w:color="auto" w:fill="auto"/>
            <w:vAlign w:val="center"/>
          </w:tcPr>
          <w:p w14:paraId="2D6CB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智慧疫苗系统</w:t>
            </w:r>
          </w:p>
        </w:tc>
        <w:tc>
          <w:tcPr>
            <w:tcW w:w="2937" w:type="dxa"/>
            <w:shd w:val="clear" w:color="auto" w:fill="auto"/>
            <w:vAlign w:val="center"/>
          </w:tcPr>
          <w:p w14:paraId="070A1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智慧疫苗接种箱/台</w:t>
            </w:r>
          </w:p>
        </w:tc>
        <w:tc>
          <w:tcPr>
            <w:tcW w:w="784" w:type="dxa"/>
            <w:vMerge w:val="restart"/>
            <w:shd w:val="clear" w:color="auto" w:fill="auto"/>
            <w:noWrap/>
            <w:vAlign w:val="center"/>
          </w:tcPr>
          <w:p w14:paraId="3152515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16" w:type="dxa"/>
            <w:vMerge w:val="restart"/>
            <w:shd w:val="clear" w:color="auto" w:fill="auto"/>
            <w:noWrap/>
            <w:vAlign w:val="center"/>
          </w:tcPr>
          <w:p w14:paraId="3806133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934" w:type="dxa"/>
            <w:vMerge w:val="restart"/>
            <w:shd w:val="clear" w:color="auto" w:fill="auto"/>
            <w:noWrap/>
            <w:vAlign w:val="center"/>
          </w:tcPr>
          <w:p w14:paraId="5A3C5B1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150" w:type="dxa"/>
            <w:vMerge w:val="restart"/>
            <w:shd w:val="clear" w:color="auto" w:fill="auto"/>
            <w:noWrap/>
            <w:vAlign w:val="center"/>
          </w:tcPr>
          <w:p w14:paraId="18DBD30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66" w:type="dxa"/>
            <w:vMerge w:val="restart"/>
            <w:shd w:val="clear" w:color="auto" w:fill="auto"/>
            <w:noWrap/>
            <w:vAlign w:val="center"/>
          </w:tcPr>
          <w:p w14:paraId="71A2A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p w14:paraId="36516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4套</w:t>
            </w:r>
          </w:p>
        </w:tc>
        <w:tc>
          <w:tcPr>
            <w:tcW w:w="800" w:type="dxa"/>
            <w:vMerge w:val="restart"/>
            <w:shd w:val="clear" w:color="auto" w:fill="auto"/>
            <w:noWrap/>
            <w:vAlign w:val="center"/>
          </w:tcPr>
          <w:p w14:paraId="2A63AB00">
            <w:pPr>
              <w:jc w:val="center"/>
              <w:rPr>
                <w:rFonts w:hint="eastAsia" w:ascii="宋体" w:hAnsi="宋体" w:eastAsia="宋体" w:cs="宋体"/>
                <w:i w:val="0"/>
                <w:iCs w:val="0"/>
                <w:color w:val="000000"/>
                <w:sz w:val="22"/>
                <w:szCs w:val="22"/>
                <w:u w:val="none"/>
              </w:rPr>
            </w:pPr>
          </w:p>
        </w:tc>
        <w:tc>
          <w:tcPr>
            <w:tcW w:w="956" w:type="dxa"/>
            <w:vMerge w:val="restart"/>
            <w:shd w:val="clear" w:color="auto" w:fill="auto"/>
            <w:noWrap/>
            <w:vAlign w:val="center"/>
          </w:tcPr>
          <w:p w14:paraId="78D5810C">
            <w:pPr>
              <w:jc w:val="center"/>
              <w:rPr>
                <w:rFonts w:hint="eastAsia" w:ascii="宋体" w:hAnsi="宋体" w:eastAsia="宋体" w:cs="宋体"/>
                <w:i w:val="0"/>
                <w:iCs w:val="0"/>
                <w:color w:val="000000"/>
                <w:sz w:val="22"/>
                <w:szCs w:val="22"/>
                <w:u w:val="none"/>
              </w:rPr>
            </w:pPr>
          </w:p>
        </w:tc>
        <w:tc>
          <w:tcPr>
            <w:tcW w:w="3155" w:type="dxa"/>
            <w:vMerge w:val="restart"/>
            <w:shd w:val="clear" w:color="auto" w:fill="auto"/>
            <w:vAlign w:val="center"/>
          </w:tcPr>
          <w:p w14:paraId="309695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智慧疫苗接种系统包含：自动终端机（排队取号机1台）、自动终端机（留观机1台）、接种配套箱2台及配套软件、冷藏箱1台及配套软件、数字化门诊全流程网络信息管理系统及配套设施1套、签核一体机（2台）及配套的家长智能签核管理系统（2套）、显示终端一体机（分辨率≥3840*2160液晶电视2台、显示终端一体机（分辨率≥1360*768液晶电视4台），含装修费用。</w:t>
            </w:r>
          </w:p>
        </w:tc>
      </w:tr>
      <w:tr w14:paraId="4F0C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21" w:type="dxa"/>
            <w:shd w:val="clear" w:color="auto" w:fill="auto"/>
            <w:vAlign w:val="center"/>
          </w:tcPr>
          <w:p w14:paraId="6913A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62" w:type="dxa"/>
            <w:vMerge w:val="continue"/>
            <w:shd w:val="clear" w:color="auto" w:fill="auto"/>
            <w:vAlign w:val="center"/>
          </w:tcPr>
          <w:p w14:paraId="7B191EBE">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9FF6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智慧疫苗保存冷藏箱/台</w:t>
            </w:r>
          </w:p>
        </w:tc>
        <w:tc>
          <w:tcPr>
            <w:tcW w:w="784" w:type="dxa"/>
            <w:vMerge w:val="continue"/>
            <w:shd w:val="clear" w:color="auto" w:fill="auto"/>
            <w:noWrap/>
            <w:vAlign w:val="center"/>
          </w:tcPr>
          <w:p w14:paraId="10CAB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16ADA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367E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361F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98C0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2DB3A7E">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CFD1EF1">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0171FC5">
            <w:pPr>
              <w:jc w:val="center"/>
              <w:rPr>
                <w:rFonts w:hint="eastAsia" w:ascii="宋体" w:hAnsi="宋体" w:eastAsia="宋体" w:cs="宋体"/>
                <w:b/>
                <w:bCs/>
                <w:i w:val="0"/>
                <w:iCs w:val="0"/>
                <w:color w:val="000000"/>
                <w:sz w:val="24"/>
                <w:szCs w:val="24"/>
                <w:u w:val="none"/>
              </w:rPr>
            </w:pPr>
          </w:p>
        </w:tc>
      </w:tr>
      <w:tr w14:paraId="0F68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052BC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62" w:type="dxa"/>
            <w:vMerge w:val="continue"/>
            <w:shd w:val="clear" w:color="auto" w:fill="auto"/>
            <w:vAlign w:val="center"/>
          </w:tcPr>
          <w:p w14:paraId="72802F42">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D38B3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数字化预防接种门诊全流程信息管理系统接口软件</w:t>
            </w:r>
          </w:p>
          <w:p w14:paraId="54BAE4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4" w:type="dxa"/>
            <w:vMerge w:val="continue"/>
            <w:shd w:val="clear" w:color="auto" w:fill="auto"/>
            <w:noWrap/>
            <w:vAlign w:val="center"/>
          </w:tcPr>
          <w:p w14:paraId="5A241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9EE3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59483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585BE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AEAA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DE45222">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5E7D63D">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FC0818B">
            <w:pPr>
              <w:jc w:val="center"/>
              <w:rPr>
                <w:rFonts w:hint="eastAsia" w:ascii="宋体" w:hAnsi="宋体" w:eastAsia="宋体" w:cs="宋体"/>
                <w:b/>
                <w:bCs/>
                <w:i w:val="0"/>
                <w:iCs w:val="0"/>
                <w:color w:val="000000"/>
                <w:sz w:val="24"/>
                <w:szCs w:val="24"/>
                <w:u w:val="none"/>
              </w:rPr>
            </w:pPr>
          </w:p>
        </w:tc>
      </w:tr>
      <w:tr w14:paraId="1E69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01C35F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62" w:type="dxa"/>
            <w:vMerge w:val="continue"/>
            <w:shd w:val="clear" w:color="auto" w:fill="auto"/>
            <w:vAlign w:val="center"/>
          </w:tcPr>
          <w:p w14:paraId="57BEF4B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D4E8B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排队叫号显示管理控制系统（包含在数字化预防接种门诊全流程信息管理系统接口软件</w:t>
            </w:r>
          </w:p>
          <w:p w14:paraId="31862A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16F91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08443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286CB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1E06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D64F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7CBC8A84">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46B4F139">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63A758AF">
            <w:pPr>
              <w:jc w:val="center"/>
              <w:rPr>
                <w:rFonts w:hint="eastAsia" w:ascii="宋体" w:hAnsi="宋体" w:eastAsia="宋体" w:cs="宋体"/>
                <w:b/>
                <w:bCs/>
                <w:i w:val="0"/>
                <w:iCs w:val="0"/>
                <w:color w:val="000000"/>
                <w:sz w:val="24"/>
                <w:szCs w:val="24"/>
                <w:u w:val="none"/>
              </w:rPr>
            </w:pPr>
          </w:p>
        </w:tc>
      </w:tr>
      <w:tr w14:paraId="3009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77E9AB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762" w:type="dxa"/>
            <w:vMerge w:val="continue"/>
            <w:shd w:val="clear" w:color="auto" w:fill="auto"/>
            <w:vAlign w:val="center"/>
          </w:tcPr>
          <w:p w14:paraId="7A618229">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00BD1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虚拟呼叫和语音播报控制系统（包含在数字化预防接种门诊全流程信息管理系统接口软件</w:t>
            </w:r>
          </w:p>
          <w:p w14:paraId="4466F7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36A97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1A9B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505C2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C4CB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FF10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E86C5BF">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61849131">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6BAC302">
            <w:pPr>
              <w:jc w:val="center"/>
              <w:rPr>
                <w:rFonts w:hint="eastAsia" w:ascii="宋体" w:hAnsi="宋体" w:eastAsia="宋体" w:cs="宋体"/>
                <w:b/>
                <w:bCs/>
                <w:i w:val="0"/>
                <w:iCs w:val="0"/>
                <w:color w:val="000000"/>
                <w:sz w:val="24"/>
                <w:szCs w:val="24"/>
                <w:u w:val="none"/>
              </w:rPr>
            </w:pPr>
          </w:p>
        </w:tc>
      </w:tr>
      <w:tr w14:paraId="185A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51B688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762" w:type="dxa"/>
            <w:vMerge w:val="continue"/>
            <w:shd w:val="clear" w:color="auto" w:fill="auto"/>
            <w:vAlign w:val="center"/>
          </w:tcPr>
          <w:p w14:paraId="46588A8D">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D8691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多媒体信息发布系统（包含在数字化预防接种门诊全流程信息管理系统接口软件</w:t>
            </w:r>
          </w:p>
          <w:p w14:paraId="5A4FF7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37E71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5301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923E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5AA94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441BE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E466905">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65608BC9">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E624353">
            <w:pPr>
              <w:jc w:val="center"/>
              <w:rPr>
                <w:rFonts w:hint="eastAsia" w:ascii="宋体" w:hAnsi="宋体" w:eastAsia="宋体" w:cs="宋体"/>
                <w:b/>
                <w:bCs/>
                <w:i w:val="0"/>
                <w:iCs w:val="0"/>
                <w:color w:val="000000"/>
                <w:sz w:val="24"/>
                <w:szCs w:val="24"/>
                <w:u w:val="none"/>
              </w:rPr>
            </w:pPr>
          </w:p>
        </w:tc>
      </w:tr>
      <w:tr w14:paraId="51B7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621" w:type="dxa"/>
            <w:shd w:val="clear" w:color="auto" w:fill="auto"/>
            <w:vAlign w:val="center"/>
          </w:tcPr>
          <w:p w14:paraId="14C49B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62" w:type="dxa"/>
            <w:vMerge w:val="continue"/>
            <w:shd w:val="clear" w:color="auto" w:fill="auto"/>
            <w:vAlign w:val="center"/>
          </w:tcPr>
          <w:p w14:paraId="229CFB4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96564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数字化门诊与智能接种冰箱数据对接接口（包含在数字化预防接种门诊全流程信息管理系统接口软件</w:t>
            </w:r>
          </w:p>
          <w:p w14:paraId="026E8B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75A74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2F0FD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367D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0E43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68879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4854A5F5">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61483893">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59D5A954">
            <w:pPr>
              <w:jc w:val="center"/>
              <w:rPr>
                <w:rFonts w:hint="eastAsia" w:ascii="宋体" w:hAnsi="宋体" w:eastAsia="宋体" w:cs="宋体"/>
                <w:b/>
                <w:bCs/>
                <w:i w:val="0"/>
                <w:iCs w:val="0"/>
                <w:color w:val="000000"/>
                <w:sz w:val="24"/>
                <w:szCs w:val="24"/>
                <w:u w:val="none"/>
              </w:rPr>
            </w:pPr>
          </w:p>
        </w:tc>
      </w:tr>
      <w:tr w14:paraId="173F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3254E0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762" w:type="dxa"/>
            <w:vMerge w:val="continue"/>
            <w:shd w:val="clear" w:color="auto" w:fill="auto"/>
            <w:noWrap/>
            <w:vAlign w:val="center"/>
          </w:tcPr>
          <w:p w14:paraId="1E6BF9F2">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815E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自动终端机（排队取号机1台）</w:t>
            </w:r>
          </w:p>
        </w:tc>
        <w:tc>
          <w:tcPr>
            <w:tcW w:w="784" w:type="dxa"/>
            <w:vMerge w:val="continue"/>
            <w:shd w:val="clear" w:color="auto" w:fill="auto"/>
            <w:noWrap/>
            <w:vAlign w:val="center"/>
          </w:tcPr>
          <w:p w14:paraId="529DF63C">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5F9F0723">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3EF57A7B">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4B393D00">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18DC7AD">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AEA6CF2">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2A79F950">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2F18340A">
            <w:pPr>
              <w:jc w:val="center"/>
              <w:rPr>
                <w:rFonts w:hint="eastAsia" w:ascii="宋体" w:hAnsi="宋体" w:eastAsia="宋体" w:cs="宋体"/>
                <w:b/>
                <w:bCs/>
                <w:i w:val="0"/>
                <w:iCs w:val="0"/>
                <w:color w:val="000000"/>
                <w:sz w:val="24"/>
                <w:szCs w:val="24"/>
                <w:u w:val="none"/>
              </w:rPr>
            </w:pPr>
          </w:p>
        </w:tc>
      </w:tr>
      <w:tr w14:paraId="68C7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6EFEB9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762" w:type="dxa"/>
            <w:vMerge w:val="continue"/>
            <w:shd w:val="clear" w:color="auto" w:fill="auto"/>
            <w:noWrap/>
            <w:vAlign w:val="center"/>
          </w:tcPr>
          <w:p w14:paraId="7B59C9F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3C31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自动终端机（留观机1台）</w:t>
            </w:r>
          </w:p>
        </w:tc>
        <w:tc>
          <w:tcPr>
            <w:tcW w:w="784" w:type="dxa"/>
            <w:vMerge w:val="continue"/>
            <w:shd w:val="clear" w:color="auto" w:fill="auto"/>
            <w:noWrap/>
            <w:vAlign w:val="center"/>
          </w:tcPr>
          <w:p w14:paraId="4C35585C">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561ABB39">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50F8C327">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796258E1">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E75A26D">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F76C6CD">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21A8E286">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1500E5C4">
            <w:pPr>
              <w:jc w:val="center"/>
              <w:rPr>
                <w:rFonts w:hint="eastAsia" w:ascii="宋体" w:hAnsi="宋体" w:eastAsia="宋体" w:cs="宋体"/>
                <w:b/>
                <w:bCs/>
                <w:i w:val="0"/>
                <w:iCs w:val="0"/>
                <w:color w:val="000000"/>
                <w:sz w:val="24"/>
                <w:szCs w:val="24"/>
                <w:u w:val="none"/>
              </w:rPr>
            </w:pPr>
          </w:p>
        </w:tc>
      </w:tr>
      <w:tr w14:paraId="6496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E6C12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762" w:type="dxa"/>
            <w:vMerge w:val="continue"/>
            <w:shd w:val="clear" w:color="auto" w:fill="auto"/>
            <w:noWrap/>
            <w:vAlign w:val="center"/>
          </w:tcPr>
          <w:p w14:paraId="7042235D">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A6B3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签核一体机电脑</w:t>
            </w:r>
          </w:p>
        </w:tc>
        <w:tc>
          <w:tcPr>
            <w:tcW w:w="784" w:type="dxa"/>
            <w:vMerge w:val="continue"/>
            <w:shd w:val="clear" w:color="auto" w:fill="auto"/>
            <w:noWrap/>
            <w:vAlign w:val="center"/>
          </w:tcPr>
          <w:p w14:paraId="4E36D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E6B1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22B6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1A4F5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537A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67BFC20E">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63900E9">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7C74C5A9">
            <w:pPr>
              <w:jc w:val="center"/>
              <w:rPr>
                <w:rFonts w:hint="eastAsia" w:ascii="宋体" w:hAnsi="宋体" w:eastAsia="宋体" w:cs="宋体"/>
                <w:b/>
                <w:bCs/>
                <w:i w:val="0"/>
                <w:iCs w:val="0"/>
                <w:color w:val="000000"/>
                <w:sz w:val="24"/>
                <w:szCs w:val="24"/>
                <w:u w:val="none"/>
              </w:rPr>
            </w:pPr>
          </w:p>
        </w:tc>
      </w:tr>
      <w:tr w14:paraId="798E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9644E3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w:t>
            </w:r>
          </w:p>
        </w:tc>
        <w:tc>
          <w:tcPr>
            <w:tcW w:w="762" w:type="dxa"/>
            <w:vMerge w:val="continue"/>
            <w:shd w:val="clear" w:color="auto" w:fill="auto"/>
            <w:noWrap/>
            <w:vAlign w:val="center"/>
          </w:tcPr>
          <w:p w14:paraId="64E86D3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0EC6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家长智能签核管理系统</w:t>
            </w:r>
          </w:p>
        </w:tc>
        <w:tc>
          <w:tcPr>
            <w:tcW w:w="784" w:type="dxa"/>
            <w:vMerge w:val="continue"/>
            <w:shd w:val="clear" w:color="auto" w:fill="auto"/>
            <w:noWrap/>
            <w:vAlign w:val="center"/>
          </w:tcPr>
          <w:p w14:paraId="226C6095">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2631AA38">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26E536C0">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0A38AF17">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1084E961">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72DF7689">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5327C78">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740B8B6A">
            <w:pPr>
              <w:jc w:val="center"/>
              <w:rPr>
                <w:rFonts w:hint="eastAsia" w:ascii="宋体" w:hAnsi="宋体" w:eastAsia="宋体" w:cs="宋体"/>
                <w:b/>
                <w:bCs/>
                <w:i w:val="0"/>
                <w:iCs w:val="0"/>
                <w:color w:val="000000"/>
                <w:sz w:val="24"/>
                <w:szCs w:val="24"/>
                <w:u w:val="none"/>
              </w:rPr>
            </w:pPr>
          </w:p>
        </w:tc>
      </w:tr>
      <w:tr w14:paraId="7661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6E7EA9C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762" w:type="dxa"/>
            <w:vMerge w:val="continue"/>
            <w:shd w:val="clear" w:color="auto" w:fill="auto"/>
            <w:noWrap/>
            <w:vAlign w:val="center"/>
          </w:tcPr>
          <w:p w14:paraId="6CC5A40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3FFE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显示终端一体机（一套系统中含分辨率≥3840*2160液晶电视分2台）</w:t>
            </w:r>
          </w:p>
        </w:tc>
        <w:tc>
          <w:tcPr>
            <w:tcW w:w="784" w:type="dxa"/>
            <w:vMerge w:val="continue"/>
            <w:shd w:val="clear" w:color="auto" w:fill="auto"/>
            <w:noWrap/>
            <w:vAlign w:val="center"/>
          </w:tcPr>
          <w:p w14:paraId="6A2BD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4DDB0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76194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F85E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5ED2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0BEF02C4">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FEF89BC">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917DE4B">
            <w:pPr>
              <w:jc w:val="center"/>
              <w:rPr>
                <w:rFonts w:hint="eastAsia" w:ascii="宋体" w:hAnsi="宋体" w:eastAsia="宋体" w:cs="宋体"/>
                <w:b/>
                <w:bCs/>
                <w:i w:val="0"/>
                <w:iCs w:val="0"/>
                <w:color w:val="000000"/>
                <w:sz w:val="24"/>
                <w:szCs w:val="24"/>
                <w:u w:val="none"/>
              </w:rPr>
            </w:pPr>
          </w:p>
        </w:tc>
      </w:tr>
      <w:tr w14:paraId="0D2F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53DF76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762" w:type="dxa"/>
            <w:vMerge w:val="continue"/>
            <w:shd w:val="clear" w:color="auto" w:fill="auto"/>
            <w:noWrap/>
            <w:vAlign w:val="center"/>
          </w:tcPr>
          <w:p w14:paraId="187AFBCF">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DDB3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显示终端一体机（分辨率≥1360*768液晶电视4台）</w:t>
            </w:r>
          </w:p>
        </w:tc>
        <w:tc>
          <w:tcPr>
            <w:tcW w:w="784" w:type="dxa"/>
            <w:vMerge w:val="continue"/>
            <w:shd w:val="clear" w:color="auto" w:fill="auto"/>
            <w:noWrap/>
            <w:vAlign w:val="center"/>
          </w:tcPr>
          <w:p w14:paraId="5CA91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E545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3A534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09AE9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12BCE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61FCA2E5">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4AB34333">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57B54E61">
            <w:pPr>
              <w:jc w:val="center"/>
              <w:rPr>
                <w:rFonts w:hint="eastAsia" w:ascii="宋体" w:hAnsi="宋体" w:eastAsia="宋体" w:cs="宋体"/>
                <w:b/>
                <w:bCs/>
                <w:i w:val="0"/>
                <w:iCs w:val="0"/>
                <w:color w:val="000000"/>
                <w:sz w:val="24"/>
                <w:szCs w:val="24"/>
                <w:u w:val="none"/>
              </w:rPr>
            </w:pPr>
          </w:p>
        </w:tc>
      </w:tr>
      <w:tr w14:paraId="6862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0" w:type="dxa"/>
            <w:gridSpan w:val="5"/>
            <w:shd w:val="clear" w:color="auto" w:fill="auto"/>
            <w:noWrap/>
            <w:vAlign w:val="center"/>
          </w:tcPr>
          <w:p w14:paraId="1BDF95BE">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合计(元)</w:t>
            </w:r>
          </w:p>
        </w:tc>
        <w:tc>
          <w:tcPr>
            <w:tcW w:w="8261" w:type="dxa"/>
            <w:gridSpan w:val="6"/>
            <w:shd w:val="clear" w:color="auto" w:fill="auto"/>
            <w:noWrap/>
            <w:vAlign w:val="center"/>
          </w:tcPr>
          <w:p w14:paraId="258F5AB2">
            <w:pPr>
              <w:jc w:val="center"/>
              <w:rPr>
                <w:rFonts w:hint="eastAsia" w:ascii="宋体" w:hAnsi="宋体" w:eastAsia="宋体" w:cs="宋体"/>
                <w:i w:val="0"/>
                <w:iCs w:val="0"/>
                <w:color w:val="000000"/>
                <w:sz w:val="22"/>
                <w:szCs w:val="22"/>
                <w:u w:val="none"/>
              </w:rPr>
            </w:pPr>
          </w:p>
        </w:tc>
      </w:tr>
    </w:tbl>
    <w:p w14:paraId="12E89616">
      <w:pPr>
        <w:rPr>
          <w:rFonts w:hint="eastAsia" w:ascii="宋体" w:hAnsi="宋体" w:eastAsia="宋体" w:cs="宋体"/>
          <w:b/>
          <w:bCs/>
          <w:i w:val="0"/>
          <w:iCs w:val="0"/>
          <w:color w:val="000000"/>
          <w:kern w:val="0"/>
          <w:sz w:val="28"/>
          <w:szCs w:val="28"/>
          <w:u w:val="none"/>
          <w:lang w:val="en-US" w:eastAsia="zh-CN" w:bidi="ar"/>
        </w:rPr>
      </w:pPr>
      <w:r>
        <w:rPr>
          <w:rFonts w:hint="eastAsia"/>
          <w:b/>
          <w:bCs/>
          <w:sz w:val="24"/>
          <w:szCs w:val="32"/>
          <w:lang w:val="en-US" w:eastAsia="zh-CN"/>
        </w:rPr>
        <w:t>核心产品：监护仪、十二导联远程心电图机、</w:t>
      </w:r>
      <w:r>
        <w:rPr>
          <w:rFonts w:hint="eastAsia" w:ascii="宋体" w:hAnsi="宋体" w:eastAsia="宋体" w:cs="宋体"/>
          <w:b/>
          <w:bCs/>
          <w:i w:val="0"/>
          <w:iCs w:val="0"/>
          <w:color w:val="000000"/>
          <w:kern w:val="0"/>
          <w:sz w:val="28"/>
          <w:szCs w:val="28"/>
          <w:u w:val="none"/>
          <w:lang w:val="en-US" w:eastAsia="zh-CN" w:bidi="ar"/>
        </w:rPr>
        <w:t>便携式超声诊断仪、远程医疗会诊管理系统、智慧疫苗系统、中央监护系统</w:t>
      </w:r>
    </w:p>
    <w:p w14:paraId="57D1CC95"/>
    <w:p w14:paraId="57917AEE">
      <w:pP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br w:type="page"/>
      </w:r>
    </w:p>
    <w:p w14:paraId="5A18577F">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采购清单技术参数</w:t>
      </w:r>
    </w:p>
    <w:tbl>
      <w:tblPr>
        <w:tblStyle w:val="26"/>
        <w:tblW w:w="14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526"/>
        <w:gridCol w:w="1170"/>
        <w:gridCol w:w="11063"/>
        <w:gridCol w:w="1093"/>
      </w:tblGrid>
      <w:tr w14:paraId="48AE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E6A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5F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科室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D0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设备品目</w:t>
            </w:r>
          </w:p>
        </w:tc>
        <w:tc>
          <w:tcPr>
            <w:tcW w:w="1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5AD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71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备注</w:t>
            </w:r>
          </w:p>
        </w:tc>
      </w:tr>
      <w:tr w14:paraId="69A2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E3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49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卫生院通用设备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79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监护设备监护仪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B361">
            <w:pPr>
              <w:keepNext w:val="0"/>
              <w:keepLines w:val="0"/>
              <w:widowControl/>
              <w:numPr>
                <w:ilvl w:val="0"/>
                <w:numId w:val="1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监护仪外形结构：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1.1、便携一体式监护仪,可用于监护成人,儿童,新生儿患者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1.2、★≥12寸彩色LED背光液晶显示屏，彩色高分辨率达800*600，7通道波形显示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1.3、★整机无风扇设计，降低环境噪音干扰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2.1、标准配置可监测心电，呼吸，无创血压，血氧饱和度，脉搏和体温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2.2、采用ECG多导同步分析专利技术，保证心电监护的优异性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2.3、心电波形速度支持6.25、12.5、25和50mm/s不少于4种选择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2.4、具备智能导联脱落监测功能，个别导联脱落的情况下仍能保持监护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2.6、★血氧监测时标配支持PI血氧灌注指数的监测，有效反映血氧灌注情况；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2.7、采用抗干扰和弱灌注血氧专利技术保证血氧监护的优异性；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2.8、无创血压支持手动、连续、自动和序列测量模式；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2.9、成人无创血压测量范围：收缩压 27~290mmHg，舒张压 10~250mmHg；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2.10、小儿无创血压测量范围：收缩压 27~240mmHg，舒张压 10~200mmHg；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2.11、新生儿无创血压测量范围：收缩压 27~140mmHg，舒张压 10~115mmHg；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3.1、支持中/英文输入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3.2、具有三级声光报警，参数报警级别可调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3.3、具备报警集中设置功能；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3.4、具备血液动力学、药物计算功能；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3.5、支持&gt;=980小时趋势数据的存储与回顾功能；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3.6、具备监护模式、待机模式，演示模式、隐私模式和夜间模式不少于5种工作模式；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3.7、具备趋势共存界面、呼吸氧合图界面，大字体显示界面，及标准显示界面等多种显示界面；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3.8、具备网络通信功能，实现中央站的集中监护；</w:t>
            </w:r>
          </w:p>
          <w:p w14:paraId="50C64AB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3.9、标配一块高能锂电池，工作时间可达4小时；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3.10、支持监护仪系统日志的向U盘设备的导出功能，日志包括：系统状态、异常和技术报警等，满足设备管理的日常维护需求；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3.11、★主机集成附件收纳槽，支持将心电、血氧和无创血压等导联线附件进行收纳放置，方便监护仪设备的高效管理和转移。</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★3.12：产品设计使用年限≥7年。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6CAD">
            <w:pPr>
              <w:rPr>
                <w:rFonts w:hint="eastAsia" w:ascii="宋体" w:hAnsi="宋体" w:eastAsia="宋体" w:cs="宋体"/>
                <w:b w:val="0"/>
                <w:bCs w:val="0"/>
                <w:i w:val="0"/>
                <w:iCs w:val="0"/>
                <w:color w:val="auto"/>
                <w:sz w:val="22"/>
                <w:szCs w:val="22"/>
                <w:u w:val="none"/>
              </w:rPr>
            </w:pPr>
          </w:p>
        </w:tc>
      </w:tr>
      <w:tr w14:paraId="5C09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FB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D76">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19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指夹血氧仪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AFD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1、显示方式：OLED显示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血氧饱和度显示：70 ~ 100%，±2%；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脉率显示：25~ 250 BPM，±1%或±1BPM，取大者；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2、电源：2节AAA 1.5V碱性电池，电压适应范围：2.6 ~ 3.6V；</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3、功耗：小于30mA；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4、测量精度：血氧饱和度在70%-99%段为±2%，小于70%无定义，脉率为±1%或±1BPM，取大者；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5、弱灌注情况下的测量性能：在脉搏充盈度为0.6%时能正确显示血氧饱和度值和脉率值；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6、抗环境光干扰能力：在室内自然光及现有照明光源下的血氧测量值与暗室条件下的测量值相比，偏差小于±1%；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7、具有功能开关，无手指插入时8秒后自动关机；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16DD">
            <w:pPr>
              <w:rPr>
                <w:rFonts w:hint="eastAsia" w:ascii="宋体" w:hAnsi="宋体" w:eastAsia="宋体" w:cs="宋体"/>
                <w:b w:val="0"/>
                <w:bCs w:val="0"/>
                <w:i w:val="0"/>
                <w:iCs w:val="0"/>
                <w:color w:val="auto"/>
                <w:sz w:val="22"/>
                <w:szCs w:val="22"/>
                <w:u w:val="none"/>
              </w:rPr>
            </w:pPr>
          </w:p>
        </w:tc>
      </w:tr>
      <w:tr w14:paraId="5F17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7E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B62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822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吸氧装置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CD1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一.性能特点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高流量1-5L可调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纯铜无油压缩机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语音播报功能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一键SOS紧急求助功能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智能触摸液晶屏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快速响应遥控器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脚轮设计，移动方便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二.产品参数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1.氧气浓度：93%土3%（1-5L）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2.制氧方法：变压吸附（PSA）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3.氧气输出：0.5-5（L/min）可调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4.大气压范围：86kpa-106kpa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5.雾化率：≥0.2ml/分钟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6.运行噪音：≤42dB(A)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7.显示控制：高清液晶触摸屏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8.净重：23kg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9.控制距离：1.8米红外遥控器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10.尺寸（cm）：≥35（长）X33（宽）X66（高）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11.额定电压：AC220V 50Hz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12.总重量：≥25kg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13.输入功率：480VA(W)</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14.纸箱尺寸（cm）：≥46.7（长）X45.5（宽）×76.2（高）</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BE50">
            <w:pPr>
              <w:rPr>
                <w:rFonts w:hint="eastAsia" w:ascii="宋体" w:hAnsi="宋体" w:eastAsia="宋体" w:cs="宋体"/>
                <w:b w:val="0"/>
                <w:bCs w:val="0"/>
                <w:i w:val="0"/>
                <w:iCs w:val="0"/>
                <w:color w:val="auto"/>
                <w:sz w:val="22"/>
                <w:szCs w:val="22"/>
                <w:u w:val="none"/>
              </w:rPr>
            </w:pPr>
          </w:p>
        </w:tc>
      </w:tr>
      <w:tr w14:paraId="5FC5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96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096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EE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十二导联远程心电图机</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781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1.静息心电采集工作站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（1）ECG输入：12导同步采集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（2）★输入阻抗：≥122MΩ；提供医疗器械检测报告证明；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（3）输入回路电流：≤0.1μA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（4）噪声：≤15μVp-p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（5）★电压： ≤1mV±1%；提供医疗器械检测报告证明；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（6）★频率和脉冲响应范围：0.05-500Hz；提供医疗器械检测报告证明；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（7）共模抑制比：≥100dB；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（8）时间常数：≥3.2s；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（9）★耐极化电压：≥±980mV；提供医疗器械检测报告证明；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（10）用于医疗机构描记和分析ECG（常规心电图）、VLP（心室晚电位）、HRV（心率变异）等。要求提供含有ECG（常规心电图）、VLP（心室晚电位）、HRV（心率变异）等词语的医疗器械注册证或其附件证明。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用于医疗机构描记和分析FCG（频谱心电图）、VCG（空间向量心电图）和TVCG（时间向量心电图）。要求提供含有FCG（频谱心电图）、VCG（空间向量心电图）和TVCG（时间向量心电图）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（12）★支持12导心电+心向量同步采集技术：可同时支持WILLSON与FRANK两种导联，实现一次采集12导心电图与心电向量的数据。提供“12导心电+心向量采集”的真实软件界面截图。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（13）具备波形预采功能，可用于捕捉偶发、一过性的心律失常事件，预采集时间可设置。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（14）支持起搏心电采集功能。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（15）具备自动测量、自动诊断功能，能够自动给出自动测量值与自动诊断结果。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（16）具备心电事件功能。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（17）支持阿托品、心得安试验检查模式，且具有专业报告模板；提供阿托品、心得安试验报告模板截图。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（18）具有标准的心电图诊断摸板报告助手，以辅助医生快速诊断心电图。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（19）支持与医院心电信息管理系统、HIS\EMR无缝集成，实现全院心电数据的统一存储与统一管理。</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1E07">
            <w:pPr>
              <w:rPr>
                <w:rFonts w:hint="eastAsia" w:ascii="宋体" w:hAnsi="宋体" w:eastAsia="宋体" w:cs="宋体"/>
                <w:b w:val="0"/>
                <w:bCs w:val="0"/>
                <w:i w:val="0"/>
                <w:iCs w:val="0"/>
                <w:color w:val="auto"/>
                <w:sz w:val="22"/>
                <w:szCs w:val="22"/>
                <w:u w:val="none"/>
              </w:rPr>
            </w:pPr>
          </w:p>
        </w:tc>
      </w:tr>
      <w:tr w14:paraId="7F3E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52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0FD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5A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自动体外除颤器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3DD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技术参数</w:t>
            </w:r>
          </w:p>
          <w:p w14:paraId="66A9912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一、物理功能</w:t>
            </w:r>
          </w:p>
          <w:p w14:paraId="093066C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1.设备整机重量（含电池）≤2.4kg，设备具有高便携性，具有便携把手。</w:t>
            </w:r>
          </w:p>
          <w:p w14:paraId="4CC9146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2.主机设有机盖保护装置，电极片具有收纳仓，主机使用期限≥10年。</w:t>
            </w:r>
          </w:p>
          <w:p w14:paraId="1B6ABC4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3.主机防尘防水级别≥IP65。</w:t>
            </w:r>
          </w:p>
          <w:p w14:paraId="247AD86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4.主机通过1.6米高度跌落试验（须提供检测报告）。</w:t>
            </w:r>
          </w:p>
          <w:p w14:paraId="6EE32B1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5.工作温度：-5℃~50℃，0%~95%（无冷凝），从室温进入到-20℃环境后，至少能工作60分钟。</w:t>
            </w:r>
          </w:p>
          <w:p w14:paraId="0DB2872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二、操作显示</w:t>
            </w:r>
          </w:p>
          <w:p w14:paraId="2B25FCD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1.采用开盖开机方式，为避免误操作，主机操作面板上按键数量≤3个。</w:t>
            </w:r>
          </w:p>
          <w:p w14:paraId="56FE635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2.可一键切换成人/儿童模式。</w:t>
            </w:r>
          </w:p>
          <w:p w14:paraId="4848C6E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★3.主机具有液晶显示屏，屏幕尺寸≥7英寸。</w:t>
            </w:r>
          </w:p>
          <w:p w14:paraId="355975F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4.支持3种及以上语言，支持语言一键切换。</w:t>
            </w:r>
          </w:p>
          <w:p w14:paraId="1E6AD04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5.为适应急救现场嘈杂环境使用，设备能根据环境噪音强度自动调节语音播放音量。</w:t>
            </w:r>
          </w:p>
          <w:p w14:paraId="7EE34F9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6.为适应多种急救现场，设备能根据环境光线强度自动调节屏幕亮度。</w:t>
            </w:r>
          </w:p>
          <w:p w14:paraId="41C0D20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7.提供语音及动画指导，指导操作人员按照AHA/ERC推荐的频率对病人实施胸部按压并进行通气。</w:t>
            </w:r>
          </w:p>
          <w:p w14:paraId="5B7D93B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8.设备电池盖板采用螺丝固定，保证复杂环境下的稳定性。</w:t>
            </w:r>
          </w:p>
          <w:p w14:paraId="349F157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三、设备性能</w:t>
            </w:r>
          </w:p>
          <w:p w14:paraId="6988CA6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★1.采用双相波技术，成人最大除颤能量可达360J，儿童最大除颤能量可达100J。</w:t>
            </w:r>
          </w:p>
          <w:p w14:paraId="3F9E3D0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2.成人模式和儿童模式均支持5种以上除颤能量档位，以适应不同阻抗患者（须提供说明书证明）。</w:t>
            </w:r>
          </w:p>
          <w:p w14:paraId="592C01D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3.开始AED分析到200J放电准备就绪时间＜5s，开始AED分析到360J放电准备就绪时间＜12s。</w:t>
            </w:r>
          </w:p>
          <w:p w14:paraId="79EA989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4.电池使用年限≥5年。</w:t>
            </w:r>
          </w:p>
          <w:p w14:paraId="2A849C8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5.在适合条件下，可支持350次200J除颤放电，可支持200次360J放电。</w:t>
            </w:r>
          </w:p>
          <w:p w14:paraId="7650034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6.首次出现电池低电量报警后，设备至少还可持续工作30分钟和6次360J除颤放电（须提供说明书或第三方检测报告）。</w:t>
            </w:r>
          </w:p>
          <w:p w14:paraId="1829638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7.单副电极片有效期≥36个月。</w:t>
            </w:r>
          </w:p>
          <w:p w14:paraId="7204928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四、设备自检与巡检</w:t>
            </w:r>
          </w:p>
          <w:p w14:paraId="6FB43BC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1.设备每天、每周、每月都会进行自检。</w:t>
            </w:r>
          </w:p>
          <w:p w14:paraId="7D1DBE7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2.主机具有至少两种不同颜色的指示灯，根据自检结果指示设备所处状态，无需开盖开机即可查看设备状态，便于人工巡检。</w:t>
            </w:r>
          </w:p>
          <w:p w14:paraId="244B4FB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3.主机具有电量显示屏，采用多分格式直观显示电池电量。</w:t>
            </w:r>
          </w:p>
          <w:p w14:paraId="4FB5F00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4.主机具有电极片可视窗，方便随时查看电极片效期。</w:t>
            </w:r>
          </w:p>
          <w:p w14:paraId="1FAD010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五、数据传输与存储</w:t>
            </w:r>
          </w:p>
          <w:p w14:paraId="769CB68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1.主机内存容量≥2GB，可存储至少2000份自检报告。</w:t>
            </w:r>
          </w:p>
          <w:p w14:paraId="466EDE0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2.可存储≥5h心电波形数据。</w:t>
            </w:r>
          </w:p>
          <w:p w14:paraId="5CFEFDF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★3.具备录音功能，可保存≥70分钟抢救现场录音。</w:t>
            </w:r>
          </w:p>
          <w:p w14:paraId="1D0B2ED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4.设备支持USB接口，可通过外部USB闪存设备导出抢救记录数据。</w:t>
            </w:r>
          </w:p>
          <w:p w14:paraId="2490FAC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5.设备配置了4G、WiFi模块，可通过4G、WiFi网络接入设备管理系统。</w:t>
            </w:r>
          </w:p>
          <w:p w14:paraId="0857041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六、AED管理</w:t>
            </w:r>
          </w:p>
          <w:p w14:paraId="3079A9B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管理：AED网络管理平台支持列表查看维护所有AED设备信息，包括设备电池电量、电极片有效期、剩余保修年限、设备序列号、资产编号、设备位置信息、设备状态、电子围栏偏移情况等相关信息；同时也可进入设备详情界面，图形化查看设备状态，设备图示，地图定位，自检报告和安装环境图片以及设备详细记录等。</w:t>
            </w:r>
          </w:p>
          <w:p w14:paraId="68CC26A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系统反馈功能：设备运行状态实时显示，根据自检结果，显示设备状态包括故障，警告，离线，偏移等，故障或出现警告时发出报警信息并发送消息到设备管理者；具有急救事件实时反馈功能，设备一旦开机用于抢救病人即刻通过短信通知反馈并在AED管理平台首页上也弹出提示；急救事件发生时，也能够实时通过短信等方式通知急救人员，并能同步反馈到系统在 AED 地图上显示急救位置。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1890">
            <w:pPr>
              <w:rPr>
                <w:rFonts w:hint="eastAsia" w:ascii="宋体" w:hAnsi="宋体" w:eastAsia="宋体" w:cs="宋体"/>
                <w:b w:val="0"/>
                <w:bCs w:val="0"/>
                <w:i w:val="0"/>
                <w:iCs w:val="0"/>
                <w:color w:val="auto"/>
                <w:sz w:val="22"/>
                <w:szCs w:val="22"/>
                <w:u w:val="none"/>
              </w:rPr>
            </w:pPr>
          </w:p>
        </w:tc>
      </w:tr>
      <w:tr w14:paraId="7E92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73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233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581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病床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44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一： 规格尺寸：L2130×W900×H500mm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 升降功能：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1、背部升降：升降角度0～75º，±5º；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2、腿部升降：升降角度0～35º，±5º；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三、产品介绍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1、床头、床尾、美观大方，并采用锁扣式安装，外形美观，装卸自如，色泽鲜亮，牢固可靠。</w:t>
            </w:r>
          </w:p>
          <w:p w14:paraId="1D9AF023">
            <w:pPr>
              <w:keepNext w:val="0"/>
              <w:keepLines w:val="0"/>
              <w:widowControl/>
              <w:numPr>
                <w:ilvl w:val="0"/>
                <w:numId w:val="11"/>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床面采用优质冷轧钢板一次冲压成型，厚度 1.2mm，凹型多气孔设计，便于透气并具有防滑功能。表面无焊点，背部有钢管加强筋，采用双支撑卸力结构，延长病床寿命。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3、床板链接采用钢质铰链，模具冲压成型，单片厚度4mm。耐磨，运作无噪音，防折断。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床体骨架采用40*80*1.2mm的成型方管焊接而成.先进的焊接工艺.焊接质量优质.床体坚固.可承载≥250kg。床体四角带防撞包角，包角采用ABS工程塑料一次性注塑成型，包角采用专用工具才可拆卸，外形美观。床体四角有输液架插孔，根据需要任意选择输液位置。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喷涂工艺：整床金属表面处理采用脱脂除油、清洗、酸洗去锈、清洗、中和处理、表面处理、磷化处理、清洗、烘干、静电粉末喷涂、高温烘烤固化等十一道工序经全自动喷涂线而成，磷化工艺材料为锌系，避免材料内壁生锈，涂面附着力强，平整光滑，耐腐蚀，表面粉体涂料，高温喷涂后为象牙白色。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6、护栏采用折叠式护栏，管材为优质铝合金材料，护栏立柱上下连接件为 ABS 塑料材质，坚固耐用，使用方便，护栏操作手柄具防夹手设计，不使用时可折叠放于床框上，操作方便。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7、四轮采用 125mm 豪华静音轮，刹车稳定灵活、方便.防水、防尘,双轮饼设计以增加着地面积,增加稳定性。脚轮主架和轮芯采用强承载能力的PA6材质,具有耐油、耐磨、耐药和耐化学品特性，保证脚轮的使用寿命，轮面材质采用耐磨 TPR，具有耐油、耐水、耐药性和耐霉菌的特性，同时还具有良好的减震降噪的作用，脚轮内部配备精密轴承，降低噪音，并提高脚轮整体的顺畅度。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8、配置 ABS 隐藏式摇把，可以隐藏于床体，避免不必要的伤害，方便护理人员操作，具有双向极限保护设置。丝杠采用 20mm/40Cr 材质，不变形，回旋体为锌合金压铸工艺，丝杠结合部采用铜棒加工制作的铜母，与丝杠密切咬合密切、有效地防止磨损、噪音小，寿命长。 手摇柄：采用高强度ABS工程塑料材质，内置金属件，万向节联轴结构，隐藏式与防撞脚设计，坚固耐用。丝杆与连接件：各部位活动联接件采用3.0mm优质冷轧钢板制作，表面静电喷塑处理,丝杆采用加长螺母，防尘套结构，有两极空转极限设置，防损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9、床架加工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整体床架采用优质冷轧型材，经激光切割下料，确保整个床体结实、牢固，运行平稳。然后采用自动化喷涂设备进行喷涂，涂层均匀，具有抗菌，抗酸碱、耐腐蚀、耐褪色等特性。床面板通过连续90小时以上盐雾测试试验后面板无裂纹、无锈蚀、光滑无变化。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10、输液架（选配）伸缩式，四钩可折叠，不锈钢材质，高低可调带锁紧装置，操作方便。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11、床垫（选配）床垫尺寸和分段与床相配，外套采用墨绿色牛津布，底层为40mm椰丝成型垫，面层30mm高弹性海棉，有透气孔，床垫套全脱设计，方便拆洗。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12、配置：床头、六档铝合金护栏、双面刹车轮。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13、内含被褥、床单、枕头、床头柜</w:t>
            </w:r>
          </w:p>
          <w:p w14:paraId="388F138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14、（提供国家权威机构CNAS第三方检测报告）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床头柜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1、床头柜规格尺寸：≤480*480*760mm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2、整体 ABS 注塑成型，用料正宗上乘防潮防水，易清洁，可冲洗，特别适用于医院经常消毒清洁的工作环境，永无生锈之忧。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3、床头柜由柜体、面盖、柜门、抽屉、伸缩餐盘、毛巾架等组成。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4、柜体正面形状为矩形，左右两侧面配有 PC 材质隐藏式毛巾架和物袋挂钩，需用时将伸出，反之不用时收拢，放置在柜体侧面型体内，角度范围在 90 度。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6、抽屉上面为伸缩餐盘，有预设的杯子及温度计放置凹槽，能满足使用需要。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7、储物柜内中间隔板可调节高度，灵活运用。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 加厚板材，结实耐用，美观大方。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6017">
            <w:pPr>
              <w:rPr>
                <w:rFonts w:hint="eastAsia" w:ascii="宋体" w:hAnsi="宋体" w:eastAsia="宋体" w:cs="宋体"/>
                <w:b w:val="0"/>
                <w:bCs w:val="0"/>
                <w:i w:val="0"/>
                <w:iCs w:val="0"/>
                <w:color w:val="auto"/>
                <w:sz w:val="22"/>
                <w:szCs w:val="22"/>
                <w:u w:val="none"/>
              </w:rPr>
            </w:pPr>
          </w:p>
        </w:tc>
      </w:tr>
      <w:tr w14:paraId="3772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B6E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379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52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C9F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输液精度≤±5%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速率范围：0.1-1400ml/h,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快进流速范围：0.1-1400ml/h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支持ml/h和滴/min两种流速单位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屏幕不小于2.5英寸，同屏显示：速度、当前注射状态、累计量、电池状态、报警压力档位和在线压力等信息；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压力报警阈值可调，最低150mmHg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电池工作时间≥4小时@25ml/h；可升级至≥8小时@25ml/h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泵片用防水膜保护，防止药液进入机器内部，便于清洁和消毒。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sz w:val="22"/>
                <w:szCs w:val="22"/>
                <w:u w:val="none"/>
              </w:rPr>
              <w:t>★</w:t>
            </w:r>
            <w:r>
              <w:rPr>
                <w:rFonts w:hint="eastAsia" w:ascii="宋体" w:hAnsi="宋体" w:eastAsia="宋体" w:cs="宋体"/>
                <w:b w:val="0"/>
                <w:bCs w:val="0"/>
                <w:i w:val="0"/>
                <w:iCs w:val="0"/>
                <w:color w:val="auto"/>
                <w:kern w:val="0"/>
                <w:sz w:val="22"/>
                <w:szCs w:val="22"/>
                <w:u w:val="none"/>
                <w:lang w:val="en-US" w:eastAsia="zh-CN" w:bidi="ar"/>
              </w:rPr>
              <w:t>整机重量不超过2kg，主机自带提手，方便携带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sz w:val="22"/>
                <w:szCs w:val="22"/>
                <w:u w:val="none"/>
              </w:rPr>
              <w:t>★</w:t>
            </w:r>
            <w:r>
              <w:rPr>
                <w:rFonts w:hint="eastAsia" w:ascii="宋体" w:hAnsi="宋体" w:eastAsia="宋体" w:cs="宋体"/>
                <w:b w:val="0"/>
                <w:bCs w:val="0"/>
                <w:i w:val="0"/>
                <w:iCs w:val="0"/>
                <w:color w:val="auto"/>
                <w:kern w:val="0"/>
                <w:sz w:val="22"/>
                <w:szCs w:val="22"/>
                <w:u w:val="none"/>
                <w:lang w:val="en-US" w:eastAsia="zh-CN" w:bidi="ar"/>
              </w:rPr>
              <w:t>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A3F6">
            <w:pPr>
              <w:rPr>
                <w:rFonts w:hint="eastAsia" w:ascii="宋体" w:hAnsi="宋体" w:eastAsia="宋体" w:cs="宋体"/>
                <w:b w:val="0"/>
                <w:bCs w:val="0"/>
                <w:i w:val="0"/>
                <w:iCs w:val="0"/>
                <w:color w:val="auto"/>
                <w:sz w:val="22"/>
                <w:szCs w:val="22"/>
                <w:u w:val="none"/>
              </w:rPr>
            </w:pPr>
          </w:p>
        </w:tc>
      </w:tr>
      <w:tr w14:paraId="54E3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F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6E3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93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医用推车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B5D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产品规格 ：625*470*980mm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包装规格 ：670*480*930mm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小抽屉 ：500*410*80mm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中抽屉 ：500*410*120mm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大抽屉 ：500*410*240mm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输液架 ：升降行程-0-650mm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台面使用尺寸 ：570*430mm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副工作台尺寸 380*350mm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侧挂框尺寸 330*180*150mm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垃圾桶尺寸 180*180*260mm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车体材质采用全新优质ABS颗粒，经高温注塑机融化注塑到磨具成型；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 车体结构为：台面，底板，立柱，侧板等组装成型；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 台面采用全新理念一体化成型设计,不锈钢三面围栏，伸缩输液架， 配置双美观易清洁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 立柱采用四根塑钢材质 提高车体称重性和美观耐用；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 抽屉采用五层设计，2 个小抽屉 2 个中抽屉 1 个大抽屉，抽屉面板相同颜色，便于不同的药品分类摆放，抽屉颜色可根据需求定制不相同颜色等，抽屉内部标配置 3*3 分类药格插片，可根据药盒大小自由组合，抽屉配置联动中控锁，可锁止五层抽屉 ，保证抽屉内药品安全防丢失。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 车体底板采用加厚承重底板，内有加强筋设计 增加了车体稳定性和承重性和药品安全性；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 左侧面配置隐藏式副工作台，使用时可拉出，便于医护人员书写记录或摆放轻型针剂用品等使用 ，使用后可推进车体，便于推动，节省空间；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 左侧可选配置资料盒，便有医护人员书写抢救病例和药品使用记录摆放。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 右侧配置一个利器盒挂框，2 个黄色一次性利器收纳盒便于收纳抢救时用的针头利器等收纳使用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 右侧两个分类垃圾桶，颜色分为黄色和蓝色，便于医护人员在抢救时产生的医疗垃圾分类处理和收纳等。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8E67">
            <w:pPr>
              <w:rPr>
                <w:rFonts w:hint="eastAsia" w:ascii="宋体" w:hAnsi="宋体" w:eastAsia="宋体" w:cs="宋体"/>
                <w:b w:val="0"/>
                <w:bCs w:val="0"/>
                <w:i w:val="0"/>
                <w:iCs w:val="0"/>
                <w:color w:val="auto"/>
                <w:sz w:val="22"/>
                <w:szCs w:val="22"/>
                <w:u w:val="none"/>
              </w:rPr>
            </w:pPr>
          </w:p>
        </w:tc>
      </w:tr>
      <w:tr w14:paraId="3CF2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4E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40F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92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电视</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FBB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100英寸240Hz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4+64GB电视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2025款一级能效</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固定挂架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2629">
            <w:pPr>
              <w:rPr>
                <w:rFonts w:hint="eastAsia" w:ascii="宋体" w:hAnsi="宋体" w:eastAsia="宋体" w:cs="宋体"/>
                <w:b w:val="0"/>
                <w:bCs w:val="0"/>
                <w:i w:val="0"/>
                <w:iCs w:val="0"/>
                <w:color w:val="auto"/>
                <w:sz w:val="22"/>
                <w:szCs w:val="22"/>
                <w:u w:val="none"/>
              </w:rPr>
            </w:pPr>
          </w:p>
        </w:tc>
      </w:tr>
      <w:tr w14:paraId="5065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CA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AE9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A6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B4EF">
            <w:pPr>
              <w:jc w:val="center"/>
              <w:rPr>
                <w:rFonts w:hint="eastAsia"/>
                <w:b w:val="0"/>
                <w:bCs w:val="0"/>
                <w:color w:val="auto"/>
                <w:sz w:val="32"/>
                <w:szCs w:val="32"/>
              </w:rPr>
            </w:pPr>
            <w:r>
              <w:rPr>
                <w:rFonts w:hint="eastAsia" w:ascii="微软雅黑" w:hAnsi="微软雅黑" w:eastAsia="微软雅黑" w:cs="微软雅黑"/>
                <w:b w:val="0"/>
                <w:bCs w:val="0"/>
                <w:color w:val="auto"/>
                <w:sz w:val="32"/>
                <w:szCs w:val="32"/>
                <w:lang w:val="en-US" w:eastAsia="zh-CN"/>
              </w:rPr>
              <w:t>技术</w:t>
            </w:r>
            <w:r>
              <w:rPr>
                <w:rFonts w:hint="eastAsia" w:ascii="微软雅黑" w:hAnsi="微软雅黑" w:eastAsia="微软雅黑" w:cs="微软雅黑"/>
                <w:b w:val="0"/>
                <w:bCs w:val="0"/>
                <w:color w:val="auto"/>
                <w:sz w:val="32"/>
                <w:szCs w:val="32"/>
              </w:rPr>
              <w:t>参数</w:t>
            </w:r>
          </w:p>
          <w:p w14:paraId="22EEDAD0">
            <w:pPr>
              <w:numPr>
                <w:ilvl w:val="0"/>
                <w:numId w:val="12"/>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物理功能</w:t>
            </w:r>
          </w:p>
          <w:p w14:paraId="4FEF18A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1.设备整机重量（含电池）≤2.4kg，设备具有高便携性，具有便携把手。</w:t>
            </w:r>
          </w:p>
          <w:p w14:paraId="23A076D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2.主机设有机盖保护装置，电极片具有收纳仓，主机使用期限≥10年。</w:t>
            </w:r>
          </w:p>
          <w:p w14:paraId="3414220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3.主机防尘防水级别≥IP65。</w:t>
            </w:r>
          </w:p>
          <w:p w14:paraId="22F962D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4.主机通过1.6米高度跌落试验（须提供检测报告）。</w:t>
            </w:r>
          </w:p>
          <w:p w14:paraId="7DE9EE6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5.工作温度：-5℃~50℃，0%~95%（无冷凝），从室温进入到-20℃环境后，至少能工作60分钟。</w:t>
            </w:r>
          </w:p>
          <w:p w14:paraId="0DBF0FD4">
            <w:pPr>
              <w:numPr>
                <w:ilvl w:val="0"/>
                <w:numId w:val="12"/>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操作显示</w:t>
            </w:r>
          </w:p>
          <w:p w14:paraId="3BE58B1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1.采用开盖开机方式，为避免误操作，主机操作面板上按键数量≤3个。</w:t>
            </w:r>
          </w:p>
          <w:p w14:paraId="44FBF8E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2.可一键切换成人/儿童模式。</w:t>
            </w:r>
          </w:p>
          <w:p w14:paraId="1496531F">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★3.主机具有液晶显示屏，屏幕尺寸≥7英寸。</w:t>
            </w:r>
          </w:p>
          <w:p w14:paraId="72B219AB">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4.支持3种及以上语言，支持语言一键切换。</w:t>
            </w:r>
          </w:p>
          <w:p w14:paraId="52910BE1">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5.为适应急救现场嘈杂环境使用，设备能根据环境噪音强度自动调节语音播放音量。</w:t>
            </w:r>
          </w:p>
          <w:p w14:paraId="6F60A68F">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6.为适应多种急救现场，设备能根据环境光线强度自动调节屏幕亮度。</w:t>
            </w:r>
          </w:p>
          <w:p w14:paraId="0818409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7.提供语音及动画指导，指导操作人员按照AHA/ERC推荐的频率对病人实施胸部按压并进行通气。</w:t>
            </w:r>
          </w:p>
          <w:p w14:paraId="25AFF7F9">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8.设备电池盖板采用螺丝固定，保证复杂环境下的稳定性。</w:t>
            </w:r>
          </w:p>
          <w:p w14:paraId="10337EDE">
            <w:pPr>
              <w:numPr>
                <w:ilvl w:val="0"/>
                <w:numId w:val="12"/>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设备性能</w:t>
            </w:r>
          </w:p>
          <w:p w14:paraId="1969931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★1.采用双相波技术，成人最大除颤能量可达360J，儿童最大除颤能量可达100J。</w:t>
            </w:r>
          </w:p>
          <w:p w14:paraId="101FB7F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2.成人模式和儿童模式均支持5种以上除颤能量档位，以适应不同阻抗患者（须提供说明书证明）。</w:t>
            </w:r>
          </w:p>
          <w:p w14:paraId="59C4C0A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3.开始AED分析到200J放电准备就绪时间＜5s，开始AED分析到360J放电准备就绪时间＜12s。</w:t>
            </w:r>
          </w:p>
          <w:p w14:paraId="54F6D58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4.电池使用年限≥5年。</w:t>
            </w:r>
          </w:p>
          <w:p w14:paraId="04DE54A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5.在适合条件下，可支持350次200J除颤放电，可支持200次360J放电。</w:t>
            </w:r>
          </w:p>
          <w:p w14:paraId="1FECADA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6.首次出现电池低电量报警后，设备至少还可持续工作30分钟和6次360J除颤放电（须提供说明书或第三方检测报告）。</w:t>
            </w:r>
          </w:p>
          <w:p w14:paraId="459E4CE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7.单副电极片有效期≥36个月。</w:t>
            </w:r>
          </w:p>
          <w:p w14:paraId="0B398EE4">
            <w:pPr>
              <w:numPr>
                <w:ilvl w:val="0"/>
                <w:numId w:val="12"/>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设备自检与巡检</w:t>
            </w:r>
          </w:p>
          <w:p w14:paraId="1FD30220">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1.设备每天、每周、每月都会进行自检。</w:t>
            </w:r>
          </w:p>
          <w:p w14:paraId="2F245101">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2.主机具有至少两种不同颜色的指示灯，根据自检结果指示设备所处状态，无需开盖开机即可查看设备状态，便于人工巡检。</w:t>
            </w:r>
          </w:p>
          <w:p w14:paraId="6A9B208A">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3.主机具有电量显示屏，采用多分格式直观显示电池电量。</w:t>
            </w:r>
          </w:p>
          <w:p w14:paraId="0ECE77CC">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4.主机具有电极片可视窗，方便随时查看电极片效期。</w:t>
            </w:r>
          </w:p>
          <w:p w14:paraId="46761F63">
            <w:pPr>
              <w:numPr>
                <w:ilvl w:val="0"/>
                <w:numId w:val="12"/>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数据传输与存储</w:t>
            </w:r>
          </w:p>
          <w:p w14:paraId="2E5123D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1.主机内存容量≥2GB，可存储至少2000份自检报告。</w:t>
            </w:r>
          </w:p>
          <w:p w14:paraId="18970EE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2.可存储≥5h心电波形数据。</w:t>
            </w:r>
          </w:p>
          <w:p w14:paraId="55AF2BA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w:t>
            </w:r>
            <w:r>
              <w:rPr>
                <w:rFonts w:hint="default" w:ascii="宋体" w:hAnsi="宋体" w:eastAsia="宋体" w:cs="宋体"/>
                <w:b w:val="0"/>
                <w:bCs w:val="0"/>
                <w:i w:val="0"/>
                <w:iCs w:val="0"/>
                <w:color w:val="auto"/>
                <w:kern w:val="0"/>
                <w:sz w:val="22"/>
                <w:szCs w:val="22"/>
                <w:u w:val="none"/>
                <w:lang w:val="en-US" w:eastAsia="zh-CN" w:bidi="ar"/>
              </w:rPr>
              <w:t>3.</w:t>
            </w:r>
            <w:r>
              <w:rPr>
                <w:rFonts w:hint="eastAsia" w:ascii="宋体" w:hAnsi="宋体" w:eastAsia="宋体" w:cs="宋体"/>
                <w:b w:val="0"/>
                <w:bCs w:val="0"/>
                <w:i w:val="0"/>
                <w:iCs w:val="0"/>
                <w:color w:val="auto"/>
                <w:kern w:val="0"/>
                <w:sz w:val="22"/>
                <w:szCs w:val="22"/>
                <w:u w:val="none"/>
                <w:lang w:val="en-US" w:eastAsia="zh-CN" w:bidi="ar"/>
              </w:rPr>
              <w:t>具备录音功能，可保存≥70分钟抢救现场录音。</w:t>
            </w:r>
          </w:p>
          <w:p w14:paraId="4E0DC0E9">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4.设备支持USB接口，可通过外部USB闪存设备导出抢救记录数据。</w:t>
            </w:r>
          </w:p>
          <w:p w14:paraId="0D52BCB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5.设备配置了4G、WiFi模块，可通过4G、WiFi网络接入设备管理系统。</w:t>
            </w:r>
          </w:p>
          <w:p w14:paraId="741DBC95">
            <w:pPr>
              <w:numPr>
                <w:ilvl w:val="0"/>
                <w:numId w:val="0"/>
              </w:numPr>
              <w:jc w:val="both"/>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六、AED管理</w:t>
            </w:r>
          </w:p>
          <w:p w14:paraId="0F3864B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管理：AED网络管理平台支持列表查看维护所有AED设备信息，包括设备电池电量、电极片有效期、剩余保修年限、设备序列号、资产编号、设备位置信息、设备状态、电子围栏偏移情况等相关信息；同时也可进入设备详情界面，图形化查看设备状态，设备图示，地图定位，自检报告和安装环境图片以及设备详细记录等。</w:t>
            </w:r>
          </w:p>
          <w:p w14:paraId="4AB6481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系统反馈功能：设备运行状态实时显示，根据自检结果，显示设备状态包括故障，警告，离线，偏移等，故障或出现警告时发出报警信息并发送消息到设备管理者；具有急救事件实时反馈功能，设备一旦开机用于抢救病人即刻通过短信通知反馈并在AED管理平台首页上也弹出提示；急救事件发生时，也能够实时通过短信等方式通知急救人员，并能同步反馈到系统在 AED 地图上显示急救位置。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5CCE">
            <w:pPr>
              <w:rPr>
                <w:rFonts w:hint="eastAsia" w:ascii="宋体" w:hAnsi="宋体" w:eastAsia="宋体" w:cs="宋体"/>
                <w:b w:val="0"/>
                <w:bCs w:val="0"/>
                <w:i w:val="0"/>
                <w:iCs w:val="0"/>
                <w:color w:val="auto"/>
                <w:sz w:val="22"/>
                <w:szCs w:val="22"/>
                <w:u w:val="none"/>
              </w:rPr>
            </w:pPr>
          </w:p>
        </w:tc>
      </w:tr>
      <w:tr w14:paraId="40CB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08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F65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C4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急诊抢救箱（外科急救箱）</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839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1.材质：外观采用复合ABS光面材料，铝合金固箱，内部EVA加绒布贴合；</w:t>
            </w:r>
          </w:p>
          <w:p w14:paraId="1E25CE8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2.产品尺寸：≥48*20*38cm  包装尺寸：≥53*25*45cm</w:t>
            </w:r>
          </w:p>
          <w:p w14:paraId="035979D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3.重量：约4.8KG</w:t>
            </w:r>
          </w:p>
          <w:p w14:paraId="0D65920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内部设计：急救箱采用双层设计，中间有一块可拆卸的隔板，使箱体合上后箱内物品不易散乱；隔板上车两个网兜、一个透明大袋子、三排横排共28个器械绑带；箱盖部位另车有4排共64个松紧绑带可安插1ml到10ml大小的针剂；箱子底部设计了EVA氧气瓶槽（可安放2升氧气瓶）中间长条隔层不可拆卸，另有2块可移动EVA隔板，用于安放诊断医用工具及各类医用耗材；</w:t>
            </w:r>
          </w:p>
          <w:p w14:paraId="69061E1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5.外部设计：醒目的急救标识，安全锁口，银行押款箱A级手提，铝牌箱贴；</w:t>
            </w:r>
          </w:p>
          <w:p w14:paraId="45B7613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6.携带方式：单肩背、手提；</w:t>
            </w:r>
          </w:p>
          <w:p w14:paraId="211A1DC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7.适用场所：疾控中心、120急救中心、医院各科室等</w:t>
            </w:r>
          </w:p>
          <w:p w14:paraId="2E52C82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产品配置清单：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1-医用供氧装置-2L钢瓶-1套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2-血压表-表式-1套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3-听诊器-插入式单用-1套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4-体温计-水银-1支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6-医用手电筒-金丽-1把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7-开口器-130mm-1把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8-舌钳-17cm-1把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9-医用冷敷贴-一次性-1盒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10-负压引流器器-BST-C1-1把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11-一次性麻醉喉镜-成人小型-1套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12.气管插管-304#607#-各1根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13-气管插管固定器-IV型-1个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14-医用冰袋-120g-1袋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15-手术剪刀（直）-12.5cm-1把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16-手术剪刀（弯）-12.5cm-1把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17-手术刀柄3#4#-各1把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18-手术刀片-10#11023#-各10片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19-组织镊-带齿14cm-1把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20-敷料镊子-14cm-1支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21-持针钳-12.5cm-1把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22-缝合针-10个装-1包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23-缝合线-常规-2包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24可吸收缝合线（自备）1包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25-医用弯盘（含弯盘布）-304-1套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26-叩诊锤-大圆头-1把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27-针灸针-10支装-1包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28-医用止血带-乳胶-1条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29-检伤分类卡-4色-1套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30-三角绷带-96×96×135cm-2包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31-医用脱脂纱布块-50×80cm-2包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32-医用纱布片-7.5×7.5cm-8P-10片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33-急救手册-40P-1本</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34-科室牌-绿色-1个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3D20">
            <w:pPr>
              <w:rPr>
                <w:rFonts w:hint="eastAsia" w:ascii="宋体" w:hAnsi="宋体" w:eastAsia="宋体" w:cs="宋体"/>
                <w:b w:val="0"/>
                <w:bCs w:val="0"/>
                <w:i w:val="0"/>
                <w:iCs w:val="0"/>
                <w:color w:val="auto"/>
                <w:sz w:val="22"/>
                <w:szCs w:val="22"/>
                <w:u w:val="none"/>
              </w:rPr>
            </w:pPr>
          </w:p>
        </w:tc>
      </w:tr>
      <w:tr w14:paraId="2B8D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1E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53FC">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28B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急诊抢救箱（内科急救箱）</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18F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1.材质:ABS复合光面材料+环保EVA隔层</w:t>
            </w:r>
          </w:p>
          <w:p w14:paraId="303BA22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2.携带方式:手提携带、单肩斜挎。</w:t>
            </w:r>
          </w:p>
          <w:p w14:paraId="38E1A45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内部设计:分为上中下三层，其中中间的隔层均可拆卸;中间隔层采用透明口袋设计、松紧绑带设计，松紧绑带下方车有透明便签贴存放袋;下层采用环保EVA防震发泡，可移动隔板设计;箱内物品一目了然，取用方便，合箱后不易散乱。</w:t>
            </w:r>
          </w:p>
          <w:p w14:paraId="7E66339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4.外部设计:一个银行押款箱A级把手，两个金属安全锁、铝牌箱贴。</w:t>
            </w:r>
          </w:p>
          <w:p w14:paraId="2F14516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5.外部logo:有醒目的急救标识，方便分类及存放。</w:t>
            </w:r>
          </w:p>
          <w:p w14:paraId="2F9B439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6.箱体尺寸:48x38x20cm (±1cm)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1-快速电子血糖仪-套装-1套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2-人工复苏气囊-PVC成人-1套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3-呼吸面罩-PVC-2个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4-血压表-表式-1套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5-听诊器-插入式单用-1套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6-体温计-水银-1支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8-医用手电筒-金属-1把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9-丁字开口器-130mm-1把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10-舌钳-17cm-1把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11-医用剪刀-12.5cm-1把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12-医用镊子-14cm-1支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13-医用止血带-乳胶-1个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14-医用脱脂纱布块-50×80cm-2包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15-医用纱布片-7.5×7.5cm-8P-10片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16-纱布绷带-10×600cm-2卷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17-叩诊锤-大圆头-1把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18-针灸针-10支装-1包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19-口对口呼吸面膜-单向阀-2个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20-透气胶带-1.25×900cm-2卷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21-医用检查手套-乳胶-2双</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22-医用外科口罩-一次性-2个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23-小砂轮-2x2cm-2枚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24-酒精棉球-25粒装-1个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25-碘药棉球-25粒装-1个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26-急救药品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27-科室牌-绿色-1个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28-急救手册-40P-1本</w:t>
            </w:r>
          </w:p>
          <w:p w14:paraId="22469C2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CF19">
            <w:pPr>
              <w:rPr>
                <w:rFonts w:hint="eastAsia" w:ascii="宋体" w:hAnsi="宋体" w:eastAsia="宋体" w:cs="宋体"/>
                <w:b w:val="0"/>
                <w:bCs w:val="0"/>
                <w:i w:val="0"/>
                <w:iCs w:val="0"/>
                <w:color w:val="auto"/>
                <w:sz w:val="22"/>
                <w:szCs w:val="22"/>
                <w:u w:val="none"/>
              </w:rPr>
            </w:pPr>
          </w:p>
        </w:tc>
      </w:tr>
      <w:tr w14:paraId="618D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4D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20E7">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FC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呼吸球囊</w:t>
            </w:r>
          </w:p>
        </w:tc>
        <w:tc>
          <w:tcPr>
            <w:tcW w:w="1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6528">
            <w:pPr>
              <w:rPr>
                <w:rFonts w:hint="eastAsia" w:ascii="宋体" w:hAnsi="宋体" w:eastAsia="宋体" w:cs="宋体"/>
                <w:b w:val="0"/>
                <w:bCs w:val="0"/>
                <w:i w:val="0"/>
                <w:iCs w:val="0"/>
                <w:color w:val="auto"/>
                <w:sz w:val="22"/>
                <w:szCs w:val="22"/>
                <w:u w:val="none"/>
              </w:rPr>
            </w:pPr>
          </w:p>
          <w:p w14:paraId="7B4AF02D">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适用人群：婴儿型；儿童型；成人型</w:t>
            </w:r>
          </w:p>
          <w:p w14:paraId="5EF74399">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患者体重 ：</w:t>
            </w:r>
            <w:r>
              <w:rPr>
                <w:rFonts w:hint="eastAsia"/>
                <w:b w:val="0"/>
                <w:bCs w:val="0"/>
                <w:color w:val="auto"/>
                <w:sz w:val="24"/>
                <w:lang w:val="en-US" w:eastAsia="zh-CN"/>
              </w:rPr>
              <w:t>5</w:t>
            </w:r>
            <w:r>
              <w:rPr>
                <w:b w:val="0"/>
                <w:bCs w:val="0"/>
                <w:color w:val="auto"/>
                <w:sz w:val="24"/>
              </w:rPr>
              <w:t>kg＜B≤10kg</w:t>
            </w:r>
            <w:r>
              <w:rPr>
                <w:rFonts w:hint="eastAsia" w:ascii="宋体" w:hAnsi="宋体" w:eastAsia="宋体" w:cs="宋体"/>
                <w:b w:val="0"/>
                <w:bCs w:val="0"/>
                <w:color w:val="auto"/>
                <w:sz w:val="24"/>
              </w:rPr>
              <w:t>；10kg＜B≤23kg；＞23kg</w:t>
            </w:r>
          </w:p>
          <w:p w14:paraId="2625E6D7">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尺寸（长*外径）：约122mm*75mm；约146mm*100mm；约212mm*131mm</w:t>
            </w:r>
          </w:p>
          <w:p w14:paraId="336854D4">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产品重量：约175g；约205g；约320g</w:t>
            </w:r>
          </w:p>
          <w:p w14:paraId="06D629CF">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球体容积：约280ml±100ml；约550ml±200ml；约1500ml±200ml</w:t>
            </w:r>
          </w:p>
          <w:p w14:paraId="4E3D4DDB">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死腔量：＜20ml；＜40ml；＜65ml</w:t>
            </w:r>
          </w:p>
          <w:p w14:paraId="76D1F15A">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呼气阻抗：＜5cmH2O；＜5cmH2O；＜5cmH2O</w:t>
            </w:r>
          </w:p>
          <w:p w14:paraId="6D6A03BC">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吸气阻抗：＜5cmH2O；＜5cmH2O；＜5cmH2O</w:t>
            </w:r>
          </w:p>
          <w:p w14:paraId="3E878160">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储气袋容量：1600ml；1600ml；2000ml</w:t>
            </w:r>
          </w:p>
          <w:p w14:paraId="3E6660CB">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病人阀接头锥度尺寸：参照 YY1040.1-2015 标准执行。</w:t>
            </w:r>
          </w:p>
          <w:p w14:paraId="21801C29">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操作条件：温度：-18℃～50℃；湿度：15%～95%</w:t>
            </w:r>
          </w:p>
          <w:p w14:paraId="7F30CE5C">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储存条件：温度：-40℃～60℃；湿度：40%～95%</w:t>
            </w:r>
          </w:p>
          <w:p w14:paraId="7E78648D">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w:t>
            </w:r>
            <w:r>
              <w:rPr>
                <w:rFonts w:hint="eastAsia" w:ascii="宋体" w:hAnsi="宋体" w:eastAsia="宋体" w:cs="宋体"/>
                <w:b w:val="0"/>
                <w:bCs w:val="0"/>
                <w:color w:val="auto"/>
                <w:sz w:val="24"/>
              </w:rPr>
              <w:t>简易呼吸器由10部分组成：1麻醉面罩（硅胶型）、2患者阀、3气囊接头密封圈、4气囊接头、5气囊、6气囊进气阀、7储气袋组、8氧气管组、9口咽通气道、10口腔开口器；使用说明书上需体现出10个组件的示意图及清单，以便使用人员快速辨别；球囊为硅胶材质可经拆卸、清洗，并经高温消毒后可反复使用。</w:t>
            </w:r>
          </w:p>
          <w:p w14:paraId="3C7DCF00">
            <w:pPr>
              <w:rPr>
                <w:rFonts w:hint="eastAsia" w:ascii="宋体" w:hAnsi="宋体" w:eastAsia="宋体" w:cs="宋体"/>
                <w:b w:val="0"/>
                <w:bCs w:val="0"/>
                <w:i w:val="0"/>
                <w:iCs w:val="0"/>
                <w:color w:val="auto"/>
                <w:sz w:val="22"/>
                <w:szCs w:val="22"/>
                <w:u w:val="none"/>
              </w:rPr>
            </w:pPr>
          </w:p>
          <w:p w14:paraId="7DEE81F9">
            <w:pPr>
              <w:rPr>
                <w:rFonts w:hint="eastAsia" w:ascii="宋体" w:hAnsi="宋体" w:eastAsia="宋体" w:cs="宋体"/>
                <w:b w:val="0"/>
                <w:bCs w:val="0"/>
                <w:i w:val="0"/>
                <w:iCs w:val="0"/>
                <w:color w:val="auto"/>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FCE7">
            <w:pPr>
              <w:rPr>
                <w:rFonts w:hint="eastAsia" w:ascii="宋体" w:hAnsi="宋体" w:eastAsia="宋体" w:cs="宋体"/>
                <w:b w:val="0"/>
                <w:bCs w:val="0"/>
                <w:i w:val="0"/>
                <w:iCs w:val="0"/>
                <w:color w:val="auto"/>
                <w:sz w:val="22"/>
                <w:szCs w:val="22"/>
                <w:u w:val="none"/>
              </w:rPr>
            </w:pPr>
          </w:p>
        </w:tc>
      </w:tr>
      <w:tr w14:paraId="0722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747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3E5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3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吸痰器（便携式）</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1B0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一、性能特点：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机型选用大流量无油润滑真空泵作负压源，抽气速率高、负压上升快，无油雾污染，可免去泵体的日常维护和保养。外观采用全塑料外壳。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 摆动式手拉杆，推拉自如；设备的附件箱内需放置脚踏开关及电源线等，移动或贮藏时更加方便。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 大口径、大容量的贮液瓶，极易清洗；配上带密封环的瓶塞，密封性好且开启方便。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 反应灵敏、可靠的溢流保护装置，可防止液体进入中间管道和泵内。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 采用透明医用聚氯乙烯吸引软管，便于吸引时观察管内的液体；管道接头设计合理，管道连接方便、可靠。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 负压调节阀可控制吸引时所需要的负压，负压值由真空表来显示。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 设备结构紧凑、小巧；外型美观，其配置更加人性化。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1.极限负压值：≥0.09MPa(680mmHg)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2.抽气速率：≥32L/Min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3.贮液瓶：2500mL×2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4.负压调节范围:0.02Mpa～极限负压值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5.电源：AC220V 50Hz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6.输入功率：150VA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7.外包装尺寸：≥40cm×38cm×47cm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8.毛/净重：≥14/12kg</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6ED6">
            <w:pPr>
              <w:rPr>
                <w:rFonts w:hint="eastAsia" w:ascii="宋体" w:hAnsi="宋体" w:eastAsia="宋体" w:cs="宋体"/>
                <w:b w:val="0"/>
                <w:bCs w:val="0"/>
                <w:i w:val="0"/>
                <w:iCs w:val="0"/>
                <w:color w:val="auto"/>
                <w:sz w:val="22"/>
                <w:szCs w:val="22"/>
                <w:u w:val="none"/>
              </w:rPr>
            </w:pPr>
          </w:p>
        </w:tc>
      </w:tr>
      <w:tr w14:paraId="10D1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FC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DC1C">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D3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吸痰器（大型）</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F9B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一、特征：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1、采用负压泵作负压源，无油雾污染，可免去泵体的日常维护和保养，设备运行时压力系统不会产生正压。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2、采用交流、外接直流和机内电池三种供电方式，其中机内电池在充足情况下可连续使用 30 分钟以上，并可反复充电，在病人转运过程中使用可直接接在救护车等交通工具的点烟器（DC12V）上。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3、采用恒压限流充电，可间断累加充电，在外接 AC100V～240V，50/60Hz 或者 DC 12V 的情况下均可进行充电，有电池量分段指示。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4、通过管路上的负压调节阀控制吸引时所需要的负压值，并由面板上的真空表来显示。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5、塑料外壳轻巧，携带方便，并具有墙挂式结构，可以安装在房间内和交通工具上，也可以挂在轮椅车侧面。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1、极限负压值：≥0.08MPa (600mmHg)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2、负压调节范围：0.02MPa(150mmHg)～极限负压值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3、抽气速率：≥20 L/min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4、噪声：≤65 dB(A)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5、贮液瓶：1000mL（PC 塑料）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6、电源：AC 100V～240V，50/60Hz；DC 12V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7、输入功率：110VA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8、毛重：≥5.5 ㎏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9、外包装尺寸：≥41 ㎝×20.5 ㎝×42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C4B7">
            <w:pPr>
              <w:rPr>
                <w:rFonts w:hint="eastAsia" w:ascii="宋体" w:hAnsi="宋体" w:eastAsia="宋体" w:cs="宋体"/>
                <w:b w:val="0"/>
                <w:bCs w:val="0"/>
                <w:i w:val="0"/>
                <w:iCs w:val="0"/>
                <w:color w:val="auto"/>
                <w:sz w:val="22"/>
                <w:szCs w:val="22"/>
                <w:u w:val="none"/>
              </w:rPr>
            </w:pPr>
          </w:p>
        </w:tc>
      </w:tr>
      <w:tr w14:paraId="1735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36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3E3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528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清创缝合器械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394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清创包 止血钳12.5CM一把， 持针钳12.5CM一把，  剪刀12.5CM一把 ， 缝合针线一包，棉签1包，手套1付，腰盘小号1个 ，碘伏1瓶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6E7C">
            <w:pPr>
              <w:rPr>
                <w:rFonts w:hint="eastAsia" w:ascii="宋体" w:hAnsi="宋体" w:eastAsia="宋体" w:cs="宋体"/>
                <w:b w:val="0"/>
                <w:bCs w:val="0"/>
                <w:i w:val="0"/>
                <w:iCs w:val="0"/>
                <w:color w:val="auto"/>
                <w:sz w:val="22"/>
                <w:szCs w:val="22"/>
                <w:u w:val="none"/>
              </w:rPr>
            </w:pPr>
          </w:p>
        </w:tc>
      </w:tr>
      <w:tr w14:paraId="1DF7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85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9407">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F1E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心电监护仪+固定架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AD37">
            <w:pPr>
              <w:keepNext w:val="0"/>
              <w:keepLines w:val="0"/>
              <w:widowControl/>
              <w:numPr>
                <w:ilvl w:val="0"/>
                <w:numId w:val="13"/>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监护仪外形结构：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1.1、便携一体式监护仪,可用于监护成人,儿童,新生儿患者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1.2、★≥12寸彩色LED背光液晶显示屏，彩色高分辨率达800*600，7通道波形显示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1.3、★整机无风扇设计，降低环境噪音干扰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2.1、标准配置可监测心电，呼吸，无创血压，血氧饱和度，脉搏和体温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2.2、采用ECG多导同步分析专利技术，保证心电监护的优异性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2.3、心电波形速度支持6.25、12.5、25和50mm/s不少于4种选择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2.4、具备智能导联脱落监测功能，个别导联脱落的情况下仍能保持监护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2.6、★血氧监测时标配支持PI血氧灌注指数的监测，有效反映血氧灌注情况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2.7、采用抗干扰和弱灌注血氧技术保证血氧监护的优异性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2.8、无创血压支持手动、连续、自动和序列测量模式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2.9、成人无创血压测量范围：收缩压 27~290mmHg，舒张压 10~250mmHg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2.10、小儿无创血压测量范围：收缩压 27~240mmHg，舒张压 10~200mmHg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2.11、新生儿无创血压测量范围：收缩压 27~140mmHg，舒张压 10~115mmHg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3.1、支持中/英文输入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3.2、具有三级声光报警，参数报警级别可调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3.3、具备报警集中设置功能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3.4、具备血液动力学、药物计算功能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3.5、支持&gt;=980小时趋势数据的存储与回顾功能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3.6、具备监护模式、待机模式，演示模式、隐私模式和夜间模式不少于5种工作模式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3.7、具备趋势共存界面、呼吸氧合图界面，大字体显示界面，及标准显示界面等多种显示界面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3.8、具备网络通信功能，实现中央站的集中监护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3.9、标配一块高能锂电池，工作时间可达4小时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3.10、支持监护仪系统日志的向U盘设备的导出功能，日志包括：系统状态、异常和技术报警等，满足设备管理的日常维护需求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3.11、★主机集成附件收纳槽，支持将心电、血氧和无创血压等导联线附件进行收纳放置，方便监护仪设备的高效管理和转移。</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★3.12：产品设计使用年限≥7年。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9425">
            <w:pPr>
              <w:rPr>
                <w:rFonts w:hint="eastAsia" w:ascii="宋体" w:hAnsi="宋体" w:eastAsia="宋体" w:cs="宋体"/>
                <w:b w:val="0"/>
                <w:bCs w:val="0"/>
                <w:i w:val="0"/>
                <w:iCs w:val="0"/>
                <w:color w:val="auto"/>
                <w:sz w:val="22"/>
                <w:szCs w:val="22"/>
                <w:u w:val="none"/>
              </w:rPr>
            </w:pPr>
          </w:p>
        </w:tc>
      </w:tr>
      <w:tr w14:paraId="408E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93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A77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1B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071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1.输液精度≤±5%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2.速率范围：0.1-1400ml/h,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4.快进流速范围：0.1-1400ml/h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5.支持ml/h和滴/min两种流速单位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6.屏幕不小于2.5英寸，同屏显示：速度、当前注射状态、累计量、电池状态、报警压力档位和在线压力等信息；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11.压力报警阈值可调，最低150mmHg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12.电池工作时间≥4小时@25ml/h；可升级至≥8小时@25ml/h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16.泵片用防水膜保护，防止药液进入机器内部，便于清洁和消毒。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17.整机重量不超过2kg，主机自带提手，方便携带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A3FF">
            <w:pPr>
              <w:rPr>
                <w:rFonts w:hint="eastAsia" w:ascii="宋体" w:hAnsi="宋体" w:eastAsia="宋体" w:cs="宋体"/>
                <w:b w:val="0"/>
                <w:bCs w:val="0"/>
                <w:i w:val="0"/>
                <w:iCs w:val="0"/>
                <w:color w:val="auto"/>
                <w:sz w:val="22"/>
                <w:szCs w:val="22"/>
                <w:u w:val="none"/>
              </w:rPr>
            </w:pPr>
          </w:p>
        </w:tc>
      </w:tr>
      <w:tr w14:paraId="1BBA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8B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5EC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4A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注射泵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9E7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1.注射精度≤±2% 或0.005mL/h取大者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2.速率范围：0.1-1200ml/h,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4.快进流速范围：0.1-1200ml/h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5.支持注射器规格：5ml、10ml、20ml、30ml、50/60ml；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6.LCD显示屏，可同屏显示：输注模式、速度、当前注射状态、预置量、累计量、电池状态、报警压力阈值和在线压力等信息；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11.电池工作时间≥6小时@5ml/h，可升级至≥12小时@5ml/h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15.注射泵推杆无皮套设计，更易清洁，符合院感要求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16.整机重量不超过1.8kg，主机自带提手，方便携带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F7D1">
            <w:pPr>
              <w:rPr>
                <w:rFonts w:hint="eastAsia" w:ascii="宋体" w:hAnsi="宋体" w:eastAsia="宋体" w:cs="宋体"/>
                <w:b w:val="0"/>
                <w:bCs w:val="0"/>
                <w:i w:val="0"/>
                <w:iCs w:val="0"/>
                <w:color w:val="auto"/>
                <w:sz w:val="22"/>
                <w:szCs w:val="22"/>
                <w:u w:val="none"/>
              </w:rPr>
            </w:pPr>
          </w:p>
        </w:tc>
      </w:tr>
      <w:tr w14:paraId="4767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82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C78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D1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医用储存柜</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568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产品尺寸≥ 900*400/250*1750mm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带玻门尺寸 ≥820*620mm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800*115mm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下边柜门尺寸 ≥820*550mm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上部纵向深度尺寸≥ 250mm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下部纵向深度尺寸≥ 400mm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产品净重≥ 50kg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产品毛重≥ 52kg </w:t>
            </w:r>
          </w:p>
          <w:p w14:paraId="6511E92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（提供国家权威机构CNAS第三方检测报告）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.整体由优质 不锈钢板及不锈钢管焊接组装而成，外型美观，平整、端正、四角平行，表面无锋棱、毛刺等明显缺陷，各焊接部件打磨平整光滑，抛光均匀，耐腐蚀，不生锈。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2.上层为对不锈钢对开门，内镶嵌 5mm 玻璃，两层搁板，高低可调。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3.中层配有两个抽屉，优质锁芯；滑道采用三节静音式滑轮，抽拉灵活，无噪音。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4.下层为不锈钢对开门,内侧有一层活动搁板。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5.门拉手为优质锌合金表面处理镀铬处理，外表美观。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8882">
            <w:pPr>
              <w:rPr>
                <w:rFonts w:hint="eastAsia" w:ascii="宋体" w:hAnsi="宋体" w:eastAsia="宋体" w:cs="宋体"/>
                <w:b w:val="0"/>
                <w:bCs w:val="0"/>
                <w:i w:val="0"/>
                <w:iCs w:val="0"/>
                <w:color w:val="auto"/>
                <w:sz w:val="22"/>
                <w:szCs w:val="22"/>
                <w:u w:val="none"/>
              </w:rPr>
            </w:pPr>
          </w:p>
        </w:tc>
      </w:tr>
      <w:tr w14:paraId="58BC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8B2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3D1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C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洗胃机</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E96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采用压力反馈控制系统，无需人工调节；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实现循环洗胃。适用于抢救服毒、食物中毒患者以及手术前洗胃用；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一、性能特点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1、采用膜片泵作为冲液和吸液的动力源，并通过压力传感器和CPU 控制，使冲、吸转换更可靠；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采用定量容积式转换缸，使吸出液量和冲入液量更加准确、可靠；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气压驱动的换向阀结构能够强力挤碎大块污物，使管路更通畅，清洗维护更便捷；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面板有洗胃循环次数和压力模拟显示状态，方便操作者掌握洗胃机工作状态和洗胃的进展；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产品增设手动冲、吸液量平衡装置，可解决由于胃内物质差异所引起的冲、吸液量不平衡状态；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具有“口腔插管”和“鼻腔插管”两种洗胃模式，可以根据地域海拔高度和洗胃管的规格选择不同的洗胃模式；造型轻巧、安全可靠、操作方便、能耗少、噪音低。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流量：≥2L/min（口腔插管档）；≥1L/min（鼻腔插管档）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自控液量：冲液量：（250ml~350ml）/次；吸液量：（350ml~450ml）/次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注：吸液量大于冲液量，但不应大于 150ml/次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正、负压力设定范围：47kPa~67kPa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电源：～220V 50Hz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输入功率：110VA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噪音：≤65dB（A）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外包装尺寸：≥49.5cm×43cm×34cm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外形尺寸：≥43cm×36cm×20.5cm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电动洗胃机需求清单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主机1 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一次性胃管 28F 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洗胃导管套件 进出胃过渡导管（内径 ：Ф7.5、长 10 cm）2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进液导管（内径 ：Ф7.5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进出胃导管（内径 ：Ф7.5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排污导管（内径 ：Ф8.5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三通接头1 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熔丝管  ( Ф5×20 / F750mAL）2 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电源线 、保修卡 、说明书 、合格证等1 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B7C2">
            <w:pPr>
              <w:rPr>
                <w:rFonts w:hint="eastAsia" w:ascii="宋体" w:hAnsi="宋体" w:eastAsia="宋体" w:cs="宋体"/>
                <w:b w:val="0"/>
                <w:bCs w:val="0"/>
                <w:i w:val="0"/>
                <w:iCs w:val="0"/>
                <w:color w:val="auto"/>
                <w:sz w:val="22"/>
                <w:szCs w:val="22"/>
                <w:u w:val="none"/>
              </w:rPr>
            </w:pPr>
          </w:p>
        </w:tc>
      </w:tr>
      <w:tr w14:paraId="5E90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DF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00D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6E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听诊器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FFF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1适用范围广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2.技术要求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弹簧片采用优质弹簧钢，（硬度HR15N82.9-88.4）耳环，扁形听诊头采用优质铜材，三通导管采用软聚氯乙烯，金属件电铳达到光亮镀络二级外观要求。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3. 产品应符合GN-89-YY-91035-1999听诊器标准要求。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99CB">
            <w:pPr>
              <w:rPr>
                <w:rFonts w:hint="eastAsia" w:ascii="宋体" w:hAnsi="宋体" w:eastAsia="宋体" w:cs="宋体"/>
                <w:b w:val="0"/>
                <w:bCs w:val="0"/>
                <w:i w:val="0"/>
                <w:iCs w:val="0"/>
                <w:color w:val="auto"/>
                <w:sz w:val="22"/>
                <w:szCs w:val="22"/>
                <w:u w:val="none"/>
              </w:rPr>
            </w:pPr>
          </w:p>
        </w:tc>
      </w:tr>
      <w:tr w14:paraId="0EB1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E0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0D8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7B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便携式超声诊断仪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CEB0">
            <w:pPr>
              <w:keepNext w:val="0"/>
              <w:keepLines w:val="0"/>
              <w:widowControl/>
              <w:numPr>
                <w:ilvl w:val="0"/>
                <w:numId w:val="14"/>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设备名称：便携式彩色多普勒超声波诊断仪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二、设备用途说明：主要用于腹部、妇产、心脏、泌尿、外周血管、小器官、肌肉骨骼、神经，介入等方面的临床诊断。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设备具备远程会诊功能，支持电脑PC端和手机APP终端，电脑PC端可完全还原测量和注释工具包；手机APP端可实现实时超声图像显示及在线语音交流功能。（请分别提供图片证明）。可进行远程维护等操作：远程系统软件更新、故障在线求助等功能，用户可在云端下载最新系统软件版本自动升级（提供证明图片）。患者可通过二维码，随时翻阅网络上的检查超声图像和诊断报告，（提供二维码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四、设备具备教学功能，触摸屏及显示器可同步显示扫查示意图及超声声像图，另显示器所展示的教学画面可进行放大缩小调节（请分别提供图片证明），并具备持续升级能力，能满足开展新的临床应用需求。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五、主要规格及系统概述：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5.1数字化二维灰阶成像单元。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5.2数字化彩色多普勒单元。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5.3数字化频谱多普勒显示和分析单元。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5.4数字化能量血流成像单元。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5.5全数字式波束形成器。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5.6 B 模式/ CFM / PWD模式分别独立角度偏转功能。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5.7两种组织谐波成像模式, 可用于全部2D探头和4D探头，谐波频率明确显示，可视可调。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5.8高清晰斑点噪音抑制技术≥13级可视可调。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5.9空间复合成像技术。(请提供≥9线偏转的曲别针试验图片）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5.10系统动态范围≥280Db，2dB逐级调节，数值明确显示。(请提供280db及2db相邻数字证明图片)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5.11自动优化，智能优化二维、彩色、频谱参数，使操作者能在一秒钟内得到优化的 B 模式、频谱多普勒。帮助不同熟练程度的操作者都能在很短的时间内得到优秀一致的扫描结果，提高操作者的工作效率。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5.12灰阶与彩色独立偏转；</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5.13立体血流成像技术，CF模式下呈现立体血流（非四维探头下融合成像技术和重建三维成像）（提供腹部单晶体探头证明图片）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5.14标配探头均支持彩色模式的彩色立体血流显示；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5.15图像剪贴板功能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5.16实时双同步、三同步。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5.17全御相关成像，全程发射及全程接收聚焦技术，使得图像近、中、远场保持均匀一致，全场图像无焦点，保证高帧频和增强对比分辨率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5.18支持跟踪对比技术，可将不同日期，不同时间、不同病人图像进行同屏对比显示，支持不同探头图像、动静态图像同屏对比显示，便于疾病的归类统计示教，且所对比的左右两幅图像大小一致（非剪贴板及病例档案界面，请提供证明图片)，并可进行图像处理和测量注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5.19梯形成像、凸型扩展功能。（支持凸阵探头、线阵探头、相控阵探头、腔内探头，请分别提供证明图片）；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5.20灰阶与彩色双幅显示，一幅二维和一幅彩色多普勒图像双幅同屏同步实时显示，方便医生对比观察；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5.21支持M型成像；</w:t>
            </w:r>
          </w:p>
          <w:p w14:paraId="5D82F704">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5.22全屏放大显示功能。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5.23Zoom 局部放大功能。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5.24连续多普勒，测量心脏高速血流，如：瓣膜反流血流速度测量，满足心脏评估；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5.25双幅实时成像，成像大小不变。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5.26≥8个焦点可调。(请提供证明图片)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5.27支持自由臂3D容积成像技术，采用简便扫查的方式，可对感兴趣组织进行快速容积成像。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5.28具备穿刺引导，并具备三种引导方式。(提供证明图片)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5.29支持穿刺增强技术，根据不同的进针角度，适时调节声束的角度，增强组织与穿刺针的显示能力，提高穿刺的准确性和成功率。(请提供证明图片)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5.30超声教学功能，提供腹部、浅表、血管、神经和肌骨关节等超声操作步骤语音解读、3D探头投影切面和扫查手法技巧介绍，并通过3D组织解剖结构与标准超声组织结构的实时动态视频进行对照，帮助临床医生或初级超声医生更快适应超声图像的识别，支持医生对超声扫查的自学和训练，实现标准化；</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5.31曲线解剖M型，取样线可放置于扫查切面内任意一段心肌，任意方向、任意形状，从而获得线段上所有心肌节段实时运动信息；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5.32支持曲线解剖 M 型：多点任意描记，提高测量准确性和效率（请提供证明图片）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5.33支持彩色M型功能。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5.34组织多普勒成像，定量分析心肌运动和功能，检测室壁运动异常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5.35组织速度成像，对心肌组织反射回来的频移信号进行与CDFI编码原则相同的彩色编码，颜色和亮度代表心肌运动的方向和速度，定量分析心肌运动和功能，检测室壁运动异常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5.36支持颈动脉内中膜自动测量，冻结模式，无需手动操作，自动获得前后壁测量结果并自动获取≥3组IMT内膜厚度值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5.37支持左心室射血分数自动测量包功能。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5.38频谱自动跟踪测量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5.39原始数据处理功能，数据储存后，可对回放的常规图像进行20种参数调节。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5.40自动工作流，可根据医生习惯自定义检查规范，减少重复操作，并具备智能程序化操作流程编辑功能，如：自动注释、体标（体标上探头的位置和方向）等，提高扫查效率。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5.41测量和分析：(B型、M型、频谱多普勒、彩色模式)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5.41.1一般测量。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5.41.2急诊、肾内、麻醉、重症、肌骨测量包。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5.41.3妇、产科测量包，支持产科自动测量。（请提供证明图片）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5.41.4血管测量包。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5.41.5泌尿科测量与分析，支持膀胱自动测量。（请提供证明图片）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5.41.6肾脏测量包。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5.41.7容积测量包。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5.41.8多普勒血流测量与分析。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5.41.9自动多普勒血流测量与分析。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5.41.10客户自定义测量。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5.42图像存储与(电影)回放重现单元。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5.43输入/输出信号：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5.43.1输入：音频。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5.43.2输出：DVI、音频。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5.44连通性：AVI, VRD，，医学数字图像格式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5.45图像管理与记录装置：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5.45.1超声图像存档与病案管理系统。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5.45.2硬盘≥120GB。（可选配500G/1T/2TSSD硬盘）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5.45.3一体化原始数据的剪贴版可以存储和回放动态及静态图像以往图像与当前图像同屏对比显示。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5.45.4 ≥2个USB接口，可一键快速将图象存储至USB、硬盘，无需其他格式转换操作，无需进入病人档案或系统设置。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5.45.5客户报告系统。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六、技术参数及要求：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6.1系统通用功能：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6.1.1≥15英寸高分辨率液晶监视器。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6.1.2≥8英寸电容操作触摸屏，可进行滑动翻页，并可在触摸屏上进行注释和体表图操作。（请提供证明图片）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6.1.3支持触摸屏参数、功能布局界面任意移动，实现专属定制（提供布局调整前、后2张图片证明）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6.1.4整机重量≤4Kg。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6.2探头规格：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★6.2.1探头可与同品牌部分型号台式机通用。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6.2.2探头数量：3个(线阵，相控阵，凸阵)。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6.2.3频率：宽频带或变频探头，所有探头及所有模式有明确的工作频率显示，实现二维、彩色、多普勒频率独立可调，基波中心频率可选择≥4种，谐波频率可选≥4种，多普勒可选不同频率≥3种。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6.2.4探头频率最高可达16MHz，可在屏幕上显示。（请提供证明图片）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6.2.5凸阵探头频率范围2-5MHZ，线阵探头频率范围6-16MHZ，相控阵探头频率范围2-5MHZ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6.2.6振子：凸阵探头有效振子数≥128振子。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★6.2.7相控阵探头角度≥120°。（请提供证明图片）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6.2.8探头可配穿刺导向装置。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6.3二维灰阶显像主要参数：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6.3.1扫描速率：凸阵探头，全视野，18cm深度时，帧速率≥30帧/秒。（请提供证明图片）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6.3.2扫描线：每帧线密度≥512超声线。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6.3.3发射声束聚焦：连续聚焦。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6.3.4接收方式：多倍信号并行处理。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6.3.5数字式声束形成器：数字式全程动态连续聚焦，数字式可变孔径及动态变迹，A/D≥12bit。</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6.3.6回放重现：回放时间≥1000秒。（请提供证明图片）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6.3.7预设条件：针对不同的检查脏器，预置最佳化图像的检查条件，并可以图形化标志显示选择界面，减少操作时的调节，及常用所需的外部调节及组合调节。(请提供证明图片)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6.3.8增益调节：B/M可独立调节，TGC分段调节。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6.3.9最大显示深度≥38cm。（请提供证明图片）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6.4频谱多普勒：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6.4.1方式：脉冲波多普勒：PWD</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6.4.2PWD：最高测量速度≥9m/s。最低测量速度≤1mm/s(非噪声信号)。(请分别提供证明图片)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6.4.3显示方式：B/PWD、B/CF+PWD。</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6.4.4取样宽度及位置范围：宽度0.5mm至30mm。（请提供证明图片）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6.4.5显示控制：反转显示(左/右；上/下)零移位。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6.4.6频谱自动跟踪与测量。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6.5彩色多普勒：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6.5.1显示方式：速度方差显示、能量显示，速度显示、方差显示。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6.5.2具有双同步 / 三同步显示(B/PW/CF、B/PW/PDI)。</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6.5.3彩色模式下支持彩色立体血流显示功能（提供线阵探头临床图片证明）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6.5.4彩色显示帧频：凸阵探头、最大角度，18cm深时，彩色显示帧频≥15帧/秒。（请提供证明图片）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6.5.5显示位置调整：线阵扫描感兴趣的图像范围：-20°～+20°。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6.5.6显示控制：零位移动分12级、黑/白与彩色比较、彩色对比。</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6.5.7彩色多普勒能量图，彩色方向性能量图。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6.5.8彩色显示速度：最低平均血流显示速度≤1cm/s（非噪声信号）。（请提供证明图片）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七、备件、资料及配置要求。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7.1备件：为保证设备正常运行，供货方存入所有必须的备件，并保证10年以上的供应期。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7.2资料。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7.2.1供货方须向甲方提供操作手册一套。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7.2.2供货方向甲方提供设备的运行、安装、使用环境要求。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7.3技术服务。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7.3.1在货物到达使用单位后，中标方应在7天内派工程技术人员到达现场，在甲方技术人员在场的情况下开箱清点货物，组织安装、调试，并承担因此发生的一切费用。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7.3.2设备安装后，医院按国际和国家标准及厂方标准进行质量验收。甲方有权委托中国有资格的单位对上述仪器进行精度校核。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7.4 配置：腹部探头1把，浅表探头1把，心脏探头1把，三拖一台车1套，便携拉杆箱1个。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50E3">
            <w:pPr>
              <w:rPr>
                <w:rFonts w:hint="eastAsia" w:ascii="宋体" w:hAnsi="宋体" w:eastAsia="宋体" w:cs="宋体"/>
                <w:b w:val="0"/>
                <w:bCs w:val="0"/>
                <w:i w:val="0"/>
                <w:iCs w:val="0"/>
                <w:color w:val="auto"/>
                <w:sz w:val="22"/>
                <w:szCs w:val="22"/>
                <w:u w:val="none"/>
              </w:rPr>
            </w:pPr>
          </w:p>
        </w:tc>
      </w:tr>
      <w:tr w14:paraId="493D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41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40F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4D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血糖仪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59A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调码方式:全自动免调码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红细胞压积比0%~70%|自动退片防止交叉感染|酮体过高预警功能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背光高清屏幕 多个部位采血 餐前餐后记录 试纸自动退片 酮体过高预警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信息远程传输 超大储存内存 微量采血 五秒快速反应 四组闹铃提醒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酮体警示，当血糖值&gt;240mg/dL(13.3mmol/L)时，会出现警示KETONE</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具有红细胞压积校正功能，能够修正在测量时候红细胞过多或过少所造成的测量误差，从容应对特殊人群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适用于：新生儿、脱水病人、多血症病人、透析病人、贫血病人、AIDS病人、癌症病人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25C0">
            <w:pPr>
              <w:rPr>
                <w:rFonts w:hint="eastAsia" w:ascii="宋体" w:hAnsi="宋体" w:eastAsia="宋体" w:cs="宋体"/>
                <w:b w:val="0"/>
                <w:bCs w:val="0"/>
                <w:i w:val="0"/>
                <w:iCs w:val="0"/>
                <w:color w:val="auto"/>
                <w:sz w:val="22"/>
                <w:szCs w:val="22"/>
                <w:u w:val="none"/>
              </w:rPr>
            </w:pPr>
          </w:p>
        </w:tc>
      </w:tr>
      <w:tr w14:paraId="31B1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4F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DB9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57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担架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803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又名担架车，救护担架车，急救担架，上车担架，自动上车担架，抢救车担架，救援担架车等。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车体部分主要采用铝合金结构，配接件铝合金压铸，具有轻便韧性好，容易消毒的特点，供医院急救中心转移伤员使用。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担架车采用 PVC 材料内包海绵软垫制成，具备防水防火防腐烂功能，靠背可调节角度，最高可调整至 75°，使病员躺卧更舒适。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担架有 3 个上救护车的高度是可以调节的。采用折腿机械结构，通过右手手柄控制折叠，仅需一名救护人员把病人推上救护车。车轮外围采用橡胶材料，结实耐用。上车后必须与救护车上的固定装置锁紧，保证救护车行驶过程病人的安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担架车配备两根安全绑带，保证病人的安全。当运送病员到达病房或目的地后，打开后固定锁，慢慢从救护车内拉下，担架腿会自动放下。可搭配担架仓及担架挡板使用。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颜色可选：黑色，橘红色，蓝色</w:t>
            </w:r>
          </w:p>
          <w:p w14:paraId="7107F69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规格参数：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最高位尺寸：≥190*55*92CM </w:t>
            </w:r>
          </w:p>
          <w:p w14:paraId="6A9F9A3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最低位尺寸：≥190*55*25cm </w:t>
            </w:r>
          </w:p>
          <w:p w14:paraId="7B4D59B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背靠最大倾角:75° </w:t>
            </w:r>
          </w:p>
          <w:p w14:paraId="1D86880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包装尺寸：≥195*62*25.5cm/1PC/CTN</w:t>
            </w:r>
          </w:p>
          <w:p w14:paraId="276AF7B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承重：≤159kg </w:t>
            </w:r>
          </w:p>
          <w:p w14:paraId="1427437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净重：≥40KG </w:t>
            </w:r>
          </w:p>
          <w:p w14:paraId="4C7F16D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毛重：≥46KG</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E3B8">
            <w:pPr>
              <w:rPr>
                <w:rFonts w:hint="eastAsia" w:ascii="宋体" w:hAnsi="宋体" w:eastAsia="宋体" w:cs="宋体"/>
                <w:b w:val="0"/>
                <w:bCs w:val="0"/>
                <w:i w:val="0"/>
                <w:iCs w:val="0"/>
                <w:color w:val="auto"/>
                <w:sz w:val="22"/>
                <w:szCs w:val="22"/>
                <w:u w:val="none"/>
              </w:rPr>
            </w:pPr>
          </w:p>
        </w:tc>
      </w:tr>
      <w:tr w14:paraId="4C8A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F0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C4C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7C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远程医疗会诊管理系统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F47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lang w:val="en-US" w:eastAsia="zh-CN" w:bidi="ar"/>
              </w:rPr>
              <w:t>1、</w:t>
            </w:r>
            <w:r>
              <w:rPr>
                <w:rFonts w:hint="eastAsia" w:ascii="宋体" w:hAnsi="宋体" w:eastAsia="宋体" w:cs="宋体"/>
                <w:b w:val="0"/>
                <w:bCs w:val="0"/>
                <w:i w:val="0"/>
                <w:iCs w:val="0"/>
                <w:color w:val="auto"/>
                <w:kern w:val="0"/>
                <w:sz w:val="22"/>
                <w:szCs w:val="22"/>
                <w:u w:val="none"/>
                <w:lang w:val="en-US" w:eastAsia="zh-CN" w:bidi="ar"/>
              </w:rPr>
              <w:t>系统基本要求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系统软件采用纯B/S架构设计，所有医生客户端无需安装应用软件，可直接通过浏览器登录系统，软件主界面包含预约分诊、检查管理、病历管理、临床浏览、数据统计、基础设置功能模块，提供包含以上功能的B/S软件主界面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(2)维护与升级：维护与升级工作集中于服务器端，医生客户端无需维护，减少医院后期的维护成本，实现系统的在线维护、无缝升级；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完整性：登录系统后的功能模块需全面含概心电电生理检查业务的全流程，需包含以下模块预约登记、心电检查、动态心电/血压检查、电生理检查、病历管理、分析诊断、报告打印、统计分析、系统管理；提供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(4)★在用户登录界面，支持用户名+密码登录、CA登录、扫码登录、人脸识别多种身份认证机制，确保身份的唯一性和安全性，提供软件截图证明；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(5)支持与HIS系统集成，实现从HIS当中获取患者资料；支持电子申请预约信息获取；提供接口交互信息管理系统软件著作权证书证明；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(6)支持具有数字接口的心电图机设备的无缝接入，连接原始数据，实现统一存储、管理、统计检索，并支持后期购置的设备无缝连接入；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要求心电数据以XML标准定义的格式进行波形的存储，建立标准心电数据库，为医院开展科研教学提供有效的数据基础；要求提供明确说明具备“以XML标准定义的格式进行波形的存储”的医疗器械注册证或其附件的复印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(8)系统易用性：系统界面设计简洁合理，符合心电检查业务流程；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可视化配置：系统具备可视化管理配置功能，医护及管理人员可通过系统对检查分类、检查项目、公共/个人模版、打印模版、危急值项目、临床浏览、参数配置、评估量表、打印模板字典、质量控制、敏感词、数据统计、心电业务等项目进行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(10)要求系统支持国产化适配，可适配国产服务器、国产操作系统、国产数据库。提供相关证书证明；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2、系统功能要求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2.1.预约分诊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2.1.1.预约登记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(2)支持常规心电、动态心电、动态血压、电生理检查项目的预约登记，实现分诊；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(3)支持直观队列可视化预约分配，清晰显示各队列号源总及已预约数量；提供截图证明；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(4)支持自动分配号源或手动选择号源；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(5)具备过号列表管理，对所有过号的检查进行列表展示，同时支持过号自动激活或手动激活功能，重新回到检查队列中；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(6)支持可预约号源的自定义可视化设置，按周、日期等不同条件自定义设置；提供可视化设置软件截图；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(7)支持检查号自动生成规则可视化设置，依据检查分类、检查项目分别设置；提供可视化设置软件截图；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2.1.2.电子叫号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(1)支持检查房间设置，用户可自定义设置房间所属科室、房间名称及房间类型；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(2)具备叫号屏管理功能，支持用户对叫号屏进行修改、新增、删除；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(3)支持用户自定义呼叫内容维护，可自定义新增、修改、删除呼叫内容；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(4)支持横屏与竖屏两种屏，可根据实际情况自定义设置；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(5)支持配置工具自定义显示参数（屏幕显示方式、检查队列/设备屏维护、过号/急诊患者字体颜色自定义、显示内容等）。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将静息心电、动态心电、动态血压、电生理检查多种不同类型的检查项目融合到一套系统中使用，并支持系统内直接新建静息心电、动态心电、动态血压、电生理检查；要求提供静息动态心电血压综合分析系统计算机软件著作权登记证书的复印件证明及在同一界面包含静息心电、动态心电、动态血压、电生理检查模块的软件功能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2.2.1.静息心电检查管理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(1)支持快速心电检查功能，可实现先采集心电图后编辑病历，适用于急诊病人心电检查；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(2)具备新患者检查向导程序，可根据医生选择的检查项目，同步显示对应的导联联接示意图。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(3)支持常规12导联同步心电加做功能，可加做右室壁、加做正后壁、加做右室壁+正后壁等组合模式，并可设置任意采集时长。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(4)支持15导、16导、18导联同步心电，心向量、心室晚电位、心率变异检查模式，并可设置采集时间。</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(5)支持阿托品试验检查项目服药前、服药后首次检查以及服药后的采集模式。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(6)支持心得安试验检查项目服药前、服药后首次检查以及服药后的采集模式。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(7)其他品牌心电设备接入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1)支持与HIS系统电子申请的对接，从而实现检查数据与病人信息的统一。</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2)支持RS-232\RJ45\USB\WIFI等多种不同类型的心电图机输出接口对接模式。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3)支持接收同步12导联，15-16导联、18导联静息心电图原始数据并存储、编辑。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4)常规心电以HL7-aECG格式保存，能够转换MFER,CDA,PDF,DICOM等国际标准。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2.2.2.动态检查管理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(1)具备动态心电、动态血压检查列表管理功能，支持检查状态显示；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(2)支持对待检查患者一键戴盒，对检查中患者一键摘盒；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(3)★支持对医院不同品牌动态心电、动态血压记录器进行统一管理，可显示记录器的使用状态，目前正佩戴的患者姓名、门诊号、住院号、开始检查时间、预计结束时间。提供软件截图证明。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2.2.3.电生理检查管理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接收具有DICOM或XML传输协议的心电图机、具有数字输出的动态心电图、运动平板心电图电生理检查设备的数据，对数据进行处理和存储，并可与医院信息管理系统进行整合，通过网络发布报告。要求提供含有DICOM或XML传输协议，动态心电图、运动平板心电图网络发布报告词语的医疗器械注册证或其附件的复印件并圈出对应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（2）支持各类型电生理设备集成，包括Holter、运动平板、脑电图、肌电图、TCD，听力检查、眼科检查、神经电生理检查等。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(1)可实现从HIS中提取患者信息并写入到电生理原机中；；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(2)可自动获取电生理原机截取的典型图，不改变医生原来的操作流程的同步获取典型图，用于报告的编写；</w:t>
            </w:r>
          </w:p>
          <w:p w14:paraId="411ECFA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(3)具备个性化报告助手功能，可将医生常用术语维护到系统中，方便医生书写报告；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(4)具有脑电波形数据回放显示功能，可设置增益、高通滤波、低通滤波、走纸速度及播放控制；</w:t>
            </w:r>
          </w:p>
          <w:p w14:paraId="2E19F7F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(5)具有脑电三维地形图处理功能，可生成不同频率范围的三维脑电地形图。提供三维脑电地形图处理系统演示证明（截图）；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(6)具有脑电事件记录功能，不同类型事件单独标记；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2.3.诊断管理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2.3.1.分析诊断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(2)具备新检查病历到达提醒、会诊病历到达提醒及会诊病历返回提醒功能，并支持设置是否提醒、声音提醒开启时间设置及提醒方式的设置；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(3)具备对异常测量参数标红显示，同时支持以每一个分析测量值进行手动修改；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(4)支持原始采集的心电波形进行重分析；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(5)提供测量分析工具：电子测量尺、平行尺、波形微调、波形定标、多种波形显示方式、波形放大等；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(6)直角尺测量功能，模拟直角尺工具，横向、纵向匀有刻度，横向可测量时间差并折算心率值、纵向可测量幅值差，使用鼠标右键点击直角尺横、纵向，可自动测量出数值。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(7)心拍放大分析功能：支持任意心搏单击放大分析，可对每个P、Q、T测量点进行手动微调；每个单击放大QRS波群测量参数不少于25种；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(8)同屏对比功能，患者历史检查数据多次同屏对比功能；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(9)具备导联纠错功能，可以通过软件直接修正错误导联；</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(10)★提供复合波与选中心搏两种分析模式，医生可根据波形情况在分析诊断界面手动选择不同的分析模式，保证心电诊断的准确性；提供软件界面截图；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(11)★具备AF房颤分析功能，医生可在分析诊断界面手动开启或取消房颤分析；提供软件界面截图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(12)★具备详细参数矩阵，不少于200种测量参数值，提供软件界面截图；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(13)支持常规心电转换为频谱心电、高频心电、QT 离散度、心电向量、心室晚电位、心率变异等分析功能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(14)★提供丰富的报告诊断库，避免过多的键盘输入，要求提供医疗器械注册证或其附件的复印件并圈出相应文字内容证明。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(15)★具备报告记录功能，可详细查看每一个医生对本份病历的每一次操作及报告修改记录；提供软件界面截图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微信分享功能，可在进行心电图诊断分析时直接将该份病历的原始心电波形分享至微信群或专家微信，并支持在微信端打开心电原始波形，进行走纸速度、灵敏度、显示模式的调整，及查看心电报告；提供具有真实二维码分享界面截图，可现场扫码验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(17)具有空间心向量环动态回放功能，可播放、暂停、停止、速度倍数调整、回放模式选择，提供包含上述功能的系统演示证明；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(18)具有心电测量值不合理报警显示功能，可设置不同测量值的不合理值范围，并在回放界面以突出方式清晰显示并弹窗预警，提供不合理值设置与回放显示及弹窗预警的系统演示证明；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(19)具有心电报告敏感词预警功能，可为不同检查项目、不同性别设置不同敏感词，当符合条件敏感词出现，系统自动弹窗预警，提供敏感词可视化设置与弹窗预警的系统演示证明；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(20)★具备心电关键字管理功能，可后台自定义新增、修改、删除，关键字内容包括但不限于不同心电诊断结论对应的心脏示意图、电轴示意图等；要求提供心电关键字管理功能截图；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2.3.2.危急值闭环管理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(1)具备自动诊断功能，支持医生可全选或自由选择自动诊断词条内容，一键录入报告结论框内；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(2)具备智能危急值预警功能，支持后台智能预分析技术，根据危急值标准自动判断危急病历，并进行危急预警提醒；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(3)支持危急值自动预警级别的设置，用户可自定义设置危急值预警级别；</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(4)支持危急值项目、危急值字典维护功能，用户可根据医院现行的危急值标准进行自定义维护，并对危急值内容进行新增、修改、删除；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对所有报危急值的病历进行统一列表管理功能，且支持与医院的危急值平台集成，同步显示临床科室处理意见、临床科室处理人、处理时间以及临床最终确认是否为危急值，实现危急值的全流程闭环管理；要提供危急值列表管理且同步显示临床科室处理信息的界面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2.3.3.心电质控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(1)图像质控：支持对心电波形图像是否良好、是否存在干扰及导联错接情况进行质控；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(2)报告质控：支持对报告诊断的规范与否，是否误诊断进行报告质量的质控；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(3)综合质控：支持图像质控与报告质量双重质控，全面评价心电图像采集与诊断的质量；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具备完整的报告质控流程，定期对报告质量进行回顾，根据病种、诊断医生、是否疑难等多个维度对报告进行质控，抽取一定数量的报告分配给多个质控医生，按照时间定期开展质控工作，并支持多轮抽查，要求提供包含以上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具备质控评分功能：依据完整性、规范性、时限性、正确性四大类进行质控评价，且医生可手动选择具体的扣分条目，系统根据医生选择的扣分项进行分值的自动计算并自动给予质控评级。同时，为医院质控医生提供质控细则的可视化设置功能，医院质控医生可根据质控制度自定设置质控细则及每一项目的分值。要求提供包含以上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(6)支持对所有质控报告进行统一列表管理，并显示质控不合格原因；提供软件截图；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2.4.病历管理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2.4.1.病历管理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(1)多类型病历列表，包含静态心电、动态心电血压、申请病历、会诊病历、已收藏病历、随访病历、危急值病历、质控病历列表；提供软件截图证明；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(2)支持多条件组合查询；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(3)具备病历导入、导出功能；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(4)支持对病历进行手动计费与退费，医生可在心电信息系统内完成心电检查的计费与退费；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2.4.2.病历收藏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(1)支持典型病例收藏功能；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(2)支持个人收藏及公共收藏两种方式，个人收藏仅病例的收藏者有权限进行查看，公共收藏所有用户均有权限进行查看；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(3)支持对收藏类型进行分类维护，可新增、修改、删除分类组；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(4)支持单独的已收藏病历显示列表，快速查看已收藏病历；提供软件截图证明；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2.4.3.病历随访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(1)具备病历随访功能；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(2)支持建立随访计划，到期自动提醒；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(3)支持单独的随访病历显示列表，快速查看随访病历结论；提供软件截图证明；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2.5.数据统计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(2)提供可自由定制的数据统计模块，所有的字段信息都可作为统计条件，并组合使用；根据需要可进行工作量、科研、教学统计；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提供统计模板的可视化配置功能，可在系统设置里对统计模板进行增加、修改、删除和查询操作，在新培训统计方案时，可自由设置按年、按月、按日进行统计，可设置柱状图、折线图、饼图、仪表盘、复合图（柱状+折线）等多种图表类型，可设置查询条件。提供包含以上功能的系统演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(4)阳性率统计：可按检查项目汇总阳性率；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(5)工作量统计：检查医生工作量、科室工作量、审核医生工作量、报告医生工作量；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(6)报告时间统计：门诊、急诊、住院等报告时限的统计；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(7)统计结果可显示统计列表、统计数量、趋势图/直方图/柱状图等多种样式的统计图表，并支持导出；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(8)统计结果可输出到EXECL表格中，并可打印成统计报表，要求提供医疗器械注册证或其附件的复印件并圈出相应文字内容证明。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2.6.设备管理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(1)具有静息心电设备可视化管理功能，可设置设备所属科室、位置、设备图片、热点、接口方式，接入心电图机自动12导转换18导、默认滤波等功能；</w:t>
            </w:r>
          </w:p>
          <w:p w14:paraId="39E0ECD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(2)具有动态心电记录器可视化界面设置功能，设置每一个记录器的类型、品牌、型号、使用时间、状态、分析模式（包括自主分析软件与第三方分析软件）；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(3)具有电生理报告可视化界面设置功能，为不同电生理检查项目设置专门的报告首页、字体、排序、打印、签名等设置；支持对现有设备进行新增、修改与删除，实时管理医院心电电生理设备；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1629">
            <w:pPr>
              <w:rPr>
                <w:rFonts w:hint="eastAsia" w:ascii="宋体" w:hAnsi="宋体" w:eastAsia="宋体" w:cs="宋体"/>
                <w:b w:val="0"/>
                <w:bCs w:val="0"/>
                <w:i w:val="0"/>
                <w:iCs w:val="0"/>
                <w:color w:val="auto"/>
                <w:sz w:val="22"/>
                <w:szCs w:val="22"/>
                <w:u w:val="none"/>
              </w:rPr>
            </w:pPr>
          </w:p>
        </w:tc>
      </w:tr>
      <w:tr w14:paraId="1A54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96C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CE2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54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多功能床旁设备车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53E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规格：≥ 800*400*790-990（mm）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功能部件及设备技术参数要求：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1.主体结构为优质碳钢钣金、焊接成型，静电喷涂处理，耐久防锈抗腐蚀。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2.主体钢板厚度2-3mm。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3.桌面采用优质ABS原料生产无杂质、无异味。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4.采用双面、双轴承、刹车静音脚轮，移动灵活，使用稳定。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5.采用优质气弹簧，升降轻松。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6.组装简单易操作，省时省力(每箱均配安装工具)。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6D9F">
            <w:pPr>
              <w:rPr>
                <w:rFonts w:hint="eastAsia" w:ascii="宋体" w:hAnsi="宋体" w:eastAsia="宋体" w:cs="宋体"/>
                <w:b w:val="0"/>
                <w:bCs w:val="0"/>
                <w:i w:val="0"/>
                <w:iCs w:val="0"/>
                <w:color w:val="auto"/>
                <w:sz w:val="22"/>
                <w:szCs w:val="22"/>
                <w:u w:val="none"/>
              </w:rPr>
            </w:pPr>
          </w:p>
        </w:tc>
      </w:tr>
      <w:tr w14:paraId="5563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6E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542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3D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抢救车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1AF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1产品规格：≥650*400*800（mm）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2包装规格≥700*450*850（mm）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3产品毛重≥30kg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4产品净重≥28kg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5抽屉尺寸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面板尺寸：≥285*110mm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内空尺寸：≥300*250mm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6小门尺寸≥310*280mm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7大门尺寸≥440*280mm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8脚轮尺寸3寸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1.整车采用优质不锈钢管及不锈钢板焊接而成，外型美观，平整、端正、四角平行，表面无锋棱、毛刺等明显缺陷。各焊接部件打磨平整光滑，抛光均匀， 耐腐蚀，不生锈,车身坚实、美观大方、操作灵活方便。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2.车身分为上下两部分，上部大容积储物柜，内侧配置15个小药格。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3.下方左侧为单门带锁可存放物品，右侧上方为抽屉，抽屉滑轨为双节静音滑轨，下方配有单门带锁可存放污物桶。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4.脚轮采用优质 3 寸静音万向轮，四脚刹车。车轮内置高耐磨自润滑轴承，优质耐磨轮体，可有效防止头发等异物缠绕，运转灵活，长期使用无噪音、不生锈，稳定性好。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车体1 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抽屉1 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输液杆1 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扶手1 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脚轮4 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ABC8">
            <w:pPr>
              <w:rPr>
                <w:rFonts w:hint="eastAsia" w:ascii="宋体" w:hAnsi="宋体" w:eastAsia="宋体" w:cs="宋体"/>
                <w:b w:val="0"/>
                <w:bCs w:val="0"/>
                <w:i w:val="0"/>
                <w:iCs w:val="0"/>
                <w:color w:val="auto"/>
                <w:sz w:val="22"/>
                <w:szCs w:val="22"/>
                <w:u w:val="none"/>
              </w:rPr>
            </w:pPr>
          </w:p>
        </w:tc>
      </w:tr>
      <w:tr w14:paraId="4747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FE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F32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6E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便携氧气桶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151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公称工作压力≥15.0MPa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钢瓶材料≥37Mn壁厚3.5mm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重量≥12.5kg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高度≥80厘米</w:t>
            </w:r>
          </w:p>
          <w:p w14:paraId="7337368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直径≥15.2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容积≥10L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★配置含氧气吸入器，车架，氧桥，扳手</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4BE5">
            <w:pPr>
              <w:rPr>
                <w:rFonts w:hint="eastAsia" w:ascii="宋体" w:hAnsi="宋体" w:eastAsia="宋体" w:cs="宋体"/>
                <w:b w:val="0"/>
                <w:bCs w:val="0"/>
                <w:i w:val="0"/>
                <w:iCs w:val="0"/>
                <w:color w:val="auto"/>
                <w:sz w:val="22"/>
                <w:szCs w:val="22"/>
                <w:u w:val="none"/>
              </w:rPr>
            </w:pPr>
          </w:p>
        </w:tc>
      </w:tr>
      <w:tr w14:paraId="14AB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4A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465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4C0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中央监护系统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191E">
            <w:pPr>
              <w:keepNext w:val="0"/>
              <w:keepLines w:val="0"/>
              <w:widowControl/>
              <w:numPr>
                <w:ilvl w:val="0"/>
                <w:numId w:val="15"/>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配置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 选用品牌计算机主流机型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 CPU：提供符合 HL7 协议的数据输出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 USB接口≥3个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 可选择双屏显示，显示器≥24英寸彩色液晶显示器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 分辨率≥1280×1024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 具有标准显示和大字体显示两种功能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 中央站支持≥8床位接入，单屏同时显示≥30张床位信息。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 重点观察中可同屏显示≥4小时全部参数趋势数据，双屏时可显示≥12道波形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 双屏显示时，可以一屏显示基本床位信息，另一屏显示重点监护床位所有参数信息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三、网络性能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 传输速度≥100M/S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 传输距离≥100M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 具备密码保护功能，远程访问中央站上的数据，需输入密码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 具备SSL通信加密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 具备数据断网续传功能，断网48小时内，数据不会丢失</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 具备时间同步功能，可与医院时钟服务器连接，并对联网的监护仪进行时间同步。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 网络连接方式：要求同时接入有线、无线两种组网方式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 网络控制：中央站/工作站可以控制监护仪接收/解除/转移病人。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 中央站/工作站可以控制监护仪启动/停止NIBP测量。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 要求中央站/工作站可以控制监护仪报警暂停/复位，调整报警开关/级别/上下限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 中心监护系统可以控制监护仪进入待机模式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3.13 中央站/工作站支持备份或恢复中央站/工作站的配置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3.14 有双向通讯功能，在中央工作站可直接设置床边机信息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3.15 有打印机接口，打印内容包括：病人信息、药物计算结果、血液动力学计算结果、趋势图或趋势表、波形回顾、报警回顾、心排量回顾、NIBP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3.16 中央站/工作站可监测PICCO、IBP、主/旁流CO2等参数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四、软件功能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4.1 全息波形回顾：具有≥70小时的全息波形回顾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4.2 趋势图表回顾，历史病人数据存储，报警事件存储：≥230小时趋势图表回顾，≥20000个历史病人数据存储，≥700条报警事件存储，≥700条无创血压测量回顾、≥700条CO测量结果回顾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4.3 报警信息：具有全病理参数报警功能设置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 报警参数：具有心电、血压、血氧、心率、呼吸、体温、呼吸末二氧化碳参数上、下限报警等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4.5 具有声、光双重多级报警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4.6 计算功能：药物剂量计算、滴定表计算和血液动力学计算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4.7 中央监护系统可以通过软件方式接入院内信息系统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监护仪技术要求：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监护仪结构：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1.模块化插件式床边监护仪，主机、显示屏和插件槽一体化设计，主机插槽数≥6个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2.监护仪主机（非辅助插件箱）每个槽位均具备插件模块红外通讯接口以及金属硬件通讯接口（非供电接口），保证模块通讯速率及稳定性，提供监护仪主机插槽图片证明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3.≥15英寸彩色电容触摸屏，高分辨率≥1920×1080像素，≥10通道显示，显示屏亮度自动调节，屏幕支持手势滑动操作，支持穿戴医用防护手套操作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4.采用无风扇设计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5.可内置高能锂电池，供电时间≥2小时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6.配置≥4个USB接口，支持连接存储介质、鼠标、键盘、条码扫描枪等USB设备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7.基本功能模块支持心电，呼吸，心率，无创血压，血氧饱和度，脉搏，双通道体温和双通道有创血压的同时监测；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8.基本功能模块支持升级从监护仪拔出后作为一个独立的监护仪支持病人的无缝转移，插入监护仪操作插槽作为主机模块，具有独立操作显示屏，屏幕尺寸≥5英寸，内置锂电池供电≥4小时，无风扇设计；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9.ECG支持3/5导心电监测，可选配6/12导联心电监测。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10.支持房颤及室上性心律失常分析功能，如：室上性心动过速，SVCs/min等，标配支持≥27种实时心律失常分析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11.支持≥3通道心电波形同步分析，可进行多导心电分析，提供产品界面、手册截图或技术专利证名材料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12.提供ST段分析功能，适用于成人，小儿和新生儿，支持在专门的窗口中分组显示心脏前壁，下壁和侧壁的ST实时片段和参考片段；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13.支持RR呼吸率测量，测量范围：1～200rpm；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14.具有QT/QTc实时连续测量功能，提供QT，QTc和ΔQTc参数值的显示；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15.无创血压适用于成人，小儿和新生儿；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16.无创血压提供手动、自动间隔、连续、序列、整点五种测量模式；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17.提供辅助静脉穿刺功能；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18.NIBP 成人病人类型收缩压测量：25～290mmHg；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19.血氧监测适用于成人，小儿和新生儿；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20.提供灌注指数（PI）的监测；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21.配置指套式血氧探头，支持浸泡清洁与消毒，防水等级IPx7；</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22.支持双通道有创压IBP监测，支持升级多达6通道有创压监测；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23.有创压适用于成人，小儿和新生儿；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24.IBP有创压测量范围：-50～360mmHg；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25.提供肺动脉锲压（PAWP）的监测和PPV参数监测；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26.支持多达6道IBP波形叠加显示，满足临床对比查看和节约显示空间的需求；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27.支持升级主流、旁流、微流EtCO2监测模块，旁流EtCO2监测模块支持升级顺磁氧监测技术进行氧气监测，水槽要求易用快速更换；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28.支持升级麻醉深度BIS、肌松NMT模块或者连接肌松单机使用，须提供所售监护仪注册证证明具备该功能；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29.支持升级脑电图EEG，振幅整合脑电图aEEG监测模块，可提供4通道脑电图以及DSA致密频谱密度查看；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30.支持升级PiCCO技术监测功能模块；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31.支持升级模块，进行RM呼吸力学监测，提供呼吸力学参数参数指标，可监测包括： PIF峰值吸气流量，PEF峰值呼气流量， WOB病人呼吸功，NIF负吸入压力，RSBI浅呼吸指数；</w:t>
            </w:r>
          </w:p>
          <w:p w14:paraId="7FA85CF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32.支持升级模块，进行ICG参数监测，可无创监测患者连续心排量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33.支持升级模块，可与主流品牌的呼吸机、输注泵产品相连，实现呼吸机、输注泵设备的信息在监护仪上显示、存储、记录、打印或者用于参与计算。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34.具有图形化报警指示功能，看报警信息更容易</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35.具有报警升级功能，当参数报警经过一定的时间未被处理或伴发了其他报警，就会升级到更高一个级别</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36.具有特殊报警音，当监护仪在病人发生致命性参数报警时，发出特殊的报警音进行提示病人处于危急状态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37.支持根据病人的参数趋势变化，自动推送推荐报警限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38.具备参数组合报警功能，可对患者同时多个参数变化给出统一报警提示，预示病人不同生理系统状态改变，提供≥10个预设组合报警，并允许自定义≥10个组合报警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39.标配具备血液动力学，药物计算，氧合计算，通气计算和肾功能计算功能，并提供产品、手册截图证明材料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40.支持升级血流动力学软件工具，显示完整血流动力学参数，并以图形化界面显示病人心脏收缩力，外周血管阻力等状态，提供电子化血流动力学实验记录，重点参数蛛网图显示评估病人相关参数变化，需提供产品截图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41.支持≥100小时趋势表和趋势图回顾，最小分辨率1分钟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42.支持≥800条事件回顾。每条报警事件至少能够存储32秒三道相关波形，以及报警触发时所有测量参数值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43.具备≥40小时全息波形的存储与回顾功能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44.支持≥100小时ST波形片段的存储与回顾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45.患者离开科室，监护仪状态由接收患者到解除患者后，患者数据不删除，支持在监护仪回顾历史病人数据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46.工作模式提供：监护模式、待机模式、抢救模式，体外循环模式、插管模式，夜间模式、隐私模式、演示模式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47.支持与除颤监护仪，遥测，生命体征监测仪、呼吸机混合联通至中心监护系统，实现护士站的集中管理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产品设计与认证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48.产品通过国家III类注册，具备FDA认证，CE认证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49.产品设计使用年限≥9年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2644">
            <w:pPr>
              <w:rPr>
                <w:rFonts w:hint="eastAsia" w:ascii="宋体" w:hAnsi="宋体" w:eastAsia="宋体" w:cs="宋体"/>
                <w:b w:val="0"/>
                <w:bCs w:val="0"/>
                <w:i w:val="0"/>
                <w:iCs w:val="0"/>
                <w:color w:val="auto"/>
                <w:sz w:val="22"/>
                <w:szCs w:val="22"/>
                <w:u w:val="none"/>
              </w:rPr>
            </w:pPr>
          </w:p>
        </w:tc>
      </w:tr>
      <w:tr w14:paraId="3450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09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31</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150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内（儿）科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90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动态心电监测仪(HOLTER)</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0D3F">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2"/>
                <w:sz w:val="22"/>
                <w:szCs w:val="22"/>
                <w:lang w:val="en-US" w:eastAsia="zh-CN" w:bidi="ar-SA"/>
              </w:rPr>
              <w:t>（1）</w:t>
            </w:r>
            <w:r>
              <w:rPr>
                <w:rFonts w:hint="eastAsia" w:ascii="宋体" w:hAnsi="宋体" w:eastAsia="宋体" w:cs="宋体"/>
                <w:b w:val="0"/>
                <w:bCs w:val="0"/>
                <w:i w:val="0"/>
                <w:iCs w:val="0"/>
                <w:color w:val="auto"/>
                <w:kern w:val="0"/>
                <w:sz w:val="22"/>
                <w:szCs w:val="22"/>
                <w:u w:val="none"/>
                <w:lang w:val="en-US" w:eastAsia="zh-CN" w:bidi="ar"/>
              </w:rPr>
              <w:t>★设备需通过YY0505-2012 《医用电气设备 第1-2部分：安全通用要求 并列标准：电磁兼容要求和试验》标准检验。要求提供证明材料。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（2）重量（不含电池）：≤60克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（3）尺寸：70×55×20 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（4）电源：一节7号碱性电池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（5）记录时间：支持连续记录时间24小时以上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（6）导联：支持3导联、12导联心电数据记录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（7）输入阻抗：≥10MΩ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（8）共模抑制比：≥80dB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（9）转换精度：24位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（10）起博检测：支持硬件采集起搏信号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（11）屏幕显示：支持显示心电波形、记录时间、当前时间等信息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（12）支持导联脱落提醒功能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（13）断电续采：当电池断电或没电，换上电池可继续记录心电波形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（14）★支持记录呼吸、体位及运动功能：能记录呼吸波形，可显示仰位、附位、左侧位、右侧位、坐立位和运动曲线。要求提供证明材料。</w:t>
            </w:r>
          </w:p>
          <w:p w14:paraId="2A4A759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（15）每套配置：动态心电记录仪、12导联线；背包；数据线；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2.动态血压记录器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（1）检测原理：示波法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（2）监测时间：大于72小时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（3）加压方式：智能拟合加压，自动调整为适当的加压高度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（4）测量范围 收缩压：60-280mmHg     舒张压：40-160mmHg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（5）脉率：30-200bpm    压力显示范围：0-299mmHg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（6）测量精度 压力：±2mmHg 脉搏：±5%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（7）袖带：扇形袖带，规格:200-350mm 标配2个袖带布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（8）超压保护：压力超过约300mmHg时，电磁阀打开；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（9）急停保护：测量时，可按下S按钮时快速释放压力；</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（10）测量模式 自动测量模式：手动间隔、自动间隔、自动表测量。(10个测量间隔和测量频率)支持自动测量和手动插入测量。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（11）测量环境：+10℃-+40℃，低于85%RH（室内湿度）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（12）储存环境：-20℃-+55℃，低于95%RH（室内湿度）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（16）每套配置：动态血压记录仪、12导联线；背包；数据线；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D7D6">
            <w:pPr>
              <w:rPr>
                <w:rFonts w:hint="eastAsia" w:ascii="宋体" w:hAnsi="宋体" w:eastAsia="宋体" w:cs="宋体"/>
                <w:b w:val="0"/>
                <w:bCs w:val="0"/>
                <w:i w:val="0"/>
                <w:iCs w:val="0"/>
                <w:color w:val="auto"/>
                <w:sz w:val="22"/>
                <w:szCs w:val="22"/>
                <w:u w:val="none"/>
              </w:rPr>
            </w:pPr>
          </w:p>
        </w:tc>
      </w:tr>
      <w:tr w14:paraId="0D7E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75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157CA">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9A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动态血压监测仪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BE9E">
            <w:pPr>
              <w:keepNext w:val="0"/>
              <w:keepLines w:val="0"/>
              <w:widowControl/>
              <w:numPr>
                <w:ilvl w:val="0"/>
                <w:numId w:val="16"/>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ECG输入：12导同步采集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（2）★输入阻抗：≥122MΩ；提供医疗器械检测报告证明；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（3）输入回路电流：≤0.1μA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（4）噪声：≤15μVp-p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（5）★定标电压： ≤1mV±1%；提供医疗器械检测报告证明；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（6）★频率和脉冲响应范围：0.05-500Hz；提供医疗器械检测报告证明；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（7）共模抑制比：≥100dB；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（8）时间常数：≥3.2s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（9）★耐极化电压：≥±980mV；提供医疗器械检测报告证明；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（10）用于医疗机构描记和分析ECG（常规心电图）、VLP（心室晚电位）、HRV（心率变异）等。要求提供证明材料。</w:t>
            </w:r>
          </w:p>
          <w:p w14:paraId="7A9439A8">
            <w:pPr>
              <w:keepNext w:val="0"/>
              <w:keepLines w:val="0"/>
              <w:widowControl/>
              <w:numPr>
                <w:ilvl w:val="0"/>
                <w:numId w:val="16"/>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用于医疗机构描记和分析FCG（频谱心电图）、VCG（空间向量心电图）和TVCG（时间向量心电图）。要求提供含有FCG（频谱心电图）、VCG（空间向量心电图）和TVCG（时间向量心电图）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（12）★支持12导心电+心向量同步采集技术：可同时支持WILLSON与FRANK两种导联，实现一次采集12导心电图与心电向量的数据。提供“12导心电+心向量采集”的真实软件界面截图。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（13）具备波形预采功能，可用于捕捉偶发、一过性的心律失常事件，预采集时间可设置。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（14）支持起搏心电采集功能。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（15）具备自动测量、自动诊断功能，能够自动给出自动测量值与自动诊断结果。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（16）具备心电事件功能。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（17）支持阿托品、心得安试验检查模式，且具有专业报告模板；提供阿托品、心得安试验报告模板截图。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（18）具有标准的心电图诊断摸板报告助手，以辅助医生快速诊断心电图。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（19）支持与医院心电信息管理系统、HIS\EMR无缝集成，实现全院心电数据的统一存储与统一管理。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（20）每套配置：主机：I3 、16G、500G： 显示器：24寸；打印机；放大器；导联线：12导：胸导电极；肢导电极；</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1CBC">
            <w:pPr>
              <w:rPr>
                <w:rFonts w:hint="eastAsia" w:ascii="宋体" w:hAnsi="宋体" w:eastAsia="宋体" w:cs="宋体"/>
                <w:b w:val="0"/>
                <w:bCs w:val="0"/>
                <w:i w:val="0"/>
                <w:iCs w:val="0"/>
                <w:color w:val="auto"/>
                <w:sz w:val="22"/>
                <w:szCs w:val="22"/>
                <w:u w:val="none"/>
              </w:rPr>
            </w:pPr>
          </w:p>
        </w:tc>
      </w:tr>
      <w:tr w14:paraId="2F81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4E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44A6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E8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儿童输液床</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53A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一、产品规格：1890*900*630/1270（mm）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二、床体尺寸：床板 1770*700（长*宽）1.2mm 冷轧钢板表面喷塑处理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功能：背部倾斜度 75 °±5 ° , 可灵活调节背部体位；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腿部调节：45 °±5 ° 可根据个人舒适度调节；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四个五寸塑包静音轮，刹车灵活，安全可靠；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下置一个鞋盆架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可折叠式伸缩摇把，高精度丝杆，双向到位保护，操作轻松。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护栏：铝合金护栏美观牢固、四个手握式开关、气弹簧助力升降，操作轻便，并可分三级调节护栏高度。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床体涂装：床体：采用优质冷轧板材和管材焊接而成，床架采用 30*60*1.2mm 优质冷轧钢管。全床体床面经处理后防静电抗菌树脂粉 末喷涂，床体焊接采用接触面全焊，保证焊接强度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产品结构组成：由床体，床面板，床头尾板，护栏等组成。可另配输液架，床垫等配件。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儿童病床整床钢制喷塑结构，床面板为冷板拉伸条形设计，透气性强， 能有效防止褥疮。床面板采用钣金连接件连接，组装更方便。床头尾板采用ABS 材料或可选用PP 材料，4 个脚轮都带独立刹车。 用户可另配输液架，床垫等配件，使用方便。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床面板：采用优质冷轧钢板一次拉伸成型，便于透气。床面美观，易于清理。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床头床尾板：采用钢管与 ABS 塑料注塑而成，颜色为粉红色，坚固耐用，清洗方便。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床体1张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护栏1付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125 塑包轮轮4个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床垫1张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输液杆1根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5F7C">
            <w:pPr>
              <w:rPr>
                <w:rFonts w:hint="eastAsia" w:ascii="宋体" w:hAnsi="宋体" w:eastAsia="宋体" w:cs="宋体"/>
                <w:b w:val="0"/>
                <w:bCs w:val="0"/>
                <w:i w:val="0"/>
                <w:iCs w:val="0"/>
                <w:color w:val="auto"/>
                <w:sz w:val="22"/>
                <w:szCs w:val="22"/>
                <w:u w:val="none"/>
              </w:rPr>
            </w:pPr>
          </w:p>
        </w:tc>
      </w:tr>
      <w:tr w14:paraId="3900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F0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34</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D796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智慧疫苗系统(此项为一套报价)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C2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智慧疫苗接种箱2台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477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该冷藏箱有效容积≥61L；标配8格抽屉；配备10.1寸触屏，可进行权限管理及温度冷链监控；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制冷系统：风冷系统，保证箱内温度恒定控制在2℃~8℃范围内；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采用知名品牌变频压缩机，HC制冷剂，环保节能；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多重报警方式：高低温报警、传感器故障报警、远程报警、断电报警；报警方式：声光报警；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外置多种设备接口（RS232/USB/HDMI等），可选配接种本打印机；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产品配置指纹模块，可以实现人员权限管理；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产品配置扫描模块，可以实现对一维码、二维码的扫码功能；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冷藏箱具有医疗器械注册证, 提供相应的检测报告；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配套智能冰箱接种系统V2.0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该软件为设备的嵌入式软件，集成叫号、人与疫苗识别、疫苗出入库管理和冷链监控等功能10.1寸显控UI，强制接种时“三查七对”，实现接种信息全程监管可追溯。帮助用户高效管理、使用疫苗。</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825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智慧疫苗接种系统包含：自动终端机（排队取号机1台）、自动终端机（留观机1台）、接种配套箱2台及配套软件、冷藏箱1台及配套软件、数字化门诊全流程网络信息管理系统及配套设施1套、签核一体机（2台）及配套的家长智能签核管理系统（2套）、显示终端一体机（分辨率≥3840*2160液晶电视2台、显示终端一体机（分辨率≥1360*768液晶电视4台），含装修费用。</w:t>
            </w:r>
          </w:p>
        </w:tc>
      </w:tr>
      <w:tr w14:paraId="1870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85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0260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D8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智慧疫苗保存冷藏1台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AA7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1.有效容积:冷藏室有效容积≥506L；冷冻室有效容积≥10L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2.显示：采用微电脑控制系统，数字显示双温区温度，双温区显示精度1℃。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3.冷藏区温度恒定在2～8℃范围，科学风道设计，风冷循环，箱内温度均匀性为±3°C。</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4.多种故障报警（高低温报警、传感器报警、电池电量低报警、开门报警、断电报警）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两种报警方式（声音蜂鸣报警、灯光闪烁报警），内置蓄电池，断电后可持续显示箱内温度及声光报警48小时；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5.冷凝水汇集后自动蒸发，免除人工处理冷凝水的烦恼；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6.配备脚轮，灵活，可移动、可通过底脚固定。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7.风机：高效节能，低噪音，使用寿命长；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8.材料：箱体采用喷粉冷轧钢板；内胆PS真空吸附内胆，有效防菌防腐蚀；</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9.发泡门：发泡层厚度为40mm，保温性能优，具有自关门功能；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八层三段式抽屉设计：标配8个抽屉，分为三段可调，支持先进先出方式，方便用户拿取疫苗；抽屉带有无限分隔功能，可根据存放物品的规格合理调整间隙，充分利用空间，本着先入先出原则，便于区分存储疫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11.门体双锁结构，防止门体随意开启，保证存储物品安全。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12.后备电池设计，断电后仍可实时显示箱内温度，时间可达48小时。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13.冷链监控功能：疫苗软件系统自带冷链监控功能，可监控冷冻和冷藏两个温区的实时温度；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14.冷冻区配有一个冷冻室，冷冻温度范围为-25±5℃，用于存储二价脊灰疫苗。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15.带有疫苗管理系统VIMS，实现疫苗信息化管理和人员权限管理；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16.出入库扫描采用无线扫码枪，可进行远程操作。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17.具有远程报警功能，可连接报警器到其他房间实现报警功能；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配套智苗冰箱管理软件V1.0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1.实现疫苗追溯码扫码入库、疫苗扫码出库、扫码疫苗盘点、库存转移、库存查询等功能；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2.支持数据与省疫苗追溯系统实时同步，扫码数据实时回传省疫苗追溯系统，智能冰箱与省疫苗追溯系统数据一致，智能冰箱可实时查看本单位所有疫苗库存。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3.与省疫苗追溯系统统一权限管理，使用相同的账号密码登录，自动锁屏，未授权用户无法查看、使用疫苗，保障疫苗存储安全使用。</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1376F">
            <w:pPr>
              <w:jc w:val="center"/>
              <w:rPr>
                <w:rFonts w:hint="eastAsia" w:ascii="宋体" w:hAnsi="宋体" w:eastAsia="宋体" w:cs="宋体"/>
                <w:b w:val="0"/>
                <w:bCs w:val="0"/>
                <w:i w:val="0"/>
                <w:iCs w:val="0"/>
                <w:color w:val="auto"/>
                <w:sz w:val="22"/>
                <w:szCs w:val="22"/>
                <w:u w:val="none"/>
              </w:rPr>
            </w:pPr>
          </w:p>
        </w:tc>
      </w:tr>
      <w:tr w14:paraId="4C87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EC5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46DAA">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E8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数字化门诊全流程网络信息管理系统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0282">
            <w:pPr>
              <w:keepNext w:val="0"/>
              <w:keepLines w:val="0"/>
              <w:widowControl/>
              <w:suppressLineNumbers w:val="0"/>
              <w:jc w:val="left"/>
              <w:textAlignment w:val="center"/>
              <w:rPr>
                <w:rStyle w:val="61"/>
                <w:b w:val="0"/>
                <w:bCs w:val="0"/>
                <w:color w:val="auto"/>
                <w:lang w:val="en-US" w:eastAsia="zh-CN" w:bidi="ar"/>
              </w:rPr>
            </w:pP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包括：</w:t>
            </w:r>
            <w:r>
              <w:rPr>
                <w:rStyle w:val="60"/>
                <w:b w:val="0"/>
                <w:bCs w:val="0"/>
                <w:color w:val="auto"/>
                <w:lang w:val="en-US" w:eastAsia="zh-CN" w:bidi="ar"/>
              </w:rPr>
              <w:t>数字化预防接种门诊全流程信息管理系统接口软件,</w:t>
            </w:r>
            <w:r>
              <w:rPr>
                <w:rStyle w:val="61"/>
                <w:b w:val="0"/>
                <w:bCs w:val="0"/>
                <w:color w:val="auto"/>
                <w:lang w:val="en-US" w:eastAsia="zh-CN" w:bidi="ar"/>
              </w:rPr>
              <w:br w:type="textWrapping"/>
            </w:r>
            <w:r>
              <w:rPr>
                <w:rStyle w:val="61"/>
                <w:b w:val="0"/>
                <w:bCs w:val="0"/>
                <w:color w:val="auto"/>
                <w:lang w:val="en-US" w:eastAsia="zh-CN" w:bidi="ar"/>
              </w:rPr>
              <w:t>与《儿童预防接种信息管理系统》对接；</w:t>
            </w:r>
            <w:r>
              <w:rPr>
                <w:rStyle w:val="61"/>
                <w:b w:val="0"/>
                <w:bCs w:val="0"/>
                <w:color w:val="auto"/>
                <w:lang w:val="en-US" w:eastAsia="zh-CN" w:bidi="ar"/>
              </w:rPr>
              <w:br w:type="textWrapping"/>
            </w:r>
            <w:r>
              <w:rPr>
                <w:rStyle w:val="61"/>
                <w:b w:val="0"/>
                <w:bCs w:val="0"/>
                <w:color w:val="auto"/>
                <w:lang w:val="en-US" w:eastAsia="zh-CN" w:bidi="ar"/>
              </w:rPr>
              <w:t>排队叫号显示管理控制系统，</w:t>
            </w:r>
            <w:r>
              <w:rPr>
                <w:rStyle w:val="61"/>
                <w:b w:val="0"/>
                <w:bCs w:val="0"/>
                <w:color w:val="auto"/>
                <w:lang w:val="en-US" w:eastAsia="zh-CN" w:bidi="ar"/>
              </w:rPr>
              <w:br w:type="textWrapping"/>
            </w:r>
            <w:r>
              <w:rPr>
                <w:rStyle w:val="61"/>
                <w:b w:val="0"/>
                <w:bCs w:val="0"/>
                <w:color w:val="auto"/>
                <w:lang w:val="en-US" w:eastAsia="zh-CN" w:bidi="ar"/>
              </w:rPr>
              <w:t>虚拟呼叫和语音播报控制系统；</w:t>
            </w:r>
            <w:r>
              <w:rPr>
                <w:rStyle w:val="61"/>
                <w:b w:val="0"/>
                <w:bCs w:val="0"/>
                <w:color w:val="auto"/>
                <w:lang w:val="en-US" w:eastAsia="zh-CN" w:bidi="ar"/>
              </w:rPr>
              <w:br w:type="textWrapping"/>
            </w:r>
            <w:r>
              <w:rPr>
                <w:rStyle w:val="61"/>
                <w:b w:val="0"/>
                <w:bCs w:val="0"/>
                <w:color w:val="auto"/>
                <w:lang w:val="en-US" w:eastAsia="zh-CN" w:bidi="ar"/>
              </w:rPr>
              <w:t>虚拟呼叫和语音播报控制系统，安装于同一内网用户操作电脑上，实现呼叫和语音播报；</w:t>
            </w:r>
            <w:r>
              <w:rPr>
                <w:rStyle w:val="61"/>
                <w:b w:val="0"/>
                <w:bCs w:val="0"/>
                <w:color w:val="auto"/>
                <w:lang w:val="en-US" w:eastAsia="zh-CN" w:bidi="ar"/>
              </w:rPr>
              <w:br w:type="textWrapping"/>
            </w:r>
            <w:r>
              <w:rPr>
                <w:rStyle w:val="61"/>
                <w:b w:val="0"/>
                <w:bCs w:val="0"/>
                <w:color w:val="auto"/>
                <w:lang w:val="en-US" w:eastAsia="zh-CN" w:bidi="ar"/>
              </w:rPr>
              <w:t>多媒体信息发布系统，留观大屏可以播放视频和留观信息。</w:t>
            </w:r>
          </w:p>
          <w:p w14:paraId="0E8C2AD6">
            <w:pPr>
              <w:keepNext w:val="0"/>
              <w:keepLines w:val="0"/>
              <w:widowControl/>
              <w:suppressLineNumbers w:val="0"/>
              <w:jc w:val="left"/>
              <w:textAlignment w:val="center"/>
              <w:rPr>
                <w:rStyle w:val="61"/>
                <w:rFonts w:hint="eastAsia" w:eastAsia="宋体"/>
                <w:b w:val="0"/>
                <w:bCs w:val="0"/>
                <w:color w:val="auto"/>
                <w:lang w:val="en-US" w:eastAsia="zh-CN" w:bidi="ar"/>
              </w:rPr>
            </w:pPr>
            <w:r>
              <w:rPr>
                <w:rStyle w:val="61"/>
                <w:rFonts w:hint="eastAsia" w:eastAsia="宋体"/>
                <w:b w:val="0"/>
                <w:bCs w:val="0"/>
                <w:color w:val="auto"/>
                <w:lang w:val="en-US" w:eastAsia="zh-CN" w:bidi="ar"/>
              </w:rPr>
              <w:t>数字化门诊与智能接种冰箱数据对接接口；</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7EBE">
            <w:pPr>
              <w:jc w:val="center"/>
              <w:rPr>
                <w:rFonts w:hint="eastAsia" w:ascii="宋体" w:hAnsi="宋体" w:eastAsia="宋体" w:cs="宋体"/>
                <w:b w:val="0"/>
                <w:bCs w:val="0"/>
                <w:i w:val="0"/>
                <w:iCs w:val="0"/>
                <w:color w:val="auto"/>
                <w:sz w:val="22"/>
                <w:szCs w:val="22"/>
                <w:u w:val="none"/>
              </w:rPr>
            </w:pPr>
          </w:p>
        </w:tc>
      </w:tr>
      <w:tr w14:paraId="6FFC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CA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2AF66">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0B0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自动终端机（排队取号机1台）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2B7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32英寸液晶显示屏，16：9屏幕比例，分辨率≥1920* 1080；CPU：≥Intel I5；运行内存：≥4GB；存储空间：≥128GB；支持win7正版操作系统;使用RJ45产品联网模式，配置的扫描模块支持对一维码、二维码的扫码取号。配置热敏打印机模块，支持打印取号凭证，高速航号票打印、多种身份识别方式、高清触摸显示大屏，内嵌数字化门诊核心枢纽软件，全面协同工作。</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5AC71">
            <w:pPr>
              <w:jc w:val="center"/>
              <w:rPr>
                <w:rFonts w:hint="eastAsia" w:ascii="宋体" w:hAnsi="宋体" w:eastAsia="宋体" w:cs="宋体"/>
                <w:b w:val="0"/>
                <w:bCs w:val="0"/>
                <w:i w:val="0"/>
                <w:iCs w:val="0"/>
                <w:color w:val="auto"/>
                <w:sz w:val="22"/>
                <w:szCs w:val="22"/>
                <w:u w:val="none"/>
              </w:rPr>
            </w:pPr>
          </w:p>
        </w:tc>
      </w:tr>
      <w:tr w14:paraId="7BCE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DC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C96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36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自动终端机（留观机1台）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A1F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32英寸液晶显示屏，16：9屏幕比例，分辨率≥1920* 1080；CPU：≥Intel I5；运行内存：≥4GB；存储空间：≥128GB；支持win7正版操作系统; 配置的扫描模块支持对一维码、二维码的扫描读取；使用支持打印留观凭证的热敏打印机模块，采用RJ45的产品联网模式。内嵌数字化门诊核心枢纽软件，全面协同工作。</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A409C">
            <w:pPr>
              <w:jc w:val="center"/>
              <w:rPr>
                <w:rFonts w:hint="eastAsia" w:ascii="宋体" w:hAnsi="宋体" w:eastAsia="宋体" w:cs="宋体"/>
                <w:b w:val="0"/>
                <w:bCs w:val="0"/>
                <w:i w:val="0"/>
                <w:iCs w:val="0"/>
                <w:color w:val="auto"/>
                <w:sz w:val="22"/>
                <w:szCs w:val="22"/>
                <w:u w:val="none"/>
              </w:rPr>
            </w:pPr>
          </w:p>
        </w:tc>
      </w:tr>
      <w:tr w14:paraId="59B6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55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0CEB">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F4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签核一体机（2台）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9D0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1.1.处理器：采用ARM六核64位处理器，主频高达1.8GHz；基于big.LITTLE大小核架构，双核Cortex-A72（大核）+四核Cortex-A53（小核）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2.2.使用Android 7.1系统，4GB+16GB存储空间，BluetoothV5.0，配备电源、USB、网口以及电磁笔等外置接口。WIFI支持IEEE 802.11a/b/g/n/ac  2.4G/5G双频。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3.3.显示屏：11.6英寸，分辨率≥1920x1080；亮度200cd/m²。</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4.4.操作端触摸屏：采用电容式的触控方式，可使用手指或电磁笔的书写方式。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5.5.电容指纹仪：电容式传感器，支持公安部认证，拒真率＜1％；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6.拍人脸摄像头：74°视场角；有效像素≥2592*1944；配备OV5648   1/4＂ CMOS感光芯片。</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C121">
            <w:pPr>
              <w:jc w:val="center"/>
              <w:rPr>
                <w:rFonts w:hint="eastAsia" w:ascii="宋体" w:hAnsi="宋体" w:eastAsia="宋体" w:cs="宋体"/>
                <w:b w:val="0"/>
                <w:bCs w:val="0"/>
                <w:i w:val="0"/>
                <w:iCs w:val="0"/>
                <w:color w:val="auto"/>
                <w:sz w:val="22"/>
                <w:szCs w:val="22"/>
                <w:u w:val="none"/>
              </w:rPr>
            </w:pPr>
          </w:p>
        </w:tc>
      </w:tr>
      <w:tr w14:paraId="27C3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4C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AB906">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87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家长智能签核管理系统（2套）</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ACF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软件: 与《儿童预防接种信息管理系统》对接，可提供健康问询、疫苗登记等电子核签功能。</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00309">
            <w:pPr>
              <w:jc w:val="center"/>
              <w:rPr>
                <w:rFonts w:hint="eastAsia" w:ascii="宋体" w:hAnsi="宋体" w:eastAsia="宋体" w:cs="宋体"/>
                <w:b w:val="0"/>
                <w:bCs w:val="0"/>
                <w:i w:val="0"/>
                <w:iCs w:val="0"/>
                <w:color w:val="auto"/>
                <w:sz w:val="22"/>
                <w:szCs w:val="22"/>
                <w:u w:val="none"/>
              </w:rPr>
            </w:pPr>
          </w:p>
        </w:tc>
      </w:tr>
      <w:tr w14:paraId="5EFB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82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AE3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BD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显示终端一体机（液晶电视2台）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6F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使用操作系统Android 9；分辨率≥3840*2160；可视面积1209.6(H) × 680.4(V)mm；四核A55 1.9Ghz,GPU*2核800 MHz；ARM内部缓存容量≥2G/16G；具备USB多媒体播放、流媒体网络信发、多台PD数据克隆功能等。</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11F44">
            <w:pPr>
              <w:jc w:val="center"/>
              <w:rPr>
                <w:rFonts w:hint="eastAsia" w:ascii="宋体" w:hAnsi="宋体" w:eastAsia="宋体" w:cs="宋体"/>
                <w:b w:val="0"/>
                <w:bCs w:val="0"/>
                <w:i w:val="0"/>
                <w:iCs w:val="0"/>
                <w:color w:val="auto"/>
                <w:sz w:val="22"/>
                <w:szCs w:val="22"/>
                <w:u w:val="none"/>
              </w:rPr>
            </w:pPr>
          </w:p>
        </w:tc>
      </w:tr>
      <w:tr w14:paraId="72F1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A7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3224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13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显示终端一体机（液晶电视4台）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553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使用操作系统Android 9；分辨率≥1360*768  ；可视面积698.4(H) X 392.85(V)mm；CPU*4核1GHz GPU*2核 500Mhz；ARM内部缓存容量≥1G/8G；具备USB多媒体播放、流媒体网络信发、多台PD数据克隆功能等。</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0D03D">
            <w:pPr>
              <w:jc w:val="center"/>
              <w:rPr>
                <w:rFonts w:hint="eastAsia" w:ascii="宋体" w:hAnsi="宋体" w:eastAsia="宋体" w:cs="宋体"/>
                <w:b w:val="0"/>
                <w:bCs w:val="0"/>
                <w:i w:val="0"/>
                <w:iCs w:val="0"/>
                <w:color w:val="auto"/>
                <w:sz w:val="22"/>
                <w:szCs w:val="22"/>
                <w:u w:val="none"/>
              </w:rPr>
            </w:pPr>
          </w:p>
        </w:tc>
      </w:tr>
    </w:tbl>
    <w:p w14:paraId="08A76259">
      <w:pPr>
        <w:rPr>
          <w:rFonts w:hint="eastAsia"/>
          <w:lang w:val="en-US" w:eastAsia="zh-CN"/>
        </w:rPr>
      </w:pPr>
      <w:r>
        <w:rPr>
          <w:rFonts w:hint="eastAsia"/>
          <w:lang w:val="en-US" w:eastAsia="zh-CN"/>
        </w:rPr>
        <w:t xml:space="preserve"> </w:t>
      </w:r>
    </w:p>
    <w:p w14:paraId="36AD6E69">
      <w:pPr>
        <w:rPr>
          <w:rFonts w:hint="eastAsia"/>
          <w:lang w:val="en-US" w:eastAsia="zh-CN"/>
        </w:rPr>
      </w:pPr>
    </w:p>
    <w:p w14:paraId="2269EAD8">
      <w:pPr>
        <w:rPr>
          <w:rFonts w:hint="eastAsia" w:ascii="宋体" w:hAnsi="宋体" w:eastAsia="宋体" w:cs="宋体"/>
          <w:b/>
          <w:bCs/>
          <w:i w:val="0"/>
          <w:iCs w:val="0"/>
          <w:color w:val="000000"/>
          <w:kern w:val="0"/>
          <w:sz w:val="32"/>
          <w:szCs w:val="32"/>
          <w:u w:val="none"/>
          <w:lang w:val="en-US" w:eastAsia="zh-CN" w:bidi="ar"/>
        </w:rPr>
      </w:pPr>
      <w:r>
        <w:rPr>
          <w:rFonts w:hint="eastAsia"/>
          <w:b/>
          <w:bCs/>
          <w:sz w:val="28"/>
          <w:szCs w:val="36"/>
          <w:lang w:val="en-US" w:eastAsia="zh-CN"/>
        </w:rPr>
        <w:t>核心产品：监护仪、十二导联远程心电图机、</w:t>
      </w:r>
      <w:r>
        <w:rPr>
          <w:rFonts w:hint="eastAsia" w:ascii="宋体" w:hAnsi="宋体" w:eastAsia="宋体" w:cs="宋体"/>
          <w:b/>
          <w:bCs/>
          <w:i w:val="0"/>
          <w:iCs w:val="0"/>
          <w:color w:val="000000"/>
          <w:kern w:val="0"/>
          <w:sz w:val="32"/>
          <w:szCs w:val="32"/>
          <w:u w:val="none"/>
          <w:lang w:val="en-US" w:eastAsia="zh-CN" w:bidi="ar"/>
        </w:rPr>
        <w:t>便携式超声诊断仪、远程医疗会诊管理系统、智慧疫苗系统、中央监护系统</w:t>
      </w:r>
    </w:p>
    <w:p w14:paraId="0894B786">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p w14:paraId="0F4CAEF5">
      <w:pPr>
        <w:rPr>
          <w:rFonts w:hint="eastAsia" w:ascii="宋体" w:hAnsi="宋体" w:eastAsia="宋体" w:cs="宋体"/>
          <w:i w:val="0"/>
          <w:iCs w:val="0"/>
          <w:color w:val="000000"/>
          <w:kern w:val="0"/>
          <w:sz w:val="22"/>
          <w:szCs w:val="22"/>
          <w:u w:val="none"/>
          <w:lang w:val="en-US" w:eastAsia="zh-CN" w:bidi="ar"/>
        </w:rPr>
        <w:sectPr>
          <w:pgSz w:w="16838" w:h="11906" w:orient="landscape"/>
          <w:pgMar w:top="1134" w:right="1440" w:bottom="1134" w:left="1440" w:header="851" w:footer="992" w:gutter="0"/>
          <w:cols w:space="425" w:num="1"/>
          <w:docGrid w:type="lines" w:linePitch="312" w:charSpace="0"/>
        </w:sectPr>
      </w:pPr>
    </w:p>
    <w:p w14:paraId="310357E3">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阿图什市基层医疗机构改造提升项目设备采购清单（2包）</w:t>
      </w: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7"/>
        <w:gridCol w:w="1065"/>
        <w:gridCol w:w="600"/>
        <w:gridCol w:w="675"/>
        <w:gridCol w:w="675"/>
        <w:gridCol w:w="900"/>
        <w:gridCol w:w="1013"/>
        <w:gridCol w:w="937"/>
        <w:gridCol w:w="1035"/>
        <w:gridCol w:w="656"/>
      </w:tblGrid>
      <w:tr w14:paraId="6BE3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F270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14:paraId="19500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7378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2ED9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阿湖</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360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阿扎克</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D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格达良</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CB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吐古买提</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DC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小计/台套</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67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5F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E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C44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C58A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D3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康复医疗科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B699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7AEC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AA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53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B6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31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4154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B333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A9B75">
            <w:pPr>
              <w:jc w:val="center"/>
              <w:rPr>
                <w:rFonts w:hint="eastAsia" w:ascii="宋体" w:hAnsi="宋体" w:eastAsia="宋体" w:cs="宋体"/>
                <w:i w:val="0"/>
                <w:iCs w:val="0"/>
                <w:color w:val="000000"/>
                <w:sz w:val="22"/>
                <w:szCs w:val="22"/>
                <w:u w:val="none"/>
              </w:rPr>
            </w:pPr>
          </w:p>
        </w:tc>
      </w:tr>
      <w:tr w14:paraId="5491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F665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CB19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006A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训练用扶梯</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D2F3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53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0C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EA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4D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AA81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CC46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32E1D">
            <w:pPr>
              <w:jc w:val="center"/>
              <w:rPr>
                <w:rFonts w:hint="eastAsia" w:ascii="宋体" w:hAnsi="宋体" w:eastAsia="宋体" w:cs="宋体"/>
                <w:i w:val="0"/>
                <w:iCs w:val="0"/>
                <w:color w:val="000000"/>
                <w:sz w:val="22"/>
                <w:szCs w:val="22"/>
                <w:u w:val="none"/>
              </w:rPr>
            </w:pPr>
          </w:p>
        </w:tc>
      </w:tr>
      <w:tr w14:paraId="147B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C0B8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41A3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77F7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5869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F3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C6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5B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D5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84AA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F74AE">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52379">
            <w:pPr>
              <w:jc w:val="center"/>
              <w:rPr>
                <w:rFonts w:hint="eastAsia" w:ascii="宋体" w:hAnsi="宋体" w:eastAsia="宋体" w:cs="宋体"/>
                <w:i w:val="0"/>
                <w:iCs w:val="0"/>
                <w:color w:val="000000"/>
                <w:sz w:val="22"/>
                <w:szCs w:val="22"/>
                <w:u w:val="none"/>
              </w:rPr>
            </w:pPr>
          </w:p>
        </w:tc>
      </w:tr>
      <w:tr w14:paraId="1CF9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23F2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6BFA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5398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653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53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93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CC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2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F9DF2">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AF32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FE9C3">
            <w:pPr>
              <w:jc w:val="center"/>
              <w:rPr>
                <w:rFonts w:hint="eastAsia" w:ascii="宋体" w:hAnsi="宋体" w:eastAsia="宋体" w:cs="宋体"/>
                <w:i w:val="0"/>
                <w:iCs w:val="0"/>
                <w:color w:val="000000"/>
                <w:sz w:val="22"/>
                <w:szCs w:val="22"/>
                <w:u w:val="none"/>
              </w:rPr>
            </w:pPr>
          </w:p>
        </w:tc>
      </w:tr>
      <w:tr w14:paraId="30ED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6313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34A9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4C27D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脉冲治疗仪(中频脉冲治疗仪)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B4BC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AC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64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E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1B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1CF5D">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EB71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1A6B3">
            <w:pPr>
              <w:jc w:val="center"/>
              <w:rPr>
                <w:rFonts w:hint="eastAsia" w:ascii="宋体" w:hAnsi="宋体" w:eastAsia="宋体" w:cs="宋体"/>
                <w:i w:val="0"/>
                <w:iCs w:val="0"/>
                <w:color w:val="000000"/>
                <w:sz w:val="22"/>
                <w:szCs w:val="22"/>
                <w:u w:val="none"/>
              </w:rPr>
            </w:pPr>
          </w:p>
        </w:tc>
      </w:tr>
      <w:tr w14:paraId="6E1B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570F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DBA3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2B2C8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脉冲治疗仪(低频脉冲治疗仪)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238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D8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EC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AC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36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CB31F">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0580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523AD">
            <w:pPr>
              <w:jc w:val="center"/>
              <w:rPr>
                <w:rFonts w:hint="eastAsia" w:ascii="宋体" w:hAnsi="宋体" w:eastAsia="宋体" w:cs="宋体"/>
                <w:i w:val="0"/>
                <w:iCs w:val="0"/>
                <w:color w:val="000000"/>
                <w:sz w:val="22"/>
                <w:szCs w:val="22"/>
                <w:u w:val="none"/>
              </w:rPr>
            </w:pPr>
          </w:p>
        </w:tc>
      </w:tr>
      <w:tr w14:paraId="2414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7E15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1A98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8AB6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4713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9B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89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CF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11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0EDEB">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A61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08014">
            <w:pPr>
              <w:jc w:val="center"/>
              <w:rPr>
                <w:rFonts w:hint="eastAsia" w:ascii="宋体" w:hAnsi="宋体" w:eastAsia="宋体" w:cs="宋体"/>
                <w:i w:val="0"/>
                <w:iCs w:val="0"/>
                <w:color w:val="000000"/>
                <w:sz w:val="22"/>
                <w:szCs w:val="22"/>
                <w:u w:val="none"/>
              </w:rPr>
            </w:pPr>
          </w:p>
        </w:tc>
      </w:tr>
      <w:tr w14:paraId="3D57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F05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AB42C">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AC76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0FEC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1C3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33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FC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EE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7BF44">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0244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B115D">
            <w:pPr>
              <w:jc w:val="center"/>
              <w:rPr>
                <w:rFonts w:hint="eastAsia" w:ascii="宋体" w:hAnsi="宋体" w:eastAsia="宋体" w:cs="宋体"/>
                <w:i w:val="0"/>
                <w:iCs w:val="0"/>
                <w:color w:val="000000"/>
                <w:sz w:val="22"/>
                <w:szCs w:val="22"/>
                <w:u w:val="none"/>
              </w:rPr>
            </w:pPr>
          </w:p>
        </w:tc>
      </w:tr>
      <w:tr w14:paraId="01D9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CEC8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90464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B4F0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推拿治疗床</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C431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2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4E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0C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E374A">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0675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4423E">
            <w:pPr>
              <w:jc w:val="center"/>
              <w:rPr>
                <w:rFonts w:hint="eastAsia" w:ascii="宋体" w:hAnsi="宋体" w:eastAsia="宋体" w:cs="宋体"/>
                <w:i w:val="0"/>
                <w:iCs w:val="0"/>
                <w:color w:val="000000"/>
                <w:sz w:val="22"/>
                <w:szCs w:val="22"/>
                <w:u w:val="none"/>
              </w:rPr>
            </w:pPr>
          </w:p>
        </w:tc>
      </w:tr>
      <w:tr w14:paraId="625E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B692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E3D7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9D68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康复训练用平行杠</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56DA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76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0B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FE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C6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3F00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8A0E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26A31">
            <w:pPr>
              <w:jc w:val="center"/>
              <w:rPr>
                <w:rFonts w:hint="eastAsia" w:ascii="宋体" w:hAnsi="宋体" w:eastAsia="宋体" w:cs="宋体"/>
                <w:i w:val="0"/>
                <w:iCs w:val="0"/>
                <w:color w:val="000000"/>
                <w:sz w:val="22"/>
                <w:szCs w:val="22"/>
                <w:u w:val="none"/>
              </w:rPr>
            </w:pPr>
          </w:p>
        </w:tc>
      </w:tr>
      <w:tr w14:paraId="51AC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7054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641B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2C0E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康复训练用阶梯</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C387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E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F1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0A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B3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4C9E5">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9ACD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A6D87">
            <w:pPr>
              <w:jc w:val="center"/>
              <w:rPr>
                <w:rFonts w:hint="eastAsia" w:ascii="宋体" w:hAnsi="宋体" w:eastAsia="宋体" w:cs="宋体"/>
                <w:i w:val="0"/>
                <w:iCs w:val="0"/>
                <w:color w:val="000000"/>
                <w:sz w:val="22"/>
                <w:szCs w:val="22"/>
                <w:u w:val="none"/>
              </w:rPr>
            </w:pPr>
          </w:p>
        </w:tc>
      </w:tr>
      <w:tr w14:paraId="0989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135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FE89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FCD2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康复训练床</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97BA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50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8A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62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D2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29D21">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A238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FF449">
            <w:pPr>
              <w:jc w:val="center"/>
              <w:rPr>
                <w:rFonts w:hint="eastAsia" w:ascii="宋体" w:hAnsi="宋体" w:eastAsia="宋体" w:cs="宋体"/>
                <w:i w:val="0"/>
                <w:iCs w:val="0"/>
                <w:color w:val="000000"/>
                <w:sz w:val="22"/>
                <w:szCs w:val="22"/>
                <w:u w:val="none"/>
              </w:rPr>
            </w:pPr>
          </w:p>
        </w:tc>
      </w:tr>
      <w:tr w14:paraId="5398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C2FE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C3DE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C1EF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中医药品柜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CB78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34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5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F3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8A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240A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CCAA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AAA71">
            <w:pPr>
              <w:jc w:val="center"/>
              <w:rPr>
                <w:rFonts w:hint="eastAsia" w:ascii="宋体" w:hAnsi="宋体" w:eastAsia="宋体" w:cs="宋体"/>
                <w:i w:val="0"/>
                <w:iCs w:val="0"/>
                <w:color w:val="000000"/>
                <w:sz w:val="22"/>
                <w:szCs w:val="22"/>
                <w:u w:val="none"/>
              </w:rPr>
            </w:pPr>
          </w:p>
        </w:tc>
      </w:tr>
      <w:tr w14:paraId="1B0C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63F9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B8B6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3D14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中药全身熏洗设备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3C0F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7B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E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E3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FE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8A14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55C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05ABE">
            <w:pPr>
              <w:jc w:val="center"/>
              <w:rPr>
                <w:rFonts w:hint="eastAsia" w:ascii="宋体" w:hAnsi="宋体" w:eastAsia="宋体" w:cs="宋体"/>
                <w:i w:val="0"/>
                <w:iCs w:val="0"/>
                <w:color w:val="000000"/>
                <w:sz w:val="22"/>
                <w:szCs w:val="22"/>
                <w:u w:val="none"/>
              </w:rPr>
            </w:pPr>
          </w:p>
        </w:tc>
      </w:tr>
      <w:tr w14:paraId="40E6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44F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420A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0969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康复姿势镜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0C7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AD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7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99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02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9C46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AE701">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31015">
            <w:pPr>
              <w:jc w:val="center"/>
              <w:rPr>
                <w:rFonts w:hint="eastAsia" w:ascii="宋体" w:hAnsi="宋体" w:eastAsia="宋体" w:cs="宋体"/>
                <w:i w:val="0"/>
                <w:iCs w:val="0"/>
                <w:color w:val="000000"/>
                <w:sz w:val="22"/>
                <w:szCs w:val="22"/>
                <w:u w:val="none"/>
              </w:rPr>
            </w:pPr>
          </w:p>
        </w:tc>
      </w:tr>
      <w:tr w14:paraId="67BC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2EA2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F2C7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C2A4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帕雪雅治疗设备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C286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7E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8A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AF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E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ED5B3">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EE57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799F7">
            <w:pPr>
              <w:jc w:val="center"/>
              <w:rPr>
                <w:rFonts w:hint="eastAsia" w:ascii="宋体" w:hAnsi="宋体" w:eastAsia="宋体" w:cs="宋体"/>
                <w:i w:val="0"/>
                <w:iCs w:val="0"/>
                <w:color w:val="000000"/>
                <w:sz w:val="22"/>
                <w:szCs w:val="22"/>
                <w:u w:val="none"/>
              </w:rPr>
            </w:pPr>
          </w:p>
        </w:tc>
      </w:tr>
      <w:tr w14:paraId="21C2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CA0B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DDD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4C1D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DC7D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CB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1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8D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45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61D28">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F65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E34C6">
            <w:pPr>
              <w:jc w:val="center"/>
              <w:rPr>
                <w:rFonts w:hint="eastAsia" w:ascii="宋体" w:hAnsi="宋体" w:eastAsia="宋体" w:cs="宋体"/>
                <w:i w:val="0"/>
                <w:iCs w:val="0"/>
                <w:color w:val="000000"/>
                <w:sz w:val="22"/>
                <w:szCs w:val="22"/>
                <w:u w:val="none"/>
              </w:rPr>
            </w:pPr>
          </w:p>
        </w:tc>
      </w:tr>
      <w:tr w14:paraId="084E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49BD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9912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CC45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妇科手术/检查台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31E1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A0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EE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F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81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117A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59FA7">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7FCA9">
            <w:pPr>
              <w:jc w:val="center"/>
              <w:rPr>
                <w:rFonts w:hint="eastAsia" w:ascii="宋体" w:hAnsi="宋体" w:eastAsia="宋体" w:cs="宋体"/>
                <w:i w:val="0"/>
                <w:iCs w:val="0"/>
                <w:color w:val="000000"/>
                <w:sz w:val="22"/>
                <w:szCs w:val="22"/>
                <w:u w:val="none"/>
              </w:rPr>
            </w:pPr>
          </w:p>
        </w:tc>
      </w:tr>
      <w:tr w14:paraId="6BCC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F78F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14C8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FEA1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04C2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DA5F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87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4A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12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A4DA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A2A8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0DE1D">
            <w:pPr>
              <w:jc w:val="center"/>
              <w:rPr>
                <w:rFonts w:hint="eastAsia" w:ascii="宋体" w:hAnsi="宋体" w:eastAsia="宋体" w:cs="宋体"/>
                <w:i w:val="0"/>
                <w:iCs w:val="0"/>
                <w:color w:val="000000"/>
                <w:sz w:val="22"/>
                <w:szCs w:val="22"/>
                <w:u w:val="none"/>
              </w:rPr>
            </w:pPr>
          </w:p>
        </w:tc>
      </w:tr>
      <w:tr w14:paraId="4434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4FB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54AE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48E0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上取环器械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2775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62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43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D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69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350E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9979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1706E">
            <w:pPr>
              <w:jc w:val="center"/>
              <w:rPr>
                <w:rFonts w:hint="eastAsia" w:ascii="宋体" w:hAnsi="宋体" w:eastAsia="宋体" w:cs="宋体"/>
                <w:i w:val="0"/>
                <w:iCs w:val="0"/>
                <w:color w:val="000000"/>
                <w:sz w:val="22"/>
                <w:szCs w:val="22"/>
                <w:u w:val="none"/>
              </w:rPr>
            </w:pPr>
          </w:p>
        </w:tc>
      </w:tr>
      <w:tr w14:paraId="30A7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16E3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C267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4CE27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盆底肌肉训练设备(盆底康复治疗仪)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F09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6C6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92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21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8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589F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97D7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0A06">
            <w:pPr>
              <w:jc w:val="center"/>
              <w:rPr>
                <w:rFonts w:hint="eastAsia" w:ascii="宋体" w:hAnsi="宋体" w:eastAsia="宋体" w:cs="宋体"/>
                <w:i w:val="0"/>
                <w:iCs w:val="0"/>
                <w:color w:val="000000"/>
                <w:sz w:val="22"/>
                <w:szCs w:val="22"/>
                <w:u w:val="none"/>
              </w:rPr>
            </w:pPr>
          </w:p>
        </w:tc>
      </w:tr>
      <w:tr w14:paraId="4B6D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E50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2044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A937D4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盆底肌肉训练设备(配套耗材盆底肌肉康复器)</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9DB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FB3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55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D7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23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8A0F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BB4D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2593C">
            <w:pPr>
              <w:jc w:val="center"/>
              <w:rPr>
                <w:rFonts w:hint="eastAsia" w:ascii="宋体" w:hAnsi="宋体" w:eastAsia="宋体" w:cs="宋体"/>
                <w:i w:val="0"/>
                <w:iCs w:val="0"/>
                <w:color w:val="000000"/>
                <w:sz w:val="22"/>
                <w:szCs w:val="22"/>
                <w:u w:val="none"/>
              </w:rPr>
            </w:pPr>
          </w:p>
        </w:tc>
      </w:tr>
      <w:tr w14:paraId="6A6C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6349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A5FC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418C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经皮黄疸仪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CE70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12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F2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10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4C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ECA7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CF5A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E8D4D">
            <w:pPr>
              <w:jc w:val="center"/>
              <w:rPr>
                <w:rFonts w:hint="eastAsia" w:ascii="宋体" w:hAnsi="宋体" w:eastAsia="宋体" w:cs="宋体"/>
                <w:i w:val="0"/>
                <w:iCs w:val="0"/>
                <w:color w:val="000000"/>
                <w:sz w:val="22"/>
                <w:szCs w:val="22"/>
                <w:u w:val="none"/>
              </w:rPr>
            </w:pPr>
          </w:p>
        </w:tc>
      </w:tr>
      <w:tr w14:paraId="4D3B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CF4D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1F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全科医疗科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FA72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E3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39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F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F5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C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BC15E">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B03C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F6094">
            <w:pPr>
              <w:jc w:val="center"/>
              <w:rPr>
                <w:rFonts w:hint="eastAsia" w:ascii="宋体" w:hAnsi="宋体" w:eastAsia="宋体" w:cs="宋体"/>
                <w:i w:val="0"/>
                <w:iCs w:val="0"/>
                <w:color w:val="FF0000"/>
                <w:sz w:val="22"/>
                <w:szCs w:val="22"/>
                <w:u w:val="none"/>
              </w:rPr>
            </w:pPr>
          </w:p>
        </w:tc>
      </w:tr>
      <w:tr w14:paraId="571E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254D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B4A1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B8A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雾化泵</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CA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15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67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E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4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98A03">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E35E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CE218">
            <w:pPr>
              <w:jc w:val="center"/>
              <w:rPr>
                <w:rFonts w:hint="eastAsia" w:ascii="宋体" w:hAnsi="宋体" w:eastAsia="宋体" w:cs="宋体"/>
                <w:i w:val="0"/>
                <w:iCs w:val="0"/>
                <w:color w:val="000000"/>
                <w:sz w:val="22"/>
                <w:szCs w:val="22"/>
                <w:u w:val="none"/>
              </w:rPr>
            </w:pPr>
          </w:p>
        </w:tc>
      </w:tr>
      <w:tr w14:paraId="2D76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BA97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EA20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BCA6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验光设备和器具</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F7C7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E2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F6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AC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A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83A5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18C6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84CC1">
            <w:pPr>
              <w:jc w:val="center"/>
              <w:rPr>
                <w:rFonts w:hint="eastAsia" w:ascii="宋体" w:hAnsi="宋体" w:eastAsia="宋体" w:cs="宋体"/>
                <w:i w:val="0"/>
                <w:iCs w:val="0"/>
                <w:color w:val="FF0000"/>
                <w:sz w:val="22"/>
                <w:szCs w:val="22"/>
                <w:u w:val="none"/>
              </w:rPr>
            </w:pPr>
          </w:p>
        </w:tc>
      </w:tr>
      <w:tr w14:paraId="7AD1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833B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403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7B5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1E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DE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FD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7A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1A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E0D6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6B6E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95947AD">
            <w:pPr>
              <w:jc w:val="center"/>
              <w:rPr>
                <w:rFonts w:hint="eastAsia" w:ascii="宋体" w:hAnsi="宋体" w:eastAsia="宋体" w:cs="宋体"/>
                <w:i w:val="0"/>
                <w:iCs w:val="0"/>
                <w:color w:val="000000"/>
                <w:sz w:val="22"/>
                <w:szCs w:val="22"/>
                <w:u w:val="none"/>
              </w:rPr>
            </w:pPr>
          </w:p>
        </w:tc>
      </w:tr>
      <w:tr w14:paraId="0FB6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EF2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66E2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205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6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F6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21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B2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1E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AD0F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84CE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0C120">
            <w:pPr>
              <w:jc w:val="center"/>
              <w:rPr>
                <w:rFonts w:hint="eastAsia" w:ascii="宋体" w:hAnsi="宋体" w:eastAsia="宋体" w:cs="宋体"/>
                <w:i w:val="0"/>
                <w:iCs w:val="0"/>
                <w:color w:val="000000"/>
                <w:sz w:val="22"/>
                <w:szCs w:val="22"/>
                <w:u w:val="none"/>
              </w:rPr>
            </w:pPr>
          </w:p>
        </w:tc>
      </w:tr>
      <w:tr w14:paraId="0F43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05AE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746E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4AB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14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F8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13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43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67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F186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B06D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48120D6">
            <w:pPr>
              <w:jc w:val="center"/>
              <w:rPr>
                <w:rFonts w:hint="eastAsia" w:ascii="宋体" w:hAnsi="宋体" w:eastAsia="宋体" w:cs="宋体"/>
                <w:i w:val="0"/>
                <w:iCs w:val="0"/>
                <w:color w:val="FF0000"/>
                <w:sz w:val="22"/>
                <w:szCs w:val="22"/>
                <w:u w:val="none"/>
              </w:rPr>
            </w:pPr>
          </w:p>
        </w:tc>
      </w:tr>
      <w:tr w14:paraId="3A78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E1CD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1F44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8D0E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碳呼气试验设备</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62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E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6E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87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F5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D156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DC72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A4AA8">
            <w:pPr>
              <w:jc w:val="center"/>
              <w:rPr>
                <w:rFonts w:hint="eastAsia" w:ascii="宋体" w:hAnsi="宋体" w:eastAsia="宋体" w:cs="宋体"/>
                <w:i w:val="0"/>
                <w:iCs w:val="0"/>
                <w:color w:val="000000"/>
                <w:sz w:val="22"/>
                <w:szCs w:val="22"/>
                <w:u w:val="none"/>
              </w:rPr>
            </w:pPr>
          </w:p>
        </w:tc>
      </w:tr>
      <w:tr w14:paraId="24D9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8C90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2F4F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A53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6F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CF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08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F7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45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4C84">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0066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10C84">
            <w:pPr>
              <w:jc w:val="center"/>
              <w:rPr>
                <w:rFonts w:hint="eastAsia" w:ascii="宋体" w:hAnsi="宋体" w:eastAsia="宋体" w:cs="宋体"/>
                <w:i w:val="0"/>
                <w:iCs w:val="0"/>
                <w:color w:val="000000"/>
                <w:sz w:val="22"/>
                <w:szCs w:val="22"/>
                <w:u w:val="none"/>
              </w:rPr>
            </w:pPr>
          </w:p>
        </w:tc>
      </w:tr>
      <w:tr w14:paraId="2E50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3870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1C16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513C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93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F6F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A3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6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41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9B22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D490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77782">
            <w:pPr>
              <w:jc w:val="center"/>
              <w:rPr>
                <w:rFonts w:hint="eastAsia" w:ascii="宋体" w:hAnsi="宋体" w:eastAsia="宋体" w:cs="宋体"/>
                <w:i w:val="0"/>
                <w:iCs w:val="0"/>
                <w:color w:val="000000"/>
                <w:sz w:val="22"/>
                <w:szCs w:val="22"/>
                <w:u w:val="none"/>
              </w:rPr>
            </w:pPr>
          </w:p>
        </w:tc>
      </w:tr>
      <w:tr w14:paraId="3956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A893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9743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1605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便常规检测仪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FB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D9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5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07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5E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067F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5B42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92961">
            <w:pPr>
              <w:jc w:val="center"/>
              <w:rPr>
                <w:rFonts w:hint="eastAsia" w:ascii="宋体" w:hAnsi="宋体" w:eastAsia="宋体" w:cs="宋体"/>
                <w:i w:val="0"/>
                <w:iCs w:val="0"/>
                <w:color w:val="FF0000"/>
                <w:sz w:val="22"/>
                <w:szCs w:val="22"/>
                <w:u w:val="none"/>
              </w:rPr>
            </w:pPr>
          </w:p>
        </w:tc>
      </w:tr>
      <w:tr w14:paraId="2C3A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6731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61DCB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C518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听力计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98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C6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18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5E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18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9CA7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83E1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39191">
            <w:pPr>
              <w:jc w:val="center"/>
              <w:rPr>
                <w:rFonts w:hint="eastAsia" w:ascii="宋体" w:hAnsi="宋体" w:eastAsia="宋体" w:cs="宋体"/>
                <w:i w:val="0"/>
                <w:iCs w:val="0"/>
                <w:color w:val="000000"/>
                <w:sz w:val="22"/>
                <w:szCs w:val="22"/>
                <w:u w:val="none"/>
              </w:rPr>
            </w:pPr>
          </w:p>
        </w:tc>
      </w:tr>
      <w:tr w14:paraId="6EBF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3D0D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55D1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1655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健康教育模型(男性、女性生殖器模型；乳房模型、新生儿护理模型、女性避孕器指导模型)</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F7B8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9F2C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18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AC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A5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1591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A719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4226C">
            <w:pPr>
              <w:jc w:val="center"/>
              <w:rPr>
                <w:rFonts w:hint="eastAsia" w:ascii="宋体" w:hAnsi="宋体" w:eastAsia="宋体" w:cs="宋体"/>
                <w:i w:val="0"/>
                <w:iCs w:val="0"/>
                <w:color w:val="000000"/>
                <w:sz w:val="22"/>
                <w:szCs w:val="22"/>
                <w:u w:val="none"/>
              </w:rPr>
            </w:pPr>
          </w:p>
        </w:tc>
      </w:tr>
      <w:tr w14:paraId="1263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9334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BA8E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17A11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健康教育模型(</w:t>
            </w:r>
            <w:r>
              <w:rPr>
                <w:rFonts w:hint="eastAsia" w:ascii="宋体" w:hAnsi="宋体" w:eastAsia="宋体" w:cs="宋体"/>
                <w:i w:val="0"/>
                <w:iCs w:val="0"/>
                <w:color w:val="000000"/>
                <w:sz w:val="22"/>
                <w:szCs w:val="22"/>
                <w:u w:val="none"/>
              </w:rPr>
              <w:t>成人模型，骨骼，肌肉，内脏模型</w:t>
            </w:r>
            <w:r>
              <w:rPr>
                <w:rFonts w:hint="eastAsia" w:ascii="宋体" w:hAnsi="宋体" w:eastAsia="宋体" w:cs="宋体"/>
                <w:i w:val="0"/>
                <w:iCs w:val="0"/>
                <w:color w:val="000000"/>
                <w:sz w:val="22"/>
                <w:szCs w:val="22"/>
                <w:u w:val="none"/>
                <w:lang w:val="en-US" w:eastAsia="zh-CN"/>
              </w:rPr>
              <w:t>)</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F19A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10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C4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A9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ED53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3392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6C80C">
            <w:pPr>
              <w:jc w:val="center"/>
              <w:rPr>
                <w:rFonts w:hint="eastAsia" w:ascii="宋体" w:hAnsi="宋体" w:eastAsia="宋体" w:cs="宋体"/>
                <w:i w:val="0"/>
                <w:iCs w:val="0"/>
                <w:color w:val="000000"/>
                <w:sz w:val="22"/>
                <w:szCs w:val="22"/>
                <w:u w:val="none"/>
              </w:rPr>
            </w:pPr>
          </w:p>
        </w:tc>
      </w:tr>
      <w:tr w14:paraId="24C8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0B0D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DB53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447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心脏复苏模拟人</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3A2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199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B0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40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CF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A4D4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66AB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DE0D">
            <w:pPr>
              <w:jc w:val="center"/>
              <w:rPr>
                <w:rFonts w:hint="eastAsia" w:ascii="宋体" w:hAnsi="宋体" w:eastAsia="宋体" w:cs="宋体"/>
                <w:i w:val="0"/>
                <w:iCs w:val="0"/>
                <w:color w:val="000000"/>
                <w:sz w:val="22"/>
                <w:szCs w:val="22"/>
                <w:u w:val="none"/>
              </w:rPr>
            </w:pPr>
          </w:p>
        </w:tc>
      </w:tr>
      <w:tr w14:paraId="3489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E57B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CE231">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1245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婴儿智能体检仪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0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0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82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14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E6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692EC">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0F6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623BC">
            <w:pPr>
              <w:jc w:val="center"/>
              <w:rPr>
                <w:rFonts w:hint="eastAsia" w:ascii="宋体" w:hAnsi="宋体" w:eastAsia="宋体" w:cs="宋体"/>
                <w:i w:val="0"/>
                <w:iCs w:val="0"/>
                <w:color w:val="000000"/>
                <w:sz w:val="22"/>
                <w:szCs w:val="22"/>
                <w:u w:val="none"/>
              </w:rPr>
            </w:pPr>
          </w:p>
        </w:tc>
      </w:tr>
      <w:tr w14:paraId="0CE9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5D80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51D9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CDA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1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42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B6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E3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D8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C4A7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85BE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CB026">
            <w:pPr>
              <w:jc w:val="center"/>
              <w:rPr>
                <w:rFonts w:hint="eastAsia" w:ascii="宋体" w:hAnsi="宋体" w:eastAsia="宋体" w:cs="宋体"/>
                <w:i w:val="0"/>
                <w:iCs w:val="0"/>
                <w:color w:val="000000"/>
                <w:sz w:val="22"/>
                <w:szCs w:val="22"/>
                <w:u w:val="none"/>
              </w:rPr>
            </w:pPr>
          </w:p>
        </w:tc>
      </w:tr>
      <w:tr w14:paraId="03A4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3AF4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4155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67F7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76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BB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12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A5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F3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6E71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EFDA7">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41114">
            <w:pPr>
              <w:jc w:val="center"/>
              <w:rPr>
                <w:rFonts w:hint="eastAsia" w:ascii="宋体" w:hAnsi="宋体" w:eastAsia="宋体" w:cs="宋体"/>
                <w:i w:val="0"/>
                <w:iCs w:val="0"/>
                <w:color w:val="000000"/>
                <w:sz w:val="22"/>
                <w:szCs w:val="22"/>
                <w:u w:val="none"/>
              </w:rPr>
            </w:pPr>
          </w:p>
        </w:tc>
      </w:tr>
      <w:tr w14:paraId="6681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815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B8B9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D15F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水银血压计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A4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DD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40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E4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72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42E0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B72B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A6A6B">
            <w:pPr>
              <w:jc w:val="center"/>
              <w:rPr>
                <w:rFonts w:hint="eastAsia" w:ascii="宋体" w:hAnsi="宋体" w:eastAsia="宋体" w:cs="宋体"/>
                <w:i w:val="0"/>
                <w:iCs w:val="0"/>
                <w:color w:val="000000"/>
                <w:sz w:val="22"/>
                <w:szCs w:val="22"/>
                <w:u w:val="none"/>
              </w:rPr>
            </w:pPr>
          </w:p>
        </w:tc>
      </w:tr>
      <w:tr w14:paraId="79AC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A91E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DC0A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6D39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66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AA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51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A4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42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BA56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96FCB">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D6C62">
            <w:pPr>
              <w:jc w:val="center"/>
              <w:rPr>
                <w:rFonts w:hint="eastAsia" w:ascii="宋体" w:hAnsi="宋体" w:eastAsia="宋体" w:cs="宋体"/>
                <w:i w:val="0"/>
                <w:iCs w:val="0"/>
                <w:color w:val="000000"/>
                <w:sz w:val="22"/>
                <w:szCs w:val="22"/>
                <w:u w:val="none"/>
              </w:rPr>
            </w:pPr>
          </w:p>
        </w:tc>
      </w:tr>
      <w:tr w14:paraId="2B30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327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68D4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D51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儿童保健体检仪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52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F6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7C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3C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BD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16E2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78E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191A0">
            <w:pPr>
              <w:jc w:val="center"/>
              <w:rPr>
                <w:rFonts w:hint="eastAsia" w:ascii="宋体" w:hAnsi="宋体" w:eastAsia="宋体" w:cs="宋体"/>
                <w:i w:val="0"/>
                <w:iCs w:val="0"/>
                <w:color w:val="000000"/>
                <w:sz w:val="22"/>
                <w:szCs w:val="22"/>
                <w:u w:val="none"/>
              </w:rPr>
            </w:pPr>
          </w:p>
        </w:tc>
      </w:tr>
      <w:tr w14:paraId="0634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DE8A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9BE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F40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悬挂式手术无影灯</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03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70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27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A1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DC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EBD0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718E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14689">
            <w:pPr>
              <w:jc w:val="center"/>
              <w:rPr>
                <w:rFonts w:hint="eastAsia" w:ascii="宋体" w:hAnsi="宋体" w:eastAsia="宋体" w:cs="宋体"/>
                <w:i w:val="0"/>
                <w:iCs w:val="0"/>
                <w:color w:val="000000"/>
                <w:sz w:val="22"/>
                <w:szCs w:val="22"/>
                <w:u w:val="none"/>
              </w:rPr>
            </w:pPr>
          </w:p>
        </w:tc>
      </w:tr>
      <w:tr w14:paraId="1EF8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89FA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0438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E111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2F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96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7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2D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96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1522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265A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2B400">
            <w:pPr>
              <w:jc w:val="center"/>
              <w:rPr>
                <w:rFonts w:hint="eastAsia" w:ascii="宋体" w:hAnsi="宋体" w:eastAsia="宋体" w:cs="宋体"/>
                <w:i w:val="0"/>
                <w:iCs w:val="0"/>
                <w:color w:val="000000"/>
                <w:sz w:val="22"/>
                <w:szCs w:val="22"/>
                <w:u w:val="none"/>
              </w:rPr>
            </w:pPr>
          </w:p>
        </w:tc>
      </w:tr>
      <w:tr w14:paraId="133E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9982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06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E7BD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 X射线系统（DR）</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EA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FB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3E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1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47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7C3E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CB9FE">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291BE">
            <w:pPr>
              <w:jc w:val="center"/>
              <w:rPr>
                <w:rFonts w:hint="eastAsia" w:ascii="宋体" w:hAnsi="宋体" w:eastAsia="宋体" w:cs="宋体"/>
                <w:i w:val="0"/>
                <w:iCs w:val="0"/>
                <w:color w:val="000000"/>
                <w:sz w:val="22"/>
                <w:szCs w:val="22"/>
                <w:u w:val="none"/>
              </w:rPr>
            </w:pPr>
          </w:p>
        </w:tc>
      </w:tr>
      <w:tr w14:paraId="4137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BA27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501C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DA8B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胶片激光打印机（含软件）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3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73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1C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61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AA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6D8E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7915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09314589">
            <w:pPr>
              <w:jc w:val="center"/>
              <w:rPr>
                <w:rFonts w:hint="eastAsia" w:ascii="宋体" w:hAnsi="宋体" w:eastAsia="宋体" w:cs="宋体"/>
                <w:i w:val="0"/>
                <w:iCs w:val="0"/>
                <w:color w:val="000000"/>
                <w:sz w:val="22"/>
                <w:szCs w:val="22"/>
                <w:u w:val="none"/>
              </w:rPr>
            </w:pPr>
          </w:p>
        </w:tc>
      </w:tr>
      <w:tr w14:paraId="29ED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4BA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520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5E5D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4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E0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36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12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D5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0A40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6C1A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1B15B">
            <w:pPr>
              <w:jc w:val="center"/>
              <w:rPr>
                <w:rFonts w:hint="eastAsia" w:ascii="宋体" w:hAnsi="宋体" w:eastAsia="宋体" w:cs="宋体"/>
                <w:i w:val="0"/>
                <w:iCs w:val="0"/>
                <w:color w:val="000000"/>
                <w:sz w:val="22"/>
                <w:szCs w:val="22"/>
                <w:u w:val="none"/>
              </w:rPr>
            </w:pPr>
          </w:p>
        </w:tc>
      </w:tr>
      <w:tr w14:paraId="3F38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D15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EDE6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AE91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牙科治疗机</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2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FF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04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CF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0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B7848">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6901B">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D1553">
            <w:pPr>
              <w:jc w:val="center"/>
              <w:rPr>
                <w:rFonts w:hint="eastAsia" w:ascii="宋体" w:hAnsi="宋体" w:eastAsia="宋体" w:cs="宋体"/>
                <w:i w:val="0"/>
                <w:iCs w:val="0"/>
                <w:color w:val="000000"/>
                <w:sz w:val="22"/>
                <w:szCs w:val="22"/>
                <w:u w:val="none"/>
              </w:rPr>
            </w:pPr>
          </w:p>
        </w:tc>
      </w:tr>
      <w:tr w14:paraId="595E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572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3C40E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EDBF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纯水机-口腔科</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83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8B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7E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06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00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941F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664E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14971">
            <w:pPr>
              <w:jc w:val="center"/>
              <w:rPr>
                <w:rFonts w:hint="eastAsia" w:ascii="宋体" w:hAnsi="宋体" w:eastAsia="宋体" w:cs="宋体"/>
                <w:i w:val="0"/>
                <w:iCs w:val="0"/>
                <w:color w:val="000000"/>
                <w:sz w:val="22"/>
                <w:szCs w:val="22"/>
                <w:u w:val="none"/>
              </w:rPr>
            </w:pPr>
          </w:p>
        </w:tc>
      </w:tr>
      <w:tr w14:paraId="0978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257C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5516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2045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清洗设备</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F3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81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AC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CF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42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232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700F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24C11">
            <w:pPr>
              <w:jc w:val="center"/>
              <w:rPr>
                <w:rFonts w:hint="eastAsia" w:ascii="宋体" w:hAnsi="宋体" w:eastAsia="宋体" w:cs="宋体"/>
                <w:i w:val="0"/>
                <w:iCs w:val="0"/>
                <w:color w:val="000000"/>
                <w:sz w:val="22"/>
                <w:szCs w:val="22"/>
                <w:u w:val="none"/>
              </w:rPr>
            </w:pPr>
          </w:p>
        </w:tc>
      </w:tr>
      <w:tr w14:paraId="0390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86CF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CE44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5DA3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21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20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F8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49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2C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EDE9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D43D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B4B8A">
            <w:pPr>
              <w:jc w:val="center"/>
              <w:rPr>
                <w:rFonts w:hint="eastAsia" w:ascii="宋体" w:hAnsi="宋体" w:eastAsia="宋体" w:cs="宋体"/>
                <w:i w:val="0"/>
                <w:iCs w:val="0"/>
                <w:color w:val="000000"/>
                <w:sz w:val="22"/>
                <w:szCs w:val="22"/>
                <w:u w:val="none"/>
              </w:rPr>
            </w:pPr>
          </w:p>
        </w:tc>
      </w:tr>
      <w:tr w14:paraId="549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962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03D0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BF69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口腔数字化影像系统</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84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1B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2F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90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A2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8C9B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27B3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0A471">
            <w:pPr>
              <w:jc w:val="center"/>
              <w:rPr>
                <w:rFonts w:hint="eastAsia" w:ascii="宋体" w:hAnsi="宋体" w:eastAsia="宋体" w:cs="宋体"/>
                <w:i w:val="0"/>
                <w:iCs w:val="0"/>
                <w:color w:val="000000"/>
                <w:sz w:val="22"/>
                <w:szCs w:val="22"/>
                <w:u w:val="none"/>
              </w:rPr>
            </w:pPr>
          </w:p>
        </w:tc>
      </w:tr>
      <w:tr w14:paraId="3F61D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BF57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0242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C8EB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口腔全景X射线机</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2F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6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71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9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CB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6FE4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DB66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3DFEC">
            <w:pPr>
              <w:jc w:val="center"/>
              <w:rPr>
                <w:rFonts w:hint="eastAsia" w:ascii="宋体" w:hAnsi="宋体" w:eastAsia="宋体" w:cs="宋体"/>
                <w:i w:val="0"/>
                <w:iCs w:val="0"/>
                <w:color w:val="000000"/>
                <w:sz w:val="22"/>
                <w:szCs w:val="22"/>
                <w:u w:val="none"/>
              </w:rPr>
            </w:pPr>
          </w:p>
        </w:tc>
      </w:tr>
      <w:tr w14:paraId="4DC3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4D96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A9A5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CD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2BD9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D238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C7FA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2E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00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6C0B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4A43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EC6BC">
            <w:pPr>
              <w:jc w:val="center"/>
              <w:rPr>
                <w:rFonts w:hint="eastAsia" w:ascii="宋体" w:hAnsi="宋体" w:eastAsia="宋体" w:cs="宋体"/>
                <w:i w:val="0"/>
                <w:iCs w:val="0"/>
                <w:color w:val="000000"/>
                <w:sz w:val="22"/>
                <w:szCs w:val="22"/>
                <w:u w:val="none"/>
              </w:rPr>
            </w:pPr>
          </w:p>
        </w:tc>
      </w:tr>
      <w:tr w14:paraId="6AD7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8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7086E9">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合计（元）</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80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F28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FA3C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E489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6604C">
            <w:pPr>
              <w:jc w:val="center"/>
              <w:rPr>
                <w:rFonts w:hint="eastAsia" w:ascii="宋体" w:hAnsi="宋体" w:eastAsia="宋体" w:cs="宋体"/>
                <w:i w:val="0"/>
                <w:iCs w:val="0"/>
                <w:color w:val="000000"/>
                <w:sz w:val="22"/>
                <w:szCs w:val="22"/>
                <w:u w:val="none"/>
              </w:rPr>
            </w:pPr>
          </w:p>
        </w:tc>
      </w:tr>
    </w:tbl>
    <w:p w14:paraId="32FF57CD"/>
    <w:p w14:paraId="68833D8E">
      <w:pPr>
        <w:rPr>
          <w:b/>
          <w:bCs/>
          <w:sz w:val="36"/>
          <w:szCs w:val="44"/>
        </w:rPr>
      </w:pPr>
      <w:r>
        <w:rPr>
          <w:rFonts w:hint="eastAsia"/>
          <w:b/>
          <w:bCs/>
          <w:sz w:val="36"/>
          <w:szCs w:val="44"/>
        </w:rPr>
        <w:t>核心产品：DR、血细胞分析仪、尿液分析仪</w:t>
      </w:r>
    </w:p>
    <w:p w14:paraId="2035D593">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br w:type="page"/>
      </w:r>
    </w:p>
    <w:p w14:paraId="07412C9B">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采购清单技术参数</w:t>
      </w:r>
    </w:p>
    <w:p w14:paraId="5A3198D8">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p>
    <w:tbl>
      <w:tblPr>
        <w:tblStyle w:val="26"/>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533"/>
        <w:gridCol w:w="947"/>
        <w:gridCol w:w="6218"/>
        <w:gridCol w:w="653"/>
      </w:tblGrid>
      <w:tr w14:paraId="19F7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8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4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F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9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9C9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8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15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康复医疗科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E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1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1、波长范围:能量主要分布范围0.5um~30um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2、出光口面积:≥750c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3、功率档数:三挡以上可调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4、定时范围:0-99小时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5、直升降功能:气压升降手动调节10、升降距离:40cm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6、具有倾倒断电保护。</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7BB0">
            <w:pPr>
              <w:jc w:val="center"/>
              <w:rPr>
                <w:rFonts w:hint="eastAsia" w:ascii="宋体" w:hAnsi="宋体" w:eastAsia="宋体" w:cs="宋体"/>
                <w:i w:val="0"/>
                <w:iCs w:val="0"/>
                <w:color w:val="000000"/>
                <w:sz w:val="22"/>
                <w:szCs w:val="22"/>
                <w:u w:val="none"/>
              </w:rPr>
            </w:pPr>
          </w:p>
        </w:tc>
      </w:tr>
      <w:tr w14:paraId="5F75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0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51E4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训练用扶梯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3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训练用阶梯（双向）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规格mm)：3350×830×1350~1550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扶手杠调节范围（mm）：0～200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扶手杠侧向额定载荷(kg)：70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阶梯额定载荷(kg)：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用途：用于患者恢复日常上下楼功能。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阶梯台高度：100mm、120mm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中间台高度600mm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5CCE">
            <w:pPr>
              <w:jc w:val="center"/>
              <w:rPr>
                <w:rFonts w:hint="eastAsia" w:ascii="宋体" w:hAnsi="宋体" w:eastAsia="宋体" w:cs="宋体"/>
                <w:i w:val="0"/>
                <w:iCs w:val="0"/>
                <w:color w:val="000000"/>
                <w:sz w:val="22"/>
                <w:szCs w:val="22"/>
                <w:u w:val="none"/>
              </w:rPr>
            </w:pPr>
          </w:p>
        </w:tc>
      </w:tr>
      <w:tr w14:paraId="467B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7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7DB6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5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1、微波频率：≥2450MHZ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★2、微波理疗功率：理疗模式0～99W。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3、治疗时间：理疗为：0～30分，治疗为：0～99秒。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4、功率和时间调节方式：步进为“10”和“1”两种方式。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5、使用环境：常规病房和治疗室使用设备，注册证上须未注明“在屏蔽环境使用”，无须单独设置屏蔽房。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★6、输出馈线、磁控管超温报警功能。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★7、理疗辐射器尺寸：圆形直径≥150mm。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8、自动保护装置：具有功率加强保护和功率自适应功能。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9、主机采用一体化豪华型推车机柜。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10、适用范围：设备至少能用于“耳鼻喉科、妇科、皮肤科、康复科理疗科”等科室相关疾病和炎症。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★11、使用年限：≥8年。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5A9A">
            <w:pPr>
              <w:jc w:val="center"/>
              <w:rPr>
                <w:rFonts w:hint="eastAsia" w:ascii="宋体" w:hAnsi="宋体" w:eastAsia="宋体" w:cs="宋体"/>
                <w:i w:val="0"/>
                <w:iCs w:val="0"/>
                <w:color w:val="000000"/>
                <w:sz w:val="22"/>
                <w:szCs w:val="22"/>
                <w:u w:val="none"/>
              </w:rPr>
            </w:pPr>
          </w:p>
        </w:tc>
      </w:tr>
      <w:tr w14:paraId="3FCC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B3DF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0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8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1、输入电压：220V±22V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2、输入频率：50Hz±1Hz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3、输入功率：50VA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4、输出通道：单路输出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5、显示方式：液晶显示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6、声工作频率：1MHz±10%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7、输出模式：a)连续输出；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b)断续1：输出1s，间歇1s；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c)断续2：输出0.5s，间歇0.5s；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d)断续3：输出0.3s，间歇0.3s。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8、有效声强：0～1.5W/cm²。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9、定时范围：1～30min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10、尺寸：380mm×310mm×135mm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11、最大输出功率：6W，允差±20%。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12、有效辐射面积：4cm²。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13、波束不均匀性系数RBN：不超过8.0。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14、波束类型：准直型。</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5877">
            <w:pPr>
              <w:jc w:val="center"/>
              <w:rPr>
                <w:rFonts w:hint="eastAsia" w:ascii="宋体" w:hAnsi="宋体" w:eastAsia="宋体" w:cs="宋体"/>
                <w:i w:val="0"/>
                <w:iCs w:val="0"/>
                <w:color w:val="000000"/>
                <w:sz w:val="22"/>
                <w:szCs w:val="22"/>
                <w:u w:val="none"/>
              </w:rPr>
            </w:pPr>
          </w:p>
        </w:tc>
      </w:tr>
      <w:tr w14:paraId="3DC2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E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BB8A">
            <w:pPr>
              <w:jc w:val="center"/>
              <w:rPr>
                <w:rFonts w:hint="eastAsia" w:ascii="宋体" w:hAnsi="宋体" w:eastAsia="宋体" w:cs="宋体"/>
                <w:i w:val="0"/>
                <w:iCs w:val="0"/>
                <w:color w:val="000000"/>
                <w:sz w:val="22"/>
                <w:szCs w:val="22"/>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2F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脉冲治疗仪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5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1、额定输入功率：180VA。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2、电压：220V±22V，频率50Hz±1Hz。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3、尺寸：360×340×205mm，允差±20mm。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4、显示方式：数码触摸显示。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5、输出通道：四路中频加透热输出、四路离子导入直流输出、两路干扰电输出。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6、中频频率：1kHz～10kHz，单一频率允差±10％。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7、低频调制频率：0～150Hz，单一频率允差±10％或±1Hz取大值。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8、中频载波：双向方波，脉宽50us～500us，允差±10％。调制波形：正弦波、方波、三角波、指数波、锯齿波、尖波、等幅波。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9、调制方式：连续、断续、间歇、变频、疏密和交替调制。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10、中频调幅度：0%、25%、50%、75%、100%，允差±5％。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11、干扰电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11.1工作频率：4kHz，允差±10％。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11.2调制频率：0.125Hz，允差±10％。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11.3差频频率范围：0～112Hz，允差±10％或±1Hz取较大值。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11.4差频变化周期：5.5s、32s，允差±10％。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12、保护功能：过载保护，短路保护。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13、处方：100个。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14、中频输出电流：在500Ω的负载下，每路输出电流不大于100mA。输出强度分0～99级可调。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15、输出电流稳定度：不同负载下的输出电流变化率应不大于10%。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16、中频输出峰值电压：在开路条件下测量时，中频输出峰值电压不得超过500V。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17、电极板温度：38～55℃，6档可调，允差±3℃。加热功能可单独开启及关闭。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18、离子导入输出直流电流：在500Ω的负载下，每路输出电流不超过50mA，分0～99级可调。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19、治疗时间内置于处方中，治疗结束有声音提示。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B59A">
            <w:pPr>
              <w:jc w:val="center"/>
              <w:rPr>
                <w:rFonts w:hint="eastAsia" w:ascii="宋体" w:hAnsi="宋体" w:eastAsia="宋体" w:cs="宋体"/>
                <w:i w:val="0"/>
                <w:iCs w:val="0"/>
                <w:color w:val="000000"/>
                <w:sz w:val="22"/>
                <w:szCs w:val="22"/>
                <w:u w:val="none"/>
              </w:rPr>
            </w:pPr>
          </w:p>
        </w:tc>
      </w:tr>
      <w:tr w14:paraId="1150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6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17E69">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3830">
            <w:pPr>
              <w:jc w:val="center"/>
              <w:rPr>
                <w:rFonts w:hint="eastAsia" w:ascii="宋体" w:hAnsi="宋体" w:eastAsia="宋体" w:cs="宋体"/>
                <w:i w:val="0"/>
                <w:iCs w:val="0"/>
                <w:color w:val="000000"/>
                <w:sz w:val="22"/>
                <w:szCs w:val="22"/>
                <w:u w:val="none"/>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1、额定输入功率：35VA。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2、外形尺寸（长宽高）：360×340×200mm。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3、操作显示：触控操作，数码显示。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4、输出通道：三通道脉冲输出（每个通道分两路输出）。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5、输出波形：双向不对称方波。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6、单个脉冲能量：不超过300mJ。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7、治疗模式：完全失神经、部分失神经两种。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8、完全失神经：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8.1、输出脉冲频率：500Hz，调制波频率0.5Hz～10Hz，步进为0.5Hz，允差±15%。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8.2、脉冲宽度：由5个1ms组成，调制波宽度10ms，允差±30%。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9、部分失神经：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9.1、输出脉冲频率：0.5Hz～10Hz，步进为0.5Hz，允差±15%。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9.2、脉冲宽度：10ms，允差±30%。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10、刺激仪在500Ω的负载电阻下，幅值最大50V，允差±15%。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highlight w:val="none"/>
                <w:u w:val="none"/>
                <w:lang w:val="en-US" w:eastAsia="zh-CN" w:bidi="ar"/>
              </w:rPr>
              <w:t>、治疗时间：0～99min可调，允差±10%，治疗时间结束有蜂鸣器提示声，输出停止。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13B7">
            <w:pPr>
              <w:jc w:val="center"/>
              <w:rPr>
                <w:rFonts w:hint="eastAsia" w:ascii="宋体" w:hAnsi="宋体" w:eastAsia="宋体" w:cs="宋体"/>
                <w:i w:val="0"/>
                <w:iCs w:val="0"/>
                <w:color w:val="000000"/>
                <w:sz w:val="22"/>
                <w:szCs w:val="22"/>
                <w:u w:val="none"/>
              </w:rPr>
            </w:pPr>
          </w:p>
        </w:tc>
      </w:tr>
      <w:tr w14:paraId="416C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C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BC3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E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1、额定输入功率：700VA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a)分20W、40W、60W、100W、200W五档可调，允差±20%（20W适用于急性期、40W-100W用于慢性期的治疗，200W的用于辅助肿瘤治疗）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b)输出功率的稳定性：治疗仪连续工作30min，输出功率变化不大于±10%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3、治疗时间：分10min、15min、20min、25min、30min五档可调，各档允差±5%，预热时间≤120s.治疗结束后有蜂鸣声提示治疗结束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4、外形尺寸：长mm×宽mm×高mm =430mm*330mm*830mm，允差±15％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5、工作频率：27.12MHz,允差±1.5％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6、输出线长度：1100mm，允差±10％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7、脉冲模式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 脉冲调制频率：疏波MF 70Hz，密波DF 350Hz，允差±10%；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 调制波形：方波；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 调制脉冲脉宽：疏波2.0ms，密波1.8ms，允差±20%；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 调制度：100%。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8、机器配带三种方型硅胶电极板：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4个电子管，大中小电极板各一对，大中小毡垫各一对，大中小布套各一对；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9、智能化管理系统，治疗结束后有声音提示并断开输出；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10、治疗模式分为连续和脉冲两种，满足不同治疗需求；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11、指示灯条指示输出强度</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2516">
            <w:pPr>
              <w:jc w:val="center"/>
              <w:rPr>
                <w:rFonts w:hint="eastAsia" w:ascii="宋体" w:hAnsi="宋体" w:eastAsia="宋体" w:cs="宋体"/>
                <w:i w:val="0"/>
                <w:iCs w:val="0"/>
                <w:color w:val="000000"/>
                <w:sz w:val="22"/>
                <w:szCs w:val="22"/>
                <w:u w:val="none"/>
              </w:rPr>
            </w:pPr>
          </w:p>
        </w:tc>
      </w:tr>
      <w:tr w14:paraId="71B6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EAB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3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1、额定输入功率：35VA。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2、外形尺寸（长宽高）：360×340×200mm。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3、操作显示：触控操作，数码显示。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4、输出通道：三通道脉冲输出（每个通道分两路输出）。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5、输出波形：双向不对称方波。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6、单个脉冲能量：不超过300mJ。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7、治疗模式：完全失神经、部分失神经两种。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8、完全失神经：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8.1、输出脉冲频率：500Hz，调制波频率0.5Hz～10Hz，步进为0.5Hz，允差±15%。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8.2、脉冲宽度：由5个1ms组成，调制波宽度10ms，允差±30%。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9、部分失神经：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9.1、输出脉冲频率：0.5Hz～10Hz，步进为0.5Hz，允差±15%。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9.2、脉冲宽度：10ms，允差±30%。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10、刺激仪在500Ω的负载电阻下，幅值最大50V，允差±15%。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11、治疗时间：0～99min可调，允差±10%，治疗时间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1CD3">
            <w:pPr>
              <w:jc w:val="center"/>
              <w:rPr>
                <w:rFonts w:hint="eastAsia" w:ascii="宋体" w:hAnsi="宋体" w:eastAsia="宋体" w:cs="宋体"/>
                <w:i w:val="0"/>
                <w:iCs w:val="0"/>
                <w:color w:val="000000"/>
                <w:sz w:val="22"/>
                <w:szCs w:val="22"/>
                <w:u w:val="none"/>
              </w:rPr>
            </w:pPr>
          </w:p>
        </w:tc>
      </w:tr>
      <w:tr w14:paraId="692C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9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D69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2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推拿治疗床</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1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1、尺寸：长×宽×高（mm）：2000×620×660，允差±3%。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2、人性化设计具有肩孔、扶手和放手机平板平台。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3、方便医生针对病患进行针灸、推拿康复使用。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4、配有患者呼吸孔。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5、诊疗床最大承载重量：200kg,允差±10kg。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6、具有多体位医用诊疗床第一类医疗器械备案凭证。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产品优势：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1、人性化设计的按摩治疗设备。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2、增加手机（平板电脑）支撑垫，方便患者在治疗过程中享受操作智能产品的乐趣。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3、方便医生针对患者进行PT、评定、针灸、推拿、小针刀以及其他各种微创手术辅助应用。</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6941">
            <w:pPr>
              <w:jc w:val="center"/>
              <w:rPr>
                <w:rFonts w:hint="eastAsia" w:ascii="宋体" w:hAnsi="宋体" w:eastAsia="宋体" w:cs="宋体"/>
                <w:i w:val="0"/>
                <w:iCs w:val="0"/>
                <w:color w:val="000000"/>
                <w:sz w:val="22"/>
                <w:szCs w:val="22"/>
                <w:u w:val="none"/>
              </w:rPr>
            </w:pPr>
          </w:p>
        </w:tc>
      </w:tr>
      <w:tr w14:paraId="4016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4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FCD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F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康复训练用平行杠</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D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规格(mm)：3500×1160×780~1250，矫正板坡度15°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杠杆直径(mm)： Φ38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杠杆宽度调节范围（mm）： 340～600  允差：±20mm.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额定载荷(kg)：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矫正板坡度： 15°</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5348">
            <w:pPr>
              <w:jc w:val="center"/>
              <w:rPr>
                <w:rFonts w:hint="eastAsia" w:ascii="宋体" w:hAnsi="宋体" w:eastAsia="宋体" w:cs="宋体"/>
                <w:i w:val="0"/>
                <w:iCs w:val="0"/>
                <w:color w:val="000000"/>
                <w:sz w:val="22"/>
                <w:szCs w:val="22"/>
                <w:u w:val="none"/>
              </w:rPr>
            </w:pPr>
          </w:p>
        </w:tc>
      </w:tr>
      <w:tr w14:paraId="20E1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16E0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康复训练用阶梯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1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规格(mm)：600×330~1200×400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用途：除可作为不同高度坐具外，亦可当简易的训练阶梯使用。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阶梯差100mm规格(mm)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00FD">
            <w:pPr>
              <w:jc w:val="center"/>
              <w:rPr>
                <w:rFonts w:hint="eastAsia" w:ascii="宋体" w:hAnsi="宋体" w:eastAsia="宋体" w:cs="宋体"/>
                <w:i w:val="0"/>
                <w:iCs w:val="0"/>
                <w:color w:val="000000"/>
                <w:sz w:val="22"/>
                <w:szCs w:val="22"/>
                <w:u w:val="none"/>
              </w:rPr>
            </w:pPr>
          </w:p>
        </w:tc>
      </w:tr>
      <w:tr w14:paraId="255F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595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B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康复训练床</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规格(mm)：1910×1240×490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床面尺寸(长×宽)mm：1910×1240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额定载荷：135.0kg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用途：用于PT训练患者床上活动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FD07">
            <w:pPr>
              <w:jc w:val="center"/>
              <w:rPr>
                <w:rFonts w:hint="eastAsia" w:ascii="宋体" w:hAnsi="宋体" w:eastAsia="宋体" w:cs="宋体"/>
                <w:i w:val="0"/>
                <w:iCs w:val="0"/>
                <w:color w:val="000000"/>
                <w:sz w:val="22"/>
                <w:szCs w:val="22"/>
                <w:u w:val="none"/>
              </w:rPr>
            </w:pPr>
          </w:p>
        </w:tc>
      </w:tr>
      <w:tr w14:paraId="7B0D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093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A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中医药品柜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①尺寸:宽 1.5 米，高 2.15 米，宽 0.6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②规格:横六竖八抽屉，小抽屉一屉三味，最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后一排三个大抽屉，一屉两味，一个药柜装 132味药材。</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FEF4">
            <w:pPr>
              <w:jc w:val="center"/>
              <w:rPr>
                <w:rFonts w:hint="eastAsia" w:ascii="宋体" w:hAnsi="宋体" w:eastAsia="宋体" w:cs="宋体"/>
                <w:i w:val="0"/>
                <w:iCs w:val="0"/>
                <w:color w:val="000000"/>
                <w:sz w:val="22"/>
                <w:szCs w:val="22"/>
                <w:u w:val="none"/>
              </w:rPr>
            </w:pPr>
          </w:p>
        </w:tc>
      </w:tr>
      <w:tr w14:paraId="0B0F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8249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6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中药全身熏洗设备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4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1.电源电压：交流电压220V，频率50Hz。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2.额定输入功率：1500W。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3.床体尺寸：长2010mm，宽720mm，高1070mm，允差±10%。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4.操作台尺寸：长460mm，宽370mm，高860mm，允差±10%。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5.治疗机温度：可在1～99℃范围设定，室温～45℃为熏蒸温度，步进1℃，允差为±5℃，46～99℃为煎药温度。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6.治疗机治疗时间控制：治疗总时间可在1～99min内设定，允差±30s，治疗时间达到设定时间时，有蜂鸣提示音，加热装置自动断电。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7.最大加液量：5L。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8.中药药液雾化功能：单区雾化量大于40mL/h。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9.运行模式：连续运行。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10.自动控温：出汽口处水蒸汽温度达到设定值时，加热管自动断电，使水温降低，水蒸汽温度低于设定值时，加热管自动加热，使水温升高。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11.熏蒸加热区为三区，加热方式为厚膜管状加热器，上水方式为自动。三温区温度独立控制调节，同时使用三温区熏蒸时，可根据不同熏蒸部位针对温度耐受不同而设置不同的温度，使熏蒸时更加舒适有效。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双重超温保护功能：治疗机超过工作温度设定值时，第一路保护装置应启动，停止加热。当温度降低到设定值以下后可以恢复加热。如果第一路保护装置失效造成患者皮肤温度升高至50℃时，第二路保护装置应立即启动，切断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13.熏蒸面积：1530mm*340mm，根据人体工程学，11块熏蒸垫可任意组合；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14.自动吹送蒸汽，可均匀中药蒸汽温度，确保湿度恒定；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15.独特的多风道设计，确保每区熏蒸温度恒定、舒适；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16.治疗机防干烧装置：当药液加热器无液体时，不能加热，并有提示信息。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17.独立的操作控制台，机电分离式设计，单独停止加热按钮。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18.臭氧消毒功能：a.开启臭氧消毒功能10min，臭氧浓度应不低于40mg/m³；b.正常工作是臭氧气体外泄露量应不大于0.16mg/m³。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19.亚克力材质全身式熏蒸罩；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20.蒸汽凝水回收床体内干爽；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21.亚克力床体，耐腐蚀，蒸汽部分采用食品级材料；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22.中药药液雾化功能，使蒸汽携药能力大大增强，真正充分发挥温度、药度、湿度、中药离子渗疗的熏蒸治疗效果；</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3A96">
            <w:pPr>
              <w:jc w:val="center"/>
              <w:rPr>
                <w:rFonts w:hint="eastAsia" w:ascii="宋体" w:hAnsi="宋体" w:eastAsia="宋体" w:cs="宋体"/>
                <w:i w:val="0"/>
                <w:iCs w:val="0"/>
                <w:color w:val="000000"/>
                <w:sz w:val="22"/>
                <w:szCs w:val="22"/>
                <w:u w:val="none"/>
              </w:rPr>
            </w:pPr>
          </w:p>
        </w:tc>
      </w:tr>
      <w:tr w14:paraId="0E4E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7550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6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康复姿势镜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8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规格(mm)：850×670×1910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镜面玻璃厚度：5mm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用途：各种姿势矫正训练</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5736">
            <w:pPr>
              <w:jc w:val="center"/>
              <w:rPr>
                <w:rFonts w:hint="eastAsia" w:ascii="宋体" w:hAnsi="宋体" w:eastAsia="宋体" w:cs="宋体"/>
                <w:i w:val="0"/>
                <w:iCs w:val="0"/>
                <w:color w:val="000000"/>
                <w:sz w:val="22"/>
                <w:szCs w:val="22"/>
                <w:u w:val="none"/>
              </w:rPr>
            </w:pPr>
          </w:p>
        </w:tc>
      </w:tr>
      <w:tr w14:paraId="606B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C145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D4959C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6D7C6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帕雪雅治疗设备</w:t>
            </w:r>
          </w:p>
        </w:tc>
        <w:tc>
          <w:tcPr>
            <w:tcW w:w="6218" w:type="dxa"/>
            <w:tcBorders>
              <w:top w:val="single" w:color="000000" w:sz="4" w:space="0"/>
              <w:left w:val="single" w:color="000000" w:sz="4" w:space="0"/>
              <w:bottom w:val="single" w:color="auto" w:sz="4" w:space="0"/>
              <w:right w:val="single" w:color="000000" w:sz="4" w:space="0"/>
            </w:tcBorders>
            <w:shd w:val="clear" w:color="auto" w:fill="auto"/>
            <w:vAlign w:val="center"/>
          </w:tcPr>
          <w:p w14:paraId="26DFB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1.电动升降、轻松收纳。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2.分区按摩、实现脚掌到脚跟全覆盖。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3.智能恒温感知系统、精准控温。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4.DPS隔电墙，热的更快、更安全。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5.APP远程操作、预约加热无需等待。</w:t>
            </w:r>
          </w:p>
        </w:tc>
        <w:tc>
          <w:tcPr>
            <w:tcW w:w="6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CE8B3F">
            <w:pPr>
              <w:jc w:val="center"/>
              <w:rPr>
                <w:rFonts w:hint="eastAsia" w:ascii="宋体" w:hAnsi="宋体" w:eastAsia="宋体" w:cs="宋体"/>
                <w:i w:val="0"/>
                <w:iCs w:val="0"/>
                <w:color w:val="000000"/>
                <w:sz w:val="22"/>
                <w:szCs w:val="22"/>
                <w:u w:val="none"/>
              </w:rPr>
            </w:pPr>
          </w:p>
        </w:tc>
      </w:tr>
      <w:tr w14:paraId="5714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4B819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AEB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70A3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6218" w:type="dxa"/>
            <w:tcBorders>
              <w:top w:val="single" w:color="auto" w:sz="4" w:space="0"/>
              <w:left w:val="single" w:color="auto" w:sz="4" w:space="0"/>
              <w:bottom w:val="single" w:color="auto" w:sz="4" w:space="0"/>
              <w:right w:val="single" w:color="auto" w:sz="4" w:space="0"/>
            </w:tcBorders>
            <w:shd w:val="clear" w:color="auto" w:fill="auto"/>
            <w:vAlign w:val="center"/>
          </w:tcPr>
          <w:p w14:paraId="06E6FC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一、电子镜头主体                                                                                                         1、一体化自动聚焦镜头 300mm-450mm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2、数码彩色CCD ★1/4″Super HAD彩色CCD，系统分辨率800线以上。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3、影像放大倍数 ★30倍光学放大，十倍数码放大。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4、影像输出格式 复合Video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★5、环型长寿命多点LED光源组 ★300mm处≥1000Lux(白光/绿光), 光源可调节强度,寿命≥10万小时.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6、视频输出信噪比i ≤52db(正常模式52db,最低48db)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7、子快门速度  1/50-1/10000秒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8、日本索尼技术AF/MF自动或手动聚焦控制，独立的放大/缩小开关镜头按键及遥控双重调节功能光源亮度逐级可调。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二、图像监视部分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1、22寸液晶显示器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2、分辨率1336*768 平面静像，逐行扫描，对比反差极强。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三、图像工作站                                                        </w:t>
            </w:r>
          </w:p>
          <w:p w14:paraId="3749B6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主板 、CPU、4GB内存 、120G固态硬盘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四、图像采集卡                                                    </w:t>
            </w:r>
          </w:p>
          <w:p w14:paraId="0CC54B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FLYVIDEO 878 1336*768采集模式 逐行采集，图像亮度动态对比度可调。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五、图文出片机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HP彩色喷墨 600x600dpi  A4幅面（可调） 每分钟14页出纸超微粒打印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六、系统软件 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1、支持动态实时录像，实时回放检查过程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2、伪彩显示，便于观察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3、自定义选择采图区域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4、可自定义设置醋酸计时自动采图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5、RCI评分功能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6、图像处理与对比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7、病人随访管理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8、多种图像处理模式，实时全屏影像显示，键控影像无级缩放，专用阴道镜血管分布增强显影模块，模块化诊断报告词典，中文报告图形输出、完善的病历查询模块。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9、一体化设计圆台车，外型美观。</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E5667">
            <w:pPr>
              <w:jc w:val="center"/>
              <w:rPr>
                <w:rFonts w:hint="eastAsia" w:ascii="宋体" w:hAnsi="宋体" w:eastAsia="宋体" w:cs="宋体"/>
                <w:i w:val="0"/>
                <w:iCs w:val="0"/>
                <w:color w:val="000000"/>
                <w:sz w:val="22"/>
                <w:szCs w:val="22"/>
                <w:u w:val="none"/>
              </w:rPr>
            </w:pPr>
          </w:p>
        </w:tc>
      </w:tr>
      <w:tr w14:paraId="4EE2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3" w:hRule="atLeast"/>
        </w:trPr>
        <w:tc>
          <w:tcPr>
            <w:tcW w:w="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7ED05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3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087509F">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2CB92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妇科手术/检查台</w:t>
            </w:r>
          </w:p>
        </w:tc>
        <w:tc>
          <w:tcPr>
            <w:tcW w:w="6218" w:type="dxa"/>
            <w:tcBorders>
              <w:top w:val="single" w:color="auto" w:sz="4" w:space="0"/>
              <w:left w:val="single" w:color="000000" w:sz="4" w:space="0"/>
              <w:bottom w:val="single" w:color="000000" w:sz="4" w:space="0"/>
              <w:right w:val="single" w:color="000000" w:sz="4" w:space="0"/>
            </w:tcBorders>
            <w:shd w:val="clear" w:color="auto" w:fill="auto"/>
            <w:vAlign w:val="center"/>
          </w:tcPr>
          <w:p w14:paraId="73739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一、性能说明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电动检查床是为方便妇科临床检查而设计，采用低压直流电机驱动，性能安全稳定可靠。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床架采用优质碳钢烤漆。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床垫为无缝发泡垫，外形美观，易清洁，抗菌，耐冲击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尺寸：1450×600×580mm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升降行程：≥420mm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背板上折：≥70°，背板下折：≥20°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臀板上折：≥40°，臀板下折：≥0°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主床 1 张； 托腿架 2 个（附垫）； 拉手 2 个；脚踏开关 1 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污水盆 1 个（不锈钢）</w:t>
            </w:r>
          </w:p>
        </w:tc>
        <w:tc>
          <w:tcPr>
            <w:tcW w:w="6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A26A24">
            <w:pPr>
              <w:jc w:val="center"/>
              <w:rPr>
                <w:rFonts w:hint="eastAsia" w:ascii="宋体" w:hAnsi="宋体" w:eastAsia="宋体" w:cs="宋体"/>
                <w:i w:val="0"/>
                <w:iCs w:val="0"/>
                <w:color w:val="000000"/>
                <w:sz w:val="22"/>
                <w:szCs w:val="22"/>
                <w:u w:val="none"/>
              </w:rPr>
            </w:pPr>
          </w:p>
        </w:tc>
      </w:tr>
      <w:tr w14:paraId="384F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5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FCB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9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B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1．胎心仪技术指标：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1.1检测参数：胎心率（FHR）；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1.2一体式机身设计，整机不到180g，一手掌握，简洁时尚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1.3高灵敏度超声探头，可检测10周小孕周胎儿心率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1.4采用单片机脉冲波技术，检测面积大，检测角度要求小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1.5屏幕可显示胎心率数值、胎心信号质量、音量等级、电池电量、胎心闪烁图标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1.6触摸式开关机键和音量调节键，操作方便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1.7超声工作频率：3MHz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1.8超声输出强度：Iob&lt;10mW/cm2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1.9胎心率检测范围  50-240bpm，心率检测精度：±2bpm；分辨率：1bpm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1.10在探头表面200mm的距离处，灵敏度≥110db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1.11IP22防水防尘等级，易于清洁；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1.12采用两节5号碱性电池供电，使用时间≥6小时；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1.13无信号无任何操作机器2分钟后自动关机。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CBB6">
            <w:pPr>
              <w:jc w:val="center"/>
              <w:rPr>
                <w:rFonts w:hint="eastAsia" w:ascii="宋体" w:hAnsi="宋体" w:eastAsia="宋体" w:cs="宋体"/>
                <w:i w:val="0"/>
                <w:iCs w:val="0"/>
                <w:color w:val="000000"/>
                <w:sz w:val="22"/>
                <w:szCs w:val="22"/>
                <w:u w:val="none"/>
              </w:rPr>
            </w:pPr>
          </w:p>
        </w:tc>
      </w:tr>
      <w:tr w14:paraId="5EB8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0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FF00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上取环器械</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C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子宫探针：30.5cm 柔性 Φ2.5mm，亚光无镀层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子宫颈钳：25.0cm TEALE 3x4齿弯，亚光无镀层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阴道扩张器：中式 90x32mm 手术型固定式，亚光无镀层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阴道扩张器：中式 100x30mm 检查型可调式，亚光无镀层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止血钳：24.0cm CRILE-RANKIN 弯无钩，亚光无镀层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放环叉：280mm 中式，亚光无镀层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取环钳：22.0cm 弯头 RANDALL，亚光无镀层</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0E07">
            <w:pPr>
              <w:jc w:val="center"/>
              <w:rPr>
                <w:rFonts w:hint="eastAsia" w:ascii="宋体" w:hAnsi="宋体" w:eastAsia="宋体" w:cs="宋体"/>
                <w:i w:val="0"/>
                <w:iCs w:val="0"/>
                <w:color w:val="000000"/>
                <w:sz w:val="22"/>
                <w:szCs w:val="22"/>
                <w:u w:val="none"/>
              </w:rPr>
            </w:pPr>
          </w:p>
        </w:tc>
      </w:tr>
      <w:tr w14:paraId="0A61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4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219B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0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盆底肌肉训练设备(盆底康复治疗仪)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E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1.★单屏触控操作，快捷高效。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2.设备治疗通道数量≥4个，其中，电刺激和生物反馈同步治疗通道数量≥4个，独立的治疗通道，可独立或同步调节刺激强度，可同时多部位或多患者同时治疗，互不干扰。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3.盆底、产康功能完全独立，使用效率更高。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电刺激性能参数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4.★脉冲频率：1～2500Hz，1Hz步进。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5.脉冲宽度：50～2000μs，50μs步进。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6.输出强度：0～100mA,(负载为500Ω) 1mA步进。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7.★刺激波形：基础波形至少包含单面波、双面平衡波、交互波。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8.电流稳定度：不同负载下的输出电流变化率应不大于10%。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肌电性能参数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9.EMG测量范围：1.0～2000.0μV（r.m.s）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10.AD采样率≥10000Hz。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11.采样位数16位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12.分辨率≤0.1μV。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13.输入噪音≤1μV。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14.通频带宽20Hz-500Hz。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15.差模输入阻抗≥10MΩ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16.共模抑制比&gt;100dB。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17.反馈阈值准确度：在中心频率点测量时误差不大于标称值的±2uV或±10%。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压力评估及训练组件(选配)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18.测量范围0～120mmHg。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19.测量分辨率为1mmHg。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具有国际通用标准的盆底肌1分钟、3分钟快速筛查；控尿评估。评估报告内容包含前静息期肌电值、变异系数、快肌肌力、上升时间、下降时间、快慢肌协调性、慢肌肌耐力、后静息期肌电值、参考值、盆底肌肌电图、腹肌肌电图以及评估报告解读等。评估过程可回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21.具有压力评估训练模式：使用可多次使用的充气型压力探头对盆底功能进行评估，生物反馈凯格尔Kegel训练。（选配）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22.可根据测评报告自动推荐治疗疗程建议，或手动选择疗程、快速方案进行治疗。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23.★治疗模式包含：循环电刺激、触发电刺激、刺激反馈、生物反馈、场景动画生物反馈。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治疗方案包含常规产后康复（如催乳、乳腺疏通、子宫复旧、产后镇痛、腹直肌恢复等不限于此）；盆底康复（如尿失禁、盆腔器官脱垂、尿潴留、盆底肌放松、盆底肌肌力提升、性功能障碍等不限于此）常规生殖康复（性激素水平下降、外阴萎缩、卵巢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25.系统内置治疗方案超过120种以上，包含电刺激、触发电刺激、生物反馈、刺激反馈、场景生物反馈。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26.具有针对各种临床病症需要的场景动画生物反馈训练方案，肌电值根据运动方式实时显示，训练效果通过评分判断，训练效果更直观。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27.用户可自定义治疗方案，包含电刺激参数（上升下降时间、刺激时间、刺激波形、刺激频率、刺激脉宽、延长时间、刺激阈值等）、生物反馈凯格尔Kegel训练模板、生物反馈模板语音。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28.治疗方案可根据临床需要自行组合（电刺激+触发电刺激+生物反馈+场景动画），每阶段时间可根据临床及治疗师诊断需要自由设置工作时间。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29.肌电触发电刺激阈值可选择：触发自动阈值、触发手动阈值，同时可设置阈值上刺激、阈值下刺激模式。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30.评估训练实时腹肌监测与异常动作提示报警功能（包含电极脱落提示），提高患者训练治疗准确度和依从度。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31.具有四种以上多媒体场景训练动画模板。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32.预置多媒体场景动画治疗方案≥16个，提高治疗过程趣味性与依从性.患者可直观看到张力下降、肌力提升的肌电值，同时具有训练得分，患者可对康复治疗进行自主评估。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33.动态参数调整：治疗中动态调节电刺激输出频率和脉宽。增加患者的治疗精准度与适应性。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34.所有治疗方案提供电极和传感器部位示意图，确保操作准确性。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35.具有数据统计汇总管理功能：可根据日期、临床医生、治疗师对新增人数，评估筛查数量、治疗数量进行统计、汇总，形成数据汇总。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36.具有盆底功能障碍评估系统（门诊病例、尿失禁病例、器官脱垂性学病例、治疗室检查病例、排尿日记、疗程管理）等常用评估记录量表。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37.★具有使用附件及材料是否配套和适用识别功能，可对设备使用耗材进行验证识别，保证其适用性和安全性。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38.支持通过USB进行数据导入导出功能（包含但不限于评估记录、治疗方案、统计数据）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39.无线网络共享模块，可实现多台盆底评估治疗系统数据互联互通，包含患者信息、筛查评估报告、评估数据、治疗方案、治疗档案的数据同步共享。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40.可与盆底云管理系统、盆底医联体管理系统、患者预约系统APP 无缝连接（此功能选配）。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41.压力评估训练模式：采用充气型压力探头对盆底功能进行评估，独立的压力评估报告单，压力生物反馈凯格尔Kegel训练。（可选配）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42.整机一体化结构，显示器可180°度旋转，方便医患双方观看显示屏幕。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9006">
            <w:pPr>
              <w:jc w:val="center"/>
              <w:rPr>
                <w:rFonts w:hint="eastAsia" w:ascii="宋体" w:hAnsi="宋体" w:eastAsia="宋体" w:cs="宋体"/>
                <w:i w:val="0"/>
                <w:iCs w:val="0"/>
                <w:color w:val="000000"/>
                <w:sz w:val="22"/>
                <w:szCs w:val="22"/>
                <w:u w:val="none"/>
              </w:rPr>
            </w:pPr>
          </w:p>
        </w:tc>
      </w:tr>
      <w:tr w14:paraId="7332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E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02B2">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C3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盆底肌肉训练设备(配套耗材盆底肌肉康复器)</w:t>
            </w: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1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型号：A:23g、B：33g、C：45g、D：50g、E：66g，每盒各一个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7EFC">
            <w:pPr>
              <w:jc w:val="center"/>
              <w:rPr>
                <w:rFonts w:hint="eastAsia" w:ascii="宋体" w:hAnsi="宋体" w:eastAsia="宋体" w:cs="宋体"/>
                <w:i w:val="0"/>
                <w:iCs w:val="0"/>
                <w:color w:val="000000"/>
                <w:sz w:val="22"/>
                <w:szCs w:val="22"/>
                <w:u w:val="none"/>
              </w:rPr>
            </w:pPr>
          </w:p>
        </w:tc>
      </w:tr>
      <w:tr w14:paraId="0257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311F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81F08B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3933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经皮黄疸仪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1、光源：采用氙闪光灯，氙闪光灯的发光光谱曲线和太阳光接近，含有更多的绿色和蓝色成分，测量更精准；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2、开机首次按压功能键后，可连续测试，操作方便；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3、具有紫外截止滤光片有效过滤掉紫外线，减少紫外线对患儿辐射；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4、检测方式：光反射式，蓝色光波(450nm)、绿色光波(550nm)比较。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5、显示方法：LCD显示屏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6、3位数字显示，直接读取测试结果，显示更为准确、直观；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7、液晶显示屏带背光，方便夜间使用；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8、两种单位显示mg/dl、μmol/l，可根据需要切换单位，无需对照换算表格；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9、自动计算2-5次平均值，测量值和平均值同时显示；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10、可删除粗大误差数据；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11、电池采用镍氢电池，充一次电可使用800多次，省电更省心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12、仪器5分钟无操作自动关机。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13、示值误差：00～15±1mg/dL、16～25±1.5mg/dL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14、精密度：RSD＜2%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15、电源：7号1.2V镍氢充电电池4节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16、净重：约157g（含电池组）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17、尺寸(mm)：175（长）×68（宽）×26（厚）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18、校验盘：对白色屏显示00.0mg/dl或00.1mg/dl，对黄色屏显示20.0±0.5mg/dl</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7DF9">
            <w:pPr>
              <w:jc w:val="center"/>
              <w:rPr>
                <w:rFonts w:hint="eastAsia" w:ascii="宋体" w:hAnsi="宋体" w:eastAsia="宋体" w:cs="宋体"/>
                <w:i w:val="0"/>
                <w:iCs w:val="0"/>
                <w:color w:val="000000"/>
                <w:sz w:val="22"/>
                <w:szCs w:val="22"/>
                <w:u w:val="none"/>
              </w:rPr>
            </w:pPr>
          </w:p>
        </w:tc>
      </w:tr>
      <w:tr w14:paraId="13D8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12426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4BE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全科医疗科</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48FD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6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AF5C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测量患者呼出或吸入的气体流量及容量，根据容积-时间曲线和流量-容积曲线，分析得出人体呼吸生理的肺通气指标,便携式设计。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检测显示参数包含：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用力肺活量：FVC、FEV1、FEV3、FEV6、V backextrapol. ex、PEF、FEF25%、FEF50%、FEF75%、 FEF25%-75%（MMEF）、FEV1/FVC、FEV1/VC、V backextrapol.ex% FVC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慢肺活量：VC、IC、VT、IRV、ERV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最大分钟通气量：MVV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流量传感器：筛网式压差传感器；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流量测量范围：(0～14)L/s；流量精确范围：±10%或0.17 L/s，取其大者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容量测量范围：(0～8)L；容量精确范围：±3%或者±0.05L，取其大者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气流阻力：流量测量范围内小于0.35Kpa/(L/s)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频率响应：应不超过±12%或者±0.25 L/s，取其大者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定标：可配合定标筒进行标准定标及验证和3流量定标及验证；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软件功能：用力肺活量测试程序，包括：流量-容积曲线展示、容积-时间曲线展示，用力肺活量展示参数。根据报告样式模板预览报告、生成报告、打印报告。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操作：肺功能检查对象信息收集及管理模块：可录入检查对象基本信息、症状、危险因素、呼吸系统疾病史、身体测量结果、禁忌症、及定期的慢阻肺高危人群及患者的随访管理等信息；随访问卷模块：CAT、mMRC、COPD-SQ等问卷配置；账号管理及设置模块：账号及密码管理，账户基本信息配置，版本升级、设备管理、预计值选择、数据同步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云端数据平台：项目管理功能、质控管理功能、信息管理功能、报告管理模块、数据导出功能、数据共享、数据安全及平台可扩展功能。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系统连接：配备肺功能检查系统软件，数据及图像输出可通过USB、蓝牙方式传输。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数据传输：可通过数据传输模块将测量数据同步到云端，让医生实现远程查看测量结果；也可以导出Excel格式的历史检查数据。</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C91D">
            <w:pPr>
              <w:jc w:val="center"/>
              <w:rPr>
                <w:rFonts w:hint="eastAsia" w:ascii="宋体" w:hAnsi="宋体" w:eastAsia="宋体" w:cs="宋体"/>
                <w:i w:val="0"/>
                <w:iCs w:val="0"/>
                <w:color w:val="000000"/>
                <w:sz w:val="22"/>
                <w:szCs w:val="22"/>
                <w:u w:val="none"/>
              </w:rPr>
            </w:pPr>
          </w:p>
        </w:tc>
      </w:tr>
      <w:tr w14:paraId="30AD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7AF53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EFE42">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0585C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雾化泵</w:t>
            </w:r>
          </w:p>
        </w:tc>
        <w:tc>
          <w:tcPr>
            <w:tcW w:w="6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68D5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1、电 源:AC 220v(交流)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2、雾化率:≥0.6ml/min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3、空载压力:≥0.25MPa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4、自由流量:≥8.0L/min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5、残留量:&lt;0.4ml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6、雾化颗粒:中位粒径3.0um，1-5um占比≥80%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7、噪音:≤65dB(A权计)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8、尺寸:主机(长*宽*高)=194*184*106mm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9、不锈钢气嘴设计，结实耐用。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10、专业气泵，温升低，更安全。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11、内置消音器，低噪音，低振动。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12、机体外观融合人体工程学设计，方便移动。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AB67">
            <w:pPr>
              <w:jc w:val="center"/>
              <w:rPr>
                <w:rFonts w:hint="eastAsia" w:ascii="宋体" w:hAnsi="宋体" w:eastAsia="宋体" w:cs="宋体"/>
                <w:i w:val="0"/>
                <w:iCs w:val="0"/>
                <w:color w:val="000000"/>
                <w:sz w:val="22"/>
                <w:szCs w:val="22"/>
                <w:u w:val="none"/>
              </w:rPr>
            </w:pPr>
          </w:p>
        </w:tc>
      </w:tr>
      <w:tr w14:paraId="6C3E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7" w:hRule="atLeast"/>
        </w:trPr>
        <w:tc>
          <w:tcPr>
            <w:tcW w:w="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7A81D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3" w:type="dxa"/>
            <w:vMerge w:val="continue"/>
            <w:tcBorders>
              <w:top w:val="single" w:color="auto" w:sz="4" w:space="0"/>
              <w:left w:val="single" w:color="000000" w:sz="4" w:space="0"/>
              <w:bottom w:val="nil"/>
              <w:right w:val="single" w:color="000000" w:sz="4" w:space="0"/>
            </w:tcBorders>
            <w:shd w:val="clear" w:color="auto" w:fill="auto"/>
            <w:vAlign w:val="center"/>
          </w:tcPr>
          <w:p w14:paraId="164F09D9">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625D8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验光设备和器具</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灯箱：1、规格型号：按结构不同分为LED型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具体规格型号为标准对数（普通型5m）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2、功能：供医疗单位检查眼睛视力时用。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1）正常工作条件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a)环境温度：5℃～40℃；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b)相对湿度：≤80%；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c)大气压力：80kPa～106kPa；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d)使用电源：交流220V、50Hz。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LED型视力表灯箱外形尺寸如下表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 5m、标准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验光仪:                                                                                                               球镜范围：-19.00-+16.75D，步长0.25D/3.00D；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柱镜范围：0.00--6.00D（使用辅助柱镜视范围可达0.00—8.00-1），步长0.25m-1；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步长：0.25m-1;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柱镜轴位：范围0-180，步长5°；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交叉圆柱镜：±25D；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旋转棱镜：范围50-75mm，步长1mm；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瞳距：范围50-75mm，步长1mm；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远近视切换：焦距变化 ∞ - 380mm（光心距为64mm）；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前额支架：调节范围0-16mm；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镜眼距：16mm；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标准附件镜头：-2.00D/-0.12D，辅助柱镜各2块；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尺寸：338（L）*99（W）*292（H）mm；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净重：约5Kg；</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F521">
            <w:pPr>
              <w:jc w:val="center"/>
              <w:rPr>
                <w:rFonts w:hint="eastAsia" w:ascii="宋体" w:hAnsi="宋体" w:eastAsia="宋体" w:cs="宋体"/>
                <w:i w:val="0"/>
                <w:iCs w:val="0"/>
                <w:color w:val="000000"/>
                <w:sz w:val="22"/>
                <w:szCs w:val="22"/>
                <w:u w:val="none"/>
              </w:rPr>
            </w:pPr>
          </w:p>
        </w:tc>
      </w:tr>
      <w:tr w14:paraId="7FC7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6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3" w:type="dxa"/>
            <w:vMerge w:val="restart"/>
            <w:tcBorders>
              <w:top w:val="single" w:color="000000" w:sz="4" w:space="0"/>
              <w:left w:val="single" w:color="000000" w:sz="4" w:space="0"/>
              <w:bottom w:val="nil"/>
              <w:right w:val="single" w:color="000000" w:sz="4" w:space="0"/>
            </w:tcBorders>
            <w:shd w:val="clear" w:color="auto" w:fill="auto"/>
            <w:vAlign w:val="center"/>
          </w:tcPr>
          <w:p w14:paraId="12628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0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1.★测试速度：≥56样本/小时。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2.工作模式：全自动闭盖进样和手动开盖进样兼备，并有急诊样本优先检测功能，在全自动进样工作中可随时插入急诊标本，优先检测。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3.★急诊进样方式：要求可开盖进样，也可闭盖进样，避免具有传染病的标本造成污染。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4.★进样方式：全自动进样器一次性至少可放入≥35个标本，工作状态中可持续添加样本。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5.★测量原理：WBC五分类双通道检测（4diff通道+嗜碱通道），有独立的嗜碱性粒细胞检测通道。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6.测试参数：≥20项基本参数及≥3项研究参数和一个散点图、三个直方图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7.★检测通道：具备独立的4diff通道和嗜碱通道，实现真正的五分类检测。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8.检测精度：WBC≤2.5%，RBC≤1.5%，HGB≤1.5%，MCV≤1.5%, PLT≤4.0%。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9.操作软件：全中文操作，标配电脑主机即可实现中文输入输出。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10.样本模式：静脉全血、预稀释末梢血（配备内置稀释器，自动完成预稀释）。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11.★样本量：静脉全血≤21ul，预稀释末梢血≤20ul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12.★功能：≤21ul预稀释血可完成准确的五分类检测（非CBC计数），并可重复检测一次。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13.分析模式：具有全血、预稀释末梢血CBC+5DIFF模式。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14.采样针：采用侧开口设计，具有防“抵死”功能。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15.资料储存：海量存储样本完整结果，包括所有中文信息和全部散点图及直方图。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16.数据输出：具备USB接口和网络接口，有联网功能，可支持激光、喷墨、针式等多种打印机。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17.报告单格式：测量结果必须中文打印，多种报告格式可选。</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C99F">
            <w:pPr>
              <w:jc w:val="center"/>
              <w:rPr>
                <w:rFonts w:hint="eastAsia" w:ascii="宋体" w:hAnsi="宋体" w:eastAsia="宋体" w:cs="宋体"/>
                <w:i w:val="0"/>
                <w:iCs w:val="0"/>
                <w:color w:val="000000"/>
                <w:sz w:val="22"/>
                <w:szCs w:val="22"/>
                <w:u w:val="none"/>
              </w:rPr>
            </w:pPr>
          </w:p>
        </w:tc>
      </w:tr>
      <w:tr w14:paraId="0DAE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B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494A7D8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1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05A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测试原理：磁珠法和免疫比浊法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测试速度： 189PT/H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D二聚体检测速度：58T/H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凝固法检测通道： 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免疫比浊法检测通道：3个独立通道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预温通道：11个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急诊位：急诊样品任意插入，优先检测，不占其他样品位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标本位： 60个，均带LED指示灯，原试管直接插入，并可兼容微量标本特殊试管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试剂位：10个，均带LED指示灯，带试剂冷藏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测试杯：950个含钢珠测试杯自动单个连续导入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重复性误差：不大于3％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温度稳定性：±0.2℃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传送系统：具有高寿命、自动抓杯系统；机械手带抓杯感应功能，抓杯滑脱时能报警提示；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加样系统：双加样针：试剂和样本均带液位检测，试剂针带恒温控制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自动稀释：样本自动稀释，支持多试剂因子实验，异常标本自动重发试验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自动定标：定标曲线，多点定标机内自动完成倍比稀释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质控体系：用户可定义的质量控制程序，提供标准质控文件和统计图。</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E981">
            <w:pPr>
              <w:jc w:val="center"/>
              <w:rPr>
                <w:rFonts w:hint="eastAsia" w:ascii="宋体" w:hAnsi="宋体" w:eastAsia="宋体" w:cs="宋体"/>
                <w:i w:val="0"/>
                <w:iCs w:val="0"/>
                <w:color w:val="000000"/>
                <w:sz w:val="22"/>
                <w:szCs w:val="22"/>
                <w:u w:val="none"/>
              </w:rPr>
            </w:pPr>
          </w:p>
        </w:tc>
      </w:tr>
      <w:tr w14:paraId="0758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3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3D7EA4E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E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0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1.尿液分析工作站组合形式：尿液干化学有形成分分析一体机；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工作原理：采用机器视觉成像自动识别技术，进行尿液有形成分分析；采用光电比色法和折射法对尿液化学成分及理学项目进行检测；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3.一次吸样可完成有形成分和干化学项目的检测；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检测项目：干化学测定参数≥13个，可提供蛋白肌酐比、微量白蛋白肌酐比；尿有形成分测定参数≥25项；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吸样量：有形成分与干化学联合分析总吸样量≤2ml；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检测速度：有形成分检测模式≥98个测试/小时；干化学检测模式≥150个测试/小时；干化学+有形成分检测模式≥100个测试/小时；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携带污染率：干化学检测除比重和 pH 外各测试项目最高浓度结果的阳性标本，随后检测阴性样本，阴性样本不得出现阳性；有形成分分析仪对细胞的携带污染率应≤0.02%；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检出限：分析仪应能检出最小浓度水平为5个/μL的红细胞、白细胞样本；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审核规则：具有自定义审核规则设定界面；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自动调焦技术：仪器具有自动调焦技术，无需定焦液进行人工调焦；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11.可对检测区域进行全视野识别分析：拍摄图片收集视野数量≥58个；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★12.可提供红细胞位相参数：包括对红细胞大小、形状、色度的分析，可提供直方图≥3个，散点图≥2个；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条码识别：具有全自动条码扫描功能，自动识别标本信息；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急诊功能：具有急诊功能，随时插入标本进行检测；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待检区容量：一次可装载≥38份标本；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报告方式：有形成分检测可提供xx个/µl报告方式；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网络接口：标准网络接口，可以和LIS及HIS系统联网。</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097A">
            <w:pPr>
              <w:jc w:val="center"/>
              <w:rPr>
                <w:rFonts w:hint="eastAsia" w:ascii="宋体" w:hAnsi="宋体" w:eastAsia="宋体" w:cs="宋体"/>
                <w:i w:val="0"/>
                <w:iCs w:val="0"/>
                <w:color w:val="000000"/>
                <w:sz w:val="22"/>
                <w:szCs w:val="22"/>
                <w:u w:val="none"/>
              </w:rPr>
            </w:pPr>
          </w:p>
        </w:tc>
      </w:tr>
      <w:tr w14:paraId="1972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3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086F9B4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0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碳呼气试验设备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02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 、产品特点：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设备为三通道。</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2、大彩电容触摸屏。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、测试仪最短测量时间为125s,   最长测试时间为500s,   默认测试时间为250s。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4、采用算法软处理外部辐射，从而消除了约35%因随机辐射对机器检测精度的不良影响。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5、本机设置了辐射本底的智能跟踪，实时跟踪本底变化，不但消除了地域/时间变化引起 的外部辐射变化影响，既使在检测口内部被污染的情况下也能准确检测采集卡数据，降低了 误检率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6、本机可以对A、B、C 三个检测口分别自定义精度，解决了较高的检测精度往往需耗费较 长检测时间的问题，用户可以根据相应的应用场景需求，通过自定义A 、B 、C口不同的精 度组合，掌控精度和时间效率之间的均衡。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、AI本底实时跟踪。最大限度地排除了温湿度/地磁等环境变量对检测结果的影响。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8、采用了伽玛射线抑制算法，极大地改善环境本底对检测下限的不良影响。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9、“可见即可得”的指示灯配制，极大地方便了用户的操作，在多检测口场景下，解决了 频繁误操作的问题。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10、提供0、1、2、3、4、5档超高检测精度。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11、实时温湿度显示，保证有效使用环境。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12、伪影消除功能，解决了阳性样本残留辐射导致阴性样本检测结果的假阳性，极大地提高 了检测精度和对检测结果的可信性。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13、静电消除功能，极大的解决了检测结果的不稳定性和重复性。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14、支持电脑连接，连接医院系统。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二、幽门螺杆菌测试仪基本参数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仪器工作原理 电离计数方式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对14c本底的计数率 ≤45CPM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对14C标准源的探测效率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14C探测效率的相对变化 误差 ≤25%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测试仪检测样本的重复性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电源要求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 25VA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外形最大尺寸 345mm×280mm×245mm(长×宽×高)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最大重量 17.5 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分类 Ⅱ类、2级污染等级设备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外壳材料 ABS塑胶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5°C～40°C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 ≤70%、非冷凝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工作大气压力 86kPa～106kPa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工作环境 </w:t>
            </w:r>
          </w:p>
          <w:p w14:paraId="1DAA0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a.无霜冻、凝露、渗水、淋雨和日照；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b.应避免放射性污染和环境γ辐射及外界电磁场干扰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c.设备应有良好的接地，避免与其它大功率的用电设备同接 一 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d.注意保持设备使用环境干净，要定期对测量室进行清洁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e.放置于牢固可靠工作台上。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贮运温度 -10°C～50°℃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贮运湿度 相对湿度不大于75%、非冷凝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贮运大气压力 86kPa~106kPa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运输条件说明 在包装完好的条件下，可以汽车、火车、轮船或飞机等交通工具运输。装卸时应小心轻放、严禁暴力装卸、 严禁倒置。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储藏条件说明 无腐蚀性气体和通风良好的室温干燥室内。</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34B9">
            <w:pPr>
              <w:jc w:val="center"/>
              <w:rPr>
                <w:rFonts w:hint="eastAsia" w:ascii="宋体" w:hAnsi="宋体" w:eastAsia="宋体" w:cs="宋体"/>
                <w:i w:val="0"/>
                <w:iCs w:val="0"/>
                <w:color w:val="000000"/>
                <w:sz w:val="22"/>
                <w:szCs w:val="22"/>
                <w:u w:val="none"/>
              </w:rPr>
            </w:pPr>
          </w:p>
        </w:tc>
      </w:tr>
      <w:tr w14:paraId="1176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1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500F6A0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4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1.产品名称：电解质分析仪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2.检测项目：K+、Na+、Cl-、iCa2+、pH（nCa2+、TCa2+为计算参数）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3.方法学：离子选择电极法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4.测试速度：≤60s/标本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5.样本量：100ul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6.样本类型：血清、全血、尿液等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7.样本盘：单盘22个样本位（含2个急诊位）、支持离心管上机测试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8.采样能自动感应液面高度、带防撞保护功能，系统自动感应样本、一键测试。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9.操作系统：Linux操作系统，800×480彩色 LCD全触摸显示屏显示。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10.试剂系统：使用一体化纸质环保试剂包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11.可存储10万个以上的检测结果，内嵌式条码扫描仪。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12.输出方式：屏幕显示、高速热敏打印机、实时RS-232数据接口，支持LIS系统连接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13.质控查询范围：30天，可打印质控数据和曲线。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14.电极内充液有注册证书；</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2B65">
            <w:pPr>
              <w:jc w:val="center"/>
              <w:rPr>
                <w:rFonts w:hint="eastAsia" w:ascii="宋体" w:hAnsi="宋体" w:eastAsia="宋体" w:cs="宋体"/>
                <w:i w:val="0"/>
                <w:iCs w:val="0"/>
                <w:color w:val="000000"/>
                <w:sz w:val="22"/>
                <w:szCs w:val="22"/>
                <w:u w:val="none"/>
              </w:rPr>
            </w:pPr>
          </w:p>
        </w:tc>
      </w:tr>
      <w:tr w14:paraId="3E10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6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188C49C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工作温度：-10℃～+45℃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湿度：20% to 85% at 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电源：220V,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2.1主机及光学系统：无限远矫正光学系统；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2.2调焦：低位聚焦控制，自调节聚焦机制。载物台垂直运动距离不小于25mm，带聚焦粗调上限自动停止装置。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2.3粗调带助力功能，便于精准聚焦；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2.4观察镜筒：倾角为30°，目镜与镜筒集成在一起，螺丝固定防止脱落。配备用于安全旋转的指旋螺钉，可以随时任意旋转360度；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2.5照明装置：内装式，LED冷光源，连续亮度调节，色温恒定=6000K；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2.6物镜：平场消色差物镜，采用国际标准45mm齐焦距离。为适应不同样品观察，物镜需满足下面放大倍数及相应数值孔径：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4X（N.A=0.1）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10X（N.A=0.22）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40X（N.A=0.65）镜头内置保护弹簧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100X（N.A=1.25）镜头内置保护弹簧，油镜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2.7载物台：耐磨损载物台表面，尺寸≥185 mm (前面150 mm)宽x140mm深；圆形载物台边缘，无暴露齿条。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2.8样品夹：可单手操作样品夹；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2.9目镜：10X宽视野目镜，视野数≥20mm；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2.10物镜转换器：内顷式物镜转换器；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2.11聚光镜：稳定的预对焦和预制中聚光镜，防止使用过程中误操作导致位置变化。N.A≥0.9，具有物镜倍数对应标识，具有扩展相差等功能插槽；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2.12扩展功能：可扩展图像工作站，100W荧光，相差，暗场，2-5人共览等功能；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2.13防霉装置：在观察筒、目镜、物镜都做了防霉处理；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2.14主体构造、材质及防菌设计：主体结构为压铸铝，配备外部保险丝，方便更换。机体镀有银离子，有效防止细菌传播；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2.15主机机身配备USB插槽，可直接为摄像头等外置USB扩展设备供电；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2.16机身配备电源线绕线槽，方便收纳电源线；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2.17配备易搬运提手，可单手持握进行搬运。</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2A4B">
            <w:pPr>
              <w:jc w:val="center"/>
              <w:rPr>
                <w:rFonts w:hint="eastAsia" w:ascii="宋体" w:hAnsi="宋体" w:eastAsia="宋体" w:cs="宋体"/>
                <w:i w:val="0"/>
                <w:iCs w:val="0"/>
                <w:color w:val="000000"/>
                <w:sz w:val="22"/>
                <w:szCs w:val="22"/>
                <w:u w:val="none"/>
              </w:rPr>
            </w:pPr>
          </w:p>
        </w:tc>
      </w:tr>
      <w:tr w14:paraId="4CAA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8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45D3146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0E77">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便常规检测仪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7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1.检测速度：检测速度 ≥ 75个标本/小时（提供CFDA检测报告证明仪器速度达到此标准）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2.检测通道：流动石英计数池，通道数≥2通道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3.样本稀释方式： ≥5种以上稀释方式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4.金标项目报告格式：可定性和半定量报告模式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5.显微镜物镜：显微镜物镜≥2个，开机自动对焦，全自动一键对焦功能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6.金标卡孵育检测通道：≥20个独立检测单控孵育通道位，立体式多通道设计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7.混匀方式： 旋转混匀，混匀旋转速度可调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8.预设拍摄图片数量：可预设拍摄≥170视野，亦可自定义拍摄视野数目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9.吸样方式：吸样针从上往下穿刺，在采集杯中间吸样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10.有形成分检测：检测红细胞、白细胞、真菌、虫卵等成分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11.隐血化学物质检测：粪便金标隐血仪器可自动定性识别检测，无需人工判读。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12.金标检测项目：仪器可同时一次性吸样检测项目≥5个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13.金标孵育时间：标本一次吸样后仪器主机能满足同时≥3个不同时间点的检测：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粪便隐血设定4分钟，轮、腺病毒检测设定12分钟，HP检测设定10分钟，以上项目可以在多个不同反应时间点同时检测，使免疫学的结果更准确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14.标本送样量：待检区容纳标本数≥50个，轨道式进样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15.进样装置：自动进样，进、出样位有密封罩全密封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16.急诊功能：仪器主机进样特设独立急诊位，急诊标本随到随测，不占用试管架位，不影响批量处理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17.金标检测功能：≥5个卡盒，试剂位≥5个，批量标本间仪器可同时设定并检测≥3个不同反应时间的项目，根据免疫学反应的特性，粪便隐血设定3-5分钟，轮、腺病毒设定10-15分钟，幽门螺杆菌设定10-15分钟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18.采集杯滤网：≥2层滤网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19.采集杯腔体：</w:t>
            </w:r>
            <w:r>
              <w:rPr>
                <w:rFonts w:hint="eastAsia" w:ascii="宋体" w:hAnsi="宋体" w:eastAsia="宋体" w:cs="宋体"/>
                <w:i w:val="0"/>
                <w:iCs w:val="0"/>
                <w:color w:val="000000"/>
                <w:kern w:val="0"/>
                <w:sz w:val="22"/>
                <w:szCs w:val="22"/>
                <w:highlight w:val="none"/>
                <w:u w:val="none"/>
                <w:lang w:val="en-US" w:eastAsia="zh-CN" w:bidi="ar"/>
              </w:rPr>
              <w:t>≥3个腔体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20.图片拍摄方式：每个视野最多可拍摄≥8层图片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21.粪便有形成分质控品：注册仪器相同厂家的粪便有形成分质控品（提供注册证）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22.FOB和转铁蛋白多水平非定值质控品配套与仪器相同厂家FOB和转铁蛋白多水平非定值质控品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23.质控功能模块：软件自带功能质控功能模块，直接上机进行质控操作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24.通信功能:真正具有双向通讯双工功能</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88CB">
            <w:pPr>
              <w:jc w:val="center"/>
              <w:rPr>
                <w:rFonts w:hint="eastAsia" w:ascii="宋体" w:hAnsi="宋体" w:eastAsia="宋体" w:cs="宋体"/>
                <w:i w:val="0"/>
                <w:iCs w:val="0"/>
                <w:color w:val="000000"/>
                <w:sz w:val="22"/>
                <w:szCs w:val="22"/>
                <w:u w:val="none"/>
              </w:rPr>
            </w:pPr>
          </w:p>
        </w:tc>
      </w:tr>
      <w:tr w14:paraId="4718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33" w:type="dxa"/>
            <w:vMerge w:val="restart"/>
            <w:tcBorders>
              <w:top w:val="nil"/>
              <w:left w:val="single" w:color="000000" w:sz="4" w:space="0"/>
              <w:bottom w:val="single" w:color="000000" w:sz="4" w:space="0"/>
              <w:right w:val="single" w:color="000000" w:sz="4" w:space="0"/>
            </w:tcBorders>
            <w:shd w:val="clear" w:color="auto" w:fill="auto"/>
            <w:vAlign w:val="center"/>
          </w:tcPr>
          <w:p w14:paraId="426C2B7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9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听力计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5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纯音：用于基本听阈测试。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啭音：减少驻波干扰，适用于声场测听。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窄带噪声：用于掩蔽测试。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言语信号：如单词、句子，用于言语测听。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脉冲音：避免听觉适应，常用于儿童测试。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48FB">
            <w:pPr>
              <w:jc w:val="center"/>
              <w:rPr>
                <w:rFonts w:hint="eastAsia" w:ascii="宋体" w:hAnsi="宋体" w:eastAsia="宋体" w:cs="宋体"/>
                <w:i w:val="0"/>
                <w:iCs w:val="0"/>
                <w:color w:val="000000"/>
                <w:sz w:val="22"/>
                <w:szCs w:val="22"/>
                <w:u w:val="none"/>
              </w:rPr>
            </w:pPr>
          </w:p>
        </w:tc>
      </w:tr>
      <w:tr w14:paraId="69F2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0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3F25FE24">
            <w:pPr>
              <w:jc w:val="center"/>
              <w:rPr>
                <w:rFonts w:hint="eastAsia" w:ascii="宋体" w:hAnsi="宋体" w:eastAsia="宋体" w:cs="宋体"/>
                <w:i w:val="0"/>
                <w:iCs w:val="0"/>
                <w:color w:val="000000"/>
                <w:sz w:val="22"/>
                <w:szCs w:val="22"/>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8A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健康教育模型</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C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男性生殖器模型：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功能特点：此模型是男性盆腔正中矢状切面，阴茎矢状切面和盆腔剖面等4个部件组成，显示了男性内外生殖器官，男性尿道以及男性盆腔器官等结构。尺寸：28*23*28cm，PVC材质。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女性生殖器模型：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功能特点：此模型是女性盆腔正中矢状切模型，由3个部件组成，显示了女性生殖器官以及膀胱和直肠等结构。尺寸：27*23*28cm，PVC材质。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乳房模型：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展示了乳房乳腺癌、囊肿、纤维腺瘤和浸润性硬癌。模型还显示了乳房结构、脂肪组织、淋巴结、肌肉和肋骨等，尺寸：20*15*10cm,pvc材质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新生儿护理模型：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用可作为婴儿洗澡，更换衣物和尿片、眼、耳护理等训练和示教工具。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模型尺寸： 自然大，高52cm，宽19cm，厚11.5cm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以上各类婴儿模型有男婴、女婴任选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女性避孕器指导模型：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该模型根据女性内外生殖器的解剖原理设计，用于教授如何放入女性避孕装置以及引导栓剂等。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显示如下部位解剖结构：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膀胱   • 阴道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耻骨   • 子宫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大阴唇   • 尾骨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小阴唇   • 直肠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C87E">
            <w:pPr>
              <w:jc w:val="center"/>
              <w:rPr>
                <w:rFonts w:hint="eastAsia" w:ascii="宋体" w:hAnsi="宋体" w:eastAsia="宋体" w:cs="宋体"/>
                <w:i w:val="0"/>
                <w:iCs w:val="0"/>
                <w:color w:val="000000"/>
                <w:sz w:val="22"/>
                <w:szCs w:val="22"/>
                <w:u w:val="none"/>
              </w:rPr>
            </w:pPr>
          </w:p>
        </w:tc>
      </w:tr>
      <w:tr w14:paraId="7F75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F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3FE71F5F">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FEA2">
            <w:pPr>
              <w:jc w:val="center"/>
              <w:rPr>
                <w:rFonts w:hint="eastAsia" w:ascii="宋体" w:hAnsi="宋体" w:eastAsia="宋体" w:cs="宋体"/>
                <w:i w:val="0"/>
                <w:iCs w:val="0"/>
                <w:color w:val="000000"/>
                <w:sz w:val="22"/>
                <w:szCs w:val="22"/>
                <w:u w:val="none"/>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1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人体骨骼模型: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真人大小的、关节相连的塑料模型是基础解剖教学的理想模型，物美价廉。手臂和腿部可拆下供研究。显示神经分支、脊椎动脉和腰椎间盘等。头颅含可活动的下巴、可移动的头颅盖、骨缝线和三颗可取下的下牙。用PVC制成，可水洗，不破碎。尺寸：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人体肌肉模型: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肌肉人模型，真实的展现了人体完整的肌肉和器官解剖形态。此模型也精确的展示了人体的浅表，深层肌肉结构，肌腱形态，血管和人体结构形态。主要人体器官和肌肉可以拆装的，27部件，共有347个部位数字指示标志，以便于使用者更精确地理解和详细研究之用。尺寸：33*23*80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人体内脏模型: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躯干模型，其特征是：脊椎露在外面，其中一段脊椎可拆下，一块女性胸腔盖和可互换的男女生殖器官，女性子宫中含有一胎儿。可分成23件：躯干女性胸腔盖，头，眼球，脑，一块脊椎神经，肺（2件），心（2件），肝，肾，胃（2件），肠（4件），男性生殖器官（2件），女性生殖器官带胎儿（3件）。用PVC制成，安放于塑料座上。尺寸：85C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7969">
            <w:pPr>
              <w:jc w:val="center"/>
              <w:rPr>
                <w:rFonts w:hint="eastAsia" w:ascii="宋体" w:hAnsi="宋体" w:eastAsia="宋体" w:cs="宋体"/>
                <w:i w:val="0"/>
                <w:iCs w:val="0"/>
                <w:color w:val="000000"/>
                <w:sz w:val="22"/>
                <w:szCs w:val="22"/>
                <w:u w:val="none"/>
              </w:rPr>
            </w:pPr>
          </w:p>
        </w:tc>
      </w:tr>
      <w:tr w14:paraId="1BD8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1"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3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19366E9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0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心脏复苏模拟人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6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该产品功能进行全面升级，突出CPR训练操作的铺助功能，以及可自行设定各项数值，更加符合临床和教学练习CPR操作要求。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执行标准：美国心脏学会(AHA)2015国际心肺复苏(CPR)＆心血管急救(ECC)指南标准。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模拟人解剖特征明显，手感真实，肤色统一，形态逼真，外形美观。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模拟生命体征：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初始状态时，模拟人瞳孔散大，颈动脉无搏动。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按压过程中，模拟人颈动脉被动搏动，搏动频率与按压频率一致。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抢救成功后，模拟人瞳孔恢复正常，颈动脉自主搏动。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瞳孔缩放和颈动脉搏动由开关可开启和关闭。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可进行人工呼吸和心外按压。可进行标准气道开放，气道指示灯变亮。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三种操作方式：可进行CPR训练、模式考核和实战考核。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方式一：CPR训练，可进行按压和吹气训练。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方式二：模式考核，在设定的时间内，根据2015国际心肺复苏标准，正确按压和吹气数30：2的比例，完成5个循环操作。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方式三：实战考核，老师可自行设定操作时间范围、操作标准、循环次数、操作频率、按压和吹气的比例。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控制器显示屏功能：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电子监测：电子指示灯显示监测气道开放和按压部位。人工呼吸和胸外按压的正确次数计数和错误次数计数。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语音提示：训练和考核中全程中文语音提示，可开启和关闭语音，调节音量。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条形码显示吹气量：正确的吹气量为500~600ml-1000ml：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吹气量过少时，条形码为黄色。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吹气量合适时，条形码为绿色。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吹气量过大时，条形码为红色。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吹入的潮气量过快或超大，造成气体进入胃部指示灯显示；数码计数显示；错误语言提示；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条形码显示按压深度，正确的按压深度5-6cm：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按压深度过少时，条形码为黄色。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按压深度合适时，条形码为绿色。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按压深度过大时，条形码为红色。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可自行设定操作时间，以秒为单位。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操作频率：2015标准为至少100次/分，也可自行设定数值。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电源状态：采用220V电源，经过稳压器稳压后输出电源12V。（可选加装锂电池，适用于无外接电源的情况下直接使用。）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操作结束后打印操作过程。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绩单内容涵盖操作方式、意识判断、急救呼吸、脉搏检查、检查呼吸、清除异物、操作频率、按压与吹气比例、循环次数、每个循环操作中按压和吹气的次数、按压正确/错误次数、按压错误的原因和次数、吹气正确/错误的原因和次数、吹气错误的原因、设定时间、操作时间和考核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皮肤、颈皮肤、胸皮肤、头发，采用进口热塑弹性体混合胶材料，由不锈钢模具、经注塑机高温注压而成，具有解剖标志准确、手感真实、肤色统一、形态逼真、外形美观、经久耐用、消毒清洗不变形，拆装更换方便等特点，其材料达到国外同等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9FA4">
            <w:pPr>
              <w:jc w:val="center"/>
              <w:rPr>
                <w:rFonts w:hint="eastAsia" w:ascii="宋体" w:hAnsi="宋体" w:eastAsia="宋体" w:cs="宋体"/>
                <w:i w:val="0"/>
                <w:iCs w:val="0"/>
                <w:color w:val="000000"/>
                <w:sz w:val="22"/>
                <w:szCs w:val="22"/>
                <w:u w:val="none"/>
              </w:rPr>
            </w:pPr>
          </w:p>
        </w:tc>
      </w:tr>
      <w:tr w14:paraId="01BD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2B73AB3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婴儿智能体检仪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6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1、无接触式超声波传感器测量身长；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2、称重传感器自动测量体重；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3、采用双轨外滑道方式移动挡脚板，量板床宽敞，造型美观；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4、环保工程塑料整体成型外壳，安全舒适；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5、液晶屏显示，身高体重一目了然；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6、语音提示，音量可调，测量值播报；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7、体重测量采用三点校准法。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8、体重测量范围0-60Kg，测量精度±0.05mmKg；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9、身高坐高测量范围40-100cm，测量精度±5mm；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10、标配脚踏开关，操作更方便；</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24B6">
            <w:pPr>
              <w:jc w:val="center"/>
              <w:rPr>
                <w:rFonts w:hint="eastAsia" w:ascii="宋体" w:hAnsi="宋体" w:eastAsia="宋体" w:cs="宋体"/>
                <w:i w:val="0"/>
                <w:iCs w:val="0"/>
                <w:color w:val="000000"/>
                <w:sz w:val="22"/>
                <w:szCs w:val="22"/>
                <w:u w:val="none"/>
              </w:rPr>
            </w:pPr>
          </w:p>
        </w:tc>
      </w:tr>
      <w:tr w14:paraId="35E4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9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7D440B2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E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肺活量仪是用于测量肺功能的医疗或运动设备，主要用于评估呼吸系统健康、肺活量、用力肺活量、一秒率等关键指标。以下是其主要参数及功能说明：基本参数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肺活量：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成人：通常 2~7 L（男性平均约4.5 L，女性约3.2 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儿童：1~5 L（随年龄增长变化）。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用力肺活量：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正常范围与VC接近，但可能略低（因气道阻力）。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一秒量：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正常值：≥80% 预计值（与年龄、性别、身高相关）。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B503">
            <w:pPr>
              <w:jc w:val="center"/>
              <w:rPr>
                <w:rFonts w:hint="eastAsia" w:ascii="宋体" w:hAnsi="宋体" w:eastAsia="宋体" w:cs="宋体"/>
                <w:i w:val="0"/>
                <w:iCs w:val="0"/>
                <w:color w:val="000000"/>
                <w:sz w:val="22"/>
                <w:szCs w:val="22"/>
                <w:u w:val="none"/>
              </w:rPr>
            </w:pPr>
          </w:p>
        </w:tc>
      </w:tr>
      <w:tr w14:paraId="0308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1B8A42F8">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电子血压计是一种用于测量血压和心率的医疗或家用设备。其核心参数涉及测量范围、精度、袖带规格、适用人群等。以下是详细分类说明：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基本测量参数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参数范围说明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收缩压 0~300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正常值：90~140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舒张压: 0~250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正常值：60~90 mmHg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心率 40~200 bpm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正常值：60~100 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2.关键性能参数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国际标准：AAMI/ESH/ISO 81060-2（误差要求：±3 mmHg 或 ±2%）。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BHS（英国高血压协会）分级：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A级（最优）：误差≤5 mmHg（≥90%测量值）。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B级：误差≤10 mmHg（≥85%测量值）。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C级：误差≤15 mmHg（≥80%测量值）。  </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518B">
            <w:pPr>
              <w:jc w:val="center"/>
              <w:rPr>
                <w:rFonts w:hint="eastAsia" w:ascii="宋体" w:hAnsi="宋体" w:eastAsia="宋体" w:cs="宋体"/>
                <w:i w:val="0"/>
                <w:iCs w:val="0"/>
                <w:color w:val="000000"/>
                <w:sz w:val="22"/>
                <w:szCs w:val="22"/>
                <w:u w:val="none"/>
              </w:rPr>
            </w:pPr>
          </w:p>
        </w:tc>
      </w:tr>
      <w:tr w14:paraId="63F6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0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4CD7BB8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1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水银血压计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D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一、工作原理 由臂带充气压迫测量部位阻断血流，然后通过排放臂带中气体，使血液再次流动。血压测量就是根据血液再次流动时发出的血流声音或血管壁的振动变化而判断的。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二、主要材料 铝板、汞、乳胶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三、技术参数 测量范围：0-300mmHg(0-40kPa)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3.1基本误差：±3.75mmHg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3.2灵敏度：≥2.25mmHg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3.3外型尺寸：约350*92*50mm</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1A83">
            <w:pPr>
              <w:jc w:val="center"/>
              <w:rPr>
                <w:rFonts w:hint="eastAsia" w:ascii="宋体" w:hAnsi="宋体" w:eastAsia="宋体" w:cs="宋体"/>
                <w:i w:val="0"/>
                <w:iCs w:val="0"/>
                <w:color w:val="000000"/>
                <w:sz w:val="22"/>
                <w:szCs w:val="22"/>
                <w:u w:val="none"/>
              </w:rPr>
            </w:pPr>
          </w:p>
        </w:tc>
      </w:tr>
      <w:tr w14:paraId="337D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060ED3F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6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参数表: ACON (血红蛋白分析仪Hb)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测试原理 :反射光度法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标本类型 :毛细血管血或静脉血；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★加样量: 10μL;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★测试速度: 小于15秒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★显示结果; Hb、HCI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测试范围: 45g/l-256g/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★显示(单位制): g/dL、g/L、mmol/L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★存储功能: 自动储存和更新1000个样品数据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校正功能 :Code Chip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仪器重量 ;102g(不含电池)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 127x58x25mm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 ：市场常售电池(7号电池)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 ；10-40℃,相对湿度&lt;90%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★精密度： Hb 45g/L-100g/L范围内，标准偏差(SD)应≤8g/L;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Hb 100g/L-256g/L范围内，变异系数(CV)应≤3%。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 ：Hb 45g/L-100g/L范围内，偏差应在±10g/L范围内；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Hb 100g/L-256g/L范围内，相对偏差应在±4%范围内。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★报警功能： 试剂条过期报警功能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匹配试剂 ：血红蛋白试纸条(干式化学法)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贮存条件：(试纸) 2-30℃干燥处密封保存，请勿冷冻保存；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★有效期(试纸)： 24个月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质控品 ：原厂配置质控品(3个浓度梯度)选配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联机操作： USB端口</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CE9">
            <w:pPr>
              <w:jc w:val="center"/>
              <w:rPr>
                <w:rFonts w:hint="eastAsia" w:ascii="宋体" w:hAnsi="宋体" w:eastAsia="宋体" w:cs="宋体"/>
                <w:i w:val="0"/>
                <w:iCs w:val="0"/>
                <w:color w:val="000000"/>
                <w:sz w:val="22"/>
                <w:szCs w:val="22"/>
                <w:u w:val="none"/>
              </w:rPr>
            </w:pPr>
          </w:p>
        </w:tc>
      </w:tr>
      <w:tr w14:paraId="6F33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3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5FB1F24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8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儿童保健体检仪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08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1.产品适宜各级妇幼保健医院、社区卫生服务中心、城乡卫生院、幼儿园、小学为儿童保健和体检之用，也可作为公共卫生服务的专用体检设备；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2.立式台面精密测量身高及称重机构,用于3-7岁幼儿体检。所测身高、体重可按WHO/中国九市标准营养等级评价，由数码显控仪表清晰显示；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3.身高测量范围：80-150cm 读书精度为： ±1mm；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4.电子秤称量范围为0－60kg </w:t>
            </w:r>
          </w:p>
          <w:p w14:paraId="4D279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称重精度：±50g, 并有：去皮、置零、校秤、修改、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自动锁定重量的功能;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5.标准RS232接口，可与PC机联网通讯；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6.电源：电源适配器；直流输出9V 1A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7.造型轻巧美观、移动方便、使用简单、性能稳定可靠。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632E">
            <w:pPr>
              <w:jc w:val="center"/>
              <w:rPr>
                <w:rFonts w:hint="eastAsia" w:ascii="宋体" w:hAnsi="宋体" w:eastAsia="宋体" w:cs="宋体"/>
                <w:i w:val="0"/>
                <w:iCs w:val="0"/>
                <w:color w:val="000000"/>
                <w:sz w:val="22"/>
                <w:szCs w:val="22"/>
                <w:u w:val="none"/>
              </w:rPr>
            </w:pPr>
          </w:p>
        </w:tc>
      </w:tr>
      <w:tr w14:paraId="46C5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5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B1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悬挂式手术无影灯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A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1、超长的使用寿命：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采用新型LED冷光源，寿命可达6.5万小时以上，无需更换灯泡。优于传统卤素灯，又能满足节能与环保的要求。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2、完美的冷光效果：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采用新型LED冷光源，光谱中没有紫外线和红外线，既没有热量也没有辐射，医生头部和伤口区域温升≤1℃，几乎无温升。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3、理想的符合净化要求的外形设计：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全封闭流线型的灯头设计符合空气动力学的设计原理，彻底消除了净化空气中的流动死角，满足了现代手术室高标准的层流要求，有利于手术室的无菌要求。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4、人性化界面设计：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可根据医院对不同手术照明的需求改变照明亮度。可选配新型LED触摸液晶控制面板，实现照明的开关及对照度、色温、亮度模式的调节。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5、超强的深部照明，完美的无影效果：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LED灯头的整体设计使光束聚集为一个高亮度的均匀光柱，从而保证了柔和均匀的深部聚集效果，保证手术对高亮度，高深度的照明需求。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6、色温可调功能：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LED-700型手术无影灯的色温从3500K到6700K六档可调，使诊断更加准确，并且不会使医护人员因长时间工作而产生眼睛疲劳。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7、良好的悬挂系统：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轻巧的优质平衡臂悬挂系统（可选配进口臂），六组万向关节联动，360度全方位设计，可满足手术中的各种高度、角度和体位的需要，移动方便，定位准确。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8、明亮均匀的照明：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LED光源发出的光束透过特殊设计的高性能透镜在手术区域聚焦汇成满足手术照明所需的光域；最大照明度可达180.000LUX。采用数字方式无级调控LED的亮度，每个灯头的照明度可以分别调节。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9、故障率极低：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每一个LED模块含有10个LED灯珠，每一个模块含有独立电子控制系统，灯头具有非常低的故障率，单个LED的故障不会影响灯头的功能。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10、低产热：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LED的更大优势在于它产热少，因为它几乎不发射红外线或紫外线。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LED灯泡数量 80个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照度（Lux） 60000—180000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色温（K） 3500—6700K可调/3500—6700K可调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光斑直径（mm） 150-350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调光系统 无极调光系统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显色指数 ≥85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照明深度（mm） ≥1200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术者头部温升（℃）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术野区域温升(℃)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演色性指数(CRI) ≥96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色彩还原指数 ≥97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输入功率（Ｗ） 180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最低/最佳安装高度 2.2米/2.7-3.0米</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E530">
            <w:pPr>
              <w:jc w:val="center"/>
              <w:rPr>
                <w:rFonts w:hint="eastAsia" w:ascii="宋体" w:hAnsi="宋体" w:eastAsia="宋体" w:cs="宋体"/>
                <w:i w:val="0"/>
                <w:iCs w:val="0"/>
                <w:color w:val="000000"/>
                <w:sz w:val="22"/>
                <w:szCs w:val="22"/>
                <w:u w:val="none"/>
              </w:rPr>
            </w:pPr>
          </w:p>
        </w:tc>
      </w:tr>
      <w:tr w14:paraId="5D08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1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0AD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D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E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1.★两个3.5英寸触摸屏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2.标配台车，通过升级可组合成6通道注射4通道输液的输注集成系统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3.自动识别注射器：规格为5ml 、10ml、20 ml、30 ml、50（60）ml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4.≥8种注射模式可选，支持梯度模式、首剂量模式、序列模式、TIVA模式、微量模式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5.具备级联模式，可设置第二通道开启时间。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6.输注速率最大支持2000ml/h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7.阻塞级别：10级可选择，动态显示管路的压力状态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8.★具有手动快进、快速定量快进、自动快进等三种快进方式可选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9.支持配置药物库, 可存储至少2000种药物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10.声音音量等级：可调10级报警音量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11.夜间模式：可自动降低亮度和报警音量，时间段可调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防护等级IP34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13.界面风格可设置多种主题颜色，以便通过颜色快速识别输注药物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14.★具有“按键”放大显示输注速度功能，一键放大输注速度数值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15.内置锂电池，以5ml/h速度注射，可实现工作时间最长不少于20h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16.★可联网输注中央监护系统，实现远程集中监护10个科室，并且每个科室可显示50个房间和50个床位的输注信息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17.★可联网输注中央监护系统，其具有持续质量改进功能，并新建形成报告，用于统计输注报警事件、药物液量、输注模式等进行统计对比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18.可联网输注中央监护系统，支持显示监护仪数据，并与患者的用药情况进行同屏显示，为临床治疗提供参考</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4D25">
            <w:pPr>
              <w:jc w:val="center"/>
              <w:rPr>
                <w:rFonts w:hint="eastAsia" w:ascii="宋体" w:hAnsi="宋体" w:eastAsia="宋体" w:cs="宋体"/>
                <w:i w:val="0"/>
                <w:iCs w:val="0"/>
                <w:color w:val="000000"/>
                <w:sz w:val="22"/>
                <w:szCs w:val="22"/>
                <w:u w:val="none"/>
              </w:rPr>
            </w:pPr>
          </w:p>
        </w:tc>
      </w:tr>
      <w:tr w14:paraId="4660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2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83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0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 X射线系统（DR）</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F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1、设备用途：用于头颅、脊柱、四肢、胸部、腹部等全身站立位和卧位的数字X线摄影系统.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2、技术参数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2.1电源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2.2电压：380V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w:t>
            </w:r>
            <w:r>
              <w:rPr>
                <w:rFonts w:hint="eastAsia" w:ascii="宋体" w:hAnsi="宋体" w:eastAsia="宋体" w:cs="宋体"/>
                <w:i w:val="0"/>
                <w:iCs w:val="0"/>
                <w:color w:val="auto"/>
                <w:kern w:val="0"/>
                <w:sz w:val="22"/>
                <w:szCs w:val="22"/>
                <w:u w:val="none"/>
                <w:lang w:val="en-US" w:eastAsia="zh-CN" w:bidi="ar"/>
              </w:rPr>
              <w:t>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2.4容量：≥85kVA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3、高压发生装置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3.1最大输出功率：≥50kW </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3.2主逆变频率：≥500kHz</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3.3摄影管电压：40-150KV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3.4摄影管电流：≥620mA </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★3.5摄影时间：1-10000ms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3.6摄影mAS：≥0.1mAS-620mAS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4、X射线管组件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4.1靶材：钼基铼-钨复合靶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4.2靶角：12°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4.3标称管电压：≥150 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4.4输出功率：大焦点≥74kW，小焦点≥30kW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★4.4阳极热容量 ：≥300KHU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4.5阳极最大热耗散：≥750W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4.6组件热容量：≥1300KHU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★4.7旋转阳极速度：≥8400min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4.8球管焦点：大焦≤1.2/小焦≤0.6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★4.9球管离地最低：≤35cm</w:t>
            </w:r>
            <w:r>
              <w:rPr>
                <w:rFonts w:hint="eastAsia" w:ascii="宋体" w:hAnsi="宋体" w:eastAsia="宋体" w:cs="宋体"/>
                <w:b/>
                <w:bCs/>
                <w:i w:val="0"/>
                <w:iCs w:val="0"/>
                <w:color w:val="000000"/>
                <w:kern w:val="0"/>
                <w:sz w:val="22"/>
                <w:szCs w:val="22"/>
                <w:u w:val="none"/>
                <w:lang w:val="en-US" w:eastAsia="zh-CN" w:bidi="ar"/>
              </w:rPr>
              <w:t>(提供证明文件)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5、限束器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5.1限束器视野灯：卤素灯，AC24V/100W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5.2可见光照射亮度：平均照射亮度：≥180Lux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5.3照明灯开启限时时间：≥30S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6、移动摄影床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★6.1为方便使用要求床体可推动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7、平板探测器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7.1平板探测器：非晶硅图像传感器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7.1.1像素尺寸：≤139μm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7.1.2有效像素尺寸：≥3072（H）*3072（V）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7.1.3有效区域 (H x V)：≥430（H）*430（V）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7.1.4空间分辨率：≥3.6Lp/mm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7.1.5能量范围：40kV -150kVP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7.1.6电源输入：DC24V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7.2配备两块可插拔专距专用滤线栅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8、图像采集工作站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8.1计算机系统：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8.1.1计算机：台式机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8.1.2处理器：英特尔四核处理器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8.1.3内存：≥8GB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8.1.4硬盘：≥1T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8.1.5显示器：≥19英寸"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★8.1.6球管端配备触摸控制面板，面板尺寸≥10英寸</w:t>
            </w:r>
            <w:r>
              <w:rPr>
                <w:rFonts w:hint="eastAsia" w:ascii="宋体" w:hAnsi="宋体" w:eastAsia="宋体" w:cs="宋体"/>
                <w:b/>
                <w:bCs/>
                <w:i w:val="0"/>
                <w:iCs w:val="0"/>
                <w:color w:val="000000"/>
                <w:kern w:val="0"/>
                <w:sz w:val="22"/>
                <w:szCs w:val="22"/>
                <w:u w:val="none"/>
                <w:lang w:val="en-US" w:eastAsia="zh-CN" w:bidi="ar"/>
              </w:rPr>
              <w:t>(提供图片证明文件)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★8.1.7近台触控屏需可以显示人体图形化模型，可以显示3D摆位指示引导患者迅速摆位</w:t>
            </w:r>
            <w:r>
              <w:rPr>
                <w:rFonts w:hint="eastAsia" w:ascii="宋体" w:hAnsi="宋体" w:eastAsia="宋体" w:cs="宋体"/>
                <w:b/>
                <w:bCs/>
                <w:i w:val="0"/>
                <w:iCs w:val="0"/>
                <w:color w:val="000000"/>
                <w:kern w:val="0"/>
                <w:sz w:val="22"/>
                <w:szCs w:val="22"/>
                <w:u w:val="none"/>
                <w:lang w:val="en-US" w:eastAsia="zh-CN" w:bidi="ar"/>
              </w:rPr>
              <w:t>(提供证明文件)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★8.1.8近台触控屏可以画面自适应，对于胸片位床下位可以通过重力感应画面转换方便各个角度下观看图像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★8.1.9近台触控屏与工作站电脑信息同步，双向传输无需重复录入信息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8.1.10配备DAP剂量显示功能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8.2工作站软件：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8.2.1基本功能：注册；新建病人；急诊注册；预约注册；RIS注册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8.2.2本地数据库：设置查询条件；查询结果排序和修改标题栏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8.2.3检查：编辑病人基本信息；输出病人检查；关闭检查；删除已登记检查；保护已有检查；多协议检查；检查中添加、删除和复制体位；拒绝采集的影像；恢复拒绝的影像；多检查协议之间的切换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8.2.4附加功能：调整曝光参数和曝光序列顺序；保存调整的曝光技术参数；调整X射线球管和Bucky的方位；平板状态指示；曝光状态显示；发生器控制；图像预览。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8.2.5超十万幅临床数据库保证了强大的预处理能力，90%以上图片无需后处理，即可直接用于诊断；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8.2.6系统管理功能：工作站信息；用户管理；急诊注册设置；信息统计；探测器校正；配置工具。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8.2.7用户管理：新增用户；用户权限设置；用户密码修改；删除用户。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8.2.8急诊注册设置：新建急诊注册；删除急诊注册；修改急诊注册信息；默认检查协议。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8.2.9系统远程维护，故障自我诊断并显示故障代码，快速准确判断故障状态，并具备自我保护功能。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8.2.10设备配备自动对中，自动跟踪，自动曝光控制功能(提供证明文件)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8.2.11平板在线充电功能，胸片架，摄影床片盒都有充电口，快速充电持久续航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A977">
            <w:pPr>
              <w:jc w:val="center"/>
              <w:rPr>
                <w:rFonts w:hint="eastAsia" w:ascii="宋体" w:hAnsi="宋体" w:eastAsia="宋体" w:cs="宋体"/>
                <w:i w:val="0"/>
                <w:iCs w:val="0"/>
                <w:color w:val="000000"/>
                <w:sz w:val="22"/>
                <w:szCs w:val="22"/>
                <w:u w:val="none"/>
              </w:rPr>
            </w:pPr>
          </w:p>
        </w:tc>
      </w:tr>
      <w:tr w14:paraId="4F67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8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D79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胶片激光打印机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打印技术:激光成像打印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分辨率:508dpi/254dpi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胶片输入:24小时可打印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胶片供片盒:2个装片盒(可打印4个不同尺寸的胶片)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灰度对比度分辨率:14比特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内存卡:4GB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打印速度:35x43cm(14“x17”)2100张/小时，20x25cm(8“x10”)2120张/小时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胶片类型/尺寸:恒益彩激光胶片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35x43cm(14”x17”)，每盒100张;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26x36cm(10”x14”)，每盒150张;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25x30cm(10“x12”)，每盒150张;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20x25cm(8”x10”)，每盒150张。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密度调节:自动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网络协议:DICOM连接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重量:104kg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电源:输入电压:AC 100V-240V/单相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环境条件:存放温度:15-30℃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存放湿度:40-70%RH(15℃)至15-70%RH(30℃)(无结露）</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92C2">
            <w:pPr>
              <w:jc w:val="center"/>
              <w:rPr>
                <w:rFonts w:hint="eastAsia" w:ascii="宋体" w:hAnsi="宋体" w:eastAsia="宋体" w:cs="宋体"/>
                <w:i w:val="0"/>
                <w:iCs w:val="0"/>
                <w:color w:val="000000"/>
                <w:sz w:val="22"/>
                <w:szCs w:val="22"/>
                <w:u w:val="none"/>
              </w:rPr>
            </w:pPr>
          </w:p>
        </w:tc>
      </w:tr>
      <w:tr w14:paraId="7BBB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D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2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6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7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环境温度5℃-40℃；相对湿度≤80%；供气压力范围 0.6—0.80Mpa, 流量≥80Nl/min；水源水压范围 0.2—0.4Mpa, 流量≥5L/min。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2.牙椅注册使用期限为≥15年。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3.感应式LED冷光灯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照度可进行无极调节，照度7000Lux—32000Lux，无接触式控制，色温4500K—5700K。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4.牙科椅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 牙科椅整体采用金属材质骨架和底座，座椅承重范围≥150kg，可承受≥150kg*4的载荷试验；座椅升降范围 ：最低≤410mm，最高≥750mm；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 牙科椅具备直流∕变频∕调速系统，低压直流电机具有升降瞬间延时功能，使病人感觉不到椅子的瞬间冲力，无顿挫感；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4.3牙科椅表面皮革采用接触面无缝工艺缝制，便于感控；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4.4座椅扶手为前翻式设计，扶手连接处位于椅身中部，不阻碍医生腿部动作；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4.5牙科椅头靠可在360度范围内旋转设置任意角度，长度可伸缩调整，纵向长度不小于150mm，并可满足儿童位、轮椅位、手术位等特殊椅位需求；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4.6牙椅设置不少于4组物理安全开关，避免设备误操作的风险，确保人员和设备的安全：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4.7可通过内置指令控制牙椅的各项功能，包括牙椅的升降俯仰、口腔灯开关、冲盂及漱口供水、记忆椅位调节、预设位调节等，每次输入指令后，牙椅会响应指令并有相应的应答功能；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4.8配置多种联动功能：口腔灯与椅位；漱口水与冲盂、痰位与冲盂联动。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5.消毒抑菌系统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配带一键全自动智能进行消毒和清洗两种模式进行消毒抑菌。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5.1智能消毒系统： 牙椅进入消毒模式时可独立的消毒水瓶供水；一键即可实现水路管道冲洗、消毒液注入、静置、再冲洗全流程，无需手动逐步操作；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5.2手机水管冲洗功能，方便每次治疗前后进行单独手机管道冲洗，满足对水路日常维护的要求。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5.3具有排空吹干功能，防止细菌滋生。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6.医师治疗台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6.1医师治疗台为下挂式，可灵活广泛的移动、带气锁功能，平稳无抖动；配有透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明整体防污罩,防污罩可以对器械盘及按键做整体保护及防止交叉感染；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 独立防脱式五联枪架，预留洁牙机升级位，可根据实际需求进行枪架扩充，枪架可向器械盘内旋转55°，可向器械盘外旋转35°，方便医生使用；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配置有全电脑触摸控制面板，包括≥19个功能按键和：管路消毒键、锁屏键、设置键、水杯加热键、口腔灯键、漱口水键、冲盂水键、痰位键、牙椅升、降、俯、仰键、复位键、椅位记忆1、椅位记忆2、椅位记忆3、医生选择键、急救位键、一键下班位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6.4配≥3.5寸彩色显示屏，可显示牙椅运行状态、智能联动、用户选择显示、水温精准调节和显示，消毒进度显示、故障代码显示、闹铃设置与显示、消毒记录查询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6.5器械盘侧面外置可视气压表、总气开关及独立式水量调节旋钮，方便单独调节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每一支手机器械工作水压。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7.主箱体单元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7.1可旋转式侧箱，内部为金属框架，坚固耐用；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7.2侧箱外壳材质为优质高分子材料，耐酒精消毒，耐色变；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7.3强弱吸过滤器为外置旋入式设计，其过滤精度≤1㎜²，有效过滤面积≥600㎜²，过滤体积≥20㎜³，能更加精细地过滤，并可容纳更多固体污染物而不堵塞过滤器，强弱吸过滤器滤网采用医用高分子材料，耐酸碱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7.4外置式纯净水瓶，水转换开关和水瓶气开关均外置，容量≥1L。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8.痰盂组件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配置可拆卸式陶瓷痰盂，可配感应取水功能，痰盂整体可向内、向外各旋转90度。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9.助手架单元：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9.1多关节的助手架方便使用，可水平旋转，垂直抽拉；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9.2四联独立挂架，每个挂架均可独立旋转；枪架采用光电感应控制；带≥10键位触摸副控面板，包括：口腔灯、漱口水、冲盂水、复位键、痰位键、锁屏键以及牙科椅升、降、俯、仰；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9.3带三用枪、强弱吸手柄各1支；预留光固化枪位。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10.脚踏开关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可控制手机工作、有无水、吹屑气开关，可控制手术灯开启及关闭。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11.配置医生椅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至少有六个方位可调节，采用静音脚轮。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1.治疗机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2.电动驱动牙科椅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3.下挂式医生工作台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4.感应LED冷光灯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5.可旋转连体侧箱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6.可拆卸式痰盂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7.多功能脚踏开关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8.内置热水系统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9.液晶显示屏1套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10.牙椅同品牌高速手机 2支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11.牙枯同品牌低速手机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12.三用枪 2套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13.强、弱吸系统 各1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14.纯净水系统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15.医师椅1套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6250">
            <w:pPr>
              <w:jc w:val="center"/>
              <w:rPr>
                <w:rFonts w:hint="eastAsia" w:ascii="宋体" w:hAnsi="宋体" w:eastAsia="宋体" w:cs="宋体"/>
                <w:i w:val="0"/>
                <w:iCs w:val="0"/>
                <w:color w:val="000000"/>
                <w:sz w:val="22"/>
                <w:szCs w:val="22"/>
                <w:u w:val="none"/>
              </w:rPr>
            </w:pPr>
          </w:p>
        </w:tc>
      </w:tr>
      <w:tr w14:paraId="1995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D63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牙科治疗机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7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 ～220V±10％  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2.输入功率：600W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3.保险管规格：F 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4.高速手机管： 空载转速≥300000 r/min（四孔）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工作压力 0.26MPa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5.低速手机管： 空载转速 20000 r/min（四孔）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可正、反转，配直机、弯机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6.三用枪：   可喷水、喷气、喷雾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7.吸唾器（气吸）：气压为400kPa时，真空度可达到10kPa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气压为400kPa时，抽水率不小于400ml/min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8.外形尺寸：长×宽×高﹦45×31×65（单位：cm）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铝合金壳体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内置的无油空气压缩机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DCEA">
            <w:pPr>
              <w:jc w:val="center"/>
              <w:rPr>
                <w:rFonts w:hint="eastAsia" w:ascii="宋体" w:hAnsi="宋体" w:eastAsia="宋体" w:cs="宋体"/>
                <w:i w:val="0"/>
                <w:iCs w:val="0"/>
                <w:color w:val="000000"/>
                <w:sz w:val="22"/>
                <w:szCs w:val="22"/>
                <w:u w:val="none"/>
              </w:rPr>
            </w:pPr>
          </w:p>
        </w:tc>
      </w:tr>
      <w:tr w14:paraId="4F9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1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229B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9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纯水机-口腔科</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FC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1．电源：220V±10% 50Hz；额定功率：110W；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2．额定外接水压：0.1-0.4MPa，市政自来水；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3．适用水温： 5-38℃；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4．环境温度： 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5．纯水流量：120L/H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6．储水桶容积：11G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7．主机尺寸：436*500*1070（长*宽*高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8．包装尺寸：534*594*1070（长*宽*高mm）；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9．净重：≤50kg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10．工作噪音：≤60dB。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11、微电脑控制，彩色触摸屏，可按设定无人值守全自动运行、自动监测水质情况。由打印机实时记录。有记录，可追溯；</w:t>
            </w:r>
          </w:p>
          <w:p w14:paraId="44C98C4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12.两路制水系统， 避免故障停水，保证医疗用水安全可靠；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13.三级过滤+RO反渗透膜+紫外线杀菌净化水质符合国家标准；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14.恒压供水系统，0.28Mp压力保证临床用水，储水不在空气中暴露，无污染，免维护，安全可靠；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15.体积小、占地0.21㎡，节省空间、免维护、快速更换滤芯、使用成本低廉；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16.智能控制系统，按时间运、自动监控、产水率高、水满自动待机，环保节能。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1920">
            <w:pPr>
              <w:jc w:val="center"/>
              <w:rPr>
                <w:rFonts w:hint="eastAsia" w:ascii="宋体" w:hAnsi="宋体" w:eastAsia="宋体" w:cs="宋体"/>
                <w:i w:val="0"/>
                <w:iCs w:val="0"/>
                <w:color w:val="000000"/>
                <w:sz w:val="22"/>
                <w:szCs w:val="22"/>
                <w:u w:val="none"/>
              </w:rPr>
            </w:pPr>
          </w:p>
        </w:tc>
      </w:tr>
      <w:tr w14:paraId="21A0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0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682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E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A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1、设备名称：超声波清洗机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途和要求：超声波清洗机是蓝野公司专门为诊所、医院科室等场所设计，用于清洗形状复杂夹缝多，不能用硬物洗擦的光洁或脆弱的物体，及小型医疗器械、针头、假牙等需要清洗的器械。另定时设定能帮助您控制时间，提高效率，能给您带来极大的方便。简单的操作步骤可使每个人都能现学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3、工作条件：放置清洗机时，周围至少留10CM间距；建议将清洗机放置在通风良好的环境中；清洗机外壳散热窗口不能有异物堵住；清洗机应放置在水平的工作台上。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4、配件：1大一小两个清洗篮，1根排水管，电源线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1.清洗时间连续可调（ 2 ~ 30 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2.清洗温度连续可调（ 20℃ ~ 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3.缺水时自动停止加热。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4.全触控面板操作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5.多种振动模式可调节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6.有自动沥干功能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7、洗槽：240X142X149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9、容积：6L</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5201">
            <w:pPr>
              <w:jc w:val="center"/>
              <w:rPr>
                <w:rFonts w:hint="eastAsia" w:ascii="宋体" w:hAnsi="宋体" w:eastAsia="宋体" w:cs="宋体"/>
                <w:i w:val="0"/>
                <w:iCs w:val="0"/>
                <w:color w:val="000000"/>
                <w:sz w:val="22"/>
                <w:szCs w:val="22"/>
                <w:u w:val="none"/>
              </w:rPr>
            </w:pPr>
          </w:p>
        </w:tc>
      </w:tr>
      <w:tr w14:paraId="6454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EE03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8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BAD8">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电源电压 AC 220V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    率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电线插头 国标三芯/欧标三芯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最大功率 2000VA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    流 9.1A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    积 23L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级    别 欧洲B级标准（B类）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灭菌温度 121摄氏度，134摄氏度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特殊灭菌 灭活艾滋（HV）,乙肝（HBV）疯牛病毒及芽孢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干燥程序 强力真空干燥，器械剩余湿度&lt;0.2%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    示 *触摸屏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    试 Bowie&amp;Dick测试，真空度测试，helix测试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安全性 安全阀，气动锁，故障自检系统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灭菌纪录 打印机和USB记录灭菌过程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供水系统 ★敞开式水箱可消毒清洗，净水箱容积：4L，废水箱容积：3.5L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水质检测 可检测水质是否符合设备要求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清洗程序 可自动清洗内部管路和蒸汽发生器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灭菌室配置 5层活动托盘架配3个托盘</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0EE6">
            <w:pPr>
              <w:jc w:val="center"/>
              <w:rPr>
                <w:rFonts w:hint="eastAsia" w:ascii="宋体" w:hAnsi="宋体" w:eastAsia="宋体" w:cs="宋体"/>
                <w:i w:val="0"/>
                <w:iCs w:val="0"/>
                <w:color w:val="000000"/>
                <w:sz w:val="22"/>
                <w:szCs w:val="22"/>
                <w:u w:val="none"/>
              </w:rPr>
            </w:pPr>
          </w:p>
        </w:tc>
      </w:tr>
      <w:tr w14:paraId="30E5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8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D24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口腔数字化影像系统</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 、产品技术参数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支持影像板型号：0#,1#,2#,3#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分辨率：≥141p/mm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像素尺寸：35μm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灰度值：16bits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磷光片数据擦除方式：自动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进片方式：无损非挤压进片，对影像板零损耗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通讯接口：USB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智能交互：状态灯(待机、读片、完成)指示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电源：220V(AC),50Hz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机身尺寸(D×W×H)：296mm×170mm×196mm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支持操作系统：Windows7及Windows7以上系统(x64)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软件功能：支持患者影像归档；支持局部放大、缩放、旋转、亮度调节、对比度调节、距离测量、角度测量、文字标 注等图像处理以及图像打印操作；图像支持bmp、dcm、dcmdir等格式进行导出到本地进行保存，也可以支持登特云进行云端存储。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4D5A">
            <w:pPr>
              <w:jc w:val="center"/>
              <w:rPr>
                <w:rFonts w:hint="eastAsia" w:ascii="宋体" w:hAnsi="宋体" w:eastAsia="宋体" w:cs="宋体"/>
                <w:i w:val="0"/>
                <w:iCs w:val="0"/>
                <w:color w:val="000000"/>
                <w:sz w:val="22"/>
                <w:szCs w:val="22"/>
                <w:u w:val="none"/>
              </w:rPr>
            </w:pPr>
          </w:p>
        </w:tc>
      </w:tr>
      <w:tr w14:paraId="2049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D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CF5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2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口腔全景X射线机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B8B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一、</w:t>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1、技术先进，本产品属于国家科技部创新基金立项的产品，应用甚高频技术（VHF）使 X 射线管电压（kV）直流(DC)输出，极大地减少了软射线对人体的危险,病人受辐射剂量减少 30%以上，是口腔影像技术数字化（DR,CR）的最佳配套产品。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2、影像清晰，X 射线穿透能力（kV）及管电流（mA）分别可调，根据就诊者的不同状态调 节，拍片质量更佳，图像对比度更高。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3、操作简便,本产品高有“胶片”及“数字化”模式可调，适合于各种牙片及数字化产品， 能获得很高的清晰度。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曝光时间由微电脑准确控制，预置了九组曝光时间，可针对不同牙片选取相应组的曝光 时间，并设置了 RVG 功能键；也可以用“固定模式”操作更简便。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4、使用安全,采用带自编码的高频电磁波无线遥控，可在距离设备 10 米内任意方位，不 受墙体阻挡远距离操控，远离 X 射线辐射；X 射线管头完整地包裹着铅板，泄漏辐射很小， 使用很安全。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5、输出稳定， 利用变频技术采用管电压、管电流闭环控制， 能在电压为 180～245V 的情 况下,输出的管电压、管电流误差不大于±10%。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6、曝光剂量显示及管电流自动调整，内置了曝光剂量显示功能，每次曝光后都有本次管 电流（反映输出 X 射线剂量）数值的显示，如出现其误差超过设定数值时，下次曝光就会根 据此次数值自动调整，直至调整到接近设定值为止。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7、定位准确，机器臂采用剪式多自由度设计的平衡臂，定位精确，操作轻松。 </w:t>
            </w:r>
          </w:p>
          <w:p w14:paraId="3C13053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二、产品主要技术指标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1．可调模式：管电压：70kVp.65kVp.60kVp.55kVp 四档可调；管电流：7mA.4mA；二档可调; </w:t>
            </w:r>
          </w:p>
          <w:p w14:paraId="3DAFC40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2.固定模式：65kV 5mA；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3.曝光时间调节范围：0.05S～2.00S；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4.X 射线发生器活动范围：垂直移动范围大于 900mm,前后移动范围大于 900mm； </w:t>
            </w:r>
          </w:p>
          <w:p w14:paraId="0D19D11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5.智能化程度：曝光剂量显示及管电流自动调整；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6．焦皮距：200mm；          7.工作电压：220V，50Hz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8.输出功率：1200W ；        9．X 射线发生器工作频率：200kHz；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占空比:1/30 ；          11. X 射线泄露辐射：0.14mGy/h（70kV/7mA）；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12.焦点尺寸:0.4 ；          13.辐照区域(园直径):&lt;60mm；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14.球管头重量:4.5kg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9716">
            <w:pPr>
              <w:jc w:val="center"/>
              <w:rPr>
                <w:rFonts w:hint="eastAsia" w:ascii="宋体" w:hAnsi="宋体" w:eastAsia="宋体" w:cs="宋体"/>
                <w:i w:val="0"/>
                <w:iCs w:val="0"/>
                <w:color w:val="000000"/>
                <w:sz w:val="22"/>
                <w:szCs w:val="22"/>
                <w:u w:val="none"/>
              </w:rPr>
            </w:pPr>
          </w:p>
        </w:tc>
      </w:tr>
      <w:tr w14:paraId="41EE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5CC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D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氧气桶</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1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氧气筒高度140mm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规格40升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壁厚5.0mm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5073">
            <w:pPr>
              <w:jc w:val="center"/>
              <w:rPr>
                <w:rFonts w:hint="eastAsia" w:ascii="宋体" w:hAnsi="宋体" w:eastAsia="宋体" w:cs="宋体"/>
                <w:i w:val="0"/>
                <w:iCs w:val="0"/>
                <w:color w:val="000000"/>
                <w:sz w:val="22"/>
                <w:szCs w:val="22"/>
                <w:u w:val="none"/>
              </w:rPr>
            </w:pPr>
          </w:p>
        </w:tc>
      </w:tr>
    </w:tbl>
    <w:p w14:paraId="6345A3D5">
      <w:pPr>
        <w:rPr>
          <w:rFonts w:hint="eastAsia"/>
          <w:b/>
          <w:bCs/>
          <w:sz w:val="36"/>
          <w:szCs w:val="44"/>
        </w:rPr>
      </w:pPr>
    </w:p>
    <w:p w14:paraId="69EDA43F">
      <w:pPr>
        <w:rPr>
          <w:b/>
          <w:bCs/>
          <w:sz w:val="36"/>
          <w:szCs w:val="44"/>
        </w:rPr>
      </w:pPr>
      <w:r>
        <w:rPr>
          <w:rFonts w:hint="eastAsia"/>
          <w:b/>
          <w:bCs/>
          <w:sz w:val="36"/>
          <w:szCs w:val="44"/>
        </w:rPr>
        <w:t>核心产品：DR、血细胞分析仪、尿液分析仪</w:t>
      </w:r>
    </w:p>
    <w:p w14:paraId="583946F0">
      <w:pPr>
        <w:rPr>
          <w:rFonts w:hint="eastAsia" w:ascii="宋体" w:hAnsi="宋体" w:eastAsia="宋体" w:cs="宋体"/>
          <w:i w:val="0"/>
          <w:iCs w:val="0"/>
          <w:color w:val="000000"/>
          <w:kern w:val="0"/>
          <w:sz w:val="22"/>
          <w:szCs w:val="22"/>
          <w:u w:val="none"/>
          <w:lang w:val="en-US" w:eastAsia="zh-CN" w:bidi="ar"/>
        </w:rPr>
      </w:pPr>
    </w:p>
    <w:p w14:paraId="4DDF5EE6">
      <w:pPr>
        <w:pStyle w:val="33"/>
        <w:rPr>
          <w:rFonts w:hint="eastAsia"/>
          <w:lang w:eastAsia="zh-CN"/>
        </w:rPr>
      </w:pPr>
    </w:p>
    <w:p w14:paraId="3C44C0CA">
      <w:pPr>
        <w:spacing w:line="360" w:lineRule="auto"/>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商务要求（适用于</w:t>
      </w:r>
      <w:r>
        <w:rPr>
          <w:rFonts w:hint="eastAsia" w:ascii="仿宋" w:hAnsi="仿宋" w:eastAsia="仿宋" w:cs="仿宋"/>
          <w:b/>
          <w:bCs/>
          <w:color w:val="000000"/>
          <w:highlight w:val="none"/>
          <w:lang w:val="en-US" w:eastAsia="zh-CN"/>
        </w:rPr>
        <w:t>1包、2包</w:t>
      </w:r>
      <w:r>
        <w:rPr>
          <w:rFonts w:hint="eastAsia" w:ascii="仿宋" w:hAnsi="仿宋" w:eastAsia="仿宋" w:cs="仿宋"/>
          <w:b/>
          <w:bCs/>
          <w:color w:val="000000"/>
          <w:highlight w:val="none"/>
          <w:lang w:eastAsia="zh-CN"/>
        </w:rPr>
        <w:t>）：</w:t>
      </w:r>
    </w:p>
    <w:p w14:paraId="463352D8">
      <w:pPr>
        <w:numPr>
          <w:ilvl w:val="0"/>
          <w:numId w:val="0"/>
        </w:num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kern w:val="2"/>
          <w:sz w:val="21"/>
          <w:szCs w:val="24"/>
          <w:highlight w:val="none"/>
          <w:lang w:val="en-US" w:eastAsia="zh-CN" w:bidi="ar-SA"/>
        </w:rPr>
        <w:t>（一）</w:t>
      </w:r>
      <w:r>
        <w:rPr>
          <w:rFonts w:hint="eastAsia" w:ascii="仿宋" w:hAnsi="仿宋" w:eastAsia="仿宋" w:cs="仿宋"/>
          <w:b/>
          <w:bCs/>
          <w:color w:val="auto"/>
          <w:highlight w:val="none"/>
          <w:lang w:eastAsia="zh-CN"/>
        </w:rPr>
        <w:t>供货期：自签订合同之日起20个日历日完成供货及安装。（具体时间按照甲乙双方合同约定执行）</w:t>
      </w:r>
    </w:p>
    <w:p w14:paraId="6C3642F6">
      <w:pPr>
        <w:numPr>
          <w:ilvl w:val="0"/>
          <w:numId w:val="0"/>
        </w:num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kern w:val="2"/>
          <w:sz w:val="21"/>
          <w:szCs w:val="24"/>
          <w:highlight w:val="none"/>
          <w:lang w:val="en-US" w:eastAsia="zh-CN" w:bidi="ar-SA"/>
        </w:rPr>
        <w:t>（二）</w:t>
      </w:r>
      <w:r>
        <w:rPr>
          <w:rFonts w:hint="eastAsia" w:ascii="仿宋" w:hAnsi="仿宋" w:eastAsia="仿宋" w:cs="仿宋"/>
          <w:b/>
          <w:bCs/>
          <w:color w:val="auto"/>
          <w:highlight w:val="none"/>
          <w:lang w:eastAsia="zh-CN"/>
        </w:rPr>
        <w:t>实施地点</w:t>
      </w:r>
      <w:r>
        <w:rPr>
          <w:rFonts w:hint="eastAsia" w:ascii="仿宋" w:hAnsi="仿宋" w:eastAsia="仿宋" w:cs="仿宋"/>
          <w:color w:val="auto"/>
          <w:highlight w:val="none"/>
          <w:lang w:eastAsia="zh-CN"/>
        </w:rPr>
        <w:t xml:space="preserve"> ：阿图什市阿扎克镇卫生院、阿湖乡卫生院、格达良乡卫生院、吐古买提乡卫生院（按照甲方指定的地点供货）</w:t>
      </w:r>
    </w:p>
    <w:p w14:paraId="2B728D65">
      <w:p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lang w:eastAsia="zh-CN"/>
        </w:rPr>
        <w:t>）报价要求</w:t>
      </w:r>
    </w:p>
    <w:p w14:paraId="31C13D1A">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本次报价为人民币报价，投标报价应包括：货物本身价格、保险费用、养护费</w:t>
      </w:r>
      <w:r>
        <w:rPr>
          <w:rFonts w:hint="eastAsia" w:ascii="仿宋" w:hAnsi="仿宋" w:eastAsia="仿宋" w:cs="仿宋"/>
          <w:i w:val="0"/>
          <w:iCs w:val="0"/>
          <w:color w:val="auto"/>
          <w:kern w:val="0"/>
          <w:sz w:val="24"/>
          <w:szCs w:val="24"/>
          <w:highlight w:val="none"/>
          <w:u w:val="none"/>
          <w:lang w:val="en-US" w:eastAsia="zh-CN" w:bidi="ar"/>
        </w:rPr>
        <w:t>、安装</w:t>
      </w:r>
      <w:r>
        <w:rPr>
          <w:rFonts w:hint="eastAsia" w:ascii="仿宋" w:hAnsi="仿宋" w:eastAsia="仿宋" w:cs="仿宋"/>
          <w:color w:val="auto"/>
          <w:highlight w:val="none"/>
          <w:lang w:eastAsia="zh-CN"/>
        </w:rPr>
        <w:t>费</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highlight w:val="none"/>
          <w:lang w:eastAsia="zh-CN"/>
        </w:rPr>
        <w:t>包装费、运输费用、二次搬运费、装卸费、损耗、税金费用、自检费、人工费、其他配件费及验收合格前和质保期内发生的一切费用、应当提供的伴随服务/售后服务费用。</w:t>
      </w:r>
    </w:p>
    <w:p w14:paraId="2CAE4F56">
      <w:p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eastAsia="zh-CN"/>
        </w:rPr>
        <w:t>）质保要求</w:t>
      </w:r>
    </w:p>
    <w:p w14:paraId="14CEC801">
      <w:pPr>
        <w:spacing w:line="360" w:lineRule="auto"/>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1、本项目货物质保期2年。</w:t>
      </w:r>
    </w:p>
    <w:p w14:paraId="55E1B256">
      <w:pPr>
        <w:spacing w:line="360" w:lineRule="auto"/>
        <w:ind w:firstLine="42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2、乙方应保证所提供的货物是全新、未使用过的原装合格正品，并完全符合国家标准和行业的相关标准。</w:t>
      </w:r>
    </w:p>
    <w:p w14:paraId="49F1EBE9">
      <w:pPr>
        <w:spacing w:line="360" w:lineRule="auto"/>
        <w:ind w:firstLine="211" w:firstLineChars="1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五</w:t>
      </w:r>
      <w:r>
        <w:rPr>
          <w:rFonts w:hint="eastAsia" w:ascii="仿宋" w:hAnsi="仿宋" w:eastAsia="仿宋" w:cs="仿宋"/>
          <w:b/>
          <w:bCs/>
          <w:color w:val="000000"/>
          <w:highlight w:val="none"/>
          <w:lang w:eastAsia="zh-CN"/>
        </w:rPr>
        <w:t>）售后服务、理赔、质量技术及验收保证的承诺</w:t>
      </w:r>
    </w:p>
    <w:p w14:paraId="59C04F3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1、售后服务</w:t>
      </w:r>
    </w:p>
    <w:p w14:paraId="64032912">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1.1产品质量：在合同期内，甲方正常使用乙方所供产品而出现质量问题时，乙方负责。产品使用：甲方在使用乙方所供产品中出现问题需乙方解决时，乙方应无偿解决（质保期内，如果该产品多次出现质量问题或出现质量问题不能解决的需退换货）。</w:t>
      </w:r>
    </w:p>
    <w:p w14:paraId="37E174DF">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 xml:space="preserve">1.2质保期内，当采购人遇到使用及技术问题电话咨询不能解决的，须在48小时内到达现场进行处理。    </w:t>
      </w:r>
    </w:p>
    <w:p w14:paraId="3AC387EB">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1.3质保期内，设备出现故障，须在12小时内响应，48小时内到达现场，一般故障8小时内修复，较大故障24小时内解决问题。</w:t>
      </w:r>
    </w:p>
    <w:p w14:paraId="1F3E999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2、交货时应提供以下技术或培训资料（如涉及）</w:t>
      </w:r>
    </w:p>
    <w:p w14:paraId="06FF5AB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2.1原产地证明书(由制造厂签发)；</w:t>
      </w:r>
    </w:p>
    <w:p w14:paraId="478A93CC">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2.2提供主机及配套设备的安装图纸及说明；</w:t>
      </w:r>
    </w:p>
    <w:p w14:paraId="5D8580B8">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2.3提供主机及配套设备使用说明书、维护手册；</w:t>
      </w:r>
    </w:p>
    <w:p w14:paraId="78AA7498">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2.4备件手册、零件及易损件的图纸及相关资料；</w:t>
      </w:r>
    </w:p>
    <w:p w14:paraId="443C9E4D">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2.5其它相关技术资料。</w:t>
      </w:r>
    </w:p>
    <w:p w14:paraId="4A36B9B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3、 安装、现场培训：免费安装并现场培训相关人员至掌握仪器设备操作及日常维护。</w:t>
      </w:r>
    </w:p>
    <w:p w14:paraId="5C069B06">
      <w:pPr>
        <w:spacing w:line="360" w:lineRule="auto"/>
        <w:ind w:firstLine="420" w:firstLineChars="200"/>
        <w:rPr>
          <w:rFonts w:hint="eastAsia" w:ascii="仿宋" w:hAnsi="仿宋" w:eastAsia="仿宋" w:cs="仿宋"/>
          <w:b/>
          <w:bCs/>
          <w:color w:val="000000"/>
          <w:sz w:val="21"/>
          <w:szCs w:val="24"/>
          <w:highlight w:val="none"/>
          <w:lang w:eastAsia="zh-CN"/>
        </w:rPr>
      </w:pPr>
      <w:r>
        <w:rPr>
          <w:rFonts w:hint="eastAsia" w:ascii="仿宋" w:hAnsi="仿宋" w:eastAsia="仿宋" w:cs="仿宋"/>
          <w:color w:val="000000"/>
          <w:highlight w:val="none"/>
          <w:lang w:eastAsia="zh-CN"/>
        </w:rPr>
        <w:t>3.1设备到场后，</w:t>
      </w:r>
      <w:r>
        <w:rPr>
          <w:rFonts w:hint="eastAsia" w:ascii="仿宋" w:hAnsi="仿宋" w:eastAsia="仿宋" w:cs="仿宋"/>
          <w:b/>
          <w:bCs/>
          <w:color w:val="000000"/>
          <w:sz w:val="21"/>
          <w:szCs w:val="24"/>
          <w:highlight w:val="none"/>
          <w:lang w:eastAsia="zh-CN"/>
        </w:rPr>
        <w:t>供应商需至少派1名工程师现场指导安装调试。</w:t>
      </w:r>
    </w:p>
    <w:p w14:paraId="4720DC4F">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4、新购设备随仪器配备必要的维修工具，工具能满足维护人员对设备的正常维护、维修。</w:t>
      </w:r>
    </w:p>
    <w:p w14:paraId="6CDB510C">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5、在质保期内，如果供应商的产品技术升级，供应商应及时通知采购人，如采购人有相应要求，供应商应对采购人购买的产品进行升级服务。</w:t>
      </w:r>
    </w:p>
    <w:p w14:paraId="6A9114F5">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6、质保期过后，供应商应同样提供免费电话咨询服务，并应承诺提供该产品上门维护服务。</w:t>
      </w:r>
    </w:p>
    <w:p w14:paraId="5D6B1090">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7、质保期过后，采购人需要继续由原投标人提供售后服务的，该投标人和制造商应以优惠价格提供售后服务。</w:t>
      </w:r>
    </w:p>
    <w:p w14:paraId="239E6ADD">
      <w:pPr>
        <w:spacing w:line="360" w:lineRule="auto"/>
        <w:ind w:firstLine="422" w:firstLineChars="2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六</w:t>
      </w:r>
      <w:r>
        <w:rPr>
          <w:rFonts w:hint="eastAsia" w:ascii="仿宋" w:hAnsi="仿宋" w:eastAsia="仿宋" w:cs="仿宋"/>
          <w:b/>
          <w:bCs/>
          <w:color w:val="000000"/>
          <w:highlight w:val="none"/>
          <w:lang w:eastAsia="zh-CN"/>
        </w:rPr>
        <w:t>）验收</w:t>
      </w:r>
    </w:p>
    <w:p w14:paraId="7C1E25A5">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1、供应商提供的产品为全新未使用且符合相关法律法规要求的合格产品；</w:t>
      </w:r>
    </w:p>
    <w:p w14:paraId="3FE1EDD0">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2、供应商提供的产品需与投标文件、合同规定内容完全一致，且满足采购方提出的采购需求。</w:t>
      </w:r>
    </w:p>
    <w:p w14:paraId="2E4B3F97">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3、供应商提供的产品需经采购人验收小组验收，进行试验检测，按照</w:t>
      </w:r>
      <w:r>
        <w:rPr>
          <w:rFonts w:hint="eastAsia" w:ascii="仿宋" w:hAnsi="仿宋" w:eastAsia="仿宋" w:cs="仿宋"/>
          <w:color w:val="000000"/>
          <w:highlight w:val="none"/>
          <w:lang w:val="en-US" w:eastAsia="zh-CN"/>
        </w:rPr>
        <w:t>相应的要求</w:t>
      </w:r>
      <w:r>
        <w:rPr>
          <w:rFonts w:hint="eastAsia" w:ascii="仿宋" w:hAnsi="仿宋" w:eastAsia="仿宋" w:cs="仿宋"/>
          <w:color w:val="000000"/>
          <w:highlight w:val="none"/>
          <w:lang w:eastAsia="zh-CN"/>
        </w:rPr>
        <w:t>逐项进行测试，测试结果应满足相关要求，试验通过并满足要求为验收合格。</w:t>
      </w:r>
    </w:p>
    <w:p w14:paraId="115A90F2">
      <w:pPr>
        <w:spacing w:line="440" w:lineRule="exact"/>
        <w:ind w:firstLine="310" w:firstLineChars="147"/>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（七）付款方式</w:t>
      </w:r>
    </w:p>
    <w:p w14:paraId="4130C6B0">
      <w:pPr>
        <w:spacing w:line="360" w:lineRule="auto"/>
        <w:ind w:firstLine="422" w:firstLineChars="200"/>
        <w:rPr>
          <w:rFonts w:hint="eastAsia"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具体以甲乙双方签订合同为准</w:t>
      </w:r>
    </w:p>
    <w:p w14:paraId="22EEA602">
      <w:pPr>
        <w:spacing w:line="360" w:lineRule="auto"/>
        <w:ind w:firstLine="422" w:firstLineChars="2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（八）知识产权</w:t>
      </w:r>
    </w:p>
    <w:p w14:paraId="710E6E94">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6A898DEF">
      <w:pPr>
        <w:spacing w:line="360" w:lineRule="auto"/>
        <w:ind w:firstLine="422" w:firstLineChars="200"/>
        <w:rPr>
          <w:rFonts w:ascii="仿宋" w:hAnsi="仿宋" w:eastAsia="仿宋" w:cs="仿宋"/>
          <w:b/>
          <w:bCs/>
          <w:color w:val="000000"/>
          <w:highlight w:val="none"/>
          <w:lang w:eastAsia="zh-CN"/>
        </w:rPr>
      </w:pPr>
      <w:bookmarkStart w:id="64" w:name="_Toc20832"/>
      <w:bookmarkStart w:id="65" w:name="_Toc12239"/>
      <w:bookmarkStart w:id="66" w:name="_Toc12840_WPSOffice_Level1"/>
      <w:bookmarkStart w:id="67" w:name="_Toc267320054"/>
      <w:bookmarkStart w:id="68" w:name="_Toc439255252"/>
      <w:bookmarkStart w:id="69" w:name="_Toc469495740"/>
      <w:r>
        <w:rPr>
          <w:rFonts w:hint="eastAsia" w:ascii="仿宋" w:hAnsi="仿宋" w:eastAsia="仿宋" w:cs="仿宋"/>
          <w:b/>
          <w:bCs/>
          <w:color w:val="000000"/>
          <w:highlight w:val="none"/>
          <w:lang w:eastAsia="zh-CN"/>
        </w:rPr>
        <w:t>（九）其他</w:t>
      </w:r>
      <w:bookmarkEnd w:id="64"/>
      <w:bookmarkEnd w:id="65"/>
    </w:p>
    <w:bookmarkEnd w:id="66"/>
    <w:bookmarkEnd w:id="67"/>
    <w:bookmarkEnd w:id="68"/>
    <w:p w14:paraId="5E8C652A">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1、供应商必须在投标文件中对以上条款和服务承诺明确列出，承诺内容必须达到本篇及招标文件其他条款的要求。</w:t>
      </w:r>
    </w:p>
    <w:p w14:paraId="09E7F1AF">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2、中标人与采购人签订《协议》后，须与用户方签订《货物采购供应合同》（包括供货范围、需求数量、单价等），明确具体供货数量、供货时间、送达地点等内容。</w:t>
      </w:r>
    </w:p>
    <w:p w14:paraId="25BA72DA">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3、其他未尽事宜由供需双方在采购合同中详细约定。</w:t>
      </w:r>
    </w:p>
    <w:p w14:paraId="37B86B6B">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4、 若供应商不能按招标文件规定的供货期正常完工，采购方有权终止采购合同，并将相关情况上报给采购计划主管部门，取消其中标资格。</w:t>
      </w:r>
    </w:p>
    <w:p w14:paraId="4B32F39F">
      <w:pPr>
        <w:spacing w:line="360" w:lineRule="auto"/>
        <w:ind w:firstLine="420" w:firstLineChars="200"/>
        <w:rPr>
          <w:rFonts w:ascii="仿宋" w:hAnsi="仿宋" w:eastAsia="仿宋" w:cs="仿宋"/>
          <w:b/>
          <w:color w:val="000000"/>
          <w:sz w:val="30"/>
          <w:szCs w:val="30"/>
          <w:highlight w:val="none"/>
          <w:lang w:eastAsia="zh-CN"/>
        </w:rPr>
      </w:pPr>
      <w:r>
        <w:rPr>
          <w:rFonts w:hint="eastAsia" w:ascii="仿宋" w:hAnsi="仿宋" w:eastAsia="仿宋" w:cs="仿宋"/>
          <w:color w:val="000000"/>
          <w:highlight w:val="none"/>
          <w:lang w:eastAsia="zh-CN"/>
        </w:rPr>
        <w:t>5、</w:t>
      </w:r>
      <w:r>
        <w:rPr>
          <w:rFonts w:hint="eastAsia" w:ascii="仿宋" w:hAnsi="仿宋" w:eastAsia="仿宋" w:cs="仿宋"/>
          <w:color w:val="000000"/>
          <w:kern w:val="2"/>
          <w:highlight w:val="none"/>
          <w:lang w:eastAsia="zh-CN" w:bidi="ar-SA"/>
        </w:rPr>
        <w:t>其他未尽事宜由供需双方在采购合同中详细约定。</w:t>
      </w:r>
      <w:bookmarkEnd w:id="69"/>
    </w:p>
    <w:p w14:paraId="2FA3675E">
      <w:pPr>
        <w:spacing w:line="480" w:lineRule="exact"/>
        <w:jc w:val="center"/>
        <w:outlineLvl w:val="1"/>
        <w:rPr>
          <w:rFonts w:hint="eastAsia" w:ascii="仿宋" w:hAnsi="仿宋" w:eastAsia="仿宋" w:cs="仿宋"/>
          <w:b/>
          <w:color w:val="000000"/>
          <w:sz w:val="30"/>
          <w:szCs w:val="30"/>
          <w:highlight w:val="yellow"/>
          <w:lang w:eastAsia="zh-CN"/>
        </w:rPr>
      </w:pPr>
    </w:p>
    <w:p w14:paraId="1E3F11D4">
      <w:r>
        <w:rPr>
          <w:rFonts w:hint="eastAsia" w:ascii="仿宋" w:hAnsi="仿宋" w:eastAsia="仿宋" w:cs="仿宋"/>
          <w:b/>
          <w:bCs/>
          <w:color w:val="auto"/>
          <w:kern w:val="2"/>
          <w:sz w:val="40"/>
          <w:szCs w:val="40"/>
          <w:highlight w:val="none"/>
          <w:u w:val="none"/>
          <w:shd w:val="clear" w:color="auto" w:fill="auto"/>
          <w:lang w:val="en-US" w:eastAsia="zh-CN" w:bidi="ar-SA"/>
        </w:rPr>
        <w:br w:type="page"/>
      </w:r>
    </w:p>
    <w:bookmarkEnd w:id="63"/>
    <w:p w14:paraId="20E866EF">
      <w:pPr>
        <w:pageBreakBefore/>
        <w:shd w:val="clear" w:color="auto" w:fill="auto"/>
        <w:spacing w:line="360" w:lineRule="auto"/>
        <w:jc w:val="center"/>
        <w:outlineLvl w:val="0"/>
        <w:rPr>
          <w:rFonts w:hint="eastAsia" w:ascii="仿宋" w:hAnsi="仿宋" w:eastAsia="仿宋" w:cs="仿宋"/>
          <w:b/>
          <w:color w:val="auto"/>
          <w:sz w:val="40"/>
          <w:szCs w:val="40"/>
          <w:highlight w:val="none"/>
          <w:lang w:eastAsia="zh-CN"/>
        </w:rPr>
      </w:pPr>
      <w:bookmarkStart w:id="70" w:name="_Toc6896"/>
      <w:bookmarkStart w:id="71" w:name="_Toc2264"/>
      <w:bookmarkStart w:id="72" w:name="_Toc15403"/>
      <w:r>
        <w:rPr>
          <w:rFonts w:hint="eastAsia" w:ascii="仿宋" w:hAnsi="仿宋" w:eastAsia="仿宋" w:cs="仿宋"/>
          <w:b/>
          <w:color w:val="auto"/>
          <w:sz w:val="40"/>
          <w:szCs w:val="40"/>
          <w:highlight w:val="none"/>
          <w:lang w:eastAsia="zh-CN"/>
        </w:rPr>
        <w:t>第五章 合同条款及格式</w:t>
      </w:r>
      <w:bookmarkEnd w:id="70"/>
      <w:bookmarkStart w:id="73" w:name="_Toc20669"/>
    </w:p>
    <w:p w14:paraId="2B3FE8C0">
      <w:pPr>
        <w:spacing w:line="480" w:lineRule="exact"/>
        <w:jc w:val="center"/>
        <w:outlineLvl w:val="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73"/>
    </w:p>
    <w:p w14:paraId="4450A6F3">
      <w:pPr>
        <w:keepNext w:val="0"/>
        <w:keepLines w:val="0"/>
        <w:pageBreakBefore w:val="0"/>
        <w:widowControl/>
        <w:numPr>
          <w:ilvl w:val="0"/>
          <w:numId w:val="17"/>
        </w:numPr>
        <w:kinsoku/>
        <w:wordWrap/>
        <w:overflowPunct/>
        <w:topLinePunct w:val="0"/>
        <w:autoSpaceDE/>
        <w:autoSpaceDN/>
        <w:bidi w:val="0"/>
        <w:adjustRightInd/>
        <w:snapToGrid/>
        <w:spacing w:line="440" w:lineRule="exact"/>
        <w:jc w:val="center"/>
        <w:textAlignment w:val="baseline"/>
        <w:outlineLvl w:val="9"/>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74" w:name="_Toc469495741"/>
      <w:r>
        <w:rPr>
          <w:rFonts w:hint="eastAsia" w:ascii="仿宋" w:hAnsi="仿宋" w:eastAsia="仿宋" w:cs="仿宋"/>
          <w:b/>
          <w:color w:val="auto"/>
          <w:sz w:val="30"/>
          <w:szCs w:val="30"/>
          <w:highlight w:val="none"/>
        </w:rPr>
        <w:t>合同协议书</w:t>
      </w:r>
      <w:bookmarkEnd w:id="74"/>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7F0883A7">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9"/>
        <w:rPr>
          <w:rFonts w:ascii="仿宋" w:hAnsi="仿宋" w:eastAsia="仿宋" w:cs="仿宋"/>
          <w:color w:val="auto"/>
          <w:highlight w:val="none"/>
        </w:rPr>
      </w:pPr>
      <w:r>
        <w:rPr>
          <w:rFonts w:hint="eastAsia" w:ascii="仿宋" w:hAnsi="仿宋" w:eastAsia="仿宋" w:cs="仿宋"/>
          <w:color w:val="auto"/>
          <w:highlight w:val="none"/>
        </w:rPr>
        <w:t>编号</w:t>
      </w:r>
    </w:p>
    <w:p w14:paraId="7D8A2DB1">
      <w:pPr>
        <w:keepNext w:val="0"/>
        <w:keepLines w:val="0"/>
        <w:pageBreakBefore w:val="0"/>
        <w:kinsoku/>
        <w:wordWrap/>
        <w:overflowPunct/>
        <w:topLinePunct w:val="0"/>
        <w:autoSpaceDE/>
        <w:autoSpaceDN/>
        <w:bidi w:val="0"/>
        <w:adjustRightInd/>
        <w:snapToGrid/>
        <w:spacing w:line="440" w:lineRule="exact"/>
        <w:ind w:firstLine="420" w:firstLineChars="200"/>
        <w:outlineLvl w:val="9"/>
        <w:rPr>
          <w:rFonts w:ascii="仿宋" w:hAnsi="仿宋" w:eastAsia="仿宋" w:cs="仿宋"/>
          <w:color w:val="auto"/>
          <w:highlight w:val="none"/>
        </w:rPr>
      </w:pPr>
      <w:r>
        <w:rPr>
          <w:rFonts w:hint="eastAsia" w:ascii="仿宋" w:hAnsi="仿宋" w:eastAsia="仿宋" w:cs="仿宋"/>
          <w:color w:val="auto"/>
          <w:highlight w:val="none"/>
        </w:rPr>
        <w:t>买    方：                                   卖    方：</w:t>
      </w:r>
    </w:p>
    <w:p w14:paraId="72661465">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7E795DF9">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E399287">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684DBB9F">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7649B1D3">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06ACE1D9">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2412E0D8">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41860D68">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0B00AC00">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6D6F0ADF">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2CD8CB0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 w:val="24"/>
          <w:szCs w:val="24"/>
          <w:lang w:val="en-US" w:eastAsia="zh-CN"/>
        </w:rPr>
        <w:t>货物到达采购人指定地点，验收合格后，一次性支付全部货款。</w:t>
      </w:r>
      <w:r>
        <w:rPr>
          <w:rFonts w:hint="eastAsia" w:ascii="仿宋" w:hAnsi="仿宋" w:eastAsia="仿宋" w:cs="仿宋"/>
          <w:b w:val="0"/>
          <w:bCs w:val="0"/>
          <w:color w:val="auto"/>
          <w:highlight w:val="none"/>
          <w:lang w:eastAsia="zh-CN"/>
        </w:rPr>
        <w:t>（具体以甲乙双方签订合同为准）</w:t>
      </w:r>
    </w:p>
    <w:p w14:paraId="374E25CD">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7C23481B">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B37D4E7">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10A51CB">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13360C9B">
      <w:pPr>
        <w:pStyle w:val="12"/>
        <w:spacing w:after="0" w:line="42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B2EA5E4">
      <w:pPr>
        <w:pStyle w:val="12"/>
        <w:spacing w:after="0" w:line="42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6FE77E74">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C226887">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3DAAD313">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303DD47">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FEAE2">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4A16CDDA">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0367AC24">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664D44B5">
      <w:pPr>
        <w:pStyle w:val="12"/>
        <w:spacing w:after="0" w:line="360" w:lineRule="exact"/>
        <w:ind w:left="0" w:leftChars="0" w:firstLine="420" w:firstLineChars="200"/>
        <w:rPr>
          <w:rFonts w:hint="default" w:eastAsia="浠垮畫" w:cs="浠垮畫" w:asciiTheme="minorAscii" w:hAnsiTheme="minorAscii"/>
          <w:b/>
          <w:bCs/>
          <w:color w:val="000000"/>
          <w:kern w:val="0"/>
          <w:sz w:val="30"/>
          <w:szCs w:val="30"/>
          <w:lang w:val="en-US" w:eastAsia="zh-CN" w:bidi="ar"/>
        </w:rPr>
      </w:pPr>
      <w:r>
        <w:rPr>
          <w:rFonts w:hint="eastAsia" w:ascii="仿宋" w:hAnsi="仿宋" w:eastAsia="仿宋" w:cs="仿宋"/>
          <w:color w:val="auto"/>
          <w:highlight w:val="none"/>
          <w:u w:color="000000"/>
          <w:lang w:eastAsia="zh-CN"/>
        </w:rPr>
        <w:t>帐    号：                          帐    号：</w:t>
      </w:r>
    </w:p>
    <w:p w14:paraId="65F836D2">
      <w:pPr>
        <w:pStyle w:val="12"/>
        <w:spacing w:after="0" w:line="420" w:lineRule="exact"/>
        <w:ind w:left="0" w:leftChars="0" w:firstLine="602"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5C28C7F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2F7722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540F409D">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515CB7A6">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5E746E71">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19DF95D5">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24827E46">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21D207F9">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C332713">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02A5F043">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2E8B4C1E">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5161C7F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BEE8E18">
      <w:pPr>
        <w:pStyle w:val="8"/>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720AC285">
      <w:pPr>
        <w:pStyle w:val="8"/>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128AF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2A444F1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4DB2FFC6">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DDE5C7F">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42DF2987">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9571B92">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A39C4B4">
      <w:pPr>
        <w:pStyle w:val="8"/>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627C25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75FFC43B">
      <w:pPr>
        <w:pStyle w:val="8"/>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38389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4C8811E9">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200D95F">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291A4C09">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A406A87">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1939AED1">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86E6C6A">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06A2639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41D567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0CEF0E13">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3CF9A4B1">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5A2C74F6">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4A631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4818570F">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86C2341">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78AA031A">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DA4258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466ABC5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533D2DBC">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25D77931">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2EC5D3C7">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2C08264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70193656">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6507699B">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19139E4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7C691E3A">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22DC70FE">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E9D789B">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8989778">
      <w:pPr>
        <w:pStyle w:val="8"/>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3CF3EC7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9DDFD9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48F9CA9">
      <w:pPr>
        <w:pStyle w:val="8"/>
        <w:spacing w:line="440" w:lineRule="exact"/>
        <w:ind w:firstLine="48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7ADE51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7640E9A4">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78232A3C">
      <w:pPr>
        <w:pStyle w:val="8"/>
        <w:overflowPunct w:val="0"/>
        <w:spacing w:line="440" w:lineRule="exact"/>
        <w:ind w:right="-334"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B161972">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8B287B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7BD38F5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79BF258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6FF58A7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01D188B2">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064AAF35">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419EAA4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72773CC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46DB2EF4">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B4B661">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27AAA235">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07C15E79">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0FCA799C">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0BECC7C">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D755716">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75A09B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5EE750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5C171BD6">
      <w:pPr>
        <w:pStyle w:val="8"/>
        <w:overflowPunct w:val="0"/>
        <w:spacing w:line="440" w:lineRule="exact"/>
        <w:ind w:firstLine="600"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68573130">
      <w:pPr>
        <w:pStyle w:val="8"/>
        <w:overflowPunct w:val="0"/>
        <w:spacing w:line="440" w:lineRule="exact"/>
        <w:ind w:right="-334"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6CD218F6">
      <w:pPr>
        <w:pStyle w:val="8"/>
        <w:overflowPunct w:val="0"/>
        <w:spacing w:line="440" w:lineRule="exact"/>
        <w:ind w:right="-874"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462B1352">
      <w:pPr>
        <w:pStyle w:val="8"/>
        <w:overflowPunct w:val="0"/>
        <w:spacing w:line="440" w:lineRule="exact"/>
        <w:ind w:right="-874"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757644C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326BC9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07A597C">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1774C874">
      <w:pPr>
        <w:pStyle w:val="8"/>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A10648E">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1539C49C">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60B649A9">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5A403E4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6F8A8F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3520088">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52B297E">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7901201D">
      <w:pPr>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149D30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348E51E">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45082A9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4CA6B74">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1AF07843">
      <w:pPr>
        <w:pStyle w:val="8"/>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213C24B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136003B2">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AACCF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6E8D55C">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4EBCE2F0">
      <w:pPr>
        <w:spacing w:line="440" w:lineRule="exact"/>
        <w:ind w:firstLine="525"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3EF12535">
      <w:pPr>
        <w:ind w:firstLine="420" w:firstLineChars="200"/>
        <w:rPr>
          <w:rFonts w:hint="eastAsia" w:ascii="仿宋" w:hAnsi="仿宋" w:eastAsia="仿宋" w:cs="仿宋"/>
          <w:color w:val="auto"/>
          <w:highlight w:val="none"/>
          <w:lang w:eastAsia="zh-CN"/>
        </w:rPr>
      </w:pPr>
    </w:p>
    <w:p w14:paraId="3A761B8D">
      <w:pPr>
        <w:pStyle w:val="51"/>
        <w:keepNext/>
        <w:keepLines/>
        <w:spacing w:before="0" w:after="0"/>
        <w:outlineLvl w:val="0"/>
        <w:rPr>
          <w:rFonts w:hint="eastAsia" w:ascii="仿宋" w:hAnsi="仿宋" w:eastAsia="仿宋" w:cs="仿宋"/>
          <w:b/>
          <w:bCs/>
          <w:color w:val="auto"/>
          <w:sz w:val="40"/>
          <w:szCs w:val="40"/>
        </w:rPr>
      </w:pPr>
    </w:p>
    <w:p w14:paraId="14B21646">
      <w:pPr>
        <w:pStyle w:val="51"/>
        <w:keepNext/>
        <w:keepLines/>
        <w:spacing w:before="0" w:after="0"/>
        <w:outlineLvl w:val="0"/>
        <w:rPr>
          <w:rFonts w:hint="eastAsia" w:ascii="仿宋" w:hAnsi="仿宋" w:eastAsia="仿宋" w:cs="仿宋"/>
          <w:b/>
          <w:bCs/>
          <w:color w:val="auto"/>
          <w:sz w:val="40"/>
          <w:szCs w:val="40"/>
        </w:rPr>
      </w:pPr>
    </w:p>
    <w:p w14:paraId="1A0DF362">
      <w:pPr>
        <w:pStyle w:val="51"/>
        <w:keepNext/>
        <w:keepLines/>
        <w:spacing w:before="0" w:after="0"/>
        <w:outlineLvl w:val="0"/>
        <w:rPr>
          <w:rFonts w:hint="eastAsia" w:ascii="仿宋" w:hAnsi="仿宋" w:eastAsia="仿宋" w:cs="仿宋"/>
          <w:b/>
          <w:bCs/>
          <w:color w:val="auto"/>
          <w:sz w:val="40"/>
          <w:szCs w:val="40"/>
        </w:rPr>
      </w:pPr>
    </w:p>
    <w:p w14:paraId="49148A3A">
      <w:pPr>
        <w:rPr>
          <w:rFonts w:hint="eastAsia" w:ascii="仿宋" w:hAnsi="仿宋" w:eastAsia="仿宋" w:cs="仿宋"/>
          <w:b/>
          <w:bCs/>
          <w:color w:val="auto"/>
          <w:sz w:val="40"/>
          <w:szCs w:val="40"/>
        </w:rPr>
      </w:pPr>
      <w:bookmarkStart w:id="75" w:name="_Toc23744"/>
      <w:r>
        <w:rPr>
          <w:rFonts w:hint="eastAsia" w:ascii="仿宋" w:hAnsi="仿宋" w:eastAsia="仿宋" w:cs="仿宋"/>
          <w:b/>
          <w:bCs/>
          <w:color w:val="auto"/>
          <w:sz w:val="40"/>
          <w:szCs w:val="40"/>
        </w:rPr>
        <w:br w:type="page"/>
      </w:r>
    </w:p>
    <w:p w14:paraId="1E6B0A6A">
      <w:pPr>
        <w:pStyle w:val="51"/>
        <w:keepNext/>
        <w:keepLines/>
        <w:spacing w:before="0" w:after="0"/>
        <w:outlineLvl w:val="0"/>
        <w:rPr>
          <w:rFonts w:ascii="仿宋" w:hAnsi="仿宋" w:eastAsia="仿宋" w:cs="仿宋"/>
          <w:b/>
          <w:bCs/>
          <w:color w:val="auto"/>
          <w:sz w:val="40"/>
          <w:szCs w:val="40"/>
        </w:rPr>
      </w:pPr>
      <w:r>
        <w:rPr>
          <w:rFonts w:hint="eastAsia" w:ascii="仿宋" w:hAnsi="仿宋" w:eastAsia="仿宋" w:cs="仿宋"/>
          <w:b/>
          <w:bCs/>
          <w:color w:val="auto"/>
          <w:sz w:val="40"/>
          <w:szCs w:val="40"/>
        </w:rPr>
        <w:t>第</w:t>
      </w:r>
      <w:r>
        <w:rPr>
          <w:rFonts w:hint="eastAsia" w:ascii="仿宋" w:hAnsi="仿宋" w:eastAsia="仿宋" w:cs="仿宋"/>
          <w:b/>
          <w:bCs/>
          <w:color w:val="auto"/>
          <w:sz w:val="40"/>
          <w:szCs w:val="40"/>
          <w:lang w:eastAsia="zh-CN"/>
        </w:rPr>
        <w:t>六</w:t>
      </w:r>
      <w:r>
        <w:rPr>
          <w:rFonts w:hint="eastAsia" w:ascii="仿宋" w:hAnsi="仿宋" w:eastAsia="仿宋" w:cs="仿宋"/>
          <w:b/>
          <w:bCs/>
          <w:color w:val="auto"/>
          <w:sz w:val="40"/>
          <w:szCs w:val="40"/>
          <w:lang w:val="en-US" w:eastAsia="zh-CN"/>
        </w:rPr>
        <w:t xml:space="preserve">章 </w:t>
      </w:r>
      <w:r>
        <w:rPr>
          <w:rFonts w:hint="eastAsia" w:ascii="仿宋" w:hAnsi="仿宋" w:eastAsia="仿宋" w:cs="仿宋"/>
          <w:b/>
          <w:bCs/>
          <w:color w:val="auto"/>
          <w:sz w:val="40"/>
          <w:szCs w:val="40"/>
        </w:rPr>
        <w:t>投标文件格式</w:t>
      </w:r>
      <w:bookmarkEnd w:id="71"/>
      <w:bookmarkEnd w:id="72"/>
      <w:bookmarkEnd w:id="75"/>
    </w:p>
    <w:p w14:paraId="35390783">
      <w:pPr>
        <w:adjustRightInd w:val="0"/>
        <w:snapToGrid w:val="0"/>
        <w:spacing w:line="360" w:lineRule="auto"/>
        <w:jc w:val="center"/>
        <w:outlineLvl w:val="9"/>
        <w:rPr>
          <w:rFonts w:ascii="仿宋" w:hAnsi="仿宋" w:eastAsia="仿宋" w:cs="仿宋"/>
          <w:b/>
          <w:caps/>
          <w:color w:val="auto"/>
          <w:lang w:eastAsia="zh-CN"/>
        </w:rPr>
      </w:pPr>
      <w:bookmarkStart w:id="76" w:name="bookmark196"/>
    </w:p>
    <w:p w14:paraId="2CE35142">
      <w:pPr>
        <w:pStyle w:val="35"/>
        <w:rPr>
          <w:lang w:eastAsia="zh-CN"/>
        </w:rPr>
      </w:pPr>
    </w:p>
    <w:p w14:paraId="0BFA5902">
      <w:pPr>
        <w:pStyle w:val="36"/>
        <w:rPr>
          <w:lang w:eastAsia="zh-CN"/>
        </w:rPr>
      </w:pPr>
    </w:p>
    <w:p w14:paraId="02880DCC">
      <w:pPr>
        <w:adjustRightInd w:val="0"/>
        <w:snapToGrid w:val="0"/>
        <w:spacing w:line="360" w:lineRule="auto"/>
        <w:jc w:val="center"/>
        <w:outlineLvl w:val="9"/>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14:paraId="3F2FBBC1">
      <w:pPr>
        <w:adjustRightInd w:val="0"/>
        <w:snapToGrid w:val="0"/>
        <w:spacing w:line="360" w:lineRule="auto"/>
        <w:jc w:val="both"/>
        <w:outlineLvl w:val="9"/>
        <w:rPr>
          <w:rFonts w:ascii="仿宋" w:hAnsi="仿宋" w:eastAsia="仿宋" w:cs="仿宋"/>
          <w:bCs/>
          <w:color w:val="auto"/>
          <w:sz w:val="32"/>
          <w:szCs w:val="32"/>
          <w:lang w:eastAsia="zh-CN"/>
        </w:rPr>
      </w:pPr>
    </w:p>
    <w:p w14:paraId="54459F39">
      <w:pPr>
        <w:adjustRightInd w:val="0"/>
        <w:snapToGrid w:val="0"/>
        <w:spacing w:line="360" w:lineRule="auto"/>
        <w:jc w:val="center"/>
        <w:outlineLvl w:val="9"/>
        <w:rPr>
          <w:rFonts w:ascii="仿宋" w:hAnsi="仿宋" w:eastAsia="仿宋" w:cs="仿宋"/>
          <w:bCs/>
          <w:color w:val="auto"/>
          <w:sz w:val="32"/>
          <w:szCs w:val="32"/>
          <w:lang w:eastAsia="zh-CN"/>
        </w:rPr>
      </w:pPr>
    </w:p>
    <w:p w14:paraId="77C16864">
      <w:pPr>
        <w:adjustRightInd w:val="0"/>
        <w:snapToGrid w:val="0"/>
        <w:spacing w:line="360" w:lineRule="auto"/>
        <w:jc w:val="center"/>
        <w:outlineLvl w:val="9"/>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41BA33F8">
      <w:pPr>
        <w:adjustRightInd w:val="0"/>
        <w:snapToGrid w:val="0"/>
        <w:spacing w:line="360" w:lineRule="auto"/>
        <w:jc w:val="center"/>
        <w:outlineLvl w:val="9"/>
        <w:rPr>
          <w:rFonts w:ascii="仿宋" w:hAnsi="仿宋" w:eastAsia="仿宋" w:cs="仿宋"/>
          <w:bCs/>
          <w:color w:val="auto"/>
          <w:sz w:val="32"/>
          <w:szCs w:val="32"/>
          <w:lang w:eastAsia="zh-CN"/>
        </w:rPr>
      </w:pPr>
    </w:p>
    <w:p w14:paraId="0D55A076">
      <w:pPr>
        <w:adjustRightInd w:val="0"/>
        <w:snapToGrid w:val="0"/>
        <w:spacing w:line="360" w:lineRule="auto"/>
        <w:jc w:val="both"/>
        <w:outlineLvl w:val="9"/>
        <w:rPr>
          <w:rFonts w:ascii="仿宋" w:hAnsi="仿宋" w:eastAsia="仿宋" w:cs="仿宋"/>
          <w:bCs/>
          <w:color w:val="auto"/>
          <w:sz w:val="32"/>
          <w:szCs w:val="32"/>
          <w:lang w:eastAsia="zh-CN"/>
        </w:rPr>
      </w:pPr>
    </w:p>
    <w:p w14:paraId="0F6E31F6">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496842130"/>
          <w:lang w:eastAsia="zh-CN"/>
        </w:rPr>
        <w:t>供应商名称（公章）：</w:t>
      </w:r>
    </w:p>
    <w:p w14:paraId="7920F5C1">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0225A9FB">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94185094"/>
          <w:lang w:eastAsia="zh-CN"/>
        </w:rPr>
        <w:t>法定代表人（签章或盖章）</w:t>
      </w:r>
      <w:r>
        <w:rPr>
          <w:rFonts w:hint="eastAsia" w:ascii="仿宋" w:hAnsi="仿宋" w:eastAsia="仿宋" w:cs="仿宋"/>
          <w:b/>
          <w:caps/>
          <w:color w:val="auto"/>
          <w:spacing w:val="-1"/>
          <w:w w:val="77"/>
          <w:kern w:val="0"/>
          <w:sz w:val="28"/>
          <w:szCs w:val="28"/>
          <w:fitText w:val="2810" w:id="94185094"/>
          <w:lang w:eastAsia="zh-CN"/>
        </w:rPr>
        <w:t>：</w:t>
      </w:r>
    </w:p>
    <w:p w14:paraId="2ED5413F">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02369D49">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1508115476"/>
          <w:lang w:eastAsia="zh-CN"/>
        </w:rPr>
        <w:t>供应商地址</w:t>
      </w:r>
      <w:r>
        <w:rPr>
          <w:rFonts w:hint="eastAsia" w:ascii="仿宋" w:hAnsi="仿宋" w:eastAsia="仿宋" w:cs="仿宋"/>
          <w:b/>
          <w:caps/>
          <w:color w:val="auto"/>
          <w:spacing w:val="0"/>
          <w:kern w:val="0"/>
          <w:sz w:val="28"/>
          <w:szCs w:val="28"/>
          <w:fitText w:val="2810" w:id="1508115476"/>
          <w:lang w:eastAsia="zh-CN"/>
        </w:rPr>
        <w:t>：</w:t>
      </w:r>
    </w:p>
    <w:p w14:paraId="550EEE03">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3BCC2E43">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1230780294"/>
          <w:lang w:eastAsia="zh-CN"/>
        </w:rPr>
        <w:t>联系人</w:t>
      </w:r>
      <w:r>
        <w:rPr>
          <w:rFonts w:hint="eastAsia" w:ascii="仿宋" w:hAnsi="仿宋" w:eastAsia="仿宋" w:cs="仿宋"/>
          <w:b/>
          <w:caps/>
          <w:color w:val="auto"/>
          <w:spacing w:val="2"/>
          <w:kern w:val="0"/>
          <w:sz w:val="28"/>
          <w:szCs w:val="28"/>
          <w:fitText w:val="2810" w:id="1230780294"/>
          <w:lang w:eastAsia="zh-CN"/>
        </w:rPr>
        <w:t>：</w:t>
      </w:r>
    </w:p>
    <w:p w14:paraId="7D48BDBB">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3B988628">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871005141"/>
          <w:lang w:eastAsia="zh-CN"/>
        </w:rPr>
        <w:t>联系电话</w:t>
      </w:r>
      <w:r>
        <w:rPr>
          <w:rFonts w:hint="eastAsia" w:ascii="仿宋" w:hAnsi="仿宋" w:eastAsia="仿宋" w:cs="仿宋"/>
          <w:b/>
          <w:caps/>
          <w:color w:val="auto"/>
          <w:spacing w:val="1"/>
          <w:kern w:val="0"/>
          <w:sz w:val="28"/>
          <w:szCs w:val="28"/>
          <w:fitText w:val="2810" w:id="871005141"/>
          <w:lang w:eastAsia="zh-CN"/>
        </w:rPr>
        <w:t>：</w:t>
      </w:r>
    </w:p>
    <w:p w14:paraId="19FA8F85">
      <w:pPr>
        <w:adjustRightInd w:val="0"/>
        <w:snapToGrid w:val="0"/>
        <w:spacing w:line="360" w:lineRule="auto"/>
        <w:jc w:val="center"/>
        <w:outlineLvl w:val="9"/>
        <w:rPr>
          <w:rFonts w:ascii="仿宋" w:hAnsi="仿宋" w:eastAsia="仿宋" w:cs="仿宋"/>
          <w:b/>
          <w:caps/>
          <w:color w:val="auto"/>
          <w:sz w:val="28"/>
          <w:szCs w:val="28"/>
          <w:lang w:eastAsia="zh-CN"/>
        </w:rPr>
      </w:pPr>
    </w:p>
    <w:p w14:paraId="120866EA">
      <w:pPr>
        <w:adjustRightInd w:val="0"/>
        <w:snapToGrid w:val="0"/>
        <w:spacing w:line="360" w:lineRule="auto"/>
        <w:jc w:val="center"/>
        <w:outlineLvl w:val="9"/>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bookmarkEnd w:id="76"/>
    <w:p w14:paraId="1FFC1CDB">
      <w:pPr>
        <w:rPr>
          <w:rFonts w:hint="eastAsia" w:ascii="仿宋" w:hAnsi="仿宋" w:eastAsia="仿宋" w:cs="仿宋"/>
          <w:bCs/>
          <w:color w:val="auto"/>
          <w:sz w:val="32"/>
          <w:szCs w:val="32"/>
          <w:highlight w:val="none"/>
          <w:lang w:eastAsia="zh-CN"/>
        </w:rPr>
      </w:pPr>
      <w:bookmarkStart w:id="77" w:name="_Toc515647803"/>
      <w:bookmarkStart w:id="78" w:name="_Toc18694"/>
      <w:bookmarkStart w:id="79" w:name="_Toc18974"/>
      <w:bookmarkStart w:id="80" w:name="_Toc8919"/>
      <w:r>
        <w:rPr>
          <w:rFonts w:hint="eastAsia" w:ascii="仿宋" w:hAnsi="仿宋" w:eastAsia="仿宋" w:cs="仿宋"/>
          <w:bCs/>
          <w:color w:val="auto"/>
          <w:sz w:val="32"/>
          <w:szCs w:val="32"/>
          <w:highlight w:val="none"/>
          <w:lang w:eastAsia="zh-CN"/>
        </w:rPr>
        <w:br w:type="page"/>
      </w:r>
    </w:p>
    <w:p w14:paraId="6BCEB036">
      <w:pPr>
        <w:pageBreakBefore w:val="0"/>
        <w:widowControl w:val="0"/>
        <w:numPr>
          <w:ilvl w:val="0"/>
          <w:numId w:val="0"/>
        </w:numPr>
        <w:tabs>
          <w:tab w:val="left" w:pos="540"/>
        </w:tabs>
        <w:wordWrap/>
        <w:topLinePunct w:val="0"/>
        <w:autoSpaceDE/>
        <w:autoSpaceDN/>
        <w:bidi w:val="0"/>
        <w:adjustRightInd/>
        <w:snapToGrid/>
        <w:spacing w:line="360" w:lineRule="auto"/>
        <w:ind w:left="431" w:leftChars="0"/>
        <w:jc w:val="center"/>
        <w:textAlignment w:val="auto"/>
        <w:outlineLvl w:val="9"/>
        <w:rPr>
          <w:rFonts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eastAsia="zh-CN"/>
        </w:rPr>
        <w:t>第一部分 资格证明文件</w:t>
      </w:r>
      <w:bookmarkEnd w:id="77"/>
      <w:bookmarkEnd w:id="78"/>
      <w:bookmarkEnd w:id="79"/>
      <w:bookmarkEnd w:id="80"/>
    </w:p>
    <w:p w14:paraId="79178C33">
      <w:pPr>
        <w:pageBreakBefore w:val="0"/>
        <w:widowControl w:val="0"/>
        <w:wordWrap/>
        <w:topLinePunct w:val="0"/>
        <w:autoSpaceDE/>
        <w:autoSpaceDN/>
        <w:bidi w:val="0"/>
        <w:adjustRightInd/>
        <w:snapToGrid/>
        <w:spacing w:line="360" w:lineRule="auto"/>
        <w:ind w:left="717" w:hanging="619" w:hangingChars="295"/>
        <w:jc w:val="center"/>
        <w:textAlignment w:val="auto"/>
        <w:outlineLvl w:val="9"/>
        <w:rPr>
          <w:rFonts w:ascii="仿宋" w:hAnsi="仿宋" w:eastAsia="仿宋" w:cs="仿宋"/>
          <w:color w:val="auto"/>
          <w:highlight w:val="none"/>
          <w:lang w:eastAsia="zh-CN"/>
        </w:rPr>
      </w:pPr>
    </w:p>
    <w:p w14:paraId="344DB442">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0002D186">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2、法定代表人参加的需提供法定代表人身份证明及身份证原件扫描件，授权委托人参加的需提供附有法定代表人身份证明的授权委托书及被委托人身份证原件扫描件;</w:t>
      </w:r>
    </w:p>
    <w:p w14:paraId="6BFDBFA6">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3、投标企业须提供投标人（被授权本单位在职人员）近6个月内任何1个月已依法缴纳社会保险的凭据（依法不需要缴纳社会保障资金的供应商，应提供相应证明文件）；</w:t>
      </w:r>
    </w:p>
    <w:p w14:paraId="179D1AF7">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083E7634">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7FBFE188">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2EBC6C3">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r>
        <w:rPr>
          <w:rFonts w:hint="eastAsia" w:ascii="仿宋" w:hAnsi="仿宋" w:eastAsia="仿宋" w:cs="仿宋"/>
          <w:b w:val="0"/>
          <w:bCs/>
          <w:color w:val="auto"/>
          <w:sz w:val="24"/>
          <w:szCs w:val="24"/>
          <w:highlight w:val="none"/>
          <w:lang w:eastAsia="zh-CN"/>
        </w:rPr>
        <w:t>提</w:t>
      </w:r>
      <w:r>
        <w:rPr>
          <w:rFonts w:hint="eastAsia" w:ascii="仿宋" w:hAnsi="仿宋" w:eastAsia="仿宋" w:cs="仿宋"/>
          <w:b w:val="0"/>
          <w:bCs/>
          <w:color w:val="auto"/>
          <w:sz w:val="24"/>
          <w:szCs w:val="24"/>
          <w:highlight w:val="none"/>
        </w:rPr>
        <w:t>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6F2C33EF">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8、具有履行合同所必需的设备和专业技术能力（提供书面声明函）；</w:t>
      </w:r>
    </w:p>
    <w:p w14:paraId="28D2F08B">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w:t>
      </w:r>
      <w:r>
        <w:rPr>
          <w:rFonts w:hint="eastAsia" w:ascii="仿宋" w:hAnsi="仿宋" w:eastAsia="仿宋" w:cs="仿宋"/>
          <w:color w:val="auto"/>
          <w:kern w:val="0"/>
          <w:sz w:val="24"/>
          <w:szCs w:val="24"/>
          <w:highlight w:val="none"/>
          <w:lang w:val="en-US" w:eastAsia="zh-CN" w:bidi="ar"/>
        </w:rPr>
        <w:t>提供参加政府采购活动前三年内，在经营活动中没有重大违法记录（承诺函原件扫描件）；</w:t>
      </w:r>
    </w:p>
    <w:p w14:paraId="462642FA">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10、企业负责人为同一人或者存在直接控股、管理关系的不同投标人，不得参加同一合同项下的政府采购活动（提供书面声明函）；</w:t>
      </w:r>
    </w:p>
    <w:p w14:paraId="32F24A50">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、投标保证金缴纳凭证（银行回单）或保函等票据；</w:t>
      </w:r>
    </w:p>
    <w:p w14:paraId="613E4042">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、供应商须知资料表要求的其他资格证明文件;</w:t>
      </w:r>
    </w:p>
    <w:p w14:paraId="6EF574F2">
      <w:pPr>
        <w:outlineLvl w:val="9"/>
        <w:rPr>
          <w:rFonts w:ascii="仿宋" w:hAnsi="仿宋" w:eastAsia="仿宋" w:cs="仿宋"/>
          <w:b/>
          <w:bCs/>
          <w:color w:val="auto"/>
          <w:sz w:val="36"/>
          <w:szCs w:val="36"/>
          <w:lang w:eastAsia="zh-CN"/>
        </w:rPr>
      </w:pPr>
    </w:p>
    <w:p w14:paraId="14A24DB5">
      <w:pPr>
        <w:pStyle w:val="10"/>
        <w:numPr>
          <w:ilvl w:val="0"/>
          <w:numId w:val="0"/>
        </w:numPr>
        <w:kinsoku w:val="0"/>
        <w:overflowPunct w:val="0"/>
        <w:spacing w:before="34" w:line="440" w:lineRule="exact"/>
        <w:ind w:left="480" w:right="126"/>
        <w:jc w:val="center"/>
        <w:outlineLvl w:val="9"/>
        <w:rPr>
          <w:rFonts w:hint="eastAsia" w:ascii="仿宋" w:hAnsi="仿宋" w:eastAsia="仿宋" w:cs="仿宋"/>
          <w:b/>
          <w:bCs/>
          <w:color w:val="auto"/>
          <w:sz w:val="36"/>
          <w:szCs w:val="36"/>
          <w:lang w:eastAsia="zh-CN"/>
        </w:rPr>
      </w:pPr>
    </w:p>
    <w:p w14:paraId="7013D5D5">
      <w:pPr>
        <w:pStyle w:val="11"/>
        <w:rPr>
          <w:rFonts w:hint="eastAsia" w:ascii="仿宋" w:hAnsi="仿宋" w:eastAsia="仿宋" w:cs="仿宋"/>
          <w:b/>
          <w:bCs/>
          <w:color w:val="auto"/>
          <w:sz w:val="36"/>
          <w:szCs w:val="36"/>
          <w:lang w:eastAsia="zh-CN"/>
        </w:rPr>
      </w:pPr>
    </w:p>
    <w:p w14:paraId="23A651FE">
      <w:pPr>
        <w:rPr>
          <w:rFonts w:hint="eastAsia" w:ascii="仿宋" w:hAnsi="仿宋" w:eastAsia="仿宋" w:cs="仿宋"/>
          <w:b/>
          <w:bCs/>
          <w:color w:val="auto"/>
          <w:sz w:val="36"/>
          <w:szCs w:val="36"/>
          <w:lang w:eastAsia="zh-CN"/>
        </w:rPr>
      </w:pPr>
    </w:p>
    <w:p w14:paraId="60E65064">
      <w:pPr>
        <w:pStyle w:val="5"/>
        <w:rPr>
          <w:rFonts w:hint="eastAsia"/>
          <w:lang w:eastAsia="zh-CN"/>
        </w:rPr>
      </w:pPr>
    </w:p>
    <w:p w14:paraId="6150BC95">
      <w:pPr>
        <w:pStyle w:val="10"/>
        <w:numPr>
          <w:ilvl w:val="0"/>
          <w:numId w:val="0"/>
        </w:numPr>
        <w:kinsoku w:val="0"/>
        <w:overflowPunct w:val="0"/>
        <w:spacing w:before="34" w:line="440" w:lineRule="exact"/>
        <w:ind w:left="480" w:right="126"/>
        <w:jc w:val="left"/>
        <w:outlineLvl w:val="9"/>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51C6EF68">
      <w:pPr>
        <w:pStyle w:val="16"/>
        <w:tabs>
          <w:tab w:val="left" w:pos="5580"/>
        </w:tabs>
        <w:spacing w:line="400" w:lineRule="exact"/>
        <w:ind w:left="1080" w:leftChars="257" w:hanging="540"/>
        <w:jc w:val="center"/>
        <w:outlineLvl w:val="9"/>
        <w:rPr>
          <w:rFonts w:ascii="仿宋" w:hAnsi="仿宋" w:eastAsia="仿宋" w:cs="仿宋"/>
          <w:b/>
          <w:color w:val="auto"/>
          <w:lang w:eastAsia="zh-CN"/>
        </w:rPr>
      </w:pPr>
    </w:p>
    <w:p w14:paraId="2E3034B8">
      <w:pPr>
        <w:pStyle w:val="16"/>
        <w:tabs>
          <w:tab w:val="left" w:pos="5580"/>
        </w:tabs>
        <w:spacing w:line="400" w:lineRule="exact"/>
        <w:ind w:left="1080" w:leftChars="257" w:hanging="540"/>
        <w:outlineLvl w:val="9"/>
        <w:rPr>
          <w:rFonts w:ascii="仿宋" w:hAnsi="仿宋" w:eastAsia="仿宋" w:cs="仿宋"/>
          <w:b/>
          <w:color w:val="auto"/>
          <w:lang w:eastAsia="zh-CN"/>
        </w:rPr>
      </w:pPr>
    </w:p>
    <w:p w14:paraId="30D705B5">
      <w:pPr>
        <w:pStyle w:val="16"/>
        <w:tabs>
          <w:tab w:val="left" w:pos="5580"/>
        </w:tabs>
        <w:spacing w:line="400" w:lineRule="exact"/>
        <w:ind w:left="1080" w:leftChars="257" w:hanging="540"/>
        <w:outlineLvl w:val="9"/>
        <w:rPr>
          <w:rFonts w:ascii="仿宋" w:hAnsi="仿宋" w:eastAsia="仿宋" w:cs="仿宋"/>
          <w:b/>
          <w:color w:val="auto"/>
          <w:lang w:eastAsia="zh-CN"/>
        </w:rPr>
      </w:pPr>
    </w:p>
    <w:p w14:paraId="29FE0A5D">
      <w:pPr>
        <w:pStyle w:val="16"/>
        <w:tabs>
          <w:tab w:val="left" w:pos="5580"/>
        </w:tabs>
        <w:spacing w:line="400" w:lineRule="exact"/>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0C5A7531">
      <w:pPr>
        <w:pStyle w:val="16"/>
        <w:tabs>
          <w:tab w:val="left" w:pos="5580"/>
        </w:tabs>
        <w:spacing w:line="400" w:lineRule="exact"/>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77EB455D">
      <w:pPr>
        <w:pStyle w:val="16"/>
        <w:tabs>
          <w:tab w:val="left" w:pos="5580"/>
        </w:tabs>
        <w:spacing w:line="400" w:lineRule="exact"/>
        <w:ind w:left="1080" w:leftChars="257" w:hanging="540"/>
        <w:outlineLvl w:val="9"/>
        <w:rPr>
          <w:rFonts w:ascii="仿宋" w:hAnsi="仿宋" w:eastAsia="仿宋" w:cs="仿宋"/>
          <w:color w:val="auto"/>
          <w:lang w:eastAsia="zh-CN"/>
        </w:rPr>
      </w:pPr>
    </w:p>
    <w:p w14:paraId="00FFF0E1">
      <w:pPr>
        <w:pStyle w:val="34"/>
        <w:outlineLvl w:val="9"/>
        <w:rPr>
          <w:rFonts w:ascii="仿宋" w:hAnsi="仿宋" w:eastAsia="仿宋" w:cs="仿宋"/>
          <w:b/>
          <w:bCs/>
          <w:color w:val="auto"/>
          <w:sz w:val="36"/>
          <w:szCs w:val="36"/>
          <w:lang w:eastAsia="zh-CN"/>
        </w:rPr>
      </w:pPr>
    </w:p>
    <w:p w14:paraId="45587E5D">
      <w:pPr>
        <w:pStyle w:val="34"/>
        <w:outlineLvl w:val="9"/>
        <w:rPr>
          <w:rFonts w:ascii="仿宋" w:hAnsi="仿宋" w:eastAsia="仿宋" w:cs="仿宋"/>
          <w:b/>
          <w:bCs/>
          <w:color w:val="auto"/>
          <w:sz w:val="36"/>
          <w:szCs w:val="36"/>
          <w:lang w:eastAsia="zh-CN"/>
        </w:rPr>
      </w:pPr>
    </w:p>
    <w:p w14:paraId="1D924B28">
      <w:pPr>
        <w:pStyle w:val="34"/>
        <w:outlineLvl w:val="9"/>
        <w:rPr>
          <w:rFonts w:ascii="仿宋" w:hAnsi="仿宋" w:eastAsia="仿宋" w:cs="仿宋"/>
          <w:b/>
          <w:bCs/>
          <w:color w:val="auto"/>
          <w:sz w:val="36"/>
          <w:szCs w:val="36"/>
          <w:lang w:eastAsia="zh-CN"/>
        </w:rPr>
      </w:pPr>
    </w:p>
    <w:p w14:paraId="63093D2D">
      <w:pPr>
        <w:pStyle w:val="10"/>
        <w:numPr>
          <w:ilvl w:val="0"/>
          <w:numId w:val="0"/>
        </w:numPr>
        <w:kinsoku w:val="0"/>
        <w:overflowPunct w:val="0"/>
        <w:spacing w:before="34" w:line="440" w:lineRule="exact"/>
        <w:ind w:right="126"/>
        <w:jc w:val="both"/>
        <w:outlineLvl w:val="9"/>
        <w:rPr>
          <w:rFonts w:ascii="仿宋" w:hAnsi="仿宋" w:eastAsia="仿宋" w:cs="仿宋"/>
          <w:b/>
          <w:bCs/>
          <w:color w:val="auto"/>
          <w:sz w:val="36"/>
          <w:szCs w:val="36"/>
          <w:lang w:eastAsia="zh-CN"/>
        </w:rPr>
      </w:pPr>
    </w:p>
    <w:p w14:paraId="1014DB4E">
      <w:pPr>
        <w:pStyle w:val="10"/>
        <w:numPr>
          <w:ilvl w:val="0"/>
          <w:numId w:val="0"/>
        </w:numPr>
        <w:kinsoku w:val="0"/>
        <w:overflowPunct w:val="0"/>
        <w:spacing w:before="34" w:line="440" w:lineRule="exact"/>
        <w:ind w:left="480" w:right="126"/>
        <w:jc w:val="center"/>
        <w:outlineLvl w:val="9"/>
        <w:rPr>
          <w:rFonts w:hint="eastAsia" w:ascii="仿宋" w:hAnsi="仿宋" w:eastAsia="仿宋" w:cs="仿宋"/>
          <w:b/>
          <w:bCs/>
          <w:color w:val="auto"/>
          <w:sz w:val="36"/>
          <w:szCs w:val="36"/>
          <w:lang w:eastAsia="zh-CN"/>
        </w:rPr>
      </w:pPr>
      <w:bookmarkStart w:id="81" w:name="_Toc17577"/>
      <w:bookmarkStart w:id="82" w:name="_Toc4844"/>
      <w:bookmarkStart w:id="83" w:name="_Toc515647805"/>
      <w:bookmarkStart w:id="84" w:name="_Toc29899"/>
    </w:p>
    <w:bookmarkEnd w:id="81"/>
    <w:bookmarkEnd w:id="82"/>
    <w:bookmarkEnd w:id="83"/>
    <w:bookmarkEnd w:id="84"/>
    <w:p w14:paraId="68BBF8E7">
      <w:pP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br w:type="page"/>
      </w:r>
    </w:p>
    <w:p w14:paraId="3B3A02AC">
      <w:pPr>
        <w:pStyle w:val="10"/>
        <w:numPr>
          <w:ilvl w:val="0"/>
          <w:numId w:val="0"/>
        </w:numPr>
        <w:kinsoku w:val="0"/>
        <w:overflowPunct w:val="0"/>
        <w:spacing w:before="34" w:line="440" w:lineRule="exact"/>
        <w:ind w:left="480" w:right="126"/>
        <w:jc w:val="center"/>
        <w:outlineLvl w:val="9"/>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w:t>
      </w: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lang w:eastAsia="zh-CN"/>
        </w:rPr>
        <w:t>法定代表人身份证明</w:t>
      </w:r>
    </w:p>
    <w:p w14:paraId="397D5284">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07130E09">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03258022">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702892FD">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65402A32">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26C3049F">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0A98CC44">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19AE7D7C">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239C1271">
      <w:pPr>
        <w:spacing w:line="420" w:lineRule="exact"/>
        <w:ind w:firstLine="840" w:firstLineChars="400"/>
        <w:outlineLvl w:val="9"/>
        <w:rPr>
          <w:rFonts w:ascii="仿宋" w:hAnsi="仿宋" w:eastAsia="仿宋" w:cs="仿宋"/>
          <w:color w:val="auto"/>
        </w:rPr>
      </w:pPr>
      <w:r>
        <w:rPr>
          <w:rFonts w:hint="eastAsia" w:ascii="仿宋" w:hAnsi="仿宋" w:eastAsia="仿宋" w:cs="仿宋"/>
          <w:color w:val="auto"/>
        </w:rPr>
        <w:t>特此证明。</w:t>
      </w:r>
    </w:p>
    <w:p w14:paraId="41725327">
      <w:pPr>
        <w:pStyle w:val="10"/>
        <w:numPr>
          <w:ilvl w:val="0"/>
          <w:numId w:val="0"/>
        </w:numPr>
        <w:kinsoku w:val="0"/>
        <w:overflowPunct w:val="0"/>
        <w:outlineLvl w:val="9"/>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5408" behindDoc="1" locked="0" layoutInCell="1" allowOverlap="1">
                <wp:simplePos x="0" y="0"/>
                <wp:positionH relativeFrom="column">
                  <wp:posOffset>348615</wp:posOffset>
                </wp:positionH>
                <wp:positionV relativeFrom="paragraph">
                  <wp:posOffset>180340</wp:posOffset>
                </wp:positionV>
                <wp:extent cx="2371725" cy="1403350"/>
                <wp:effectExtent l="5080" t="5080" r="15875" b="8890"/>
                <wp:wrapTight wrapText="bothSides">
                  <wp:wrapPolygon>
                    <wp:start x="925" y="-78"/>
                    <wp:lineTo x="-46" y="1564"/>
                    <wp:lineTo x="-46" y="20329"/>
                    <wp:lineTo x="1064" y="21502"/>
                    <wp:lineTo x="20357" y="21502"/>
                    <wp:lineTo x="21467" y="20329"/>
                    <wp:lineTo x="21467" y="1095"/>
                    <wp:lineTo x="20495" y="-78"/>
                    <wp:lineTo x="925" y="-78"/>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71CFA3">
                            <w:pPr>
                              <w:jc w:val="center"/>
                              <w:rPr>
                                <w:rFonts w:hint="eastAsia" w:ascii="仿宋" w:hAnsi="仿宋" w:eastAsia="仿宋" w:cs="仿宋"/>
                                <w:sz w:val="24"/>
                                <w:szCs w:val="24"/>
                              </w:rPr>
                            </w:pPr>
                          </w:p>
                          <w:p w14:paraId="62B2883C">
                            <w:pPr>
                              <w:jc w:val="center"/>
                              <w:rPr>
                                <w:rFonts w:hint="eastAsia" w:ascii="仿宋" w:hAnsi="仿宋" w:eastAsia="仿宋" w:cs="仿宋"/>
                                <w:sz w:val="24"/>
                                <w:szCs w:val="24"/>
                              </w:rPr>
                            </w:pPr>
                          </w:p>
                          <w:p w14:paraId="76CAB68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42A47CF9"/>
                        </w:txbxContent>
                      </wps:txbx>
                      <wps:bodyPr upright="1"/>
                    </wps:wsp>
                  </a:graphicData>
                </a:graphic>
              </wp:anchor>
            </w:drawing>
          </mc:Choice>
          <mc:Fallback>
            <w:pict>
              <v:roundrect id="自选图形 91" o:spid="_x0000_s1026" o:spt="2" style="position:absolute;left:0pt;margin-left:27.45pt;margin-top:14.2pt;height:110.5pt;width:186.75pt;mso-wrap-distance-left:9pt;mso-wrap-distance-right:9pt;z-index:-251651072;mso-width-relative:page;mso-height-relative:page;" fillcolor="#FFFFFF" filled="t" stroked="t" coordsize="21600,21600" wrapcoords="925 -78 -46 1564 -46 20329 1064 21502 20357 21502 21467 20329 21467 1095 20495 -78 925 -78" arcsize="0.166666666666667" o:gfxdata="UEsDBAoAAAAAAIdO4kAAAAAAAAAAAAAAAAAEAAAAZHJzL1BLAwQUAAAACACHTuJAZEQML9UAAAAJ&#10;AQAADwAAAGRycy9kb3ducmV2LnhtbE2PMU/DMBCFdyT+g3VIbNRulaImjdMBCVZEYGB04iOJGp9T&#10;20kLv56DBba7e0/vvlceLm4UC4Y4eNKwXikQSK23A3Ua3l4f73YgYjJkzegJNXxihEN1fVWawvoz&#10;veBSp05wCMXCaOhTmgopY9ujM3HlJyTWPnxwJvEaOmmDOXO4G+VGqXvpzED8oTcTPvTYHuvZaWit&#10;mlV4X57zZpvqr2U+kXw6aX17s1Z7EAkv6c8MP/iMDhUzNX4mG8WoYZvl7NSw2WUgWM9+h4YPWZ6B&#10;rEr5v0H1D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EQML9UA&#10;AAAJ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6871CFA3">
                      <w:pPr>
                        <w:jc w:val="center"/>
                        <w:rPr>
                          <w:rFonts w:hint="eastAsia" w:ascii="仿宋" w:hAnsi="仿宋" w:eastAsia="仿宋" w:cs="仿宋"/>
                          <w:sz w:val="24"/>
                          <w:szCs w:val="24"/>
                        </w:rPr>
                      </w:pPr>
                    </w:p>
                    <w:p w14:paraId="62B2883C">
                      <w:pPr>
                        <w:jc w:val="center"/>
                        <w:rPr>
                          <w:rFonts w:hint="eastAsia" w:ascii="仿宋" w:hAnsi="仿宋" w:eastAsia="仿宋" w:cs="仿宋"/>
                          <w:sz w:val="24"/>
                          <w:szCs w:val="24"/>
                        </w:rPr>
                      </w:pPr>
                    </w:p>
                    <w:p w14:paraId="76CAB68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42A47CF9"/>
                  </w:txbxContent>
                </v:textbox>
                <w10:wrap type="tight"/>
              </v:roundrect>
            </w:pict>
          </mc:Fallback>
        </mc:AlternateContent>
      </w: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8890" b="952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9A04BD7">
                            <w:pPr>
                              <w:jc w:val="center"/>
                              <w:rPr>
                                <w:rFonts w:hint="eastAsia" w:ascii="仿宋" w:hAnsi="仿宋" w:eastAsia="仿宋" w:cs="仿宋"/>
                                <w:sz w:val="24"/>
                                <w:szCs w:val="24"/>
                              </w:rPr>
                            </w:pPr>
                          </w:p>
                          <w:p w14:paraId="3127FD93">
                            <w:pPr>
                              <w:jc w:val="center"/>
                              <w:rPr>
                                <w:rFonts w:hint="eastAsia" w:ascii="仿宋" w:hAnsi="仿宋" w:eastAsia="仿宋" w:cs="仿宋"/>
                                <w:sz w:val="24"/>
                                <w:szCs w:val="24"/>
                              </w:rPr>
                            </w:pPr>
                          </w:p>
                          <w:p w14:paraId="43BB8C0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239DA4C6"/>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39A04BD7">
                      <w:pPr>
                        <w:jc w:val="center"/>
                        <w:rPr>
                          <w:rFonts w:hint="eastAsia" w:ascii="仿宋" w:hAnsi="仿宋" w:eastAsia="仿宋" w:cs="仿宋"/>
                          <w:sz w:val="24"/>
                          <w:szCs w:val="24"/>
                        </w:rPr>
                      </w:pPr>
                    </w:p>
                    <w:p w14:paraId="3127FD93">
                      <w:pPr>
                        <w:jc w:val="center"/>
                        <w:rPr>
                          <w:rFonts w:hint="eastAsia" w:ascii="仿宋" w:hAnsi="仿宋" w:eastAsia="仿宋" w:cs="仿宋"/>
                          <w:sz w:val="24"/>
                          <w:szCs w:val="24"/>
                        </w:rPr>
                      </w:pPr>
                    </w:p>
                    <w:p w14:paraId="43BB8C0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239DA4C6"/>
                  </w:txbxContent>
                </v:textbox>
                <w10:wrap type="square"/>
              </v:roundrect>
            </w:pict>
          </mc:Fallback>
        </mc:AlternateContent>
      </w:r>
    </w:p>
    <w:p w14:paraId="6D10A05A">
      <w:pPr>
        <w:pStyle w:val="10"/>
        <w:numPr>
          <w:ilvl w:val="0"/>
          <w:numId w:val="0"/>
        </w:numPr>
        <w:kinsoku w:val="0"/>
        <w:overflowPunct w:val="0"/>
        <w:spacing w:before="7"/>
        <w:outlineLvl w:val="9"/>
        <w:rPr>
          <w:rFonts w:ascii="仿宋" w:hAnsi="仿宋" w:eastAsia="仿宋" w:cs="仿宋"/>
          <w:color w:val="auto"/>
          <w:sz w:val="25"/>
          <w:szCs w:val="25"/>
        </w:rPr>
      </w:pPr>
    </w:p>
    <w:p w14:paraId="23AC2798">
      <w:pPr>
        <w:pStyle w:val="10"/>
        <w:numPr>
          <w:ilvl w:val="0"/>
          <w:numId w:val="0"/>
        </w:numPr>
        <w:kinsoku w:val="0"/>
        <w:overflowPunct w:val="0"/>
        <w:spacing w:line="200" w:lineRule="atLeast"/>
        <w:outlineLvl w:val="9"/>
        <w:rPr>
          <w:rFonts w:ascii="仿宋" w:hAnsi="仿宋" w:eastAsia="仿宋" w:cs="仿宋"/>
          <w:color w:val="auto"/>
          <w:sz w:val="20"/>
          <w:szCs w:val="20"/>
        </w:rPr>
      </w:pPr>
    </w:p>
    <w:p w14:paraId="67BAD48B">
      <w:pPr>
        <w:wordWrap w:val="0"/>
        <w:spacing w:line="420" w:lineRule="exact"/>
        <w:ind w:firstLine="420" w:firstLineChars="200"/>
        <w:jc w:val="right"/>
        <w:outlineLvl w:val="9"/>
        <w:rPr>
          <w:rFonts w:ascii="仿宋" w:hAnsi="仿宋" w:eastAsia="仿宋" w:cs="仿宋"/>
          <w:color w:val="auto"/>
        </w:rPr>
      </w:pPr>
    </w:p>
    <w:p w14:paraId="75233EFA">
      <w:pPr>
        <w:pStyle w:val="10"/>
        <w:numPr>
          <w:ilvl w:val="0"/>
          <w:numId w:val="0"/>
        </w:numPr>
        <w:kinsoku w:val="0"/>
        <w:overflowPunct w:val="0"/>
        <w:spacing w:before="34" w:line="357" w:lineRule="auto"/>
        <w:ind w:right="126"/>
        <w:jc w:val="both"/>
        <w:outlineLvl w:val="9"/>
        <w:rPr>
          <w:rFonts w:hint="eastAsia" w:ascii="仿宋" w:hAnsi="仿宋" w:eastAsia="仿宋" w:cs="仿宋"/>
          <w:color w:val="auto"/>
          <w:sz w:val="24"/>
          <w:lang w:eastAsia="zh-CN"/>
        </w:rPr>
      </w:pPr>
    </w:p>
    <w:p w14:paraId="49A3574F">
      <w:pPr>
        <w:pStyle w:val="10"/>
        <w:numPr>
          <w:ilvl w:val="0"/>
          <w:numId w:val="0"/>
        </w:numPr>
        <w:kinsoku w:val="0"/>
        <w:overflowPunct w:val="0"/>
        <w:spacing w:before="34" w:line="357" w:lineRule="auto"/>
        <w:ind w:right="126"/>
        <w:jc w:val="both"/>
        <w:outlineLvl w:val="9"/>
        <w:rPr>
          <w:rFonts w:hint="eastAsia" w:ascii="仿宋" w:hAnsi="仿宋" w:eastAsia="仿宋" w:cs="仿宋"/>
          <w:color w:val="auto"/>
          <w:sz w:val="24"/>
          <w:lang w:eastAsia="zh-CN"/>
        </w:rPr>
      </w:pPr>
    </w:p>
    <w:p w14:paraId="1C4AA4F8">
      <w:pPr>
        <w:pStyle w:val="10"/>
        <w:numPr>
          <w:ilvl w:val="0"/>
          <w:numId w:val="0"/>
        </w:numPr>
        <w:kinsoku w:val="0"/>
        <w:overflowPunct w:val="0"/>
        <w:spacing w:before="34" w:line="357" w:lineRule="auto"/>
        <w:ind w:right="126"/>
        <w:jc w:val="both"/>
        <w:outlineLvl w:val="9"/>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2AB960EE">
      <w:pPr>
        <w:pStyle w:val="10"/>
        <w:numPr>
          <w:ilvl w:val="0"/>
          <w:numId w:val="0"/>
        </w:numPr>
        <w:kinsoku w:val="0"/>
        <w:overflowPunct w:val="0"/>
        <w:spacing w:before="34" w:line="357" w:lineRule="auto"/>
        <w:ind w:right="126"/>
        <w:jc w:val="both"/>
        <w:outlineLvl w:val="9"/>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46ABB5F3">
      <w:pPr>
        <w:pStyle w:val="10"/>
        <w:numPr>
          <w:ilvl w:val="0"/>
          <w:numId w:val="0"/>
        </w:numPr>
        <w:kinsoku w:val="0"/>
        <w:overflowPunct w:val="0"/>
        <w:spacing w:before="34" w:line="357" w:lineRule="auto"/>
        <w:ind w:right="126"/>
        <w:jc w:val="both"/>
        <w:outlineLvl w:val="9"/>
        <w:rPr>
          <w:rFonts w:ascii="仿宋" w:hAnsi="仿宋" w:eastAsia="仿宋" w:cs="仿宋"/>
          <w:color w:val="auto"/>
          <w:lang w:eastAsia="zh-CN"/>
        </w:rPr>
      </w:pPr>
    </w:p>
    <w:p w14:paraId="2329D396">
      <w:pPr>
        <w:pStyle w:val="10"/>
        <w:numPr>
          <w:ilvl w:val="0"/>
          <w:numId w:val="0"/>
        </w:numPr>
        <w:kinsoku w:val="0"/>
        <w:overflowPunct w:val="0"/>
        <w:spacing w:before="34" w:line="357" w:lineRule="auto"/>
        <w:ind w:right="126"/>
        <w:jc w:val="both"/>
        <w:outlineLvl w:val="9"/>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3287A143">
      <w:pPr>
        <w:pStyle w:val="10"/>
        <w:numPr>
          <w:ilvl w:val="0"/>
          <w:numId w:val="0"/>
        </w:numPr>
        <w:kinsoku w:val="0"/>
        <w:overflowPunct w:val="0"/>
        <w:spacing w:before="34" w:line="357" w:lineRule="auto"/>
        <w:ind w:left="480" w:right="126"/>
        <w:jc w:val="center"/>
        <w:outlineLvl w:val="9"/>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val="en-US" w:eastAsia="zh-CN"/>
        </w:rPr>
        <w:t>2.2</w:t>
      </w:r>
      <w:r>
        <w:rPr>
          <w:rFonts w:hint="eastAsia" w:ascii="仿宋" w:hAnsi="仿宋" w:eastAsia="仿宋" w:cs="仿宋"/>
          <w:b/>
          <w:bCs/>
          <w:color w:val="auto"/>
          <w:sz w:val="36"/>
          <w:szCs w:val="36"/>
          <w:lang w:eastAsia="zh-CN"/>
        </w:rPr>
        <w:t>法定代表人授权委托书</w:t>
      </w:r>
    </w:p>
    <w:p w14:paraId="478880A2">
      <w:pPr>
        <w:spacing w:line="420" w:lineRule="exact"/>
        <w:outlineLvl w:val="9"/>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47B0CEC5">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14:paraId="6A6C376D">
      <w:pPr>
        <w:adjustRightInd w:val="0"/>
        <w:snapToGrid w:val="0"/>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41DBD355">
      <w:pPr>
        <w:pStyle w:val="10"/>
        <w:tabs>
          <w:tab w:val="left" w:pos="780"/>
        </w:tabs>
        <w:kinsoku w:val="0"/>
        <w:overflowPunct w:val="0"/>
        <w:adjustRightInd w:val="0"/>
        <w:snapToGrid w:val="0"/>
        <w:spacing w:before="12"/>
        <w:outlineLvl w:val="9"/>
        <w:rPr>
          <w:rFonts w:ascii="仿宋" w:hAnsi="仿宋" w:eastAsia="仿宋" w:cs="仿宋"/>
          <w:color w:val="auto"/>
          <w:sz w:val="4"/>
          <w:szCs w:val="4"/>
          <w:lang w:eastAsia="zh-CN"/>
        </w:rPr>
      </w:pPr>
    </w:p>
    <w:p w14:paraId="44C8EB95">
      <w:pPr>
        <w:pStyle w:val="10"/>
        <w:numPr>
          <w:ilvl w:val="0"/>
          <w:numId w:val="0"/>
        </w:numPr>
        <w:kinsoku w:val="0"/>
        <w:overflowPunct w:val="0"/>
        <w:adjustRightInd w:val="0"/>
        <w:snapToGrid w:val="0"/>
        <w:spacing w:line="200" w:lineRule="atLeast"/>
        <w:ind w:right="1669" w:rightChars="795"/>
        <w:jc w:val="both"/>
        <w:outlineLvl w:val="9"/>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1524635</wp:posOffset>
                </wp:positionV>
                <wp:extent cx="2348230" cy="1367155"/>
                <wp:effectExtent l="4445" t="4445" r="9525" b="1524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04E3BFC">
                            <w:pPr>
                              <w:jc w:val="center"/>
                              <w:rPr>
                                <w:rFonts w:hint="eastAsia" w:ascii="仿宋" w:hAnsi="仿宋" w:eastAsia="仿宋" w:cs="仿宋"/>
                                <w:sz w:val="24"/>
                                <w:szCs w:val="24"/>
                              </w:rPr>
                            </w:pPr>
                          </w:p>
                          <w:p w14:paraId="37A57F87">
                            <w:pPr>
                              <w:jc w:val="center"/>
                              <w:rPr>
                                <w:rFonts w:hint="eastAsia" w:ascii="仿宋" w:hAnsi="仿宋" w:eastAsia="仿宋" w:cs="仿宋"/>
                                <w:sz w:val="24"/>
                                <w:szCs w:val="24"/>
                              </w:rPr>
                            </w:pPr>
                          </w:p>
                          <w:p w14:paraId="0254B9D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3CA82E0"/>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14:paraId="504E3BFC">
                      <w:pPr>
                        <w:jc w:val="center"/>
                        <w:rPr>
                          <w:rFonts w:hint="eastAsia" w:ascii="仿宋" w:hAnsi="仿宋" w:eastAsia="仿宋" w:cs="仿宋"/>
                          <w:sz w:val="24"/>
                          <w:szCs w:val="24"/>
                        </w:rPr>
                      </w:pPr>
                    </w:p>
                    <w:p w14:paraId="37A57F87">
                      <w:pPr>
                        <w:jc w:val="center"/>
                        <w:rPr>
                          <w:rFonts w:hint="eastAsia" w:ascii="仿宋" w:hAnsi="仿宋" w:eastAsia="仿宋" w:cs="仿宋"/>
                          <w:sz w:val="24"/>
                          <w:szCs w:val="24"/>
                        </w:rPr>
                      </w:pPr>
                    </w:p>
                    <w:p w14:paraId="0254B9D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3CA82E0"/>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0160" b="15240"/>
                <wp:wrapTight wrapText="bothSides">
                  <wp:wrapPolygon>
                    <wp:start x="929" y="-70"/>
                    <wp:lineTo x="-40" y="1134"/>
                    <wp:lineTo x="-40" y="19915"/>
                    <wp:lineTo x="790" y="21359"/>
                    <wp:lineTo x="20585" y="21359"/>
                    <wp:lineTo x="20862" y="21359"/>
                    <wp:lineTo x="21554" y="19674"/>
                    <wp:lineTo x="21554" y="1615"/>
                    <wp:lineTo x="20585" y="-70"/>
                    <wp:lineTo x="929" y="-70"/>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74DC5A4">
                            <w:pPr>
                              <w:jc w:val="center"/>
                              <w:rPr>
                                <w:rFonts w:hint="eastAsia" w:ascii="仿宋" w:hAnsi="仿宋" w:eastAsia="仿宋" w:cs="仿宋"/>
                                <w:sz w:val="24"/>
                                <w:szCs w:val="24"/>
                              </w:rPr>
                            </w:pPr>
                          </w:p>
                          <w:p w14:paraId="63FDE368">
                            <w:pPr>
                              <w:jc w:val="center"/>
                              <w:rPr>
                                <w:rFonts w:hint="eastAsia" w:ascii="仿宋" w:hAnsi="仿宋" w:eastAsia="仿宋" w:cs="仿宋"/>
                                <w:sz w:val="24"/>
                                <w:szCs w:val="24"/>
                              </w:rPr>
                            </w:pPr>
                          </w:p>
                          <w:p w14:paraId="722771EA">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483366F9">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929 -70 -40 1134 -40 19915 790 21359 20585 21359 20862 21359 21554 19674 21554 1615 20585 -70 929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174DC5A4">
                      <w:pPr>
                        <w:jc w:val="center"/>
                        <w:rPr>
                          <w:rFonts w:hint="eastAsia" w:ascii="仿宋" w:hAnsi="仿宋" w:eastAsia="仿宋" w:cs="仿宋"/>
                          <w:sz w:val="24"/>
                          <w:szCs w:val="24"/>
                        </w:rPr>
                      </w:pPr>
                    </w:p>
                    <w:p w14:paraId="63FDE368">
                      <w:pPr>
                        <w:jc w:val="center"/>
                        <w:rPr>
                          <w:rFonts w:hint="eastAsia" w:ascii="仿宋" w:hAnsi="仿宋" w:eastAsia="仿宋" w:cs="仿宋"/>
                          <w:sz w:val="24"/>
                          <w:szCs w:val="24"/>
                        </w:rPr>
                      </w:pPr>
                    </w:p>
                    <w:p w14:paraId="722771EA">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483366F9">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524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3702107">
                            <w:pPr>
                              <w:jc w:val="center"/>
                              <w:rPr>
                                <w:rFonts w:hint="eastAsia" w:ascii="仿宋" w:hAnsi="仿宋" w:eastAsia="仿宋" w:cs="仿宋"/>
                                <w:sz w:val="24"/>
                                <w:szCs w:val="24"/>
                              </w:rPr>
                            </w:pPr>
                          </w:p>
                          <w:p w14:paraId="45DBB6AD">
                            <w:pPr>
                              <w:jc w:val="center"/>
                              <w:rPr>
                                <w:rFonts w:hint="eastAsia" w:ascii="仿宋" w:hAnsi="仿宋" w:eastAsia="仿宋" w:cs="仿宋"/>
                                <w:sz w:val="24"/>
                                <w:szCs w:val="24"/>
                              </w:rPr>
                            </w:pPr>
                          </w:p>
                          <w:p w14:paraId="3589F39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3A51CD4"/>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14:paraId="53702107">
                      <w:pPr>
                        <w:jc w:val="center"/>
                        <w:rPr>
                          <w:rFonts w:hint="eastAsia" w:ascii="仿宋" w:hAnsi="仿宋" w:eastAsia="仿宋" w:cs="仿宋"/>
                          <w:sz w:val="24"/>
                          <w:szCs w:val="24"/>
                        </w:rPr>
                      </w:pPr>
                    </w:p>
                    <w:p w14:paraId="45DBB6AD">
                      <w:pPr>
                        <w:jc w:val="center"/>
                        <w:rPr>
                          <w:rFonts w:hint="eastAsia" w:ascii="仿宋" w:hAnsi="仿宋" w:eastAsia="仿宋" w:cs="仿宋"/>
                          <w:sz w:val="24"/>
                          <w:szCs w:val="24"/>
                        </w:rPr>
                      </w:pPr>
                    </w:p>
                    <w:p w14:paraId="3589F39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3A51CD4"/>
                  </w:txbxContent>
                </v:textbox>
                <w10:wrap type="square"/>
              </v:roundrect>
            </w:pict>
          </mc:Fallback>
        </mc:AlternateContent>
      </w:r>
      <w:r>
        <w:rPr>
          <w:color w:val="auto"/>
          <w:sz w:val="18"/>
        </w:rPr>
        <mc:AlternateContent>
          <mc:Choice Requires="wps">
            <w:drawing>
              <wp:anchor distT="0" distB="0" distL="114300" distR="114300" simplePos="0" relativeHeight="251663360" behindDoc="0" locked="0" layoutInCell="1" allowOverlap="1">
                <wp:simplePos x="0" y="0"/>
                <wp:positionH relativeFrom="column">
                  <wp:posOffset>2902585</wp:posOffset>
                </wp:positionH>
                <wp:positionV relativeFrom="paragraph">
                  <wp:posOffset>41275</wp:posOffset>
                </wp:positionV>
                <wp:extent cx="2327275" cy="1367155"/>
                <wp:effectExtent l="4445" t="4445" r="15240" b="15240"/>
                <wp:wrapSquare wrapText="bothSides"/>
                <wp:docPr id="7"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CD4BD9E">
                            <w:pPr>
                              <w:jc w:val="center"/>
                              <w:rPr>
                                <w:rFonts w:hint="eastAsia" w:ascii="仿宋" w:hAnsi="仿宋" w:eastAsia="仿宋" w:cs="仿宋"/>
                                <w:sz w:val="24"/>
                                <w:szCs w:val="24"/>
                              </w:rPr>
                            </w:pPr>
                          </w:p>
                          <w:p w14:paraId="0D4B1F85">
                            <w:pPr>
                              <w:jc w:val="center"/>
                              <w:rPr>
                                <w:rFonts w:hint="eastAsia" w:ascii="仿宋" w:hAnsi="仿宋" w:eastAsia="仿宋" w:cs="仿宋"/>
                                <w:sz w:val="24"/>
                                <w:szCs w:val="24"/>
                              </w:rPr>
                            </w:pPr>
                          </w:p>
                          <w:p w14:paraId="693F0E2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25264061"/>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85VhyICAABYBAAADgAAAGRycy9lMm9Eb2MueG1srVRLktMw&#10;EN1TxR1U2hN/puKAK84sCGFDwRQDB1Ak2RalX0lK7OzYUZyBHUvuALeZKrgFLcVkPrDIAi/sltX9&#10;/Pq9lpeXo5Joz50XRje4mOUYcU0NE7pr8Pt3mydPMfKBaEak0bzBB+7x5erxo+Vga16a3kjGHQIQ&#10;7evBNrgPwdZZ5mnPFfEzY7mGzdY4RQIsXZcxRwZAVzIr87zKBuOYdYZy7+Ht+riJJ0R3DqBpW0H5&#10;2tCd4jocUR2XJEBLvhfW41Vi27achjdt63lAssHQaUh3+AjE23jPVktSd47YXtCJAjmHwoOeFBEa&#10;PnqCWpNA0M6Jv6CUoM5404YZNSo7NpIUgS6K/IE21z2xPPUCUnt7Et3/P1j6en/lkGANXmCkiQLD&#10;f3769uvj55svP26+f0VVESUarK8h89peuWnlIYz9jq1T8QmdoDHJejjJyseAKLwsL8pFuZhjRGGv&#10;uKgWxXweUbPbcut8eMmNQjFosDM7zd6CeUlTsn/lQxKXTRQJ+4BRqyRYtScSFVVVLSbEKRmw/2DG&#10;Sm+kYBshZVq4bvtcOgSlDd6kayq+lyY1Ghr8bF5G5gQmvYUJg1BZUMvrLnG7V+HvAufp+hdwJLYm&#10;vj8SSAgxjdQ9J+yFZigcLPig4fjhSEFxhpHkcFpjlDIDEfKcTJBBalA6Gni0LEZh3I6Tj1vDDjAA&#10;O+tE14Pyye6UDgOXLJoOR5zou+sEevtD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S+tgtUA&#10;AAAJAQAADwAAAAAAAAABACAAAAAiAAAAZHJzL2Rvd25yZXYueG1sUEsBAhQAFAAAAAgAh07iQFfO&#10;VYciAgAAWAQAAA4AAAAAAAAAAQAgAAAAJAEAAGRycy9lMm9Eb2MueG1sUEsFBgAAAAAGAAYAWQEA&#10;ALgFAAAAAA==&#10;">
                <v:fill on="t" focussize="0,0"/>
                <v:stroke color="#000000" joinstyle="round"/>
                <v:imagedata o:title=""/>
                <o:lock v:ext="edit" aspectratio="f"/>
                <v:textbox>
                  <w:txbxContent>
                    <w:p w14:paraId="4CD4BD9E">
                      <w:pPr>
                        <w:jc w:val="center"/>
                        <w:rPr>
                          <w:rFonts w:hint="eastAsia" w:ascii="仿宋" w:hAnsi="仿宋" w:eastAsia="仿宋" w:cs="仿宋"/>
                          <w:sz w:val="24"/>
                          <w:szCs w:val="24"/>
                        </w:rPr>
                      </w:pPr>
                    </w:p>
                    <w:p w14:paraId="0D4B1F85">
                      <w:pPr>
                        <w:jc w:val="center"/>
                        <w:rPr>
                          <w:rFonts w:hint="eastAsia" w:ascii="仿宋" w:hAnsi="仿宋" w:eastAsia="仿宋" w:cs="仿宋"/>
                          <w:sz w:val="24"/>
                          <w:szCs w:val="24"/>
                        </w:rPr>
                      </w:pPr>
                    </w:p>
                    <w:p w14:paraId="693F0E2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25264061"/>
                  </w:txbxContent>
                </v:textbox>
                <w10:wrap type="square"/>
              </v:roundrect>
            </w:pict>
          </mc:Fallback>
        </mc:AlternateContent>
      </w:r>
    </w:p>
    <w:p w14:paraId="6C659A0D">
      <w:pPr>
        <w:pStyle w:val="10"/>
        <w:numPr>
          <w:ilvl w:val="0"/>
          <w:numId w:val="0"/>
        </w:numPr>
        <w:kinsoku w:val="0"/>
        <w:overflowPunct w:val="0"/>
        <w:adjustRightInd w:val="0"/>
        <w:snapToGrid w:val="0"/>
        <w:spacing w:line="200" w:lineRule="atLeast"/>
        <w:outlineLvl w:val="9"/>
        <w:rPr>
          <w:rFonts w:ascii="仿宋" w:hAnsi="仿宋" w:eastAsia="仿宋" w:cs="仿宋"/>
          <w:color w:val="auto"/>
          <w:sz w:val="18"/>
          <w:szCs w:val="20"/>
        </w:rPr>
      </w:pPr>
    </w:p>
    <w:p w14:paraId="1EB56903">
      <w:pPr>
        <w:outlineLvl w:val="9"/>
        <w:rPr>
          <w:rFonts w:ascii="仿宋" w:hAnsi="仿宋" w:eastAsia="仿宋" w:cs="仿宋"/>
          <w:color w:val="auto"/>
          <w:sz w:val="18"/>
          <w:szCs w:val="20"/>
        </w:rPr>
      </w:pPr>
    </w:p>
    <w:p w14:paraId="29054A12">
      <w:pPr>
        <w:pStyle w:val="34"/>
        <w:outlineLvl w:val="9"/>
        <w:rPr>
          <w:rFonts w:ascii="仿宋" w:hAnsi="仿宋" w:eastAsia="仿宋" w:cs="仿宋"/>
          <w:color w:val="auto"/>
          <w:sz w:val="18"/>
          <w:szCs w:val="20"/>
        </w:rPr>
      </w:pPr>
    </w:p>
    <w:p w14:paraId="55829B4A">
      <w:pPr>
        <w:pStyle w:val="34"/>
        <w:outlineLvl w:val="9"/>
        <w:rPr>
          <w:rFonts w:ascii="仿宋" w:hAnsi="仿宋" w:eastAsia="仿宋" w:cs="仿宋"/>
          <w:color w:val="auto"/>
          <w:sz w:val="18"/>
          <w:szCs w:val="20"/>
        </w:rPr>
      </w:pPr>
    </w:p>
    <w:p w14:paraId="2584D504">
      <w:pPr>
        <w:pStyle w:val="34"/>
        <w:outlineLvl w:val="9"/>
        <w:rPr>
          <w:rFonts w:ascii="仿宋" w:hAnsi="仿宋" w:eastAsia="仿宋" w:cs="仿宋"/>
          <w:color w:val="auto"/>
          <w:sz w:val="18"/>
          <w:szCs w:val="20"/>
        </w:rPr>
      </w:pPr>
    </w:p>
    <w:p w14:paraId="28B352A4">
      <w:pPr>
        <w:pStyle w:val="34"/>
        <w:outlineLvl w:val="9"/>
        <w:rPr>
          <w:rFonts w:ascii="仿宋" w:hAnsi="仿宋" w:eastAsia="仿宋" w:cs="仿宋"/>
          <w:color w:val="auto"/>
          <w:sz w:val="18"/>
          <w:szCs w:val="20"/>
        </w:rPr>
      </w:pPr>
    </w:p>
    <w:p w14:paraId="550660CD">
      <w:pPr>
        <w:pStyle w:val="10"/>
        <w:numPr>
          <w:ilvl w:val="0"/>
          <w:numId w:val="0"/>
        </w:numPr>
        <w:tabs>
          <w:tab w:val="left" w:pos="5295"/>
        </w:tabs>
        <w:kinsoku w:val="0"/>
        <w:overflowPunct w:val="0"/>
        <w:adjustRightInd w:val="0"/>
        <w:snapToGrid w:val="0"/>
        <w:spacing w:line="360" w:lineRule="auto"/>
        <w:ind w:left="709"/>
        <w:outlineLvl w:val="9"/>
        <w:rPr>
          <w:rFonts w:hint="eastAsia" w:ascii="仿宋" w:hAnsi="仿宋" w:eastAsia="仿宋" w:cs="仿宋"/>
          <w:color w:val="auto"/>
          <w:sz w:val="24"/>
          <w:lang w:eastAsia="zh-CN"/>
        </w:rPr>
      </w:pPr>
    </w:p>
    <w:p w14:paraId="1AA4A3F7">
      <w:pPr>
        <w:pStyle w:val="10"/>
        <w:numPr>
          <w:ilvl w:val="0"/>
          <w:numId w:val="0"/>
        </w:numPr>
        <w:tabs>
          <w:tab w:val="left" w:pos="5295"/>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被授权代表（签字或盖章）：          供应商法定代表人（签字或盖章）：</w:t>
      </w:r>
    </w:p>
    <w:p w14:paraId="31B7CE2E">
      <w:pPr>
        <w:pStyle w:val="10"/>
        <w:numPr>
          <w:ilvl w:val="0"/>
          <w:numId w:val="0"/>
        </w:numPr>
        <w:tabs>
          <w:tab w:val="left" w:pos="1098"/>
          <w:tab w:val="left" w:pos="5298"/>
          <w:tab w:val="left" w:pos="5778"/>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049C2BA6">
      <w:pPr>
        <w:pStyle w:val="10"/>
        <w:numPr>
          <w:ilvl w:val="0"/>
          <w:numId w:val="0"/>
        </w:numPr>
        <w:tabs>
          <w:tab w:val="left" w:pos="1098"/>
          <w:tab w:val="left" w:pos="5298"/>
          <w:tab w:val="left" w:pos="5778"/>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79517394">
      <w:pPr>
        <w:pStyle w:val="10"/>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outlineLvl w:val="9"/>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3730C893">
      <w:pPr>
        <w:pStyle w:val="10"/>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05" w:leftChars="50" w:right="238" w:firstLine="2880" w:firstLineChars="1200"/>
        <w:jc w:val="both"/>
        <w:outlineLvl w:val="9"/>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29BD8341">
      <w:pPr>
        <w:pStyle w:val="34"/>
        <w:outlineLvl w:val="9"/>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14:paraId="00BD7E10">
      <w:pPr>
        <w:pStyle w:val="16"/>
        <w:tabs>
          <w:tab w:val="left" w:pos="5580"/>
        </w:tabs>
        <w:spacing w:line="240" w:lineRule="auto"/>
        <w:ind w:left="0" w:leftChars="0" w:firstLine="0"/>
        <w:outlineLvl w:val="9"/>
        <w:rPr>
          <w:rFonts w:ascii="仿宋" w:hAnsi="仿宋" w:eastAsia="仿宋" w:cs="仿宋"/>
          <w:color w:val="auto"/>
          <w:highlight w:val="none"/>
          <w:lang w:eastAsia="zh-CN"/>
        </w:rPr>
      </w:pPr>
      <w:r>
        <w:rPr>
          <w:rFonts w:hint="eastAsia" w:ascii="仿宋" w:hAnsi="仿宋" w:eastAsia="仿宋" w:cs="仿宋"/>
          <w:b/>
          <w:bCs/>
          <w:color w:val="auto"/>
          <w:sz w:val="28"/>
          <w:szCs w:val="28"/>
          <w:lang w:eastAsia="zh-CN"/>
        </w:rPr>
        <w:t>3、投标企业须提供投标人（被授权本单位在职人员）近6个月内任何1个月已依法缴纳社会保险的凭据（依法不需要缴纳社会保障资金的供应商，应提供相应证明文件）；</w:t>
      </w:r>
      <w:r>
        <w:rPr>
          <w:rFonts w:hint="eastAsia" w:ascii="仿宋" w:hAnsi="仿宋" w:eastAsia="仿宋" w:cs="仿宋"/>
          <w:color w:val="auto"/>
          <w:highlight w:val="none"/>
          <w:lang w:eastAsia="zh-CN"/>
        </w:rPr>
        <w:t>说明：</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．按照招标文件的规定加盖单位章。</w:t>
      </w:r>
    </w:p>
    <w:p w14:paraId="798A98A7">
      <w:pPr>
        <w:pStyle w:val="16"/>
        <w:tabs>
          <w:tab w:val="left" w:pos="5580"/>
        </w:tabs>
        <w:spacing w:line="360" w:lineRule="auto"/>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p>
    <w:p w14:paraId="369142F0">
      <w:pPr>
        <w:pStyle w:val="8"/>
        <w:ind w:left="0" w:leftChars="0" w:firstLine="0" w:firstLineChars="0"/>
        <w:jc w:val="left"/>
        <w:outlineLvl w:val="9"/>
        <w:rPr>
          <w:rFonts w:ascii="仿宋" w:hAnsi="仿宋" w:eastAsia="仿宋" w:cs="仿宋"/>
          <w:color w:val="auto"/>
        </w:rPr>
      </w:pPr>
      <w:r>
        <w:rPr>
          <w:rFonts w:hint="eastAsia" w:ascii="仿宋" w:hAnsi="仿宋" w:eastAsia="仿宋" w:cs="仿宋"/>
          <w:b/>
          <w:bCs/>
          <w:color w:val="auto"/>
          <w:sz w:val="28"/>
          <w:szCs w:val="28"/>
          <w:lang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543CEA47">
      <w:pPr>
        <w:pStyle w:val="17"/>
        <w:ind w:left="840" w:leftChars="0" w:firstLine="420" w:firstLineChars="0"/>
        <w:outlineLvl w:val="9"/>
        <w:rPr>
          <w:rFonts w:hint="default"/>
          <w:lang w:val="en-US" w:eastAsia="zh-CN"/>
        </w:rPr>
      </w:pPr>
      <w:r>
        <w:rPr>
          <w:rFonts w:hint="eastAsia" w:ascii="仿宋" w:hAnsi="仿宋" w:eastAsia="仿宋" w:cs="仿宋"/>
          <w:color w:val="auto"/>
          <w:lang w:eastAsia="zh-CN"/>
        </w:rPr>
        <w:t>说明：1.</w:t>
      </w:r>
      <w:r>
        <w:rPr>
          <w:rFonts w:hint="eastAsia" w:ascii="仿宋" w:hAnsi="仿宋" w:eastAsia="仿宋" w:cs="仿宋"/>
          <w:color w:val="auto"/>
          <w:lang w:val="en-US" w:eastAsia="zh-CN"/>
        </w:rPr>
        <w:t>投标人自行提供。</w:t>
      </w:r>
    </w:p>
    <w:p w14:paraId="2EA9E6F2">
      <w:pPr>
        <w:pStyle w:val="8"/>
        <w:outlineLvl w:val="9"/>
        <w:rPr>
          <w:rFonts w:ascii="仿宋" w:hAnsi="仿宋" w:eastAsia="仿宋" w:cs="仿宋"/>
          <w:color w:val="auto"/>
        </w:rPr>
      </w:pPr>
    </w:p>
    <w:p w14:paraId="260747E7">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4D3C4799">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5、</w:t>
      </w:r>
      <w:r>
        <w:rPr>
          <w:rFonts w:hint="eastAsia" w:ascii="仿宋" w:hAnsi="仿宋" w:eastAsia="仿宋" w:cs="仿宋"/>
          <w:b/>
          <w:bCs/>
          <w:color w:val="auto"/>
          <w:sz w:val="28"/>
          <w:szCs w:val="28"/>
          <w:lang w:val="en-US" w:eastAsia="zh-CN"/>
        </w:rPr>
        <w:t>投标人不得被列入“信用中国”网站（www.creditchina.gov.cn）、中国政府采购网站（www.ccgp.gov.cn）失信被执行人、重大税收违法案件当事人名单、政府采购严重违法失信行为记录名单；（提供查询结果网页截图并加盖供应商公章）</w:t>
      </w:r>
    </w:p>
    <w:p w14:paraId="7DD7157C">
      <w:pPr>
        <w:numPr>
          <w:ilvl w:val="0"/>
          <w:numId w:val="0"/>
        </w:numPr>
        <w:rPr>
          <w:rFonts w:hint="eastAsia" w:ascii="仿宋" w:hAnsi="仿宋" w:eastAsia="仿宋" w:cs="仿宋"/>
          <w:b/>
          <w:bCs/>
          <w:color w:val="auto"/>
          <w:sz w:val="28"/>
          <w:szCs w:val="28"/>
          <w:lang w:val="en-US" w:eastAsia="zh-CN"/>
        </w:rPr>
      </w:pPr>
    </w:p>
    <w:p w14:paraId="202D2A82">
      <w:pPr>
        <w:numPr>
          <w:ilvl w:val="0"/>
          <w:numId w:val="0"/>
        </w:numPr>
        <w:rPr>
          <w:rFonts w:hint="eastAsia" w:ascii="仿宋" w:hAnsi="仿宋" w:eastAsia="仿宋" w:cs="仿宋"/>
          <w:b/>
          <w:bCs/>
          <w:color w:val="auto"/>
          <w:sz w:val="28"/>
          <w:szCs w:val="28"/>
          <w:lang w:val="en-US" w:eastAsia="zh-CN"/>
        </w:rPr>
      </w:pPr>
    </w:p>
    <w:p w14:paraId="2B3C31AB">
      <w:pPr>
        <w:numPr>
          <w:ilvl w:val="0"/>
          <w:numId w:val="0"/>
        </w:numPr>
        <w:rPr>
          <w:rFonts w:hint="eastAsia" w:ascii="仿宋" w:hAnsi="仿宋" w:eastAsia="仿宋" w:cs="仿宋"/>
          <w:b/>
          <w:bCs/>
          <w:color w:val="auto"/>
          <w:sz w:val="28"/>
          <w:szCs w:val="28"/>
          <w:lang w:val="en-US" w:eastAsia="zh-CN"/>
        </w:rPr>
      </w:pPr>
    </w:p>
    <w:p w14:paraId="2FADD05E">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6、</w:t>
      </w:r>
      <w:r>
        <w:rPr>
          <w:rFonts w:hint="eastAsia" w:ascii="仿宋" w:hAnsi="仿宋" w:eastAsia="仿宋" w:cs="仿宋"/>
          <w:b/>
          <w:bCs/>
          <w:color w:val="auto"/>
          <w:sz w:val="28"/>
          <w:szCs w:val="28"/>
          <w:lang w:val="en-US"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1A3FC525">
      <w:pPr>
        <w:numPr>
          <w:ilvl w:val="0"/>
          <w:numId w:val="0"/>
        </w:numPr>
        <w:ind w:left="0" w:leftChars="0" w:firstLine="353" w:firstLineChars="0"/>
        <w:rPr>
          <w:rFonts w:hint="eastAsia" w:ascii="仿宋" w:hAnsi="仿宋" w:eastAsia="仿宋" w:cs="仿宋"/>
          <w:b/>
          <w:bCs/>
          <w:color w:val="auto"/>
          <w:sz w:val="28"/>
          <w:szCs w:val="28"/>
          <w:lang w:val="en-US" w:eastAsia="zh-CN"/>
        </w:rPr>
      </w:pPr>
    </w:p>
    <w:p w14:paraId="5253CFE1">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5DB7E371">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5E2296A4">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8、具有履行合同所必需的设备和专业技术能力（提供书面声明函）；</w:t>
      </w:r>
    </w:p>
    <w:p w14:paraId="530E932E">
      <w:pPr>
        <w:numPr>
          <w:ilvl w:val="0"/>
          <w:numId w:val="0"/>
        </w:numPr>
        <w:rPr>
          <w:rFonts w:hint="eastAsia" w:ascii="仿宋" w:hAnsi="仿宋" w:eastAsia="仿宋" w:cs="仿宋"/>
          <w:b/>
          <w:bCs/>
          <w:color w:val="auto"/>
          <w:sz w:val="28"/>
          <w:szCs w:val="28"/>
          <w:lang w:val="en-US" w:eastAsia="zh-CN"/>
        </w:rPr>
      </w:pPr>
    </w:p>
    <w:p w14:paraId="3D5337B9">
      <w:pPr>
        <w:numPr>
          <w:ilvl w:val="0"/>
          <w:numId w:val="0"/>
        </w:numPr>
        <w:rPr>
          <w:rFonts w:hint="eastAsia" w:ascii="仿宋" w:hAnsi="仿宋" w:eastAsia="仿宋" w:cs="仿宋"/>
          <w:b/>
          <w:bCs/>
          <w:color w:val="auto"/>
          <w:sz w:val="28"/>
          <w:szCs w:val="28"/>
          <w:lang w:val="en-US" w:eastAsia="zh-CN"/>
        </w:rPr>
      </w:pPr>
    </w:p>
    <w:p w14:paraId="45BD3AEB">
      <w:pPr>
        <w:numPr>
          <w:ilvl w:val="0"/>
          <w:numId w:val="0"/>
        </w:numPr>
        <w:rPr>
          <w:rFonts w:hint="eastAsia" w:ascii="仿宋" w:hAnsi="仿宋" w:eastAsia="仿宋" w:cs="仿宋"/>
          <w:b/>
          <w:bCs/>
          <w:color w:val="auto"/>
          <w:sz w:val="28"/>
          <w:szCs w:val="28"/>
          <w:lang w:val="en-US" w:eastAsia="zh-CN"/>
        </w:rPr>
      </w:pPr>
    </w:p>
    <w:p w14:paraId="0454BF6B">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9、提供参加政府采购活动前三年内，在经营活动中没有重大违法记录（承诺函原件扫描件）；</w:t>
      </w:r>
    </w:p>
    <w:p w14:paraId="1206CF1D">
      <w:pPr>
        <w:numPr>
          <w:ilvl w:val="0"/>
          <w:numId w:val="0"/>
        </w:numPr>
        <w:rPr>
          <w:rFonts w:hint="eastAsia" w:ascii="仿宋" w:hAnsi="仿宋" w:eastAsia="仿宋" w:cs="仿宋"/>
          <w:b/>
          <w:bCs/>
          <w:color w:val="auto"/>
          <w:sz w:val="28"/>
          <w:szCs w:val="28"/>
          <w:lang w:val="en-US" w:eastAsia="zh-CN"/>
        </w:rPr>
      </w:pPr>
    </w:p>
    <w:p w14:paraId="35881B2E">
      <w:pPr>
        <w:numPr>
          <w:ilvl w:val="0"/>
          <w:numId w:val="0"/>
        </w:numPr>
        <w:rPr>
          <w:rFonts w:hint="eastAsia" w:ascii="仿宋" w:hAnsi="仿宋" w:eastAsia="仿宋" w:cs="仿宋"/>
          <w:b/>
          <w:bCs/>
          <w:color w:val="auto"/>
          <w:sz w:val="28"/>
          <w:szCs w:val="28"/>
          <w:lang w:val="en-US" w:eastAsia="zh-CN"/>
        </w:rPr>
      </w:pPr>
    </w:p>
    <w:p w14:paraId="6721956B">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10、企业负责人为同一人或者存在直接控股、管理关系的不同投标人，不得参加同一合同项下的政府采购活动（提供书面声明函）；</w:t>
      </w:r>
    </w:p>
    <w:p w14:paraId="3FD04924">
      <w:pPr>
        <w:rPr>
          <w:rFonts w:hint="eastAsia"/>
          <w:lang w:val="en-US" w:eastAsia="zh-CN"/>
        </w:rPr>
      </w:pPr>
    </w:p>
    <w:p w14:paraId="6494AAC3">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7D705592">
      <w:pPr>
        <w:numPr>
          <w:ilvl w:val="0"/>
          <w:numId w:val="0"/>
        </w:numPr>
        <w:spacing w:line="360" w:lineRule="auto"/>
        <w:ind w:leftChars="0"/>
        <w:jc w:val="both"/>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11、</w:t>
      </w:r>
      <w:r>
        <w:rPr>
          <w:rFonts w:hint="eastAsia" w:ascii="仿宋" w:hAnsi="仿宋" w:eastAsia="仿宋" w:cs="仿宋"/>
          <w:b/>
          <w:bCs/>
          <w:color w:val="auto"/>
          <w:sz w:val="28"/>
          <w:szCs w:val="28"/>
          <w:lang w:eastAsia="zh-CN"/>
        </w:rPr>
        <w:t>投标保证金缴纳凭证（银行回单）或保函等票据；</w:t>
      </w:r>
    </w:p>
    <w:p w14:paraId="0E044606">
      <w:pPr>
        <w:shd w:val="clear" w:color="auto" w:fill="auto"/>
        <w:outlineLvl w:val="9"/>
        <w:rPr>
          <w:rFonts w:hint="eastAsia" w:ascii="仿宋" w:hAnsi="仿宋" w:eastAsia="仿宋" w:cs="仿宋"/>
          <w:color w:val="auto"/>
          <w:sz w:val="24"/>
          <w:szCs w:val="24"/>
          <w:highlight w:val="none"/>
        </w:rPr>
      </w:pPr>
    </w:p>
    <w:tbl>
      <w:tblPr>
        <w:tblStyle w:val="26"/>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928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72346617">
            <w:pPr>
              <w:shd w:val="clear" w:color="auto" w:fill="auto"/>
              <w:outlineLvl w:val="9"/>
              <w:rPr>
                <w:rFonts w:hint="eastAsia" w:ascii="仿宋" w:hAnsi="仿宋" w:eastAsia="仿宋" w:cs="仿宋"/>
                <w:b/>
                <w:bCs/>
                <w:color w:val="auto"/>
                <w:sz w:val="24"/>
                <w:szCs w:val="24"/>
                <w:highlight w:val="none"/>
              </w:rPr>
            </w:pPr>
          </w:p>
          <w:p w14:paraId="5A7FF833">
            <w:pPr>
              <w:shd w:val="clear" w:color="auto" w:fill="auto"/>
              <w:jc w:val="center"/>
              <w:outlineLvl w:val="9"/>
              <w:rPr>
                <w:rFonts w:hint="eastAsia" w:ascii="仿宋" w:hAnsi="仿宋" w:eastAsia="仿宋" w:cs="仿宋"/>
                <w:b/>
                <w:bCs/>
                <w:color w:val="auto"/>
                <w:sz w:val="24"/>
                <w:szCs w:val="24"/>
                <w:highlight w:val="none"/>
              </w:rPr>
            </w:pPr>
          </w:p>
          <w:p w14:paraId="24CA3D0A">
            <w:pPr>
              <w:shd w:val="clear" w:color="auto" w:fill="auto"/>
              <w:jc w:val="center"/>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投标保证金缴纳凭证（银行回单）</w:t>
            </w:r>
          </w:p>
          <w:p w14:paraId="5D2D9D7F">
            <w:pPr>
              <w:shd w:val="clear" w:color="auto" w:fill="auto"/>
              <w:jc w:val="center"/>
              <w:outlineLvl w:val="9"/>
              <w:rPr>
                <w:rFonts w:hint="eastAsia" w:ascii="仿宋" w:hAnsi="仿宋" w:eastAsia="仿宋" w:cs="仿宋"/>
                <w:b/>
                <w:bCs/>
                <w:color w:val="auto"/>
                <w:sz w:val="24"/>
                <w:szCs w:val="24"/>
                <w:highlight w:val="none"/>
              </w:rPr>
            </w:pPr>
          </w:p>
          <w:p w14:paraId="30779550">
            <w:pPr>
              <w:shd w:val="clear" w:color="auto" w:fill="auto"/>
              <w:jc w:val="center"/>
              <w:outlineLvl w:val="9"/>
              <w:rPr>
                <w:rFonts w:hint="eastAsia" w:ascii="仿宋" w:hAnsi="仿宋" w:eastAsia="仿宋" w:cs="仿宋"/>
                <w:b/>
                <w:bCs/>
                <w:color w:val="auto"/>
                <w:sz w:val="24"/>
                <w:szCs w:val="24"/>
                <w:highlight w:val="none"/>
              </w:rPr>
            </w:pPr>
          </w:p>
        </w:tc>
      </w:tr>
    </w:tbl>
    <w:p w14:paraId="23B16628">
      <w:pPr>
        <w:pStyle w:val="35"/>
        <w:numPr>
          <w:ilvl w:val="4"/>
          <w:numId w:val="0"/>
        </w:numPr>
        <w:ind w:leftChars="0"/>
        <w:outlineLvl w:val="9"/>
        <w:rPr>
          <w:rFonts w:hint="eastAsia"/>
          <w:lang w:eastAsia="zh-CN"/>
        </w:rPr>
      </w:pPr>
    </w:p>
    <w:p w14:paraId="314C849E">
      <w:pPr>
        <w:pStyle w:val="36"/>
        <w:outlineLvl w:val="9"/>
        <w:rPr>
          <w:rFonts w:hint="eastAsia"/>
          <w:lang w:eastAsia="zh-CN"/>
        </w:rPr>
      </w:pPr>
    </w:p>
    <w:p w14:paraId="284B4D60">
      <w:pPr>
        <w:pStyle w:val="36"/>
        <w:outlineLvl w:val="9"/>
        <w:rPr>
          <w:rFonts w:hint="eastAsia"/>
          <w:lang w:eastAsia="zh-CN"/>
        </w:rPr>
      </w:pPr>
    </w:p>
    <w:p w14:paraId="6C9DE810">
      <w:pPr>
        <w:pStyle w:val="36"/>
        <w:outlineLvl w:val="9"/>
        <w:rPr>
          <w:rFonts w:hint="eastAsia"/>
          <w:lang w:eastAsia="zh-CN"/>
        </w:rPr>
      </w:pPr>
    </w:p>
    <w:p w14:paraId="5E2C0E87">
      <w:pPr>
        <w:pStyle w:val="36"/>
        <w:outlineLvl w:val="9"/>
        <w:rPr>
          <w:rFonts w:hint="eastAsia"/>
          <w:lang w:eastAsia="zh-CN"/>
        </w:rPr>
      </w:pPr>
    </w:p>
    <w:p w14:paraId="129E079C">
      <w:pPr>
        <w:pStyle w:val="36"/>
        <w:outlineLvl w:val="9"/>
        <w:rPr>
          <w:rFonts w:hint="eastAsia"/>
          <w:lang w:eastAsia="zh-CN"/>
        </w:rPr>
      </w:pPr>
    </w:p>
    <w:p w14:paraId="1665E05C">
      <w:pPr>
        <w:pStyle w:val="36"/>
        <w:outlineLvl w:val="9"/>
        <w:rPr>
          <w:rFonts w:hint="eastAsia"/>
          <w:lang w:eastAsia="zh-CN"/>
        </w:rPr>
      </w:pPr>
    </w:p>
    <w:p w14:paraId="495C8023">
      <w:pPr>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br w:type="page"/>
      </w:r>
    </w:p>
    <w:p w14:paraId="11BD60AF">
      <w:pPr>
        <w:spacing w:line="360" w:lineRule="auto"/>
        <w:jc w:val="center"/>
        <w:outlineLvl w:val="9"/>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7C573E22">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编号：</w:t>
      </w:r>
    </w:p>
    <w:p w14:paraId="513AAFA4">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14:paraId="4CC792A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512317DA">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37A9D402">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2C2A8A38">
      <w:pPr>
        <w:spacing w:line="360" w:lineRule="auto"/>
        <w:ind w:firstLine="210" w:firstLineChars="100"/>
        <w:outlineLvl w:val="9"/>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14:paraId="21A618A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14:paraId="3BE7DCD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14:paraId="2D9DD5CD">
      <w:pPr>
        <w:spacing w:line="360" w:lineRule="auto"/>
        <w:ind w:firstLine="210" w:firstLineChars="100"/>
        <w:outlineLvl w:val="9"/>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14:paraId="0382744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14:paraId="47E3D8C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77B8E46E">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3B2D1B0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14:paraId="6B2FE359">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671E5253">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14:paraId="0D80C22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四、保证责任的终止</w:t>
      </w:r>
    </w:p>
    <w:p w14:paraId="6912176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4027CB4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421884C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1EC01AE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五、免责条款</w:t>
      </w:r>
    </w:p>
    <w:p w14:paraId="70269177">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14:paraId="3062D284">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14:paraId="492B6EB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14:paraId="14D80A54">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14:paraId="1D7580C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六、争议的解决</w:t>
      </w:r>
    </w:p>
    <w:p w14:paraId="057AEF53">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14:paraId="6D6C651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七、保函的生效</w:t>
      </w:r>
    </w:p>
    <w:p w14:paraId="06AFEE8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3EFAB490">
      <w:pPr>
        <w:spacing w:line="360" w:lineRule="auto"/>
        <w:ind w:firstLine="5565" w:firstLineChars="2650"/>
        <w:outlineLvl w:val="9"/>
        <w:rPr>
          <w:rFonts w:ascii="仿宋" w:hAnsi="仿宋" w:eastAsia="仿宋" w:cs="仿宋"/>
          <w:color w:val="auto"/>
          <w:lang w:eastAsia="zh-CN"/>
        </w:rPr>
      </w:pPr>
    </w:p>
    <w:p w14:paraId="6310BEE2">
      <w:pPr>
        <w:spacing w:line="360" w:lineRule="auto"/>
        <w:ind w:firstLine="5565" w:firstLineChars="2650"/>
        <w:outlineLvl w:val="9"/>
        <w:rPr>
          <w:rFonts w:ascii="仿宋" w:hAnsi="仿宋" w:eastAsia="仿宋" w:cs="仿宋"/>
          <w:color w:val="auto"/>
          <w:lang w:eastAsia="zh-CN"/>
        </w:rPr>
      </w:pPr>
    </w:p>
    <w:p w14:paraId="128746E4">
      <w:pPr>
        <w:spacing w:line="360" w:lineRule="auto"/>
        <w:ind w:firstLine="5565" w:firstLineChars="2650"/>
        <w:outlineLvl w:val="9"/>
        <w:rPr>
          <w:rFonts w:ascii="仿宋" w:hAnsi="仿宋" w:eastAsia="仿宋" w:cs="仿宋"/>
          <w:color w:val="auto"/>
          <w:lang w:eastAsia="zh-CN"/>
        </w:rPr>
      </w:pPr>
      <w:r>
        <w:rPr>
          <w:rFonts w:hint="eastAsia" w:ascii="仿宋" w:hAnsi="仿宋" w:eastAsia="仿宋" w:cs="仿宋"/>
          <w:color w:val="auto"/>
          <w:lang w:eastAsia="zh-CN"/>
        </w:rPr>
        <w:t>保证人：（公章）</w:t>
      </w:r>
    </w:p>
    <w:p w14:paraId="681BB801">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p>
    <w:p w14:paraId="25B1E196">
      <w:pPr>
        <w:spacing w:line="360" w:lineRule="auto"/>
        <w:ind w:firstLine="5460" w:firstLineChars="2600"/>
        <w:outlineLvl w:val="9"/>
        <w:rPr>
          <w:rFonts w:ascii="仿宋" w:hAnsi="仿宋" w:eastAsia="仿宋" w:cs="仿宋"/>
          <w:color w:val="auto"/>
          <w:lang w:eastAsia="zh-CN"/>
        </w:rPr>
        <w:sectPr>
          <w:headerReference r:id="rId7" w:type="default"/>
          <w:footerReference r:id="rId8" w:type="default"/>
          <w:pgSz w:w="11905" w:h="16838"/>
          <w:pgMar w:top="1440" w:right="1134" w:bottom="1440" w:left="1134" w:header="850" w:footer="992" w:gutter="0"/>
          <w:pgNumType w:fmt="decimal"/>
          <w:cols w:space="0" w:num="1"/>
          <w:rtlGutter w:val="0"/>
          <w:docGrid w:type="lines" w:linePitch="321" w:charSpace="0"/>
        </w:sectPr>
      </w:pPr>
      <w:r>
        <w:rPr>
          <w:rFonts w:hint="eastAsia" w:ascii="仿宋" w:hAnsi="仿宋" w:eastAsia="仿宋" w:cs="仿宋"/>
          <w:color w:val="auto"/>
          <w:lang w:eastAsia="zh-CN"/>
        </w:rPr>
        <w:t>年     月      日</w:t>
      </w:r>
    </w:p>
    <w:p w14:paraId="121BC8A8">
      <w:pPr>
        <w:numPr>
          <w:ilvl w:val="0"/>
          <w:numId w:val="0"/>
        </w:numPr>
        <w:spacing w:line="360" w:lineRule="auto"/>
        <w:ind w:leftChars="0"/>
        <w:jc w:val="both"/>
        <w:outlineLvl w:val="9"/>
        <w:rPr>
          <w:rFonts w:hint="eastAsia" w:ascii="仿宋" w:hAnsi="仿宋" w:eastAsia="仿宋" w:cs="仿宋"/>
          <w:b/>
          <w:bCs/>
          <w:color w:val="auto"/>
          <w:sz w:val="28"/>
          <w:szCs w:val="28"/>
          <w:highlight w:val="none"/>
          <w:lang w:eastAsia="zh-CN"/>
        </w:rPr>
      </w:pPr>
      <w:bookmarkStart w:id="85" w:name="_Toc515647816"/>
      <w:bookmarkStart w:id="86" w:name="_Toc22967"/>
      <w:bookmarkStart w:id="87" w:name="_Toc11180"/>
      <w:bookmarkStart w:id="88" w:name="_Toc5695"/>
      <w:r>
        <w:rPr>
          <w:rFonts w:hint="eastAsia" w:ascii="仿宋" w:hAnsi="仿宋" w:eastAsia="仿宋" w:cs="仿宋"/>
          <w:b/>
          <w:bCs/>
          <w:color w:val="auto"/>
          <w:sz w:val="28"/>
          <w:szCs w:val="28"/>
          <w:highlight w:val="none"/>
          <w:lang w:val="en-US" w:eastAsia="zh-CN"/>
        </w:rPr>
        <w:t>12</w:t>
      </w:r>
      <w:r>
        <w:rPr>
          <w:rFonts w:hint="eastAsia" w:ascii="仿宋" w:hAnsi="仿宋" w:eastAsia="仿宋" w:cs="仿宋"/>
          <w:b/>
          <w:bCs/>
          <w:color w:val="auto"/>
          <w:sz w:val="28"/>
          <w:szCs w:val="28"/>
          <w:highlight w:val="none"/>
          <w:lang w:eastAsia="zh-CN"/>
        </w:rPr>
        <w:t xml:space="preserve">、供应商须知资料表要求的其他资格证明文件; </w:t>
      </w:r>
    </w:p>
    <w:p w14:paraId="651321B9">
      <w:pPr>
        <w:numPr>
          <w:ilvl w:val="0"/>
          <w:numId w:val="0"/>
        </w:numPr>
        <w:spacing w:line="360" w:lineRule="auto"/>
        <w:ind w:leftChars="0"/>
        <w:jc w:val="both"/>
        <w:outlineLvl w:val="9"/>
        <w:rPr>
          <w:rFonts w:hint="eastAsia" w:ascii="仿宋" w:hAnsi="仿宋" w:eastAsia="仿宋" w:cs="仿宋"/>
          <w:b/>
          <w:bCs/>
          <w:color w:val="auto"/>
          <w:sz w:val="28"/>
          <w:szCs w:val="28"/>
          <w:highlight w:val="yellow"/>
          <w:lang w:eastAsia="zh-CN"/>
        </w:rPr>
      </w:pPr>
    </w:p>
    <w:p w14:paraId="00BFC99B">
      <w:pPr>
        <w:outlineLvl w:val="9"/>
        <w:rPr>
          <w:rFonts w:hint="eastAsia" w:ascii="仿宋" w:hAnsi="仿宋" w:eastAsia="仿宋" w:cs="仿宋"/>
          <w:color w:val="auto"/>
          <w:sz w:val="32"/>
          <w:szCs w:val="32"/>
          <w:lang w:eastAsia="zh-CN"/>
        </w:rPr>
      </w:pPr>
    </w:p>
    <w:p w14:paraId="1EEE6E4A">
      <w:pPr>
        <w:outlineLvl w:val="9"/>
        <w:rPr>
          <w:rFonts w:hint="eastAsia"/>
          <w:color w:val="auto"/>
          <w:lang w:eastAsia="zh-CN"/>
        </w:rPr>
      </w:pPr>
    </w:p>
    <w:p w14:paraId="49AEEA57">
      <w:pPr>
        <w:spacing w:before="40" w:after="40" w:line="579" w:lineRule="auto"/>
        <w:jc w:val="center"/>
        <w:outlineLvl w:val="9"/>
        <w:rPr>
          <w:rFonts w:hint="eastAsia" w:ascii="仿宋" w:hAnsi="仿宋" w:eastAsia="仿宋" w:cs="仿宋"/>
          <w:color w:val="auto"/>
          <w:sz w:val="32"/>
          <w:szCs w:val="32"/>
          <w:lang w:eastAsia="zh-CN"/>
        </w:rPr>
      </w:pPr>
    </w:p>
    <w:p w14:paraId="12911124">
      <w:pPr>
        <w:spacing w:before="40" w:after="40" w:line="579" w:lineRule="auto"/>
        <w:jc w:val="center"/>
        <w:outlineLvl w:val="9"/>
        <w:rPr>
          <w:rFonts w:hint="eastAsia" w:ascii="仿宋" w:hAnsi="仿宋" w:eastAsia="仿宋" w:cs="仿宋"/>
          <w:color w:val="auto"/>
          <w:sz w:val="32"/>
          <w:szCs w:val="32"/>
          <w:lang w:eastAsia="zh-CN"/>
        </w:rPr>
      </w:pPr>
    </w:p>
    <w:p w14:paraId="32BEF544">
      <w:pPr>
        <w:spacing w:before="40" w:after="40" w:line="579" w:lineRule="auto"/>
        <w:jc w:val="center"/>
        <w:outlineLvl w:val="9"/>
        <w:rPr>
          <w:rFonts w:hint="eastAsia" w:ascii="仿宋" w:hAnsi="仿宋" w:eastAsia="仿宋" w:cs="仿宋"/>
          <w:color w:val="auto"/>
          <w:sz w:val="32"/>
          <w:szCs w:val="32"/>
          <w:lang w:eastAsia="zh-CN"/>
        </w:rPr>
      </w:pPr>
    </w:p>
    <w:p w14:paraId="7E384BA3">
      <w:pPr>
        <w:outlineLvl w:val="9"/>
        <w:rPr>
          <w:rFonts w:hint="eastAsia" w:ascii="仿宋" w:hAnsi="仿宋" w:eastAsia="仿宋" w:cs="仿宋"/>
          <w:color w:val="auto"/>
          <w:sz w:val="32"/>
          <w:szCs w:val="32"/>
          <w:lang w:eastAsia="zh-CN"/>
        </w:rPr>
      </w:pPr>
    </w:p>
    <w:p w14:paraId="0BB1B40B">
      <w:pPr>
        <w:pStyle w:val="35"/>
        <w:outlineLvl w:val="9"/>
        <w:rPr>
          <w:rFonts w:hint="eastAsia"/>
          <w:color w:val="auto"/>
          <w:lang w:eastAsia="zh-CN"/>
        </w:rPr>
      </w:pPr>
    </w:p>
    <w:p w14:paraId="5FA27C58">
      <w:pPr>
        <w:outlineLvl w:val="9"/>
        <w:rPr>
          <w:rFonts w:hint="eastAsia"/>
          <w:color w:val="auto"/>
          <w:lang w:eastAsia="zh-CN"/>
        </w:rPr>
      </w:pPr>
      <w:r>
        <w:rPr>
          <w:rFonts w:hint="eastAsia"/>
          <w:color w:val="auto"/>
          <w:lang w:eastAsia="zh-CN"/>
        </w:rPr>
        <w:br w:type="page"/>
      </w:r>
    </w:p>
    <w:p w14:paraId="5F7EFE80">
      <w:pPr>
        <w:pStyle w:val="53"/>
        <w:outlineLvl w:val="9"/>
        <w:rPr>
          <w:rFonts w:hint="eastAsia"/>
          <w:color w:val="auto"/>
          <w:lang w:eastAsia="zh-CN"/>
        </w:rPr>
      </w:pPr>
    </w:p>
    <w:p w14:paraId="6B650B6E">
      <w:pPr>
        <w:spacing w:before="40" w:after="40" w:line="579" w:lineRule="auto"/>
        <w:jc w:val="center"/>
        <w:outlineLvl w:val="9"/>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85"/>
      <w:bookmarkEnd w:id="86"/>
      <w:bookmarkEnd w:id="87"/>
      <w:bookmarkEnd w:id="88"/>
    </w:p>
    <w:p w14:paraId="61691EED">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14:paraId="62E86D1A">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default"/>
          <w:lang w:val="en-US"/>
        </w:rPr>
      </w:pPr>
      <w:r>
        <w:rPr>
          <w:rFonts w:hint="eastAsia" w:ascii="仿宋" w:hAnsi="仿宋" w:eastAsia="仿宋" w:cs="仿宋"/>
          <w:color w:val="auto"/>
          <w:sz w:val="24"/>
          <w:szCs w:val="24"/>
          <w:highlight w:val="none"/>
          <w:lang w:val="en-US" w:eastAsia="zh-CN"/>
        </w:rPr>
        <w:t>2、开标一览表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14:paraId="3E8BF609">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投标分项报价表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14:paraId="46906E62">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4、货物</w:t>
      </w:r>
      <w:r>
        <w:rPr>
          <w:rFonts w:hint="eastAsia" w:ascii="仿宋" w:hAnsi="仿宋" w:eastAsia="仿宋" w:cs="仿宋"/>
          <w:color w:val="auto"/>
          <w:sz w:val="24"/>
          <w:szCs w:val="24"/>
          <w:highlight w:val="none"/>
        </w:rPr>
        <w:t>说明一览表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14:paraId="4D9F231A">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技术规格偏离表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14:paraId="65A2C9CD">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商务条款偏离表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14:paraId="4784E27C">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7、投标人关联单位的说明</w:t>
      </w:r>
    </w:p>
    <w:p w14:paraId="3A3A5FD5">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8、中小企业声明函（货物）不符合中小企业的投标人无需提供。</w:t>
      </w:r>
    </w:p>
    <w:p w14:paraId="23411BE5">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《残疾人福利性单位声明函》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附件7</w:t>
      </w:r>
      <w:r>
        <w:rPr>
          <w:rFonts w:hint="eastAsia" w:ascii="仿宋" w:hAnsi="仿宋" w:eastAsia="仿宋" w:cs="仿宋"/>
          <w:color w:val="auto"/>
          <w:sz w:val="24"/>
          <w:szCs w:val="24"/>
          <w:highlight w:val="none"/>
          <w:lang w:eastAsia="zh-CN"/>
        </w:rPr>
        <w:t>）</w:t>
      </w:r>
    </w:p>
    <w:p w14:paraId="2C57EBF7">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评分标准和细则中技术部分证明材料（格式自拟）</w:t>
      </w:r>
    </w:p>
    <w:p w14:paraId="17D18B06">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评分标准和细则中</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部分证明材料（格式自拟）</w:t>
      </w:r>
    </w:p>
    <w:p w14:paraId="7A3C0D5F">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投标人认为有必要提供的其他证明材料（格式自拟）</w:t>
      </w:r>
    </w:p>
    <w:p w14:paraId="54144D52">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宋体" w:hAnsi="宋体" w:eastAsia="宋体" w:cs="宋体"/>
          <w:b/>
          <w:bCs/>
          <w:color w:val="auto"/>
          <w:sz w:val="24"/>
          <w:highlight w:val="none"/>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14:paraId="48678846">
      <w:pPr>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rPr>
      </w:pPr>
      <w:r>
        <w:rPr>
          <w:rFonts w:hint="eastAsia" w:ascii="仿宋" w:hAnsi="仿宋" w:eastAsia="仿宋" w:cs="仿宋"/>
          <w:b/>
          <w:bCs/>
          <w:color w:val="auto"/>
          <w:sz w:val="32"/>
          <w:szCs w:val="32"/>
          <w:highlight w:val="none"/>
        </w:rPr>
        <w:t xml:space="preserve">1 </w:t>
      </w:r>
      <w:bookmarkStart w:id="89" w:name="_Hlt520355504"/>
      <w:bookmarkEnd w:id="89"/>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投标</w:t>
      </w:r>
      <w:r>
        <w:rPr>
          <w:rFonts w:hint="eastAsia" w:ascii="仿宋" w:hAnsi="仿宋" w:eastAsia="仿宋" w:cs="仿宋"/>
          <w:b/>
          <w:bCs/>
          <w:color w:val="auto"/>
          <w:sz w:val="32"/>
          <w:szCs w:val="32"/>
          <w:highlight w:val="none"/>
          <w:lang w:val="en-US" w:eastAsia="zh-CN"/>
        </w:rPr>
        <w:t>函</w:t>
      </w:r>
    </w:p>
    <w:p w14:paraId="4E9FDD2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80" w:lineRule="exact"/>
        <w:ind w:left="1080" w:leftChars="257" w:hanging="540"/>
        <w:textAlignment w:val="auto"/>
        <w:outlineLvl w:val="9"/>
        <w:rPr>
          <w:rFonts w:hint="eastAsia" w:ascii="宋体" w:hAnsi="宋体" w:eastAsia="宋体" w:cs="宋体"/>
          <w:color w:val="auto"/>
          <w:sz w:val="24"/>
          <w:highlight w:val="none"/>
        </w:rPr>
      </w:pPr>
    </w:p>
    <w:p w14:paraId="55B1203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u w:val="single"/>
        </w:rPr>
      </w:pPr>
      <w:bookmarkStart w:id="90" w:name="_Toc1266"/>
      <w:bookmarkStart w:id="91" w:name="_Toc10107"/>
      <w:bookmarkStart w:id="92" w:name="_Toc23473"/>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招标人、代理公司</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 xml:space="preserve">                    </w:t>
      </w:r>
    </w:p>
    <w:p w14:paraId="1A15D23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14:paraId="26ECD22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14:paraId="3622606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0E1E85B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14:paraId="336B22B7">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14:paraId="26F4E9EB">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14:paraId="1F3C000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A11BF27">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14:paraId="7918FB8C">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w:t>
      </w:r>
    </w:p>
    <w:p w14:paraId="0308622F">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14:paraId="62A37F8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14:paraId="31CDFF0E">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14:paraId="32C7F826">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14:paraId="7C24FE0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14:paraId="33397228">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14:paraId="6336EB1C">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14:paraId="0FA9A17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14:paraId="30C55C7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14:paraId="1E9D950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14:paraId="6F1B9CE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14:paraId="76D6D39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14:paraId="490D967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14:paraId="1B1030C9">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14:paraId="3497A84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14:paraId="287F3AC5">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E73912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B54D0E2">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8DBE6C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9F3FF11">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31E83C51">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15344D30">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14:paraId="3C82038C">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p>
    <w:p w14:paraId="18BCA38B">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p>
    <w:p w14:paraId="015463A2">
      <w:pPr>
        <w:keepNext w:val="0"/>
        <w:keepLines w:val="0"/>
        <w:pageBreakBefore w:val="0"/>
        <w:widowControl w:val="0"/>
        <w:wordWrap w:val="0"/>
        <w:topLinePunct w:val="0"/>
        <w:autoSpaceDE/>
        <w:autoSpaceDN/>
        <w:bidi w:val="0"/>
        <w:adjustRightInd/>
        <w:snapToGrid/>
        <w:spacing w:line="360" w:lineRule="auto"/>
        <w:ind w:firstLine="480"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478D9182">
      <w:pPr>
        <w:pStyle w:val="8"/>
        <w:shd w:val="clear" w:color="auto" w:fill="auto"/>
        <w:tabs>
          <w:tab w:val="left" w:pos="5580"/>
        </w:tabs>
        <w:spacing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14:paraId="2AFBFEDF">
      <w:pPr>
        <w:pStyle w:val="8"/>
        <w:shd w:val="clear" w:color="auto" w:fill="auto"/>
        <w:tabs>
          <w:tab w:val="left" w:pos="5580"/>
        </w:tabs>
        <w:spacing w:line="240" w:lineRule="atLeast"/>
        <w:jc w:val="center"/>
        <w:outlineLvl w:val="9"/>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rPr>
        <w:t>开标一览表</w:t>
      </w:r>
      <w:r>
        <w:rPr>
          <w:rFonts w:hint="eastAsia" w:ascii="仿宋" w:hAnsi="仿宋" w:eastAsia="仿宋" w:cs="仿宋"/>
          <w:b/>
          <w:bCs w:val="0"/>
          <w:color w:val="auto"/>
          <w:sz w:val="36"/>
          <w:szCs w:val="24"/>
          <w:highlight w:val="none"/>
        </w:rPr>
        <w:cr/>
      </w:r>
    </w:p>
    <w:p w14:paraId="1BF7BAEA">
      <w:pPr>
        <w:shd w:val="clear" w:color="auto" w:fill="auto"/>
        <w:adjustRightInd w:val="0"/>
        <w:snapToGrid w:val="0"/>
        <w:spacing w:line="500" w:lineRule="exact"/>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p>
    <w:p w14:paraId="0DADF381">
      <w:pPr>
        <w:shd w:val="clear" w:color="auto" w:fill="auto"/>
        <w:adjustRightInd w:val="0"/>
        <w:snapToGrid w:val="0"/>
        <w:spacing w:line="500" w:lineRule="exact"/>
        <w:outlineLvl w:val="9"/>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4E74134A">
      <w:pPr>
        <w:shd w:val="clear" w:color="auto" w:fill="auto"/>
        <w:spacing w:line="5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6"/>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60C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2079E65">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38F77738">
            <w:pPr>
              <w:shd w:val="clear" w:color="auto" w:fill="auto"/>
              <w:outlineLvl w:val="9"/>
              <w:rPr>
                <w:rFonts w:hint="eastAsia" w:ascii="仿宋" w:hAnsi="仿宋" w:eastAsia="仿宋" w:cs="仿宋"/>
                <w:color w:val="auto"/>
                <w:szCs w:val="21"/>
                <w:highlight w:val="none"/>
              </w:rPr>
            </w:pPr>
          </w:p>
        </w:tc>
      </w:tr>
      <w:tr w14:paraId="46A2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72E451CB">
            <w:pPr>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01125975">
            <w:pPr>
              <w:shd w:val="clear" w:color="auto" w:fill="auto"/>
              <w:jc w:val="center"/>
              <w:outlineLvl w:val="9"/>
              <w:rPr>
                <w:rFonts w:hint="eastAsia" w:ascii="仿宋" w:hAnsi="仿宋" w:eastAsia="仿宋" w:cs="仿宋"/>
                <w:color w:val="auto"/>
                <w:szCs w:val="21"/>
                <w:highlight w:val="none"/>
              </w:rPr>
            </w:pPr>
          </w:p>
        </w:tc>
      </w:tr>
      <w:tr w14:paraId="4B02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5397CE7E">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3917ABB7">
            <w:pPr>
              <w:shd w:val="clear" w:color="auto" w:fill="auto"/>
              <w:jc w:val="center"/>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5854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4A9D10D1">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2A7C539D">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52602FC2">
            <w:pPr>
              <w:widowControl/>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39239CB">
            <w:pPr>
              <w:shd w:val="clear" w:color="auto" w:fill="auto"/>
              <w:jc w:val="center"/>
              <w:outlineLvl w:val="9"/>
              <w:rPr>
                <w:rFonts w:hint="eastAsia" w:ascii="仿宋" w:hAnsi="仿宋" w:eastAsia="仿宋" w:cs="仿宋"/>
                <w:color w:val="auto"/>
                <w:szCs w:val="21"/>
                <w:highlight w:val="none"/>
              </w:rPr>
            </w:pPr>
          </w:p>
        </w:tc>
      </w:tr>
      <w:tr w14:paraId="2DB3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5A89E61B">
            <w:pPr>
              <w:shd w:val="clear" w:color="auto" w:fill="auto"/>
              <w:jc w:val="center"/>
              <w:outlineLvl w:val="9"/>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0BF90E4B">
            <w:pPr>
              <w:widowControl/>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56BF9583">
            <w:pPr>
              <w:shd w:val="clear" w:color="auto" w:fill="auto"/>
              <w:jc w:val="center"/>
              <w:outlineLvl w:val="9"/>
              <w:rPr>
                <w:rFonts w:hint="eastAsia" w:ascii="仿宋" w:hAnsi="仿宋" w:eastAsia="仿宋" w:cs="仿宋"/>
                <w:color w:val="auto"/>
                <w:szCs w:val="21"/>
                <w:highlight w:val="none"/>
              </w:rPr>
            </w:pPr>
          </w:p>
        </w:tc>
      </w:tr>
    </w:tbl>
    <w:p w14:paraId="688458CB">
      <w:pPr>
        <w:shd w:val="clear" w:color="auto" w:fill="auto"/>
        <w:spacing w:line="500" w:lineRule="exact"/>
        <w:ind w:firstLine="411"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0FBC81E4">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兹声明：以上投标报价在投标有效期内一直有效。</w:t>
      </w:r>
    </w:p>
    <w:p w14:paraId="1FA94096">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E642538">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2A184956">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14:paraId="20240AB3">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5D4EC120">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6D08088E">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B675025">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FD833EC">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6E39ECD">
      <w:pPr>
        <w:numPr>
          <w:ilvl w:val="0"/>
          <w:numId w:val="0"/>
        </w:numPr>
        <w:shd w:val="clear" w:color="auto" w:fill="auto"/>
        <w:tabs>
          <w:tab w:val="left" w:pos="540"/>
        </w:tabs>
        <w:spacing w:before="0" w:line="240" w:lineRule="atLeast"/>
        <w:outlineLvl w:val="9"/>
        <w:rPr>
          <w:rFonts w:hint="eastAsia" w:ascii="宋体" w:hAnsi="宋体" w:eastAsia="宋体" w:cs="宋体"/>
          <w:b/>
          <w:bCs/>
          <w:color w:val="auto"/>
          <w:sz w:val="24"/>
          <w:highlight w:val="none"/>
        </w:rPr>
      </w:pPr>
    </w:p>
    <w:p w14:paraId="5FFF2685">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14:paraId="6043778F">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bookmarkStart w:id="93" w:name="_Toc5865"/>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eastAsia="zh-CN"/>
        </w:rPr>
        <w:t>、</w:t>
      </w:r>
      <w:bookmarkEnd w:id="90"/>
      <w:bookmarkEnd w:id="91"/>
      <w:bookmarkEnd w:id="92"/>
      <w:bookmarkStart w:id="94" w:name="_Toc1881"/>
      <w:bookmarkStart w:id="95" w:name="_Toc515647818"/>
      <w:bookmarkStart w:id="96" w:name="_Toc10313"/>
      <w:bookmarkStart w:id="97" w:name="_Toc216582815"/>
      <w:bookmarkStart w:id="98" w:name="_Toc20897"/>
      <w:bookmarkStart w:id="99" w:name="_Toc22563"/>
      <w:bookmarkStart w:id="100" w:name="_Toc28959"/>
      <w:bookmarkStart w:id="101" w:name="_Toc515647820"/>
      <w:bookmarkStart w:id="102" w:name="_Toc216582817"/>
      <w:r>
        <w:rPr>
          <w:rFonts w:hint="eastAsia" w:ascii="仿宋" w:hAnsi="仿宋" w:eastAsia="仿宋" w:cs="仿宋"/>
          <w:b/>
          <w:bCs/>
          <w:color w:val="auto"/>
          <w:sz w:val="32"/>
          <w:szCs w:val="32"/>
          <w:highlight w:val="none"/>
        </w:rPr>
        <w:t>投标分项报价表</w:t>
      </w:r>
      <w:bookmarkEnd w:id="93"/>
      <w:bookmarkEnd w:id="94"/>
      <w:bookmarkEnd w:id="95"/>
      <w:bookmarkEnd w:id="96"/>
      <w:bookmarkEnd w:id="97"/>
      <w:bookmarkEnd w:id="98"/>
    </w:p>
    <w:p w14:paraId="4000F707">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17C13C18">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包号: 　 </w:t>
      </w:r>
    </w:p>
    <w:p w14:paraId="536BB72F">
      <w:pPr>
        <w:pStyle w:val="16"/>
        <w:shd w:val="clear" w:color="auto" w:fill="auto"/>
        <w:spacing w:line="240" w:lineRule="atLeast"/>
        <w:ind w:left="1080" w:leftChars="257" w:hanging="54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单位：元（人民币）</w:t>
      </w:r>
    </w:p>
    <w:tbl>
      <w:tblPr>
        <w:tblStyle w:val="2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15"/>
        <w:gridCol w:w="1506"/>
        <w:gridCol w:w="1506"/>
        <w:gridCol w:w="696"/>
        <w:gridCol w:w="936"/>
        <w:gridCol w:w="1416"/>
        <w:gridCol w:w="696"/>
        <w:gridCol w:w="696"/>
        <w:gridCol w:w="696"/>
      </w:tblGrid>
      <w:tr w14:paraId="527F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3" w:type="dxa"/>
            <w:noWrap w:val="0"/>
            <w:vAlign w:val="center"/>
          </w:tcPr>
          <w:p w14:paraId="1038B1C4">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015" w:type="dxa"/>
            <w:noWrap w:val="0"/>
            <w:vAlign w:val="center"/>
          </w:tcPr>
          <w:p w14:paraId="4DED09EA">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1506" w:type="dxa"/>
            <w:noWrap w:val="0"/>
            <w:vAlign w:val="center"/>
          </w:tcPr>
          <w:p w14:paraId="62440FAE">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技术要求</w:t>
            </w:r>
          </w:p>
        </w:tc>
        <w:tc>
          <w:tcPr>
            <w:tcW w:w="1506" w:type="dxa"/>
            <w:noWrap w:val="0"/>
            <w:vAlign w:val="center"/>
          </w:tcPr>
          <w:p w14:paraId="2EE24B2F">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型号和规格</w:t>
            </w:r>
          </w:p>
        </w:tc>
        <w:tc>
          <w:tcPr>
            <w:tcW w:w="696" w:type="dxa"/>
            <w:noWrap w:val="0"/>
            <w:vAlign w:val="center"/>
          </w:tcPr>
          <w:p w14:paraId="6A259D25">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936" w:type="dxa"/>
            <w:noWrap w:val="0"/>
            <w:vAlign w:val="center"/>
          </w:tcPr>
          <w:p w14:paraId="7F4A9443">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原产地</w:t>
            </w:r>
          </w:p>
        </w:tc>
        <w:tc>
          <w:tcPr>
            <w:tcW w:w="1416" w:type="dxa"/>
            <w:noWrap w:val="0"/>
            <w:vAlign w:val="center"/>
          </w:tcPr>
          <w:p w14:paraId="3B477DB0">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制造商名称</w:t>
            </w:r>
          </w:p>
        </w:tc>
        <w:tc>
          <w:tcPr>
            <w:tcW w:w="696" w:type="dxa"/>
            <w:noWrap w:val="0"/>
            <w:vAlign w:val="center"/>
          </w:tcPr>
          <w:p w14:paraId="5B2564EF">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696" w:type="dxa"/>
            <w:noWrap w:val="0"/>
            <w:vAlign w:val="center"/>
          </w:tcPr>
          <w:p w14:paraId="7A46103A">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696" w:type="dxa"/>
            <w:noWrap w:val="0"/>
            <w:vAlign w:val="center"/>
          </w:tcPr>
          <w:p w14:paraId="4EAD1362">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3173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noWrap w:val="0"/>
            <w:vAlign w:val="center"/>
          </w:tcPr>
          <w:p w14:paraId="0E9DECF1">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15" w:type="dxa"/>
            <w:noWrap w:val="0"/>
            <w:vAlign w:val="center"/>
          </w:tcPr>
          <w:p w14:paraId="110A9297">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6EBBFC08">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3849EEE">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0EC7316">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4150A874">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27030A0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6ECD49A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2769858">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6093BCD">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5EC7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119106F2">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15" w:type="dxa"/>
            <w:noWrap w:val="0"/>
            <w:vAlign w:val="center"/>
          </w:tcPr>
          <w:p w14:paraId="074DE628">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07EC9E6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BF72818">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14F953F4">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45B7EB2C">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752AB8D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8D0208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0CA9AD7D">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867C720">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6876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0086D696">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015" w:type="dxa"/>
            <w:noWrap w:val="0"/>
            <w:vAlign w:val="center"/>
          </w:tcPr>
          <w:p w14:paraId="2581D7AD">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2B6F8A3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7458ACBB">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DC2067B">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0458ADE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668F7BA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6370E4E8">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CF86E54">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9F003E7">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5541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0EE578A1">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15" w:type="dxa"/>
            <w:noWrap w:val="0"/>
            <w:vAlign w:val="center"/>
          </w:tcPr>
          <w:p w14:paraId="236ABAC4">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C03E3D1">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44E3AC3C">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D437507">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661E02B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5D9EC6AD">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B4C517A">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262DB0F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4750911">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6B22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14:paraId="40851CF7">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15" w:type="dxa"/>
            <w:noWrap w:val="0"/>
            <w:vAlign w:val="center"/>
          </w:tcPr>
          <w:p w14:paraId="055BABB0">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6C76D8F0">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D7EE817">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A683553">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6DF98EDC">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649C5AFB">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E4BD4A8">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0B868460">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58259F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4203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66133EAC">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015" w:type="dxa"/>
            <w:noWrap w:val="0"/>
            <w:vAlign w:val="center"/>
          </w:tcPr>
          <w:p w14:paraId="3B9395A8">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5E62FC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D262EF6">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258A26F">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55D31314">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11400C57">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4DF76F3">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2A70043">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6D597B6">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136F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18" w:type="dxa"/>
            <w:gridSpan w:val="2"/>
            <w:noWrap w:val="0"/>
            <w:vAlign w:val="center"/>
          </w:tcPr>
          <w:p w14:paraId="5FBB12BA">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756" w:type="dxa"/>
            <w:gridSpan w:val="6"/>
            <w:noWrap w:val="0"/>
            <w:vAlign w:val="center"/>
          </w:tcPr>
          <w:p w14:paraId="5C3C863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总价（元）：</w:t>
            </w:r>
          </w:p>
        </w:tc>
        <w:tc>
          <w:tcPr>
            <w:tcW w:w="1392" w:type="dxa"/>
            <w:gridSpan w:val="2"/>
            <w:noWrap w:val="0"/>
            <w:vAlign w:val="center"/>
          </w:tcPr>
          <w:p w14:paraId="32529B7C">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bl>
    <w:p w14:paraId="2C1FB365">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17AE9878">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3AE7850D">
      <w:pPr>
        <w:pStyle w:val="16"/>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A75AAE3">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0EC1C87D">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.如果按单价计算的结果与总价不一致,以单价为准修正总价。</w:t>
      </w:r>
    </w:p>
    <w:p w14:paraId="3BEBFEC9">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.如果不提供详细分项报价将视为没有实质性响应</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w:t>
      </w:r>
    </w:p>
    <w:p w14:paraId="560885E9">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.如果开标一览表（报价表）内容与投标文件中明细表内容不一致的，以开标一览表（报价表）内容为准。</w:t>
      </w:r>
    </w:p>
    <w:p w14:paraId="552CF1B4">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宋体" w:hAnsi="宋体" w:eastAsia="宋体" w:cs="宋体"/>
          <w:color w:val="auto"/>
          <w:sz w:val="24"/>
          <w:highlight w:val="none"/>
        </w:rPr>
        <w:br w:type="page"/>
      </w:r>
      <w:bookmarkStart w:id="103" w:name="_Toc18267"/>
      <w:bookmarkStart w:id="104" w:name="_Toc216582816"/>
      <w:bookmarkStart w:id="105" w:name="_Toc14037"/>
      <w:bookmarkStart w:id="106" w:name="_Toc13899"/>
      <w:bookmarkStart w:id="107" w:name="_Toc515647819"/>
      <w:bookmarkStart w:id="108" w:name="_Toc4012"/>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14:paraId="47286C08">
      <w:pPr>
        <w:pStyle w:val="16"/>
        <w:shd w:val="clear" w:color="auto" w:fill="auto"/>
        <w:spacing w:line="240" w:lineRule="atLeast"/>
        <w:ind w:left="1080" w:leftChars="257" w:hanging="540"/>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货物</w:t>
      </w:r>
      <w:r>
        <w:rPr>
          <w:rFonts w:hint="eastAsia" w:ascii="宋体" w:hAnsi="宋体" w:eastAsia="宋体" w:cs="宋体"/>
          <w:b/>
          <w:bCs/>
          <w:color w:val="auto"/>
          <w:sz w:val="24"/>
          <w:highlight w:val="none"/>
        </w:rPr>
        <w:t>说明一览表</w:t>
      </w:r>
      <w:bookmarkEnd w:id="103"/>
      <w:bookmarkEnd w:id="104"/>
      <w:bookmarkEnd w:id="105"/>
      <w:bookmarkEnd w:id="106"/>
      <w:bookmarkEnd w:id="107"/>
      <w:bookmarkEnd w:id="108"/>
    </w:p>
    <w:p w14:paraId="5344A370">
      <w:pPr>
        <w:pStyle w:val="16"/>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3BE2F6D2">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F6FE7BE">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包号:                      </w:t>
      </w:r>
    </w:p>
    <w:p w14:paraId="0CF72101">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0A6C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14:paraId="31AB7C6D">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14:paraId="49A650A5">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14:paraId="7CA6FDC6">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14:paraId="0EA99A0F">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14:paraId="03466424">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供货期</w:t>
            </w:r>
          </w:p>
        </w:tc>
        <w:tc>
          <w:tcPr>
            <w:tcW w:w="1250" w:type="dxa"/>
            <w:noWrap w:val="0"/>
            <w:vAlign w:val="top"/>
          </w:tcPr>
          <w:p w14:paraId="6DC0B37A">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供货地点</w:t>
            </w:r>
          </w:p>
        </w:tc>
        <w:tc>
          <w:tcPr>
            <w:tcW w:w="1690" w:type="dxa"/>
            <w:noWrap w:val="0"/>
            <w:vAlign w:val="top"/>
          </w:tcPr>
          <w:p w14:paraId="3BEC69B9">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482F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7336DBB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2939291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0A5BE10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7BB74CF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408F38B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1DE101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C6901B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A29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7A28C9F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450874D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4F24F1C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F14367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097242E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5E5BFD4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5D0AF72">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C48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72C2BB7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5A3D425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3DDAA91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407D8C4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70CEDF3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5720D12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4427684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766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2A8139A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0650253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C9C1B9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659BA82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3516539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24E9084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64D1C5C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5910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14:paraId="28146BC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4C1ED05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0A89B1C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AB774B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28A9E5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418C225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0DA3DFF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36C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14:paraId="4FDC92F2">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5ADC317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377A5BC2">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35BD980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16681BB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F0E3B4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5B9798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935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14:paraId="7C50AE0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1B4B892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01F10E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14F6FA3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E4C842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12D9820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13C9CBD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DE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14:paraId="4B73A24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09757D0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D3F9E4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2D6CAA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3FBAFAB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05AB5B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7460C08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14:paraId="65252CAF">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70E2157D">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897ADDA">
      <w:pPr>
        <w:pStyle w:val="16"/>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30B887CA">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27EE5148">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5448E209">
      <w:pPr>
        <w:pStyle w:val="16"/>
        <w:shd w:val="clear" w:color="auto" w:fill="auto"/>
        <w:spacing w:line="240" w:lineRule="atLeast"/>
        <w:ind w:left="1080" w:leftChars="257" w:hanging="540"/>
        <w:jc w:val="center"/>
        <w:outlineLvl w:val="9"/>
        <w:rPr>
          <w:rFonts w:hint="eastAsia" w:ascii="宋体" w:hAnsi="宋体" w:eastAsia="宋体" w:cs="宋体"/>
          <w:color w:val="auto"/>
          <w:sz w:val="24"/>
          <w:highlight w:val="none"/>
        </w:rPr>
      </w:pPr>
    </w:p>
    <w:p w14:paraId="4D0B8A14">
      <w:pPr>
        <w:pStyle w:val="16"/>
        <w:shd w:val="clear" w:color="auto" w:fill="auto"/>
        <w:spacing w:line="240" w:lineRule="atLeast"/>
        <w:ind w:left="1080" w:leftChars="257" w:hanging="540"/>
        <w:jc w:val="center"/>
        <w:outlineLvl w:val="9"/>
        <w:rPr>
          <w:rFonts w:hint="eastAsia" w:ascii="宋体" w:hAnsi="宋体" w:eastAsia="宋体" w:cs="宋体"/>
          <w:color w:val="auto"/>
          <w:sz w:val="24"/>
          <w:highlight w:val="none"/>
        </w:rPr>
        <w:sectPr>
          <w:pgSz w:w="11905" w:h="16838"/>
          <w:pgMar w:top="1440" w:right="1134" w:bottom="1440" w:left="1134" w:header="850"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p w14:paraId="6224E387">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109" w:name="_Toc15586"/>
      <w:bookmarkStart w:id="110" w:name="_Toc1217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14:paraId="2092BBA4">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技术规格偏离表</w:t>
      </w:r>
      <w:bookmarkEnd w:id="99"/>
      <w:bookmarkEnd w:id="100"/>
      <w:bookmarkEnd w:id="101"/>
      <w:bookmarkEnd w:id="102"/>
      <w:bookmarkEnd w:id="109"/>
      <w:bookmarkEnd w:id="110"/>
    </w:p>
    <w:p w14:paraId="2370C5D6">
      <w:pPr>
        <w:pStyle w:val="16"/>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498D9941">
      <w:pPr>
        <w:pStyle w:val="16"/>
        <w:shd w:val="clear" w:color="auto" w:fill="auto"/>
        <w:spacing w:line="240" w:lineRule="atLeas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                 包号:</w:t>
      </w:r>
    </w:p>
    <w:p w14:paraId="69BCDC94">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68BF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75CBC4DC">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1081F085">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1640" w:type="dxa"/>
            <w:noWrap w:val="0"/>
            <w:vAlign w:val="center"/>
          </w:tcPr>
          <w:p w14:paraId="4D61D1F7">
            <w:pPr>
              <w:pStyle w:val="16"/>
              <w:shd w:val="clear" w:color="auto" w:fill="auto"/>
              <w:spacing w:line="240" w:lineRule="atLeast"/>
              <w:ind w:left="269" w:leftChars="128"/>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采购文件条款号</w:t>
            </w:r>
          </w:p>
        </w:tc>
        <w:tc>
          <w:tcPr>
            <w:tcW w:w="1186" w:type="dxa"/>
            <w:noWrap w:val="0"/>
            <w:vAlign w:val="center"/>
          </w:tcPr>
          <w:p w14:paraId="76D289B6">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82" w:type="dxa"/>
            <w:noWrap w:val="0"/>
            <w:vAlign w:val="center"/>
          </w:tcPr>
          <w:p w14:paraId="7DF2B11C">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2414" w:type="dxa"/>
            <w:noWrap w:val="0"/>
            <w:vAlign w:val="center"/>
          </w:tcPr>
          <w:p w14:paraId="287BC6D5">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700" w:type="dxa"/>
            <w:noWrap w:val="0"/>
            <w:vAlign w:val="center"/>
          </w:tcPr>
          <w:p w14:paraId="54884DB6">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49C6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951A89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2613EB0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DF9B3D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B0A0CB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708D9CC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center"/>
          </w:tcPr>
          <w:p w14:paraId="2C86548E">
            <w:pPr>
              <w:pStyle w:val="16"/>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single" w:color="auto"/>
                <w:lang w:val="en-US" w:eastAsia="zh-CN"/>
              </w:rPr>
              <w:t>如有正偏离需提供证明材料，证明材料附后(并注明页码)</w:t>
            </w:r>
          </w:p>
        </w:tc>
        <w:tc>
          <w:tcPr>
            <w:tcW w:w="700" w:type="dxa"/>
            <w:noWrap w:val="0"/>
            <w:vAlign w:val="top"/>
          </w:tcPr>
          <w:p w14:paraId="189844E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0C7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5CEBB3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C4FC11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57640A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3BA0BFA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B8C398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C02B66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3C3CD0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FA8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B71E68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2F1591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0F4EBF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261A06E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61C1CEB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6AEF9D4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42C5456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2B13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3A1A19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04438E7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2A704D4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FC1B63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462726A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B975D1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C0225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3F8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48F3AB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0C1B3C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29D50B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48D9F39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197E1B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2C5FDB8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26DEBB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50E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BFDBC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2493BB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3F193A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BED4CF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139BFF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0EF4118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B6EB20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EB4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E84D4A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4FD830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C79890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79F326C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79443D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476BDA5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2A932F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5F0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212CB1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2A4F8A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B64D23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3C466182">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1C77EB4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CBD81C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A01B0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A95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E76069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63219D3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777082E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519D812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046E64E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66275A5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73EF8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AB7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7BB378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0E418CF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2B8273B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5D1CE12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750063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2948300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3CCFCD42">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9C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751FAC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306231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5BC4A8A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8635C0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2002910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75F2DA5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77A8E70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FE0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D81299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CDF03E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65AB87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6F2C41D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64718A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0751CD7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A5182A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A9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4D5082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6F5515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3A114B6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751E14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2A6D81B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C21E0A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B245E6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7E8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5A223E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58F2FB5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B1DB1B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C7691D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4E9AD26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4F45CCE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2ECBCF2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2EF2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7FD071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65AD319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416E60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717E818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B2DB94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E215C3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FFC3F7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14:paraId="09496E2E">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571A8FA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eastAsia="zh-CN"/>
        </w:rPr>
      </w:pPr>
    </w:p>
    <w:p w14:paraId="1E194DF6">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102727F">
      <w:pPr>
        <w:pStyle w:val="16"/>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62443948">
      <w:pPr>
        <w:pStyle w:val="16"/>
        <w:shd w:val="clear" w:color="auto" w:fill="auto"/>
        <w:tabs>
          <w:tab w:val="left" w:pos="5580"/>
        </w:tabs>
        <w:spacing w:line="240" w:lineRule="atLeast"/>
        <w:ind w:left="1080" w:leftChars="257" w:hanging="5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br w:type="page"/>
      </w:r>
    </w:p>
    <w:p w14:paraId="2FB35BFE">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111" w:name="_Toc515647821"/>
      <w:bookmarkStart w:id="112" w:name="_Toc21391"/>
      <w:bookmarkStart w:id="113" w:name="_Toc216582818"/>
      <w:bookmarkStart w:id="114" w:name="_Toc1980"/>
      <w:bookmarkStart w:id="115" w:name="_Toc24025"/>
      <w:bookmarkStart w:id="116" w:name="_Toc23"/>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14:paraId="55533569">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商务条款偏离表</w:t>
      </w:r>
      <w:bookmarkEnd w:id="111"/>
      <w:bookmarkEnd w:id="112"/>
      <w:bookmarkEnd w:id="113"/>
      <w:bookmarkEnd w:id="114"/>
      <w:bookmarkEnd w:id="115"/>
      <w:bookmarkEnd w:id="116"/>
    </w:p>
    <w:p w14:paraId="4B63E0BB">
      <w:pPr>
        <w:pStyle w:val="16"/>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5F476930">
      <w:pPr>
        <w:pStyle w:val="16"/>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684CAAE5">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 xml:space="preserve">编号: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包号:</w:t>
      </w:r>
    </w:p>
    <w:p w14:paraId="4D5C0535">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4AC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24EA7C4">
            <w:pPr>
              <w:pStyle w:val="16"/>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040" w:type="dxa"/>
            <w:noWrap w:val="0"/>
            <w:vAlign w:val="top"/>
          </w:tcPr>
          <w:p w14:paraId="3810B681">
            <w:pPr>
              <w:pStyle w:val="16"/>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采购文件条款号</w:t>
            </w:r>
          </w:p>
        </w:tc>
        <w:tc>
          <w:tcPr>
            <w:tcW w:w="2520" w:type="dxa"/>
            <w:noWrap w:val="0"/>
            <w:vAlign w:val="top"/>
          </w:tcPr>
          <w:p w14:paraId="11ACC5A8">
            <w:pPr>
              <w:pStyle w:val="16"/>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采购文件的商务条款</w:t>
            </w:r>
          </w:p>
        </w:tc>
        <w:tc>
          <w:tcPr>
            <w:tcW w:w="2520" w:type="dxa"/>
            <w:noWrap w:val="0"/>
            <w:vAlign w:val="top"/>
          </w:tcPr>
          <w:p w14:paraId="34F80ED7">
            <w:pPr>
              <w:pStyle w:val="16"/>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投标文件的商务条款</w:t>
            </w:r>
          </w:p>
        </w:tc>
        <w:tc>
          <w:tcPr>
            <w:tcW w:w="900" w:type="dxa"/>
            <w:noWrap w:val="0"/>
            <w:vAlign w:val="top"/>
          </w:tcPr>
          <w:p w14:paraId="43A2BD0D">
            <w:pPr>
              <w:pStyle w:val="16"/>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r>
      <w:tr w14:paraId="285A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DA33C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68AD67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AE9A4B2">
            <w:pPr>
              <w:pStyle w:val="16"/>
              <w:shd w:val="clear" w:color="auto" w:fill="auto"/>
              <w:spacing w:line="240" w:lineRule="atLeast"/>
              <w:ind w:left="1080" w:leftChars="257" w:hanging="540"/>
              <w:jc w:val="center"/>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D4CDA4A">
            <w:pPr>
              <w:pStyle w:val="16"/>
              <w:shd w:val="clear" w:color="auto" w:fill="auto"/>
              <w:spacing w:line="240" w:lineRule="atLeast"/>
              <w:ind w:left="1080" w:leftChars="257" w:hanging="540"/>
              <w:jc w:val="center"/>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8BEBA5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3CF4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05C956A">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475CE1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9E4E00C">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32D2BE8">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59BBA6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7C89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A9681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E7A66E3">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0A18C8A">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8FEACC3">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0B6CAF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D06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7150BB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3C7FF84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0022753">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B2EA59C">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FBEF57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2FCD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481FA4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093C74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358B65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15C0758">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6E721FD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1D28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F21593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4B9A6A1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39A25C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65ED51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645C39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E88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223139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16EA7B6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FA609FD">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1A6E2A5">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1F7CCB3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12FA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275106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9DE502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9B2720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D44A9FB">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6FC0FD91">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094D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F2D8C91">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9C27D2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B1EE16A">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8BA6883">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226EA0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78B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FD0B7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677F75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8E43708">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01B4FCA">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8BE9C5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730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6976C5D">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A197568">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0A2DADD">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EC05DD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5432F2C">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50BF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C0539D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31C8D0E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C9E02DA">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AE8FFC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93ACAE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3653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4A9428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BD304F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A6BE72C">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802A1B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3EBA277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5F92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1C2133B">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02F4EE3">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74BFD8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D0CEF0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5D0143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001B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641AD0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42E772B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6C639D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EE42871">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8C717BC">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28E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2A3549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DC500B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A04C60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EF40F9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03DD78D">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DFA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C736C5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3E1646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14BBE8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6D3619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A6AE9F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bl>
    <w:p w14:paraId="5A4C91E1">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p w14:paraId="4BB85568">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p w14:paraId="6279AF5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2E9585D7">
      <w:pPr>
        <w:pStyle w:val="16"/>
        <w:shd w:val="clear" w:color="auto" w:fill="auto"/>
        <w:tabs>
          <w:tab w:val="left" w:pos="5370"/>
        </w:tabs>
        <w:spacing w:line="240" w:lineRule="atLeast"/>
        <w:ind w:left="1080" w:leftChars="257" w:hanging="54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投标人(盖单位章):</w:t>
      </w:r>
      <w:r>
        <w:rPr>
          <w:rFonts w:hint="eastAsia" w:ascii="仿宋" w:hAnsi="仿宋" w:eastAsia="仿宋" w:cs="仿宋"/>
          <w:color w:val="auto"/>
          <w:sz w:val="24"/>
          <w:szCs w:val="24"/>
          <w:highlight w:val="none"/>
          <w:u w:val="single"/>
        </w:rPr>
        <w:tab/>
      </w:r>
    </w:p>
    <w:p w14:paraId="7C749CAD">
      <w:pPr>
        <w:numPr>
          <w:ilvl w:val="0"/>
          <w:numId w:val="0"/>
        </w:numPr>
        <w:shd w:val="clear" w:color="auto" w:fill="auto"/>
        <w:spacing w:before="0" w:line="240" w:lineRule="atLeast"/>
        <w:jc w:val="both"/>
        <w:outlineLvl w:val="9"/>
        <w:rPr>
          <w:rFonts w:hint="eastAsia" w:ascii="宋体" w:hAnsi="宋体" w:eastAsia="宋体" w:cs="宋体"/>
          <w:color w:val="auto"/>
          <w:highlight w:val="none"/>
        </w:rPr>
      </w:pPr>
      <w:r>
        <w:rPr>
          <w:rFonts w:hint="eastAsia" w:ascii="仿宋" w:hAnsi="仿宋" w:eastAsia="仿宋" w:cs="仿宋"/>
          <w:color w:val="auto"/>
          <w:sz w:val="24"/>
          <w:szCs w:val="24"/>
          <w:highlight w:val="none"/>
        </w:rPr>
        <w:br w:type="page"/>
      </w:r>
      <w:bookmarkStart w:id="117" w:name="_Toc515647823"/>
      <w:bookmarkStart w:id="118" w:name="_Toc2963"/>
      <w:bookmarkStart w:id="119" w:name="_Toc21312"/>
      <w:bookmarkStart w:id="120" w:name="_Toc10725"/>
      <w:bookmarkStart w:id="121" w:name="_Toc30795"/>
      <w:bookmarkStart w:id="122" w:name="_Toc515647827"/>
      <w:bookmarkStart w:id="123" w:name="_Toc28099"/>
    </w:p>
    <w:bookmarkEnd w:id="117"/>
    <w:bookmarkEnd w:id="118"/>
    <w:bookmarkEnd w:id="119"/>
    <w:bookmarkEnd w:id="120"/>
    <w:p w14:paraId="0E3C1C94">
      <w:pPr>
        <w:shd w:val="clear" w:color="auto" w:fill="auto"/>
        <w:spacing w:line="360" w:lineRule="auto"/>
        <w:jc w:val="center"/>
        <w:outlineLvl w:val="9"/>
        <w:rPr>
          <w:rFonts w:hint="eastAsia" w:ascii="仿宋" w:hAnsi="仿宋" w:eastAsia="仿宋" w:cs="仿宋"/>
          <w:b/>
          <w:bCs w:val="0"/>
          <w:color w:val="auto"/>
          <w:kern w:val="0"/>
          <w:sz w:val="36"/>
          <w:szCs w:val="36"/>
          <w:highlight w:val="none"/>
          <w:lang w:eastAsia="zh-CN"/>
        </w:rPr>
      </w:pPr>
      <w:bookmarkStart w:id="124" w:name="_Toc13119"/>
      <w:r>
        <w:rPr>
          <w:rFonts w:hint="eastAsia" w:ascii="仿宋" w:hAnsi="仿宋" w:eastAsia="仿宋" w:cs="仿宋"/>
          <w:b/>
          <w:bCs w:val="0"/>
          <w:color w:val="auto"/>
          <w:kern w:val="0"/>
          <w:sz w:val="36"/>
          <w:szCs w:val="36"/>
          <w:highlight w:val="none"/>
          <w:lang w:val="en-US" w:eastAsia="zh-CN"/>
        </w:rPr>
        <w:t>7</w:t>
      </w:r>
      <w:r>
        <w:rPr>
          <w:rFonts w:hint="eastAsia" w:ascii="仿宋" w:hAnsi="仿宋" w:eastAsia="仿宋" w:cs="仿宋"/>
          <w:b/>
          <w:bCs w:val="0"/>
          <w:color w:val="auto"/>
          <w:kern w:val="0"/>
          <w:sz w:val="36"/>
          <w:szCs w:val="36"/>
          <w:highlight w:val="none"/>
          <w:lang w:eastAsia="zh-CN"/>
        </w:rPr>
        <w:t>、</w:t>
      </w:r>
      <w:r>
        <w:rPr>
          <w:rFonts w:hint="eastAsia" w:ascii="仿宋" w:hAnsi="仿宋" w:eastAsia="仿宋" w:cs="仿宋"/>
          <w:b/>
          <w:bCs w:val="0"/>
          <w:color w:val="auto"/>
          <w:kern w:val="0"/>
          <w:sz w:val="36"/>
          <w:szCs w:val="36"/>
          <w:highlight w:val="none"/>
        </w:rPr>
        <w:t>投标人关联单位的说明</w:t>
      </w:r>
      <w:bookmarkEnd w:id="124"/>
      <w:r>
        <w:rPr>
          <w:rFonts w:hint="eastAsia" w:ascii="仿宋" w:hAnsi="仿宋" w:eastAsia="仿宋" w:cs="仿宋"/>
          <w:b/>
          <w:bCs w:val="0"/>
          <w:color w:val="auto"/>
          <w:kern w:val="0"/>
          <w:sz w:val="36"/>
          <w:szCs w:val="36"/>
          <w:highlight w:val="none"/>
          <w:lang w:eastAsia="zh-CN"/>
        </w:rPr>
        <w:t>（</w:t>
      </w:r>
      <w:r>
        <w:rPr>
          <w:rFonts w:hint="eastAsia" w:ascii="仿宋" w:hAnsi="仿宋" w:eastAsia="仿宋" w:cs="仿宋"/>
          <w:b/>
          <w:bCs w:val="0"/>
          <w:color w:val="auto"/>
          <w:kern w:val="0"/>
          <w:sz w:val="36"/>
          <w:szCs w:val="36"/>
          <w:highlight w:val="none"/>
          <w:lang w:val="en-US" w:eastAsia="zh-CN"/>
        </w:rPr>
        <w:t>格式自拟</w:t>
      </w:r>
      <w:r>
        <w:rPr>
          <w:rFonts w:hint="eastAsia" w:ascii="仿宋" w:hAnsi="仿宋" w:eastAsia="仿宋" w:cs="仿宋"/>
          <w:b/>
          <w:bCs w:val="0"/>
          <w:color w:val="auto"/>
          <w:kern w:val="0"/>
          <w:sz w:val="36"/>
          <w:szCs w:val="36"/>
          <w:highlight w:val="none"/>
          <w:lang w:eastAsia="zh-CN"/>
        </w:rPr>
        <w:t>）</w:t>
      </w:r>
    </w:p>
    <w:p w14:paraId="267A79A2">
      <w:pPr>
        <w:pStyle w:val="8"/>
        <w:shd w:val="clear" w:color="auto" w:fill="auto"/>
        <w:jc w:val="center"/>
        <w:outlineLvl w:val="9"/>
        <w:rPr>
          <w:rFonts w:hint="eastAsia" w:ascii="宋体" w:hAnsi="宋体" w:eastAsia="宋体" w:cs="宋体"/>
          <w:color w:val="auto"/>
          <w:highlight w:val="none"/>
        </w:rPr>
      </w:pPr>
    </w:p>
    <w:p w14:paraId="0D04F1F0">
      <w:pPr>
        <w:pStyle w:val="8"/>
        <w:shd w:val="clear" w:color="auto" w:fill="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说明：投标人应当如实披露与本单位存在下列关联关系的单位名称：</w:t>
      </w:r>
    </w:p>
    <w:p w14:paraId="10829578">
      <w:pPr>
        <w:pStyle w:val="8"/>
        <w:shd w:val="clear" w:color="auto" w:fill="auto"/>
        <w:ind w:firstLine="480" w:firstLineChars="200"/>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（1）与投标人单位负责人为同一人的其他单位；</w:t>
      </w:r>
    </w:p>
    <w:p w14:paraId="3A1B11A1">
      <w:pPr>
        <w:pStyle w:val="8"/>
        <w:shd w:val="clear" w:color="auto" w:fill="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（2）与投标人存在直接控股、管理关系的其他单位。</w:t>
      </w:r>
    </w:p>
    <w:p w14:paraId="1AF4905C">
      <w:pPr>
        <w:pStyle w:val="8"/>
        <w:shd w:val="clear" w:color="auto" w:fill="auto"/>
        <w:ind w:firstLine="0"/>
        <w:outlineLvl w:val="9"/>
        <w:rPr>
          <w:rFonts w:hint="eastAsia" w:ascii="宋体" w:hAnsi="宋体" w:eastAsia="宋体" w:cs="宋体"/>
          <w:color w:val="auto"/>
          <w:highlight w:val="none"/>
        </w:rPr>
      </w:pPr>
    </w:p>
    <w:p w14:paraId="6D5FB3F9">
      <w:pPr>
        <w:numPr>
          <w:ilvl w:val="0"/>
          <w:numId w:val="0"/>
        </w:numPr>
        <w:spacing w:line="360" w:lineRule="auto"/>
        <w:jc w:val="both"/>
        <w:outlineLvl w:val="9"/>
        <w:rPr>
          <w:rFonts w:hint="eastAsia" w:ascii="仿宋" w:hAnsi="仿宋" w:eastAsia="仿宋" w:cs="仿宋"/>
          <w:b/>
          <w:bCs/>
          <w:color w:val="auto"/>
          <w:sz w:val="28"/>
          <w:szCs w:val="28"/>
          <w:lang w:val="en-US" w:eastAsia="zh-CN"/>
        </w:rPr>
      </w:pPr>
      <w:r>
        <w:rPr>
          <w:rFonts w:hint="eastAsia" w:ascii="仿宋" w:hAnsi="仿宋" w:eastAsia="仿宋" w:cs="仿宋"/>
          <w:b/>
          <w:bCs w:val="0"/>
          <w:color w:val="auto"/>
          <w:kern w:val="0"/>
          <w:sz w:val="36"/>
          <w:szCs w:val="36"/>
          <w:highlight w:val="none"/>
          <w:lang w:val="en-US" w:eastAsia="zh-CN"/>
        </w:rPr>
        <w:br w:type="page"/>
      </w:r>
      <w:r>
        <w:rPr>
          <w:rFonts w:hint="eastAsia" w:ascii="仿宋" w:hAnsi="仿宋" w:eastAsia="仿宋" w:cs="仿宋"/>
          <w:b/>
          <w:bCs/>
          <w:color w:val="auto"/>
          <w:sz w:val="28"/>
          <w:szCs w:val="28"/>
          <w:lang w:val="en-US" w:eastAsia="zh-CN"/>
        </w:rPr>
        <w:t>8、中小企业声明函(货物)</w:t>
      </w:r>
    </w:p>
    <w:p w14:paraId="3E3428DF">
      <w:pPr>
        <w:shd w:val="clear" w:color="auto" w:fill="auto"/>
        <w:spacing w:line="360" w:lineRule="auto"/>
        <w:jc w:val="center"/>
        <w:outlineLvl w:val="9"/>
        <w:rPr>
          <w:rFonts w:hint="eastAsia" w:ascii="仿宋" w:hAnsi="仿宋" w:eastAsia="仿宋" w:cs="仿宋"/>
          <w:b/>
          <w:bCs w:val="0"/>
          <w:color w:val="auto"/>
          <w:kern w:val="0"/>
          <w:sz w:val="36"/>
          <w:szCs w:val="36"/>
          <w:highlight w:val="none"/>
        </w:rPr>
      </w:pPr>
      <w:r>
        <w:rPr>
          <w:rFonts w:hint="eastAsia" w:ascii="仿宋" w:hAnsi="仿宋" w:eastAsia="仿宋" w:cs="仿宋"/>
          <w:b/>
          <w:bCs w:val="0"/>
          <w:color w:val="auto"/>
          <w:kern w:val="0"/>
          <w:sz w:val="36"/>
          <w:szCs w:val="36"/>
          <w:highlight w:val="none"/>
        </w:rPr>
        <w:t>中小企业声明函(</w:t>
      </w:r>
      <w:r>
        <w:rPr>
          <w:rFonts w:hint="eastAsia" w:ascii="仿宋" w:hAnsi="仿宋" w:eastAsia="仿宋" w:cs="仿宋"/>
          <w:b/>
          <w:bCs w:val="0"/>
          <w:color w:val="auto"/>
          <w:kern w:val="0"/>
          <w:sz w:val="36"/>
          <w:szCs w:val="36"/>
          <w:highlight w:val="none"/>
          <w:lang w:eastAsia="zh-CN"/>
        </w:rPr>
        <w:t>货物</w:t>
      </w:r>
      <w:r>
        <w:rPr>
          <w:rFonts w:hint="eastAsia" w:ascii="仿宋" w:hAnsi="仿宋" w:eastAsia="仿宋" w:cs="仿宋"/>
          <w:b/>
          <w:bCs w:val="0"/>
          <w:color w:val="auto"/>
          <w:kern w:val="0"/>
          <w:sz w:val="36"/>
          <w:szCs w:val="36"/>
          <w:highlight w:val="none"/>
        </w:rPr>
        <w:t>)</w:t>
      </w:r>
    </w:p>
    <w:p w14:paraId="1D975BF1">
      <w:pPr>
        <w:ind w:left="1280"/>
        <w:outlineLvl w:val="9"/>
        <w:rPr>
          <w:rFonts w:hint="eastAsia" w:ascii="仿宋" w:hAnsi="仿宋" w:eastAsia="仿宋" w:cs="仿宋"/>
          <w:color w:val="auto"/>
          <w:sz w:val="32"/>
          <w:szCs w:val="32"/>
          <w:highlight w:val="none"/>
        </w:rPr>
      </w:pPr>
    </w:p>
    <w:p w14:paraId="603851B8">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78D0080">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1.（标的名称），属于</w:t>
      </w:r>
      <w:r>
        <w:rPr>
          <w:rFonts w:hint="eastAsia" w:ascii="仿宋" w:hAnsi="仿宋" w:eastAsia="仿宋" w:cs="仿宋"/>
          <w:b/>
          <w:bCs/>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（采购文件中明确的所属行业）；制造商为（企业名称），从业人员  人，营业收入为  万元，资产总额为  万元，属于（中型企业、小型企业、微型企业）；</w:t>
      </w:r>
    </w:p>
    <w:p w14:paraId="5098CC56">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（标的名称），属于（采购文件中明确的所属行业）；制造商为（企业名称），从业人员  人，营业收入为  万元，资产总额为  万元，属于（中型企业、小型企业、微型企业）；</w:t>
      </w:r>
    </w:p>
    <w:p w14:paraId="1D7A462F">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B511B4F">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45E4C015">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p>
    <w:p w14:paraId="4F7C00E5">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5770AA69">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B290EDE">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p>
    <w:p w14:paraId="0BB37CE7">
      <w:pPr>
        <w:shd w:val="clear" w:color="auto" w:fill="auto"/>
        <w:spacing w:line="360" w:lineRule="auto"/>
        <w:ind w:firstLine="4560" w:firstLineChars="19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2C08E46A">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日期：</w:t>
      </w:r>
    </w:p>
    <w:p w14:paraId="4B2B7EB2">
      <w:pPr>
        <w:numPr>
          <w:ilvl w:val="0"/>
          <w:numId w:val="0"/>
        </w:numPr>
        <w:shd w:val="clear" w:color="auto" w:fill="auto"/>
        <w:spacing w:before="0" w:line="240" w:lineRule="atLeast"/>
        <w:outlineLvl w:val="9"/>
        <w:rPr>
          <w:rFonts w:hint="eastAsia" w:ascii="宋体" w:hAnsi="宋体" w:eastAsia="宋体" w:cs="宋体"/>
          <w:color w:val="auto"/>
          <w:sz w:val="24"/>
          <w:highlight w:val="none"/>
          <w:lang w:val="en-US" w:eastAsia="zh-CN"/>
        </w:rPr>
      </w:pPr>
    </w:p>
    <w:p w14:paraId="6944FC6E">
      <w:pPr>
        <w:pStyle w:val="16"/>
        <w:shd w:val="clear" w:color="auto" w:fill="auto"/>
        <w:tabs>
          <w:tab w:val="left" w:pos="5580"/>
        </w:tabs>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说明：从业人员、营业收入、 资产总额填报上一年度数据，无上一年度数据的新成立企业可不填报。</w:t>
      </w:r>
    </w:p>
    <w:p w14:paraId="011382E8">
      <w:pPr>
        <w:pStyle w:val="16"/>
        <w:shd w:val="clear" w:color="auto" w:fill="auto"/>
        <w:tabs>
          <w:tab w:val="left" w:pos="5580"/>
        </w:tabs>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(中小企业声明函（货物）不符合中小企业的投标人无需提供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若投标文件中无上述文件，则在评审时不考虑对该</w:t>
      </w:r>
      <w:r>
        <w:rPr>
          <w:rFonts w:hint="eastAsia" w:ascii="仿宋" w:hAnsi="仿宋" w:eastAsia="仿宋" w:cs="仿宋"/>
          <w:color w:val="auto"/>
          <w:sz w:val="24"/>
          <w:szCs w:val="24"/>
          <w:highlight w:val="none"/>
          <w:lang w:eastAsia="zh-CN"/>
        </w:rPr>
        <w:t>企业进行</w:t>
      </w:r>
      <w:r>
        <w:rPr>
          <w:rFonts w:hint="eastAsia" w:ascii="仿宋" w:hAnsi="仿宋" w:eastAsia="仿宋" w:cs="仿宋"/>
          <w:color w:val="auto"/>
          <w:sz w:val="24"/>
          <w:szCs w:val="24"/>
          <w:highlight w:val="none"/>
        </w:rPr>
        <w:t>小、微企业的相关优惠。)</w:t>
      </w:r>
    </w:p>
    <w:p w14:paraId="54E6DD1E">
      <w:pPr>
        <w:rPr>
          <w:rFonts w:hint="eastAsia" w:ascii="仿宋" w:hAnsi="仿宋" w:eastAsia="仿宋" w:cs="仿宋"/>
          <w:color w:val="auto"/>
          <w:spacing w:val="0"/>
          <w:w w:val="100"/>
          <w:position w:val="0"/>
          <w:sz w:val="36"/>
          <w:szCs w:val="36"/>
          <w:highlight w:val="none"/>
          <w:lang w:val="en-US" w:eastAsia="zh-CN"/>
        </w:rPr>
      </w:pPr>
    </w:p>
    <w:p w14:paraId="28C9EB9C">
      <w:pPr>
        <w:pStyle w:val="5"/>
        <w:rPr>
          <w:rFonts w:hint="eastAsia" w:ascii="仿宋" w:hAnsi="仿宋" w:eastAsia="仿宋" w:cs="仿宋"/>
          <w:color w:val="auto"/>
          <w:spacing w:val="0"/>
          <w:w w:val="100"/>
          <w:position w:val="0"/>
          <w:sz w:val="36"/>
          <w:szCs w:val="36"/>
          <w:highlight w:val="none"/>
          <w:lang w:val="en-US" w:eastAsia="zh-CN"/>
        </w:rPr>
      </w:pPr>
    </w:p>
    <w:p w14:paraId="7C83EAA5">
      <w:pPr>
        <w:rPr>
          <w:rFonts w:hint="eastAsia" w:ascii="仿宋" w:hAnsi="仿宋" w:eastAsia="仿宋" w:cs="仿宋"/>
          <w:color w:val="auto"/>
          <w:spacing w:val="0"/>
          <w:w w:val="100"/>
          <w:position w:val="0"/>
          <w:sz w:val="36"/>
          <w:szCs w:val="36"/>
          <w:highlight w:val="none"/>
          <w:lang w:val="en-US" w:eastAsia="zh-CN"/>
        </w:rPr>
      </w:pPr>
    </w:p>
    <w:p w14:paraId="6AAC3A84">
      <w:pPr>
        <w:pStyle w:val="5"/>
        <w:rPr>
          <w:rFonts w:hint="eastAsia"/>
          <w:sz w:val="22"/>
          <w:szCs w:val="22"/>
          <w:lang w:val="en-US" w:eastAsia="zh-CN"/>
        </w:rPr>
      </w:pPr>
      <w:r>
        <w:rPr>
          <w:rFonts w:hint="eastAsia"/>
          <w:sz w:val="22"/>
          <w:szCs w:val="22"/>
          <w:lang w:val="en-US" w:eastAsia="zh-CN"/>
        </w:rPr>
        <w:t>（附件7）</w:t>
      </w:r>
    </w:p>
    <w:p w14:paraId="469E44A3">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color w:val="auto"/>
          <w:spacing w:val="0"/>
          <w:w w:val="100"/>
          <w:position w:val="0"/>
          <w:sz w:val="36"/>
          <w:szCs w:val="36"/>
          <w:highlight w:val="none"/>
          <w:lang w:val="en-US" w:eastAsia="zh-CN"/>
        </w:rPr>
        <w:t>9</w:t>
      </w:r>
      <w:r>
        <w:rPr>
          <w:rFonts w:hint="eastAsia" w:ascii="仿宋" w:hAnsi="仿宋" w:eastAsia="仿宋" w:cs="仿宋"/>
          <w:color w:val="auto"/>
          <w:spacing w:val="0"/>
          <w:w w:val="100"/>
          <w:position w:val="0"/>
          <w:sz w:val="36"/>
          <w:szCs w:val="36"/>
          <w:highlight w:val="none"/>
          <w:lang w:eastAsia="zh-CN"/>
        </w:rPr>
        <w:t>、</w:t>
      </w:r>
      <w:r>
        <w:rPr>
          <w:rFonts w:hint="eastAsia" w:ascii="仿宋" w:hAnsi="仿宋" w:eastAsia="仿宋" w:cs="仿宋"/>
          <w:b/>
          <w:bCs/>
          <w:color w:val="auto"/>
          <w:spacing w:val="6"/>
          <w:kern w:val="0"/>
          <w:sz w:val="36"/>
          <w:szCs w:val="36"/>
          <w:highlight w:val="none"/>
        </w:rPr>
        <w:t>残疾人福利性单位声明函</w:t>
      </w:r>
    </w:p>
    <w:p w14:paraId="52BFCBA5">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p>
    <w:p w14:paraId="5871E7E3">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A871D2">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45BE0F61">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5C18615D">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2B42749D">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14:paraId="038A0B5B">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14:paraId="3AEE8D64">
      <w:pPr>
        <w:shd w:val="clear" w:color="auto" w:fill="auto"/>
        <w:spacing w:line="240" w:lineRule="atLeast"/>
        <w:ind w:left="1080" w:leftChars="257" w:hanging="540"/>
        <w:outlineLvl w:val="9"/>
        <w:rPr>
          <w:rFonts w:hint="eastAsia" w:ascii="宋体" w:hAnsi="宋体" w:eastAsia="宋体" w:cs="宋体"/>
          <w:color w:val="auto"/>
          <w:kern w:val="0"/>
          <w:sz w:val="24"/>
          <w:szCs w:val="20"/>
          <w:highlight w:val="none"/>
        </w:rPr>
      </w:pPr>
    </w:p>
    <w:p w14:paraId="37F69A53">
      <w:pPr>
        <w:shd w:val="clear" w:color="auto" w:fill="auto"/>
        <w:spacing w:line="240" w:lineRule="atLeast"/>
        <w:ind w:left="1080" w:leftChars="257" w:hanging="540"/>
        <w:jc w:val="center"/>
        <w:outlineLvl w:val="9"/>
        <w:rPr>
          <w:rFonts w:hint="eastAsia" w:ascii="宋体" w:hAnsi="宋体" w:eastAsia="宋体" w:cs="宋体"/>
          <w:color w:val="auto"/>
          <w:kern w:val="0"/>
          <w:sz w:val="24"/>
          <w:szCs w:val="20"/>
          <w:highlight w:val="none"/>
        </w:rPr>
      </w:pPr>
    </w:p>
    <w:p w14:paraId="70B24883">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残疾人福利性单位名称（盖单位章）：______________</w:t>
      </w:r>
    </w:p>
    <w:p w14:paraId="54E9F515">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期：_____________________________________________</w:t>
      </w:r>
    </w:p>
    <w:p w14:paraId="0FCAF514">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p>
    <w:p w14:paraId="070E7E18">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p>
    <w:p w14:paraId="5E0A019C">
      <w:pPr>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p>
    <w:p w14:paraId="222259D8">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bookmarkStart w:id="125" w:name="_Toc6386"/>
    </w:p>
    <w:p w14:paraId="70A22A85">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33932947">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14332CB5">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0BAE9EF1">
      <w:pPr>
        <w:shd w:val="clear" w:color="auto" w:fill="auto"/>
        <w:outlineLvl w:val="9"/>
        <w:rPr>
          <w:rFonts w:hint="eastAsia" w:ascii="宋体" w:hAnsi="宋体" w:eastAsia="宋体" w:cs="宋体"/>
          <w:color w:val="auto"/>
          <w:sz w:val="24"/>
          <w:highlight w:val="none"/>
        </w:rPr>
      </w:pPr>
    </w:p>
    <w:p w14:paraId="28BED17F">
      <w:pPr>
        <w:pStyle w:val="34"/>
        <w:shd w:val="clear" w:color="auto" w:fill="auto"/>
        <w:outlineLvl w:val="9"/>
        <w:rPr>
          <w:rFonts w:hint="eastAsia" w:ascii="宋体" w:hAnsi="宋体" w:eastAsia="宋体" w:cs="宋体"/>
          <w:color w:val="auto"/>
          <w:sz w:val="24"/>
          <w:highlight w:val="none"/>
        </w:rPr>
      </w:pPr>
    </w:p>
    <w:p w14:paraId="18BD7367">
      <w:pPr>
        <w:pStyle w:val="34"/>
        <w:shd w:val="clear" w:color="auto" w:fill="auto"/>
        <w:outlineLvl w:val="9"/>
        <w:rPr>
          <w:rFonts w:hint="eastAsia" w:ascii="宋体" w:hAnsi="宋体" w:eastAsia="宋体" w:cs="宋体"/>
          <w:color w:val="auto"/>
          <w:sz w:val="24"/>
          <w:highlight w:val="none"/>
        </w:rPr>
      </w:pPr>
    </w:p>
    <w:p w14:paraId="064B7B7A">
      <w:pPr>
        <w:pStyle w:val="34"/>
        <w:shd w:val="clear" w:color="auto" w:fill="auto"/>
        <w:outlineLvl w:val="9"/>
        <w:rPr>
          <w:rFonts w:hint="eastAsia" w:ascii="宋体" w:hAnsi="宋体" w:eastAsia="宋体" w:cs="宋体"/>
          <w:color w:val="auto"/>
          <w:sz w:val="24"/>
          <w:highlight w:val="none"/>
        </w:rPr>
      </w:pPr>
    </w:p>
    <w:p w14:paraId="705A9575">
      <w:pPr>
        <w:pStyle w:val="34"/>
        <w:shd w:val="clear" w:color="auto" w:fill="auto"/>
        <w:outlineLvl w:val="9"/>
        <w:rPr>
          <w:rFonts w:hint="eastAsia" w:ascii="宋体" w:hAnsi="宋体" w:eastAsia="宋体" w:cs="宋体"/>
          <w:color w:val="auto"/>
          <w:sz w:val="24"/>
          <w:highlight w:val="none"/>
        </w:rPr>
      </w:pPr>
    </w:p>
    <w:p w14:paraId="0818F7E7">
      <w:pPr>
        <w:pStyle w:val="34"/>
        <w:shd w:val="clear" w:color="auto" w:fill="auto"/>
        <w:outlineLvl w:val="9"/>
        <w:rPr>
          <w:rFonts w:hint="eastAsia" w:ascii="宋体" w:hAnsi="宋体" w:eastAsia="宋体" w:cs="宋体"/>
          <w:color w:val="auto"/>
          <w:sz w:val="24"/>
          <w:highlight w:val="none"/>
        </w:rPr>
      </w:pPr>
    </w:p>
    <w:p w14:paraId="07D4DE04">
      <w:pPr>
        <w:pStyle w:val="34"/>
        <w:shd w:val="clear" w:color="auto" w:fill="auto"/>
        <w:outlineLvl w:val="9"/>
        <w:rPr>
          <w:rFonts w:hint="eastAsia" w:ascii="宋体" w:hAnsi="宋体" w:eastAsia="宋体" w:cs="宋体"/>
          <w:color w:val="auto"/>
          <w:sz w:val="24"/>
          <w:highlight w:val="none"/>
        </w:rPr>
      </w:pPr>
    </w:p>
    <w:p w14:paraId="0F8CDA29">
      <w:pPr>
        <w:pStyle w:val="34"/>
        <w:shd w:val="clear" w:color="auto" w:fill="auto"/>
        <w:outlineLvl w:val="9"/>
        <w:rPr>
          <w:rFonts w:hint="eastAsia" w:ascii="宋体" w:hAnsi="宋体" w:eastAsia="宋体" w:cs="宋体"/>
          <w:color w:val="auto"/>
          <w:sz w:val="24"/>
          <w:highlight w:val="none"/>
        </w:rPr>
      </w:pPr>
    </w:p>
    <w:p w14:paraId="0FF6C973">
      <w:pPr>
        <w:pStyle w:val="34"/>
        <w:shd w:val="clear" w:color="auto" w:fill="auto"/>
        <w:outlineLvl w:val="9"/>
        <w:rPr>
          <w:rFonts w:hint="eastAsia" w:ascii="宋体" w:hAnsi="宋体" w:eastAsia="宋体" w:cs="宋体"/>
          <w:color w:val="auto"/>
          <w:sz w:val="24"/>
          <w:highlight w:val="none"/>
        </w:rPr>
      </w:pPr>
    </w:p>
    <w:p w14:paraId="65A932DA">
      <w:pPr>
        <w:pStyle w:val="34"/>
        <w:shd w:val="clear" w:color="auto" w:fill="auto"/>
        <w:outlineLvl w:val="9"/>
        <w:rPr>
          <w:rFonts w:hint="eastAsia" w:ascii="宋体" w:hAnsi="宋体" w:eastAsia="宋体" w:cs="宋体"/>
          <w:color w:val="auto"/>
          <w:sz w:val="24"/>
          <w:highlight w:val="none"/>
        </w:rPr>
      </w:pPr>
    </w:p>
    <w:p w14:paraId="39B654F1">
      <w:pPr>
        <w:pStyle w:val="34"/>
        <w:shd w:val="clear" w:color="auto" w:fill="auto"/>
        <w:outlineLvl w:val="9"/>
        <w:rPr>
          <w:rFonts w:hint="eastAsia" w:ascii="宋体" w:hAnsi="宋体" w:eastAsia="宋体" w:cs="宋体"/>
          <w:color w:val="auto"/>
          <w:sz w:val="24"/>
          <w:highlight w:val="none"/>
        </w:rPr>
      </w:pPr>
    </w:p>
    <w:p w14:paraId="3744CEFB">
      <w:pPr>
        <w:pStyle w:val="34"/>
        <w:shd w:val="clear" w:color="auto" w:fill="auto"/>
        <w:outlineLvl w:val="9"/>
        <w:rPr>
          <w:rFonts w:hint="eastAsia" w:ascii="宋体" w:hAnsi="宋体" w:eastAsia="宋体" w:cs="宋体"/>
          <w:color w:val="auto"/>
          <w:sz w:val="24"/>
          <w:highlight w:val="none"/>
        </w:rPr>
      </w:pPr>
    </w:p>
    <w:p w14:paraId="696A74D7">
      <w:pPr>
        <w:numPr>
          <w:ilvl w:val="0"/>
          <w:numId w:val="0"/>
        </w:num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10、</w:t>
      </w:r>
      <w:r>
        <w:rPr>
          <w:rFonts w:hint="eastAsia" w:ascii="仿宋" w:hAnsi="仿宋" w:eastAsia="仿宋" w:cs="仿宋"/>
          <w:b/>
          <w:bCs/>
          <w:color w:val="auto"/>
          <w:spacing w:val="6"/>
          <w:kern w:val="0"/>
          <w:sz w:val="36"/>
          <w:szCs w:val="36"/>
          <w:highlight w:val="none"/>
          <w:lang w:eastAsia="zh-CN"/>
        </w:rPr>
        <w:t>评分标准和细则中技术部分证明材料（格式自拟）</w:t>
      </w:r>
    </w:p>
    <w:p w14:paraId="7F0BC465">
      <w:pPr>
        <w:pStyle w:val="16"/>
        <w:pageBreakBefore w:val="0"/>
        <w:widowControl w:val="0"/>
        <w:shd w:val="clear" w:color="auto" w:fill="auto"/>
        <w:tabs>
          <w:tab w:val="left" w:pos="5580"/>
        </w:tabs>
        <w:kinsoku/>
        <w:wordWrap/>
        <w:overflowPunct/>
        <w:topLinePunct w:val="0"/>
        <w:autoSpaceDE/>
        <w:autoSpaceDN/>
        <w:bidi w:val="0"/>
        <w:adjustRightInd/>
        <w:snapToGrid/>
        <w:spacing w:line="360" w:lineRule="auto"/>
        <w:ind w:left="1080"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（主要包括：技术部分技术指标、参数响应情况；）</w:t>
      </w:r>
      <w:r>
        <w:rPr>
          <w:rFonts w:hint="eastAsia" w:ascii="仿宋" w:hAnsi="仿宋" w:eastAsia="仿宋" w:cs="仿宋"/>
          <w:color w:val="auto"/>
          <w:sz w:val="24"/>
          <w:highlight w:val="none"/>
        </w:rPr>
        <w:t>。</w:t>
      </w:r>
    </w:p>
    <w:p w14:paraId="5F035F79">
      <w:pPr>
        <w:pStyle w:val="37"/>
        <w:numPr>
          <w:ilvl w:val="0"/>
          <w:numId w:val="18"/>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14:paraId="1EEC0F02">
      <w:pPr>
        <w:pStyle w:val="37"/>
        <w:numPr>
          <w:ilvl w:val="0"/>
          <w:numId w:val="0"/>
        </w:numPr>
        <w:ind w:left="1260" w:leftChars="0"/>
        <w:rPr>
          <w:rFonts w:hint="eastAsia" w:ascii="仿宋" w:hAnsi="仿宋" w:eastAsia="仿宋" w:cs="仿宋"/>
          <w:color w:val="auto"/>
          <w:sz w:val="24"/>
          <w:highlight w:val="none"/>
          <w:lang w:eastAsia="zh-CN"/>
        </w:rPr>
      </w:pPr>
    </w:p>
    <w:p w14:paraId="107A8BA9">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14:paraId="7B0AB822">
      <w:p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11、</w:t>
      </w:r>
      <w:r>
        <w:rPr>
          <w:rFonts w:hint="eastAsia" w:ascii="仿宋" w:hAnsi="仿宋" w:eastAsia="仿宋" w:cs="仿宋"/>
          <w:b/>
          <w:bCs/>
          <w:color w:val="auto"/>
          <w:spacing w:val="6"/>
          <w:kern w:val="0"/>
          <w:sz w:val="36"/>
          <w:szCs w:val="36"/>
          <w:highlight w:val="none"/>
          <w:lang w:eastAsia="zh-CN"/>
        </w:rPr>
        <w:t>评分标准和细则中</w:t>
      </w:r>
      <w:r>
        <w:rPr>
          <w:rFonts w:hint="eastAsia" w:ascii="仿宋" w:hAnsi="仿宋" w:eastAsia="仿宋" w:cs="仿宋"/>
          <w:b/>
          <w:bCs/>
          <w:color w:val="auto"/>
          <w:spacing w:val="6"/>
          <w:kern w:val="0"/>
          <w:sz w:val="36"/>
          <w:szCs w:val="36"/>
          <w:highlight w:val="none"/>
          <w:lang w:val="en-US" w:eastAsia="zh-CN"/>
        </w:rPr>
        <w:t>商务</w:t>
      </w:r>
      <w:r>
        <w:rPr>
          <w:rFonts w:hint="eastAsia" w:ascii="仿宋" w:hAnsi="仿宋" w:eastAsia="仿宋" w:cs="仿宋"/>
          <w:b/>
          <w:bCs/>
          <w:color w:val="auto"/>
          <w:spacing w:val="6"/>
          <w:kern w:val="0"/>
          <w:sz w:val="36"/>
          <w:szCs w:val="36"/>
          <w:highlight w:val="none"/>
          <w:lang w:eastAsia="zh-CN"/>
        </w:rPr>
        <w:t>部分证明材料（格式自拟）</w:t>
      </w:r>
    </w:p>
    <w:p w14:paraId="1B5896CC">
      <w:pPr>
        <w:pStyle w:val="16"/>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080" w:leftChars="257" w:hanging="54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w:t>
      </w:r>
      <w:r>
        <w:rPr>
          <w:rFonts w:hint="eastAsia" w:ascii="仿宋" w:hAnsi="仿宋" w:eastAsia="仿宋" w:cs="仿宋"/>
          <w:color w:val="auto"/>
          <w:sz w:val="24"/>
          <w:highlight w:val="none"/>
          <w:lang w:val="en-US" w:eastAsia="zh-CN"/>
        </w:rPr>
        <w:t>类似业绩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14:paraId="352510E1">
      <w:pPr>
        <w:pStyle w:val="37"/>
        <w:numPr>
          <w:ilvl w:val="0"/>
          <w:numId w:val="18"/>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14:paraId="24ADBC65">
      <w:pPr>
        <w:pStyle w:val="37"/>
        <w:numPr>
          <w:ilvl w:val="0"/>
          <w:numId w:val="0"/>
        </w:numPr>
        <w:ind w:left="1260" w:leftChars="0"/>
        <w:rPr>
          <w:rFonts w:hint="eastAsia" w:ascii="仿宋" w:hAnsi="仿宋" w:eastAsia="仿宋" w:cs="仿宋"/>
          <w:color w:val="auto"/>
          <w:sz w:val="24"/>
          <w:highlight w:val="none"/>
          <w:lang w:eastAsia="zh-CN"/>
        </w:rPr>
      </w:pPr>
    </w:p>
    <w:p w14:paraId="46EA0C48">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14:paraId="4E0989B1">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b/>
          <w:bCs/>
          <w:color w:val="auto"/>
          <w:spacing w:val="6"/>
          <w:kern w:val="0"/>
          <w:sz w:val="36"/>
          <w:szCs w:val="36"/>
          <w:highlight w:val="none"/>
          <w:lang w:val="en-US" w:eastAsia="zh-CN"/>
        </w:rPr>
        <w:t>12、</w:t>
      </w:r>
      <w:r>
        <w:rPr>
          <w:rFonts w:hint="eastAsia" w:ascii="仿宋" w:hAnsi="仿宋" w:eastAsia="仿宋" w:cs="仿宋"/>
          <w:b/>
          <w:bCs/>
          <w:color w:val="auto"/>
          <w:spacing w:val="6"/>
          <w:kern w:val="0"/>
          <w:sz w:val="36"/>
          <w:szCs w:val="36"/>
          <w:highlight w:val="none"/>
          <w:lang w:eastAsia="zh-CN"/>
        </w:rPr>
        <w:t>投标人认为有必要提供的其他证明材料（格式自拟）</w:t>
      </w:r>
    </w:p>
    <w:p w14:paraId="099E10A4">
      <w:pPr>
        <w:numPr>
          <w:ilvl w:val="0"/>
          <w:numId w:val="0"/>
        </w:numPr>
        <w:shd w:val="clear" w:color="auto" w:fill="auto"/>
        <w:spacing w:before="0" w:line="240" w:lineRule="atLeast"/>
        <w:jc w:val="left"/>
        <w:outlineLvl w:val="9"/>
        <w:rPr>
          <w:rFonts w:hint="eastAsia" w:ascii="宋体" w:hAnsi="宋体" w:eastAsia="宋体" w:cs="宋体"/>
          <w:b/>
          <w:bCs/>
          <w:color w:val="auto"/>
          <w:sz w:val="24"/>
          <w:highlight w:val="none"/>
          <w:lang w:val="en-US" w:eastAsia="zh-CN"/>
        </w:rPr>
      </w:pPr>
    </w:p>
    <w:bookmarkEnd w:id="121"/>
    <w:bookmarkEnd w:id="122"/>
    <w:bookmarkEnd w:id="123"/>
    <w:bookmarkEnd w:id="125"/>
    <w:p w14:paraId="489BC63B">
      <w:pPr>
        <w:pStyle w:val="16"/>
        <w:shd w:val="clear" w:color="auto" w:fill="auto"/>
        <w:tabs>
          <w:tab w:val="left" w:pos="5580"/>
        </w:tabs>
        <w:spacing w:line="240" w:lineRule="atLeas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14:paraId="4975DC7F">
      <w:pPr>
        <w:pStyle w:val="8"/>
        <w:shd w:val="clear" w:color="auto" w:fill="auto"/>
        <w:ind w:firstLine="0"/>
        <w:outlineLvl w:val="9"/>
        <w:rPr>
          <w:rFonts w:hint="eastAsia" w:ascii="宋体" w:hAnsi="宋体" w:eastAsia="宋体" w:cs="宋体"/>
          <w:color w:val="auto"/>
          <w:highlight w:val="none"/>
        </w:rPr>
      </w:pPr>
    </w:p>
    <w:p w14:paraId="7EC9DCE0">
      <w:pPr>
        <w:pStyle w:val="17"/>
        <w:ind w:left="2880"/>
        <w:outlineLvl w:val="9"/>
        <w:rPr>
          <w:color w:val="auto"/>
          <w:lang w:eastAsia="zh-CN"/>
        </w:rPr>
      </w:pPr>
    </w:p>
    <w:p w14:paraId="53271EC0">
      <w:pPr>
        <w:pStyle w:val="34"/>
        <w:outlineLvl w:val="9"/>
        <w:rPr>
          <w:rFonts w:hint="eastAsia" w:ascii="仿宋" w:hAnsi="仿宋" w:eastAsia="仿宋" w:cs="仿宋"/>
          <w:sz w:val="24"/>
          <w:szCs w:val="24"/>
        </w:rPr>
      </w:pPr>
    </w:p>
    <w:p w14:paraId="4D8C66CD">
      <w:pPr>
        <w:pStyle w:val="34"/>
        <w:outlineLvl w:val="9"/>
        <w:rPr>
          <w:rFonts w:hint="eastAsia" w:ascii="仿宋" w:hAnsi="仿宋" w:eastAsia="仿宋" w:cs="仿宋"/>
          <w:sz w:val="24"/>
          <w:szCs w:val="24"/>
        </w:rPr>
      </w:pPr>
    </w:p>
    <w:p w14:paraId="2C916137">
      <w:pPr>
        <w:pStyle w:val="34"/>
        <w:outlineLvl w:val="9"/>
        <w:rPr>
          <w:rFonts w:hint="eastAsia" w:ascii="仿宋" w:hAnsi="仿宋" w:eastAsia="仿宋" w:cs="仿宋"/>
          <w:sz w:val="24"/>
          <w:szCs w:val="24"/>
        </w:rPr>
      </w:pPr>
    </w:p>
    <w:p w14:paraId="64DB466B">
      <w:pPr>
        <w:pStyle w:val="34"/>
        <w:outlineLvl w:val="9"/>
        <w:rPr>
          <w:rFonts w:hint="eastAsia" w:ascii="仿宋" w:hAnsi="仿宋" w:eastAsia="仿宋" w:cs="仿宋"/>
          <w:sz w:val="24"/>
          <w:szCs w:val="24"/>
        </w:rPr>
      </w:pPr>
    </w:p>
    <w:p w14:paraId="2D22E76E">
      <w:pPr>
        <w:outlineLvl w:val="9"/>
        <w:rPr>
          <w:rFonts w:hint="eastAsia" w:ascii="仿宋" w:hAnsi="仿宋" w:eastAsia="仿宋" w:cs="仿宋"/>
          <w:sz w:val="24"/>
          <w:szCs w:val="24"/>
        </w:rPr>
      </w:pPr>
      <w:r>
        <w:rPr>
          <w:rFonts w:hint="eastAsia" w:ascii="仿宋" w:hAnsi="仿宋" w:eastAsia="仿宋" w:cs="仿宋"/>
          <w:sz w:val="24"/>
          <w:szCs w:val="24"/>
        </w:rPr>
        <w:br w:type="page"/>
      </w:r>
    </w:p>
    <w:p w14:paraId="6B2D929D">
      <w:pPr>
        <w:pStyle w:val="34"/>
        <w:outlineLvl w:val="9"/>
        <w:rPr>
          <w:rFonts w:hint="eastAsia" w:ascii="仿宋" w:hAnsi="仿宋" w:eastAsia="仿宋" w:cs="仿宋"/>
          <w:b/>
          <w:bCs/>
          <w:sz w:val="24"/>
          <w:szCs w:val="24"/>
        </w:rPr>
      </w:pPr>
      <w:r>
        <w:rPr>
          <w:rFonts w:hint="eastAsia" w:ascii="仿宋" w:hAnsi="仿宋" w:eastAsia="仿宋" w:cs="仿宋"/>
          <w:b/>
          <w:bCs/>
          <w:sz w:val="24"/>
          <w:szCs w:val="24"/>
        </w:rPr>
        <w:t>附件资料：</w:t>
      </w:r>
    </w:p>
    <w:p w14:paraId="0B2B7C33">
      <w:pPr>
        <w:bidi w:val="0"/>
        <w:jc w:val="center"/>
        <w:outlineLvl w:val="9"/>
        <w:rPr>
          <w:rFonts w:hint="eastAsia" w:ascii="仿宋" w:hAnsi="仿宋" w:eastAsia="仿宋" w:cs="仿宋"/>
          <w:sz w:val="24"/>
          <w:szCs w:val="24"/>
        </w:rPr>
      </w:pPr>
      <w:r>
        <w:rPr>
          <w:rFonts w:hint="eastAsia" w:ascii="仿宋" w:hAnsi="仿宋" w:eastAsia="仿宋" w:cs="仿宋"/>
          <w:sz w:val="24"/>
          <w:szCs w:val="24"/>
        </w:rPr>
        <w:t>关于印发中小企业划型标准规定的通知</w:t>
      </w:r>
    </w:p>
    <w:p w14:paraId="41591454">
      <w:pPr>
        <w:pStyle w:val="34"/>
        <w:jc w:val="center"/>
        <w:outlineLvl w:val="9"/>
        <w:rPr>
          <w:rFonts w:hint="eastAsia" w:ascii="仿宋" w:hAnsi="仿宋" w:eastAsia="仿宋" w:cs="仿宋"/>
          <w:sz w:val="24"/>
          <w:szCs w:val="24"/>
        </w:rPr>
      </w:pPr>
      <w:r>
        <w:rPr>
          <w:rFonts w:hint="eastAsia" w:ascii="仿宋" w:hAnsi="仿宋" w:eastAsia="仿宋" w:cs="仿宋"/>
          <w:sz w:val="24"/>
          <w:szCs w:val="24"/>
        </w:rPr>
        <w:t>工信部联企业〔2011〕300号</w:t>
      </w:r>
    </w:p>
    <w:p w14:paraId="4F6E2BB6">
      <w:pPr>
        <w:pStyle w:val="34"/>
        <w:outlineLvl w:val="9"/>
        <w:rPr>
          <w:rFonts w:hint="eastAsia" w:ascii="仿宋" w:hAnsi="仿宋" w:eastAsia="仿宋" w:cs="仿宋"/>
          <w:sz w:val="24"/>
          <w:szCs w:val="24"/>
        </w:rPr>
      </w:pPr>
      <w:r>
        <w:rPr>
          <w:rFonts w:hint="eastAsia" w:ascii="仿宋" w:hAnsi="仿宋" w:eastAsia="仿宋" w:cs="仿宋"/>
          <w:sz w:val="24"/>
          <w:szCs w:val="24"/>
        </w:rPr>
        <w:t>各省、 自治区、直辖市人民政府，国务院各部委、各直属机构及有关单位：</w:t>
      </w:r>
    </w:p>
    <w:p w14:paraId="72CC0B94">
      <w:pPr>
        <w:pStyle w:val="34"/>
        <w:outlineLvl w:val="9"/>
        <w:rPr>
          <w:rFonts w:hint="eastAsia" w:ascii="仿宋" w:hAnsi="仿宋" w:eastAsia="仿宋" w:cs="仿宋"/>
          <w:sz w:val="24"/>
          <w:szCs w:val="24"/>
        </w:rPr>
      </w:pPr>
      <w:r>
        <w:rPr>
          <w:rFonts w:hint="eastAsia" w:ascii="仿宋" w:hAnsi="仿宋" w:eastAsia="仿宋" w:cs="仿宋"/>
          <w:sz w:val="24"/>
          <w:szCs w:val="24"/>
        </w:rPr>
        <w:t>为贯彻落实《中华人民共和国中小企业促进法》和《国务院关于进一步促进中小企业发展的若干意见》 （国发〔2009〕36号），工业和信息化部、国家统计局、发展改革委、财政部研究制定了《中小企业划型标准规定》。经国务院同意，现印发给你们，请遵照执行。</w:t>
      </w:r>
    </w:p>
    <w:p w14:paraId="5669F6AC">
      <w:pPr>
        <w:pStyle w:val="34"/>
        <w:ind w:firstLine="4677" w:firstLineChars="0"/>
        <w:jc w:val="both"/>
        <w:outlineLvl w:val="9"/>
        <w:rPr>
          <w:rFonts w:hint="eastAsia" w:ascii="仿宋" w:hAnsi="仿宋" w:eastAsia="仿宋" w:cs="仿宋"/>
          <w:sz w:val="24"/>
          <w:szCs w:val="24"/>
        </w:rPr>
      </w:pPr>
      <w:r>
        <w:rPr>
          <w:rFonts w:hint="eastAsia" w:ascii="仿宋" w:hAnsi="仿宋" w:eastAsia="仿宋" w:cs="仿宋"/>
          <w:sz w:val="24"/>
          <w:szCs w:val="24"/>
        </w:rPr>
        <w:t>工业和信息化部  国家统计局</w:t>
      </w:r>
    </w:p>
    <w:p w14:paraId="665FF72E">
      <w:pPr>
        <w:pStyle w:val="34"/>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国家发展和改革委员会  财政部</w:t>
      </w:r>
    </w:p>
    <w:p w14:paraId="0CAC144B">
      <w:pPr>
        <w:pStyle w:val="34"/>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二○一一年六月十八日</w:t>
      </w:r>
    </w:p>
    <w:p w14:paraId="46DF8822">
      <w:pPr>
        <w:bidi w:val="0"/>
        <w:jc w:val="center"/>
        <w:outlineLvl w:val="9"/>
        <w:rPr>
          <w:rFonts w:hint="eastAsia" w:ascii="仿宋" w:hAnsi="仿宋" w:eastAsia="仿宋" w:cs="仿宋"/>
          <w:sz w:val="24"/>
          <w:szCs w:val="24"/>
        </w:rPr>
      </w:pPr>
      <w:r>
        <w:rPr>
          <w:rFonts w:hint="eastAsia" w:ascii="仿宋" w:hAnsi="仿宋" w:eastAsia="仿宋" w:cs="仿宋"/>
          <w:sz w:val="24"/>
          <w:szCs w:val="24"/>
        </w:rPr>
        <w:t>中小企业划型标准规定</w:t>
      </w:r>
    </w:p>
    <w:p w14:paraId="0EEF22DB">
      <w:pPr>
        <w:pStyle w:val="34"/>
        <w:outlineLvl w:val="9"/>
        <w:rPr>
          <w:rFonts w:hint="eastAsia" w:ascii="仿宋" w:hAnsi="仿宋" w:eastAsia="仿宋" w:cs="仿宋"/>
          <w:sz w:val="24"/>
          <w:szCs w:val="24"/>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14:paraId="64FDE863">
      <w:pPr>
        <w:pStyle w:val="34"/>
        <w:outlineLvl w:val="9"/>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100EB4B8">
      <w:pPr>
        <w:pStyle w:val="34"/>
        <w:outlineLvl w:val="9"/>
        <w:rPr>
          <w:rFonts w:hint="eastAsia" w:ascii="仿宋" w:hAnsi="仿宋" w:eastAsia="仿宋" w:cs="仿宋"/>
          <w:sz w:val="24"/>
          <w:szCs w:val="24"/>
        </w:rPr>
      </w:pPr>
      <w:r>
        <w:rPr>
          <w:rFonts w:hint="eastAsia" w:ascii="仿宋" w:hAnsi="仿宋" w:eastAsia="仿宋" w:cs="仿宋"/>
          <w:sz w:val="24"/>
          <w:szCs w:val="24"/>
        </w:rPr>
        <w:t>三、本规定适用的行业包括：农、林、牧、渔业，工业（包括采矿业，制造业，电力、热力、燃气及水 生产和供应业），建筑业，批发业，零售业，交通运输业（不含铁路运输业），仓储业，邮政业，住宿业， 餐饮业，信息传输业（包括电信、互联网和相关服务），软件和信息技术服务业，房地产开发经营，物业 管理，租赁和商务服务业，其他未列明行业（包括科学研究和技术服务业，水利、环境和公共设施管理业，居民服务、修理和其他服务业，社会工作，文化、体育和娱乐业等）。</w:t>
      </w:r>
    </w:p>
    <w:p w14:paraId="61EE817C">
      <w:pPr>
        <w:pStyle w:val="34"/>
        <w:outlineLvl w:val="9"/>
        <w:rPr>
          <w:rFonts w:hint="eastAsia" w:ascii="仿宋" w:hAnsi="仿宋" w:eastAsia="仿宋" w:cs="仿宋"/>
          <w:sz w:val="24"/>
          <w:szCs w:val="24"/>
        </w:rPr>
      </w:pPr>
      <w:r>
        <w:rPr>
          <w:rFonts w:hint="eastAsia" w:ascii="仿宋" w:hAnsi="仿宋" w:eastAsia="仿宋" w:cs="仿宋"/>
          <w:sz w:val="24"/>
          <w:szCs w:val="24"/>
        </w:rPr>
        <w:t>四、各行业划型标准为：</w:t>
      </w:r>
    </w:p>
    <w:p w14:paraId="07BC2CDB">
      <w:pPr>
        <w:pStyle w:val="34"/>
        <w:outlineLvl w:val="9"/>
        <w:rPr>
          <w:rFonts w:hint="eastAsia" w:ascii="仿宋" w:hAnsi="仿宋" w:eastAsia="仿宋" w:cs="仿宋"/>
          <w:sz w:val="24"/>
          <w:szCs w:val="24"/>
        </w:rPr>
      </w:pPr>
      <w:r>
        <w:rPr>
          <w:rFonts w:hint="eastAsia" w:ascii="仿宋" w:hAnsi="仿宋" w:eastAsia="仿宋" w:cs="仿宋"/>
          <w:sz w:val="24"/>
          <w:szCs w:val="24"/>
        </w:rPr>
        <w:t>（一）农、林、牧、渔业。营业收入20000万元以下的为中小微型企业。其中，营业收入500万元及以上的为中型企业，营业收入50万元及以上的为小型企业，营业收入50万元以下的为微型企业。</w:t>
      </w:r>
    </w:p>
    <w:p w14:paraId="14763797">
      <w:pPr>
        <w:pStyle w:val="34"/>
        <w:outlineLvl w:val="9"/>
        <w:rPr>
          <w:rFonts w:hint="eastAsia" w:ascii="仿宋" w:hAnsi="仿宋" w:eastAsia="仿宋" w:cs="仿宋"/>
          <w:sz w:val="24"/>
          <w:szCs w:val="24"/>
        </w:rPr>
      </w:pPr>
      <w:r>
        <w:rPr>
          <w:rFonts w:hint="eastAsia" w:ascii="仿宋" w:hAnsi="仿宋" w:eastAsia="仿宋" w:cs="仿宋"/>
          <w:sz w:val="24"/>
          <w:szCs w:val="24"/>
        </w:rPr>
        <w:t>（二）工业。从业人员1000人以下或营业收入40000万元以下的为中小微型企业。其中，从业人员300 人及以上，且营业收入2000万元及以上的为中型企业；从业人员20人及以上，且营业收入300万元及以上的为小型企业；从业人员20人以下或营业收入300万元以下的为微型企业。</w:t>
      </w:r>
    </w:p>
    <w:p w14:paraId="364E0E54">
      <w:pPr>
        <w:pStyle w:val="34"/>
        <w:outlineLvl w:val="9"/>
        <w:rPr>
          <w:rFonts w:hint="eastAsia" w:ascii="仿宋" w:hAnsi="仿宋" w:eastAsia="仿宋" w:cs="仿宋"/>
          <w:sz w:val="24"/>
          <w:szCs w:val="24"/>
        </w:rPr>
      </w:pPr>
      <w:r>
        <w:rPr>
          <w:rFonts w:hint="eastAsia" w:ascii="仿宋" w:hAnsi="仿宋" w:eastAsia="仿宋" w:cs="仿宋"/>
          <w:sz w:val="24"/>
          <w:szCs w:val="24"/>
        </w:rPr>
        <w:t>（三）建筑业。营业收入80000万元以下或资产总额80000万元以下的为中小微型企业。其中，营业收入 6000万元及以上，且资产总额5000万元及以上的为中型企业；营业收入300万元及以上，且资产总额300万元及以上的为小型企业；营业收入300万元以下或资产总额300万元以下的为微型企业。</w:t>
      </w:r>
    </w:p>
    <w:p w14:paraId="69125D69">
      <w:pPr>
        <w:pStyle w:val="34"/>
        <w:outlineLvl w:val="9"/>
        <w:rPr>
          <w:rFonts w:hint="eastAsia" w:ascii="仿宋" w:hAnsi="仿宋" w:eastAsia="仿宋" w:cs="仿宋"/>
          <w:sz w:val="24"/>
          <w:szCs w:val="24"/>
        </w:rPr>
      </w:pPr>
      <w:r>
        <w:rPr>
          <w:rFonts w:hint="eastAsia" w:ascii="仿宋" w:hAnsi="仿宋" w:eastAsia="仿宋" w:cs="仿宋"/>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E3C2B3">
      <w:pPr>
        <w:pStyle w:val="34"/>
        <w:outlineLvl w:val="9"/>
        <w:rPr>
          <w:rFonts w:hint="eastAsia" w:ascii="仿宋" w:hAnsi="仿宋" w:eastAsia="仿宋" w:cs="仿宋"/>
          <w:sz w:val="24"/>
          <w:szCs w:val="24"/>
        </w:rPr>
      </w:pPr>
      <w:r>
        <w:rPr>
          <w:rFonts w:hint="eastAsia" w:ascii="仿宋" w:hAnsi="仿宋" w:eastAsia="仿宋" w:cs="仿宋"/>
          <w:sz w:val="24"/>
          <w:szCs w:val="24"/>
        </w:rPr>
        <w:t>（五）零售业。从业人员300人以下或营业收入20000万元以下的为中小微型企业。其中，从业人员50 人及以上，且营业收入500万元及以上的为中型企业；从业人员10人及以上，且营业收入100万元及以上的为小型企业；从业人员10人以下或营业收入100万元以下的为微型企业。</w:t>
      </w:r>
    </w:p>
    <w:p w14:paraId="657B9CE9">
      <w:pPr>
        <w:pStyle w:val="34"/>
        <w:outlineLvl w:val="9"/>
        <w:rPr>
          <w:rFonts w:hint="eastAsia" w:ascii="仿宋" w:hAnsi="仿宋" w:eastAsia="仿宋" w:cs="仿宋"/>
          <w:sz w:val="24"/>
          <w:szCs w:val="24"/>
        </w:rPr>
      </w:pPr>
      <w:r>
        <w:rPr>
          <w:rFonts w:hint="eastAsia" w:ascii="仿宋" w:hAnsi="仿宋" w:eastAsia="仿宋" w:cs="仿宋"/>
          <w:sz w:val="24"/>
          <w:szCs w:val="24"/>
        </w:rPr>
        <w:t>（六）交通运输业。从业人员1000人以下或营业收入30000万元以下的为中小微型企业。其中，从业人 员300人及以上，且营业收入3000万元及以上的为中型企业；从业人员20人及以上，且营业收入200万元及以上的为小型企业；从业人员20人以下或营业收入200万元以下的为微型企业。</w:t>
      </w:r>
    </w:p>
    <w:p w14:paraId="5CA58C44">
      <w:pPr>
        <w:pStyle w:val="34"/>
        <w:outlineLvl w:val="9"/>
        <w:rPr>
          <w:rFonts w:hint="eastAsia" w:ascii="仿宋" w:hAnsi="仿宋" w:eastAsia="仿宋" w:cs="仿宋"/>
          <w:sz w:val="24"/>
          <w:szCs w:val="24"/>
        </w:rPr>
      </w:pPr>
      <w:r>
        <w:rPr>
          <w:rFonts w:hint="eastAsia" w:ascii="仿宋" w:hAnsi="仿宋" w:eastAsia="仿宋" w:cs="仿宋"/>
          <w:sz w:val="24"/>
          <w:szCs w:val="24"/>
        </w:rPr>
        <w:t>（七）仓储业。从业人员200人以下或营业收入30000万元以下的为中小微型企业。其中，从业人员100 人及以上，且营业收入1000万元及以上的为中型企业；从业人员20人及以上，且营业收入100万元及以上的为小型企业；从业人员20人以下或营业收入100万元以下的为微型企业。</w:t>
      </w:r>
    </w:p>
    <w:p w14:paraId="1F48A8C5">
      <w:pPr>
        <w:pStyle w:val="34"/>
        <w:outlineLvl w:val="9"/>
        <w:rPr>
          <w:rFonts w:hint="eastAsia" w:ascii="仿宋" w:hAnsi="仿宋" w:eastAsia="仿宋" w:cs="仿宋"/>
          <w:sz w:val="24"/>
          <w:szCs w:val="24"/>
        </w:rPr>
      </w:pPr>
      <w:r>
        <w:rPr>
          <w:rFonts w:hint="eastAsia" w:ascii="仿宋" w:hAnsi="仿宋" w:eastAsia="仿宋" w:cs="仿宋"/>
          <w:sz w:val="24"/>
          <w:szCs w:val="24"/>
        </w:rPr>
        <w:t>（八）邮政业。从业人员1000人以下或营业收入30000万元以下的为中小微型企业。其中，从业人员300 人及以上，且营业收入2000万元及以上的为中型企业；从业人员20人及以上，且营业收入100万元及以上的为小型企业；从业人员20人以下或营业收入100万元以下的为微型企业。</w:t>
      </w:r>
    </w:p>
    <w:p w14:paraId="7E8DA54F">
      <w:pPr>
        <w:pStyle w:val="34"/>
        <w:outlineLvl w:val="9"/>
        <w:rPr>
          <w:rFonts w:hint="eastAsia" w:ascii="仿宋" w:hAnsi="仿宋" w:eastAsia="仿宋" w:cs="仿宋"/>
          <w:sz w:val="24"/>
          <w:szCs w:val="24"/>
        </w:rPr>
      </w:pPr>
      <w:r>
        <w:rPr>
          <w:rFonts w:hint="eastAsia" w:ascii="仿宋" w:hAnsi="仿宋" w:eastAsia="仿宋" w:cs="仿宋"/>
          <w:sz w:val="24"/>
          <w:szCs w:val="24"/>
        </w:rPr>
        <w:t>（九）住宿业。从业人员300人以下或营业收入10000万元以下的为中小微型企业。其中，从业人员100 人及以上，且营业收入2000万元及以上的为中型企业；从业人员10人及以上，且营业收入100万元及以上的为小型企业；从业人员10人以下或营业收入100万元以下的为微型企业。</w:t>
      </w:r>
    </w:p>
    <w:p w14:paraId="1353A604">
      <w:pPr>
        <w:pStyle w:val="34"/>
        <w:outlineLvl w:val="9"/>
        <w:rPr>
          <w:rFonts w:hint="eastAsia" w:ascii="仿宋" w:hAnsi="仿宋" w:eastAsia="仿宋" w:cs="仿宋"/>
          <w:sz w:val="24"/>
          <w:szCs w:val="24"/>
        </w:rPr>
      </w:pPr>
      <w:r>
        <w:rPr>
          <w:rFonts w:hint="eastAsia" w:ascii="仿宋" w:hAnsi="仿宋" w:eastAsia="仿宋" w:cs="仿宋"/>
          <w:sz w:val="24"/>
          <w:szCs w:val="24"/>
        </w:rPr>
        <w:t>（十）餐饮业。从业人员300人以下或营业收入10000万元以下的为中小微型企业。其中，从业人员100 人及以上，且营业收入2000万元及以上的为中型企业；从业人员10人及以上，且营业收入100万元及以上的为小型企业；从业人员10人以下或营业收入100万元以下的为微型企业。</w:t>
      </w:r>
    </w:p>
    <w:p w14:paraId="3EF64B97">
      <w:pPr>
        <w:pStyle w:val="34"/>
        <w:outlineLvl w:val="9"/>
        <w:rPr>
          <w:rFonts w:hint="eastAsia" w:ascii="仿宋" w:hAnsi="仿宋" w:eastAsia="仿宋" w:cs="仿宋"/>
          <w:sz w:val="24"/>
          <w:szCs w:val="24"/>
        </w:rPr>
      </w:pPr>
      <w:r>
        <w:rPr>
          <w:rFonts w:hint="eastAsia" w:ascii="仿宋" w:hAnsi="仿宋" w:eastAsia="仿宋" w:cs="仿宋"/>
          <w:sz w:val="24"/>
          <w:szCs w:val="24"/>
        </w:rPr>
        <w:t>（十一）信息传输业。从业人员2000人以下或营业收入100000万元以下的为中小微型企业。其中，从业 人员100人及以上，且营业收入1000万元及以上的为中型企业；从业人员10人及以上，且营业收入100万元</w:t>
      </w:r>
    </w:p>
    <w:p w14:paraId="4AB40EFA">
      <w:pPr>
        <w:pStyle w:val="34"/>
        <w:outlineLvl w:val="9"/>
        <w:rPr>
          <w:rFonts w:hint="eastAsia" w:ascii="仿宋" w:hAnsi="仿宋" w:eastAsia="仿宋" w:cs="仿宋"/>
          <w:sz w:val="24"/>
          <w:szCs w:val="24"/>
        </w:rPr>
      </w:pPr>
      <w:r>
        <w:rPr>
          <w:rFonts w:hint="eastAsia" w:ascii="仿宋" w:hAnsi="仿宋" w:eastAsia="仿宋" w:cs="仿宋"/>
          <w:sz w:val="24"/>
          <w:szCs w:val="24"/>
        </w:rPr>
        <w:t>及以上的为小型企业；从业人员10人以下或营业收入100万元以下的为微型企业。</w:t>
      </w:r>
    </w:p>
    <w:p w14:paraId="10028AB3">
      <w:pPr>
        <w:pStyle w:val="34"/>
        <w:outlineLvl w:val="9"/>
        <w:rPr>
          <w:rFonts w:hint="eastAsia" w:ascii="仿宋" w:hAnsi="仿宋" w:eastAsia="仿宋" w:cs="仿宋"/>
          <w:sz w:val="24"/>
          <w:szCs w:val="24"/>
        </w:rPr>
      </w:pPr>
      <w:r>
        <w:rPr>
          <w:rFonts w:hint="eastAsia" w:ascii="仿宋" w:hAnsi="仿宋" w:eastAsia="仿宋" w:cs="仿宋"/>
          <w:sz w:val="24"/>
          <w:szCs w:val="24"/>
        </w:rPr>
        <w:t>（十二）软件和信息技术服务业。从业人员300人以下或营业收入10000万元以下的为中小微型企业。其 中，从业人员100人及以上，且营业收入1000万元及以上的为中型企业；从业人员10人及以上，且营业收入50万元及以上的为小型企业；从业人员10人以下或营业收入50万元以下的为微型企业。</w:t>
      </w:r>
    </w:p>
    <w:p w14:paraId="7F0CBE8E">
      <w:pPr>
        <w:pStyle w:val="34"/>
        <w:outlineLvl w:val="9"/>
        <w:rPr>
          <w:rFonts w:hint="eastAsia" w:ascii="仿宋" w:hAnsi="仿宋" w:eastAsia="仿宋" w:cs="仿宋"/>
          <w:sz w:val="24"/>
          <w:szCs w:val="24"/>
        </w:rPr>
      </w:pPr>
      <w:r>
        <w:rPr>
          <w:rFonts w:hint="eastAsia" w:ascii="仿宋" w:hAnsi="仿宋" w:eastAsia="仿宋" w:cs="仿宋"/>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BF8EC6">
      <w:pPr>
        <w:pStyle w:val="34"/>
        <w:outlineLvl w:val="9"/>
        <w:rPr>
          <w:rFonts w:hint="eastAsia" w:ascii="仿宋" w:hAnsi="仿宋" w:eastAsia="仿宋" w:cs="仿宋"/>
          <w:sz w:val="24"/>
          <w:szCs w:val="24"/>
        </w:rPr>
      </w:pPr>
      <w:r>
        <w:rPr>
          <w:rFonts w:hint="eastAsia" w:ascii="仿宋" w:hAnsi="仿宋" w:eastAsia="仿宋" w:cs="仿宋"/>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F6B241">
      <w:pPr>
        <w:pStyle w:val="34"/>
        <w:outlineLvl w:val="9"/>
        <w:rPr>
          <w:rFonts w:hint="eastAsia" w:ascii="仿宋" w:hAnsi="仿宋" w:eastAsia="仿宋" w:cs="仿宋"/>
          <w:sz w:val="24"/>
          <w:szCs w:val="24"/>
        </w:rPr>
      </w:pPr>
      <w:r>
        <w:rPr>
          <w:rFonts w:hint="eastAsia" w:ascii="仿宋" w:hAnsi="仿宋" w:eastAsia="仿宋" w:cs="仿宋"/>
          <w:sz w:val="24"/>
          <w:szCs w:val="24"/>
        </w:rPr>
        <w:t>（十五）租赁和商务服务业。从业人员300人以下或资产总额120000万元以下的为中小微型企业。其中， 从业人员100人及以上，且资产总额8000万元及以上的为中型企业；从业人员10人及以上，且资产总额100万元及以上的为小型企业；从业人员10人以下或资产总额100万元以下的为微型企业。</w:t>
      </w:r>
    </w:p>
    <w:p w14:paraId="5678230C">
      <w:pPr>
        <w:pStyle w:val="34"/>
        <w:outlineLvl w:val="9"/>
        <w:rPr>
          <w:rFonts w:hint="eastAsia" w:ascii="仿宋" w:hAnsi="仿宋" w:eastAsia="仿宋" w:cs="仿宋"/>
          <w:sz w:val="24"/>
          <w:szCs w:val="24"/>
        </w:rPr>
      </w:pPr>
      <w:r>
        <w:rPr>
          <w:rFonts w:hint="eastAsia" w:ascii="仿宋" w:hAnsi="仿宋" w:eastAsia="仿宋" w:cs="仿宋"/>
          <w:sz w:val="24"/>
          <w:szCs w:val="24"/>
        </w:rPr>
        <w:t>（十六）其他未列明行业。从业人员300人以下的为中小微型企业。其中，从业人员100人及以上的为中型企业；从业人员10人及以上的为小型企业；从业人员10人以下的为微型企业。</w:t>
      </w:r>
    </w:p>
    <w:p w14:paraId="674EEF13">
      <w:pPr>
        <w:pStyle w:val="34"/>
        <w:outlineLvl w:val="9"/>
        <w:rPr>
          <w:rFonts w:hint="eastAsia" w:ascii="仿宋" w:hAnsi="仿宋" w:eastAsia="仿宋" w:cs="仿宋"/>
          <w:sz w:val="24"/>
          <w:szCs w:val="24"/>
        </w:rPr>
      </w:pPr>
      <w:r>
        <w:rPr>
          <w:rFonts w:hint="eastAsia" w:ascii="仿宋" w:hAnsi="仿宋" w:eastAsia="仿宋" w:cs="仿宋"/>
          <w:sz w:val="24"/>
          <w:szCs w:val="24"/>
        </w:rPr>
        <w:t>五、企业类型的划分以统计部门的统计数据为依据。</w:t>
      </w:r>
    </w:p>
    <w:p w14:paraId="78499DEF">
      <w:pPr>
        <w:pStyle w:val="34"/>
        <w:outlineLvl w:val="9"/>
        <w:rPr>
          <w:rFonts w:hint="eastAsia" w:ascii="仿宋" w:hAnsi="仿宋" w:eastAsia="仿宋" w:cs="仿宋"/>
          <w:sz w:val="24"/>
          <w:szCs w:val="24"/>
        </w:rPr>
      </w:pPr>
      <w:r>
        <w:rPr>
          <w:rFonts w:hint="eastAsia" w:ascii="仿宋" w:hAnsi="仿宋" w:eastAsia="仿宋" w:cs="仿宋"/>
          <w:sz w:val="24"/>
          <w:szCs w:val="24"/>
        </w:rPr>
        <w:t>六、本规定适用于在中华人民共和国境内依法设立的各类所有制和各种组织形式的企业。个体工商户和本规定以外的行业，参照本规定进行划型。</w:t>
      </w:r>
    </w:p>
    <w:p w14:paraId="209414F0">
      <w:pPr>
        <w:pStyle w:val="34"/>
        <w:outlineLvl w:val="9"/>
        <w:rPr>
          <w:rFonts w:hint="eastAsia" w:ascii="仿宋" w:hAnsi="仿宋" w:eastAsia="仿宋" w:cs="仿宋"/>
          <w:sz w:val="24"/>
          <w:szCs w:val="24"/>
        </w:rPr>
      </w:pPr>
      <w:r>
        <w:rPr>
          <w:rFonts w:hint="eastAsia" w:ascii="仿宋" w:hAnsi="仿宋" w:eastAsia="仿宋" w:cs="仿宋"/>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26AAB775">
      <w:pPr>
        <w:pStyle w:val="34"/>
        <w:outlineLvl w:val="9"/>
        <w:rPr>
          <w:rFonts w:hint="eastAsia" w:ascii="仿宋" w:hAnsi="仿宋" w:eastAsia="仿宋" w:cs="仿宋"/>
          <w:sz w:val="24"/>
          <w:szCs w:val="24"/>
        </w:rPr>
      </w:pPr>
      <w:r>
        <w:rPr>
          <w:rFonts w:hint="eastAsia" w:ascii="仿宋" w:hAnsi="仿宋" w:eastAsia="仿宋" w:cs="仿宋"/>
          <w:sz w:val="24"/>
          <w:szCs w:val="24"/>
        </w:rPr>
        <w:t>八、本规定由工业和信息化部、国家统计局会同有关部门根据《国民经济行业分类》修订情况和企业发展变化情况适时修订。</w:t>
      </w:r>
    </w:p>
    <w:p w14:paraId="1DAD4C5F">
      <w:pPr>
        <w:pStyle w:val="34"/>
        <w:outlineLvl w:val="9"/>
        <w:rPr>
          <w:rFonts w:hint="eastAsia" w:ascii="仿宋" w:hAnsi="仿宋" w:eastAsia="仿宋" w:cs="仿宋"/>
          <w:sz w:val="24"/>
          <w:szCs w:val="24"/>
        </w:rPr>
      </w:pPr>
      <w:r>
        <w:rPr>
          <w:rFonts w:hint="eastAsia" w:ascii="仿宋" w:hAnsi="仿宋" w:eastAsia="仿宋" w:cs="仿宋"/>
          <w:sz w:val="24"/>
          <w:szCs w:val="24"/>
        </w:rPr>
        <w:t>九、本规定由工业和信息化部、国家统计局会同有关部门负责解释。</w:t>
      </w:r>
    </w:p>
    <w:p w14:paraId="55257687">
      <w:pPr>
        <w:pStyle w:val="34"/>
        <w:outlineLvl w:val="9"/>
        <w:rPr>
          <w:rFonts w:hint="eastAsia" w:ascii="仿宋" w:hAnsi="仿宋" w:eastAsia="仿宋" w:cs="仿宋"/>
          <w:sz w:val="24"/>
          <w:szCs w:val="24"/>
        </w:rPr>
      </w:pPr>
      <w:r>
        <w:rPr>
          <w:rFonts w:hint="eastAsia" w:ascii="仿宋" w:hAnsi="仿宋" w:eastAsia="仿宋" w:cs="仿宋"/>
          <w:sz w:val="24"/>
          <w:szCs w:val="24"/>
        </w:rPr>
        <w:t>十、本规定自发布之日起执行，原国家经贸委、原国家计委、财政部和国家统计局2003年颁布的《中小企业标准暂行规定》同时废止。</w:t>
      </w:r>
    </w:p>
    <w:p w14:paraId="3565F3AB">
      <w:pPr>
        <w:pStyle w:val="34"/>
        <w:outlineLvl w:val="9"/>
        <w:rPr>
          <w:rFonts w:hint="eastAsia" w:ascii="仿宋" w:hAnsi="仿宋" w:eastAsia="仿宋" w:cs="仿宋"/>
          <w:sz w:val="24"/>
          <w:szCs w:val="24"/>
        </w:rPr>
      </w:pPr>
    </w:p>
    <w:p w14:paraId="2DBD0C81">
      <w:pPr>
        <w:pStyle w:val="34"/>
        <w:outlineLvl w:val="9"/>
        <w:rPr>
          <w:rFonts w:hint="eastAsia" w:ascii="仿宋" w:hAnsi="仿宋" w:eastAsia="仿宋" w:cs="仿宋"/>
          <w:sz w:val="24"/>
          <w:szCs w:val="24"/>
        </w:rPr>
      </w:pPr>
    </w:p>
    <w:p w14:paraId="2C17958F">
      <w:pPr>
        <w:pStyle w:val="34"/>
        <w:outlineLvl w:val="9"/>
        <w:rPr>
          <w:rFonts w:hint="eastAsia" w:ascii="仿宋" w:hAnsi="仿宋" w:eastAsia="仿宋" w:cs="仿宋"/>
          <w:sz w:val="24"/>
          <w:szCs w:val="24"/>
        </w:rPr>
      </w:pPr>
    </w:p>
    <w:p w14:paraId="3A006534">
      <w:pPr>
        <w:pStyle w:val="34"/>
        <w:outlineLvl w:val="9"/>
        <w:rPr>
          <w:rFonts w:hint="eastAsia" w:ascii="仿宋" w:hAnsi="仿宋" w:eastAsia="仿宋" w:cs="仿宋"/>
          <w:sz w:val="24"/>
          <w:szCs w:val="24"/>
        </w:rPr>
      </w:pPr>
    </w:p>
    <w:p w14:paraId="36C6A0D3">
      <w:pPr>
        <w:pStyle w:val="34"/>
        <w:outlineLvl w:val="9"/>
        <w:rPr>
          <w:rFonts w:hint="eastAsia" w:ascii="仿宋" w:hAnsi="仿宋" w:eastAsia="仿宋" w:cs="仿宋"/>
          <w:sz w:val="24"/>
          <w:szCs w:val="24"/>
        </w:rPr>
      </w:pPr>
    </w:p>
    <w:sectPr>
      <w:pgSz w:w="11905" w:h="16838"/>
      <w:pgMar w:top="1440" w:right="1134" w:bottom="1440" w:left="1134" w:header="850"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27E8F8C-0693-4A58-BFF3-7E6EDCBBA5A9}"/>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2FC8958E-F9C8-4856-880F-C7CAE2B6DF2B}"/>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92727074-1757-498C-8249-D7161AA763EF}"/>
  </w:font>
  <w:font w:name="微软雅黑">
    <w:panose1 w:val="020B0503020204020204"/>
    <w:charset w:val="86"/>
    <w:family w:val="auto"/>
    <w:pitch w:val="default"/>
    <w:sig w:usb0="80000287" w:usb1="280F3C52" w:usb2="00000016" w:usb3="00000000" w:csb0="0004001F" w:csb1="00000000"/>
    <w:embedRegular r:id="rId4" w:fontKey="{7EB00708-98E5-49A6-A499-A6A47F38FC43}"/>
  </w:font>
  <w:font w:name="方正仿宋_GB2312">
    <w:panose1 w:val="02000000000000000000"/>
    <w:charset w:val="86"/>
    <w:family w:val="auto"/>
    <w:pitch w:val="default"/>
    <w:sig w:usb0="A00002BF" w:usb1="184F6CFA" w:usb2="00000012" w:usb3="00000000" w:csb0="00040001" w:csb1="00000000"/>
    <w:embedRegular r:id="rId5" w:fontKey="{2EC23781-5704-4E6C-9A5E-7E01E60C2D3D}"/>
  </w:font>
  <w:font w:name="浠垮畫">
    <w:altName w:val="Segoe Print"/>
    <w:panose1 w:val="00000000000000000000"/>
    <w:charset w:val="00"/>
    <w:family w:val="auto"/>
    <w:pitch w:val="default"/>
    <w:sig w:usb0="00000000" w:usb1="00000000" w:usb2="00000000" w:usb3="00000000" w:csb0="00000000" w:csb1="00000000"/>
    <w:embedRegular r:id="rId6" w:fontKey="{8D29BACB-C368-48D9-AB27-9E4F4E84337F}"/>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8322">
    <w:pPr>
      <w:pStyle w:val="18"/>
      <w:rPr>
        <w:rFonts w:hint="default" w:eastAsia="仿宋"/>
        <w:lang w:val="en-US" w:eastAsia="zh-CN"/>
      </w:rPr>
    </w:pPr>
    <w:r>
      <w:rPr>
        <w:rFonts w:hint="eastAsia" w:ascii="仿宋" w:hAnsi="仿宋" w:eastAsia="仿宋" w:cs="仿宋"/>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7A7A">
    <w:pPr>
      <w:pStyle w:val="18"/>
      <w:rPr>
        <w:rFonts w:hint="eastAsia"/>
        <w:lang w:eastAsia="zh-CN"/>
      </w:rPr>
    </w:pPr>
    <w:r>
      <w:rPr>
        <w:rFonts w:hint="eastAsia" w:ascii="仿宋" w:hAnsi="仿宋" w:eastAsia="仿宋" w:cs="仿宋"/>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6676">
    <w:pPr>
      <w:pStyle w:val="18"/>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5A19">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CB5A19">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 w:hAnsi="仿宋" w:eastAsia="仿宋" w:cs="仿宋"/>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7024">
    <w:pPr>
      <w:pStyle w:val="18"/>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FEA0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AFEA0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B9CB">
    <w:pPr>
      <w:pStyle w:val="19"/>
      <w:pBdr>
        <w:bottom w:val="none" w:color="auto" w:sz="0" w:space="0"/>
      </w:pBdr>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185C">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F80D6"/>
    <w:multiLevelType w:val="singleLevel"/>
    <w:tmpl w:val="BD8F80D6"/>
    <w:lvl w:ilvl="0" w:tentative="0">
      <w:start w:val="1"/>
      <w:numFmt w:val="decimal"/>
      <w:lvlText w:val="%1."/>
      <w:lvlJc w:val="left"/>
      <w:pPr>
        <w:tabs>
          <w:tab w:val="left" w:pos="312"/>
        </w:tabs>
      </w:pPr>
    </w:lvl>
  </w:abstractNum>
  <w:abstractNum w:abstractNumId="1">
    <w:nsid w:val="C4B50850"/>
    <w:multiLevelType w:val="singleLevel"/>
    <w:tmpl w:val="C4B50850"/>
    <w:lvl w:ilvl="0" w:tentative="0">
      <w:start w:val="1"/>
      <w:numFmt w:val="chineseCounting"/>
      <w:suff w:val="nothing"/>
      <w:lvlText w:val="%1、"/>
      <w:lvlJc w:val="left"/>
      <w:rPr>
        <w:rFonts w:hint="eastAsia"/>
      </w:rPr>
    </w:lvl>
  </w:abstractNum>
  <w:abstractNum w:abstractNumId="2">
    <w:nsid w:val="DDE750F9"/>
    <w:multiLevelType w:val="singleLevel"/>
    <w:tmpl w:val="DDE750F9"/>
    <w:lvl w:ilvl="0" w:tentative="0">
      <w:start w:val="2"/>
      <w:numFmt w:val="decimal"/>
      <w:suff w:val="nothing"/>
      <w:lvlText w:val="%1、"/>
      <w:lvlJc w:val="left"/>
    </w:lvl>
  </w:abstractNum>
  <w:abstractNum w:abstractNumId="3">
    <w:nsid w:val="E3E0D5AD"/>
    <w:multiLevelType w:val="singleLevel"/>
    <w:tmpl w:val="E3E0D5AD"/>
    <w:lvl w:ilvl="0" w:tentative="0">
      <w:start w:val="1"/>
      <w:numFmt w:val="decimal"/>
      <w:suff w:val="nothing"/>
      <w:lvlText w:val="%1、"/>
      <w:lvlJc w:val="left"/>
    </w:lvl>
  </w:abstractNum>
  <w:abstractNum w:abstractNumId="4">
    <w:nsid w:val="FA10A2BA"/>
    <w:multiLevelType w:val="singleLevel"/>
    <w:tmpl w:val="FA10A2BA"/>
    <w:lvl w:ilvl="0" w:tentative="0">
      <w:start w:val="8"/>
      <w:numFmt w:val="decimal"/>
      <w:suff w:val="nothing"/>
      <w:lvlText w:val="（%1）"/>
      <w:lvlJc w:val="left"/>
    </w:lvl>
  </w:abstractNum>
  <w:abstractNum w:abstractNumId="5">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5C09B39"/>
    <w:multiLevelType w:val="singleLevel"/>
    <w:tmpl w:val="05C09B39"/>
    <w:lvl w:ilvl="0" w:tentative="0">
      <w:start w:val="1"/>
      <w:numFmt w:val="decimal"/>
      <w:lvlText w:val="%1."/>
      <w:lvlJc w:val="left"/>
      <w:pPr>
        <w:tabs>
          <w:tab w:val="left" w:pos="312"/>
        </w:tabs>
      </w:p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1F881F30"/>
    <w:multiLevelType w:val="singleLevel"/>
    <w:tmpl w:val="1F881F30"/>
    <w:lvl w:ilvl="0" w:tentative="0">
      <w:start w:val="1"/>
      <w:numFmt w:val="chineseCounting"/>
      <w:suff w:val="nothing"/>
      <w:lvlText w:val="%1、"/>
      <w:lvlJc w:val="left"/>
      <w:rPr>
        <w:rFonts w:hint="eastAsia"/>
      </w:rPr>
    </w:lvl>
  </w:abstractNum>
  <w:abstractNum w:abstractNumId="9">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0">
    <w:nsid w:val="2D141879"/>
    <w:multiLevelType w:val="multilevel"/>
    <w:tmpl w:val="2D141879"/>
    <w:lvl w:ilvl="0" w:tentative="0">
      <w:start w:val="1"/>
      <w:numFmt w:val="japaneseCounting"/>
      <w:lvlText w:val="第%1章"/>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55CD4C99"/>
    <w:multiLevelType w:val="singleLevel"/>
    <w:tmpl w:val="55CD4C99"/>
    <w:lvl w:ilvl="0" w:tentative="0">
      <w:start w:val="1"/>
      <w:numFmt w:val="chineseCounting"/>
      <w:suff w:val="nothing"/>
      <w:lvlText w:val="%1、"/>
      <w:lvlJc w:val="left"/>
    </w:lvl>
  </w:abstractNum>
  <w:abstractNum w:abstractNumId="13">
    <w:nsid w:val="59F62843"/>
    <w:multiLevelType w:val="singleLevel"/>
    <w:tmpl w:val="59F62843"/>
    <w:lvl w:ilvl="0" w:tentative="0">
      <w:start w:val="1"/>
      <w:numFmt w:val="chineseCounting"/>
      <w:suff w:val="nothing"/>
      <w:lvlText w:val="%1、"/>
      <w:lvlJc w:val="left"/>
      <w:rPr>
        <w:rFonts w:hint="eastAsia"/>
      </w:rPr>
    </w:lvl>
  </w:abstractNum>
  <w:abstractNum w:abstractNumId="14">
    <w:nsid w:val="6CBB172B"/>
    <w:multiLevelType w:val="singleLevel"/>
    <w:tmpl w:val="6CBB172B"/>
    <w:lvl w:ilvl="0" w:tentative="0">
      <w:start w:val="2"/>
      <w:numFmt w:val="decimal"/>
      <w:suff w:val="nothing"/>
      <w:lvlText w:val="%1、"/>
      <w:lvlJc w:val="left"/>
    </w:lvl>
  </w:abstractNum>
  <w:abstractNum w:abstractNumId="15">
    <w:nsid w:val="6CEBB6B7"/>
    <w:multiLevelType w:val="singleLevel"/>
    <w:tmpl w:val="6CEBB6B7"/>
    <w:lvl w:ilvl="0" w:tentative="0">
      <w:start w:val="1"/>
      <w:numFmt w:val="decimal"/>
      <w:suff w:val="nothing"/>
      <w:lvlText w:val="（%1）"/>
      <w:lvlJc w:val="left"/>
    </w:lvl>
  </w:abstractNum>
  <w:abstractNum w:abstractNumId="1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7">
    <w:nsid w:val="79BA9CB9"/>
    <w:multiLevelType w:val="singleLevel"/>
    <w:tmpl w:val="79BA9CB9"/>
    <w:lvl w:ilvl="0" w:tentative="0">
      <w:start w:val="2"/>
      <w:numFmt w:val="decimal"/>
      <w:lvlText w:val="%1."/>
      <w:lvlJc w:val="left"/>
      <w:pPr>
        <w:tabs>
          <w:tab w:val="left" w:pos="312"/>
        </w:tabs>
      </w:pPr>
    </w:lvl>
  </w:abstractNum>
  <w:num w:numId="1">
    <w:abstractNumId w:val="9"/>
  </w:num>
  <w:num w:numId="2">
    <w:abstractNumId w:val="11"/>
  </w:num>
  <w:num w:numId="3">
    <w:abstractNumId w:val="10"/>
  </w:num>
  <w:num w:numId="4">
    <w:abstractNumId w:val="3"/>
  </w:num>
  <w:num w:numId="5">
    <w:abstractNumId w:val="12"/>
  </w:num>
  <w:num w:numId="6">
    <w:abstractNumId w:val="7"/>
  </w:num>
  <w:num w:numId="7">
    <w:abstractNumId w:val="16"/>
  </w:num>
  <w:num w:numId="8">
    <w:abstractNumId w:val="14"/>
  </w:num>
  <w:num w:numId="9">
    <w:abstractNumId w:val="4"/>
  </w:num>
  <w:num w:numId="10">
    <w:abstractNumId w:val="6"/>
  </w:num>
  <w:num w:numId="11">
    <w:abstractNumId w:val="2"/>
  </w:num>
  <w:num w:numId="12">
    <w:abstractNumId w:val="1"/>
  </w:num>
  <w:num w:numId="13">
    <w:abstractNumId w:val="0"/>
  </w:num>
  <w:num w:numId="14">
    <w:abstractNumId w:val="8"/>
  </w:num>
  <w:num w:numId="15">
    <w:abstractNumId w:val="13"/>
  </w:num>
  <w:num w:numId="16">
    <w:abstractNumId w:val="15"/>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DQxMTZlZGQyMGI1NzY0NmI5MTVkYTBiMTEwZjgifQ=="/>
    <w:docVar w:name="KSO_WPS_MARK_KEY" w:val="03747186-a302-49b2-a261-a14b54d0569f"/>
  </w:docVars>
  <w:rsids>
    <w:rsidRoot w:val="00172A27"/>
    <w:rsid w:val="010158D6"/>
    <w:rsid w:val="01327B99"/>
    <w:rsid w:val="01C354F2"/>
    <w:rsid w:val="02D45050"/>
    <w:rsid w:val="02EE59E6"/>
    <w:rsid w:val="03EC4962"/>
    <w:rsid w:val="04032E6E"/>
    <w:rsid w:val="040E11C5"/>
    <w:rsid w:val="044F0E9E"/>
    <w:rsid w:val="04F010A0"/>
    <w:rsid w:val="04F226EC"/>
    <w:rsid w:val="05253855"/>
    <w:rsid w:val="05490FE9"/>
    <w:rsid w:val="056D353A"/>
    <w:rsid w:val="05867917"/>
    <w:rsid w:val="05917228"/>
    <w:rsid w:val="05E83530"/>
    <w:rsid w:val="06064832"/>
    <w:rsid w:val="060C1C50"/>
    <w:rsid w:val="063A352E"/>
    <w:rsid w:val="06693D01"/>
    <w:rsid w:val="06AC5687"/>
    <w:rsid w:val="0725531D"/>
    <w:rsid w:val="07801CD6"/>
    <w:rsid w:val="079B0C4E"/>
    <w:rsid w:val="079C288F"/>
    <w:rsid w:val="07B3647C"/>
    <w:rsid w:val="07C8440D"/>
    <w:rsid w:val="07D826C8"/>
    <w:rsid w:val="08DD0890"/>
    <w:rsid w:val="09093F69"/>
    <w:rsid w:val="0A2A3A2B"/>
    <w:rsid w:val="0AC361F0"/>
    <w:rsid w:val="0B107647"/>
    <w:rsid w:val="0BCB69C4"/>
    <w:rsid w:val="0BD51E39"/>
    <w:rsid w:val="0C0A3890"/>
    <w:rsid w:val="0D006A41"/>
    <w:rsid w:val="0D24268D"/>
    <w:rsid w:val="0E1719BA"/>
    <w:rsid w:val="0E375095"/>
    <w:rsid w:val="0E6D6D4A"/>
    <w:rsid w:val="0ECA07E3"/>
    <w:rsid w:val="0ED836E9"/>
    <w:rsid w:val="101244CA"/>
    <w:rsid w:val="1044217D"/>
    <w:rsid w:val="10BD5436"/>
    <w:rsid w:val="10C97166"/>
    <w:rsid w:val="112B115F"/>
    <w:rsid w:val="119C4F6A"/>
    <w:rsid w:val="11A8125C"/>
    <w:rsid w:val="11C61128"/>
    <w:rsid w:val="12AC54E8"/>
    <w:rsid w:val="12CD1ABC"/>
    <w:rsid w:val="12F11306"/>
    <w:rsid w:val="138058C5"/>
    <w:rsid w:val="13A23A73"/>
    <w:rsid w:val="13AA7707"/>
    <w:rsid w:val="13FF2AD2"/>
    <w:rsid w:val="144325A1"/>
    <w:rsid w:val="14912EE7"/>
    <w:rsid w:val="14D338F2"/>
    <w:rsid w:val="15684AD3"/>
    <w:rsid w:val="16170BB6"/>
    <w:rsid w:val="164B504B"/>
    <w:rsid w:val="172F664A"/>
    <w:rsid w:val="175645CF"/>
    <w:rsid w:val="177C3D8C"/>
    <w:rsid w:val="17A55830"/>
    <w:rsid w:val="17BC6C1B"/>
    <w:rsid w:val="17E440FF"/>
    <w:rsid w:val="18407B66"/>
    <w:rsid w:val="186407CC"/>
    <w:rsid w:val="18A84B5D"/>
    <w:rsid w:val="18DB277B"/>
    <w:rsid w:val="19523C79"/>
    <w:rsid w:val="19C079FD"/>
    <w:rsid w:val="19C15ED8"/>
    <w:rsid w:val="19C374C4"/>
    <w:rsid w:val="19E16500"/>
    <w:rsid w:val="1A376230"/>
    <w:rsid w:val="1A520256"/>
    <w:rsid w:val="1AE80F94"/>
    <w:rsid w:val="1B2A4CA2"/>
    <w:rsid w:val="1B7332A8"/>
    <w:rsid w:val="1B805FB7"/>
    <w:rsid w:val="1BD40560"/>
    <w:rsid w:val="1BFA34D7"/>
    <w:rsid w:val="1C5E346D"/>
    <w:rsid w:val="1DF20628"/>
    <w:rsid w:val="1E165182"/>
    <w:rsid w:val="1E545C24"/>
    <w:rsid w:val="1F5F584A"/>
    <w:rsid w:val="1F7F7C9A"/>
    <w:rsid w:val="1FD004F5"/>
    <w:rsid w:val="1FD41F09"/>
    <w:rsid w:val="207307E2"/>
    <w:rsid w:val="208539D6"/>
    <w:rsid w:val="20CB545F"/>
    <w:rsid w:val="20DB5A47"/>
    <w:rsid w:val="220432DD"/>
    <w:rsid w:val="222554A2"/>
    <w:rsid w:val="22C6230F"/>
    <w:rsid w:val="231017D9"/>
    <w:rsid w:val="23732D21"/>
    <w:rsid w:val="23D1730F"/>
    <w:rsid w:val="23D74548"/>
    <w:rsid w:val="23F7134F"/>
    <w:rsid w:val="24390D5F"/>
    <w:rsid w:val="24430B37"/>
    <w:rsid w:val="2458678B"/>
    <w:rsid w:val="24831FDA"/>
    <w:rsid w:val="24A30B90"/>
    <w:rsid w:val="24BC2AEF"/>
    <w:rsid w:val="25254322"/>
    <w:rsid w:val="25691D8E"/>
    <w:rsid w:val="25D55C6F"/>
    <w:rsid w:val="26546994"/>
    <w:rsid w:val="2655519A"/>
    <w:rsid w:val="267C3185"/>
    <w:rsid w:val="27171432"/>
    <w:rsid w:val="27320D0E"/>
    <w:rsid w:val="274912B9"/>
    <w:rsid w:val="27C109B3"/>
    <w:rsid w:val="27DA4607"/>
    <w:rsid w:val="27E62FAC"/>
    <w:rsid w:val="27F267C0"/>
    <w:rsid w:val="28035854"/>
    <w:rsid w:val="283D53C4"/>
    <w:rsid w:val="28675FB2"/>
    <w:rsid w:val="2868232A"/>
    <w:rsid w:val="288F180D"/>
    <w:rsid w:val="29AC5AE1"/>
    <w:rsid w:val="29C02826"/>
    <w:rsid w:val="29FF0355"/>
    <w:rsid w:val="2A483F71"/>
    <w:rsid w:val="2A81612B"/>
    <w:rsid w:val="2AAF3B29"/>
    <w:rsid w:val="2AE13A38"/>
    <w:rsid w:val="2AE46DF1"/>
    <w:rsid w:val="2B65068C"/>
    <w:rsid w:val="2B6B4498"/>
    <w:rsid w:val="2B9436C5"/>
    <w:rsid w:val="2BD3015A"/>
    <w:rsid w:val="2BD915B6"/>
    <w:rsid w:val="2C64029F"/>
    <w:rsid w:val="2CBF201D"/>
    <w:rsid w:val="2D0C5751"/>
    <w:rsid w:val="2D324036"/>
    <w:rsid w:val="2D4800E9"/>
    <w:rsid w:val="2D77229D"/>
    <w:rsid w:val="2DB11C3F"/>
    <w:rsid w:val="2DD9645D"/>
    <w:rsid w:val="2E586286"/>
    <w:rsid w:val="2E741B8E"/>
    <w:rsid w:val="2EA15D7F"/>
    <w:rsid w:val="2EFB43DC"/>
    <w:rsid w:val="2F030B1A"/>
    <w:rsid w:val="2F484480"/>
    <w:rsid w:val="2F5C7D72"/>
    <w:rsid w:val="2F7A5E33"/>
    <w:rsid w:val="2FA06136"/>
    <w:rsid w:val="308D4B1B"/>
    <w:rsid w:val="309F1F4A"/>
    <w:rsid w:val="310D76A6"/>
    <w:rsid w:val="310F5713"/>
    <w:rsid w:val="313D4203"/>
    <w:rsid w:val="31822544"/>
    <w:rsid w:val="3198766B"/>
    <w:rsid w:val="31A517E2"/>
    <w:rsid w:val="31BA392E"/>
    <w:rsid w:val="32725375"/>
    <w:rsid w:val="32954484"/>
    <w:rsid w:val="32AB14CA"/>
    <w:rsid w:val="3328091C"/>
    <w:rsid w:val="3348146A"/>
    <w:rsid w:val="337B4962"/>
    <w:rsid w:val="34157E83"/>
    <w:rsid w:val="347831DE"/>
    <w:rsid w:val="34784F8C"/>
    <w:rsid w:val="34B33581"/>
    <w:rsid w:val="34D025FE"/>
    <w:rsid w:val="35C83CF1"/>
    <w:rsid w:val="35D733CF"/>
    <w:rsid w:val="35EA7AEE"/>
    <w:rsid w:val="35F31AC7"/>
    <w:rsid w:val="36900ECC"/>
    <w:rsid w:val="36DB4F13"/>
    <w:rsid w:val="379B6B5B"/>
    <w:rsid w:val="37E1553E"/>
    <w:rsid w:val="38726E23"/>
    <w:rsid w:val="388B4E57"/>
    <w:rsid w:val="38945AA5"/>
    <w:rsid w:val="38D770AB"/>
    <w:rsid w:val="399A59A4"/>
    <w:rsid w:val="3A286AC5"/>
    <w:rsid w:val="3ADB6274"/>
    <w:rsid w:val="3B173B1A"/>
    <w:rsid w:val="3B3C00E8"/>
    <w:rsid w:val="3B81080D"/>
    <w:rsid w:val="3B822AFA"/>
    <w:rsid w:val="3BF70E8C"/>
    <w:rsid w:val="3C1919F7"/>
    <w:rsid w:val="3C4C12C3"/>
    <w:rsid w:val="3C610C93"/>
    <w:rsid w:val="3C99108F"/>
    <w:rsid w:val="3CA86A1E"/>
    <w:rsid w:val="3CA9418F"/>
    <w:rsid w:val="3DA84130"/>
    <w:rsid w:val="3DB65DB6"/>
    <w:rsid w:val="3E946E66"/>
    <w:rsid w:val="3F2D10BA"/>
    <w:rsid w:val="3F9A095C"/>
    <w:rsid w:val="40627819"/>
    <w:rsid w:val="409B6CE3"/>
    <w:rsid w:val="40D95004"/>
    <w:rsid w:val="417137CD"/>
    <w:rsid w:val="41BE49B6"/>
    <w:rsid w:val="421F738E"/>
    <w:rsid w:val="423A41C8"/>
    <w:rsid w:val="42406D71"/>
    <w:rsid w:val="43071864"/>
    <w:rsid w:val="43D23F8D"/>
    <w:rsid w:val="43D9531B"/>
    <w:rsid w:val="44550B09"/>
    <w:rsid w:val="45D41901"/>
    <w:rsid w:val="45F47D4A"/>
    <w:rsid w:val="46FE2F4F"/>
    <w:rsid w:val="477E7882"/>
    <w:rsid w:val="48052B82"/>
    <w:rsid w:val="48F0367F"/>
    <w:rsid w:val="48F0738F"/>
    <w:rsid w:val="49E028D5"/>
    <w:rsid w:val="4ACB1AFE"/>
    <w:rsid w:val="4ADF4DE7"/>
    <w:rsid w:val="4B432DC8"/>
    <w:rsid w:val="4B672EA8"/>
    <w:rsid w:val="4B92472D"/>
    <w:rsid w:val="4B9D69B1"/>
    <w:rsid w:val="4BA707F0"/>
    <w:rsid w:val="4BEE549A"/>
    <w:rsid w:val="4C5E03C8"/>
    <w:rsid w:val="4C6C10FB"/>
    <w:rsid w:val="4C747BF3"/>
    <w:rsid w:val="4D97595C"/>
    <w:rsid w:val="4E26582F"/>
    <w:rsid w:val="4E647011"/>
    <w:rsid w:val="4EB3158A"/>
    <w:rsid w:val="4F487502"/>
    <w:rsid w:val="4FBB47C0"/>
    <w:rsid w:val="50222910"/>
    <w:rsid w:val="50265A4C"/>
    <w:rsid w:val="50680152"/>
    <w:rsid w:val="518E51FF"/>
    <w:rsid w:val="51C64316"/>
    <w:rsid w:val="51D64F27"/>
    <w:rsid w:val="51E25CEA"/>
    <w:rsid w:val="52CB6777"/>
    <w:rsid w:val="534E7AD3"/>
    <w:rsid w:val="536C692D"/>
    <w:rsid w:val="53BB1F92"/>
    <w:rsid w:val="53DC54DD"/>
    <w:rsid w:val="542A6AD6"/>
    <w:rsid w:val="543D28DC"/>
    <w:rsid w:val="546B25F3"/>
    <w:rsid w:val="54951E7E"/>
    <w:rsid w:val="54990FED"/>
    <w:rsid w:val="54B43F17"/>
    <w:rsid w:val="55683319"/>
    <w:rsid w:val="55F72D4A"/>
    <w:rsid w:val="565F71E3"/>
    <w:rsid w:val="56FF51E9"/>
    <w:rsid w:val="570D51C0"/>
    <w:rsid w:val="571C57F3"/>
    <w:rsid w:val="572D5140"/>
    <w:rsid w:val="57442480"/>
    <w:rsid w:val="5747605C"/>
    <w:rsid w:val="57630E03"/>
    <w:rsid w:val="57920D10"/>
    <w:rsid w:val="57A03DE3"/>
    <w:rsid w:val="588B0268"/>
    <w:rsid w:val="58B24661"/>
    <w:rsid w:val="5975412E"/>
    <w:rsid w:val="59906EE9"/>
    <w:rsid w:val="59AD2BAD"/>
    <w:rsid w:val="59FB66A9"/>
    <w:rsid w:val="5A554DDA"/>
    <w:rsid w:val="5A6000EC"/>
    <w:rsid w:val="5B0F5966"/>
    <w:rsid w:val="5B2F2E53"/>
    <w:rsid w:val="5B7E1FEB"/>
    <w:rsid w:val="5BAB5601"/>
    <w:rsid w:val="5BB756FD"/>
    <w:rsid w:val="5BC361AC"/>
    <w:rsid w:val="5CB32755"/>
    <w:rsid w:val="5CE14522"/>
    <w:rsid w:val="5CE729A6"/>
    <w:rsid w:val="5CE86C24"/>
    <w:rsid w:val="5DDA4DDD"/>
    <w:rsid w:val="5DF4016E"/>
    <w:rsid w:val="5E7C004B"/>
    <w:rsid w:val="5EB26634"/>
    <w:rsid w:val="5ECB4020"/>
    <w:rsid w:val="5F864A2F"/>
    <w:rsid w:val="5FBF40EC"/>
    <w:rsid w:val="602049B3"/>
    <w:rsid w:val="6085193D"/>
    <w:rsid w:val="60AB70E3"/>
    <w:rsid w:val="60AE3960"/>
    <w:rsid w:val="60C45483"/>
    <w:rsid w:val="60E87497"/>
    <w:rsid w:val="619A26C7"/>
    <w:rsid w:val="61BB7070"/>
    <w:rsid w:val="62173643"/>
    <w:rsid w:val="621845B9"/>
    <w:rsid w:val="629B37A0"/>
    <w:rsid w:val="62F37D50"/>
    <w:rsid w:val="639B7F4D"/>
    <w:rsid w:val="63B21C06"/>
    <w:rsid w:val="643D5A4D"/>
    <w:rsid w:val="643E42DC"/>
    <w:rsid w:val="64BD32BE"/>
    <w:rsid w:val="650E208B"/>
    <w:rsid w:val="65177DE9"/>
    <w:rsid w:val="65202952"/>
    <w:rsid w:val="652D5987"/>
    <w:rsid w:val="657D6542"/>
    <w:rsid w:val="66340443"/>
    <w:rsid w:val="668A0942"/>
    <w:rsid w:val="66995C09"/>
    <w:rsid w:val="67123D11"/>
    <w:rsid w:val="6786252D"/>
    <w:rsid w:val="678B17D2"/>
    <w:rsid w:val="682E6542"/>
    <w:rsid w:val="68EF3960"/>
    <w:rsid w:val="69340DD7"/>
    <w:rsid w:val="6988387B"/>
    <w:rsid w:val="69B13D56"/>
    <w:rsid w:val="6A3C1FDC"/>
    <w:rsid w:val="6AD70024"/>
    <w:rsid w:val="6B125F02"/>
    <w:rsid w:val="6BB35AC5"/>
    <w:rsid w:val="6BBE46B8"/>
    <w:rsid w:val="6BD12BF8"/>
    <w:rsid w:val="6C236997"/>
    <w:rsid w:val="6C867BD4"/>
    <w:rsid w:val="6CB34146"/>
    <w:rsid w:val="6D423B36"/>
    <w:rsid w:val="6E3841A6"/>
    <w:rsid w:val="6E550B20"/>
    <w:rsid w:val="6ECB392F"/>
    <w:rsid w:val="6ED76777"/>
    <w:rsid w:val="6F4656AB"/>
    <w:rsid w:val="6F711419"/>
    <w:rsid w:val="6F8F32B1"/>
    <w:rsid w:val="705E2D5A"/>
    <w:rsid w:val="71505BAD"/>
    <w:rsid w:val="7169742F"/>
    <w:rsid w:val="718129CA"/>
    <w:rsid w:val="71D4382A"/>
    <w:rsid w:val="7204157B"/>
    <w:rsid w:val="72682B35"/>
    <w:rsid w:val="729E25B1"/>
    <w:rsid w:val="72B131D8"/>
    <w:rsid w:val="738467A2"/>
    <w:rsid w:val="73AC7AA8"/>
    <w:rsid w:val="73D03E43"/>
    <w:rsid w:val="74462307"/>
    <w:rsid w:val="749C7959"/>
    <w:rsid w:val="74E7348C"/>
    <w:rsid w:val="755E3A4D"/>
    <w:rsid w:val="757C5983"/>
    <w:rsid w:val="75A3275B"/>
    <w:rsid w:val="75B1647F"/>
    <w:rsid w:val="75BA46FD"/>
    <w:rsid w:val="764F0D34"/>
    <w:rsid w:val="765A64A9"/>
    <w:rsid w:val="768A19E6"/>
    <w:rsid w:val="76A12BF1"/>
    <w:rsid w:val="76B16BF0"/>
    <w:rsid w:val="76F74037"/>
    <w:rsid w:val="76FF4ABD"/>
    <w:rsid w:val="770A4E23"/>
    <w:rsid w:val="775128C5"/>
    <w:rsid w:val="7783749C"/>
    <w:rsid w:val="77AE21D8"/>
    <w:rsid w:val="77E02406"/>
    <w:rsid w:val="77F35E45"/>
    <w:rsid w:val="783A5645"/>
    <w:rsid w:val="783E31D8"/>
    <w:rsid w:val="78500B8A"/>
    <w:rsid w:val="791365FE"/>
    <w:rsid w:val="79BC25FE"/>
    <w:rsid w:val="7AC00E3C"/>
    <w:rsid w:val="7AD04711"/>
    <w:rsid w:val="7AEA338E"/>
    <w:rsid w:val="7AFD57B8"/>
    <w:rsid w:val="7B101C3B"/>
    <w:rsid w:val="7C0D12FC"/>
    <w:rsid w:val="7C66738C"/>
    <w:rsid w:val="7D760FAA"/>
    <w:rsid w:val="7D9D0B8C"/>
    <w:rsid w:val="7E7F0292"/>
    <w:rsid w:val="7EA128FE"/>
    <w:rsid w:val="7F1C410C"/>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autoRedefine/>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customStyle="1" w:styleId="4">
    <w:name w:val="报告正文"/>
    <w:basedOn w:val="1"/>
    <w:autoRedefine/>
    <w:qFormat/>
    <w:uiPriority w:val="0"/>
    <w:pPr>
      <w:spacing w:line="560" w:lineRule="exact"/>
      <w:ind w:firstLine="200" w:firstLineChars="200"/>
    </w:pPr>
    <w:rPr>
      <w:rFonts w:eastAsia="仿宋_GB2312" w:cs="宋体"/>
      <w:sz w:val="28"/>
    </w:rPr>
  </w:style>
  <w:style w:type="paragraph" w:styleId="8">
    <w:name w:val="Normal Indent"/>
    <w:basedOn w:val="1"/>
    <w:next w:val="9"/>
    <w:autoRedefine/>
    <w:qFormat/>
    <w:uiPriority w:val="0"/>
    <w:pPr>
      <w:adjustRightInd w:val="0"/>
      <w:spacing w:line="360" w:lineRule="atLeast"/>
      <w:ind w:firstLine="482"/>
      <w:textAlignment w:val="baseline"/>
    </w:pPr>
    <w:rPr>
      <w:kern w:val="0"/>
      <w:sz w:val="24"/>
      <w:szCs w:val="20"/>
    </w:rPr>
  </w:style>
  <w:style w:type="paragraph" w:styleId="9">
    <w:name w:val="toa heading"/>
    <w:basedOn w:val="1"/>
    <w:next w:val="1"/>
    <w:qFormat/>
    <w:uiPriority w:val="0"/>
    <w:pPr>
      <w:spacing w:before="120"/>
    </w:pPr>
    <w:rPr>
      <w:rFonts w:ascii="Cambria" w:hAnsi="Cambria"/>
      <w:szCs w:val="20"/>
    </w:rPr>
  </w:style>
  <w:style w:type="paragraph" w:styleId="10">
    <w:name w:val="Body Text"/>
    <w:basedOn w:val="1"/>
    <w:next w:val="11"/>
    <w:autoRedefine/>
    <w:qFormat/>
    <w:uiPriority w:val="0"/>
    <w:pPr>
      <w:spacing w:after="120"/>
    </w:pPr>
  </w:style>
  <w:style w:type="paragraph" w:customStyle="1" w:styleId="11">
    <w:name w:val="_Style 2"/>
    <w:basedOn w:val="1"/>
    <w:next w:val="1"/>
    <w:autoRedefine/>
    <w:qFormat/>
    <w:uiPriority w:val="0"/>
    <w:pPr>
      <w:ind w:firstLine="200" w:firstLineChars="200"/>
    </w:pPr>
    <w:rPr>
      <w:rFonts w:ascii="Calibri" w:hAnsi="Calibri"/>
      <w:sz w:val="28"/>
      <w:szCs w:val="22"/>
    </w:rPr>
  </w:style>
  <w:style w:type="paragraph" w:styleId="12">
    <w:name w:val="Body Text Indent"/>
    <w:basedOn w:val="1"/>
    <w:next w:val="13"/>
    <w:autoRedefine/>
    <w:qFormat/>
    <w:uiPriority w:val="0"/>
    <w:pPr>
      <w:spacing w:after="120"/>
      <w:ind w:left="200" w:leftChars="200"/>
    </w:pPr>
  </w:style>
  <w:style w:type="paragraph" w:styleId="13">
    <w:name w:val="Body Text First Indent 2"/>
    <w:basedOn w:val="12"/>
    <w:next w:val="1"/>
    <w:qFormat/>
    <w:uiPriority w:val="0"/>
    <w:pPr>
      <w:ind w:firstLine="420" w:firstLineChars="200"/>
    </w:pPr>
  </w:style>
  <w:style w:type="paragraph" w:styleId="14">
    <w:name w:val="toc 5"/>
    <w:basedOn w:val="1"/>
    <w:next w:val="1"/>
    <w:autoRedefine/>
    <w:qFormat/>
    <w:uiPriority w:val="0"/>
    <w:pPr>
      <w:ind w:left="1680" w:leftChars="800"/>
    </w:pPr>
  </w:style>
  <w:style w:type="paragraph" w:styleId="15">
    <w:name w:val="toc 3"/>
    <w:basedOn w:val="1"/>
    <w:next w:val="1"/>
    <w:qFormat/>
    <w:uiPriority w:val="0"/>
    <w:pPr>
      <w:ind w:left="840" w:leftChars="400"/>
    </w:pPr>
  </w:style>
  <w:style w:type="paragraph" w:styleId="16">
    <w:name w:val="Plain Text"/>
    <w:basedOn w:val="1"/>
    <w:next w:val="17"/>
    <w:autoRedefine/>
    <w:qFormat/>
    <w:uiPriority w:val="0"/>
    <w:rPr>
      <w:rFonts w:ascii="宋体"/>
      <w:color w:val="000000"/>
      <w:szCs w:val="20"/>
      <w:u w:val="none" w:color="000000"/>
    </w:rPr>
  </w:style>
  <w:style w:type="paragraph" w:styleId="17">
    <w:name w:val="index 7"/>
    <w:basedOn w:val="1"/>
    <w:next w:val="1"/>
    <w:autoRedefine/>
    <w:qFormat/>
    <w:uiPriority w:val="0"/>
    <w:pPr>
      <w:autoSpaceDE/>
      <w:autoSpaceDN/>
      <w:adjustRightInd/>
      <w:ind w:left="1200" w:leftChars="1200"/>
    </w:pPr>
    <w:rPr>
      <w:color w:val="auto"/>
      <w:kern w:val="2"/>
      <w:szCs w:val="24"/>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footnote text"/>
    <w:basedOn w:val="1"/>
    <w:autoRedefine/>
    <w:semiHidden/>
    <w:unhideWhenUsed/>
    <w:qFormat/>
    <w:uiPriority w:val="99"/>
    <w:pPr>
      <w:snapToGrid w:val="0"/>
    </w:pPr>
    <w:rPr>
      <w:sz w:val="18"/>
      <w:szCs w:val="18"/>
    </w:rPr>
  </w:style>
  <w:style w:type="paragraph" w:styleId="22">
    <w:name w:val="toc 2"/>
    <w:basedOn w:val="1"/>
    <w:next w:val="1"/>
    <w:autoRedefine/>
    <w:qFormat/>
    <w:uiPriority w:val="39"/>
    <w:pPr>
      <w:ind w:left="200" w:leftChars="200"/>
    </w:pPr>
  </w:style>
  <w:style w:type="paragraph" w:styleId="23">
    <w:name w:val="Body Text 2"/>
    <w:basedOn w:val="1"/>
    <w:autoRedefine/>
    <w:qFormat/>
    <w:uiPriority w:val="0"/>
    <w:pPr>
      <w:tabs>
        <w:tab w:val="left" w:pos="0"/>
      </w:tabs>
      <w:spacing w:line="400" w:lineRule="atLeast"/>
    </w:pPr>
    <w:rPr>
      <w:rFonts w:ascii="Arial" w:hAnsi="Arial"/>
      <w:color w:val="000000"/>
    </w:rPr>
  </w:style>
  <w:style w:type="paragraph" w:styleId="24">
    <w:name w:val="Normal (Web)"/>
    <w:basedOn w:val="1"/>
    <w:next w:val="25"/>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basedOn w:val="28"/>
    <w:autoRedefine/>
    <w:qFormat/>
    <w:uiPriority w:val="99"/>
    <w:rPr>
      <w:color w:val="0000FF"/>
      <w:u w:val="single"/>
    </w:rPr>
  </w:style>
  <w:style w:type="character" w:styleId="32">
    <w:name w:val="HTML Sample"/>
    <w:basedOn w:val="28"/>
    <w:autoRedefine/>
    <w:qFormat/>
    <w:uiPriority w:val="0"/>
    <w:rPr>
      <w:rFonts w:ascii="Courier New" w:hAnsi="Courier New"/>
    </w:rPr>
  </w:style>
  <w:style w:type="paragraph" w:customStyle="1" w:styleId="33">
    <w:name w:val="正文缩进1"/>
    <w:basedOn w:val="1"/>
    <w:autoRedefine/>
    <w:unhideWhenUsed/>
    <w:qFormat/>
    <w:uiPriority w:val="0"/>
    <w:pPr>
      <w:ind w:firstLine="420"/>
    </w:pPr>
    <w:rPr>
      <w:rFonts w:ascii="Calibri" w:hAnsi="Calibri" w:eastAsia="宋体" w:cs="Times New Roman"/>
    </w:rPr>
  </w:style>
  <w:style w:type="paragraph" w:customStyle="1" w:styleId="34">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5">
    <w:name w:val="标题 5（有编号）（绿盟科技）"/>
    <w:basedOn w:val="1"/>
    <w:next w:val="36"/>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7">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9">
    <w:name w:val="图例"/>
    <w:basedOn w:val="1"/>
    <w:autoRedefine/>
    <w:qFormat/>
    <w:uiPriority w:val="0"/>
    <w:pPr>
      <w:spacing w:before="120" w:beforeLines="0" w:after="120" w:afterLines="0" w:line="360" w:lineRule="auto"/>
      <w:jc w:val="center"/>
    </w:pPr>
    <w:rPr>
      <w:rFonts w:eastAsia="仿宋_GB2312"/>
      <w:b/>
      <w:sz w:val="24"/>
    </w:rPr>
  </w:style>
  <w:style w:type="paragraph" w:customStyle="1" w:styleId="40">
    <w:name w:val="样式 左侧:  0 厘米 悬挂缩进: 2.5 字符"/>
    <w:basedOn w:val="1"/>
    <w:autoRedefine/>
    <w:qFormat/>
    <w:uiPriority w:val="0"/>
    <w:pPr>
      <w:ind w:left="525" w:hanging="525" w:hangingChars="250"/>
    </w:pPr>
    <w:rPr>
      <w:szCs w:val="20"/>
    </w:rPr>
  </w:style>
  <w:style w:type="paragraph" w:styleId="41">
    <w:name w:val="List Paragraph"/>
    <w:basedOn w:val="1"/>
    <w:autoRedefine/>
    <w:qFormat/>
    <w:uiPriority w:val="0"/>
    <w:pPr>
      <w:spacing w:line="360" w:lineRule="auto"/>
      <w:ind w:firstLine="420" w:firstLineChars="200"/>
    </w:pPr>
    <w:rPr>
      <w:rFonts w:ascii="宋体" w:hAnsi="宋体" w:cs="宋体"/>
      <w:sz w:val="24"/>
    </w:rPr>
  </w:style>
  <w:style w:type="paragraph" w:customStyle="1" w:styleId="42">
    <w:name w:val="WPS Plain"/>
    <w:autoRedefine/>
    <w:qFormat/>
    <w:uiPriority w:val="0"/>
    <w:rPr>
      <w:rFonts w:ascii="Times New Roman" w:hAnsi="Times New Roman" w:eastAsia="宋体" w:cs="Times New Roman"/>
      <w:lang w:val="en-US" w:eastAsia="zh-CN" w:bidi="ar-SA"/>
    </w:rPr>
  </w:style>
  <w:style w:type="paragraph" w:customStyle="1" w:styleId="43">
    <w:name w:val="列表段落1"/>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44">
    <w:name w:val="列出段落2"/>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45">
    <w:name w:val="Table Text"/>
    <w:basedOn w:val="1"/>
    <w:autoRedefine/>
    <w:semiHidden/>
    <w:qFormat/>
    <w:uiPriority w:val="0"/>
    <w:rPr>
      <w:rFonts w:ascii="宋体" w:hAnsi="宋体" w:eastAsia="宋体" w:cs="宋体"/>
      <w:sz w:val="24"/>
      <w:szCs w:val="24"/>
      <w:lang w:val="en-US" w:eastAsia="en-US"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character" w:customStyle="1" w:styleId="47">
    <w:name w:val="NormalCharacter"/>
    <w:autoRedefine/>
    <w:semiHidden/>
    <w:qFormat/>
    <w:uiPriority w:val="0"/>
  </w:style>
  <w:style w:type="character" w:customStyle="1" w:styleId="48">
    <w:name w:val="文档结构图 字符1"/>
    <w:basedOn w:val="28"/>
    <w:autoRedefine/>
    <w:qFormat/>
    <w:uiPriority w:val="0"/>
    <w:rPr>
      <w:rFonts w:ascii="Microsoft YaHei UI" w:eastAsia="Microsoft YaHei UI"/>
      <w:kern w:val="2"/>
      <w:sz w:val="18"/>
      <w:szCs w:val="18"/>
    </w:rPr>
  </w:style>
  <w:style w:type="paragraph" w:customStyle="1" w:styleId="49">
    <w:name w:val="Table Paragraph"/>
    <w:basedOn w:val="1"/>
    <w:autoRedefine/>
    <w:qFormat/>
    <w:uiPriority w:val="1"/>
    <w:pPr>
      <w:autoSpaceDE w:val="0"/>
      <w:autoSpaceDN w:val="0"/>
      <w:adjustRightInd w:val="0"/>
    </w:pPr>
    <w:rPr>
      <w:rFonts w:eastAsia="宋体"/>
    </w:rPr>
  </w:style>
  <w:style w:type="character" w:customStyle="1" w:styleId="50">
    <w:name w:val="引用 字符1"/>
    <w:basedOn w:val="28"/>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paragraph" w:customStyle="1" w:styleId="51">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52">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53">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54">
    <w:name w:val="Table caption|1"/>
    <w:basedOn w:val="1"/>
    <w:autoRedefine/>
    <w:qFormat/>
    <w:uiPriority w:val="0"/>
    <w:rPr>
      <w:rFonts w:ascii="宋体" w:hAnsi="宋体" w:eastAsia="宋体" w:cs="宋体"/>
      <w:sz w:val="22"/>
      <w:szCs w:val="22"/>
      <w:lang w:val="zh-TW" w:eastAsia="zh-TW" w:bidi="zh-TW"/>
    </w:rPr>
  </w:style>
  <w:style w:type="paragraph" w:customStyle="1" w:styleId="55">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56">
    <w:name w:val="正文首行缩进 21"/>
    <w:basedOn w:val="57"/>
    <w:next w:val="1"/>
    <w:autoRedefine/>
    <w:qFormat/>
    <w:uiPriority w:val="0"/>
    <w:pPr>
      <w:ind w:firstLine="420"/>
    </w:pPr>
  </w:style>
  <w:style w:type="paragraph" w:customStyle="1" w:styleId="57">
    <w:name w:val="正文文本缩进1"/>
    <w:basedOn w:val="1"/>
    <w:next w:val="1"/>
    <w:autoRedefine/>
    <w:unhideWhenUsed/>
    <w:qFormat/>
    <w:uiPriority w:val="99"/>
    <w:pPr>
      <w:spacing w:line="400" w:lineRule="exact"/>
      <w:ind w:firstLine="540"/>
    </w:pPr>
    <w:rPr>
      <w:sz w:val="24"/>
    </w:rPr>
  </w:style>
  <w:style w:type="paragraph" w:customStyle="1" w:styleId="58">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59">
    <w:name w:val="纯文本1"/>
    <w:basedOn w:val="1"/>
    <w:qFormat/>
    <w:uiPriority w:val="0"/>
    <w:rPr>
      <w:rFonts w:ascii="宋体" w:hAnsi="Courier New"/>
      <w:kern w:val="0"/>
      <w:sz w:val="20"/>
      <w:szCs w:val="20"/>
    </w:rPr>
  </w:style>
  <w:style w:type="character" w:customStyle="1" w:styleId="60">
    <w:name w:val="font51"/>
    <w:basedOn w:val="28"/>
    <w:qFormat/>
    <w:uiPriority w:val="0"/>
    <w:rPr>
      <w:rFonts w:hint="eastAsia" w:ascii="宋体" w:hAnsi="宋体" w:eastAsia="宋体" w:cs="宋体"/>
      <w:color w:val="FF0000"/>
      <w:sz w:val="22"/>
      <w:szCs w:val="22"/>
      <w:u w:val="none"/>
    </w:rPr>
  </w:style>
  <w:style w:type="character" w:customStyle="1" w:styleId="61">
    <w:name w:val="font0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173</Pages>
  <Words>27115</Words>
  <Characters>28972</Characters>
  <Lines>0</Lines>
  <Paragraphs>0</Paragraphs>
  <TotalTime>0</TotalTime>
  <ScaleCrop>false</ScaleCrop>
  <LinksUpToDate>false</LinksUpToDate>
  <CharactersWithSpaces>29721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2021-10-20T04:45:00Z</dcterms:created>
  <dc:creator>WPS_1619369771</dc:creator>
  <cp:lastModifiedBy>尘埃里点、开不出爱情的花</cp:lastModifiedBy>
  <cp:lastPrinted>2025-06-16T09:08:00Z</cp:lastPrinted>
  <dcterms:modified xsi:type="dcterms:W3CDTF">2025-06-18T09:04:57Z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E8D88E6438444DEF933C50AE09824F65_13</vt:lpwstr>
  </property>
  <property fmtid="{D5CDD505-2E9C-101B-9397-08002B2CF9AE}" pid="4" name="KSOTemplateDocerSaveRecord">
    <vt:lpwstr>eyJoZGlkIjoiNDI5MDQxMTZlZGQyMGI1NzY0NmI5MTVkYTBiMTEwZjgiLCJ1c2VySWQiOiIzOTQ3NjQxMjgifQ==</vt:lpwstr>
  </property>
</Properties>
</file>