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 w:hAnsi="仿宋" w:eastAsia="仿宋" w:cs="仿宋"/>
          <w:b/>
          <w:bCs/>
          <w:color w:val="auto"/>
          <w:sz w:val="40"/>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上阿图什镇塔库提村农机服务设备采购项目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仿宋" w:hAnsi="仿宋" w:eastAsia="仿宋" w:cs="仿宋"/>
          <w:b/>
          <w:color w:val="auto"/>
          <w:kern w:val="0"/>
          <w:sz w:val="40"/>
          <w:szCs w:val="40"/>
          <w:highlight w:val="none"/>
          <w:lang w:val="en-US"/>
        </w:rPr>
      </w:pPr>
      <w:r>
        <w:rPr>
          <w:rFonts w:hint="eastAsia" w:ascii="仿宋" w:hAnsi="仿宋" w:eastAsia="仿宋" w:cs="仿宋"/>
          <w:b/>
          <w:bCs/>
          <w:color w:val="auto"/>
          <w:sz w:val="40"/>
          <w:szCs w:val="40"/>
          <w:highlight w:val="none"/>
          <w:lang w:eastAsia="zh-CN"/>
        </w:rPr>
        <w:t>项目编号：ATSSJYZX-2022</w:t>
      </w:r>
      <w:r>
        <w:rPr>
          <w:rFonts w:hint="eastAsia" w:ascii="仿宋" w:hAnsi="仿宋" w:eastAsia="仿宋" w:cs="仿宋"/>
          <w:b/>
          <w:bCs/>
          <w:color w:val="auto"/>
          <w:sz w:val="40"/>
          <w:szCs w:val="40"/>
          <w:highlight w:val="none"/>
          <w:lang w:val="en-US" w:eastAsia="zh-CN"/>
        </w:rPr>
        <w:t>092</w:t>
      </w:r>
    </w:p>
    <w:p>
      <w:pPr>
        <w:pStyle w:val="31"/>
        <w:keepNext w:val="0"/>
        <w:keepLines w:val="0"/>
        <w:pageBreakBefore w:val="0"/>
        <w:widowControl w:val="0"/>
        <w:kinsoku/>
        <w:wordWrap/>
        <w:overflowPunct/>
        <w:topLinePunct w:val="0"/>
        <w:bidi w:val="0"/>
        <w:snapToGrid/>
        <w:spacing w:line="760" w:lineRule="exact"/>
        <w:textAlignment w:val="auto"/>
        <w:outlineLvl w:val="9"/>
        <w:rPr>
          <w:rFonts w:hint="eastAsia" w:ascii="仿宋" w:hAnsi="仿宋" w:eastAsia="仿宋" w:cs="仿宋"/>
          <w:color w:val="auto"/>
          <w:highlight w:val="none"/>
        </w:rPr>
      </w:pPr>
    </w:p>
    <w:p>
      <w:pPr>
        <w:pStyle w:val="31"/>
        <w:outlineLvl w:val="9"/>
        <w:rPr>
          <w:rFonts w:hint="eastAsia" w:ascii="仿宋" w:hAnsi="仿宋" w:eastAsia="仿宋" w:cs="仿宋"/>
          <w:color w:val="auto"/>
          <w:highlight w:val="none"/>
        </w:rPr>
      </w:pPr>
    </w:p>
    <w:p>
      <w:pPr>
        <w:pStyle w:val="31"/>
        <w:jc w:val="center"/>
        <w:outlineLvl w:val="9"/>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招</w:t>
      </w:r>
    </w:p>
    <w:p>
      <w:pPr>
        <w:pStyle w:val="31"/>
        <w:jc w:val="center"/>
        <w:outlineLvl w:val="9"/>
        <w:rPr>
          <w:rFonts w:hint="eastAsia" w:ascii="仿宋" w:hAnsi="仿宋" w:eastAsia="仿宋" w:cs="仿宋"/>
          <w:b/>
          <w:bCs/>
          <w:color w:val="auto"/>
          <w:sz w:val="96"/>
          <w:szCs w:val="96"/>
          <w:highlight w:val="none"/>
          <w:lang w:eastAsia="zh-CN"/>
        </w:rPr>
      </w:pPr>
      <w:r>
        <w:rPr>
          <w:rFonts w:hint="eastAsia" w:ascii="仿宋" w:hAnsi="仿宋" w:eastAsia="仿宋" w:cs="仿宋"/>
          <w:b/>
          <w:color w:val="auto"/>
          <w:sz w:val="96"/>
          <w:szCs w:val="96"/>
          <w:highlight w:val="none"/>
          <w:lang w:eastAsia="zh-CN"/>
        </w:rPr>
        <w:t>标</w:t>
      </w:r>
    </w:p>
    <w:p>
      <w:pPr>
        <w:pStyle w:val="31"/>
        <w:jc w:val="center"/>
        <w:outlineLvl w:val="9"/>
        <w:rPr>
          <w:rFonts w:hint="eastAsia" w:ascii="仿宋" w:hAnsi="仿宋" w:eastAsia="仿宋" w:cs="仿宋"/>
          <w:b/>
          <w:bCs/>
          <w:color w:val="auto"/>
          <w:sz w:val="96"/>
          <w:szCs w:val="96"/>
          <w:highlight w:val="none"/>
          <w:lang w:eastAsia="zh-CN"/>
        </w:rPr>
      </w:pPr>
      <w:r>
        <w:rPr>
          <w:rFonts w:hint="eastAsia" w:ascii="仿宋" w:hAnsi="仿宋" w:eastAsia="仿宋" w:cs="仿宋"/>
          <w:b/>
          <w:bCs/>
          <w:color w:val="auto"/>
          <w:sz w:val="96"/>
          <w:szCs w:val="96"/>
          <w:highlight w:val="none"/>
          <w:lang w:eastAsia="zh-CN"/>
        </w:rPr>
        <w:t>文</w:t>
      </w:r>
    </w:p>
    <w:p>
      <w:pPr>
        <w:pStyle w:val="31"/>
        <w:jc w:val="center"/>
        <w:outlineLvl w:val="9"/>
        <w:rPr>
          <w:rFonts w:hint="eastAsia" w:ascii="仿宋" w:hAnsi="仿宋" w:eastAsia="仿宋" w:cs="仿宋"/>
          <w:color w:val="auto"/>
          <w:sz w:val="84"/>
          <w:szCs w:val="84"/>
          <w:highlight w:val="none"/>
          <w:lang w:eastAsia="zh-CN"/>
        </w:rPr>
      </w:pPr>
      <w:r>
        <w:rPr>
          <w:rFonts w:hint="eastAsia" w:ascii="仿宋" w:hAnsi="仿宋" w:eastAsia="仿宋" w:cs="仿宋"/>
          <w:b/>
          <w:bCs/>
          <w:color w:val="auto"/>
          <w:sz w:val="96"/>
          <w:szCs w:val="96"/>
          <w:highlight w:val="none"/>
          <w:lang w:eastAsia="zh-CN"/>
        </w:rPr>
        <w:t>件</w:t>
      </w:r>
    </w:p>
    <w:p>
      <w:pPr>
        <w:pStyle w:val="31"/>
        <w:outlineLvl w:val="9"/>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采购单位：</w:t>
      </w:r>
      <w:r>
        <w:rPr>
          <w:rFonts w:hint="eastAsia" w:ascii="仿宋" w:hAnsi="仿宋" w:eastAsia="仿宋" w:cs="仿宋"/>
          <w:color w:val="auto"/>
          <w:sz w:val="36"/>
          <w:szCs w:val="36"/>
          <w:highlight w:val="none"/>
          <w:lang w:eastAsia="zh-CN"/>
        </w:rPr>
        <w:t>阿图什市上阿图什镇人民政府</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联 系 人：张先生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联系电话：17397857302</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代理机构：</w:t>
      </w:r>
      <w:r>
        <w:rPr>
          <w:rFonts w:hint="eastAsia" w:ascii="仿宋" w:hAnsi="仿宋" w:eastAsia="仿宋" w:cs="仿宋"/>
          <w:color w:val="auto"/>
          <w:sz w:val="36"/>
          <w:szCs w:val="36"/>
          <w:highlight w:val="none"/>
          <w:lang w:eastAsia="zh-CN"/>
        </w:rPr>
        <w:t>新疆天勤工程管理有限公司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outlineLvl w:val="9"/>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联 系 人：</w:t>
      </w:r>
      <w:r>
        <w:rPr>
          <w:rFonts w:hint="eastAsia" w:ascii="仿宋" w:hAnsi="仿宋" w:eastAsia="仿宋" w:cs="仿宋"/>
          <w:color w:val="auto"/>
          <w:sz w:val="36"/>
          <w:szCs w:val="36"/>
          <w:highlight w:val="none"/>
          <w:lang w:val="en-US" w:eastAsia="zh-CN"/>
        </w:rPr>
        <w:t>王</w:t>
      </w:r>
      <w:r>
        <w:rPr>
          <w:rFonts w:hint="eastAsia" w:ascii="仿宋" w:hAnsi="仿宋" w:eastAsia="仿宋" w:cs="仿宋"/>
          <w:color w:val="auto"/>
          <w:sz w:val="36"/>
          <w:szCs w:val="36"/>
          <w:highlight w:val="none"/>
          <w:lang w:eastAsia="zh-CN"/>
        </w:rPr>
        <w:t>先生</w:t>
      </w:r>
    </w:p>
    <w:p>
      <w:pPr>
        <w:ind w:firstLine="360" w:firstLineChars="100"/>
        <w:jc w:val="both"/>
        <w:outlineLvl w:val="9"/>
        <w:rPr>
          <w:rFonts w:hint="eastAsia" w:ascii="仿宋" w:hAnsi="仿宋" w:eastAsia="仿宋" w:cs="仿宋"/>
          <w:b/>
          <w:color w:val="auto"/>
          <w:sz w:val="36"/>
          <w:szCs w:val="36"/>
          <w:highlight w:val="none"/>
        </w:rPr>
      </w:pPr>
      <w:r>
        <w:rPr>
          <w:rFonts w:hint="eastAsia" w:ascii="仿宋" w:hAnsi="仿宋" w:eastAsia="仿宋" w:cs="仿宋"/>
          <w:color w:val="auto"/>
          <w:sz w:val="36"/>
          <w:szCs w:val="36"/>
          <w:highlight w:val="none"/>
          <w:lang w:val="en-US" w:eastAsia="zh-CN"/>
        </w:rPr>
        <w:t>联系电话：13779615026</w:t>
      </w:r>
    </w:p>
    <w:p>
      <w:pPr>
        <w:jc w:val="center"/>
        <w:outlineLvl w:val="9"/>
        <w:rPr>
          <w:rFonts w:hint="eastAsia" w:ascii="仿宋" w:hAnsi="仿宋" w:eastAsia="仿宋" w:cs="仿宋"/>
          <w:b/>
          <w:color w:val="auto"/>
          <w:sz w:val="36"/>
          <w:szCs w:val="36"/>
          <w:highlight w:val="none"/>
        </w:rPr>
      </w:pPr>
    </w:p>
    <w:p>
      <w:pPr>
        <w:jc w:val="center"/>
        <w:outlineLvl w:val="9"/>
        <w:rPr>
          <w:rFonts w:hint="eastAsia" w:ascii="仿宋" w:hAnsi="仿宋" w:eastAsia="仿宋" w:cs="仿宋"/>
          <w:b/>
          <w:color w:val="auto"/>
          <w:sz w:val="36"/>
          <w:szCs w:val="36"/>
          <w:highlight w:val="none"/>
        </w:rPr>
      </w:pPr>
    </w:p>
    <w:p>
      <w:pPr>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招投标监督管理机构备案登记栏</w:t>
      </w:r>
    </w:p>
    <w:tbl>
      <w:tblPr>
        <w:tblStyle w:val="25"/>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7" w:hRule="atLeast"/>
          <w:jc w:val="center"/>
        </w:trPr>
        <w:tc>
          <w:tcPr>
            <w:tcW w:w="8460" w:type="dxa"/>
          </w:tcPr>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w w:val="95"/>
                <w:sz w:val="32"/>
                <w:szCs w:val="32"/>
                <w:highlight w:val="none"/>
                <w:lang w:val="en-US" w:eastAsia="zh-CN"/>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lang w:val="en-US" w:eastAsia="zh-CN"/>
              </w:rPr>
              <w:t xml:space="preserve">阿图什市上阿图什镇人民政府  </w:t>
            </w:r>
            <w:r>
              <w:rPr>
                <w:rFonts w:hint="eastAsia" w:ascii="仿宋" w:hAnsi="仿宋" w:eastAsia="仿宋" w:cs="仿宋"/>
                <w:color w:val="auto"/>
                <w:w w:val="95"/>
                <w:sz w:val="32"/>
                <w:szCs w:val="32"/>
                <w:highlight w:val="none"/>
                <w:lang w:eastAsia="zh-CN"/>
              </w:rPr>
              <w:t>（盖章）</w:t>
            </w: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val="en-US" w:eastAsia="zh-CN"/>
              </w:rPr>
              <w:t>上阿图什镇塔库提村农机服务设备采购项目</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lang w:eastAsia="zh-CN"/>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outlineLvl w:val="9"/>
              <w:rPr>
                <w:rFonts w:hint="eastAsia" w:ascii="仿宋" w:hAnsi="仿宋" w:eastAsia="仿宋" w:cs="仿宋"/>
                <w:color w:val="auto"/>
                <w:sz w:val="32"/>
                <w:szCs w:val="32"/>
                <w:highlight w:val="none"/>
                <w:lang w:eastAsia="zh-CN"/>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代理机构：</w:t>
            </w:r>
            <w:r>
              <w:rPr>
                <w:rFonts w:hint="eastAsia" w:ascii="仿宋" w:hAnsi="仿宋" w:eastAsia="仿宋" w:cs="仿宋"/>
                <w:color w:val="auto"/>
                <w:sz w:val="32"/>
                <w:szCs w:val="32"/>
                <w:highlight w:val="none"/>
                <w:lang w:eastAsia="zh-CN"/>
              </w:rPr>
              <w:t>新疆天勤工程管理有限公司（盖章）</w:t>
            </w:r>
          </w:p>
          <w:p>
            <w:pPr>
              <w:jc w:val="center"/>
              <w:outlineLvl w:val="9"/>
              <w:rPr>
                <w:rFonts w:hint="eastAsia" w:ascii="仿宋" w:hAnsi="仿宋" w:eastAsia="仿宋" w:cs="仿宋"/>
                <w:color w:val="auto"/>
                <w:highlight w:val="none"/>
              </w:rPr>
            </w:pPr>
          </w:p>
          <w:p>
            <w:pPr>
              <w:jc w:val="center"/>
              <w:outlineLvl w:val="9"/>
              <w:rPr>
                <w:rFonts w:hint="eastAsia" w:ascii="仿宋" w:hAnsi="仿宋" w:eastAsia="仿宋" w:cs="仿宋"/>
                <w:color w:val="auto"/>
                <w:highlight w:val="none"/>
              </w:rPr>
            </w:pPr>
          </w:p>
          <w:p>
            <w:pPr>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p>
          <w:p>
            <w:pPr>
              <w:outlineLvl w:val="9"/>
              <w:rPr>
                <w:rFonts w:hint="eastAsia" w:ascii="仿宋" w:hAnsi="仿宋" w:eastAsia="仿宋" w:cs="仿宋"/>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sz w:val="44"/>
          <w:szCs w:val="44"/>
          <w:highlight w:val="none"/>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rPr>
          <w:rFonts w:hint="eastAsia" w:ascii="仿宋" w:hAnsi="仿宋" w:eastAsia="仿宋" w:cs="仿宋"/>
          <w:b/>
          <w:bCs/>
          <w:color w:val="auto"/>
          <w:sz w:val="44"/>
          <w:szCs w:val="44"/>
          <w:highlight w:val="none"/>
          <w:lang w:val="zh-CN"/>
        </w:rPr>
      </w:pPr>
    </w:p>
    <w:sdt>
      <w:sdtPr>
        <w:rPr>
          <w:rFonts w:ascii="宋体" w:hAnsi="宋体" w:eastAsia="宋体" w:cs="Times New Roman"/>
          <w:b/>
          <w:bCs/>
          <w:color w:val="000000"/>
          <w:spacing w:val="0"/>
          <w:w w:val="100"/>
          <w:position w:val="0"/>
          <w:sz w:val="21"/>
          <w:szCs w:val="24"/>
          <w:highlight w:val="none"/>
          <w:shd w:val="clear" w:color="auto" w:fill="auto"/>
          <w:lang w:val="en-US" w:eastAsia="en-US" w:bidi="en-US"/>
        </w:rPr>
        <w:id w:val="147477967"/>
        <w15:color w:val="DBDBDB"/>
        <w:docPartObj>
          <w:docPartGallery w:val="Table of Contents"/>
          <w:docPartUnique/>
        </w:docPartObj>
      </w:sdtPr>
      <w:sdtEndPr>
        <w:rPr>
          <w:rFonts w:hint="eastAsia" w:ascii="仿宋" w:hAnsi="仿宋" w:eastAsia="仿宋" w:cs="仿宋"/>
          <w:b/>
          <w:bCs/>
          <w:color w:val="auto"/>
          <w:spacing w:val="0"/>
          <w:w w:val="100"/>
          <w:position w:val="0"/>
          <w:sz w:val="24"/>
          <w:szCs w:val="30"/>
          <w:highlight w:val="none"/>
          <w:shd w:val="clear" w:color="auto" w:fill="auto"/>
          <w:lang w:val="en-US" w:eastAsia="en-US" w:bidi="en-US"/>
        </w:rPr>
      </w:sdtEndPr>
      <w:sdtContent>
        <w:p>
          <w:pPr>
            <w:spacing w:before="0" w:beforeLines="0" w:after="0" w:afterLines="0" w:line="240" w:lineRule="auto"/>
            <w:ind w:left="0" w:leftChars="0" w:right="0" w:rightChars="0" w:firstLine="0" w:firstLineChars="0"/>
            <w:jc w:val="center"/>
            <w:rPr>
              <w:rFonts w:ascii="宋体" w:hAnsi="宋体" w:eastAsia="宋体"/>
              <w:b/>
              <w:bCs/>
              <w:sz w:val="40"/>
              <w:szCs w:val="48"/>
              <w:highlight w:val="none"/>
            </w:rPr>
          </w:pPr>
          <w:r>
            <w:rPr>
              <w:rFonts w:ascii="宋体" w:hAnsi="宋体" w:eastAsia="宋体"/>
              <w:b/>
              <w:bCs/>
              <w:sz w:val="40"/>
              <w:szCs w:val="48"/>
              <w:highlight w:val="none"/>
            </w:rPr>
            <w:t>目</w:t>
          </w:r>
          <w:r>
            <w:rPr>
              <w:rFonts w:hint="eastAsia" w:ascii="宋体" w:hAnsi="宋体" w:eastAsia="宋体"/>
              <w:b/>
              <w:bCs/>
              <w:sz w:val="40"/>
              <w:szCs w:val="48"/>
              <w:highlight w:val="none"/>
              <w:lang w:val="en-US" w:eastAsia="zh-CN"/>
            </w:rPr>
            <w:t xml:space="preserve">  </w:t>
          </w:r>
          <w:r>
            <w:rPr>
              <w:rFonts w:ascii="宋体" w:hAnsi="宋体" w:eastAsia="宋体"/>
              <w:b/>
              <w:bCs/>
              <w:sz w:val="40"/>
              <w:szCs w:val="48"/>
              <w:highlight w:val="none"/>
            </w:rPr>
            <w:t>录</w:t>
          </w:r>
        </w:p>
        <w:p>
          <w:pPr>
            <w:pStyle w:val="31"/>
            <w:rPr>
              <w:rFonts w:ascii="宋体" w:hAnsi="宋体" w:eastAsia="宋体"/>
              <w:sz w:val="40"/>
              <w:szCs w:val="48"/>
              <w:highlight w:val="none"/>
            </w:rPr>
          </w:pPr>
        </w:p>
        <w:p>
          <w:pPr>
            <w:pStyle w:val="31"/>
            <w:rPr>
              <w:rFonts w:ascii="宋体" w:hAnsi="宋体" w:eastAsia="宋体"/>
              <w:sz w:val="40"/>
              <w:szCs w:val="48"/>
              <w:highlight w:val="none"/>
            </w:rPr>
          </w:pPr>
        </w:p>
        <w:p>
          <w:pPr>
            <w:pStyle w:val="19"/>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textAlignment w:val="auto"/>
            <w:rPr>
              <w:sz w:val="24"/>
              <w:szCs w:val="24"/>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"1-3"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_Toc28070 </w:instrText>
          </w:r>
          <w:r>
            <w:rPr>
              <w:rFonts w:hint="eastAsia" w:ascii="仿宋" w:hAnsi="仿宋" w:eastAsia="仿宋" w:cs="仿宋"/>
              <w:sz w:val="24"/>
              <w:szCs w:val="32"/>
              <w:highlight w:val="none"/>
            </w:rPr>
            <w:fldChar w:fldCharType="separate"/>
          </w:r>
          <w:r>
            <w:rPr>
              <w:rFonts w:hint="eastAsia" w:ascii="仿宋" w:hAnsi="仿宋" w:eastAsia="仿宋" w:cs="仿宋"/>
              <w:bCs/>
              <w:spacing w:val="0"/>
              <w:w w:val="100"/>
              <w:position w:val="0"/>
              <w:sz w:val="24"/>
              <w:szCs w:val="36"/>
              <w:highlight w:val="none"/>
            </w:rPr>
            <w:t>第一部分</w:t>
          </w:r>
          <w:r>
            <w:rPr>
              <w:rFonts w:hint="eastAsia" w:ascii="仿宋" w:hAnsi="仿宋" w:eastAsia="仿宋" w:cs="仿宋"/>
              <w:bCs/>
              <w:spacing w:val="0"/>
              <w:w w:val="100"/>
              <w:position w:val="0"/>
              <w:sz w:val="24"/>
              <w:szCs w:val="36"/>
              <w:highlight w:val="none"/>
              <w:lang w:val="en-US" w:eastAsia="zh-CN"/>
            </w:rPr>
            <w:t xml:space="preserve"> </w:t>
          </w:r>
          <w:r>
            <w:rPr>
              <w:rFonts w:hint="eastAsia" w:ascii="仿宋" w:hAnsi="仿宋" w:eastAsia="仿宋" w:cs="仿宋"/>
              <w:bCs/>
              <w:spacing w:val="0"/>
              <w:w w:val="100"/>
              <w:position w:val="0"/>
              <w:sz w:val="24"/>
              <w:szCs w:val="36"/>
              <w:highlight w:val="none"/>
              <w:lang w:eastAsia="zh-CN"/>
            </w:rPr>
            <w:t>招标公告</w:t>
          </w:r>
          <w:r>
            <w:rPr>
              <w:sz w:val="24"/>
              <w:szCs w:val="24"/>
              <w:highlight w:val="none"/>
            </w:rPr>
            <w:tab/>
          </w:r>
          <w:r>
            <w:rPr>
              <w:sz w:val="24"/>
              <w:szCs w:val="24"/>
              <w:highlight w:val="none"/>
            </w:rPr>
            <w:fldChar w:fldCharType="begin"/>
          </w:r>
          <w:r>
            <w:rPr>
              <w:sz w:val="24"/>
              <w:szCs w:val="24"/>
              <w:highlight w:val="none"/>
            </w:rPr>
            <w:instrText xml:space="preserve"> PAGEREF _Toc28070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仿宋" w:hAnsi="仿宋" w:eastAsia="仿宋" w:cs="仿宋"/>
              <w:color w:val="auto"/>
              <w:sz w:val="24"/>
              <w:szCs w:val="32"/>
              <w:highlight w:val="none"/>
            </w:rPr>
            <w:fldChar w:fldCharType="end"/>
          </w:r>
        </w:p>
        <w:p>
          <w:pPr>
            <w:pStyle w:val="19"/>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_Toc29207 </w:instrText>
          </w:r>
          <w:r>
            <w:rPr>
              <w:rFonts w:hint="eastAsia" w:ascii="仿宋" w:hAnsi="仿宋" w:eastAsia="仿宋" w:cs="仿宋"/>
              <w:sz w:val="24"/>
              <w:szCs w:val="32"/>
              <w:highlight w:val="none"/>
            </w:rPr>
            <w:fldChar w:fldCharType="separate"/>
          </w:r>
          <w:r>
            <w:rPr>
              <w:rFonts w:hint="eastAsia" w:ascii="仿宋" w:hAnsi="仿宋" w:eastAsia="仿宋" w:cs="仿宋"/>
              <w:bCs/>
              <w:spacing w:val="0"/>
              <w:w w:val="100"/>
              <w:position w:val="0"/>
              <w:sz w:val="24"/>
              <w:szCs w:val="36"/>
              <w:highlight w:val="none"/>
            </w:rPr>
            <w:t>第二部分</w:t>
          </w:r>
          <w:r>
            <w:rPr>
              <w:rFonts w:hint="eastAsia" w:ascii="仿宋" w:hAnsi="仿宋" w:eastAsia="仿宋" w:cs="仿宋"/>
              <w:bCs/>
              <w:spacing w:val="0"/>
              <w:w w:val="100"/>
              <w:position w:val="0"/>
              <w:sz w:val="24"/>
              <w:szCs w:val="36"/>
              <w:highlight w:val="none"/>
              <w:lang w:val="en-US" w:eastAsia="zh-CN"/>
            </w:rPr>
            <w:t xml:space="preserve"> </w:t>
          </w:r>
          <w:r>
            <w:rPr>
              <w:rFonts w:hint="eastAsia" w:ascii="仿宋" w:hAnsi="仿宋" w:eastAsia="仿宋" w:cs="仿宋"/>
              <w:bCs/>
              <w:spacing w:val="0"/>
              <w:w w:val="100"/>
              <w:position w:val="0"/>
              <w:sz w:val="24"/>
              <w:szCs w:val="36"/>
              <w:highlight w:val="none"/>
            </w:rPr>
            <w:t>供应商须知</w:t>
          </w:r>
          <w:r>
            <w:rPr>
              <w:sz w:val="24"/>
              <w:szCs w:val="24"/>
              <w:highlight w:val="none"/>
            </w:rPr>
            <w:tab/>
          </w:r>
          <w:r>
            <w:rPr>
              <w:rFonts w:hint="eastAsia" w:eastAsia="宋体"/>
              <w:sz w:val="24"/>
              <w:szCs w:val="24"/>
              <w:highlight w:val="none"/>
              <w:lang w:val="en-US" w:eastAsia="zh-CN"/>
            </w:rPr>
            <w:t>5</w:t>
          </w:r>
          <w:r>
            <w:rPr>
              <w:rFonts w:hint="eastAsia" w:ascii="仿宋" w:hAnsi="仿宋" w:eastAsia="仿宋" w:cs="仿宋"/>
              <w:color w:val="auto"/>
              <w:sz w:val="24"/>
              <w:szCs w:val="32"/>
              <w:highlight w:val="none"/>
            </w:rPr>
            <w:fldChar w:fldCharType="end"/>
          </w:r>
        </w:p>
        <w:p>
          <w:pPr>
            <w:pStyle w:val="17"/>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_Toc6150 </w:instrText>
          </w:r>
          <w:r>
            <w:rPr>
              <w:rFonts w:hint="eastAsia" w:ascii="仿宋" w:hAnsi="仿宋" w:eastAsia="仿宋" w:cs="仿宋"/>
              <w:sz w:val="24"/>
              <w:szCs w:val="32"/>
              <w:highlight w:val="none"/>
            </w:rPr>
            <w:fldChar w:fldCharType="separate"/>
          </w:r>
          <w:r>
            <w:rPr>
              <w:rFonts w:hint="eastAsia" w:ascii="仿宋" w:hAnsi="仿宋" w:eastAsia="仿宋" w:cs="仿宋"/>
              <w:bCs/>
              <w:sz w:val="24"/>
              <w:szCs w:val="28"/>
              <w:highlight w:val="none"/>
            </w:rPr>
            <w:t>第三</w:t>
          </w:r>
          <w:r>
            <w:rPr>
              <w:rFonts w:hint="eastAsia" w:ascii="仿宋" w:hAnsi="仿宋" w:eastAsia="仿宋" w:cs="仿宋"/>
              <w:bCs/>
              <w:sz w:val="24"/>
              <w:szCs w:val="28"/>
              <w:highlight w:val="none"/>
              <w:lang w:val="en-US" w:eastAsia="zh-CN"/>
            </w:rPr>
            <w:t>部分</w:t>
          </w:r>
          <w:r>
            <w:rPr>
              <w:rFonts w:hint="eastAsia" w:ascii="仿宋" w:hAnsi="仿宋" w:eastAsia="仿宋" w:cs="仿宋"/>
              <w:bCs/>
              <w:sz w:val="24"/>
              <w:szCs w:val="28"/>
              <w:highlight w:val="none"/>
            </w:rPr>
            <w:t xml:space="preserve">  评标办法</w:t>
          </w:r>
          <w:r>
            <w:rPr>
              <w:sz w:val="24"/>
              <w:szCs w:val="24"/>
              <w:highlight w:val="none"/>
            </w:rPr>
            <w:tab/>
          </w:r>
          <w:r>
            <w:rPr>
              <w:sz w:val="24"/>
              <w:szCs w:val="24"/>
              <w:highlight w:val="none"/>
            </w:rPr>
            <w:fldChar w:fldCharType="begin"/>
          </w:r>
          <w:r>
            <w:rPr>
              <w:sz w:val="24"/>
              <w:szCs w:val="24"/>
              <w:highlight w:val="none"/>
            </w:rPr>
            <w:instrText xml:space="preserve"> PAGEREF _Toc6150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仿宋" w:hAnsi="仿宋" w:eastAsia="仿宋" w:cs="仿宋"/>
              <w:color w:val="auto"/>
              <w:sz w:val="24"/>
              <w:szCs w:val="32"/>
              <w:highlight w:val="none"/>
            </w:rPr>
            <w:fldChar w:fldCharType="end"/>
          </w:r>
        </w:p>
        <w:p>
          <w:pPr>
            <w:pStyle w:val="17"/>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_Toc29986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28"/>
              <w:highlight w:val="none"/>
              <w:lang w:val="en-US" w:eastAsia="zh-CN"/>
            </w:rPr>
            <w:t xml:space="preserve">第四部分 </w:t>
          </w:r>
          <w:r>
            <w:rPr>
              <w:rFonts w:hint="eastAsia" w:ascii="仿宋" w:hAnsi="仿宋" w:eastAsia="仿宋" w:cs="仿宋"/>
              <w:sz w:val="24"/>
              <w:szCs w:val="28"/>
              <w:highlight w:val="none"/>
            </w:rPr>
            <w:t xml:space="preserve"> 技术规格、数量及质量要求</w:t>
          </w:r>
          <w:r>
            <w:rPr>
              <w:sz w:val="24"/>
              <w:szCs w:val="24"/>
              <w:highlight w:val="none"/>
            </w:rPr>
            <w:tab/>
          </w:r>
          <w:r>
            <w:rPr>
              <w:sz w:val="24"/>
              <w:szCs w:val="24"/>
              <w:highlight w:val="none"/>
            </w:rPr>
            <w:fldChar w:fldCharType="begin"/>
          </w:r>
          <w:r>
            <w:rPr>
              <w:sz w:val="24"/>
              <w:szCs w:val="24"/>
              <w:highlight w:val="none"/>
            </w:rPr>
            <w:instrText xml:space="preserve"> PAGEREF _Toc29986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仿宋" w:hAnsi="仿宋" w:eastAsia="仿宋" w:cs="仿宋"/>
              <w:color w:val="auto"/>
              <w:sz w:val="24"/>
              <w:szCs w:val="32"/>
              <w:highlight w:val="none"/>
            </w:rPr>
            <w:fldChar w:fldCharType="end"/>
          </w:r>
        </w:p>
        <w:p>
          <w:pPr>
            <w:pStyle w:val="17"/>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_Toc30467 </w:instrText>
          </w:r>
          <w:r>
            <w:rPr>
              <w:rFonts w:hint="eastAsia" w:ascii="仿宋" w:hAnsi="仿宋" w:eastAsia="仿宋" w:cs="仿宋"/>
              <w:sz w:val="24"/>
              <w:szCs w:val="32"/>
              <w:highlight w:val="none"/>
            </w:rPr>
            <w:fldChar w:fldCharType="separate"/>
          </w:r>
          <w:r>
            <w:rPr>
              <w:rFonts w:hint="eastAsia" w:ascii="仿宋" w:hAnsi="仿宋" w:eastAsia="仿宋" w:cs="仿宋"/>
              <w:bCs/>
              <w:sz w:val="24"/>
              <w:szCs w:val="36"/>
              <w:highlight w:val="none"/>
              <w:lang w:eastAsia="zh-CN"/>
            </w:rPr>
            <w:t>第五</w:t>
          </w:r>
          <w:r>
            <w:rPr>
              <w:rFonts w:hint="eastAsia" w:ascii="仿宋" w:hAnsi="仿宋" w:eastAsia="仿宋" w:cs="仿宋"/>
              <w:bCs/>
              <w:sz w:val="24"/>
              <w:szCs w:val="36"/>
              <w:highlight w:val="none"/>
              <w:lang w:val="en-US" w:eastAsia="zh-CN"/>
            </w:rPr>
            <w:t xml:space="preserve">部分 </w:t>
          </w:r>
          <w:r>
            <w:rPr>
              <w:rFonts w:hint="eastAsia" w:ascii="仿宋" w:hAnsi="仿宋" w:eastAsia="仿宋" w:cs="仿宋"/>
              <w:bCs/>
              <w:sz w:val="24"/>
              <w:szCs w:val="36"/>
              <w:highlight w:val="none"/>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_Toc30467 \h </w:instrText>
          </w:r>
          <w:r>
            <w:rPr>
              <w:sz w:val="24"/>
              <w:szCs w:val="24"/>
              <w:highlight w:val="none"/>
            </w:rPr>
            <w:fldChar w:fldCharType="separate"/>
          </w:r>
          <w:r>
            <w:rPr>
              <w:sz w:val="24"/>
              <w:szCs w:val="24"/>
              <w:highlight w:val="none"/>
            </w:rPr>
            <w:t>57</w:t>
          </w:r>
          <w:r>
            <w:rPr>
              <w:sz w:val="24"/>
              <w:szCs w:val="24"/>
              <w:highlight w:val="none"/>
            </w:rPr>
            <w:fldChar w:fldCharType="end"/>
          </w:r>
          <w:r>
            <w:rPr>
              <w:rFonts w:hint="eastAsia" w:ascii="仿宋" w:hAnsi="仿宋" w:eastAsia="仿宋" w:cs="仿宋"/>
              <w:color w:val="auto"/>
              <w:sz w:val="24"/>
              <w:szCs w:val="32"/>
              <w:highlight w:val="none"/>
            </w:rPr>
            <w:fldChar w:fldCharType="end"/>
          </w:r>
        </w:p>
        <w:p>
          <w:pPr>
            <w:pStyle w:val="19"/>
            <w:keepNext w:val="0"/>
            <w:keepLines w:val="0"/>
            <w:pageBreakBefore w:val="0"/>
            <w:widowControl w:val="0"/>
            <w:tabs>
              <w:tab w:val="right" w:leader="hyphen" w:pos="9746"/>
            </w:tabs>
            <w:kinsoku/>
            <w:wordWrap/>
            <w:overflowPunct/>
            <w:topLinePunct w:val="0"/>
            <w:autoSpaceDE/>
            <w:autoSpaceDN/>
            <w:bidi w:val="0"/>
            <w:adjustRightInd/>
            <w:snapToGrid/>
            <w:spacing w:line="480" w:lineRule="auto"/>
            <w:textAlignment w:val="auto"/>
            <w:rPr>
              <w:highlight w:val="none"/>
            </w:rPr>
          </w:pPr>
          <w:r>
            <w:rPr>
              <w:rFonts w:hint="eastAsia" w:ascii="仿宋" w:hAnsi="仿宋" w:eastAsia="仿宋" w:cs="仿宋"/>
              <w:color w:val="auto"/>
              <w:sz w:val="24"/>
              <w:szCs w:val="32"/>
              <w:highlight w:val="none"/>
            </w:rPr>
            <w:fldChar w:fldCharType="begin"/>
          </w:r>
          <w:r>
            <w:rPr>
              <w:rFonts w:hint="eastAsia" w:ascii="仿宋" w:hAnsi="仿宋" w:eastAsia="仿宋" w:cs="仿宋"/>
              <w:sz w:val="24"/>
              <w:szCs w:val="32"/>
              <w:highlight w:val="none"/>
            </w:rPr>
            <w:instrText xml:space="preserve"> HYPERLINK \l _Toc21488 </w:instrText>
          </w:r>
          <w:r>
            <w:rPr>
              <w:rFonts w:hint="eastAsia" w:ascii="仿宋" w:hAnsi="仿宋" w:eastAsia="仿宋" w:cs="仿宋"/>
              <w:sz w:val="24"/>
              <w:szCs w:val="32"/>
              <w:highlight w:val="none"/>
            </w:rPr>
            <w:fldChar w:fldCharType="separate"/>
          </w:r>
          <w:r>
            <w:rPr>
              <w:rFonts w:hint="eastAsia" w:ascii="仿宋" w:hAnsi="仿宋" w:eastAsia="仿宋" w:cs="仿宋"/>
              <w:bCs/>
              <w:spacing w:val="0"/>
              <w:w w:val="100"/>
              <w:position w:val="0"/>
              <w:sz w:val="24"/>
              <w:szCs w:val="36"/>
              <w:highlight w:val="none"/>
            </w:rPr>
            <w:t>第</w:t>
          </w:r>
          <w:r>
            <w:rPr>
              <w:rFonts w:hint="eastAsia" w:ascii="仿宋" w:hAnsi="仿宋" w:eastAsia="仿宋" w:cs="仿宋"/>
              <w:bCs/>
              <w:spacing w:val="0"/>
              <w:w w:val="100"/>
              <w:position w:val="0"/>
              <w:sz w:val="24"/>
              <w:szCs w:val="36"/>
              <w:highlight w:val="none"/>
              <w:lang w:eastAsia="zh-CN"/>
            </w:rPr>
            <w:t>六</w:t>
          </w:r>
          <w:r>
            <w:rPr>
              <w:rFonts w:hint="eastAsia" w:ascii="仿宋" w:hAnsi="仿宋" w:eastAsia="仿宋" w:cs="仿宋"/>
              <w:bCs/>
              <w:spacing w:val="0"/>
              <w:w w:val="100"/>
              <w:position w:val="0"/>
              <w:sz w:val="24"/>
              <w:szCs w:val="36"/>
              <w:highlight w:val="none"/>
            </w:rPr>
            <w:t>部分</w:t>
          </w:r>
          <w:r>
            <w:rPr>
              <w:rFonts w:hint="eastAsia" w:ascii="仿宋" w:hAnsi="仿宋" w:eastAsia="仿宋" w:cs="仿宋"/>
              <w:bCs/>
              <w:spacing w:val="0"/>
              <w:w w:val="100"/>
              <w:position w:val="0"/>
              <w:sz w:val="24"/>
              <w:szCs w:val="36"/>
              <w:highlight w:val="none"/>
              <w:lang w:val="en-US" w:eastAsia="zh-CN"/>
            </w:rPr>
            <w:t xml:space="preserve">  </w:t>
          </w:r>
          <w:r>
            <w:rPr>
              <w:rFonts w:hint="eastAsia" w:ascii="仿宋" w:hAnsi="仿宋" w:eastAsia="仿宋" w:cs="仿宋"/>
              <w:bCs/>
              <w:spacing w:val="0"/>
              <w:w w:val="100"/>
              <w:position w:val="0"/>
              <w:sz w:val="24"/>
              <w:szCs w:val="36"/>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_Toc21488 \h </w:instrText>
          </w:r>
          <w:r>
            <w:rPr>
              <w:sz w:val="24"/>
              <w:szCs w:val="24"/>
              <w:highlight w:val="none"/>
            </w:rPr>
            <w:fldChar w:fldCharType="separate"/>
          </w:r>
          <w:r>
            <w:rPr>
              <w:sz w:val="24"/>
              <w:szCs w:val="24"/>
              <w:highlight w:val="none"/>
            </w:rPr>
            <w:t>63</w:t>
          </w:r>
          <w:r>
            <w:rPr>
              <w:sz w:val="24"/>
              <w:szCs w:val="24"/>
              <w:highlight w:val="none"/>
            </w:rPr>
            <w:fldChar w:fldCharType="end"/>
          </w:r>
          <w:r>
            <w:rPr>
              <w:rFonts w:hint="eastAsia" w:ascii="仿宋" w:hAnsi="仿宋" w:eastAsia="仿宋" w:cs="仿宋"/>
              <w:color w:val="auto"/>
              <w:sz w:val="24"/>
              <w:szCs w:val="32"/>
              <w:highlight w:val="none"/>
            </w:rPr>
            <w:fldChar w:fldCharType="end"/>
          </w:r>
        </w:p>
        <w:p>
          <w:pPr>
            <w:pStyle w:val="19"/>
            <w:tabs>
              <w:tab w:val="right" w:leader="hyphen" w:pos="9746"/>
            </w:tabs>
            <w:rPr>
              <w:highlight w:val="none"/>
            </w:rPr>
          </w:pPr>
        </w:p>
        <w:p>
          <w:pPr>
            <w:keepNext w:val="0"/>
            <w:keepLines w:val="0"/>
            <w:pageBreakBefore w:val="0"/>
            <w:widowControl/>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Cs w:val="32"/>
              <w:highlight w:val="none"/>
            </w:rPr>
            <w:fldChar w:fldCharType="end"/>
          </w:r>
        </w:p>
      </w:sdtContent>
    </w:sdt>
    <w:p>
      <w:pPr>
        <w:pStyle w:val="2"/>
        <w:numPr>
          <w:ilvl w:val="0"/>
          <w:numId w:val="0"/>
        </w:numPr>
        <w:ind w:leftChars="0" w:right="0" w:rightChars="0"/>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lang w:val="en-US" w:eastAsia="zh-CN"/>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pStyle w:val="34"/>
        <w:keepNext/>
        <w:keepLines/>
        <w:widowControl w:val="0"/>
        <w:shd w:val="clear" w:color="auto" w:fill="auto"/>
        <w:bidi w:val="0"/>
        <w:spacing w:before="120" w:after="300" w:line="240" w:lineRule="auto"/>
        <w:ind w:left="0" w:right="0" w:firstLine="0"/>
        <w:jc w:val="center"/>
        <w:outlineLvl w:val="9"/>
        <w:rPr>
          <w:rFonts w:hint="eastAsia" w:ascii="仿宋" w:hAnsi="仿宋" w:eastAsia="仿宋" w:cs="仿宋"/>
          <w:b/>
          <w:bCs/>
          <w:color w:val="auto"/>
          <w:spacing w:val="0"/>
          <w:w w:val="100"/>
          <w:position w:val="0"/>
          <w:sz w:val="36"/>
          <w:szCs w:val="36"/>
          <w:highlight w:val="none"/>
        </w:rPr>
        <w:sectPr>
          <w:pgSz w:w="11906" w:h="16838"/>
          <w:pgMar w:top="1440" w:right="1080" w:bottom="1440" w:left="1080" w:header="851" w:footer="992" w:gutter="0"/>
          <w:pgNumType w:fmt="decimal" w:start="1"/>
          <w:cols w:space="720" w:num="1"/>
          <w:docGrid w:type="linesAndChars" w:linePitch="312" w:charSpace="0"/>
        </w:sectPr>
      </w:pPr>
    </w:p>
    <w:p>
      <w:pPr>
        <w:pStyle w:val="34"/>
        <w:keepNext/>
        <w:keepLines/>
        <w:widowControl w:val="0"/>
        <w:shd w:val="clear" w:color="auto" w:fill="auto"/>
        <w:bidi w:val="0"/>
        <w:spacing w:before="120" w:after="300" w:line="240" w:lineRule="auto"/>
        <w:ind w:left="0" w:right="0" w:firstLine="0"/>
        <w:jc w:val="center"/>
        <w:outlineLvl w:val="0"/>
        <w:rPr>
          <w:rFonts w:hint="eastAsia" w:ascii="仿宋" w:hAnsi="仿宋" w:eastAsia="仿宋" w:cs="仿宋"/>
          <w:b/>
          <w:bCs/>
          <w:color w:val="auto"/>
          <w:sz w:val="36"/>
          <w:szCs w:val="36"/>
          <w:highlight w:val="none"/>
          <w:lang w:eastAsia="zh-CN"/>
        </w:rPr>
      </w:pPr>
      <w:bookmarkStart w:id="0" w:name="_Toc12194"/>
      <w:bookmarkStart w:id="1" w:name="_Toc10738"/>
      <w:bookmarkStart w:id="2" w:name="_Toc28070"/>
      <w:r>
        <w:rPr>
          <w:rFonts w:hint="eastAsia" w:ascii="仿宋" w:hAnsi="仿宋" w:eastAsia="仿宋" w:cs="仿宋"/>
          <w:b/>
          <w:bCs/>
          <w:color w:val="auto"/>
          <w:spacing w:val="0"/>
          <w:w w:val="100"/>
          <w:position w:val="0"/>
          <w:sz w:val="36"/>
          <w:szCs w:val="36"/>
          <w:highlight w:val="none"/>
        </w:rPr>
        <w:t>第一部分</w:t>
      </w:r>
      <w:r>
        <w:rPr>
          <w:rFonts w:hint="eastAsia" w:ascii="仿宋" w:hAnsi="仿宋" w:eastAsia="仿宋" w:cs="仿宋"/>
          <w:b/>
          <w:bCs/>
          <w:color w:val="auto"/>
          <w:spacing w:val="0"/>
          <w:w w:val="100"/>
          <w:position w:val="0"/>
          <w:sz w:val="36"/>
          <w:szCs w:val="36"/>
          <w:highlight w:val="none"/>
          <w:lang w:val="en-US" w:eastAsia="zh-CN"/>
        </w:rPr>
        <w:t xml:space="preserve"> </w:t>
      </w:r>
      <w:r>
        <w:rPr>
          <w:rFonts w:hint="eastAsia" w:ascii="仿宋" w:hAnsi="仿宋" w:eastAsia="仿宋" w:cs="仿宋"/>
          <w:b/>
          <w:bCs/>
          <w:color w:val="auto"/>
          <w:spacing w:val="0"/>
          <w:w w:val="100"/>
          <w:position w:val="0"/>
          <w:sz w:val="36"/>
          <w:szCs w:val="36"/>
          <w:highlight w:val="none"/>
          <w:lang w:eastAsia="zh-CN"/>
        </w:rPr>
        <w:t>招标公告</w:t>
      </w:r>
      <w:bookmarkEnd w:id="0"/>
      <w:bookmarkEnd w:id="1"/>
      <w:bookmarkEnd w:id="2"/>
    </w:p>
    <w:p>
      <w:pPr>
        <w:keepNext w:val="0"/>
        <w:keepLines w:val="0"/>
        <w:pageBreakBefore w:val="0"/>
        <w:shd w:val="clear" w:color="auto" w:fill="auto"/>
        <w:kinsoku/>
        <w:wordWrap/>
        <w:overflowPunct/>
        <w:topLinePunct w:val="0"/>
        <w:autoSpaceDE/>
        <w:autoSpaceDN/>
        <w:bidi w:val="0"/>
        <w:adjustRightInd w:val="0"/>
        <w:spacing w:line="120" w:lineRule="auto"/>
        <w:jc w:val="center"/>
        <w:rPr>
          <w:rFonts w:hint="eastAsia" w:ascii="仿宋" w:hAnsi="仿宋" w:eastAsia="仿宋" w:cs="仿宋"/>
          <w:b/>
          <w:color w:val="000000"/>
          <w:sz w:val="28"/>
          <w:szCs w:val="28"/>
          <w:highlight w:val="none"/>
          <w:shd w:val="clear" w:color="auto" w:fill="FFFFFF"/>
        </w:rPr>
      </w:pPr>
      <w:bookmarkStart w:id="3" w:name="_Toc35393789"/>
      <w:bookmarkStart w:id="4" w:name="_Toc28359001"/>
      <w:bookmarkStart w:id="5" w:name="_Toc7317"/>
      <w:bookmarkStart w:id="6" w:name="_Toc20056"/>
      <w:bookmarkStart w:id="7" w:name="_Toc29207"/>
      <w:r>
        <w:rPr>
          <w:rFonts w:hint="eastAsia" w:ascii="仿宋" w:hAnsi="仿宋" w:eastAsia="仿宋" w:cs="仿宋"/>
          <w:b/>
          <w:color w:val="000000"/>
          <w:sz w:val="28"/>
          <w:szCs w:val="28"/>
          <w:highlight w:val="none"/>
          <w:shd w:val="clear" w:color="auto" w:fill="FFFFFF"/>
          <w:lang w:val="en-US" w:eastAsia="zh-CN"/>
        </w:rPr>
        <w:t>上阿图什镇塔库提村农机服务设备采购项目</w:t>
      </w:r>
      <w:r>
        <w:rPr>
          <w:rFonts w:hint="eastAsia" w:ascii="仿宋" w:hAnsi="仿宋" w:eastAsia="仿宋" w:cs="仿宋"/>
          <w:b/>
          <w:color w:val="000000"/>
          <w:sz w:val="28"/>
          <w:szCs w:val="28"/>
          <w:highlight w:val="none"/>
          <w:shd w:val="clear" w:color="auto" w:fill="FFFFFF"/>
        </w:rPr>
        <w:t>公开招标公告</w:t>
      </w:r>
      <w:bookmarkEnd w:id="3"/>
      <w:bookmarkEnd w:id="4"/>
    </w:p>
    <w:p>
      <w:pPr>
        <w:pStyle w:val="32"/>
        <w:keepNext w:val="0"/>
        <w:keepLines w:val="0"/>
        <w:pageBreakBefore w:val="0"/>
        <w:shd w:val="clear" w:color="auto" w:fill="auto"/>
        <w:kinsoku/>
        <w:wordWrap/>
        <w:overflowPunct/>
        <w:topLinePunct w:val="0"/>
        <w:autoSpaceDE/>
        <w:autoSpaceDN/>
        <w:bidi w:val="0"/>
        <w:spacing w:line="120" w:lineRule="auto"/>
        <w:rPr>
          <w:rFonts w:hint="eastAsia" w:ascii="宋体" w:hAnsi="宋体" w:eastAsia="宋体" w:cs="宋体"/>
          <w:color w:val="000000"/>
          <w:sz w:val="18"/>
          <w:szCs w:val="18"/>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ind w:firstLine="420" w:firstLineChars="200"/>
        <w:textAlignment w:val="auto"/>
        <w:rPr>
          <w:rFonts w:hint="eastAsia" w:ascii="仿宋" w:hAnsi="仿宋" w:eastAsia="仿宋" w:cs="仿宋"/>
          <w:color w:val="000000"/>
          <w:sz w:val="24"/>
          <w:szCs w:val="24"/>
          <w:highlight w:val="none"/>
          <w:u w:val="none"/>
          <w:lang w:val="en-US" w:eastAsia="zh-CN"/>
        </w:rPr>
      </w:pPr>
      <w:r>
        <w:rPr>
          <w:rFonts w:ascii="仿宋" w:hAnsi="仿宋" w:eastAsia="仿宋" w:cs="仿宋"/>
          <w:i w:val="0"/>
          <w:iCs w:val="0"/>
          <w:caps w:val="0"/>
          <w:color w:val="000000"/>
          <w:spacing w:val="0"/>
          <w:sz w:val="21"/>
          <w:szCs w:val="21"/>
        </w:rPr>
        <w:t>上阿图什镇塔库提村农机服务设备采购项目</w:t>
      </w:r>
      <w:r>
        <w:rPr>
          <w:rFonts w:hint="eastAsia" w:ascii="仿宋" w:hAnsi="仿宋" w:eastAsia="仿宋" w:cs="仿宋"/>
          <w:i w:val="0"/>
          <w:iCs w:val="0"/>
          <w:caps w:val="0"/>
          <w:color w:val="000000"/>
          <w:spacing w:val="0"/>
          <w:sz w:val="21"/>
          <w:szCs w:val="21"/>
        </w:rPr>
        <w:t>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获取招标文件→申请，审核通过后可下载招标文件，如有操作性问题，可与政采云在线客服进行咨询，咨询电话：400-881-7190）。获取招标文件，并于2022年12月27日 10:30（北京时间）前递交投标文件。</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一、项目基本情况</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项目编号：ATSSJYZX-2022092</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项目名称：上阿图什镇塔库提村农机服务设备采购项目</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采购方式：公开招标</w:t>
      </w:r>
    </w:p>
    <w:p>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预算金额（元）：16070000</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最高限价（元）：16070000</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标项名称:上阿图什镇塔库提村农机服务设备采购项目</w:t>
      </w:r>
    </w:p>
    <w:p>
      <w:pPr>
        <w:pStyle w:val="31"/>
        <w:rPr>
          <w:rFonts w:hint="default" w:ascii="仿宋" w:hAnsi="仿宋" w:eastAsia="仿宋" w:cs="仿宋"/>
          <w:color w:val="auto"/>
          <w:sz w:val="24"/>
          <w:szCs w:val="24"/>
          <w:highlight w:val="none"/>
          <w:lang w:val="en-US" w:eastAsia="zh-CN"/>
        </w:rPr>
      </w:pPr>
      <w:r>
        <w:rPr>
          <w:rFonts w:ascii="仿宋" w:hAnsi="仿宋" w:eastAsia="仿宋" w:cs="仿宋"/>
          <w:i w:val="0"/>
          <w:iCs w:val="0"/>
          <w:caps w:val="0"/>
          <w:color w:val="000000"/>
          <w:spacing w:val="0"/>
          <w:sz w:val="24"/>
          <w:szCs w:val="24"/>
        </w:rPr>
        <w:t> 数量:</w:t>
      </w:r>
      <w:r>
        <w:rPr>
          <w:rFonts w:hint="eastAsia" w:ascii="仿宋" w:hAnsi="仿宋" w:eastAsia="仿宋" w:cs="仿宋"/>
          <w:i w:val="0"/>
          <w:iCs w:val="0"/>
          <w:caps w:val="0"/>
          <w:color w:val="000000"/>
          <w:spacing w:val="0"/>
          <w:sz w:val="24"/>
          <w:szCs w:val="24"/>
        </w:rPr>
        <w:t>1</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预算金额（元）:16070000</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采购三行圆包式采棉机2台、六行圆包式采棉机1台、花生收割机1台、拖拉机4台、液压联合整地机2架、平地机1台、秸秆还田残膜回收打包联合作业机2台、装载机1台、小麦玉米双用收割机1台、液压翻转犁1架、深松机1架，（具体详见采购清单或招标文件）。</w:t>
      </w:r>
    </w:p>
    <w:p>
      <w:pPr>
        <w:pStyle w:val="31"/>
        <w:rPr>
          <w:rFonts w:hint="eastAsia"/>
          <w:highlight w:val="none"/>
          <w:lang w:val="en-US" w:eastAsia="zh-CN"/>
        </w:rPr>
      </w:pPr>
      <w:r>
        <w:rPr>
          <w:rFonts w:hint="eastAsia" w:ascii="仿宋" w:hAnsi="仿宋" w:eastAsia="仿宋" w:cs="仿宋"/>
          <w:highlight w:val="none"/>
        </w:rPr>
        <w:t> 备注：</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合同履约期限：标项 1，自合同签订之日起30天内完成供货。</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本项目（否）接受联合体投标。</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二、申请人的资格要求：</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标项1：本项目为非专门面向中小企业（含中型、小型、微型企业）采购项目，根据《政府采购促进中小企业发展管理办法》（财库【2020】46号）得规定，评标时将给予此类企业进行价格10%得优惠，用优惠后的价格参与评审。</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（1）具备三证合一营业执照副本；</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（2）法定代表人投标需提供法定代表人资格证明书，委托代理人投标需提供法定代表人授权委托书；</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三、获取招标文件</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时间：2022年 12月05日至2022年 12 月14日，每天上午10:00至14:00，下午16:00至19:30（北京时间，法定节假日除外）</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方式：（1）线上获取（登录政府采购云平台 → 项目采购 → 获取招标文件→ 申请，审核通过后可下载招标文件）。本次招标不提供纸质版招标文件。（2）供应商获取招标文件前应注册成为政府采购云平台正式供应商。</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售价（元）：0</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四、提交投标文件截止时间、开标时间和地点</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提交投标文件截止时间：2022年 12月27日 10:30（北京时间）</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投标地点：新疆政府采购云平台（www.zcygov.cn）</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开标时间：2022年 12月27日 10:30（北京时间）</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开标地点：新疆政府采购云平台（www.zcygov.cn）</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五、公告期限</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六、其他补充事宜</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申请获取采购文件前须上传的资格证明文件扫描件有：（1）具备三证合一营业执照副本；（2）法定代表人投标需提供法定代表人资格证明书，委托代理人投标需提供法定代表人授权委托书；（3）参加采购活动前三年内，在经营活动中没有重大违法记录，供应商须提供 “信用中国”网站（http://www.creditchina.gov.cn/）、“中国政府采购网”网站（http://www.ccgp.gov.cn）无违法违规行为的查询纪录（提供查询结果网页截图并加盖供应商公章）；（4）投标企业为中小企业须提供中小企业声明函；</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特别提示：</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七、对本次采购提出询问，请按以下方式联系</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称：阿图什市上阿图什镇人民政府</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址：阿图什市上阿图什镇</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联系方式：17397857302</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称：新疆天勤工程管理有限公司</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址：克州阿图什市迎宾路80号三楼</w:t>
      </w:r>
    </w:p>
    <w:p>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联系方式：13779615026</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pPr>
        <w:shd w:val="clear" w:color="auto" w:fill="auto"/>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项目联系人：王先生</w:t>
      </w:r>
    </w:p>
    <w:p>
      <w:pPr>
        <w:shd w:val="clear" w:color="auto" w:fill="auto"/>
        <w:spacing w:line="360" w:lineRule="auto"/>
        <w:jc w:val="left"/>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电 话：13779615026</w:t>
      </w:r>
    </w:p>
    <w:p/>
    <w:p/>
    <w:p>
      <w:pPr>
        <w:rPr>
          <w:rFonts w:hint="eastAsia" w:ascii="宋体" w:hAnsi="宋体" w:eastAsia="宋体" w:cs="宋体"/>
          <w:b/>
          <w:bCs/>
          <w:i w:val="0"/>
          <w:iCs w:val="0"/>
          <w:caps w:val="0"/>
          <w:color w:val="333333"/>
          <w:spacing w:val="0"/>
          <w:sz w:val="24"/>
          <w:szCs w:val="24"/>
        </w:rPr>
      </w:pPr>
    </w:p>
    <w:p>
      <w:pPr>
        <w:rPr>
          <w:rFonts w:hint="eastAsia" w:ascii="仿宋" w:hAnsi="仿宋" w:eastAsia="仿宋" w:cs="仿宋"/>
          <w:b/>
          <w:bCs/>
          <w:color w:val="auto"/>
          <w:spacing w:val="0"/>
          <w:w w:val="100"/>
          <w:position w:val="0"/>
          <w:sz w:val="36"/>
          <w:szCs w:val="36"/>
          <w:highlight w:val="none"/>
        </w:rPr>
      </w:pPr>
      <w:r>
        <w:rPr>
          <w:rFonts w:hint="eastAsia" w:ascii="仿宋" w:hAnsi="仿宋" w:eastAsia="仿宋" w:cs="仿宋"/>
          <w:b/>
          <w:bCs/>
          <w:color w:val="auto"/>
          <w:spacing w:val="0"/>
          <w:w w:val="100"/>
          <w:position w:val="0"/>
          <w:sz w:val="36"/>
          <w:szCs w:val="36"/>
          <w:highlight w:val="none"/>
        </w:rPr>
        <w:br w:type="page"/>
      </w:r>
    </w:p>
    <w:p>
      <w:pPr>
        <w:pStyle w:val="34"/>
        <w:keepNext/>
        <w:keepLines/>
        <w:pageBreakBefore w:val="0"/>
        <w:widowControl w:val="0"/>
        <w:shd w:val="clear" w:color="auto" w:fill="auto"/>
        <w:kinsoku/>
        <w:wordWrap/>
        <w:overflowPunct/>
        <w:topLinePunct w:val="0"/>
        <w:autoSpaceDE/>
        <w:autoSpaceDN/>
        <w:bidi w:val="0"/>
        <w:adjustRightInd/>
        <w:snapToGrid/>
        <w:spacing w:before="0" w:after="240" w:line="200" w:lineRule="atLeast"/>
        <w:ind w:left="0" w:right="0" w:firstLine="0"/>
        <w:jc w:val="center"/>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pacing w:val="0"/>
          <w:w w:val="100"/>
          <w:position w:val="0"/>
          <w:sz w:val="36"/>
          <w:szCs w:val="36"/>
          <w:highlight w:val="none"/>
        </w:rPr>
        <w:t>第二部分</w:t>
      </w:r>
      <w:r>
        <w:rPr>
          <w:rFonts w:hint="eastAsia" w:ascii="仿宋" w:hAnsi="仿宋" w:eastAsia="仿宋" w:cs="仿宋"/>
          <w:b/>
          <w:bCs/>
          <w:color w:val="auto"/>
          <w:spacing w:val="0"/>
          <w:w w:val="100"/>
          <w:position w:val="0"/>
          <w:sz w:val="36"/>
          <w:szCs w:val="36"/>
          <w:highlight w:val="none"/>
          <w:lang w:val="en-US" w:eastAsia="zh-CN"/>
        </w:rPr>
        <w:t xml:space="preserve"> </w:t>
      </w:r>
      <w:r>
        <w:rPr>
          <w:rFonts w:hint="eastAsia" w:ascii="仿宋" w:hAnsi="仿宋" w:eastAsia="仿宋" w:cs="仿宋"/>
          <w:b/>
          <w:bCs/>
          <w:color w:val="auto"/>
          <w:spacing w:val="0"/>
          <w:w w:val="100"/>
          <w:position w:val="0"/>
          <w:sz w:val="36"/>
          <w:szCs w:val="36"/>
          <w:highlight w:val="none"/>
        </w:rPr>
        <w:t>供应商须知</w:t>
      </w:r>
      <w:bookmarkEnd w:id="5"/>
      <w:bookmarkEnd w:id="6"/>
      <w:bookmarkEnd w:id="7"/>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120" w:lineRule="auto"/>
        <w:ind w:right="0"/>
        <w:jc w:val="center"/>
        <w:textAlignment w:val="auto"/>
        <w:outlineLvl w:val="9"/>
        <w:rPr>
          <w:rFonts w:hint="eastAsia" w:ascii="仿宋" w:hAnsi="仿宋" w:eastAsia="仿宋" w:cs="仿宋"/>
          <w:b/>
          <w:bCs/>
          <w:color w:val="auto"/>
          <w:spacing w:val="0"/>
          <w:w w:val="100"/>
          <w:position w:val="0"/>
          <w:sz w:val="24"/>
          <w:szCs w:val="24"/>
          <w:highlight w:val="none"/>
        </w:rPr>
      </w:pPr>
      <w:r>
        <w:rPr>
          <w:rFonts w:hint="eastAsia" w:ascii="仿宋" w:hAnsi="仿宋" w:eastAsia="仿宋" w:cs="仿宋"/>
          <w:b/>
          <w:bCs/>
          <w:color w:val="auto"/>
          <w:spacing w:val="0"/>
          <w:w w:val="100"/>
          <w:position w:val="0"/>
          <w:sz w:val="24"/>
          <w:szCs w:val="24"/>
          <w:highlight w:val="none"/>
          <w:lang w:eastAsia="zh-CN"/>
        </w:rPr>
        <w:t>供应商</w:t>
      </w:r>
      <w:r>
        <w:rPr>
          <w:rFonts w:hint="eastAsia" w:ascii="仿宋" w:hAnsi="仿宋" w:eastAsia="仿宋" w:cs="仿宋"/>
          <w:b/>
          <w:bCs/>
          <w:color w:val="auto"/>
          <w:spacing w:val="0"/>
          <w:w w:val="100"/>
          <w:position w:val="0"/>
          <w:sz w:val="24"/>
          <w:szCs w:val="24"/>
          <w:highlight w:val="none"/>
        </w:rPr>
        <w:t>须知前附表</w:t>
      </w:r>
    </w:p>
    <w:tbl>
      <w:tblPr>
        <w:tblStyle w:val="24"/>
        <w:tblW w:w="10156" w:type="dxa"/>
        <w:jc w:val="center"/>
        <w:tblLayout w:type="fixed"/>
        <w:tblCellMar>
          <w:top w:w="0" w:type="dxa"/>
          <w:left w:w="108" w:type="dxa"/>
          <w:bottom w:w="0" w:type="dxa"/>
          <w:right w:w="108" w:type="dxa"/>
        </w:tblCellMar>
      </w:tblPr>
      <w:tblGrid>
        <w:gridCol w:w="536"/>
        <w:gridCol w:w="1720"/>
        <w:gridCol w:w="7900"/>
      </w:tblGrid>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 号</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  称</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编  列  内  容</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p>
            <w:pPr>
              <w:shd w:val="clear" w:color="auto" w:fill="auto"/>
              <w:spacing w:line="360" w:lineRule="auto"/>
              <w:jc w:val="center"/>
              <w:outlineLvl w:val="9"/>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项目编号</w:t>
            </w:r>
          </w:p>
          <w:p>
            <w:pPr>
              <w:shd w:val="clear" w:color="auto" w:fill="auto"/>
              <w:spacing w:line="360" w:lineRule="auto"/>
              <w:jc w:val="center"/>
              <w:outlineLvl w:val="9"/>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采购内容</w:t>
            </w:r>
          </w:p>
          <w:p>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项目名称：上阿图什镇塔库提村农机服务设备采购项目</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项目编号：ATSSJYZX-2022092</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采购三行圆包式采棉机2台、六行圆包式采棉机1台、花生收割机1台、拖拉机4台、液压联合整地机2架、平地机1台、秸秆还田残膜回收打包联合作业机2台、装载机1台、小麦玉米双用收割机1台、液压翻转犁1架、深松机1架，（具体详见采购清单或招标文件）。</w:t>
            </w:r>
          </w:p>
          <w:p>
            <w:pPr>
              <w:shd w:val="clear" w:color="auto" w:fill="auto"/>
              <w:spacing w:line="36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供货期：自合同签订之日起30天内完成供货。</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采购人信息</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称：阿图什市上阿图什镇人民政府</w:t>
            </w:r>
          </w:p>
          <w:p>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联系人：张先生       电  话：17397857302</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名  称：新疆天勤工程管理有限公司</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地  址：克州阿图什市迎宾路80号三楼 </w:t>
            </w:r>
          </w:p>
          <w:p>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联系人：王</w:t>
            </w:r>
            <w:r>
              <w:rPr>
                <w:rFonts w:hint="eastAsia" w:ascii="仿宋" w:hAnsi="仿宋" w:eastAsia="仿宋" w:cs="仿宋"/>
                <w:b w:val="0"/>
                <w:color w:val="auto"/>
                <w:kern w:val="2"/>
                <w:sz w:val="24"/>
                <w:szCs w:val="24"/>
                <w:highlight w:val="none"/>
                <w:lang w:val="en-US" w:eastAsia="zh-CN" w:bidi="ar-SA"/>
              </w:rPr>
              <w:t>先生</w:t>
            </w:r>
            <w:r>
              <w:rPr>
                <w:rFonts w:hint="eastAsia" w:ascii="仿宋" w:hAnsi="仿宋" w:eastAsia="仿宋" w:cs="仿宋"/>
                <w:b w:val="0"/>
                <w:bCs w:val="0"/>
                <w:color w:val="auto"/>
                <w:sz w:val="24"/>
                <w:szCs w:val="24"/>
                <w:highlight w:val="none"/>
                <w:lang w:val="en-US" w:eastAsia="zh-CN"/>
              </w:rPr>
              <w:t xml:space="preserve">       电  话：13779615026</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最终交货地点</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采购单位指定地点</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资格要求</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落实政府采购政策需满足的资格要求：标项1：本项目为非专门面向中小企业（含中型、小型、微型企业）采购项目，根据《政府采购促进中小企业发展管理办法》（财库【2020】46号）得规定，评标时将给予此类企业进行价格10%得优惠，用优惠后的价格参与评审。</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（1）具备三证合一营业执照副本；</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（2）法定代表人投标需提供法定代表人资格证明书，委托代理人投标需提供法定代表人授权委托书；</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4.本项目不接受联合体投标；</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资金来源</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2022年财政资金</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招标方式</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公开招标(本项目采用网上电子招投标)  </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供应商信用查询</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1、查询渠道：信用中国（网址：http://www.creditchina.gov.cn）、中国政府采购网(网址：http://www.ccgp.gov.cn）。</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2、截止时点：开标后评标前。</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是否接受联合体投标</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■不接受</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□接  受</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 （开标时间）</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截止时间：2022年12月27日10时30分（北京时间）</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投标有效期</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60 天</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政府采购投标保证金要求：</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投标保证金交纳方式：投标保证金应当以支票、汇票、本票、网上银行支付或者金融机构、担保机构出具的保函等非现金形式交纳。</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投标保证金的金额：212000元；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投标保证金交纳要求：</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1、投标保证金以电汇、网银等转账形式提交的，应在投标截止时间2022年</w:t>
            </w:r>
            <w:r>
              <w:rPr>
                <w:rFonts w:hint="eastAsia" w:ascii="仿宋" w:hAnsi="仿宋" w:eastAsia="仿宋" w:cs="仿宋"/>
                <w:b w:val="0"/>
                <w:bCs w:val="0"/>
                <w:color w:val="auto"/>
                <w:sz w:val="24"/>
                <w:szCs w:val="24"/>
                <w:highlight w:val="none"/>
                <w:u w:val="single"/>
                <w:lang w:val="en-US" w:eastAsia="zh-CN"/>
              </w:rPr>
              <w:t xml:space="preserve">  12</w:t>
            </w:r>
            <w:r>
              <w:rPr>
                <w:rFonts w:hint="eastAsia" w:ascii="仿宋" w:hAnsi="仿宋" w:eastAsia="仿宋" w:cs="仿宋"/>
                <w:b w:val="0"/>
                <w:bCs w:val="0"/>
                <w:color w:val="auto"/>
                <w:sz w:val="24"/>
                <w:szCs w:val="24"/>
                <w:highlight w:val="none"/>
                <w:lang w:val="en-US" w:eastAsia="zh-CN"/>
              </w:rPr>
              <w:t>月</w:t>
            </w:r>
            <w:r>
              <w:rPr>
                <w:rFonts w:hint="eastAsia" w:ascii="仿宋" w:hAnsi="仿宋" w:eastAsia="仿宋" w:cs="仿宋"/>
                <w:b w:val="0"/>
                <w:bCs w:val="0"/>
                <w:color w:val="auto"/>
                <w:sz w:val="24"/>
                <w:szCs w:val="24"/>
                <w:highlight w:val="none"/>
                <w:u w:val="single"/>
                <w:lang w:val="en-US" w:eastAsia="zh-CN"/>
              </w:rPr>
              <w:t xml:space="preserve"> 27 </w:t>
            </w:r>
            <w:r>
              <w:rPr>
                <w:rFonts w:hint="eastAsia" w:ascii="仿宋" w:hAnsi="仿宋" w:eastAsia="仿宋" w:cs="仿宋"/>
                <w:b w:val="0"/>
                <w:bCs w:val="0"/>
                <w:color w:val="auto"/>
                <w:sz w:val="24"/>
                <w:szCs w:val="24"/>
                <w:highlight w:val="none"/>
                <w:lang w:val="en-US" w:eastAsia="zh-CN"/>
              </w:rPr>
              <w:t>日10:30时（北京时间）前以总公司的基本账户一次性汇入指定账户（以到账时间为准），不接受现金及任何个人汇款。确认到账后，持银行交款单、基本户开户许可证（基本存款账户信息）到阿图什市政务服务和公共资源交易中心（阿图什市财政局六楼）换取票据收据，开标现场持此项目开具的票据收据原件，标书内附此票据收据复印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2、投标保证金以保函等票据形式提交的，在开标现场持金融机构、担保机构出具的票据原件，标书内附此票据复印件。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3、有效投标保证金成功交纳后，截止开标时间，供应商无正当理由不参加该项目投标且不递交弃标函，投标保证金不予退还。</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户名：阿图什市政务服务和公共资源交易中心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账号：30456301040005267</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行名：中国农业银行阿图什市天山分理处</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行号：103893045636</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联系人：祝女士</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电话：0908-4222076    </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（备注：必须写清楚某某公司某某项目保证金）</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投标保证金退还：</w:t>
            </w:r>
          </w:p>
          <w:p>
            <w:pPr>
              <w:numPr>
                <w:ilvl w:val="0"/>
                <w:numId w:val="2"/>
              </w:num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中标供应商持合同和票据收据5日内办理；</w:t>
            </w:r>
          </w:p>
          <w:p>
            <w:pPr>
              <w:numPr>
                <w:ilvl w:val="0"/>
                <w:numId w:val="2"/>
              </w:num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未中标供应商持收据5日内办理；</w:t>
            </w:r>
          </w:p>
          <w:p>
            <w:pPr>
              <w:numPr>
                <w:ilvl w:val="0"/>
                <w:numId w:val="0"/>
              </w:numPr>
              <w:shd w:val="clear" w:color="auto" w:fill="auto"/>
              <w:spacing w:line="360" w:lineRule="auto"/>
              <w:ind w:leftChars="0" w:right="0" w:rightChars="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3、因供应商自身原因耽搁领取，超过退还时限，不承担延后退还责任。                             </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是否允许递交备选投标方案</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■不允许</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□允  许</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招标文件领取</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时间：2022年 12月 05日至2022年12月 14日，</w:t>
            </w:r>
            <w:r>
              <w:rPr>
                <w:rFonts w:hint="eastAsia" w:ascii="仿宋" w:hAnsi="仿宋" w:eastAsia="仿宋" w:cs="仿宋"/>
                <w:b w:val="0"/>
                <w:bCs w:val="0"/>
                <w:color w:val="auto"/>
                <w:sz w:val="24"/>
                <w:szCs w:val="24"/>
                <w:highlight w:val="none"/>
                <w:lang w:val="en-US" w:eastAsia="zh-CN"/>
              </w:rPr>
              <w:t>每天上午10:00至14:00，下午16:00至19：30（北京时间，节假日除外）</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方式：（1）线上获取（登录政府采购云平台 → 项目采购 → 获取招标文件 → 申请，审核通过后可下载招标文件 ）。本次招标不提供纸质版招标文件 。</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（2）供应商获取招标文件 前应注册成为政府采购云平台正式供应商。</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投标文件形式</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电子投标文件包括“电子加密投标文件”和“备份投标文件”，在投标文件编制完成后同时生成。</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1、“电子加密投标文件”是指通过“政采云电子交易客户端”完成投标文件编制后生成并加密的数据电文形式的投标文件。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投标文件份数及要求</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1、一份电子加密标书（“.jmbs”格式），一份备份标书文件（“.bfbs”格式）。</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2、每份电子投标文件应包括资格证明文件和商务及技术文件两部分。</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待开标结束后，各投标企业请于2023年01月03日19:30前提供纸质投标文件叁份并承诺与纸质投标文件内容一致的承诺书至新疆天勤工程管理有限公司（克州阿图什市迎宾路80号三楼）。投标人可采用邮寄方式提供纸质版投标文件（收件地址：克州阿图什市迎宾路80号三楼，收件人：王先生，电话：18104746080），费用自行承担。</w:t>
            </w:r>
          </w:p>
        </w:tc>
      </w:tr>
      <w:tr>
        <w:tblPrEx>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投标文件的上传和递交</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a.供应商未能在投标截止时间前成功上传电子加密投标文件的投标无效。</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b.供应商成功上传电子加密投标文件后，可自行打印投标文件接收回执。</w:t>
            </w:r>
          </w:p>
        </w:tc>
      </w:tr>
      <w:tr>
        <w:tblPrEx>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28"/>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28"/>
                <w:rFonts w:hint="eastAsia" w:ascii="仿宋" w:hAnsi="仿宋" w:eastAsia="仿宋" w:cs="仿宋"/>
                <w:color w:val="auto"/>
                <w:sz w:val="24"/>
                <w:szCs w:val="24"/>
                <w:highlight w:val="none"/>
                <w:u w:val="single"/>
                <w:lang w:bidi="zh-CN"/>
              </w:rPr>
              <w:t>，电话：</w:t>
            </w:r>
            <w:r>
              <w:rPr>
                <w:rStyle w:val="28"/>
                <w:rFonts w:hint="eastAsia" w:ascii="仿宋" w:hAnsi="仿宋" w:eastAsia="仿宋" w:cs="仿宋"/>
                <w:color w:val="auto"/>
                <w:sz w:val="24"/>
                <w:szCs w:val="24"/>
                <w:highlight w:val="none"/>
                <w:u w:val="single"/>
                <w:lang w:val="en-US" w:bidi="zh-CN"/>
              </w:rPr>
              <w:t xml:space="preserve">13779615026 </w:t>
            </w:r>
            <w:r>
              <w:rPr>
                <w:rFonts w:hint="eastAsia" w:ascii="仿宋" w:hAnsi="仿宋" w:eastAsia="仿宋" w:cs="仿宋"/>
                <w:b w:val="0"/>
                <w:bCs w:val="0"/>
                <w:color w:val="auto"/>
                <w:sz w:val="24"/>
                <w:szCs w:val="24"/>
                <w:highlight w:val="none"/>
                <w:lang w:val="en-US" w:eastAsia="zh-CN"/>
              </w:rPr>
              <w:t>），“备份投标文件”由供应商自愿提供，招标文件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评标委员会的组建</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评标委员会由招标人依法组建；</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评标专家确定方式：专家评委由招标人在开标前从政采云专家库中随机抽取</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是否授权评标委员会确定中标候选人</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是，评标委员会推荐3名中标候选人。</w:t>
            </w:r>
            <w:r>
              <w:rPr>
                <w:rFonts w:hint="eastAsia" w:ascii="仿宋" w:hAnsi="仿宋" w:eastAsia="仿宋" w:cs="仿宋"/>
                <w:b w:val="0"/>
                <w:bCs w:val="0"/>
                <w:color w:val="auto"/>
                <w:sz w:val="24"/>
                <w:szCs w:val="24"/>
                <w:highlight w:val="none"/>
                <w:lang w:val="en-US" w:eastAsia="zh-CN"/>
              </w:rPr>
              <w:tab/>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递交投标文件地点</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投标截止时间：2022年 12月27日10时30分（北京时间）</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投标地点：新疆政府采购云平台（www.zcygov.cn）</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1720"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开标时间和地点</w:t>
            </w:r>
          </w:p>
        </w:tc>
        <w:tc>
          <w:tcPr>
            <w:tcW w:w="7900"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开标时间：2022年 12月27日10时30分（北京时间）</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开标地点：新疆政府采购云平台（www.zcygov.cn）         </w:t>
            </w:r>
          </w:p>
        </w:tc>
      </w:tr>
      <w:tr>
        <w:tblPrEx>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w:t>
            </w:r>
          </w:p>
        </w:tc>
        <w:tc>
          <w:tcPr>
            <w:tcW w:w="7900"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1、电子招投标情况说明：</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（1）电子招投标：本项目以数据电文形式，依托“政府采购云平台（www.zcygov.cn）”进行招投标活动。</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（3）招标文件 的获取：使用账号登录或者短信验证码或者使用CA登录政采云平台；进入“项目采购”应用，在获取招标文件 菜单中选择项目，获取招标文件 。申请获取招标文件前须上传的资格证明文件扫描件有：具备三证合一营业执照副本；法定代表人投标需提供法定代表人资格证明书，委托代理人投标需提供法定代表人授权委托书；参加采购活动前三年内，在经营活动中没有重大违法记录，供应商须提供 “信用中国”网站（http://www.creditchina.gov.cn/）、“中国政府采购网”网站（http://www.ccgp.gov.cn）无违法违规行为的查询纪录（提供查询结果网页截图并加盖供应商公章）；投标企业为中小企业须提供中小企业声明函；</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（4）投标文件的制作：在“政采云电子交易客户端”中完成“填写基本信息”、“导入投标文件”、“标书关联”、“标书检查”、“电子签名”、“生成电子标书”等操作。</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u w:val="single"/>
                <w:lang w:val="en-US" w:bidi="zh-CN"/>
              </w:rPr>
              <w:t>820740061@qq.com</w:t>
            </w:r>
            <w:r>
              <w:rPr>
                <w:rStyle w:val="28"/>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28"/>
                <w:rFonts w:hint="eastAsia" w:ascii="仿宋" w:hAnsi="仿宋" w:eastAsia="仿宋" w:cs="仿宋"/>
                <w:color w:val="auto"/>
                <w:sz w:val="24"/>
                <w:szCs w:val="24"/>
                <w:highlight w:val="none"/>
                <w:u w:val="single"/>
                <w:lang w:bidi="zh-CN"/>
              </w:rPr>
              <w:t>，电话：</w:t>
            </w:r>
            <w:r>
              <w:rPr>
                <w:rStyle w:val="28"/>
                <w:rFonts w:hint="eastAsia" w:ascii="仿宋" w:hAnsi="仿宋" w:eastAsia="仿宋" w:cs="仿宋"/>
                <w:color w:val="auto"/>
                <w:sz w:val="24"/>
                <w:szCs w:val="24"/>
                <w:highlight w:val="none"/>
                <w:u w:val="single"/>
                <w:lang w:val="en-US" w:bidi="zh-CN"/>
              </w:rPr>
              <w:t>13779615026</w:t>
            </w:r>
            <w:r>
              <w:rPr>
                <w:rFonts w:hint="eastAsia" w:ascii="仿宋" w:hAnsi="仿宋" w:eastAsia="仿宋" w:cs="仿宋"/>
                <w:color w:val="auto"/>
                <w:sz w:val="24"/>
                <w:szCs w:val="24"/>
                <w:highlight w:val="none"/>
                <w:lang w:bidi="zh-CN"/>
              </w:rPr>
              <w:t>）</w:t>
            </w:r>
            <w:r>
              <w:rPr>
                <w:rFonts w:hint="eastAsia" w:ascii="仿宋" w:hAnsi="仿宋" w:eastAsia="仿宋" w:cs="仿宋"/>
                <w:b w:val="0"/>
                <w:bCs w:val="0"/>
                <w:color w:val="auto"/>
                <w:sz w:val="24"/>
                <w:szCs w:val="24"/>
                <w:highlight w:val="none"/>
                <w:lang w:val="en-US"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（7）具体操作指南：详见政采云平台“服务中心-帮助文档-项目采购-操作流程-电子招投标-政府采购项目电子交易管理操作指南-供应商”。</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（8）供应商在进行上述操作时，如遇技术问题可登录政采云（https://</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HYPERLINK "http://www.zcygov.cn/" \h</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），点击右侧咨询小采，获取采小蜜智能服务管家帮助，或拨打政采云服务热线 400-881-7190 获取热线服务帮助。</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温馨提醒：供应商应提前上传，以便在上传时遇到技术问题，有充足的时间请教平台的技术人员。</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2、供应商认为招标文件使自己的权益受到损害的，可以自收到招标文件之日（招标文件 公告期限届满之前收到招标文件 的，以完成获取招标文件 申请后下载招标文件 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中标候选人公示媒介</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克州公共资源交易网、新疆政府采购网，公示期为一个工作日。</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招标代理服务收费标准( 费 率)</w:t>
            </w:r>
          </w:p>
          <w:tbl>
            <w:tblPr>
              <w:tblStyle w:val="24"/>
              <w:tblpPr w:leftFromText="180" w:rightFromText="180" w:vertAnchor="text" w:horzAnchor="page" w:tblpXSpec="center" w:tblpY="19"/>
              <w:tblOverlap w:val="never"/>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433"/>
              <w:gridCol w:w="144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中标金额</w:t>
                  </w:r>
                </w:p>
              </w:tc>
              <w:tc>
                <w:tcPr>
                  <w:tcW w:w="1530" w:type="dxa"/>
                  <w:noWrap w:val="0"/>
                  <w:vAlign w:val="center"/>
                </w:tcPr>
                <w:p>
                  <w:pPr>
                    <w:shd w:val="clear" w:color="auto" w:fill="auto"/>
                    <w:spacing w:line="360" w:lineRule="auto"/>
                    <w:ind w:firstLine="240" w:firstLineChars="100"/>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货物招标</w:t>
                  </w:r>
                </w:p>
              </w:tc>
              <w:tc>
                <w:tcPr>
                  <w:tcW w:w="1433" w:type="dxa"/>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服务招标</w:t>
                  </w:r>
                </w:p>
              </w:tc>
              <w:tc>
                <w:tcPr>
                  <w:tcW w:w="1446" w:type="dxa"/>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工程招标</w:t>
                  </w:r>
                </w:p>
              </w:tc>
              <w:tc>
                <w:tcPr>
                  <w:tcW w:w="1144" w:type="dxa"/>
                  <w:noWrap w:val="0"/>
                  <w:vAlign w:val="center"/>
                </w:tcPr>
                <w:p>
                  <w:pPr>
                    <w:shd w:val="clear" w:color="auto" w:fill="auto"/>
                    <w:tabs>
                      <w:tab w:val="left" w:pos="317"/>
                    </w:tabs>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100万元以下</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100～500万元</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0.8%</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0.7%</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500～1000万元</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0.8%</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0.45%</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0.55%</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1000～5000万元</w:t>
                  </w:r>
                </w:p>
              </w:tc>
              <w:tc>
                <w:tcPr>
                  <w:tcW w:w="1530"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p>
              </w:tc>
              <w:tc>
                <w:tcPr>
                  <w:tcW w:w="1433"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0.25%</w:t>
                  </w:r>
                </w:p>
              </w:tc>
              <w:tc>
                <w:tcPr>
                  <w:tcW w:w="1446"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0.35%</w:t>
                  </w:r>
                </w:p>
              </w:tc>
              <w:tc>
                <w:tcPr>
                  <w:tcW w:w="1144" w:type="dxa"/>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r>
          </w:tbl>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p>
          <w:p>
            <w:pPr>
              <w:numPr>
                <w:ilvl w:val="0"/>
                <w:numId w:val="3"/>
              </w:numPr>
              <w:shd w:val="clear" w:color="auto" w:fill="auto"/>
              <w:spacing w:line="360" w:lineRule="auto"/>
              <w:ind w:left="320" w:leftChars="0" w:firstLine="0" w:firstLineChars="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按本表费率计算的收费为招标代理服务全过程的收费基准价格，单独提供编制招标文件（有标底的含标底）服务的，可按规定标准的30％计收。</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100万元×1.0％＝1万元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（500－100）万元×0.7％＝2.8万元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（1000－500）万元×0.55％＝2.75万元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（5000－1000）万元×0.35％＝14万元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（6000－5000）万元×0.2％＝2万元</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合计收费＝1＋2.8＋2.75＋14＋2＝22.55(万元)</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评标办法：本项目采用综合评分法</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不管投标结果如何，投标人均应承担自己投标所需一切费用。</w:t>
            </w:r>
          </w:p>
        </w:tc>
      </w:tr>
      <w:tr>
        <w:tblPrEx>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本次招标预算价：16070000.00元；（投标报价超过采购预算价的按废标处理）</w:t>
            </w:r>
          </w:p>
        </w:tc>
      </w:tr>
      <w:tr>
        <w:tblPrEx>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中小微企业政策文件</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（1）根据财政部、工业和信息化部关于印发《政府采购促进中小企业发展</w:t>
            </w:r>
            <w:r>
              <w:rPr>
                <w:rFonts w:hint="eastAsia" w:ascii="仿宋" w:hAnsi="仿宋" w:eastAsia="仿宋" w:cs="仿宋"/>
                <w:b w:val="0"/>
                <w:bCs w:val="0"/>
                <w:color w:val="auto"/>
                <w:sz w:val="24"/>
                <w:szCs w:val="24"/>
                <w:highlight w:val="none"/>
                <w:lang w:eastAsia="zh-CN"/>
              </w:rPr>
              <w:t>管理</w:t>
            </w:r>
            <w:r>
              <w:rPr>
                <w:rFonts w:hint="eastAsia" w:ascii="仿宋" w:hAnsi="仿宋" w:eastAsia="仿宋" w:cs="仿宋"/>
                <w:b w:val="0"/>
                <w:bCs w:val="0"/>
                <w:color w:val="auto"/>
                <w:sz w:val="24"/>
                <w:szCs w:val="24"/>
                <w:highlight w:val="none"/>
              </w:rPr>
              <w:t>办法》的通知（财库[20</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46</w:t>
            </w:r>
            <w:r>
              <w:rPr>
                <w:rFonts w:hint="eastAsia" w:ascii="仿宋" w:hAnsi="仿宋" w:eastAsia="仿宋" w:cs="仿宋"/>
                <w:b w:val="0"/>
                <w:bCs w:val="0"/>
                <w:color w:val="auto"/>
                <w:sz w:val="24"/>
                <w:szCs w:val="24"/>
                <w:highlight w:val="none"/>
              </w:rPr>
              <w:t>号）</w:t>
            </w:r>
            <w:r>
              <w:rPr>
                <w:rFonts w:hint="eastAsia" w:ascii="仿宋" w:hAnsi="仿宋" w:eastAsia="仿宋" w:cs="仿宋"/>
                <w:b w:val="0"/>
                <w:bCs w:val="0"/>
                <w:color w:val="auto"/>
                <w:sz w:val="24"/>
                <w:szCs w:val="24"/>
                <w:highlight w:val="none"/>
                <w:lang w:eastAsia="zh-CN"/>
              </w:rPr>
              <w:t>及（财库</w:t>
            </w:r>
            <w:r>
              <w:rPr>
                <w:rFonts w:hint="eastAsia" w:ascii="仿宋" w:hAnsi="仿宋" w:eastAsia="仿宋" w:cs="仿宋"/>
                <w:b w:val="0"/>
                <w:bCs w:val="0"/>
                <w:color w:val="auto"/>
                <w:sz w:val="24"/>
                <w:szCs w:val="24"/>
                <w:highlight w:val="none"/>
              </w:rPr>
              <w:t>[20</w:t>
            </w: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19号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，投标人及其所投产品的制造商均属于《工业和信息化部、国家统计局、国家发展和改革委员会、财政部关于印发中小企业划型标准规定的通知》（工信部联企业[2011]300号）中规定的</w:t>
            </w:r>
            <w:r>
              <w:rPr>
                <w:rFonts w:hint="eastAsia" w:ascii="仿宋" w:hAnsi="仿宋" w:eastAsia="仿宋" w:cs="仿宋"/>
                <w:b w:val="0"/>
                <w:bCs w:val="0"/>
                <w:color w:val="auto"/>
                <w:sz w:val="24"/>
                <w:szCs w:val="24"/>
                <w:highlight w:val="none"/>
                <w:lang w:eastAsia="zh-CN"/>
              </w:rPr>
              <w:t>中型、</w:t>
            </w:r>
            <w:r>
              <w:rPr>
                <w:rFonts w:hint="eastAsia" w:ascii="仿宋" w:hAnsi="仿宋" w:eastAsia="仿宋" w:cs="仿宋"/>
                <w:b w:val="0"/>
                <w:bCs w:val="0"/>
                <w:color w:val="auto"/>
                <w:sz w:val="24"/>
                <w:szCs w:val="24"/>
                <w:highlight w:val="none"/>
              </w:rPr>
              <w:t>小型、微型企业标准的，按招标文件格式提供《中小企业声明函》。</w:t>
            </w:r>
          </w:p>
        </w:tc>
      </w:tr>
      <w:tr>
        <w:tblPrEx>
          <w:tblCellMar>
            <w:top w:w="0" w:type="dxa"/>
            <w:left w:w="108" w:type="dxa"/>
            <w:bottom w:w="0" w:type="dxa"/>
            <w:right w:w="108" w:type="dxa"/>
          </w:tblCellMar>
        </w:tblPrEx>
        <w:trPr>
          <w:trHeight w:val="57" w:hRule="atLeast"/>
          <w:jc w:val="center"/>
        </w:trPr>
        <w:tc>
          <w:tcPr>
            <w:tcW w:w="536" w:type="dxa"/>
            <w:vMerge w:val="continue"/>
            <w:tcBorders>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1720" w:type="dxa"/>
            <w:vMerge w:val="continue"/>
            <w:tcBorders>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中小微企业政策文件说明</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（1）支持中小企业发展：给予小型和微型企业产品的价格</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color w:val="auto"/>
                <w:sz w:val="24"/>
                <w:szCs w:val="24"/>
                <w:highlight w:val="none"/>
              </w:rPr>
              <w:t>%的扣除，用扣除后的价格参与评审，本项目具体扣除比例为</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57" w:hRule="atLeast"/>
          <w:jc w:val="center"/>
        </w:trPr>
        <w:tc>
          <w:tcPr>
            <w:tcW w:w="536" w:type="dxa"/>
            <w:vMerge w:val="continue"/>
            <w:tcBorders>
              <w:left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1720" w:type="dxa"/>
            <w:vMerge w:val="continue"/>
            <w:tcBorders>
              <w:left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（2）不符合上述适用情形的投标人无需提供上述声明函件。</w:t>
            </w:r>
          </w:p>
        </w:tc>
      </w:tr>
      <w:tr>
        <w:tblPrEx>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）本项目</w:t>
            </w:r>
            <w:r>
              <w:rPr>
                <w:rFonts w:hint="eastAsia" w:ascii="仿宋" w:hAnsi="仿宋" w:eastAsia="仿宋" w:cs="仿宋"/>
                <w:b w:val="0"/>
                <w:bCs w:val="0"/>
                <w:color w:val="auto"/>
                <w:sz w:val="24"/>
                <w:szCs w:val="24"/>
                <w:highlight w:val="none"/>
                <w:lang w:val="en-US" w:eastAsia="zh-CN"/>
              </w:rPr>
              <w:t>为非专门面向中小企业采购，按照相关要求给予价格扣除比例为10%。</w:t>
            </w:r>
          </w:p>
        </w:tc>
      </w:tr>
      <w:tr>
        <w:tblPrEx>
          <w:tblCellMar>
            <w:top w:w="0" w:type="dxa"/>
            <w:left w:w="108" w:type="dxa"/>
            <w:bottom w:w="0" w:type="dxa"/>
            <w:right w:w="108" w:type="dxa"/>
          </w:tblCellMar>
        </w:tblPrEx>
        <w:trPr>
          <w:trHeight w:val="57" w:hRule="atLeast"/>
          <w:jc w:val="center"/>
        </w:trPr>
        <w:tc>
          <w:tcPr>
            <w:tcW w:w="536"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1720"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本采购项目所属行业</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本采购项目所属行业：农、林、牧、渔</w:t>
            </w:r>
          </w:p>
        </w:tc>
      </w:tr>
      <w:tr>
        <w:tblPrEx>
          <w:tblCellMar>
            <w:top w:w="0" w:type="dxa"/>
            <w:left w:w="108" w:type="dxa"/>
            <w:bottom w:w="0" w:type="dxa"/>
            <w:right w:w="108" w:type="dxa"/>
          </w:tblCellMar>
        </w:tblPrEx>
        <w:trPr>
          <w:trHeight w:val="57" w:hRule="atLeast"/>
          <w:jc w:val="center"/>
        </w:trPr>
        <w:tc>
          <w:tcPr>
            <w:tcW w:w="536"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p>
        </w:tc>
        <w:tc>
          <w:tcPr>
            <w:tcW w:w="1720" w:type="dxa"/>
            <w:tcBorders>
              <w:left w:val="single" w:color="auto" w:sz="4" w:space="0"/>
              <w:bottom w:val="single" w:color="auto" w:sz="4" w:space="0"/>
              <w:right w:val="single" w:color="auto" w:sz="4" w:space="0"/>
            </w:tcBorders>
            <w:noWrap w:val="0"/>
            <w:vAlign w:val="center"/>
          </w:tcPr>
          <w:p>
            <w:pPr>
              <w:shd w:val="clear" w:color="auto" w:fill="auto"/>
              <w:spacing w:line="360" w:lineRule="auto"/>
              <w:ind w:firstLine="240" w:firstLineChars="100"/>
              <w:jc w:val="both"/>
              <w:outlineLvl w:val="9"/>
              <w:rPr>
                <w:rFonts w:hint="eastAsia" w:ascii="仿宋" w:hAnsi="仿宋" w:eastAsia="仿宋" w:cs="仿宋"/>
                <w:b w:val="0"/>
                <w:bCs w:val="0"/>
                <w:color w:val="auto"/>
                <w:sz w:val="24"/>
                <w:szCs w:val="24"/>
                <w:highlight w:val="none"/>
              </w:rPr>
            </w:pPr>
          </w:p>
          <w:p>
            <w:pPr>
              <w:shd w:val="clear" w:color="auto" w:fill="auto"/>
              <w:spacing w:line="360" w:lineRule="auto"/>
              <w:jc w:val="both"/>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履约保证金</w:t>
            </w:r>
          </w:p>
          <w:p>
            <w:pPr>
              <w:shd w:val="clear" w:color="auto" w:fill="auto"/>
              <w:spacing w:line="360" w:lineRule="auto"/>
              <w:jc w:val="both"/>
              <w:outlineLvl w:val="9"/>
              <w:rPr>
                <w:rFonts w:hint="eastAsia" w:ascii="仿宋" w:hAnsi="仿宋" w:eastAsia="仿宋" w:cs="仿宋"/>
                <w:b w:val="0"/>
                <w:bCs w:val="0"/>
                <w:color w:val="auto"/>
                <w:sz w:val="24"/>
                <w:szCs w:val="24"/>
                <w:highlight w:val="none"/>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应在领取《</w:t>
            </w:r>
            <w:r>
              <w:rPr>
                <w:rFonts w:hint="eastAsia" w:ascii="仿宋" w:hAnsi="仿宋" w:eastAsia="仿宋" w:cs="仿宋"/>
                <w:b w:val="0"/>
                <w:bCs w:val="0"/>
                <w:color w:val="auto"/>
                <w:sz w:val="24"/>
                <w:szCs w:val="24"/>
                <w:highlight w:val="none"/>
                <w:lang w:val="zh-CN"/>
              </w:rPr>
              <w:t>中标通知书</w:t>
            </w:r>
            <w:r>
              <w:rPr>
                <w:rFonts w:hint="eastAsia" w:ascii="仿宋" w:hAnsi="仿宋" w:eastAsia="仿宋" w:cs="仿宋"/>
                <w:b w:val="0"/>
                <w:bCs w:val="0"/>
                <w:color w:val="auto"/>
                <w:sz w:val="24"/>
                <w:szCs w:val="24"/>
                <w:highlight w:val="none"/>
              </w:rPr>
              <w:t>》后的十个日历日内，办理履约保证金，</w:t>
            </w:r>
            <w:r>
              <w:rPr>
                <w:rFonts w:hint="eastAsia" w:ascii="仿宋" w:hAnsi="仿宋" w:eastAsia="仿宋" w:cs="仿宋"/>
                <w:b w:val="0"/>
                <w:bCs w:val="0"/>
                <w:color w:val="auto"/>
                <w:sz w:val="24"/>
                <w:szCs w:val="24"/>
                <w:highlight w:val="none"/>
                <w:lang w:val="zh-CN"/>
              </w:rPr>
              <w:t>金额不超过合同总价的10%，</w:t>
            </w:r>
            <w:r>
              <w:rPr>
                <w:rFonts w:hint="eastAsia" w:ascii="仿宋" w:hAnsi="仿宋" w:eastAsia="仿宋" w:cs="仿宋"/>
                <w:b w:val="0"/>
                <w:bCs w:val="0"/>
                <w:color w:val="auto"/>
                <w:sz w:val="24"/>
                <w:szCs w:val="24"/>
                <w:highlight w:val="none"/>
              </w:rPr>
              <w:t>否则招标人可取消</w:t>
            </w: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的</w:t>
            </w:r>
            <w:r>
              <w:rPr>
                <w:rFonts w:hint="eastAsia" w:ascii="仿宋" w:hAnsi="仿宋" w:eastAsia="仿宋" w:cs="仿宋"/>
                <w:b w:val="0"/>
                <w:bCs w:val="0"/>
                <w:color w:val="auto"/>
                <w:sz w:val="24"/>
                <w:szCs w:val="24"/>
                <w:highlight w:val="none"/>
                <w:lang w:val="zh-CN"/>
              </w:rPr>
              <w:t>中标</w:t>
            </w:r>
            <w:r>
              <w:rPr>
                <w:rFonts w:hint="eastAsia" w:ascii="仿宋" w:hAnsi="仿宋" w:eastAsia="仿宋" w:cs="仿宋"/>
                <w:b w:val="0"/>
                <w:bCs w:val="0"/>
                <w:color w:val="auto"/>
                <w:sz w:val="24"/>
                <w:szCs w:val="24"/>
                <w:highlight w:val="none"/>
              </w:rPr>
              <w:t>资格，并没收其投标保证金</w:t>
            </w:r>
            <w:r>
              <w:rPr>
                <w:rFonts w:hint="eastAsia" w:ascii="仿宋" w:hAnsi="仿宋" w:eastAsia="仿宋" w:cs="仿宋"/>
                <w:b w:val="0"/>
                <w:bCs w:val="0"/>
                <w:color w:val="auto"/>
                <w:sz w:val="24"/>
                <w:szCs w:val="24"/>
                <w:highlight w:val="none"/>
                <w:lang w:eastAsia="zh-CN"/>
              </w:rPr>
              <w:t>。</w:t>
            </w:r>
          </w:p>
        </w:tc>
      </w:tr>
      <w:tr>
        <w:tblPrEx>
          <w:tblCellMar>
            <w:top w:w="0" w:type="dxa"/>
            <w:left w:w="108" w:type="dxa"/>
            <w:bottom w:w="0" w:type="dxa"/>
            <w:right w:w="108" w:type="dxa"/>
          </w:tblCellMar>
        </w:tblPrEx>
        <w:trPr>
          <w:trHeight w:val="57" w:hRule="atLeast"/>
          <w:jc w:val="center"/>
        </w:trPr>
        <w:tc>
          <w:tcPr>
            <w:tcW w:w="225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备注</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着重提醒各投标人注意，并认真查看招标文件中的每一个条款及要求，因误读招标文件而造成的后果，招标人概不负责。</w:t>
            </w:r>
          </w:p>
          <w:p>
            <w:pPr>
              <w:spacing w:line="360" w:lineRule="auto"/>
              <w:outlineLvl w:val="9"/>
              <w:rPr>
                <w:rFonts w:hint="eastAsia" w:ascii="仿宋" w:hAnsi="仿宋" w:eastAsia="仿宋" w:cs="仿宋"/>
                <w:b w:val="0"/>
                <w:bCs w:val="0"/>
                <w:color w:val="auto"/>
                <w:spacing w:val="0"/>
                <w:w w:val="100"/>
                <w:position w:val="0"/>
                <w:sz w:val="24"/>
                <w:szCs w:val="24"/>
                <w:highlight w:val="none"/>
                <w:shd w:val="clear" w:color="auto" w:fill="auto"/>
                <w:lang w:val="en-US" w:eastAsia="zh-CN" w:bidi="en-US"/>
              </w:rPr>
            </w:pPr>
            <w:r>
              <w:rPr>
                <w:rFonts w:hint="eastAsia" w:ascii="仿宋" w:hAnsi="仿宋" w:eastAsia="仿宋" w:cs="仿宋"/>
                <w:b w:val="0"/>
                <w:bCs w:val="0"/>
                <w:color w:val="auto"/>
                <w:spacing w:val="0"/>
                <w:w w:val="100"/>
                <w:position w:val="0"/>
                <w:sz w:val="24"/>
                <w:szCs w:val="24"/>
                <w:highlight w:val="none"/>
                <w:shd w:val="clear" w:color="auto" w:fill="auto"/>
                <w:lang w:val="en-US" w:eastAsia="zh-CN" w:bidi="en-US"/>
              </w:rPr>
              <w:t>2、投标人使用相同IP地址的，一经发现，相关部门将进一步核实，查实后按串通投标处理。</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为保证本项目质量，良好的售后服务，最低报价不作为中标的唯一依据。</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候选供应商在投标过程中提供虚假证明文件，故意隐瞒公司不良信誉和财务状况，以及其他可能对合同圆满履行造成风险的因素等，则按规定取消其</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资格，监管部门依法进行处理。</w:t>
            </w:r>
          </w:p>
          <w:p>
            <w:pPr>
              <w:spacing w:line="360" w:lineRule="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其它：</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（1）投标企业严格遵守国家的法律法规及招标纪律，无违法违纪及商业贿赂行为。</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（2）不管投标结果如何，供应商均应自行承担投标所需一切费用。</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（3）供应商应以书面形式保证中标后由本公司组织实施，不得以任何理由将项目转包给其他机构。</w:t>
            </w:r>
          </w:p>
          <w:p>
            <w:pPr>
              <w:shd w:val="clear" w:color="auto" w:fill="auto"/>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中如出现前后不一致情况，均以前附表内容为准。</w:t>
            </w:r>
          </w:p>
        </w:tc>
      </w:tr>
    </w:tbl>
    <w:p>
      <w:pPr>
        <w:pageBreakBefore/>
        <w:shd w:val="clear" w:color="auto" w:fill="auto"/>
        <w:spacing w:before="312" w:beforeLines="100" w:after="312" w:afterLines="100" w:line="440" w:lineRule="exact"/>
        <w:jc w:val="center"/>
        <w:outlineLvl w:val="9"/>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pPr>
        <w:shd w:val="clear" w:color="auto" w:fill="auto"/>
        <w:spacing w:line="440" w:lineRule="exact"/>
        <w:jc w:val="center"/>
        <w:outlineLvl w:val="9"/>
        <w:rPr>
          <w:rFonts w:hint="eastAsia" w:ascii="仿宋" w:hAnsi="仿宋" w:eastAsia="仿宋" w:cs="仿宋"/>
          <w:color w:val="auto"/>
          <w:sz w:val="28"/>
          <w:szCs w:val="28"/>
          <w:highlight w:val="none"/>
        </w:rPr>
      </w:pPr>
      <w:bookmarkStart w:id="8"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8"/>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供货期：见投标人须知前附表。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交</w:t>
      </w:r>
      <w:r>
        <w:rPr>
          <w:rFonts w:hint="eastAsia" w:ascii="仿宋" w:hAnsi="仿宋" w:eastAsia="仿宋" w:cs="仿宋"/>
          <w:color w:val="auto"/>
          <w:szCs w:val="21"/>
          <w:highlight w:val="none"/>
        </w:rPr>
        <w:t>货地点：见投标人须知前附表。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pPr>
        <w:shd w:val="clear" w:color="auto" w:fill="auto"/>
        <w:snapToGrid w:val="0"/>
        <w:spacing w:line="440" w:lineRule="exact"/>
        <w:ind w:firstLine="600" w:firstLineChars="25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rPr>
        <w:t>个包</w:t>
      </w:r>
      <w:r>
        <w:rPr>
          <w:rFonts w:hint="eastAsia" w:ascii="仿宋" w:hAnsi="仿宋" w:eastAsia="仿宋" w:cs="仿宋"/>
          <w:color w:val="auto"/>
          <w:kern w:val="0"/>
          <w:szCs w:val="21"/>
          <w:highlight w:val="none"/>
        </w:rPr>
        <w:t>。</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固定单价 。</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pPr>
        <w:shd w:val="clear" w:color="auto" w:fill="auto"/>
        <w:snapToGrid w:val="0"/>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9" w:name="_Toc152045539"/>
      <w:bookmarkStart w:id="10" w:name="_Toc296602429"/>
      <w:bookmarkStart w:id="11" w:name="_Toc247513962"/>
      <w:bookmarkStart w:id="12" w:name="_Toc247527563"/>
      <w:bookmarkStart w:id="13" w:name="_Toc152042315"/>
      <w:bookmarkStart w:id="14" w:name="_Toc144974507"/>
      <w:bookmarkStart w:id="15" w:name="_Toc247592876"/>
      <w:r>
        <w:rPr>
          <w:rFonts w:hint="eastAsia" w:ascii="仿宋" w:hAnsi="仿宋" w:eastAsia="仿宋" w:cs="仿宋"/>
          <w:b/>
          <w:color w:val="auto"/>
          <w:szCs w:val="21"/>
          <w:highlight w:val="none"/>
        </w:rPr>
        <w:t xml:space="preserve"> 踏勘现场</w:t>
      </w:r>
      <w:bookmarkEnd w:id="9"/>
      <w:bookmarkEnd w:id="10"/>
      <w:bookmarkEnd w:id="11"/>
      <w:bookmarkEnd w:id="12"/>
      <w:bookmarkEnd w:id="13"/>
      <w:bookmarkEnd w:id="14"/>
      <w:bookmarkEnd w:id="15"/>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bookmarkStart w:id="16" w:name="_Toc152045540"/>
      <w:bookmarkStart w:id="17" w:name="_Toc247592877"/>
      <w:bookmarkStart w:id="18" w:name="_Toc247513963"/>
      <w:bookmarkStart w:id="19" w:name="_Toc144974508"/>
      <w:bookmarkStart w:id="20" w:name="_Toc247527564"/>
      <w:bookmarkStart w:id="21" w:name="_Toc296602430"/>
      <w:bookmarkStart w:id="22" w:name="_Toc152042316"/>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16"/>
      <w:bookmarkEnd w:id="17"/>
      <w:bookmarkEnd w:id="18"/>
      <w:bookmarkEnd w:id="19"/>
      <w:bookmarkEnd w:id="20"/>
      <w:bookmarkEnd w:id="21"/>
      <w:bookmarkEnd w:id="22"/>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联合投标</w:t>
      </w:r>
    </w:p>
    <w:p>
      <w:pPr>
        <w:shd w:val="clear" w:color="auto" w:fill="auto"/>
        <w:spacing w:line="44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pPr>
        <w:pStyle w:val="10"/>
        <w:shd w:val="clear" w:color="auto" w:fill="auto"/>
        <w:spacing w:after="0" w:line="400" w:lineRule="exact"/>
        <w:ind w:left="0" w:leftChars="0" w:firstLine="484" w:firstLineChars="202"/>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pPr>
        <w:shd w:val="clear" w:color="auto" w:fill="auto"/>
        <w:spacing w:line="440" w:lineRule="exact"/>
        <w:ind w:firstLine="470" w:firstLineChars="196"/>
        <w:jc w:val="left"/>
        <w:outlineLvl w:val="9"/>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12.招标代理费</w:t>
      </w:r>
      <w:r>
        <w:rPr>
          <w:rFonts w:hint="eastAsia" w:ascii="仿宋" w:hAnsi="仿宋" w:eastAsia="仿宋" w:cs="仿宋"/>
          <w:b/>
          <w:color w:val="auto"/>
          <w:szCs w:val="21"/>
          <w:highlight w:val="none"/>
          <w:lang w:eastAsia="zh-CN"/>
        </w:rPr>
        <w:t>：参照投标人须知前附表</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pPr>
        <w:shd w:val="clear" w:color="auto" w:fill="auto"/>
        <w:spacing w:line="44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pPr>
        <w:shd w:val="clear" w:color="auto" w:fill="auto"/>
        <w:spacing w:line="440" w:lineRule="exact"/>
        <w:ind w:firstLine="470" w:firstLineChars="196"/>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pPr>
        <w:shd w:val="clear" w:color="auto" w:fill="auto"/>
        <w:spacing w:line="440" w:lineRule="exact"/>
        <w:ind w:firstLine="470" w:firstLineChars="196"/>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pPr>
        <w:shd w:val="clear" w:color="auto" w:fill="auto"/>
        <w:spacing w:line="400" w:lineRule="exact"/>
        <w:ind w:firstLine="360" w:firstLineChars="15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lang w:eastAsia="zh-CN"/>
        </w:rPr>
      </w:pPr>
      <w:bookmarkStart w:id="23" w:name="_Toc469495725"/>
      <w:r>
        <w:rPr>
          <w:rFonts w:hint="eastAsia" w:ascii="仿宋" w:hAnsi="仿宋" w:eastAsia="仿宋" w:cs="仿宋"/>
          <w:b/>
          <w:color w:val="auto"/>
          <w:sz w:val="28"/>
          <w:szCs w:val="28"/>
          <w:highlight w:val="none"/>
        </w:rPr>
        <w:t>（二）</w:t>
      </w:r>
      <w:bookmarkEnd w:id="23"/>
      <w:r>
        <w:rPr>
          <w:rFonts w:hint="eastAsia" w:ascii="仿宋" w:hAnsi="仿宋" w:eastAsia="仿宋" w:cs="仿宋"/>
          <w:b/>
          <w:color w:val="auto"/>
          <w:sz w:val="28"/>
          <w:szCs w:val="28"/>
          <w:highlight w:val="none"/>
          <w:lang w:eastAsia="zh-CN"/>
        </w:rPr>
        <w:t>招标文件</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rPr>
        <w:t>公告</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供应商须知</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第四章  </w:t>
      </w:r>
      <w:r>
        <w:rPr>
          <w:rFonts w:hint="eastAsia" w:ascii="仿宋" w:hAnsi="仿宋" w:eastAsia="仿宋" w:cs="仿宋"/>
          <w:color w:val="auto"/>
          <w:szCs w:val="21"/>
          <w:highlight w:val="none"/>
          <w:lang w:eastAsia="zh-CN"/>
        </w:rPr>
        <w:t>技术规格数量及质量要求</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第五章  </w:t>
      </w:r>
      <w:r>
        <w:rPr>
          <w:rFonts w:hint="eastAsia" w:ascii="仿宋" w:hAnsi="仿宋" w:eastAsia="仿宋" w:cs="仿宋"/>
          <w:color w:val="auto"/>
          <w:szCs w:val="21"/>
          <w:highlight w:val="none"/>
          <w:lang w:eastAsia="zh-CN"/>
        </w:rPr>
        <w:t>合同（参考）</w:t>
      </w:r>
    </w:p>
    <w:p>
      <w:pPr>
        <w:shd w:val="clear" w:color="auto" w:fill="auto"/>
        <w:spacing w:line="440" w:lineRule="exact"/>
        <w:ind w:firstLine="1680" w:firstLineChars="7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第六章  </w:t>
      </w:r>
      <w:r>
        <w:rPr>
          <w:rFonts w:hint="eastAsia" w:ascii="仿宋" w:hAnsi="仿宋" w:eastAsia="仿宋" w:cs="仿宋"/>
          <w:color w:val="auto"/>
          <w:szCs w:val="21"/>
          <w:highlight w:val="none"/>
          <w:lang w:val="en-US" w:eastAsia="zh-CN"/>
        </w:rPr>
        <w:t>投标文件格式</w:t>
      </w:r>
    </w:p>
    <w:p>
      <w:pPr>
        <w:shd w:val="clear" w:color="auto" w:fill="auto"/>
        <w:spacing w:line="44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pPr>
        <w:pStyle w:val="12"/>
        <w:shd w:val="clear" w:color="auto" w:fill="auto"/>
        <w:wordWrap w:val="0"/>
        <w:spacing w:line="400" w:lineRule="exact"/>
        <w:outlineLvl w:val="9"/>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的全部内容。如发现缺页或附件不全，应及时向招标人提出，以便补齐。如有疑问，投标人应在</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pPr>
        <w:shd w:val="clear" w:color="auto" w:fill="auto"/>
        <w:wordWrap w:val="0"/>
        <w:spacing w:line="44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pPr>
        <w:shd w:val="clear" w:color="auto" w:fill="auto"/>
        <w:spacing w:line="440" w:lineRule="exact"/>
        <w:ind w:firstLine="480" w:firstLineChars="200"/>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pPr>
        <w:shd w:val="clear" w:color="auto" w:fill="auto"/>
        <w:wordWrap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pPr>
        <w:shd w:val="clear" w:color="auto" w:fill="auto"/>
        <w:wordWrap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pPr>
        <w:shd w:val="clear" w:color="auto" w:fill="auto"/>
        <w:spacing w:line="40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pPr>
        <w:shd w:val="clear" w:color="auto" w:fill="auto"/>
        <w:spacing w:line="400" w:lineRule="exact"/>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pPr>
        <w:shd w:val="clear" w:color="auto" w:fill="auto"/>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pPr>
        <w:shd w:val="clear" w:color="auto" w:fill="auto"/>
        <w:spacing w:line="440" w:lineRule="exact"/>
        <w:ind w:firstLine="319" w:firstLineChars="133"/>
        <w:outlineLvl w:val="9"/>
        <w:rPr>
          <w:rFonts w:hint="eastAsia" w:ascii="仿宋" w:hAnsi="仿宋" w:eastAsia="仿宋" w:cs="仿宋"/>
          <w:color w:val="auto"/>
          <w:szCs w:val="21"/>
          <w:highlight w:val="none"/>
        </w:rPr>
      </w:pPr>
      <w:bookmarkStart w:id="24" w:name="_Toc469495726"/>
      <w:r>
        <w:rPr>
          <w:rFonts w:hint="eastAsia" w:ascii="仿宋" w:hAnsi="仿宋" w:eastAsia="仿宋" w:cs="仿宋"/>
          <w:b/>
          <w:color w:val="auto"/>
          <w:szCs w:val="21"/>
          <w:highlight w:val="none"/>
        </w:rPr>
        <w:t xml:space="preserve">19. </w:t>
      </w:r>
      <w:r>
        <w:rPr>
          <w:rFonts w:hint="eastAsia" w:ascii="仿宋" w:hAnsi="仿宋" w:eastAsia="仿宋" w:cs="仿宋"/>
          <w:color w:val="auto"/>
          <w:szCs w:val="21"/>
          <w:highlight w:val="none"/>
        </w:rPr>
        <w:t>凡需要设置样品情形时，必须明确是否需要随样品提交检测报告，并明确检测机构的要求、检测内容、</w:t>
      </w:r>
      <w:r>
        <w:rPr>
          <w:rFonts w:hint="eastAsia" w:ascii="仿宋" w:hAnsi="仿宋" w:eastAsia="仿宋" w:cs="仿宋"/>
          <w:b w:val="0"/>
          <w:bCs w:val="0"/>
          <w:color w:val="auto"/>
          <w:szCs w:val="21"/>
          <w:highlight w:val="none"/>
        </w:rPr>
        <w:t>中标样品封存</w:t>
      </w:r>
      <w:r>
        <w:rPr>
          <w:rFonts w:hint="eastAsia" w:ascii="仿宋" w:hAnsi="仿宋" w:eastAsia="仿宋" w:cs="仿宋"/>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根据项目需求按上述要求自行描述）</w:t>
      </w:r>
    </w:p>
    <w:p>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bookmarkEnd w:id="24"/>
    </w:p>
    <w:p>
      <w:pPr>
        <w:shd w:val="clear" w:color="auto" w:fill="auto"/>
        <w:spacing w:line="440" w:lineRule="exact"/>
        <w:ind w:firstLine="348" w:firstLineChars="145"/>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pPr>
        <w:shd w:val="clear" w:color="auto" w:fill="auto"/>
        <w:spacing w:line="440" w:lineRule="exact"/>
        <w:ind w:firstLine="324" w:firstLineChars="1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pPr>
        <w:shd w:val="clear" w:color="auto" w:fill="auto"/>
        <w:spacing w:line="400" w:lineRule="exact"/>
        <w:ind w:firstLine="235" w:firstLineChars="98"/>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pPr>
        <w:shd w:val="clear" w:color="auto" w:fill="auto"/>
        <w:spacing w:line="440" w:lineRule="exact"/>
        <w:ind w:firstLine="352" w:firstLineChars="147"/>
        <w:outlineLvl w:val="9"/>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3、法定代表人授权书</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4、投标保证金收据或投标担保函；</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5、投标企业须提供投标人（被授权在职人员）近期社保证明</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6、参加政府采购活动前3年内在经营活动中没有重大违法记录的书面声明;</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352" w:firstLineChars="147"/>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8、投标人须知资料表要求的其他资格证明文件;</w:t>
      </w:r>
    </w:p>
    <w:p>
      <w:pPr>
        <w:shd w:val="clear" w:color="auto" w:fill="auto"/>
        <w:spacing w:line="440" w:lineRule="exact"/>
        <w:ind w:firstLine="352" w:firstLineChars="147"/>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、投标分项报价表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7、投标人基本情况表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8、近三年（2019年1月1日至今）类似项目业绩表</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9</w:t>
      </w:r>
      <w:r>
        <w:rPr>
          <w:rFonts w:hint="eastAsia" w:ascii="仿宋" w:hAnsi="仿宋" w:eastAsia="仿宋" w:cs="仿宋"/>
          <w:b w:val="0"/>
          <w:bCs/>
          <w:color w:val="auto"/>
          <w:kern w:val="0"/>
          <w:szCs w:val="21"/>
          <w:highlight w:val="none"/>
          <w:u w:val="none"/>
        </w:rPr>
        <w:t>、中小企业声明函(</w:t>
      </w:r>
      <w:r>
        <w:rPr>
          <w:rFonts w:hint="eastAsia" w:ascii="仿宋" w:hAnsi="仿宋" w:eastAsia="仿宋" w:cs="仿宋"/>
          <w:b w:val="0"/>
          <w:bCs/>
          <w:color w:val="auto"/>
          <w:kern w:val="0"/>
          <w:szCs w:val="21"/>
          <w:highlight w:val="none"/>
          <w:u w:val="none"/>
          <w:lang w:eastAsia="zh-CN"/>
        </w:rPr>
        <w:t>货物</w:t>
      </w:r>
      <w:r>
        <w:rPr>
          <w:rFonts w:hint="eastAsia" w:ascii="仿宋" w:hAnsi="仿宋" w:eastAsia="仿宋" w:cs="仿宋"/>
          <w:b w:val="0"/>
          <w:bCs/>
          <w:color w:val="auto"/>
          <w:kern w:val="0"/>
          <w:szCs w:val="21"/>
          <w:highlight w:val="none"/>
          <w:u w:val="none"/>
        </w:rPr>
        <w:t>)</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10、</w:t>
      </w:r>
      <w:r>
        <w:rPr>
          <w:rFonts w:hint="eastAsia" w:ascii="仿宋" w:hAnsi="仿宋" w:eastAsia="仿宋" w:cs="仿宋"/>
          <w:b w:val="0"/>
          <w:bCs/>
          <w:color w:val="auto"/>
          <w:kern w:val="0"/>
          <w:szCs w:val="21"/>
          <w:highlight w:val="none"/>
          <w:u w:val="none"/>
        </w:rPr>
        <w:t>《残疾人福利性单位声明函》</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评分标准和细则中技术部分证明材料（格式自拟）</w:t>
      </w:r>
    </w:p>
    <w:p>
      <w:pPr>
        <w:shd w:val="clear" w:color="auto" w:fill="auto"/>
        <w:spacing w:line="400" w:lineRule="exact"/>
        <w:ind w:firstLine="477" w:firstLineChars="199"/>
        <w:outlineLvl w:val="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pPr>
        <w:shd w:val="clear" w:color="auto" w:fill="auto"/>
        <w:spacing w:line="400" w:lineRule="exact"/>
        <w:ind w:firstLine="477" w:firstLineChars="199"/>
        <w:outlineLvl w:val="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pPr>
        <w:shd w:val="clear" w:color="auto" w:fill="auto"/>
        <w:spacing w:line="400" w:lineRule="exact"/>
        <w:ind w:firstLine="477" w:firstLineChars="199"/>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pPr>
        <w:shd w:val="clear" w:color="auto" w:fill="auto"/>
        <w:spacing w:line="400" w:lineRule="exact"/>
        <w:ind w:firstLine="477" w:firstLineChars="199"/>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77" w:firstLineChars="199"/>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22.1投标报价文件中的单价和总价全部采用人民币表示。</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22.2投标报价表上应清楚地标明投标人拟提供货物的名称、型号、生产厂家、数量、单价和总价。</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所列货物逐项进行单价报价，并最终按货物总量乘以货物单价报总价，不得采用总价下浮的方式进行报价。综合单价包括：货物本身价格、疫苗费检测费、运输费用、验货费用、损耗、技术指导、税金费用、自检费及验收合格前和质保期内发生的一切费用、应当提供的伴随服务/售后服务费用。</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22.5投标报价的价格是货物交货地验收价格，其总价即为履行合同的固定总价。</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22.7投标报价应由法定代表人或被授权人签署。</w:t>
      </w:r>
    </w:p>
    <w:p>
      <w:pPr>
        <w:shd w:val="clear" w:color="auto" w:fill="auto"/>
        <w:spacing w:line="440" w:lineRule="exact"/>
        <w:ind w:firstLine="480" w:firstLineChars="200"/>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22.8</w:t>
      </w:r>
      <w:r>
        <w:rPr>
          <w:rFonts w:hint="eastAsia" w:ascii="仿宋" w:hAnsi="仿宋" w:eastAsia="仿宋" w:cs="仿宋"/>
          <w:b/>
          <w:color w:val="auto"/>
          <w:szCs w:val="21"/>
          <w:highlight w:val="none"/>
        </w:rPr>
        <w:t>投标人投标总报价，不得高于本次招标设置的最高限价，</w:t>
      </w:r>
      <w:r>
        <w:rPr>
          <w:rFonts w:hint="eastAsia" w:ascii="仿宋" w:hAnsi="仿宋" w:eastAsia="仿宋" w:cs="仿宋"/>
          <w:b/>
          <w:bCs/>
          <w:color w:val="auto"/>
          <w:szCs w:val="21"/>
          <w:highlight w:val="none"/>
        </w:rPr>
        <w:t>否则将作为无效投标处理。</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22.10总投标价中不得包含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22.11总投标价中不得缺漏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pPr>
        <w:shd w:val="clear" w:color="auto" w:fill="auto"/>
        <w:spacing w:line="440" w:lineRule="exact"/>
        <w:ind w:firstLine="460" w:firstLineChars="192"/>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pPr>
        <w:shd w:val="clear" w:color="auto" w:fill="auto"/>
        <w:spacing w:line="44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规定提交履约担保。</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pPr>
        <w:shd w:val="clear" w:color="auto" w:fill="auto"/>
        <w:spacing w:line="400" w:lineRule="exact"/>
        <w:ind w:firstLine="480" w:firstLineChars="200"/>
        <w:outlineLvl w:val="9"/>
        <w:rPr>
          <w:rFonts w:hint="eastAsia" w:ascii="仿宋" w:hAnsi="仿宋" w:eastAsia="仿宋" w:cs="仿宋"/>
          <w:color w:val="auto"/>
          <w:szCs w:val="21"/>
          <w:highlight w:val="none"/>
        </w:rPr>
      </w:pPr>
      <w:bookmarkStart w:id="25" w:name="_Toc469495727"/>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pPr>
        <w:shd w:val="clear" w:color="auto" w:fill="auto"/>
        <w:bidi w:val="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bookmarkEnd w:id="25"/>
      <w:r>
        <w:rPr>
          <w:rFonts w:hint="eastAsia" w:ascii="仿宋" w:hAnsi="仿宋" w:eastAsia="仿宋" w:cs="仿宋"/>
          <w:color w:val="auto"/>
          <w:sz w:val="28"/>
          <w:szCs w:val="28"/>
          <w:highlight w:val="none"/>
        </w:rPr>
        <w:t>投标文件的制作、上传及递交要求</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pPr>
        <w:pStyle w:val="7"/>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pPr>
        <w:pStyle w:val="7"/>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w:t>
      </w:r>
      <w:r>
        <w:rPr>
          <w:rFonts w:hint="eastAsia" w:ascii="仿宋" w:hAnsi="仿宋" w:eastAsia="仿宋" w:cs="仿宋"/>
          <w:b w:val="0"/>
          <w:bCs/>
          <w:color w:val="auto"/>
          <w:sz w:val="24"/>
          <w:szCs w:val="24"/>
          <w:highlight w:val="none"/>
          <w:lang w:eastAsia="zh-CN"/>
        </w:rPr>
        <w:t>签章</w:t>
      </w:r>
      <w:r>
        <w:rPr>
          <w:rFonts w:hint="eastAsia" w:ascii="仿宋" w:hAnsi="仿宋" w:eastAsia="仿宋" w:cs="仿宋"/>
          <w:b w:val="0"/>
          <w:bCs/>
          <w:color w:val="auto"/>
          <w:sz w:val="24"/>
          <w:szCs w:val="24"/>
          <w:highlight w:val="none"/>
        </w:rPr>
        <w:t>、盖章、专用名称等特殊情形外，以中文汉语以外的文字表述的投标文件视同未提供。</w:t>
      </w:r>
    </w:p>
    <w:p>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pPr>
        <w:pStyle w:val="7"/>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pPr>
        <w:pStyle w:val="7"/>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pPr>
        <w:pStyle w:val="7"/>
        <w:shd w:val="clear" w:color="auto" w:fill="auto"/>
        <w:snapToGrid w:val="0"/>
        <w:spacing w:line="360" w:lineRule="auto"/>
        <w:ind w:firstLine="600" w:firstLineChars="250"/>
        <w:outlineLvl w:val="9"/>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val="en-US" w:bidi="zh-CN"/>
        </w:rPr>
        <w:t>820740061@qq.com</w:t>
      </w:r>
      <w:r>
        <w:rPr>
          <w:rStyle w:val="28"/>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val="en-US" w:bidi="zh-CN"/>
        </w:rPr>
        <w:t>王</w:t>
      </w:r>
      <w:r>
        <w:rPr>
          <w:rFonts w:hint="eastAsia" w:ascii="仿宋" w:hAnsi="仿宋" w:eastAsia="仿宋" w:cs="仿宋"/>
          <w:color w:val="auto"/>
          <w:sz w:val="24"/>
          <w:szCs w:val="24"/>
          <w:highlight w:val="none"/>
          <w:u w:val="single"/>
          <w:lang w:bidi="zh-CN"/>
        </w:rPr>
        <w:t>先生</w:t>
      </w:r>
      <w:r>
        <w:rPr>
          <w:rStyle w:val="28"/>
          <w:rFonts w:hint="eastAsia" w:ascii="仿宋" w:hAnsi="仿宋" w:eastAsia="仿宋" w:cs="仿宋"/>
          <w:color w:val="auto"/>
          <w:sz w:val="24"/>
          <w:szCs w:val="24"/>
          <w:highlight w:val="none"/>
          <w:u w:val="single"/>
          <w:lang w:bidi="zh-CN"/>
        </w:rPr>
        <w:t>，电话：</w:t>
      </w:r>
      <w:r>
        <w:rPr>
          <w:rStyle w:val="28"/>
          <w:rFonts w:hint="eastAsia" w:ascii="仿宋" w:hAnsi="仿宋" w:eastAsia="仿宋" w:cs="仿宋"/>
          <w:color w:val="auto"/>
          <w:sz w:val="24"/>
          <w:szCs w:val="24"/>
          <w:highlight w:val="none"/>
          <w:u w:val="single"/>
          <w:lang w:val="en-US" w:bidi="zh-CN"/>
        </w:rPr>
        <w:t>13779615026</w:t>
      </w:r>
      <w:r>
        <w:rPr>
          <w:rFonts w:hint="eastAsia" w:ascii="仿宋" w:hAnsi="仿宋" w:eastAsia="仿宋" w:cs="仿宋"/>
          <w:color w:val="auto"/>
          <w:sz w:val="24"/>
          <w:szCs w:val="24"/>
          <w:highlight w:val="none"/>
          <w:lang w:bidi="zh-CN"/>
        </w:rPr>
        <w:t>）；</w:t>
      </w:r>
    </w:p>
    <w:p>
      <w:pPr>
        <w:pStyle w:val="7"/>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6" w:name="_Toc469495728"/>
    </w:p>
    <w:p>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color="auto" w:fill="auto"/>
        <w:tabs>
          <w:tab w:val="left" w:pos="960"/>
          <w:tab w:val="left" w:pos="1418"/>
        </w:tabs>
        <w:autoSpaceDE w:val="0"/>
        <w:autoSpaceDN w:val="0"/>
        <w:adjustRightInd w:val="0"/>
        <w:snapToGrid w:val="0"/>
        <w:spacing w:line="360" w:lineRule="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（五）开 标、评标和定标</w:t>
      </w:r>
      <w:bookmarkEnd w:id="26"/>
    </w:p>
    <w:p>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bookmarkStart w:id="27" w:name="_Toc73975822"/>
      <w:r>
        <w:rPr>
          <w:rFonts w:hint="eastAsia" w:ascii="仿宋" w:hAnsi="仿宋" w:eastAsia="仿宋" w:cs="仿宋"/>
          <w:b/>
          <w:bCs/>
          <w:color w:val="auto"/>
          <w:sz w:val="24"/>
          <w:szCs w:val="24"/>
          <w:highlight w:val="none"/>
          <w:lang w:val="en-US" w:eastAsia="zh-CN"/>
        </w:rPr>
        <w:t>29.1开标邀请</w:t>
      </w:r>
      <w:bookmarkEnd w:id="27"/>
    </w:p>
    <w:p>
      <w:pPr>
        <w:pStyle w:val="12"/>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pPr>
        <w:pStyle w:val="12"/>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pPr>
        <w:pStyle w:val="12"/>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8"/>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pPr>
        <w:pStyle w:val="12"/>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bookmarkStart w:id="28"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28"/>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公布投标文件解密情况（投标文件成功解密的供应商名单等信息），组织签署</w:t>
      </w:r>
      <w:r>
        <w:rPr>
          <w:rFonts w:hint="eastAsia" w:ascii="仿宋" w:hAnsi="仿宋" w:eastAsia="仿宋" w:cs="仿宋"/>
          <w:b/>
          <w:bCs/>
          <w:color w:val="auto"/>
          <w:kern w:val="0"/>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820740061@qq.com，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并【开启签章时段】，供应商对开标纪录进行在线签章确认（不予确认的应说明理由，否则视为无异议）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或盖章确认的材料将通过“政府采购云平台”进行，若因“政府采购云平台”技术问题无法进行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或盖章确认的时间为20分钟。如未及时</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评审工作的组织</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.2评审专家从</w:t>
      </w:r>
      <w:r>
        <w:rPr>
          <w:rFonts w:hint="eastAsia" w:ascii="仿宋" w:hAnsi="仿宋" w:eastAsia="仿宋" w:cs="仿宋"/>
          <w:color w:val="auto"/>
          <w:szCs w:val="21"/>
          <w:highlight w:val="none"/>
          <w:lang w:eastAsia="zh-CN"/>
        </w:rPr>
        <w:t>新疆</w:t>
      </w:r>
      <w:r>
        <w:rPr>
          <w:rFonts w:hint="eastAsia" w:ascii="仿宋" w:hAnsi="仿宋" w:eastAsia="仿宋" w:cs="仿宋"/>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.评标委员会的职责</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评标原则</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rPr>
        <w:t>. 评委纪律</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评标程序</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综合评分法货物项目的价格分值占总分值的比重(即权值)为</w:t>
      </w:r>
      <w:r>
        <w:rPr>
          <w:rFonts w:hint="eastAsia" w:ascii="仿宋" w:hAnsi="仿宋" w:eastAsia="仿宋" w:cs="仿宋"/>
          <w:color w:val="FF0000"/>
          <w:kern w:val="0"/>
          <w:szCs w:val="21"/>
          <w:highlight w:val="none"/>
          <w:lang w:val="en-US" w:eastAsia="zh-CN"/>
        </w:rPr>
        <w:t>30</w:t>
      </w:r>
      <w:r>
        <w:rPr>
          <w:rFonts w:hint="eastAsia" w:ascii="仿宋" w:hAnsi="仿宋" w:eastAsia="仿宋" w:cs="仿宋"/>
          <w:color w:val="FF0000"/>
          <w:kern w:val="0"/>
          <w:szCs w:val="21"/>
          <w:highlight w:val="none"/>
        </w:rPr>
        <w:t>％</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pPr>
        <w:widowControl/>
        <w:shd w:val="clear" w:color="auto" w:fill="auto"/>
        <w:spacing w:line="440" w:lineRule="exact"/>
        <w:ind w:firstLine="480"/>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pPr>
        <w:widowControl/>
        <w:shd w:val="clear" w:color="auto" w:fill="auto"/>
        <w:spacing w:line="440" w:lineRule="exact"/>
        <w:ind w:firstLine="480"/>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8 起草评审报告，所有评审人员须在评审报告上</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 xml:space="preserve">确认，对自己的评审意见承担法律责任。 </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pPr>
        <w:widowControl/>
        <w:shd w:val="clear" w:color="auto" w:fill="auto"/>
        <w:spacing w:line="440" w:lineRule="exact"/>
        <w:ind w:firstLine="24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36．澄清、说明或补正的形式</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37．错误修正的原则</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pPr>
        <w:shd w:val="clear" w:color="auto" w:fill="auto"/>
        <w:spacing w:line="440" w:lineRule="exact"/>
        <w:ind w:firstLine="240" w:firstLineChars="100"/>
        <w:jc w:val="left"/>
        <w:outlineLvl w:val="9"/>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val="en-US" w:eastAsia="zh-CN"/>
        </w:rPr>
        <w:t>修正应当采用电子询标的形式，并加盖公章（电子印章）。</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38．无效投标文件有下列情形之一的，投标文件按无效标处理：</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未按招标文件规定装订；</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投标文件内容未按招标文件规定签章或盖章的；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40．突发情况处理</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bookmarkStart w:id="29" w:name="_Toc469495729"/>
      <w:r>
        <w:rPr>
          <w:rFonts w:hint="eastAsia" w:ascii="仿宋" w:hAnsi="仿宋" w:eastAsia="仿宋" w:cs="仿宋"/>
          <w:b w:val="0"/>
          <w:bCs w:val="0"/>
          <w:color w:val="auto"/>
          <w:szCs w:val="21"/>
          <w:highlight w:val="none"/>
          <w:lang w:val="en-US" w:eastAsia="zh-CN"/>
        </w:rPr>
        <w:t>41.1采购结果确认（确定中标供应商）</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outlineLvl w:val="9"/>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克州公共资源交易网、新疆政府采购网（www.zjzfcg.gov.cn）上公告采购结果，中标公告期限为1个工作日。</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侯选人的情况在</w:t>
      </w:r>
      <w:r>
        <w:rPr>
          <w:rFonts w:hint="eastAsia" w:ascii="仿宋" w:hAnsi="仿宋" w:eastAsia="仿宋" w:cs="仿宋"/>
          <w:color w:val="auto"/>
          <w:szCs w:val="21"/>
          <w:highlight w:val="none"/>
          <w:lang w:val="en-US" w:eastAsia="zh-CN"/>
        </w:rPr>
        <w:t>克州公共资源交易中心网、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（六）合同的授予</w:t>
      </w:r>
      <w:bookmarkEnd w:id="29"/>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bookmarkStart w:id="30" w:name="_Toc73975842"/>
      <w:bookmarkStart w:id="31" w:name="_Toc469495730"/>
      <w:r>
        <w:rPr>
          <w:rFonts w:hint="eastAsia" w:ascii="仿宋" w:hAnsi="仿宋" w:eastAsia="仿宋" w:cs="仿宋"/>
          <w:b w:val="0"/>
          <w:bCs w:val="0"/>
          <w:color w:val="auto"/>
          <w:szCs w:val="21"/>
          <w:highlight w:val="none"/>
          <w:lang w:val="en-US" w:eastAsia="zh-CN"/>
        </w:rPr>
        <w:t>43．履约保证金</w:t>
      </w:r>
      <w:bookmarkEnd w:id="30"/>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Cs w:val="21"/>
          <w:highlight w:val="none"/>
          <w:lang w:val="en-US" w:eastAsia="zh-CN"/>
        </w:rPr>
        <w:t xml:space="preserve">43.1 </w:t>
      </w: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应在领取《</w:t>
      </w:r>
      <w:r>
        <w:rPr>
          <w:rFonts w:hint="eastAsia" w:ascii="仿宋" w:hAnsi="仿宋" w:eastAsia="仿宋" w:cs="仿宋"/>
          <w:b w:val="0"/>
          <w:bCs w:val="0"/>
          <w:color w:val="auto"/>
          <w:sz w:val="24"/>
          <w:szCs w:val="24"/>
          <w:highlight w:val="none"/>
          <w:lang w:val="zh-CN"/>
        </w:rPr>
        <w:t>中标通知书</w:t>
      </w:r>
      <w:r>
        <w:rPr>
          <w:rFonts w:hint="eastAsia" w:ascii="仿宋" w:hAnsi="仿宋" w:eastAsia="仿宋" w:cs="仿宋"/>
          <w:b w:val="0"/>
          <w:bCs w:val="0"/>
          <w:color w:val="auto"/>
          <w:sz w:val="24"/>
          <w:szCs w:val="24"/>
          <w:highlight w:val="none"/>
        </w:rPr>
        <w:t>》后的十个日历日内，办理履约保证金，</w:t>
      </w:r>
      <w:r>
        <w:rPr>
          <w:rFonts w:hint="eastAsia" w:ascii="仿宋" w:hAnsi="仿宋" w:eastAsia="仿宋" w:cs="仿宋"/>
          <w:b w:val="0"/>
          <w:bCs w:val="0"/>
          <w:color w:val="auto"/>
          <w:sz w:val="24"/>
          <w:szCs w:val="24"/>
          <w:highlight w:val="none"/>
          <w:lang w:val="zh-CN"/>
        </w:rPr>
        <w:t>金额不超过合同总价的10%，</w:t>
      </w:r>
      <w:r>
        <w:rPr>
          <w:rFonts w:hint="eastAsia" w:ascii="仿宋" w:hAnsi="仿宋" w:eastAsia="仿宋" w:cs="仿宋"/>
          <w:b w:val="0"/>
          <w:bCs w:val="0"/>
          <w:color w:val="auto"/>
          <w:sz w:val="24"/>
          <w:szCs w:val="24"/>
          <w:highlight w:val="none"/>
        </w:rPr>
        <w:t>否则招标人可取消</w:t>
      </w: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的</w:t>
      </w:r>
      <w:r>
        <w:rPr>
          <w:rFonts w:hint="eastAsia" w:ascii="仿宋" w:hAnsi="仿宋" w:eastAsia="仿宋" w:cs="仿宋"/>
          <w:b w:val="0"/>
          <w:bCs w:val="0"/>
          <w:color w:val="auto"/>
          <w:sz w:val="24"/>
          <w:szCs w:val="24"/>
          <w:highlight w:val="none"/>
          <w:lang w:val="zh-CN"/>
        </w:rPr>
        <w:t>中标</w:t>
      </w:r>
      <w:r>
        <w:rPr>
          <w:rFonts w:hint="eastAsia" w:ascii="仿宋" w:hAnsi="仿宋" w:eastAsia="仿宋" w:cs="仿宋"/>
          <w:b w:val="0"/>
          <w:bCs w:val="0"/>
          <w:color w:val="auto"/>
          <w:sz w:val="24"/>
          <w:szCs w:val="24"/>
          <w:highlight w:val="none"/>
        </w:rPr>
        <w:t>资格，并没收其投标保证金</w:t>
      </w:r>
      <w:r>
        <w:rPr>
          <w:rFonts w:hint="eastAsia" w:ascii="仿宋" w:hAnsi="仿宋" w:eastAsia="仿宋" w:cs="仿宋"/>
          <w:b w:val="0"/>
          <w:bCs w:val="0"/>
          <w:color w:val="auto"/>
          <w:sz w:val="24"/>
          <w:szCs w:val="24"/>
          <w:highlight w:val="none"/>
          <w:lang w:eastAsia="zh-CN"/>
        </w:rPr>
        <w:t>。</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（鼓励以银行、保险公司出具的履约保函形式提交；若以电汇、银行转账方式提交的，必须转到采购人的指定账户）。</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bookmarkStart w:id="32" w:name="_Toc73975843"/>
      <w:r>
        <w:rPr>
          <w:rFonts w:hint="eastAsia" w:ascii="仿宋" w:hAnsi="仿宋" w:eastAsia="仿宋" w:cs="仿宋"/>
          <w:b w:val="0"/>
          <w:bCs w:val="0"/>
          <w:color w:val="auto"/>
          <w:szCs w:val="21"/>
          <w:highlight w:val="none"/>
          <w:lang w:val="en-US" w:eastAsia="zh-CN"/>
        </w:rPr>
        <w:t>44．签订合同及公告</w:t>
      </w:r>
      <w:bookmarkEnd w:id="32"/>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outlineLvl w:val="9"/>
        <w:rPr>
          <w:rFonts w:hint="eastAsia" w:ascii="仿宋" w:hAnsi="仿宋" w:eastAsia="仿宋" w:cs="仿宋"/>
          <w:b/>
          <w:bCs/>
          <w:color w:val="auto"/>
          <w:sz w:val="28"/>
          <w:szCs w:val="28"/>
          <w:highlight w:val="none"/>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（七）纪律和监督</w:t>
      </w:r>
      <w:bookmarkEnd w:id="31"/>
    </w:p>
    <w:p>
      <w:pPr>
        <w:shd w:val="clear" w:color="auto" w:fill="auto"/>
        <w:spacing w:line="440" w:lineRule="exact"/>
        <w:ind w:firstLine="352" w:firstLineChars="147"/>
        <w:jc w:val="left"/>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（八）质疑与投诉</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49．质疑和投诉</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49.5供应商有下列情形之一的，采购代理机构和阿图什市财政局，将其列入不良行为记录名单：</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outlineLvl w:val="9"/>
        <w:rPr>
          <w:rFonts w:hint="eastAsia" w:ascii="仿宋" w:hAnsi="仿宋" w:eastAsia="仿宋" w:cs="仿宋"/>
          <w:color w:val="auto"/>
          <w:sz w:val="30"/>
          <w:szCs w:val="30"/>
          <w:highlight w:val="none"/>
        </w:rPr>
      </w:pPr>
    </w:p>
    <w:p>
      <w:pPr>
        <w:shd w:val="clear" w:color="auto" w:fill="auto"/>
        <w:jc w:val="left"/>
        <w:outlineLvl w:val="9"/>
        <w:rPr>
          <w:rFonts w:hint="eastAsia" w:ascii="仿宋" w:hAnsi="仿宋" w:eastAsia="仿宋" w:cs="仿宋"/>
          <w:b/>
          <w:bCs/>
          <w:color w:val="auto"/>
          <w:sz w:val="21"/>
          <w:szCs w:val="21"/>
          <w:highlight w:val="none"/>
          <w:lang w:eastAsia="zh-CN"/>
        </w:rPr>
      </w:pPr>
    </w:p>
    <w:p>
      <w:pPr>
        <w:shd w:val="clear" w:color="auto" w:fill="auto"/>
        <w:jc w:val="left"/>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pPr>
        <w:shd w:val="clear" w:color="auto" w:fill="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政府采购投诉书（范本）</w:t>
      </w:r>
    </w:p>
    <w:p>
      <w:pPr>
        <w:pStyle w:val="18"/>
        <w:outlineLvl w:val="9"/>
        <w:rPr>
          <w:rFonts w:hint="eastAsia"/>
          <w:highlight w:val="none"/>
        </w:rPr>
      </w:pP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投诉人：                         法定代表人：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地址：                           电话：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委托代理人姓名：                 职务：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住址：                           联系电话：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被投诉人：                       法定代表人：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地址：                            电话：               </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我公司参加了     年    月    日被投诉人组织的（采购人）（项目名称）（项目编号）的采购活动，我公司认为该项目的（采购文件/采购过程/中标（中标）结果）损害了我公司权益，对此，我公司于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1.具体的投诉事项及事实依据；</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2.质疑和质疑答复情况简要描述；</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3.投诉请求。</w:t>
      </w:r>
    </w:p>
    <w:p>
      <w:pPr>
        <w:shd w:val="clear" w:color="auto" w:fill="auto"/>
        <w:spacing w:line="440" w:lineRule="exact"/>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附件：</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1.质疑书和质疑答复书；</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2.证据材料（需注明证据来源），证人的姓名、住址和联系方式等；</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3.营业执照；</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4.法定代表人身份证明函</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5.法定代表人授权委托书（包含法定代表人和委托代理人的身份证复印件）；</w:t>
      </w:r>
    </w:p>
    <w:p>
      <w:pPr>
        <w:shd w:val="clear" w:color="auto" w:fill="auto"/>
        <w:spacing w:line="440" w:lineRule="exact"/>
        <w:ind w:firstLine="480" w:firstLineChars="2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6.政府采购监管部门认为应当提供的其它材料。</w:t>
      </w:r>
    </w:p>
    <w:p>
      <w:pPr>
        <w:shd w:val="clear" w:color="auto" w:fill="auto"/>
        <w:spacing w:line="440" w:lineRule="exact"/>
        <w:ind w:firstLine="3840" w:firstLineChars="1600"/>
        <w:jc w:val="left"/>
        <w:outlineLvl w:val="9"/>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320" w:firstLineChars="18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投诉供应商：（盖章）</w:t>
      </w:r>
    </w:p>
    <w:p>
      <w:pPr>
        <w:shd w:val="clear" w:color="auto" w:fill="auto"/>
        <w:spacing w:line="440" w:lineRule="exact"/>
        <w:ind w:firstLine="24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法定代表人（或主要负责人）：（签字或盖章）</w:t>
      </w:r>
    </w:p>
    <w:p>
      <w:pPr>
        <w:shd w:val="clear" w:color="auto" w:fill="auto"/>
        <w:spacing w:line="440" w:lineRule="exact"/>
        <w:ind w:firstLine="240" w:firstLineChars="100"/>
        <w:jc w:val="center"/>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年   月    日</w:t>
      </w:r>
    </w:p>
    <w:p>
      <w:pPr>
        <w:pStyle w:val="18"/>
        <w:outlineLvl w:val="9"/>
        <w:rPr>
          <w:rFonts w:hint="eastAsia"/>
          <w:highlight w:val="none"/>
          <w:lang w:val="en-US" w:eastAsia="zh-CN"/>
        </w:rPr>
      </w:pPr>
    </w:p>
    <w:p>
      <w:pPr>
        <w:shd w:val="clear" w:color="auto" w:fill="auto"/>
        <w:spacing w:line="440" w:lineRule="exact"/>
        <w:ind w:firstLine="240" w:firstLineChars="100"/>
        <w:jc w:val="center"/>
        <w:outlineLvl w:val="9"/>
        <w:rPr>
          <w:rFonts w:hint="eastAsia" w:ascii="仿宋" w:hAnsi="仿宋" w:eastAsia="仿宋" w:cs="仿宋"/>
          <w:b/>
          <w:bCs/>
          <w:color w:val="auto"/>
          <w:sz w:val="32"/>
          <w:szCs w:val="32"/>
          <w:highlight w:val="none"/>
        </w:rPr>
      </w:pPr>
      <w:r>
        <w:rPr>
          <w:rFonts w:hint="eastAsia" w:ascii="仿宋" w:hAnsi="仿宋" w:eastAsia="仿宋" w:cs="仿宋"/>
          <w:b w:val="0"/>
          <w:bCs w:val="0"/>
          <w:color w:val="auto"/>
          <w:szCs w:val="21"/>
          <w:highlight w:val="none"/>
          <w:lang w:val="en-US" w:eastAsia="zh-CN"/>
        </w:rPr>
        <w:t xml:space="preserve">                            本投诉书正本叁份，副本   份并附电子文档。</w:t>
      </w:r>
      <w:bookmarkStart w:id="33" w:name="_Toc17515"/>
    </w:p>
    <w:p>
      <w:pPr>
        <w:shd w:val="clear" w:color="auto" w:fill="auto"/>
        <w:ind w:left="7951" w:hanging="5760" w:hangingChars="1800"/>
        <w:jc w:val="center"/>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投诉相关说明</w:t>
      </w:r>
      <w:bookmarkEnd w:id="3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569" w:leftChars="304" w:hanging="3840" w:hangingChars="1600"/>
        <w:textAlignment w:val="auto"/>
        <w:outlineLvl w:val="9"/>
        <w:rPr>
          <w:rFonts w:hint="eastAsia" w:ascii="仿宋" w:hAnsi="仿宋" w:eastAsia="仿宋" w:cs="仿宋"/>
          <w:b/>
          <w:bCs/>
          <w:color w:val="auto"/>
          <w:sz w:val="24"/>
          <w:szCs w:val="24"/>
          <w:highlight w:val="none"/>
        </w:rPr>
      </w:pPr>
      <w:bookmarkStart w:id="34" w:name="_Toc11499"/>
      <w:r>
        <w:rPr>
          <w:rFonts w:hint="eastAsia" w:ascii="仿宋" w:hAnsi="仿宋" w:eastAsia="仿宋" w:cs="仿宋"/>
          <w:b/>
          <w:bCs/>
          <w:color w:val="auto"/>
          <w:sz w:val="24"/>
          <w:szCs w:val="24"/>
          <w:highlight w:val="none"/>
        </w:rPr>
        <w:t>质疑前置及时间要求</w:t>
      </w:r>
      <w:bookmarkEnd w:id="34"/>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35" w:name="_Toc13508"/>
      <w:r>
        <w:rPr>
          <w:rFonts w:hint="eastAsia" w:ascii="仿宋" w:hAnsi="仿宋" w:eastAsia="仿宋" w:cs="仿宋"/>
          <w:b/>
          <w:bCs/>
          <w:color w:val="auto"/>
          <w:sz w:val="24"/>
          <w:szCs w:val="24"/>
          <w:highlight w:val="none"/>
        </w:rPr>
        <w:t>二、书面方式</w:t>
      </w:r>
      <w:bookmarkEnd w:id="35"/>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；投诉人为法人或者其他组织的，应当由法定代表人或者主要负责人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4"/>
          <w:szCs w:val="24"/>
          <w:highlight w:val="none"/>
        </w:rPr>
        <w:t xml:space="preserve">  </w:t>
      </w:r>
      <w:bookmarkStart w:id="36" w:name="_Toc5978"/>
      <w:r>
        <w:rPr>
          <w:rFonts w:hint="eastAsia" w:ascii="仿宋" w:hAnsi="仿宋" w:eastAsia="仿宋" w:cs="仿宋"/>
          <w:b/>
          <w:bCs/>
          <w:color w:val="auto"/>
          <w:sz w:val="24"/>
          <w:szCs w:val="24"/>
          <w:highlight w:val="none"/>
        </w:rPr>
        <w:t>三、虚假、恶意投诉法律责任</w:t>
      </w:r>
      <w:bookmarkEnd w:id="36"/>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pPr>
        <w:shd w:val="clear" w:color="auto" w:fill="auto"/>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阿图什市政府采购办</w:t>
      </w:r>
      <w:r>
        <w:rPr>
          <w:rFonts w:hint="eastAsia" w:ascii="仿宋" w:hAnsi="仿宋" w:eastAsia="仿宋" w:cs="仿宋"/>
          <w:color w:val="auto"/>
          <w:sz w:val="24"/>
          <w:szCs w:val="24"/>
          <w:highlight w:val="none"/>
        </w:rPr>
        <w:t>监管办公室</w:t>
      </w:r>
    </w:p>
    <w:p>
      <w:pPr>
        <w:shd w:val="clear" w:color="auto" w:fill="auto"/>
        <w:jc w:val="right"/>
        <w:outlineLvl w:val="9"/>
        <w:rPr>
          <w:rFonts w:hint="eastAsia" w:ascii="仿宋" w:hAnsi="仿宋" w:eastAsia="仿宋" w:cs="仿宋"/>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仿宋" w:hAnsi="仿宋" w:eastAsia="仿宋" w:cs="仿宋"/>
          <w:b/>
          <w:bCs/>
          <w:color w:val="auto"/>
          <w:sz w:val="44"/>
          <w:szCs w:val="44"/>
          <w:highlight w:val="none"/>
        </w:rPr>
      </w:pPr>
      <w:bookmarkStart w:id="37"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pStyle w:val="23"/>
        <w:ind w:left="0" w:leftChars="0" w:firstLine="0" w:firstLineChars="0"/>
        <w:outlineLvl w:val="9"/>
        <w:rPr>
          <w:rFonts w:hint="eastAsia" w:ascii="仿宋" w:hAnsi="仿宋" w:eastAsia="仿宋" w:cs="仿宋"/>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bookmarkEnd w:id="37"/>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38" w:name="_Toc9061"/>
      <w:r>
        <w:rPr>
          <w:rFonts w:hint="eastAsia" w:ascii="仿宋" w:hAnsi="仿宋" w:eastAsia="仿宋" w:cs="仿宋"/>
          <w:bCs/>
          <w:color w:val="auto"/>
          <w:sz w:val="24"/>
          <w:szCs w:val="24"/>
          <w:highlight w:val="none"/>
        </w:rPr>
        <w:t>一、质疑供应商基本信息</w:t>
      </w:r>
      <w:bookmarkEnd w:id="3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39" w:name="_Toc15938"/>
      <w:r>
        <w:rPr>
          <w:rFonts w:hint="eastAsia" w:ascii="仿宋" w:hAnsi="仿宋" w:eastAsia="仿宋" w:cs="仿宋"/>
          <w:bCs/>
          <w:color w:val="auto"/>
          <w:sz w:val="24"/>
          <w:szCs w:val="24"/>
          <w:highlight w:val="none"/>
        </w:rPr>
        <w:t>二、质疑项目基本情况</w:t>
      </w:r>
      <w:bookmarkEnd w:id="39"/>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0" w:name="_Toc18271"/>
      <w:r>
        <w:rPr>
          <w:rFonts w:hint="eastAsia" w:ascii="仿宋" w:hAnsi="仿宋" w:eastAsia="仿宋" w:cs="仿宋"/>
          <w:bCs/>
          <w:color w:val="auto"/>
          <w:sz w:val="24"/>
          <w:szCs w:val="24"/>
          <w:highlight w:val="none"/>
        </w:rPr>
        <w:t>三、质疑事项具体内容</w:t>
      </w:r>
      <w:bookmarkEnd w:id="4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1" w:name="_Toc22365"/>
      <w:r>
        <w:rPr>
          <w:rFonts w:hint="eastAsia" w:ascii="仿宋" w:hAnsi="仿宋" w:eastAsia="仿宋" w:cs="仿宋"/>
          <w:bCs/>
          <w:color w:val="auto"/>
          <w:sz w:val="24"/>
          <w:szCs w:val="24"/>
          <w:highlight w:val="none"/>
        </w:rPr>
        <w:t>四、与质疑事项相关的质疑请求</w:t>
      </w:r>
      <w:bookmarkEnd w:id="4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 xml:space="preserve">)：                   公章：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b/>
          <w:bCs/>
          <w:color w:val="auto"/>
          <w:sz w:val="24"/>
          <w:szCs w:val="24"/>
          <w:highlight w:val="none"/>
        </w:rPr>
      </w:pPr>
    </w:p>
    <w:p>
      <w:pPr>
        <w:pageBreakBefore/>
        <w:shd w:val="clear" w:color="auto" w:fill="auto"/>
        <w:spacing w:line="440" w:lineRule="exact"/>
        <w:jc w:val="center"/>
        <w:outlineLvl w:val="0"/>
        <w:rPr>
          <w:rFonts w:hint="eastAsia" w:ascii="仿宋" w:hAnsi="仿宋" w:eastAsia="仿宋" w:cs="仿宋"/>
          <w:b/>
          <w:bCs/>
          <w:color w:val="auto"/>
          <w:sz w:val="30"/>
          <w:szCs w:val="30"/>
          <w:highlight w:val="none"/>
        </w:rPr>
      </w:pPr>
      <w:bookmarkStart w:id="42" w:name="_Toc6150"/>
      <w:bookmarkStart w:id="43" w:name="_Toc469495731"/>
      <w:r>
        <w:rPr>
          <w:rFonts w:hint="eastAsia" w:ascii="仿宋" w:hAnsi="仿宋" w:eastAsia="仿宋" w:cs="仿宋"/>
          <w:b/>
          <w:bCs/>
          <w:color w:val="auto"/>
          <w:sz w:val="30"/>
          <w:szCs w:val="30"/>
          <w:highlight w:val="none"/>
        </w:rPr>
        <w:t>第三</w:t>
      </w:r>
      <w:r>
        <w:rPr>
          <w:rFonts w:hint="eastAsia" w:ascii="仿宋" w:hAnsi="仿宋" w:eastAsia="仿宋" w:cs="仿宋"/>
          <w:b/>
          <w:bCs/>
          <w:color w:val="auto"/>
          <w:sz w:val="30"/>
          <w:szCs w:val="30"/>
          <w:highlight w:val="none"/>
          <w:lang w:val="en-US" w:eastAsia="zh-CN"/>
        </w:rPr>
        <w:t>部分</w:t>
      </w:r>
      <w:r>
        <w:rPr>
          <w:rFonts w:hint="eastAsia" w:ascii="仿宋" w:hAnsi="仿宋" w:eastAsia="仿宋" w:cs="仿宋"/>
          <w:b/>
          <w:bCs/>
          <w:color w:val="auto"/>
          <w:sz w:val="30"/>
          <w:szCs w:val="30"/>
          <w:highlight w:val="none"/>
        </w:rPr>
        <w:t xml:space="preserve">  评标办法</w:t>
      </w:r>
      <w:bookmarkEnd w:id="42"/>
      <w:bookmarkEnd w:id="43"/>
    </w:p>
    <w:p>
      <w:pPr>
        <w:shd w:val="clear" w:color="auto" w:fill="auto"/>
        <w:jc w:val="center"/>
        <w:outlineLvl w:val="9"/>
        <w:rPr>
          <w:rFonts w:hint="eastAsia" w:ascii="仿宋" w:hAnsi="仿宋" w:eastAsia="仿宋" w:cs="仿宋"/>
          <w:b/>
          <w:color w:val="auto"/>
          <w:sz w:val="28"/>
          <w:szCs w:val="28"/>
          <w:highlight w:val="none"/>
        </w:rPr>
      </w:pPr>
      <w:bookmarkStart w:id="44" w:name="_Toc362983802"/>
      <w:bookmarkStart w:id="45" w:name="_Toc469495733"/>
      <w:bookmarkStart w:id="46" w:name="_Toc267320058"/>
      <w:bookmarkStart w:id="47" w:name="_Toc3631352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1.4评标按照招标文件规定的内容进行，采取综合比较和分项打分相结合的评标方法（综合评分法），避免纯技术或纯经济的倾向。</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2、评标组织机构的组成</w:t>
      </w:r>
    </w:p>
    <w:p>
      <w:pPr>
        <w:widowControl/>
        <w:shd w:val="clear" w:color="auto" w:fill="auto"/>
        <w:spacing w:line="440" w:lineRule="exact"/>
        <w:ind w:firstLine="480"/>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pPr>
        <w:pStyle w:val="40"/>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pPr>
        <w:pStyle w:val="40"/>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pPr>
        <w:pStyle w:val="40"/>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pPr>
        <w:pStyle w:val="40"/>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pPr>
        <w:keepNext w:val="0"/>
        <w:keepLines w:val="0"/>
        <w:pageBreakBefore w:val="0"/>
        <w:shd w:val="clear" w:color="auto" w:fill="auto"/>
        <w:tabs>
          <w:tab w:val="left" w:pos="567"/>
          <w:tab w:val="left" w:pos="600"/>
        </w:tabs>
        <w:kinsoku/>
        <w:wordWrap/>
        <w:overflowPunct/>
        <w:topLinePunct w:val="0"/>
        <w:autoSpaceDE/>
        <w:autoSpaceDN/>
        <w:bidi w:val="0"/>
        <w:adjustRightInd/>
        <w:snapToGrid/>
        <w:spacing w:line="360" w:lineRule="exact"/>
        <w:ind w:firstLine="612" w:firstLineChars="25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pPr>
        <w:keepNext w:val="0"/>
        <w:keepLines w:val="0"/>
        <w:pageBreakBefore w:val="0"/>
        <w:shd w:val="clear" w:color="auto" w:fill="auto"/>
        <w:tabs>
          <w:tab w:val="left" w:pos="567"/>
          <w:tab w:val="left" w:pos="600"/>
        </w:tabs>
        <w:kinsoku/>
        <w:wordWrap/>
        <w:overflowPunct/>
        <w:topLinePunct w:val="0"/>
        <w:autoSpaceDE/>
        <w:autoSpaceDN/>
        <w:bidi w:val="0"/>
        <w:adjustRightInd/>
        <w:snapToGrid/>
        <w:spacing w:line="360" w:lineRule="exact"/>
        <w:ind w:firstLine="612" w:firstLineChars="25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pPr>
        <w:keepNext w:val="0"/>
        <w:keepLines w:val="0"/>
        <w:pageBreakBefore w:val="0"/>
        <w:shd w:val="clear" w:color="auto" w:fill="auto"/>
        <w:tabs>
          <w:tab w:val="left" w:pos="567"/>
          <w:tab w:val="left" w:pos="600"/>
        </w:tabs>
        <w:kinsoku/>
        <w:wordWrap/>
        <w:overflowPunct/>
        <w:topLinePunct w:val="0"/>
        <w:autoSpaceDE/>
        <w:autoSpaceDN/>
        <w:bidi w:val="0"/>
        <w:adjustRightInd/>
        <w:snapToGrid/>
        <w:spacing w:line="360" w:lineRule="exact"/>
        <w:ind w:firstLine="612" w:firstLineChars="25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pPr>
        <w:keepNext w:val="0"/>
        <w:keepLines w:val="0"/>
        <w:pageBreakBefore w:val="0"/>
        <w:shd w:val="clear" w:color="auto" w:fill="auto"/>
        <w:tabs>
          <w:tab w:val="left" w:pos="1547"/>
        </w:tabs>
        <w:kinsoku/>
        <w:wordWrap/>
        <w:overflowPunct/>
        <w:topLinePunct w:val="0"/>
        <w:autoSpaceDE/>
        <w:autoSpaceDN/>
        <w:bidi w:val="0"/>
        <w:adjustRightInd/>
        <w:snapToGrid/>
        <w:spacing w:line="360" w:lineRule="exact"/>
        <w:ind w:firstLine="612" w:firstLineChars="255"/>
        <w:textAlignment w:val="auto"/>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pPr>
        <w:pStyle w:val="20"/>
        <w:keepNext w:val="0"/>
        <w:keepLines w:val="0"/>
        <w:pageBreakBefore w:val="0"/>
        <w:shd w:val="clear" w:color="auto" w:fill="auto"/>
        <w:tabs>
          <w:tab w:val="left" w:pos="720"/>
          <w:tab w:val="clear" w:pos="0"/>
        </w:tabs>
        <w:kinsoku/>
        <w:wordWrap/>
        <w:overflowPunct/>
        <w:topLinePunct w:val="0"/>
        <w:autoSpaceDE/>
        <w:autoSpaceDN/>
        <w:bidi w:val="0"/>
        <w:adjustRightInd/>
        <w:snapToGrid/>
        <w:spacing w:line="360" w:lineRule="exact"/>
        <w:ind w:firstLine="612" w:firstLineChars="255"/>
        <w:textAlignment w:val="auto"/>
        <w:outlineLvl w:val="9"/>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pPr>
        <w:keepNext w:val="0"/>
        <w:keepLines w:val="0"/>
        <w:pageBreakBefore w:val="0"/>
        <w:shd w:val="clear" w:color="auto" w:fill="auto"/>
        <w:tabs>
          <w:tab w:val="left" w:pos="720"/>
        </w:tabs>
        <w:kinsoku/>
        <w:wordWrap/>
        <w:overflowPunct/>
        <w:topLinePunct w:val="0"/>
        <w:autoSpaceDE/>
        <w:autoSpaceDN/>
        <w:bidi w:val="0"/>
        <w:adjustRightInd/>
        <w:snapToGrid/>
        <w:spacing w:line="360" w:lineRule="exact"/>
        <w:ind w:firstLine="612" w:firstLineChars="255"/>
        <w:textAlignment w:val="auto"/>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投标文件初审</w:t>
      </w:r>
      <w:bookmarkEnd w:id="44"/>
      <w:bookmarkEnd w:id="45"/>
    </w:p>
    <w:p>
      <w:pPr>
        <w:shd w:val="clear" w:color="auto" w:fill="auto"/>
        <w:spacing w:line="400" w:lineRule="exact"/>
        <w:ind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p>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tbl>
      <w:tblPr>
        <w:tblStyle w:val="24"/>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89"/>
        <w:gridCol w:w="6940"/>
        <w:gridCol w:w="58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83" w:type="dxa"/>
            <w:vMerge w:val="restart"/>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729" w:type="dxa"/>
            <w:gridSpan w:val="2"/>
            <w:vMerge w:val="restart"/>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86" w:type="dxa"/>
            <w:gridSpan w:val="2"/>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83"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7729" w:type="dxa"/>
            <w:gridSpan w:val="2"/>
            <w:vMerge w:val="continue"/>
            <w:noWrap w:val="0"/>
            <w:vAlign w:val="top"/>
          </w:tcPr>
          <w:p>
            <w:pPr>
              <w:shd w:val="clear" w:color="auto" w:fill="auto"/>
              <w:outlineLvl w:val="9"/>
              <w:rPr>
                <w:rFonts w:hint="eastAsia" w:ascii="仿宋" w:hAnsi="仿宋" w:eastAsia="仿宋" w:cs="仿宋"/>
                <w:color w:val="auto"/>
                <w:sz w:val="24"/>
                <w:szCs w:val="24"/>
                <w:highlight w:val="none"/>
              </w:rPr>
            </w:pPr>
          </w:p>
        </w:tc>
        <w:tc>
          <w:tcPr>
            <w:tcW w:w="585" w:type="dxa"/>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701" w:type="dxa"/>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vMerge w:val="continue"/>
            <w:noWrap w:val="0"/>
            <w:vAlign w:val="center"/>
          </w:tcPr>
          <w:p>
            <w:pPr>
              <w:shd w:val="clear" w:color="auto" w:fill="auto"/>
              <w:jc w:val="center"/>
              <w:outlineLvl w:val="9"/>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940" w:type="dxa"/>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具备三证合一营业执照副本</w:t>
            </w:r>
          </w:p>
        </w:tc>
        <w:tc>
          <w:tcPr>
            <w:tcW w:w="58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701"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983"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940"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法定代表人投标需提供法定代表人资格证明书，委托代理人投标需提供法定代表人授权委托书；</w:t>
            </w:r>
          </w:p>
        </w:tc>
        <w:tc>
          <w:tcPr>
            <w:tcW w:w="58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701"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3"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940"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58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701"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3"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940"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保证金收据</w:t>
            </w:r>
            <w:r>
              <w:rPr>
                <w:rFonts w:hint="eastAsia" w:ascii="仿宋" w:hAnsi="仿宋" w:eastAsia="仿宋" w:cs="仿宋"/>
                <w:color w:val="auto"/>
                <w:kern w:val="0"/>
                <w:sz w:val="24"/>
                <w:szCs w:val="24"/>
                <w:highlight w:val="none"/>
                <w:lang w:eastAsia="zh-CN" w:bidi="ar"/>
              </w:rPr>
              <w:t>或保函等票据</w:t>
            </w:r>
          </w:p>
        </w:tc>
        <w:tc>
          <w:tcPr>
            <w:tcW w:w="58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701"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940"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eastAsia="zh-CN" w:bidi="ar"/>
              </w:rPr>
            </w:pPr>
            <w:r>
              <w:rPr>
                <w:rFonts w:hint="eastAsia" w:ascii="仿宋" w:hAnsi="仿宋" w:eastAsia="仿宋" w:cs="仿宋"/>
                <w:b w:val="0"/>
                <w:bCs w:val="0"/>
                <w:i w:val="0"/>
                <w:iCs w:val="0"/>
                <w:caps w:val="0"/>
                <w:color w:val="auto"/>
                <w:spacing w:val="0"/>
                <w:sz w:val="24"/>
                <w:szCs w:val="24"/>
                <w:highlight w:val="none"/>
                <w:lang w:eastAsia="zh-CN"/>
              </w:rPr>
              <w:t>投标企业须提供投标人（被授权在职人员）近期社保证明</w:t>
            </w:r>
          </w:p>
        </w:tc>
        <w:tc>
          <w:tcPr>
            <w:tcW w:w="58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701"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940" w:type="dxa"/>
            <w:noWrap w:val="0"/>
            <w:vAlign w:val="center"/>
          </w:tcPr>
          <w:p>
            <w:pPr>
              <w:widowControl/>
              <w:shd w:val="clear" w:color="auto" w:fill="auto"/>
              <w:jc w:val="left"/>
              <w:textAlignment w:val="center"/>
              <w:outlineLvl w:val="9"/>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color w:val="auto"/>
                <w:highlight w:val="none"/>
                <w:lang w:val="en-US" w:eastAsia="zh-CN"/>
              </w:rPr>
              <w:t>投标企业为中小企业的须提供中小企业声明函；</w:t>
            </w:r>
          </w:p>
        </w:tc>
        <w:tc>
          <w:tcPr>
            <w:tcW w:w="58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701"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3" w:type="dxa"/>
            <w:vMerge w:val="continue"/>
            <w:noWrap w:val="0"/>
            <w:vAlign w:val="center"/>
          </w:tcPr>
          <w:p>
            <w:pPr>
              <w:shd w:val="clear" w:color="auto" w:fill="auto"/>
              <w:jc w:val="center"/>
              <w:outlineLvl w:val="9"/>
              <w:rPr>
                <w:rFonts w:hint="eastAsia" w:ascii="仿宋" w:hAnsi="仿宋" w:eastAsia="仿宋" w:cs="仿宋"/>
                <w:color w:val="auto"/>
                <w:sz w:val="24"/>
                <w:szCs w:val="24"/>
                <w:highlight w:val="none"/>
              </w:rPr>
            </w:pPr>
          </w:p>
        </w:tc>
        <w:tc>
          <w:tcPr>
            <w:tcW w:w="789" w:type="dxa"/>
            <w:noWrap w:val="0"/>
            <w:vAlign w:val="top"/>
          </w:tcPr>
          <w:p>
            <w:pPr>
              <w:shd w:val="clear" w:color="auto" w:fill="auto"/>
              <w:spacing w:line="440" w:lineRule="exact"/>
              <w:outlineLvl w:val="9"/>
              <w:rPr>
                <w:rFonts w:hint="eastAsia" w:ascii="仿宋" w:hAnsi="仿宋" w:eastAsia="仿宋" w:cs="仿宋"/>
                <w:color w:val="auto"/>
                <w:sz w:val="24"/>
                <w:szCs w:val="24"/>
                <w:highlight w:val="none"/>
              </w:rPr>
            </w:pPr>
          </w:p>
        </w:tc>
        <w:tc>
          <w:tcPr>
            <w:tcW w:w="6940" w:type="dxa"/>
            <w:noWrap w:val="0"/>
            <w:vAlign w:val="top"/>
          </w:tcPr>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86" w:type="dxa"/>
            <w:gridSpan w:val="2"/>
            <w:noWrap w:val="0"/>
            <w:vAlign w:val="top"/>
          </w:tcPr>
          <w:p>
            <w:pPr>
              <w:shd w:val="clear" w:color="auto" w:fill="auto"/>
              <w:outlineLvl w:val="9"/>
              <w:rPr>
                <w:rFonts w:hint="eastAsia" w:ascii="仿宋" w:hAnsi="仿宋" w:eastAsia="仿宋" w:cs="仿宋"/>
                <w:color w:val="auto"/>
                <w:sz w:val="24"/>
                <w:szCs w:val="24"/>
                <w:highlight w:val="none"/>
              </w:rPr>
            </w:pPr>
          </w:p>
        </w:tc>
      </w:tr>
    </w:tbl>
    <w:p>
      <w:pPr>
        <w:shd w:val="clear" w:color="auto" w:fill="auto"/>
        <w:spacing w:line="400" w:lineRule="exact"/>
        <w:ind w:firstLine="578"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40" w:firstLineChars="1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p>
    <w:p>
      <w:pPr>
        <w:shd w:val="clear" w:color="auto" w:fill="auto"/>
        <w:spacing w:line="4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61"/>
        <w:gridCol w:w="6271"/>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237" w:type="dxa"/>
            <w:tcBorders>
              <w:top w:val="single" w:color="auto" w:sz="4" w:space="0"/>
              <w:left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832" w:type="dxa"/>
            <w:gridSpan w:val="2"/>
            <w:tcBorders>
              <w:top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37" w:type="dxa"/>
            <w:tcBorders>
              <w:left w:val="single" w:color="auto" w:sz="4" w:space="0"/>
              <w:bottom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6832" w:type="dxa"/>
            <w:gridSpan w:val="2"/>
            <w:tcBorders>
              <w:bottom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482" w:type="dxa"/>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884" w:type="dxa"/>
            <w:tcBorders>
              <w:right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 xml:space="preserve">由政府立项核准、审批的采购项目, </w:t>
            </w:r>
            <w:r>
              <w:rPr>
                <w:rFonts w:hint="eastAsia" w:ascii="仿宋" w:hAnsi="仿宋" w:eastAsia="仿宋" w:cs="仿宋"/>
                <w:color w:val="auto"/>
                <w:kern w:val="0"/>
                <w:sz w:val="24"/>
                <w:szCs w:val="24"/>
                <w:highlight w:val="none"/>
                <w:lang w:val="en-US" w:eastAsia="zh-CN" w:bidi="ar"/>
              </w:rPr>
              <w:t>投标</w:t>
            </w:r>
            <w:r>
              <w:rPr>
                <w:rFonts w:hint="eastAsia" w:ascii="仿宋" w:hAnsi="仿宋" w:eastAsia="仿宋" w:cs="仿宋"/>
                <w:color w:val="auto"/>
                <w:kern w:val="0"/>
                <w:sz w:val="24"/>
                <w:szCs w:val="24"/>
                <w:highlight w:val="none"/>
                <w:lang w:bidi="ar"/>
              </w:rPr>
              <w:t>报价</w:t>
            </w:r>
            <w:r>
              <w:rPr>
                <w:rFonts w:hint="eastAsia" w:ascii="仿宋" w:hAnsi="仿宋" w:eastAsia="仿宋" w:cs="仿宋"/>
                <w:color w:val="auto"/>
                <w:kern w:val="0"/>
                <w:sz w:val="24"/>
                <w:szCs w:val="24"/>
                <w:highlight w:val="none"/>
                <w:lang w:val="en-US" w:eastAsia="zh-CN" w:bidi="ar"/>
              </w:rPr>
              <w:t>不得高于</w:t>
            </w:r>
            <w:r>
              <w:rPr>
                <w:rFonts w:hint="eastAsia" w:ascii="仿宋" w:hAnsi="仿宋" w:eastAsia="仿宋" w:cs="仿宋"/>
                <w:color w:val="auto"/>
                <w:kern w:val="0"/>
                <w:sz w:val="24"/>
                <w:szCs w:val="24"/>
                <w:highlight w:val="none"/>
                <w:lang w:bidi="ar"/>
              </w:rPr>
              <w:t>设定的采购预算价的</w:t>
            </w:r>
            <w:r>
              <w:rPr>
                <w:rFonts w:hint="eastAsia" w:ascii="仿宋" w:hAnsi="仿宋" w:eastAsia="仿宋" w:cs="仿宋"/>
                <w:color w:val="auto"/>
                <w:kern w:val="0"/>
                <w:sz w:val="24"/>
                <w:szCs w:val="24"/>
                <w:highlight w:val="none"/>
                <w:lang w:eastAsia="zh-CN" w:bidi="ar"/>
              </w:rPr>
              <w:t>。</w:t>
            </w:r>
          </w:p>
        </w:tc>
        <w:tc>
          <w:tcPr>
            <w:tcW w:w="482" w:type="dxa"/>
            <w:tcBorders>
              <w:left w:val="single" w:color="auto" w:sz="4" w:space="0"/>
              <w:right w:val="single" w:color="auto" w:sz="4" w:space="0"/>
            </w:tcBorders>
            <w:noWrap w:val="0"/>
            <w:vAlign w:val="top"/>
          </w:tcPr>
          <w:p>
            <w:pPr>
              <w:shd w:val="clear" w:color="auto" w:fill="auto"/>
              <w:jc w:val="center"/>
              <w:outlineLvl w:val="9"/>
              <w:rPr>
                <w:rFonts w:hint="eastAsia" w:ascii="仿宋" w:hAnsi="仿宋" w:eastAsia="仿宋" w:cs="仿宋"/>
                <w:b/>
                <w:color w:val="auto"/>
                <w:sz w:val="24"/>
                <w:szCs w:val="24"/>
                <w:highlight w:val="none"/>
              </w:rPr>
            </w:pPr>
          </w:p>
        </w:tc>
        <w:tc>
          <w:tcPr>
            <w:tcW w:w="884" w:type="dxa"/>
            <w:tcBorders>
              <w:left w:val="single" w:color="auto" w:sz="4" w:space="0"/>
              <w:right w:val="single" w:color="auto" w:sz="4" w:space="0"/>
            </w:tcBorders>
            <w:noWrap w:val="0"/>
            <w:vAlign w:val="top"/>
          </w:tcPr>
          <w:p>
            <w:pPr>
              <w:shd w:val="clear" w:color="auto" w:fill="auto"/>
              <w:jc w:val="center"/>
              <w:outlineLvl w:val="9"/>
              <w:rPr>
                <w:rFonts w:hint="eastAsia" w:ascii="仿宋" w:hAnsi="仿宋" w:eastAsia="仿宋" w:cs="仿宋"/>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只有一个方案投标。</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271" w:type="dxa"/>
            <w:tcBorders>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投标文件内容齐全、无遗漏。</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left w:val="single" w:color="auto" w:sz="4" w:space="0"/>
              <w:bottom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71" w:type="dxa"/>
            <w:tcBorders>
              <w:bottom w:val="single" w:color="auto" w:sz="4" w:space="0"/>
              <w:right w:val="single" w:color="auto" w:sz="4" w:space="0"/>
            </w:tcBorders>
            <w:noWrap w:val="0"/>
            <w:vAlign w:val="center"/>
          </w:tcPr>
          <w:p>
            <w:pPr>
              <w:widowControl/>
              <w:shd w:val="clear" w:color="auto" w:fill="auto"/>
              <w:ind w:left="0" w:leftChars="0" w:right="0" w:rightChars="0" w:firstLine="0" w:firstLineChars="0"/>
              <w:jc w:val="left"/>
              <w:textAlignment w:val="center"/>
              <w:outlineLvl w:val="9"/>
              <w:rPr>
                <w:rFonts w:hint="eastAsia" w:ascii="仿宋" w:hAnsi="仿宋" w:eastAsia="仿宋" w:cs="仿宋"/>
                <w:color w:val="auto"/>
                <w:spacing w:val="0"/>
                <w:w w:val="100"/>
                <w:position w:val="0"/>
                <w:sz w:val="24"/>
                <w:szCs w:val="24"/>
                <w:highlight w:val="none"/>
                <w:shd w:val="clear" w:color="auto" w:fill="auto"/>
                <w:lang w:val="en-US" w:eastAsia="en-US" w:bidi="en-US"/>
              </w:rPr>
            </w:pPr>
            <w:r>
              <w:rPr>
                <w:rFonts w:hint="eastAsia" w:ascii="仿宋" w:hAnsi="仿宋" w:eastAsia="仿宋" w:cs="仿宋"/>
                <w:color w:val="auto"/>
                <w:kern w:val="0"/>
                <w:sz w:val="24"/>
                <w:szCs w:val="24"/>
                <w:highlight w:val="none"/>
                <w:lang w:bidi="ar"/>
              </w:rPr>
              <w:t>完成期限满足招标文件要求。</w:t>
            </w:r>
          </w:p>
        </w:tc>
        <w:tc>
          <w:tcPr>
            <w:tcW w:w="482" w:type="dxa"/>
            <w:tcBorders>
              <w:left w:val="single" w:color="auto" w:sz="4" w:space="0"/>
              <w:bottom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ind w:left="0" w:leftChars="0" w:right="0" w:rightChars="0" w:firstLine="0" w:firstLineChars="0"/>
              <w:jc w:val="left"/>
              <w:textAlignment w:val="center"/>
              <w:outlineLvl w:val="9"/>
              <w:rPr>
                <w:rFonts w:hint="eastAsia" w:ascii="仿宋" w:hAnsi="仿宋" w:eastAsia="仿宋" w:cs="仿宋"/>
                <w:color w:val="auto"/>
                <w:spacing w:val="0"/>
                <w:w w:val="100"/>
                <w:position w:val="0"/>
                <w:sz w:val="24"/>
                <w:szCs w:val="24"/>
                <w:highlight w:val="none"/>
                <w:shd w:val="clear" w:color="auto" w:fill="auto"/>
                <w:lang w:val="en-US" w:eastAsia="en-US" w:bidi="en-US"/>
              </w:rPr>
            </w:pPr>
            <w:r>
              <w:rPr>
                <w:rFonts w:hint="eastAsia" w:ascii="仿宋" w:hAnsi="仿宋" w:eastAsia="仿宋" w:cs="仿宋"/>
                <w:color w:val="auto"/>
                <w:spacing w:val="0"/>
                <w:w w:val="100"/>
                <w:position w:val="0"/>
                <w:sz w:val="24"/>
                <w:szCs w:val="24"/>
                <w:highlight w:val="none"/>
                <w:shd w:val="clear" w:color="auto" w:fill="auto"/>
                <w:lang w:val="en-US" w:eastAsia="en-US" w:bidi="en-US"/>
              </w:rPr>
              <w:t>投标文件载明的验收标准和方法等符合招标文件的要求；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71" w:type="dxa"/>
            <w:tcBorders>
              <w:top w:val="single" w:color="auto" w:sz="4" w:space="0"/>
              <w:right w:val="single" w:color="auto" w:sz="4" w:space="0"/>
            </w:tcBorders>
            <w:noWrap w:val="0"/>
            <w:vAlign w:val="center"/>
          </w:tcPr>
          <w:p>
            <w:pPr>
              <w:widowControl/>
              <w:shd w:val="clear" w:color="auto" w:fill="auto"/>
              <w:ind w:left="0" w:leftChars="0" w:right="0" w:rightChars="0" w:firstLine="0" w:firstLineChars="0"/>
              <w:jc w:val="left"/>
              <w:textAlignment w:val="center"/>
              <w:outlineLvl w:val="9"/>
              <w:rPr>
                <w:rFonts w:hint="eastAsia" w:ascii="仿宋" w:hAnsi="仿宋" w:eastAsia="仿宋" w:cs="仿宋"/>
                <w:color w:val="auto"/>
                <w:spacing w:val="0"/>
                <w:w w:val="100"/>
                <w:position w:val="0"/>
                <w:sz w:val="24"/>
                <w:szCs w:val="24"/>
                <w:highlight w:val="none"/>
                <w:shd w:val="clear" w:color="auto" w:fill="auto"/>
                <w:lang w:val="en-US" w:eastAsia="en-US" w:bidi="en-US"/>
              </w:rPr>
            </w:pPr>
            <w:r>
              <w:rPr>
                <w:rFonts w:hint="eastAsia" w:ascii="仿宋" w:hAnsi="仿宋" w:eastAsia="仿宋" w:cs="仿宋"/>
                <w:color w:val="auto"/>
                <w:kern w:val="0"/>
                <w:sz w:val="24"/>
                <w:szCs w:val="24"/>
                <w:highlight w:val="none"/>
                <w:lang w:bidi="ar"/>
              </w:rPr>
              <w:t>投标有效期满足招标文件要求。</w:t>
            </w:r>
          </w:p>
        </w:tc>
        <w:tc>
          <w:tcPr>
            <w:tcW w:w="482" w:type="dxa"/>
            <w:tcBorders>
              <w:top w:val="single" w:color="auto" w:sz="4" w:space="0"/>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top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71" w:type="dxa"/>
            <w:tcBorders>
              <w:right w:val="single" w:color="auto" w:sz="4" w:space="0"/>
            </w:tcBorders>
            <w:noWrap w:val="0"/>
            <w:vAlign w:val="center"/>
          </w:tcPr>
          <w:p>
            <w:pPr>
              <w:widowControl/>
              <w:shd w:val="clear" w:color="auto" w:fill="auto"/>
              <w:ind w:left="0" w:leftChars="0" w:right="0" w:rightChars="0" w:firstLine="0" w:firstLineChars="0"/>
              <w:jc w:val="left"/>
              <w:textAlignment w:val="center"/>
              <w:outlineLvl w:val="9"/>
              <w:rPr>
                <w:rFonts w:hint="eastAsia" w:ascii="仿宋" w:hAnsi="仿宋" w:eastAsia="仿宋" w:cs="仿宋"/>
                <w:color w:val="auto"/>
                <w:spacing w:val="0"/>
                <w:w w:val="100"/>
                <w:position w:val="0"/>
                <w:sz w:val="24"/>
                <w:szCs w:val="24"/>
                <w:highlight w:val="none"/>
                <w:shd w:val="clear" w:color="auto" w:fill="auto"/>
                <w:lang w:val="en-US" w:eastAsia="en-US" w:bidi="en-US"/>
              </w:rPr>
            </w:pPr>
            <w:r>
              <w:rPr>
                <w:rFonts w:hint="eastAsia" w:ascii="仿宋" w:hAnsi="仿宋" w:eastAsia="仿宋" w:cs="仿宋"/>
                <w:b w:val="0"/>
                <w:bCs w:val="0"/>
                <w:color w:val="auto"/>
                <w:kern w:val="0"/>
                <w:sz w:val="24"/>
                <w:szCs w:val="24"/>
                <w:highlight w:val="none"/>
                <w:lang w:bidi="ar"/>
              </w:rPr>
              <w:t>投标人详细地址、联系人、电话</w:t>
            </w:r>
            <w:r>
              <w:rPr>
                <w:rFonts w:hint="eastAsia" w:ascii="仿宋" w:hAnsi="仿宋" w:eastAsia="仿宋" w:cs="仿宋"/>
                <w:b w:val="0"/>
                <w:bCs w:val="0"/>
                <w:color w:val="auto"/>
                <w:kern w:val="0"/>
                <w:sz w:val="24"/>
                <w:szCs w:val="24"/>
                <w:highlight w:val="none"/>
                <w:lang w:eastAsia="zh-CN" w:bidi="ar"/>
              </w:rPr>
              <w:t>。</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271" w:type="dxa"/>
            <w:tcBorders>
              <w:right w:val="single" w:color="auto" w:sz="4" w:space="0"/>
            </w:tcBorders>
            <w:noWrap w:val="0"/>
            <w:vAlign w:val="center"/>
          </w:tcPr>
          <w:p>
            <w:pPr>
              <w:widowControl/>
              <w:shd w:val="clear" w:color="auto" w:fill="auto"/>
              <w:ind w:left="0" w:leftChars="0" w:right="0" w:rightChars="0" w:firstLine="0" w:firstLineChars="0"/>
              <w:jc w:val="left"/>
              <w:textAlignment w:val="center"/>
              <w:outlineLvl w:val="9"/>
              <w:rPr>
                <w:rFonts w:hint="eastAsia" w:ascii="仿宋" w:hAnsi="仿宋" w:eastAsia="仿宋" w:cs="仿宋"/>
                <w:color w:val="auto"/>
                <w:spacing w:val="0"/>
                <w:w w:val="100"/>
                <w:position w:val="0"/>
                <w:sz w:val="24"/>
                <w:szCs w:val="24"/>
                <w:highlight w:val="none"/>
                <w:shd w:val="clear" w:color="auto" w:fill="auto"/>
                <w:lang w:val="en-US" w:eastAsia="zh-CN" w:bidi="en-US"/>
              </w:rPr>
            </w:pPr>
            <w:r>
              <w:rPr>
                <w:rFonts w:hint="eastAsia" w:ascii="仿宋" w:hAnsi="仿宋" w:eastAsia="仿宋" w:cs="仿宋"/>
                <w:b w:val="0"/>
                <w:bCs w:val="0"/>
                <w:color w:val="auto"/>
                <w:kern w:val="0"/>
                <w:sz w:val="24"/>
                <w:szCs w:val="24"/>
                <w:highlight w:val="none"/>
                <w:lang w:eastAsia="zh-CN" w:bidi="ar"/>
              </w:rPr>
              <w:t>投标文件</w:t>
            </w:r>
            <w:r>
              <w:rPr>
                <w:rFonts w:hint="eastAsia" w:ascii="仿宋" w:hAnsi="仿宋" w:eastAsia="仿宋" w:cs="仿宋"/>
                <w:b w:val="0"/>
                <w:bCs w:val="0"/>
                <w:color w:val="auto"/>
                <w:kern w:val="0"/>
                <w:sz w:val="24"/>
                <w:szCs w:val="24"/>
                <w:highlight w:val="none"/>
                <w:lang w:bidi="ar"/>
              </w:rPr>
              <w:t>按照规定在应由企业法人或法人授权代表在所有规定签章处逐一签署及加盖单位公章的；</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71" w:type="dxa"/>
            <w:tcBorders>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不符合法律、法规和招标文件中规定的其他实质性要求。</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bl>
    <w:p>
      <w:pPr>
        <w:shd w:val="clear" w:color="auto" w:fill="auto"/>
        <w:bidi w:val="0"/>
        <w:outlineLvl w:val="9"/>
        <w:rPr>
          <w:rFonts w:hint="eastAsia" w:ascii="仿宋" w:hAnsi="仿宋" w:eastAsia="仿宋" w:cs="仿宋"/>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78" w:firstLineChars="241"/>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578" w:firstLineChars="241"/>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00" w:firstLineChars="2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keepNext w:val="0"/>
        <w:keepLines w:val="0"/>
        <w:pageBreakBefore w:val="0"/>
        <w:widowControl w:val="0"/>
        <w:shd w:val="clear" w:color="auto" w:fill="auto"/>
        <w:kinsoku/>
        <w:wordWrap/>
        <w:overflowPunct/>
        <w:topLinePunct w:val="0"/>
        <w:autoSpaceDE/>
        <w:autoSpaceDN/>
        <w:bidi w:val="0"/>
        <w:adjustRightInd/>
        <w:snapToGrid/>
        <w:spacing w:before="156" w:beforeLines="50" w:line="360" w:lineRule="exact"/>
        <w:jc w:val="center"/>
        <w:textAlignment w:val="auto"/>
        <w:outlineLvl w:val="9"/>
        <w:rPr>
          <w:rFonts w:hint="eastAsia" w:ascii="仿宋" w:hAnsi="仿宋" w:eastAsia="仿宋" w:cs="仿宋"/>
          <w:b/>
          <w:color w:val="auto"/>
          <w:sz w:val="24"/>
          <w:highlight w:val="none"/>
        </w:rPr>
      </w:pPr>
      <w:bookmarkStart w:id="48" w:name="_Toc362983803"/>
      <w:bookmarkStart w:id="49" w:name="_Toc469495734"/>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bookmarkEnd w:id="48"/>
      <w:bookmarkEnd w:id="49"/>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对不同文字文本投标文件的解释发生异议的，以中文文本为准；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2" w:firstLineChars="192"/>
        <w:textAlignment w:val="auto"/>
        <w:outlineLvl w:val="9"/>
        <w:rPr>
          <w:rFonts w:hint="eastAsia" w:ascii="仿宋" w:hAnsi="仿宋" w:eastAsia="仿宋" w:cs="仿宋"/>
          <w:color w:val="auto"/>
          <w:sz w:val="22"/>
          <w:szCs w:val="2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color w:val="auto"/>
          <w:sz w:val="24"/>
          <w:szCs w:val="24"/>
          <w:highlight w:val="none"/>
        </w:rPr>
      </w:pPr>
      <w:bookmarkStart w:id="50" w:name="_Toc469495735"/>
      <w:r>
        <w:rPr>
          <w:rFonts w:hint="eastAsia" w:ascii="仿宋" w:hAnsi="仿宋" w:eastAsia="仿宋" w:cs="仿宋"/>
          <w:b/>
          <w:color w:val="auto"/>
          <w:sz w:val="24"/>
          <w:szCs w:val="24"/>
          <w:highlight w:val="none"/>
        </w:rPr>
        <w:t>四 比较与评价</w:t>
      </w:r>
      <w:bookmarkEnd w:id="50"/>
    </w:p>
    <w:p>
      <w:pPr>
        <w:keepNext w:val="0"/>
        <w:keepLines w:val="0"/>
        <w:pageBreakBefore w:val="0"/>
        <w:widowControl w:val="0"/>
        <w:shd w:val="clear" w:color="auto" w:fill="auto"/>
        <w:tabs>
          <w:tab w:val="left" w:pos="720"/>
        </w:tabs>
        <w:kinsoku/>
        <w:wordWrap/>
        <w:overflowPunct/>
        <w:topLinePunct w:val="0"/>
        <w:autoSpaceDE/>
        <w:autoSpaceDN/>
        <w:bidi w:val="0"/>
        <w:adjustRightInd/>
        <w:snapToGrid/>
        <w:spacing w:line="360" w:lineRule="exact"/>
        <w:ind w:firstLine="612" w:firstLineChars="255"/>
        <w:textAlignment w:val="auto"/>
        <w:outlineLvl w:val="9"/>
        <w:rPr>
          <w:rFonts w:hint="eastAsia" w:ascii="仿宋" w:hAnsi="仿宋" w:eastAsia="仿宋" w:cs="仿宋"/>
          <w:color w:val="auto"/>
          <w:szCs w:val="21"/>
          <w:highlight w:val="none"/>
          <w:lang w:bidi="ar-SA"/>
        </w:rPr>
      </w:pPr>
      <w:bookmarkStart w:id="51" w:name="_Toc469495736"/>
      <w:bookmarkStart w:id="52" w:name="_Toc362983805"/>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1)就投标人的投标文件对照整理出商务、技术评标因素对比表、偏差表，并在经过校核的基础上逐项打分。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2)各评委独立完成打分后，将评分表交给代理机构，由代理机构组织进行分数统计。</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616" w:firstLineChars="257"/>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3)最终汇总表中各投标人得分应为评委打分的算术平均值。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（8）评分标准和细则（综合评分法评分标准）</w:t>
      </w:r>
    </w:p>
    <w:p>
      <w:pPr>
        <w:numPr>
          <w:ilvl w:val="0"/>
          <w:numId w:val="0"/>
        </w:numPr>
        <w:spacing w:line="440" w:lineRule="exact"/>
        <w:jc w:val="center"/>
        <w:outlineLvl w:val="9"/>
        <w:rPr>
          <w:rFonts w:hint="eastAsia" w:ascii="宋体" w:hAnsi="宋体" w:cs="宋体"/>
          <w:b/>
          <w:sz w:val="28"/>
          <w:szCs w:val="28"/>
          <w:highlight w:val="none"/>
        </w:rPr>
      </w:pPr>
      <w:bookmarkStart w:id="53" w:name="_Toc31252"/>
      <w:r>
        <w:rPr>
          <w:rFonts w:hint="eastAsia" w:ascii="宋体" w:hAnsi="宋体" w:cs="宋体"/>
          <w:b/>
          <w:sz w:val="28"/>
          <w:szCs w:val="28"/>
          <w:highlight w:val="none"/>
        </w:rPr>
        <w:t>评分标准和细则</w:t>
      </w:r>
      <w:bookmarkEnd w:id="53"/>
    </w:p>
    <w:tbl>
      <w:tblPr>
        <w:tblStyle w:val="24"/>
        <w:tblpPr w:leftFromText="180" w:rightFromText="180" w:vertAnchor="text" w:horzAnchor="page" w:tblpX="1280" w:tblpY="93"/>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6618"/>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评分因素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及权重</w:t>
            </w: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评分标准</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30</w:t>
            </w:r>
            <w:r>
              <w:rPr>
                <w:rFonts w:hint="eastAsia" w:ascii="仿宋" w:hAnsi="仿宋" w:eastAsia="仿宋" w:cs="仿宋"/>
                <w:color w:val="auto"/>
                <w:sz w:val="24"/>
                <w:szCs w:val="24"/>
                <w:highlight w:val="none"/>
                <w:lang w:eastAsia="zh-CN" w:bidi="ar-SA"/>
              </w:rPr>
              <w:t>分）</w:t>
            </w: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各供应商的价格得分的计算公式：采用低价优先法计算，即满足招标文件要求且投标价格最低的投标报价为评标基准价，其价格分为满分。其他投标人的价格分统一按照下列公式计算：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投标报价得分=(评标基准价／投标报价)×价格权值×100。计算分数时四舍五入取小数点后两位,分数最高不超过30分。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评标过程中，不得去掉报价中的最低和最高报价。因落实政府采购政策进行价格调整的，以调整后的价格计算评标基准价和投标报价。</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b/>
                <w:bCs/>
                <w:color w:val="auto"/>
                <w:sz w:val="32"/>
                <w:szCs w:val="32"/>
                <w:highlight w:val="none"/>
                <w:lang w:val="en-US" w:eastAsia="zh-CN" w:bidi="ar-SA"/>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技术因素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15</w:t>
            </w:r>
            <w:r>
              <w:rPr>
                <w:rFonts w:hint="eastAsia" w:ascii="仿宋" w:hAnsi="仿宋" w:eastAsia="仿宋" w:cs="仿宋"/>
                <w:color w:val="auto"/>
                <w:sz w:val="24"/>
                <w:szCs w:val="24"/>
                <w:highlight w:val="none"/>
                <w:lang w:eastAsia="zh-CN" w:bidi="ar-SA"/>
              </w:rPr>
              <w:t>分）</w:t>
            </w: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 采购需求响应情况(15分) 全部满足招标文件采购需求中的各项指标要求得10分，每有一项正偏离的加1，最高加5分。(需提供相关证明材料)</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技术服务方案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(15分)</w:t>
            </w: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  技术服务方案内容完整，对招标文件的响应程度高。对招标文件响应程度、方案内容良好的，针对本项目有明确的技术支持，维修方案，故障解决办法得10-15分:对招标文件响应程度、方案内容一般的，得5-9分;对招标文件响应程度、方案内容基本符合的，得0-4分;</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32"/>
                <w:szCs w:val="32"/>
                <w:highlight w:val="none"/>
                <w:lang w:eastAsia="zh-CN" w:bidi="ar-SA"/>
              </w:rPr>
              <w:t>商务因素（</w:t>
            </w:r>
            <w:r>
              <w:rPr>
                <w:rFonts w:hint="eastAsia" w:ascii="仿宋" w:hAnsi="仿宋" w:eastAsia="仿宋" w:cs="仿宋"/>
                <w:b/>
                <w:bCs/>
                <w:color w:val="auto"/>
                <w:sz w:val="32"/>
                <w:szCs w:val="32"/>
                <w:highlight w:val="none"/>
                <w:lang w:val="en-US" w:eastAsia="zh-CN" w:bidi="ar-SA"/>
              </w:rPr>
              <w:t>40</w:t>
            </w:r>
            <w:r>
              <w:rPr>
                <w:rFonts w:hint="eastAsia" w:ascii="仿宋" w:hAnsi="仿宋" w:eastAsia="仿宋" w:cs="仿宋"/>
                <w:b/>
                <w:bCs/>
                <w:color w:val="auto"/>
                <w:sz w:val="32"/>
                <w:szCs w:val="32"/>
                <w:highlight w:val="none"/>
                <w:lang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厂家授权(3分)</w:t>
            </w: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0000FF"/>
                <w:sz w:val="24"/>
                <w:szCs w:val="24"/>
                <w:highlight w:val="none"/>
                <w:lang w:val="en-US" w:eastAsia="zh-CN" w:bidi="ar-SA"/>
              </w:rPr>
              <w:t>投标人提供针对本项目的生产厂家授权书(原件扫描件)得3分， 不提供不得分；</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项目业绩(6分)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近三年从事类似项目业绩进行评价，须提供中标通知书/成交通知书及合同协议书(须提供合同首页、合同金额页及盖章页扫描上传)，提供一个得 1分，最高得6分。</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检验报告(10分)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投标设备需提供省级及以上鉴定部门出具的检验报告；（不提供不得分）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培训计划(10分)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有详细的设备调试、试运行，人员培训方案(详细、实用、操作性强的方案，优:7-10分，良:3-6分，一般:0-2分)专家酌情打分；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24"/>
                <w:szCs w:val="24"/>
                <w:highlight w:val="none"/>
                <w:lang w:val="en-US" w:eastAsia="zh-CN"/>
              </w:rPr>
            </w:pP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标函质量(3分)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标书内容齐全无遗漏，内容关联目录，便于精确查找。</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满足以上要求的得2-3分；一般的得0-1分；（专家酌情打分）</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售后服务(8分)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p>
        </w:tc>
        <w:tc>
          <w:tcPr>
            <w:tcW w:w="6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bookmarkStart w:id="133" w:name="_GoBack"/>
            <w:r>
              <w:rPr>
                <w:rFonts w:hint="eastAsia" w:ascii="仿宋" w:hAnsi="仿宋" w:eastAsia="仿宋" w:cs="仿宋"/>
                <w:color w:val="auto"/>
                <w:sz w:val="24"/>
                <w:szCs w:val="24"/>
                <w:highlight w:val="none"/>
                <w:lang w:val="en-US" w:eastAsia="zh-CN" w:bidi="ar-SA"/>
              </w:rPr>
              <w:t>综合评定投标人的售后服务承诺及维保方案，根据售后服务的及时性、可行性、零配件供应能力，以及维保方案的保障措施、可操作性等综合评分，优:6-8分，良:3-5分，一般:0-2分。</w:t>
            </w:r>
            <w:bookmarkEnd w:id="133"/>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w:t>
            </w:r>
          </w:p>
        </w:tc>
      </w:tr>
    </w:tbl>
    <w:p>
      <w:pPr>
        <w:spacing w:line="360" w:lineRule="auto"/>
        <w:jc w:val="left"/>
        <w:rPr>
          <w:rFonts w:hint="default" w:eastAsia="宋体"/>
          <w:highlight w:val="none"/>
          <w:lang w:val="en-US" w:eastAsia="zh-CN"/>
        </w:rPr>
      </w:pPr>
    </w:p>
    <w:p>
      <w:pPr>
        <w:pStyle w:val="32"/>
        <w:jc w:val="center"/>
        <w:outlineLvl w:val="9"/>
        <w:rPr>
          <w:rFonts w:hint="eastAsia" w:eastAsia="仿宋"/>
          <w:b/>
          <w:bCs/>
          <w:highlight w:val="none"/>
          <w:lang w:val="en-US" w:eastAsia="zh-CN"/>
        </w:rPr>
      </w:pPr>
    </w:p>
    <w:p>
      <w:pPr>
        <w:pStyle w:val="43"/>
        <w:shd w:val="clear" w:color="auto" w:fill="auto"/>
        <w:tabs>
          <w:tab w:val="left" w:pos="1701"/>
        </w:tabs>
        <w:spacing w:line="440" w:lineRule="exact"/>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pPr>
        <w:shd w:val="clear" w:color="auto" w:fill="auto"/>
        <w:spacing w:line="440" w:lineRule="exact"/>
        <w:ind w:firstLine="480" w:firstLineChars="200"/>
        <w:jc w:val="left"/>
        <w:outlineLvl w:val="9"/>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pPr>
        <w:shd w:val="clear" w:color="auto" w:fill="auto"/>
        <w:spacing w:before="156" w:beforeLines="50" w:line="400" w:lineRule="exact"/>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  推荐中标候选人</w:t>
      </w:r>
      <w:bookmarkEnd w:id="51"/>
      <w:bookmarkEnd w:id="52"/>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pPr>
        <w:shd w:val="clear" w:color="auto" w:fill="auto"/>
        <w:spacing w:line="400" w:lineRule="exact"/>
        <w:ind w:firstLine="470"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bookmarkEnd w:id="46"/>
    <w:p>
      <w:pPr>
        <w:shd w:val="clear" w:color="auto" w:fill="auto"/>
        <w:snapToGrid w:val="0"/>
        <w:spacing w:line="400" w:lineRule="exact"/>
        <w:ind w:firstLine="48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pPr>
        <w:shd w:val="clear" w:color="auto" w:fill="auto"/>
        <w:snapToGrid w:val="0"/>
        <w:spacing w:line="400" w:lineRule="exact"/>
        <w:outlineLvl w:val="9"/>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pPr>
        <w:shd w:val="clear" w:color="auto" w:fill="auto"/>
        <w:snapToGrid w:val="0"/>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val="0"/>
          <w:bCs w:val="0"/>
          <w:color w:val="auto"/>
          <w:szCs w:val="21"/>
          <w:highlight w:val="none"/>
        </w:rPr>
        <w:t>)评标专家无法查看并检验电子标书中相关资料的；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(6)投标人超出营业范围投标的；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(7)联合体投标未提交联合体协议的；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(8)被暂停营业的；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(9)被暂停或取消投标资格的；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(10)财产被接管或冻结的；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(11)投标人单位负责人为同一人或者存在控股、管理关系的不同单位的；</w:t>
      </w:r>
    </w:p>
    <w:p>
      <w:pPr>
        <w:shd w:val="clear" w:color="auto" w:fill="auto"/>
        <w:snapToGrid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（12）投标人基本资格条件和特定资格条件中有一项及以上不符合要求的；</w:t>
      </w:r>
    </w:p>
    <w:p>
      <w:pPr>
        <w:shd w:val="clear" w:color="auto" w:fill="auto"/>
        <w:snapToGrid w:val="0"/>
        <w:spacing w:line="400" w:lineRule="exact"/>
        <w:ind w:firstLine="360" w:firstLineChars="150"/>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（13）投标人使用相同的MAC地址进行报名的</w:t>
      </w:r>
      <w:r>
        <w:rPr>
          <w:rFonts w:hint="eastAsia" w:ascii="仿宋" w:hAnsi="仿宋" w:eastAsia="仿宋" w:cs="仿宋"/>
          <w:color w:val="auto"/>
          <w:szCs w:val="21"/>
          <w:highlight w:val="none"/>
          <w:lang w:eastAsia="zh-CN"/>
        </w:rPr>
        <w:t>；</w:t>
      </w:r>
    </w:p>
    <w:p>
      <w:pPr>
        <w:shd w:val="clear" w:color="auto" w:fill="auto"/>
        <w:snapToGrid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pPr>
        <w:widowControl/>
        <w:shd w:val="clear" w:color="auto" w:fill="auto"/>
        <w:spacing w:line="500" w:lineRule="exact"/>
        <w:ind w:firstLine="480" w:firstLineChars="20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pPr>
        <w:shd w:val="clear" w:color="auto" w:fill="auto"/>
        <w:spacing w:line="360" w:lineRule="auto"/>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pPr>
        <w:shd w:val="clear" w:color="auto" w:fill="auto"/>
        <w:spacing w:line="360" w:lineRule="auto"/>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8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pageBreakBefore/>
        <w:shd w:val="clear" w:color="auto" w:fill="auto"/>
        <w:spacing w:line="360" w:lineRule="auto"/>
        <w:jc w:val="center"/>
        <w:outlineLvl w:val="9"/>
        <w:rPr>
          <w:rFonts w:hint="eastAsia" w:ascii="仿宋" w:hAnsi="仿宋" w:eastAsia="仿宋" w:cs="仿宋"/>
          <w:b/>
          <w:color w:val="auto"/>
          <w:sz w:val="32"/>
          <w:szCs w:val="32"/>
          <w:highlight w:val="none"/>
        </w:rPr>
        <w:sectPr>
          <w:footerReference r:id="rId7" w:type="default"/>
          <w:pgSz w:w="11906" w:h="16838"/>
          <w:pgMar w:top="1440" w:right="1134" w:bottom="1440" w:left="1134" w:header="851" w:footer="992" w:gutter="0"/>
          <w:pgNumType w:fmt="decimal" w:start="1"/>
          <w:cols w:space="720" w:num="1"/>
          <w:docGrid w:type="linesAndChars" w:linePitch="312" w:charSpace="0"/>
        </w:sectPr>
      </w:pPr>
      <w:bookmarkStart w:id="54" w:name="_Toc469495737"/>
      <w:bookmarkStart w:id="55" w:name="OLE_LINK4"/>
    </w:p>
    <w:p>
      <w:pPr>
        <w:pageBreakBefore/>
        <w:numPr>
          <w:ilvl w:val="0"/>
          <w:numId w:val="7"/>
        </w:numPr>
        <w:shd w:val="clear" w:color="auto" w:fill="auto"/>
        <w:spacing w:line="360" w:lineRule="auto"/>
        <w:ind w:leftChars="0" w:right="0" w:rightChars="0"/>
        <w:jc w:val="center"/>
        <w:outlineLvl w:val="0"/>
        <w:rPr>
          <w:rFonts w:hint="eastAsia" w:ascii="仿宋" w:hAnsi="仿宋" w:eastAsia="仿宋" w:cs="仿宋"/>
          <w:b/>
          <w:color w:val="auto"/>
          <w:sz w:val="30"/>
          <w:szCs w:val="30"/>
          <w:highlight w:val="none"/>
        </w:rPr>
      </w:pPr>
      <w:bookmarkStart w:id="56" w:name="_Toc29986"/>
      <w:r>
        <w:rPr>
          <w:rFonts w:hint="eastAsia" w:ascii="仿宋" w:hAnsi="仿宋" w:eastAsia="仿宋" w:cs="仿宋"/>
          <w:b/>
          <w:color w:val="auto"/>
          <w:sz w:val="30"/>
          <w:szCs w:val="30"/>
          <w:highlight w:val="none"/>
        </w:rPr>
        <w:t xml:space="preserve"> </w:t>
      </w:r>
      <w:bookmarkEnd w:id="47"/>
      <w:bookmarkEnd w:id="54"/>
      <w:r>
        <w:rPr>
          <w:rFonts w:hint="eastAsia" w:ascii="仿宋" w:hAnsi="仿宋" w:eastAsia="仿宋" w:cs="仿宋"/>
          <w:b/>
          <w:color w:val="auto"/>
          <w:sz w:val="30"/>
          <w:szCs w:val="30"/>
          <w:highlight w:val="none"/>
        </w:rPr>
        <w:t>技术规格、数量及质量要求</w:t>
      </w:r>
      <w:bookmarkEnd w:id="56"/>
    </w:p>
    <w:p>
      <w:pPr>
        <w:shd w:val="clear" w:color="auto" w:fill="auto"/>
        <w:spacing w:line="360" w:lineRule="auto"/>
        <w:ind w:firstLine="487" w:firstLineChars="150"/>
        <w:jc w:val="center"/>
        <w:outlineLvl w:val="9"/>
        <w:rPr>
          <w:rFonts w:hint="eastAsia" w:ascii="仿宋" w:hAnsi="仿宋" w:eastAsia="仿宋" w:cs="仿宋"/>
          <w:b/>
          <w:bCs/>
          <w:color w:val="auto"/>
          <w:sz w:val="32"/>
          <w:szCs w:val="24"/>
          <w:highlight w:val="none"/>
        </w:rPr>
      </w:pPr>
      <w:bookmarkStart w:id="57" w:name="_Toc340225294"/>
      <w:bookmarkStart w:id="58" w:name="_Toc267320052"/>
      <w:r>
        <w:rPr>
          <w:rFonts w:hint="eastAsia" w:ascii="仿宋" w:hAnsi="仿宋" w:eastAsia="仿宋" w:cs="仿宋"/>
          <w:b/>
          <w:bCs/>
          <w:color w:val="auto"/>
          <w:sz w:val="32"/>
          <w:szCs w:val="24"/>
          <w:highlight w:val="none"/>
          <w:lang w:eastAsia="zh-CN"/>
        </w:rPr>
        <w:t>上阿图什镇塔库提村农机服务设备采购项目</w:t>
      </w:r>
      <w:r>
        <w:rPr>
          <w:rFonts w:hint="eastAsia" w:ascii="仿宋" w:hAnsi="仿宋" w:eastAsia="仿宋" w:cs="仿宋"/>
          <w:b/>
          <w:bCs/>
          <w:color w:val="auto"/>
          <w:sz w:val="32"/>
          <w:szCs w:val="24"/>
          <w:highlight w:val="none"/>
        </w:rPr>
        <w:t>采购清单及参数</w:t>
      </w:r>
    </w:p>
    <w:tbl>
      <w:tblPr>
        <w:tblStyle w:val="24"/>
        <w:tblW w:w="14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349"/>
        <w:gridCol w:w="7404"/>
        <w:gridCol w:w="828"/>
        <w:gridCol w:w="1080"/>
        <w:gridCol w:w="1080"/>
        <w:gridCol w:w="93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blHeader/>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名称</w:t>
            </w:r>
          </w:p>
        </w:tc>
        <w:tc>
          <w:tcPr>
            <w:tcW w:w="74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参数</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单价（元）</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金额（元）</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三行圆包式采棉机</w:t>
            </w:r>
          </w:p>
        </w:tc>
        <w:tc>
          <w:tcPr>
            <w:tcW w:w="74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整机质量（Kg）：18000；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采棉头结构形式：水平摘锭；</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收获行数（行）：3；</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采棉滚筒个数：6；</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采棉滚筒转速（r/min）：0-170；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摘锭转速（r/min）：0-4200；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每个滚筒上的摘锭座管个数（个）前16后12；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每个摘锭座管上的摘锭个数（个）：20；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每个采棉头上的摘锭个数（个）：560；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脱棉盘外径（mm）：158；</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脱棉盘个数120；轴距（mm）：4318；</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最大行驶速度（km/h）：24；</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棉模尺寸（直径×宽）（mm）：（500-1800）×1200；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棉模质量（Kg）：80-1000；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排放标准：国四</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六行圆包式采棉机</w:t>
            </w:r>
          </w:p>
        </w:tc>
        <w:tc>
          <w:tcPr>
            <w:tcW w:w="7404"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整机质量（Kg）：34400；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采棉头数量（个）：6；</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摘锭座管数量（个）前16后12；每根座管摘锭数（个）20；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发动机功率（KW）：566；</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发动机排量（L）：16.72；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噪声（DB(A)）动态：≤95；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棉田模式最大行驶速度（km/h）：Ⅰ档7.1、Ⅱ档8.5；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驱动方式：四驱；</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最大爬坡度（空载）：35；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最小转弯半径（m）：6.7；</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轴距（m）：4.32；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轮距（m）前轮2.28m；后轮2.28米；</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轮胎安装方式：前轮双轮并装；后轮单胎；</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棉箱容量（m³）：9.1；</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棉包宽度（m）：2.4；</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棉包最大直径（m）：2.3；</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整机尺寸：10.2×5.5×5.3；</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排放标准：国四</w:t>
            </w:r>
          </w:p>
        </w:tc>
        <w:tc>
          <w:tcPr>
            <w:tcW w:w="8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花生收割机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结构形式：自走式；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发动机标定功率（Kw）：107；</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工作状态外形尺寸（长×宽×高）（mm）：6550×2950×3440；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整机重量（Kg）：6220；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最小离地间隙（mm）：280；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最小通过半径（mm）：6900；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作业速度（Km/h）：1.79-9.50；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作业小时生产率（h㎡/h）：0.3-1；</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单位作业量燃油消耗量（kg/h㎡）：≤35；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工作幅宽（mm）：2600；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工作垄/行数：3；</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分离机构工作面（长×宽）（mm）：1510×800；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摘果机构型式：单纵轴流；</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摘辊尺寸（直径×长度）（mm）：690×2000；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捡拾机构型式：滑道滚筒式；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长度（mm）：2600；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轴距（mm）：2870；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轮胎：前轮：平花胎15-24；后轮：平花胎10-15；前/后轮轮距（mm）1940/1940；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清选机构风扇尺寸（直径×宽度）（mm）：280×845；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果箱容积（m³）：2.3；</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要求：带起拔机</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拖拉机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整机尺寸（mm）：6000×3010×3200；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轴距（mm）：3050；最小离地间隙（mm）380；前轮/后轮轮距（mm）前轮：1850,1980、后轮：1840～3080；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最小使用质量（Kg）：9500；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档位：28/28；</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发动机功率（KW）：184；</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轮胎型号：600/70R28,710/70R42(单台）；</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变速箱齿轮副轴孔中心距（mm）：125；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排放标准：国四</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拖拉机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整机尺寸（mm）：5450×（2806-3540）×3050；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轴距（mm）：2800；前轮/后轮轮距（mm）前轮：1867,1860、后轮：2000，2390,2300；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发动机功率（KW）：155；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排放标准：国四</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液压联合整地机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机具配置：缺口耙4组、圆盘耙4组、平土板3组、碎土辊5组、镇压辊5组；</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耙片数：缺口耙4组41片、圆盘耙4组41片；</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工作幅宽（m）：6.8；</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耙片间距（mm）：170；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耙片直径（mm）：460；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耙组偏角（°）最小偏角0，最大偏角13；</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外形尺寸（长×宽×高）工作状态：7460×7020×1400；运输状态：7640×4080×3260；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折叠油缸个数（个）：4；行走升降油缸（个）：2；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平地机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结构重量（kg）：≥5500；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配套动力（KW）：≥162；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轮胎个数：2+2；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工作宽幅（mm）：3800；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离地间隙（mm）：≥450；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铲斗尺寸（mm）：850*3800*1025，材质为高强度钢板；</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推板液油缸：数量1个，直径≥90mm；</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升降液压油缸：数量2个，直径≥80mm；</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液压油散热功能：自带液压油散热功能；</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北斗卫星平地系统：配带北斗卫星平地系统；                                               卫星仪器屏幕尺寸：10.1寸，多点电容触摸；</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分辨率：1024*600；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网络：双卡，4G全网通模块；</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存储：2G内存 ,16G存储；</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物理尺寸：281mm×181mm×42mm;</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要求：带北斗卫星仪器</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秸秆还田残膜回收打包联合作业机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捡拾结构型式：捡拾结构型式；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配套动力（kw）：103-122；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工作状态外形尺寸（长×宽×高）（mm）：5800×2800×2150；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运输间隙（mm）：280；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集膜箱总容积（m³）：0.21；工作幅宽（mm）：2000；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生产率（h㎡/h）：0.75-1.75；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残膜回收机构型7式：秸秆切碎还田、滚筒摆齿式收膜、钢辊叶片离心式膜土分离、圆辊式残膜卷捆打包；</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秸秆切碎机构型式：甩刀式；</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装载机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额定斗容量（m³）：3；</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额定载重量（kg）：5000；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整机工作质量（kg）：17100；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卸载高度（mm）：3425；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卸载距离（mm）：1092；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轴距（mm）：3200；轮距（mm）：2250；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最小离地间隙（mm）：502；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车体转角(°)：35/35；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整机长度（mm）：8510；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主机最大长度（mm）：6170；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主机最大总宽度（mm）：2845；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后轴至铰接点的间距（mm）：2010；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后悬长度（mm）：2160；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卸载角(°)： 44；</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运料位置高度（mm）：531；</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最大牵引力（kN）：160；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转弯半径（mm）：6330；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铲斗在运料位置时的最小转弯半径（mm）：7290；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倾翻载荷（kg）：10000；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最大掘起力（kN）：156；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34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小麦玉米双用收割机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轴距（mm）：3656；</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发动机排量（L）：6.7；</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喂入量（公斤/秒）：12；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燃油箱（L)：500；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两轮驱动：标配；前端横向浮动：驾驶室内手动控制；前端前后角度调整：手动调整；</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滚简转速范围（转/分）：250-1150；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滚筒直径/长度（毫米）：610/2451；</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清选系统宽度（毫米）：1142；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杂余回送：至滚筒；</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粮箱容量 (升）：6500；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抛洒装置：双盘主动抛洒；</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要求：玉米籽粒割1台、小麦割1台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349"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液压翻转犁</w:t>
            </w:r>
          </w:p>
        </w:tc>
        <w:tc>
          <w:tcPr>
            <w:tcW w:w="7404"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结构型式 ：悬挂式；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工作状态外形尺寸（长×宽×高）mm：5400×2900×1800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配套拖拉机标定功率 kW：132.3～176.4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翻转机构型式：液压式；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犁体类型 ：基本（通用）型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犁体数量(个)：大犁：5×2；小犁：5×2；</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犁体幅宽 mm：最小：330；最大：500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犁铧类型：可换铧尖型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犁壁类型：栅条式；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总工作幅宽mm：最小：1650；最大2500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犁体纵向距离mm：1000；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犁轮类型：限深轮；</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犁轮数量：1；</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限深轮调节范围mm：150～255 ；</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油缸型号：465-90/50-245；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油缸数量(个)：1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3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深松机</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结构型式：悬挂式；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振动方式：非振动式；</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配套动力范围（kw）：91.9-132.4（轮式拖拉机）；</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整机外形尺寸（长×宽×高（mm）：2200×3100×1400；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作业速度（km/h）：4-6.5；</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作业小时生产率（hm²）：1-1.9；</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工作幅宽（cm）：300；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铲间距（cm）：50；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深松铲结构型式：偏柱曲面铲；</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深松铲数量：6；</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深松铲排列方式：三行交错；</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深松深度（cm）：≥30；</w:t>
            </w:r>
          </w:p>
          <w:p>
            <w:pPr>
              <w:keepNext w:val="0"/>
              <w:keepLines w:val="0"/>
              <w:pageBreakBefore w:val="0"/>
              <w:widowControl/>
              <w:suppressLineNumbers w:val="0"/>
              <w:kinsoku/>
              <w:wordWrap/>
              <w:overflowPunct/>
              <w:topLinePunct w:val="0"/>
              <w:autoSpaceDE/>
              <w:autoSpaceDN/>
              <w:bidi w:val="0"/>
              <w:adjustRightInd/>
              <w:snapToGrid/>
              <w:spacing w:line="360" w:lineRule="atLeast"/>
              <w:jc w:val="left"/>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要求：带深松监测设备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合计（元）：</w:t>
            </w:r>
          </w:p>
        </w:tc>
        <w:tc>
          <w:tcPr>
            <w:tcW w:w="46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rPr>
                <w:rFonts w:hint="eastAsia" w:ascii="仿宋" w:hAnsi="仿宋" w:eastAsia="仿宋" w:cs="仿宋"/>
                <w:i w:val="0"/>
                <w:iCs w:val="0"/>
                <w:color w:val="auto"/>
                <w:sz w:val="24"/>
                <w:szCs w:val="24"/>
                <w:u w:val="none"/>
              </w:rPr>
            </w:pPr>
          </w:p>
        </w:tc>
      </w:tr>
    </w:tbl>
    <w:p>
      <w:pPr>
        <w:shd w:val="clear" w:color="auto" w:fill="auto"/>
        <w:spacing w:line="360" w:lineRule="auto"/>
        <w:ind w:firstLine="487" w:firstLineChars="150"/>
        <w:jc w:val="center"/>
        <w:outlineLvl w:val="9"/>
        <w:rPr>
          <w:rFonts w:hint="eastAsia" w:ascii="仿宋" w:hAnsi="仿宋" w:eastAsia="仿宋" w:cs="仿宋"/>
          <w:b/>
          <w:bCs/>
          <w:color w:val="auto"/>
          <w:sz w:val="32"/>
          <w:szCs w:val="24"/>
          <w:highlight w:val="none"/>
        </w:rPr>
      </w:pPr>
    </w:p>
    <w:p>
      <w:pPr>
        <w:jc w:val="center"/>
        <w:outlineLvl w:val="9"/>
        <w:rPr>
          <w:rFonts w:hint="eastAsia" w:ascii="仿宋" w:hAnsi="仿宋" w:eastAsia="仿宋" w:cs="仿宋"/>
          <w:color w:val="auto"/>
          <w:sz w:val="24"/>
          <w:szCs w:val="32"/>
          <w:highlight w:val="none"/>
          <w:lang w:eastAsia="zh-CN"/>
        </w:rPr>
      </w:pPr>
    </w:p>
    <w:p>
      <w:pPr>
        <w:pStyle w:val="31"/>
        <w:rPr>
          <w:rFonts w:hint="eastAsia" w:eastAsia="宋体"/>
          <w:b/>
          <w:bCs/>
          <w:sz w:val="32"/>
          <w:szCs w:val="32"/>
          <w:highlight w:val="none"/>
          <w:lang w:eastAsia="zh-CN"/>
        </w:rPr>
        <w:sectPr>
          <w:pgSz w:w="16838" w:h="11905" w:orient="landscape"/>
          <w:pgMar w:top="1417" w:right="1440" w:bottom="1417" w:left="1440" w:header="850" w:footer="992" w:gutter="0"/>
          <w:pgNumType w:fmt="decimal"/>
          <w:cols w:space="0" w:num="1"/>
          <w:rtlGutter w:val="0"/>
          <w:docGrid w:type="linesAndChars" w:linePitch="335" w:charSpace="1057"/>
        </w:sectPr>
      </w:pPr>
      <w:r>
        <w:rPr>
          <w:rFonts w:hint="eastAsia"/>
          <w:b/>
          <w:bCs/>
          <w:sz w:val="32"/>
          <w:szCs w:val="32"/>
          <w:highlight w:val="none"/>
        </w:rPr>
        <w:t>若发现供应商所供产品与所投产品参数不符的，将上报监管部门并列入政府采购严重违法失信行为记录名单</w:t>
      </w:r>
      <w:r>
        <w:rPr>
          <w:rFonts w:hint="eastAsia"/>
          <w:b/>
          <w:bCs/>
          <w:sz w:val="32"/>
          <w:szCs w:val="32"/>
          <w:highlight w:val="none"/>
          <w:lang w:eastAsia="zh-CN"/>
        </w:rPr>
        <w:t>。</w:t>
      </w:r>
    </w:p>
    <w:p>
      <w:pPr>
        <w:spacing w:line="440" w:lineRule="exact"/>
        <w:jc w:val="left"/>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1.2包装要求</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outlineLvl w:val="9"/>
        <w:rPr>
          <w:rFonts w:hint="eastAsia" w:ascii="Times New Roman" w:hAnsi="Times New Roman" w:eastAsia="仿宋" w:cs="Times New Roman"/>
          <w:bCs/>
          <w:szCs w:val="21"/>
          <w:highlight w:val="none"/>
        </w:rPr>
      </w:pPr>
      <w:r>
        <w:rPr>
          <w:rFonts w:hint="eastAsia" w:ascii="Times New Roman" w:hAnsi="Times New Roman" w:eastAsia="仿宋" w:cs="Times New Roman"/>
          <w:bCs/>
          <w:szCs w:val="21"/>
          <w:highlight w:val="none"/>
        </w:rPr>
        <w:t>供方应提供货物服务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val="0"/>
        <w:shd w:val="clear" w:color="auto" w:fill="auto"/>
        <w:kinsoku/>
        <w:wordWrap/>
        <w:overflowPunct/>
        <w:topLinePunct w:val="0"/>
        <w:bidi w:val="0"/>
        <w:snapToGrid/>
        <w:spacing w:line="440" w:lineRule="exact"/>
        <w:textAlignment w:val="auto"/>
        <w:outlineLvl w:val="9"/>
        <w:rPr>
          <w:rFonts w:hint="eastAsia" w:ascii="Times New Roman" w:hAnsi="Times New Roman" w:eastAsia="仿宋" w:cs="Times New Roman"/>
          <w:b/>
          <w:bCs w:val="0"/>
          <w:szCs w:val="21"/>
          <w:highlight w:val="none"/>
        </w:rPr>
      </w:pPr>
      <w:r>
        <w:rPr>
          <w:rFonts w:hint="eastAsia" w:ascii="Times New Roman" w:hAnsi="Times New Roman" w:eastAsia="仿宋" w:cs="Times New Roman"/>
          <w:b/>
          <w:bCs w:val="0"/>
          <w:szCs w:val="21"/>
          <w:highlight w:val="none"/>
        </w:rPr>
        <w:t>1.3项目商务要求</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Cs/>
          <w:szCs w:val="21"/>
          <w:highlight w:val="none"/>
          <w:lang w:eastAsia="zh-CN"/>
        </w:rPr>
      </w:pPr>
      <w:r>
        <w:rPr>
          <w:rFonts w:hint="eastAsia" w:ascii="Times New Roman" w:hAnsi="Times New Roman" w:eastAsia="仿宋" w:cs="Times New Roman"/>
          <w:b/>
          <w:bCs w:val="0"/>
          <w:szCs w:val="21"/>
          <w:highlight w:val="none"/>
          <w:lang w:eastAsia="zh-CN"/>
        </w:rPr>
        <w:t>（一）</w:t>
      </w:r>
      <w:r>
        <w:rPr>
          <w:rFonts w:hint="eastAsia" w:ascii="Times New Roman" w:hAnsi="Times New Roman" w:eastAsia="仿宋" w:cs="Times New Roman"/>
          <w:b/>
          <w:bCs w:val="0"/>
          <w:szCs w:val="21"/>
          <w:highlight w:val="none"/>
        </w:rPr>
        <w:t>实施（交货）时间 ：</w:t>
      </w:r>
      <w:r>
        <w:rPr>
          <w:rFonts w:hint="eastAsia" w:ascii="Times New Roman" w:hAnsi="Times New Roman" w:eastAsia="仿宋" w:cs="Times New Roman"/>
          <w:bCs/>
          <w:szCs w:val="21"/>
          <w:highlight w:val="none"/>
        </w:rPr>
        <w:t>合同签订后</w:t>
      </w:r>
      <w:r>
        <w:rPr>
          <w:rFonts w:hint="eastAsia" w:ascii="Times New Roman" w:hAnsi="Times New Roman" w:eastAsia="仿宋" w:cs="Times New Roman"/>
          <w:bCs/>
          <w:szCs w:val="21"/>
          <w:highlight w:val="none"/>
          <w:lang w:eastAsia="zh-CN"/>
        </w:rPr>
        <w:t>在</w:t>
      </w:r>
      <w:r>
        <w:rPr>
          <w:rFonts w:hint="eastAsia" w:eastAsia="仿宋" w:cs="Times New Roman"/>
          <w:bCs/>
          <w:szCs w:val="21"/>
          <w:highlight w:val="none"/>
          <w:lang w:val="en-US" w:eastAsia="zh-CN"/>
        </w:rPr>
        <w:t>30</w:t>
      </w:r>
      <w:r>
        <w:rPr>
          <w:rFonts w:hint="eastAsia" w:ascii="Times New Roman" w:hAnsi="Times New Roman" w:eastAsia="仿宋" w:cs="Times New Roman"/>
          <w:bCs/>
          <w:szCs w:val="21"/>
          <w:highlight w:val="none"/>
          <w:lang w:val="en-US" w:eastAsia="zh-CN"/>
        </w:rPr>
        <w:t>天</w:t>
      </w:r>
      <w:r>
        <w:rPr>
          <w:rFonts w:hint="eastAsia" w:ascii="Times New Roman" w:hAnsi="Times New Roman" w:eastAsia="仿宋" w:cs="Times New Roman"/>
          <w:bCs/>
          <w:szCs w:val="21"/>
          <w:highlight w:val="none"/>
        </w:rPr>
        <w:t>内</w:t>
      </w:r>
      <w:r>
        <w:rPr>
          <w:rFonts w:hint="eastAsia" w:ascii="Times New Roman" w:hAnsi="Times New Roman" w:eastAsia="仿宋" w:cs="Times New Roman"/>
          <w:bCs/>
          <w:szCs w:val="21"/>
          <w:highlight w:val="none"/>
          <w:lang w:eastAsia="zh-CN"/>
        </w:rPr>
        <w:t>完成供货。</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Cs/>
          <w:szCs w:val="21"/>
          <w:highlight w:val="none"/>
        </w:rPr>
      </w:pPr>
      <w:r>
        <w:rPr>
          <w:rFonts w:hint="eastAsia" w:ascii="Times New Roman" w:hAnsi="Times New Roman" w:eastAsia="仿宋" w:cs="Times New Roman"/>
          <w:b/>
          <w:bCs w:val="0"/>
          <w:szCs w:val="21"/>
          <w:highlight w:val="none"/>
        </w:rPr>
        <w:t>（二）实施（交货）地点 ：</w:t>
      </w:r>
      <w:r>
        <w:rPr>
          <w:rFonts w:hint="eastAsia" w:ascii="Times New Roman" w:hAnsi="Times New Roman" w:eastAsia="仿宋" w:cs="Times New Roman"/>
          <w:bCs/>
          <w:szCs w:val="21"/>
          <w:highlight w:val="none"/>
        </w:rPr>
        <w:t>甲方指定地点</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
          <w:bCs w:val="0"/>
          <w:szCs w:val="21"/>
          <w:highlight w:val="none"/>
        </w:rPr>
      </w:pPr>
      <w:r>
        <w:rPr>
          <w:rFonts w:hint="eastAsia" w:ascii="Times New Roman" w:hAnsi="Times New Roman" w:eastAsia="仿宋" w:cs="Times New Roman"/>
          <w:b/>
          <w:bCs w:val="0"/>
          <w:szCs w:val="21"/>
          <w:highlight w:val="none"/>
        </w:rPr>
        <w:t>（三）报价要求</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Cs/>
          <w:szCs w:val="21"/>
          <w:highlight w:val="none"/>
        </w:rPr>
      </w:pPr>
      <w:r>
        <w:rPr>
          <w:rFonts w:hint="eastAsia" w:ascii="Times New Roman" w:hAnsi="Times New Roman" w:eastAsia="仿宋" w:cs="Times New Roman"/>
          <w:bCs/>
          <w:szCs w:val="21"/>
          <w:highlight w:val="none"/>
        </w:rPr>
        <w:t>本次报价为人民币报价，投标报价应包括：货物本身价格、包装费、运输费用、保险费用、</w:t>
      </w:r>
      <w:r>
        <w:rPr>
          <w:rFonts w:hint="eastAsia" w:ascii="Times New Roman" w:hAnsi="Times New Roman" w:eastAsia="仿宋" w:cs="Times New Roman"/>
          <w:bCs/>
          <w:szCs w:val="21"/>
          <w:highlight w:val="none"/>
          <w:lang w:eastAsia="zh-CN"/>
        </w:rPr>
        <w:t>安装调试费、</w:t>
      </w:r>
      <w:r>
        <w:rPr>
          <w:rFonts w:hint="eastAsia" w:ascii="Times New Roman" w:hAnsi="Times New Roman" w:eastAsia="仿宋" w:cs="Times New Roman"/>
          <w:bCs/>
          <w:szCs w:val="21"/>
          <w:highlight w:val="none"/>
        </w:rPr>
        <w:t>装卸费、损耗、税金费用、自检费、人工费、其他配件费及验收合格前和质保期内发生的一切费用、应当提供的伴随服务/售后服务费用。</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
          <w:bCs w:val="0"/>
          <w:szCs w:val="21"/>
          <w:highlight w:val="none"/>
        </w:rPr>
      </w:pPr>
      <w:r>
        <w:rPr>
          <w:rFonts w:hint="eastAsia" w:ascii="Times New Roman" w:hAnsi="Times New Roman" w:eastAsia="仿宋" w:cs="Times New Roman"/>
          <w:b/>
          <w:bCs w:val="0"/>
          <w:szCs w:val="21"/>
          <w:highlight w:val="none"/>
        </w:rPr>
        <w:t>（四）质保要求</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Cs/>
          <w:szCs w:val="21"/>
          <w:highlight w:val="none"/>
        </w:rPr>
      </w:pPr>
      <w:r>
        <w:rPr>
          <w:rFonts w:hint="eastAsia" w:ascii="Times New Roman" w:hAnsi="Times New Roman" w:eastAsia="仿宋" w:cs="Times New Roman"/>
          <w:bCs/>
          <w:szCs w:val="21"/>
          <w:highlight w:val="none"/>
        </w:rPr>
        <w:t>对所供应的货物二年免费质保（自货物验收合格并进行移交之日起）。</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1.供方必须严格遵守投标文件承诺的有关规定为用户提供售后服务及其他类似服务，包括：</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（1）确保产品正常使用、负责调试设备的兼容和匹配，及时解答采购方提出的疑问，帮助解决问题，负责对产品的维护和技术咨询服务。</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（2）保证在接到请求技术服务（或用户的报修通知）后立即响应，24小时之内到达现场解决问题，（如遇不可抗力因素除外）。</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（3）维修中所更换的备件为原厂生产或合格产品。同时提供原厂原（或生产厂商）包装备件以保证产品的完整性和可靠性。</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2.产品质量保证</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（1）供应商将严格控制采购、检验、生产、包装、调试和售后服务的质量过程，严格遵循企业标准和相关的行业和国家标准的要求。所供产品是最新的，不存在可能淘汰的风险。</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（2）认真与需方配合，严格按照合同要求，确保产品符合需方要求。</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（3）严格控制原材料、原器件、配套件的质量，保证所供产品加工工艺完善，检测手段完备，产品绝不带缺陷。</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（4）对涉及分包商的供货、质量、设备、服务等方面问题负全部责任。按合同规定的关键部件分包商必须符合有关资质的要求。</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（5）为所供的产品运输、装卸进行投保，一旦发生意外，供应商将按需方要求对所供设备进行免费更换、修理、直到满意为止。</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（6）在交验过程中如发现缺件及其他原因引起的零部件丢失，供应商负责尽快免费补齐所缺零部件。</w:t>
      </w:r>
    </w:p>
    <w:p>
      <w:pPr>
        <w:pStyle w:val="18"/>
        <w:keepNext w:val="0"/>
        <w:keepLines w:val="0"/>
        <w:pageBreakBefore w:val="0"/>
        <w:widowControl w:val="0"/>
        <w:kinsoku/>
        <w:wordWrap/>
        <w:overflowPunct/>
        <w:topLinePunct w:val="0"/>
        <w:autoSpaceDE/>
        <w:autoSpaceDN/>
        <w:bidi w:val="0"/>
        <w:adjustRightInd/>
        <w:spacing w:line="500" w:lineRule="exact"/>
        <w:ind w:firstLine="490" w:firstLineChars="200"/>
        <w:textAlignment w:val="auto"/>
        <w:rPr>
          <w:rFonts w:hint="eastAsia" w:ascii="仿宋" w:hAnsi="仿宋" w:eastAsia="仿宋" w:cs="仿宋"/>
          <w:color w:val="auto"/>
          <w:spacing w:val="0"/>
          <w:w w:val="100"/>
          <w:position w:val="0"/>
          <w:sz w:val="24"/>
          <w:szCs w:val="24"/>
          <w:highlight w:val="none"/>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（7）若成交，本承诺将成为合同不可分割的部分，与合同具有同等法律效力。在本合同实施过程中，</w:t>
      </w:r>
      <w:r>
        <w:rPr>
          <w:rFonts w:hint="eastAsia" w:ascii="仿宋" w:hAnsi="仿宋" w:eastAsia="仿宋" w:cs="仿宋"/>
          <w:color w:val="auto"/>
          <w:spacing w:val="0"/>
          <w:w w:val="100"/>
          <w:position w:val="0"/>
          <w:sz w:val="24"/>
          <w:szCs w:val="24"/>
          <w:highlight w:val="none"/>
          <w:shd w:val="clear" w:color="auto" w:fill="auto"/>
          <w:lang w:val="en-US" w:eastAsia="zh-CN" w:bidi="en-US"/>
        </w:rPr>
        <w:t>我们将更进一步严格质量控制，确保提供合格产品及服务。</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spacing w:val="0"/>
          <w:w w:val="100"/>
          <w:position w:val="0"/>
          <w:sz w:val="24"/>
          <w:szCs w:val="24"/>
          <w:highlight w:val="none"/>
          <w:shd w:val="clear" w:color="auto" w:fill="auto"/>
          <w:lang w:val="en-US" w:eastAsia="zh-CN" w:bidi="en-US"/>
        </w:rPr>
      </w:pPr>
      <w:r>
        <w:rPr>
          <w:rFonts w:hint="eastAsia" w:ascii="Times New Roman" w:hAnsi="Times New Roman" w:eastAsia="仿宋" w:cs="Times New Roman"/>
          <w:b/>
          <w:bCs w:val="0"/>
          <w:color w:val="auto"/>
          <w:szCs w:val="21"/>
          <w:highlight w:val="none"/>
          <w:lang w:val="en-US" w:eastAsia="zh-CN"/>
        </w:rPr>
        <w:t>（六）付款方式</w:t>
      </w:r>
      <w:r>
        <w:rPr>
          <w:rFonts w:hint="eastAsia" w:eastAsia="仿宋" w:cs="Times New Roman"/>
          <w:b/>
          <w:bCs w:val="0"/>
          <w:color w:val="auto"/>
          <w:szCs w:val="21"/>
          <w:highlight w:val="none"/>
          <w:lang w:val="en-US" w:eastAsia="zh-CN"/>
        </w:rPr>
        <w:t>：甲乙双方签订合同后付合同总价的30%，供货完成安装调试验收合格设备正常运行后付剩余70%。</w:t>
      </w:r>
    </w:p>
    <w:p>
      <w:pPr>
        <w:pStyle w:val="18"/>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color w:val="auto"/>
          <w:spacing w:val="0"/>
          <w:w w:val="100"/>
          <w:position w:val="0"/>
          <w:sz w:val="24"/>
          <w:szCs w:val="24"/>
          <w:highlight w:val="none"/>
          <w:shd w:val="clear" w:color="auto" w:fill="auto"/>
          <w:lang w:val="en-US" w:eastAsia="zh-CN" w:bidi="en-US"/>
        </w:rPr>
      </w:pPr>
      <w:r>
        <w:rPr>
          <w:rFonts w:hint="eastAsia" w:ascii="仿宋" w:hAnsi="仿宋" w:eastAsia="仿宋" w:cs="仿宋"/>
          <w:b/>
          <w:bCs/>
          <w:color w:val="auto"/>
          <w:spacing w:val="0"/>
          <w:w w:val="100"/>
          <w:position w:val="0"/>
          <w:sz w:val="24"/>
          <w:szCs w:val="24"/>
          <w:highlight w:val="none"/>
          <w:shd w:val="clear" w:color="auto" w:fill="auto"/>
          <w:lang w:val="en-US" w:eastAsia="zh-CN" w:bidi="en-US"/>
        </w:rPr>
        <w:t>（七）货物验收要求</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（1）供应商提供的产品为全新未使用且符合相关法律法规要求的合格产品。</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（2）供应商应在使用单位人员在场情况下当面共同清点、检查，作出检查记录，双方签字确认。</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3）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予顺延。</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4）完工验收:甲方按双方确认供应货物的数量，材料、规格等事立的书面材料及本合同约定内容进行验收。验收过程中若存在质量和技术问题，乙方必须在3个日历天内整改完毕。若存在严重与招标实际货物重大偏离的，甲方有权取消中标资格。</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（5）</w:t>
      </w:r>
      <w:r>
        <w:rPr>
          <w:rFonts w:hint="eastAsia" w:ascii="仿宋" w:hAnsi="仿宋" w:eastAsia="仿宋" w:cs="仿宋"/>
          <w:color w:val="auto"/>
          <w:spacing w:val="0"/>
          <w:w w:val="100"/>
          <w:position w:val="0"/>
          <w:sz w:val="24"/>
          <w:szCs w:val="24"/>
          <w:highlight w:val="none"/>
          <w:shd w:val="clear" w:color="auto" w:fill="auto"/>
          <w:lang w:val="en-US" w:eastAsia="zh-CN" w:bidi="en-US"/>
        </w:rPr>
        <w:t>产品质保期为二年，自验收</w:t>
      </w:r>
      <w:r>
        <w:rPr>
          <w:rFonts w:hint="eastAsia" w:ascii="仿宋" w:hAnsi="仿宋" w:eastAsia="仿宋" w:cs="仿宋"/>
          <w:color w:val="auto"/>
          <w:spacing w:val="0"/>
          <w:w w:val="100"/>
          <w:position w:val="0"/>
          <w:sz w:val="24"/>
          <w:szCs w:val="24"/>
          <w:shd w:val="clear" w:color="auto" w:fill="auto"/>
          <w:lang w:val="en-US" w:eastAsia="zh-CN" w:bidi="en-US"/>
        </w:rPr>
        <w:t>合格之日起计算，质保期内如出现质量问题，乙方应在接到甲方报修电话后立即响应，24小时之内到达现场进行免费维修并解决问题。</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（6）货到现场前24小时告知甲方，由甲方召集相关单位组织验收核查数量及产品合格证明文件等原件后，乙方方可进行卸货、搬运至指定位置。</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7）供货期内，乙方按照甲方要求完成产品调试运行、校正调整、产品保护等全部工作后再次告知甲方，由甲方再次召集相关单位进行检查验收，验收合格、乙方向甲方提交完整的产品合格证件等全部技术资料。</w:t>
      </w:r>
    </w:p>
    <w:p>
      <w:pPr>
        <w:pStyle w:val="18"/>
        <w:spacing w:line="360" w:lineRule="auto"/>
        <w:ind w:firstLine="490" w:firstLineChars="20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(8)供应商提供的货物未达到招标文件规定要求，且对采购人造成损失的，由供应商承担一切责任，并赔偿所造成的损失。</w:t>
      </w:r>
    </w:p>
    <w:bookmarkEnd w:id="55"/>
    <w:bookmarkEnd w:id="57"/>
    <w:bookmarkEnd w:id="58"/>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
          <w:bCs w:val="0"/>
          <w:color w:val="auto"/>
          <w:szCs w:val="21"/>
          <w:highlight w:val="none"/>
          <w:lang w:val="en-US" w:eastAsia="zh-CN"/>
        </w:rPr>
      </w:pPr>
      <w:bookmarkStart w:id="59" w:name="_Toc8238"/>
      <w:bookmarkStart w:id="60" w:name="_Toc21807"/>
      <w:bookmarkStart w:id="61" w:name="_Toc16945"/>
      <w:bookmarkStart w:id="62" w:name="_Toc469495740"/>
      <w:r>
        <w:rPr>
          <w:rFonts w:hint="eastAsia" w:ascii="Times New Roman" w:hAnsi="Times New Roman" w:eastAsia="仿宋" w:cs="Times New Roman"/>
          <w:b/>
          <w:bCs w:val="0"/>
          <w:color w:val="auto"/>
          <w:szCs w:val="21"/>
          <w:highlight w:val="none"/>
          <w:lang w:val="en-US" w:eastAsia="zh-CN"/>
        </w:rPr>
        <w:t>（八） 知识产权</w:t>
      </w:r>
      <w:bookmarkEnd w:id="59"/>
      <w:bookmarkEnd w:id="60"/>
      <w:bookmarkEnd w:id="61"/>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Cs/>
          <w:color w:val="auto"/>
          <w:szCs w:val="21"/>
          <w:highlight w:val="none"/>
          <w:lang w:val="en-US" w:eastAsia="zh-CN"/>
        </w:rPr>
      </w:pPr>
      <w:r>
        <w:rPr>
          <w:rFonts w:hint="eastAsia" w:ascii="Times New Roman" w:hAnsi="Times New Roman" w:eastAsia="仿宋" w:cs="Times New Roman"/>
          <w:bCs/>
          <w:color w:val="auto"/>
          <w:szCs w:val="21"/>
          <w:highlight w:val="none"/>
          <w:lang w:val="en-US"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
          <w:bCs w:val="0"/>
          <w:color w:val="auto"/>
          <w:szCs w:val="21"/>
          <w:highlight w:val="none"/>
          <w:lang w:val="en-US" w:eastAsia="zh-CN"/>
        </w:rPr>
      </w:pPr>
      <w:bookmarkStart w:id="63" w:name="_Toc20832"/>
      <w:bookmarkStart w:id="64" w:name="_Toc12239"/>
      <w:bookmarkStart w:id="65" w:name="_Toc7598"/>
      <w:bookmarkStart w:id="66" w:name="_Toc439255252"/>
      <w:bookmarkStart w:id="67" w:name="_Toc12840_WPSOffice_Level1"/>
      <w:bookmarkStart w:id="68" w:name="_Toc267320054"/>
      <w:r>
        <w:rPr>
          <w:rFonts w:hint="eastAsia" w:ascii="Times New Roman" w:hAnsi="Times New Roman" w:eastAsia="仿宋" w:cs="Times New Roman"/>
          <w:b/>
          <w:bCs w:val="0"/>
          <w:color w:val="auto"/>
          <w:szCs w:val="21"/>
          <w:highlight w:val="none"/>
          <w:lang w:val="en-US" w:eastAsia="zh-CN"/>
        </w:rPr>
        <w:t>（九） 其他</w:t>
      </w:r>
      <w:bookmarkEnd w:id="63"/>
      <w:bookmarkEnd w:id="64"/>
      <w:bookmarkEnd w:id="65"/>
    </w:p>
    <w:bookmarkEnd w:id="66"/>
    <w:bookmarkEnd w:id="67"/>
    <w:bookmarkEnd w:id="68"/>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Cs/>
          <w:color w:val="auto"/>
          <w:szCs w:val="21"/>
          <w:highlight w:val="none"/>
          <w:lang w:val="en-US" w:eastAsia="zh-CN"/>
        </w:rPr>
      </w:pPr>
      <w:r>
        <w:rPr>
          <w:rFonts w:hint="eastAsia" w:ascii="Times New Roman" w:hAnsi="Times New Roman" w:eastAsia="仿宋" w:cs="Times New Roman"/>
          <w:bCs/>
          <w:color w:val="auto"/>
          <w:szCs w:val="21"/>
          <w:highlight w:val="none"/>
          <w:lang w:val="en-US" w:eastAsia="zh-CN"/>
        </w:rPr>
        <w:t>1、投标人必须在投标文件中对以上条款和服务承诺明确列出，承诺内容必须达到本篇及招标文件其他条款的要求。</w:t>
      </w:r>
    </w:p>
    <w:p>
      <w:pPr>
        <w:keepNext w:val="0"/>
        <w:keepLines w:val="0"/>
        <w:pageBreakBefore w:val="0"/>
        <w:widowControl w:val="0"/>
        <w:shd w:val="clear" w:color="auto" w:fill="auto"/>
        <w:kinsoku/>
        <w:wordWrap/>
        <w:overflowPunct/>
        <w:topLinePunct w:val="0"/>
        <w:bidi w:val="0"/>
        <w:snapToGrid/>
        <w:spacing w:line="440" w:lineRule="exact"/>
        <w:ind w:firstLine="490" w:firstLineChars="200"/>
        <w:textAlignment w:val="auto"/>
        <w:outlineLvl w:val="9"/>
        <w:rPr>
          <w:rFonts w:hint="eastAsia" w:ascii="Times New Roman" w:hAnsi="Times New Roman" w:eastAsia="仿宋" w:cs="Times New Roman"/>
          <w:bCs/>
          <w:color w:val="auto"/>
          <w:szCs w:val="21"/>
          <w:highlight w:val="none"/>
          <w:lang w:val="en-US" w:eastAsia="zh-CN"/>
        </w:rPr>
      </w:pPr>
      <w:r>
        <w:rPr>
          <w:rFonts w:hint="eastAsia" w:ascii="Times New Roman" w:hAnsi="Times New Roman" w:eastAsia="仿宋" w:cs="Times New Roman"/>
          <w:bCs/>
          <w:color w:val="auto"/>
          <w:szCs w:val="21"/>
          <w:highlight w:val="none"/>
          <w:lang w:val="en-US" w:eastAsia="zh-CN"/>
        </w:rPr>
        <w:t>2、其他未尽事宜由供需双方在采购合同中详细约定。</w:t>
      </w:r>
    </w:p>
    <w:bookmarkEnd w:id="62"/>
    <w:p>
      <w:pPr>
        <w:keepNext w:val="0"/>
        <w:keepLines w:val="0"/>
        <w:pageBreakBefore w:val="0"/>
        <w:widowControl w:val="0"/>
        <w:numPr>
          <w:ilvl w:val="0"/>
          <w:numId w:val="0"/>
        </w:numPr>
        <w:kinsoku/>
        <w:wordWrap/>
        <w:overflowPunct/>
        <w:topLinePunct w:val="0"/>
        <w:bidi w:val="0"/>
        <w:snapToGrid/>
        <w:spacing w:line="440" w:lineRule="exact"/>
        <w:ind w:leftChars="0" w:right="0" w:rightChars="0"/>
        <w:jc w:val="center"/>
        <w:textAlignment w:val="auto"/>
        <w:outlineLvl w:val="9"/>
        <w:rPr>
          <w:rFonts w:hint="eastAsia" w:ascii="仿宋" w:hAnsi="仿宋" w:eastAsia="仿宋" w:cs="仿宋"/>
          <w:b/>
          <w:bCs/>
          <w:color w:val="auto"/>
          <w:sz w:val="36"/>
          <w:szCs w:val="36"/>
          <w:highlight w:val="none"/>
          <w:lang w:eastAsia="zh-CN"/>
        </w:rPr>
      </w:pPr>
    </w:p>
    <w:p>
      <w:pPr>
        <w:pStyle w:val="31"/>
        <w:outlineLvl w:val="9"/>
        <w:rPr>
          <w:rFonts w:hint="eastAsia"/>
          <w:highlight w:val="none"/>
          <w:lang w:eastAsia="zh-CN"/>
        </w:rPr>
      </w:pPr>
    </w:p>
    <w:p>
      <w:pPr>
        <w:outlineLvl w:val="9"/>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br w:type="page"/>
      </w:r>
    </w:p>
    <w:p>
      <w:pPr>
        <w:keepNext w:val="0"/>
        <w:keepLines w:val="0"/>
        <w:pageBreakBefore w:val="0"/>
        <w:numPr>
          <w:ilvl w:val="0"/>
          <w:numId w:val="0"/>
        </w:numPr>
        <w:kinsoku/>
        <w:wordWrap/>
        <w:overflowPunct/>
        <w:topLinePunct w:val="0"/>
        <w:autoSpaceDE/>
        <w:autoSpaceDN/>
        <w:bidi w:val="0"/>
        <w:adjustRightInd/>
        <w:spacing w:line="400" w:lineRule="exact"/>
        <w:ind w:leftChars="0" w:right="0" w:rightChars="0"/>
        <w:jc w:val="center"/>
        <w:outlineLvl w:val="0"/>
        <w:rPr>
          <w:rFonts w:hint="eastAsia" w:ascii="仿宋" w:hAnsi="仿宋" w:eastAsia="仿宋" w:cs="仿宋"/>
          <w:b/>
          <w:bCs/>
          <w:color w:val="auto"/>
          <w:sz w:val="36"/>
          <w:szCs w:val="36"/>
          <w:highlight w:val="none"/>
        </w:rPr>
      </w:pPr>
      <w:bookmarkStart w:id="69" w:name="_Toc27593"/>
      <w:bookmarkStart w:id="70" w:name="_Toc30467"/>
      <w:r>
        <w:rPr>
          <w:rFonts w:hint="eastAsia" w:ascii="仿宋" w:hAnsi="仿宋" w:eastAsia="仿宋" w:cs="仿宋"/>
          <w:b/>
          <w:bCs/>
          <w:color w:val="auto"/>
          <w:sz w:val="36"/>
          <w:szCs w:val="36"/>
          <w:highlight w:val="none"/>
          <w:lang w:eastAsia="zh-CN"/>
        </w:rPr>
        <w:t>第五</w:t>
      </w:r>
      <w:r>
        <w:rPr>
          <w:rFonts w:hint="eastAsia" w:ascii="仿宋" w:hAnsi="仿宋" w:eastAsia="仿宋" w:cs="仿宋"/>
          <w:b/>
          <w:bCs/>
          <w:color w:val="auto"/>
          <w:sz w:val="36"/>
          <w:szCs w:val="36"/>
          <w:highlight w:val="none"/>
          <w:lang w:val="en-US" w:eastAsia="zh-CN"/>
        </w:rPr>
        <w:t xml:space="preserve">部分 </w:t>
      </w:r>
      <w:r>
        <w:rPr>
          <w:rFonts w:hint="eastAsia" w:ascii="仿宋" w:hAnsi="仿宋" w:eastAsia="仿宋" w:cs="仿宋"/>
          <w:b/>
          <w:bCs/>
          <w:color w:val="auto"/>
          <w:sz w:val="36"/>
          <w:szCs w:val="36"/>
          <w:highlight w:val="none"/>
        </w:rPr>
        <w:t>合同条款及格式</w:t>
      </w:r>
      <w:bookmarkEnd w:id="69"/>
      <w:bookmarkEnd w:id="70"/>
    </w:p>
    <w:p>
      <w:pPr>
        <w:keepNext w:val="0"/>
        <w:keepLines w:val="0"/>
        <w:pageBreakBefore w:val="0"/>
        <w:kinsoku/>
        <w:wordWrap/>
        <w:overflowPunct/>
        <w:topLinePunct w:val="0"/>
        <w:autoSpaceDE/>
        <w:autoSpaceDN/>
        <w:bidi w:val="0"/>
        <w:adjustRightInd/>
        <w:spacing w:line="400" w:lineRule="exac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（本合同为合同样稿，最终稿由供需双方协商后确定</w:t>
      </w:r>
      <w:r>
        <w:rPr>
          <w:rFonts w:hint="eastAsia" w:ascii="仿宋" w:hAnsi="仿宋" w:eastAsia="仿宋" w:cs="仿宋"/>
          <w:b/>
          <w:bCs/>
          <w:color w:val="auto"/>
          <w:sz w:val="24"/>
          <w:szCs w:val="24"/>
          <w:highlight w:val="none"/>
          <w:lang w:eastAsia="zh-CN"/>
        </w:rPr>
        <w:t>）</w:t>
      </w:r>
    </w:p>
    <w:p>
      <w:pPr>
        <w:pStyle w:val="18"/>
        <w:keepNext w:val="0"/>
        <w:keepLines w:val="0"/>
        <w:pageBreakBefore w:val="0"/>
        <w:kinsoku/>
        <w:wordWrap/>
        <w:overflowPunct/>
        <w:topLinePunct w:val="0"/>
        <w:autoSpaceDE/>
        <w:autoSpaceDN/>
        <w:bidi w:val="0"/>
        <w:adjustRightInd/>
        <w:spacing w:line="400" w:lineRule="exact"/>
        <w:outlineLvl w:val="9"/>
        <w:rPr>
          <w:rFonts w:hint="eastAsia"/>
          <w:highlight w:val="none"/>
        </w:rPr>
      </w:pP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0" w:right="0" w:rightChars="0"/>
        <w:jc w:val="center"/>
        <w:textAlignment w:val="baseline"/>
        <w:outlineLvl w:val="9"/>
        <w:rPr>
          <w:rFonts w:hint="eastAsia" w:ascii="黑体" w:hAnsi="黑体" w:eastAsia="黑体" w:cs="黑体"/>
          <w:b/>
          <w:color w:val="auto"/>
          <w:sz w:val="28"/>
          <w:szCs w:val="28"/>
          <w:highlight w:val="none"/>
        </w:rPr>
      </w:pPr>
      <w:bookmarkStart w:id="71" w:name="_Toc469495741"/>
      <w:r>
        <w:rPr>
          <w:rFonts w:hint="eastAsia" w:ascii="黑体" w:hAnsi="黑体" w:eastAsia="黑体" w:cs="黑体"/>
          <w:b/>
          <w:color w:val="auto"/>
          <w:sz w:val="28"/>
          <w:szCs w:val="28"/>
          <w:highlight w:val="none"/>
        </w:rPr>
        <w:t>合同协议书</w:t>
      </w:r>
      <w:bookmarkEnd w:id="71"/>
    </w:p>
    <w:p>
      <w:pPr>
        <w:keepNext w:val="0"/>
        <w:keepLines w:val="0"/>
        <w:pageBreakBefore w:val="0"/>
        <w:shd w:val="clear" w:color="auto" w:fill="auto"/>
        <w:kinsoku/>
        <w:wordWrap/>
        <w:overflowPunct/>
        <w:topLinePunct w:val="0"/>
        <w:autoSpaceDE/>
        <w:bidi w:val="0"/>
        <w:adjustRightInd/>
        <w:snapToGrid/>
        <w:spacing w:line="400" w:lineRule="exact"/>
        <w:ind w:firstLine="2069" w:firstLineChars="845"/>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合同名称   </w:t>
      </w:r>
      <w:r>
        <w:rPr>
          <w:rFonts w:hint="eastAsia" w:ascii="仿宋" w:hAnsi="仿宋" w:eastAsia="仿宋" w:cs="仿宋"/>
          <w:color w:val="auto"/>
          <w:sz w:val="24"/>
          <w:szCs w:val="24"/>
          <w:highlight w:val="none"/>
        </w:rPr>
        <w:t xml:space="preserve">          编号</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bookmarkStart w:id="72" w:name="_Toc179632628"/>
      <w:bookmarkStart w:id="73" w:name="_Toc246996253"/>
      <w:bookmarkStart w:id="74" w:name="_Toc246996996"/>
      <w:bookmarkStart w:id="75" w:name="_Toc469495742"/>
      <w:bookmarkStart w:id="76" w:name="_Toc152042388"/>
      <w:bookmarkStart w:id="77" w:name="_Toc296602498"/>
      <w:bookmarkStart w:id="78" w:name="_Toc152045610"/>
      <w:bookmarkStart w:id="79" w:name="_Toc247085768"/>
      <w:bookmarkStart w:id="80" w:name="_Toc144974578"/>
      <w:r>
        <w:rPr>
          <w:rFonts w:hint="eastAsia" w:ascii="仿宋" w:hAnsi="仿宋" w:eastAsia="仿宋" w:cs="仿宋"/>
          <w:color w:val="auto"/>
          <w:sz w:val="24"/>
          <w:szCs w:val="24"/>
          <w:highlight w:val="none"/>
        </w:rPr>
        <w:t>买    方：                                   卖    方：</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住    所：                                   住    所：                       </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（买方）</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中所需</w:t>
      </w:r>
      <w:r>
        <w:rPr>
          <w:rFonts w:hint="eastAsia" w:ascii="仿宋" w:hAnsi="仿宋" w:eastAsia="仿宋" w:cs="仿宋"/>
          <w:color w:val="auto"/>
          <w:sz w:val="24"/>
          <w:szCs w:val="24"/>
          <w:highlight w:val="none"/>
          <w:u w:val="single"/>
        </w:rPr>
        <w:t>（产品名称）</w:t>
      </w:r>
      <w:r>
        <w:rPr>
          <w:rFonts w:hint="eastAsia" w:ascii="仿宋" w:hAnsi="仿宋" w:eastAsia="仿宋" w:cs="仿宋"/>
          <w:color w:val="auto"/>
          <w:sz w:val="24"/>
          <w:szCs w:val="24"/>
          <w:highlight w:val="none"/>
        </w:rPr>
        <w:t xml:space="preserve"> 经公开招标，确定</w:t>
      </w:r>
      <w:r>
        <w:rPr>
          <w:rFonts w:hint="eastAsia" w:ascii="仿宋" w:hAnsi="仿宋" w:eastAsia="仿宋" w:cs="仿宋"/>
          <w:color w:val="auto"/>
          <w:sz w:val="24"/>
          <w:szCs w:val="24"/>
          <w:highlight w:val="none"/>
          <w:u w:val="single"/>
        </w:rPr>
        <w:t>（卖方）</w:t>
      </w:r>
      <w:r>
        <w:rPr>
          <w:rFonts w:hint="eastAsia" w:ascii="仿宋" w:hAnsi="仿宋" w:eastAsia="仿宋" w:cs="仿宋"/>
          <w:color w:val="auto"/>
          <w:sz w:val="24"/>
          <w:szCs w:val="24"/>
          <w:highlight w:val="none"/>
        </w:rPr>
        <w:t>为中标人。按照中华人民共和国合同法的规定，买卖双方同意按照下述的条款和条件，签署本合同。</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1、本合同文件</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下列每一文件均应作为合同的组成部分进行阅读和解释：</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（2）投标文件（3）中标通知书</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（4）经双方确认进入合同的其它文件、补充条款或说明</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2、采购标的、数量、质量要求</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3、合同总价</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keepNext w:val="0"/>
        <w:keepLines w:val="0"/>
        <w:pageBreakBefore w:val="0"/>
        <w:shd w:val="clear" w:color="auto" w:fill="auto"/>
        <w:kinsoku/>
        <w:wordWrap/>
        <w:overflowPunct/>
        <w:topLinePunct w:val="0"/>
        <w:autoSpaceDE/>
        <w:autoSpaceDN w:val="0"/>
        <w:bidi w:val="0"/>
        <w:adjustRightInd/>
        <w:snapToGrid/>
        <w:spacing w:line="400" w:lineRule="exact"/>
        <w:ind w:firstLine="490"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4、付款方式</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5、合同供货（服务）期限及地点和方式</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6、验收要求及违约责任</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7、违约责任及解决争议方法</w:t>
      </w:r>
    </w:p>
    <w:p>
      <w:pPr>
        <w:keepNext w:val="0"/>
        <w:keepLines w:val="0"/>
        <w:pageBreakBefore w:val="0"/>
        <w:shd w:val="clear" w:color="auto" w:fill="auto"/>
        <w:kinsoku/>
        <w:wordWrap/>
        <w:overflowPunct/>
        <w:topLinePunct w:val="0"/>
        <w:autoSpaceDE/>
        <w:bidi w:val="0"/>
        <w:adjustRightInd/>
        <w:snapToGrid/>
        <w:spacing w:line="400" w:lineRule="exact"/>
        <w:ind w:firstLine="49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8、合同的生效</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合同经双方授权代表签署，买卖双方加盖印章之后生效。</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本合同一式     份，双方各执     份。</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买  方：                          卖  方：</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名  称：（盖章）                   名  称：（盖章）</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法定代表人（或委托代理人）：       法定代表人（或委托代理人）：</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（签字）                        （签字）</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地    址：                        地    址：</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邮政编码：                        邮政编码：</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电    话：                        电    话：</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开户银行：                        开户银行：</w:t>
      </w:r>
    </w:p>
    <w:p>
      <w:pPr>
        <w:pStyle w:val="10"/>
        <w:keepNext w:val="0"/>
        <w:keepLines w:val="0"/>
        <w:pageBreakBefore w:val="0"/>
        <w:shd w:val="clear" w:color="auto" w:fill="auto"/>
        <w:kinsoku/>
        <w:wordWrap/>
        <w:overflowPunct/>
        <w:topLinePunct w:val="0"/>
        <w:autoSpaceDE/>
        <w:bidi w:val="0"/>
        <w:adjustRightInd/>
        <w:snapToGrid/>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r>
        <w:rPr>
          <w:rFonts w:hint="eastAsia" w:ascii="仿宋" w:hAnsi="仿宋" w:eastAsia="仿宋" w:cs="仿宋"/>
          <w:color w:val="auto"/>
          <w:kern w:val="0"/>
          <w:sz w:val="24"/>
          <w:szCs w:val="24"/>
          <w:highlight w:val="none"/>
          <w:u w:val="none" w:color="000000"/>
        </w:rPr>
        <w:t>帐    号：                        帐    号：</w:t>
      </w:r>
    </w:p>
    <w:p>
      <w:pPr>
        <w:shd w:val="clear" w:color="auto" w:fill="auto"/>
        <w:spacing w:line="600" w:lineRule="exact"/>
        <w:jc w:val="center"/>
        <w:outlineLvl w:val="9"/>
        <w:rPr>
          <w:rFonts w:hint="eastAsia" w:ascii="黑体" w:eastAsia="黑体"/>
          <w:b/>
          <w:color w:val="auto"/>
          <w:sz w:val="32"/>
          <w:szCs w:val="32"/>
          <w:highlight w:val="none"/>
        </w:rPr>
      </w:pPr>
    </w:p>
    <w:p>
      <w:pPr>
        <w:shd w:val="clear" w:color="auto" w:fill="auto"/>
        <w:spacing w:line="600" w:lineRule="exact"/>
        <w:jc w:val="center"/>
        <w:outlineLvl w:val="9"/>
        <w:rPr>
          <w:rFonts w:hint="eastAsia" w:ascii="黑体" w:eastAsia="黑体"/>
          <w:b/>
          <w:color w:val="auto"/>
          <w:sz w:val="32"/>
          <w:szCs w:val="32"/>
          <w:highlight w:val="none"/>
        </w:rPr>
      </w:pPr>
      <w:r>
        <w:rPr>
          <w:rFonts w:hint="eastAsia" w:ascii="黑体" w:eastAsia="黑体"/>
          <w:b/>
          <w:color w:val="auto"/>
          <w:sz w:val="32"/>
          <w:szCs w:val="32"/>
          <w:highlight w:val="none"/>
        </w:rPr>
        <w:t>二  合同条款</w:t>
      </w:r>
      <w:bookmarkEnd w:id="72"/>
      <w:bookmarkEnd w:id="73"/>
      <w:bookmarkEnd w:id="74"/>
      <w:bookmarkEnd w:id="75"/>
      <w:bookmarkEnd w:id="76"/>
      <w:bookmarkEnd w:id="77"/>
      <w:bookmarkEnd w:id="78"/>
      <w:bookmarkEnd w:id="79"/>
      <w:bookmarkEnd w:id="80"/>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  合同文件</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1、合同文件适用法律</w:t>
      </w:r>
    </w:p>
    <w:p>
      <w:pPr>
        <w:shd w:val="clear" w:color="auto" w:fill="auto"/>
        <w:spacing w:line="440" w:lineRule="exact"/>
        <w:ind w:firstLine="735"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适用于合同文件的法律是中华人民共和国现行法律、法规及招标人所在地的地方性法规。</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2、合同文件组成和解释顺序</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(1)合同文件的组成和解释顺序如下：</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&lt;1&gt;合同的主要条款；</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&lt;2&gt;合同的一般性条款；</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&lt;3&gt;洽商、变更等明确双方权利义务的纪要、协议；</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&lt;4&gt;中标通知书、投标文件和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&lt;5&gt;有关图纸、标准、规范和其它有关技术资料、技术要求。</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&lt;6&gt;合同的主要条款的效力优于合同的一般性条款的效力。</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3、合同文件使用文字</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(1)合同文件使用中文书写、解释和说明。</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  标的物的一般条款</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4、完整物权</w:t>
      </w:r>
    </w:p>
    <w:p>
      <w:pPr>
        <w:shd w:val="clear" w:color="auto" w:fill="auto"/>
        <w:tabs>
          <w:tab w:val="left" w:pos="660"/>
        </w:tabs>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对于出卖的标的物，卖方应当拥有完整物权，并且卖方负有保证第三人不得向买方主张任何权利（包括知识产权）的义务。</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5、质量保证</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shd w:val="clear" w:color="auto" w:fill="auto"/>
        <w:tabs>
          <w:tab w:val="left" w:pos="900"/>
        </w:tabs>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6、包装</w:t>
      </w:r>
    </w:p>
    <w:p>
      <w:pPr>
        <w:pStyle w:val="7"/>
        <w:shd w:val="clear" w:color="auto" w:fill="auto"/>
        <w:tabs>
          <w:tab w:val="left" w:pos="900"/>
        </w:tabs>
        <w:spacing w:line="440" w:lineRule="exact"/>
        <w:ind w:firstLine="551" w:firstLineChars="225"/>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7、伴随服务</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(1)卖方除应履行按期按量交付合格标的物的义务之外，还应提供下列服务：</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&lt;1&gt;标的物的现场安装或指导安装、启动、调试、监督（如果必须安装、调试的话）；</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&lt;2&gt;提供标的物组装和一般维修所必须的工具；</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&lt;3&gt;在合同规定的期限内对所提供标的物实行运行监督、维修服务的前提条件是该服务并不能免除卖方在质量保证期内所承担的义务；</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&lt;4&gt;对买方技术人员的技术指导或培训。</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(2)除合同另有规定之外，伴随服务的费用均已含在合同价款中，买方不再另行进行支付。</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  标的物的交付、检验和验收</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8、标的物的交付</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(1)标的物的所有权自标的物交付时转移。</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(2)卖方应当按照约定的期限和约定的地点交付符合</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要求的标的物。</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(3)卖方应当按照约定或者交易习惯向招标人交付提取标的物单证以外的有关单证和资料。</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9、检验和验收</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(2)买方根据合同规定的内容和验收标准进行验收，经检验无误后出具验收合格证明，该证明作为最终付款所需文件的组成部分。</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(3)验收期限自标的物交付之日起三十天内。特殊情况需延长的，双方应在合同条款中约定。</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 对标的物提出异议的时间和办法</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10、对标的物提出异议的时间和办法 </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(1)买方在验收过程中，应当于双方约定的检验期间内将标的物的数量或质量不符合约定的情形及处理方式以书面形式通知卖方。</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(2)如买方在验收期满后既不出具验收合格证明又未提出书面异议的视为卖方所交标的物符合合同规定。</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 合同价款和支付</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11、合同价款和支付</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(1)本合同的结算货币为人民币，单位元。</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(2)卖方应按照双方签订的合同规定交货并在合同主要条款规定的期限内持下列单据结算货款：</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&lt;1&gt;合格的销售发票；</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&lt;2&gt;买方盖章签收后的送货回单和验收合格证明。</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(3)买方应按合同主要条款规定的期限和方式付款。</w:t>
      </w:r>
    </w:p>
    <w:p>
      <w:pPr>
        <w:pStyle w:val="7"/>
        <w:shd w:val="clear" w:color="auto" w:fill="auto"/>
        <w:tabs>
          <w:tab w:val="left" w:pos="540"/>
        </w:tabs>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 违约责任</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12、违约责任</w:t>
      </w:r>
    </w:p>
    <w:p>
      <w:pPr>
        <w:pStyle w:val="7"/>
        <w:shd w:val="clear" w:color="auto" w:fill="auto"/>
        <w:spacing w:line="440" w:lineRule="exact"/>
        <w:ind w:firstLine="551" w:firstLineChars="225"/>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13、买方违约责任</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(1)在合同生效后，买方要求退货的，应向卖方偿付合同总价款的5%，作为违约金，违约金不足以补偿损失的，卖方有权要求甲方补足。</w:t>
      </w:r>
    </w:p>
    <w:p>
      <w:pPr>
        <w:pStyle w:val="7"/>
        <w:shd w:val="clear" w:color="auto" w:fill="auto"/>
        <w:overflowPunct w:val="0"/>
        <w:spacing w:line="440" w:lineRule="exact"/>
        <w:ind w:right="-389" w:rightChars="-159"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(2)买方逾期付款的应按照逾期付款金额的每天万分之四支付逾期付款违约金。</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(3)买方违反合同规定，拒绝接收卖方交付的符合</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要求的合格标的物，应当承担卖方由此造成的损失。</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14、卖方违约责任</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15、不可抗力</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 索赔</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16、索赔</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(1)买方有权根据当地产品质量检验机构或其它有权威部门出具的检验证书向卖方提出索赔。</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&lt;2&gt;根据标的物的低劣程度、损坏程度以及甲方遭受损失的数额，经双方协商确定降低标的物的价格；</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 履约保证金</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17、履约保证金</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(1)卖方应在本合同签订时，按</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的约定提供相应的履约保证金，保证金的有效期应不低于合同有效期。</w:t>
      </w:r>
    </w:p>
    <w:p>
      <w:pPr>
        <w:pStyle w:val="7"/>
        <w:shd w:val="clear" w:color="auto" w:fill="auto"/>
        <w:overflowPunct w:val="0"/>
        <w:spacing w:line="440" w:lineRule="exact"/>
        <w:ind w:right="-389" w:rightChars="-159"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(2)如果卖方未能履行合同规定的任何义务，买方有权从履约保证金中取得补偿。</w:t>
      </w:r>
    </w:p>
    <w:p>
      <w:pPr>
        <w:pStyle w:val="7"/>
        <w:shd w:val="clear" w:color="auto" w:fill="auto"/>
        <w:overflowPunct w:val="0"/>
        <w:spacing w:line="440" w:lineRule="exact"/>
        <w:ind w:right="-1019" w:rightChars="-416"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(3)履约保证金（无息）将在卖方履行完合同义务，买方支付合同价款的五天内</w:t>
      </w:r>
    </w:p>
    <w:p>
      <w:pPr>
        <w:pStyle w:val="7"/>
        <w:shd w:val="clear" w:color="auto" w:fill="auto"/>
        <w:overflowPunct w:val="0"/>
        <w:spacing w:line="440" w:lineRule="exact"/>
        <w:ind w:right="-1019" w:rightChars="-416" w:firstLine="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退回。</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  合同的解除和转让</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18、合同的解除</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(1)买方和卖方协商一致，可以解除合同。</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(2)有下列情形之一，合同一方可以解除合同：</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&lt;1&gt;因不可抗力致使不能实现合同目的，未受不可抗力影响的一方有权解除合同；</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&lt;2&gt;因合同一方违约导致合同不能履行，另一方有权解除合同。</w:t>
      </w:r>
    </w:p>
    <w:p>
      <w:pPr>
        <w:pStyle w:val="7"/>
        <w:shd w:val="clear" w:color="auto" w:fill="auto"/>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19、合同的转让</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合同的部分和全部都不得转让。</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 合同的生效</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20、合同的生效</w:t>
      </w:r>
    </w:p>
    <w:p>
      <w:pPr>
        <w:shd w:val="clear" w:color="auto" w:fill="auto"/>
        <w:spacing w:line="440" w:lineRule="exact"/>
        <w:ind w:firstLine="677" w:firstLineChars="27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本合同在双方签字盖章并在招标人收到中标人提交的履约保证金后，经招标采购管理部门备案后生效。</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 争议解决</w:t>
      </w:r>
    </w:p>
    <w:p>
      <w:pPr>
        <w:shd w:val="clear" w:color="auto" w:fill="auto"/>
        <w:spacing w:line="440" w:lineRule="exact"/>
        <w:ind w:firstLine="245"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21、争议解决</w:t>
      </w:r>
    </w:p>
    <w:p>
      <w:pPr>
        <w:pStyle w:val="7"/>
        <w:shd w:val="clear" w:color="auto" w:fill="auto"/>
        <w:overflowPunct w:val="0"/>
        <w:spacing w:line="440" w:lineRule="exact"/>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 xml:space="preserve"> 买卖双方因合同发生争议，进行调解，协商不成，可选择：</w:t>
      </w:r>
    </w:p>
    <w:p>
      <w:pPr>
        <w:pStyle w:val="7"/>
        <w:shd w:val="clear" w:color="auto" w:fill="auto"/>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(1)双方同时申请仲裁；</w:t>
      </w:r>
    </w:p>
    <w:p>
      <w:pPr>
        <w:pStyle w:val="7"/>
        <w:shd w:val="clear" w:color="auto" w:fill="auto"/>
        <w:tabs>
          <w:tab w:val="left" w:pos="900"/>
        </w:tabs>
        <w:overflowPunct w:val="0"/>
        <w:spacing w:line="440" w:lineRule="exact"/>
        <w:ind w:firstLine="612"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(2)向买方所在地人民法院提起诉讼。</w:t>
      </w:r>
    </w:p>
    <w:p>
      <w:pPr>
        <w:shd w:val="clear" w:color="auto" w:fill="auto"/>
        <w:spacing w:line="440" w:lineRule="exac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 .附则</w:t>
      </w:r>
    </w:p>
    <w:p>
      <w:pPr>
        <w:shd w:val="clear" w:color="auto" w:fill="auto"/>
        <w:spacing w:line="440" w:lineRule="exact"/>
        <w:ind w:firstLine="245"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22、合同份数。</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本合同一式陆份，买卖双方各执二份，招标代理机构一份，招标采购管理部门一份。</w:t>
      </w:r>
    </w:p>
    <w:p>
      <w:pPr>
        <w:shd w:val="clear" w:color="auto" w:fill="auto"/>
        <w:spacing w:line="440" w:lineRule="exact"/>
        <w:ind w:firstLine="245"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23、未尽事宜</w:t>
      </w:r>
    </w:p>
    <w:p>
      <w:pPr>
        <w:shd w:val="clear" w:color="auto" w:fill="auto"/>
        <w:spacing w:line="440" w:lineRule="exact"/>
        <w:ind w:firstLine="612"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本合同未尽事宜应按《中华人民共和国政府采购法》、《中华人民共和国合同法》、《中华人民共和国产品质量法》之规定解释。</w:t>
      </w:r>
    </w:p>
    <w:p>
      <w:pPr>
        <w:pStyle w:val="10"/>
        <w:shd w:val="clear" w:color="auto" w:fill="auto"/>
        <w:spacing w:after="0" w:line="400" w:lineRule="exact"/>
        <w:ind w:left="0" w:leftChars="0" w:firstLine="490" w:firstLineChars="200"/>
        <w:outlineLvl w:val="9"/>
        <w:rPr>
          <w:rFonts w:hint="eastAsia" w:ascii="仿宋" w:hAnsi="仿宋" w:eastAsia="仿宋" w:cs="仿宋"/>
          <w:color w:val="auto"/>
          <w:kern w:val="0"/>
          <w:sz w:val="24"/>
          <w:szCs w:val="24"/>
          <w:highlight w:val="none"/>
          <w:u w:val="none" w:color="000000"/>
        </w:rPr>
      </w:pPr>
    </w:p>
    <w:p>
      <w:pPr>
        <w:outlineLvl w:val="9"/>
        <w:rPr>
          <w:rFonts w:hint="eastAsia" w:ascii="仿宋" w:hAnsi="仿宋" w:eastAsia="仿宋" w:cs="仿宋"/>
          <w:b/>
          <w:bCs/>
          <w:color w:val="auto"/>
          <w:spacing w:val="0"/>
          <w:w w:val="100"/>
          <w:position w:val="0"/>
          <w:sz w:val="36"/>
          <w:szCs w:val="36"/>
          <w:highlight w:val="none"/>
        </w:rPr>
      </w:pPr>
      <w:r>
        <w:rPr>
          <w:rFonts w:hint="eastAsia" w:ascii="仿宋" w:hAnsi="仿宋" w:eastAsia="仿宋" w:cs="仿宋"/>
          <w:b/>
          <w:bCs/>
          <w:color w:val="auto"/>
          <w:spacing w:val="0"/>
          <w:w w:val="100"/>
          <w:position w:val="0"/>
          <w:sz w:val="36"/>
          <w:szCs w:val="36"/>
          <w:highlight w:val="none"/>
        </w:rPr>
        <w:br w:type="page"/>
      </w:r>
    </w:p>
    <w:p>
      <w:pPr>
        <w:pStyle w:val="34"/>
        <w:keepNext/>
        <w:keepLines/>
        <w:widowControl w:val="0"/>
        <w:shd w:val="clear" w:color="auto" w:fill="auto"/>
        <w:bidi w:val="0"/>
        <w:spacing w:before="0" w:after="1160" w:line="240" w:lineRule="auto"/>
        <w:ind w:left="0" w:right="0" w:firstLine="0"/>
        <w:jc w:val="center"/>
        <w:outlineLvl w:val="0"/>
        <w:rPr>
          <w:rFonts w:hint="eastAsia" w:ascii="仿宋" w:hAnsi="仿宋" w:eastAsia="仿宋" w:cs="仿宋"/>
          <w:b/>
          <w:bCs/>
          <w:color w:val="auto"/>
          <w:sz w:val="36"/>
          <w:szCs w:val="36"/>
          <w:highlight w:val="none"/>
        </w:rPr>
      </w:pPr>
      <w:bookmarkStart w:id="81" w:name="_Toc14553"/>
      <w:bookmarkStart w:id="82" w:name="_Toc3868"/>
      <w:bookmarkStart w:id="83" w:name="_Toc21488"/>
      <w:r>
        <w:rPr>
          <w:rFonts w:hint="eastAsia" w:ascii="仿宋" w:hAnsi="仿宋" w:eastAsia="仿宋" w:cs="仿宋"/>
          <w:b/>
          <w:bCs/>
          <w:color w:val="auto"/>
          <w:spacing w:val="0"/>
          <w:w w:val="100"/>
          <w:position w:val="0"/>
          <w:sz w:val="36"/>
          <w:szCs w:val="36"/>
          <w:highlight w:val="none"/>
        </w:rPr>
        <w:t>第</w:t>
      </w:r>
      <w:r>
        <w:rPr>
          <w:rFonts w:hint="eastAsia" w:ascii="仿宋" w:hAnsi="仿宋" w:eastAsia="仿宋" w:cs="仿宋"/>
          <w:b/>
          <w:bCs/>
          <w:color w:val="auto"/>
          <w:spacing w:val="0"/>
          <w:w w:val="100"/>
          <w:position w:val="0"/>
          <w:sz w:val="36"/>
          <w:szCs w:val="36"/>
          <w:highlight w:val="none"/>
          <w:lang w:eastAsia="zh-CN"/>
        </w:rPr>
        <w:t>六</w:t>
      </w:r>
      <w:r>
        <w:rPr>
          <w:rFonts w:hint="eastAsia" w:ascii="仿宋" w:hAnsi="仿宋" w:eastAsia="仿宋" w:cs="仿宋"/>
          <w:b/>
          <w:bCs/>
          <w:color w:val="auto"/>
          <w:spacing w:val="0"/>
          <w:w w:val="100"/>
          <w:position w:val="0"/>
          <w:sz w:val="36"/>
          <w:szCs w:val="36"/>
          <w:highlight w:val="none"/>
        </w:rPr>
        <w:t>部分</w:t>
      </w:r>
      <w:r>
        <w:rPr>
          <w:rFonts w:hint="eastAsia" w:ascii="仿宋" w:hAnsi="仿宋" w:eastAsia="仿宋" w:cs="仿宋"/>
          <w:b/>
          <w:bCs/>
          <w:color w:val="auto"/>
          <w:spacing w:val="0"/>
          <w:w w:val="100"/>
          <w:position w:val="0"/>
          <w:sz w:val="36"/>
          <w:szCs w:val="36"/>
          <w:highlight w:val="none"/>
          <w:lang w:val="en-US" w:eastAsia="zh-CN"/>
        </w:rPr>
        <w:t xml:space="preserve">  </w:t>
      </w:r>
      <w:r>
        <w:rPr>
          <w:rFonts w:hint="eastAsia" w:ascii="仿宋" w:hAnsi="仿宋" w:eastAsia="仿宋" w:cs="仿宋"/>
          <w:b/>
          <w:bCs/>
          <w:color w:val="auto"/>
          <w:spacing w:val="0"/>
          <w:w w:val="100"/>
          <w:position w:val="0"/>
          <w:sz w:val="36"/>
          <w:szCs w:val="36"/>
          <w:highlight w:val="none"/>
        </w:rPr>
        <w:t>投标文件格式</w:t>
      </w:r>
      <w:bookmarkEnd w:id="81"/>
      <w:bookmarkEnd w:id="82"/>
      <w:bookmarkEnd w:id="83"/>
    </w:p>
    <w:p>
      <w:pPr>
        <w:adjustRightInd w:val="0"/>
        <w:snapToGrid w:val="0"/>
        <w:spacing w:line="360" w:lineRule="auto"/>
        <w:jc w:val="center"/>
        <w:outlineLvl w:val="9"/>
        <w:rPr>
          <w:rFonts w:hint="eastAsia" w:ascii="仿宋" w:hAnsi="仿宋" w:eastAsia="仿宋" w:cs="仿宋"/>
          <w:b/>
          <w:caps/>
          <w:color w:val="auto"/>
          <w:sz w:val="24"/>
          <w:szCs w:val="24"/>
          <w:highlight w:val="none"/>
        </w:rPr>
      </w:pPr>
      <w:bookmarkStart w:id="84" w:name="bookmark196"/>
    </w:p>
    <w:p>
      <w:pPr>
        <w:adjustRightInd w:val="0"/>
        <w:snapToGrid w:val="0"/>
        <w:spacing w:line="360" w:lineRule="auto"/>
        <w:jc w:val="center"/>
        <w:outlineLvl w:val="9"/>
        <w:rPr>
          <w:rFonts w:hint="eastAsia"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pPr>
        <w:adjustRightInd w:val="0"/>
        <w:snapToGrid w:val="0"/>
        <w:spacing w:line="360" w:lineRule="auto"/>
        <w:jc w:val="both"/>
        <w:outlineLvl w:val="9"/>
        <w:rPr>
          <w:rFonts w:hint="eastAsia" w:ascii="仿宋" w:hAnsi="仿宋" w:eastAsia="仿宋" w:cs="仿宋"/>
          <w:bCs/>
          <w:color w:val="auto"/>
          <w:sz w:val="32"/>
          <w:szCs w:val="32"/>
          <w:highlight w:val="none"/>
        </w:rPr>
      </w:pPr>
    </w:p>
    <w:p>
      <w:pPr>
        <w:adjustRightInd w:val="0"/>
        <w:snapToGrid w:val="0"/>
        <w:spacing w:line="360" w:lineRule="auto"/>
        <w:jc w:val="center"/>
        <w:outlineLvl w:val="9"/>
        <w:rPr>
          <w:rFonts w:hint="eastAsia" w:ascii="仿宋" w:hAnsi="仿宋" w:eastAsia="仿宋" w:cs="仿宋"/>
          <w:bCs/>
          <w:color w:val="auto"/>
          <w:sz w:val="32"/>
          <w:szCs w:val="32"/>
          <w:highlight w:val="none"/>
        </w:rPr>
      </w:pPr>
    </w:p>
    <w:p>
      <w:pPr>
        <w:adjustRightInd w:val="0"/>
        <w:snapToGrid w:val="0"/>
        <w:spacing w:line="360" w:lineRule="auto"/>
        <w:jc w:val="center"/>
        <w:outlineLvl w:val="9"/>
        <w:rPr>
          <w:rFonts w:hint="eastAsia"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pPr>
        <w:adjustRightInd w:val="0"/>
        <w:snapToGrid w:val="0"/>
        <w:spacing w:line="360" w:lineRule="auto"/>
        <w:jc w:val="center"/>
        <w:outlineLvl w:val="9"/>
        <w:rPr>
          <w:rFonts w:hint="eastAsia" w:ascii="仿宋" w:hAnsi="仿宋" w:eastAsia="仿宋" w:cs="仿宋"/>
          <w:bCs/>
          <w:color w:val="auto"/>
          <w:sz w:val="32"/>
          <w:szCs w:val="32"/>
          <w:highlight w:val="none"/>
        </w:rPr>
      </w:pPr>
    </w:p>
    <w:p>
      <w:pPr>
        <w:adjustRightInd w:val="0"/>
        <w:snapToGrid w:val="0"/>
        <w:spacing w:line="360" w:lineRule="auto"/>
        <w:jc w:val="both"/>
        <w:outlineLvl w:val="9"/>
        <w:rPr>
          <w:rFonts w:hint="eastAsia" w:ascii="仿宋" w:hAnsi="仿宋" w:eastAsia="仿宋" w:cs="仿宋"/>
          <w:bCs/>
          <w:color w:val="auto"/>
          <w:sz w:val="32"/>
          <w:szCs w:val="32"/>
          <w:highlight w:val="none"/>
        </w:rPr>
      </w:pP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1470909418"/>
        </w:rPr>
        <w:t>供应商名称（公章）：</w:t>
      </w: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1"/>
        </w:rPr>
        <w:t>法定代表人（</w:t>
      </w:r>
      <w:r>
        <w:rPr>
          <w:rFonts w:hint="eastAsia" w:ascii="仿宋" w:hAnsi="仿宋" w:eastAsia="仿宋" w:cs="仿宋"/>
          <w:b/>
          <w:caps/>
          <w:color w:val="auto"/>
          <w:spacing w:val="0"/>
          <w:w w:val="77"/>
          <w:kern w:val="0"/>
          <w:sz w:val="28"/>
          <w:szCs w:val="28"/>
          <w:highlight w:val="none"/>
          <w:fitText w:val="2810" w:id="1"/>
          <w:lang w:eastAsia="zh-CN"/>
        </w:rPr>
        <w:t>签字</w:t>
      </w:r>
      <w:r>
        <w:rPr>
          <w:rFonts w:hint="eastAsia" w:ascii="仿宋" w:hAnsi="仿宋" w:eastAsia="仿宋" w:cs="仿宋"/>
          <w:b/>
          <w:caps/>
          <w:color w:val="auto"/>
          <w:spacing w:val="0"/>
          <w:w w:val="77"/>
          <w:kern w:val="0"/>
          <w:sz w:val="28"/>
          <w:szCs w:val="28"/>
          <w:highlight w:val="none"/>
          <w:fitText w:val="2810" w:id="1"/>
        </w:rPr>
        <w:t>或盖章）</w:t>
      </w:r>
      <w:r>
        <w:rPr>
          <w:rFonts w:hint="eastAsia" w:ascii="仿宋" w:hAnsi="仿宋" w:eastAsia="仿宋" w:cs="仿宋"/>
          <w:b/>
          <w:caps/>
          <w:color w:val="auto"/>
          <w:spacing w:val="-1"/>
          <w:w w:val="77"/>
          <w:kern w:val="0"/>
          <w:sz w:val="28"/>
          <w:szCs w:val="28"/>
          <w:highlight w:val="none"/>
          <w:fitText w:val="2810" w:id="1"/>
        </w:rPr>
        <w:t>：</w:t>
      </w: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2"/>
        </w:rPr>
        <w:t>供应商地址</w:t>
      </w:r>
      <w:r>
        <w:rPr>
          <w:rFonts w:hint="eastAsia" w:ascii="仿宋" w:hAnsi="仿宋" w:eastAsia="仿宋" w:cs="仿宋"/>
          <w:b/>
          <w:caps/>
          <w:color w:val="auto"/>
          <w:spacing w:val="0"/>
          <w:kern w:val="0"/>
          <w:sz w:val="28"/>
          <w:szCs w:val="28"/>
          <w:highlight w:val="none"/>
          <w:fitText w:val="2810" w:id="2"/>
        </w:rPr>
        <w:t>：</w:t>
      </w: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3"/>
        </w:rPr>
        <w:t>联系人</w:t>
      </w:r>
      <w:r>
        <w:rPr>
          <w:rFonts w:hint="eastAsia" w:ascii="仿宋" w:hAnsi="仿宋" w:eastAsia="仿宋" w:cs="仿宋"/>
          <w:b/>
          <w:caps/>
          <w:color w:val="auto"/>
          <w:spacing w:val="2"/>
          <w:kern w:val="0"/>
          <w:sz w:val="28"/>
          <w:szCs w:val="28"/>
          <w:highlight w:val="none"/>
          <w:fitText w:val="2810" w:id="3"/>
        </w:rPr>
        <w:t>：</w:t>
      </w:r>
    </w:p>
    <w:p>
      <w:pPr>
        <w:adjustRightInd w:val="0"/>
        <w:snapToGrid w:val="0"/>
        <w:spacing w:line="360" w:lineRule="auto"/>
        <w:ind w:right="-156" w:rightChars="-64"/>
        <w:outlineLvl w:val="9"/>
        <w:rPr>
          <w:rFonts w:hint="eastAsia" w:ascii="仿宋" w:hAnsi="仿宋" w:eastAsia="仿宋" w:cs="仿宋"/>
          <w:b/>
          <w:caps/>
          <w:color w:val="auto"/>
          <w:sz w:val="28"/>
          <w:szCs w:val="28"/>
          <w:highlight w:val="none"/>
        </w:rPr>
      </w:pPr>
    </w:p>
    <w:p>
      <w:pPr>
        <w:adjustRightInd w:val="0"/>
        <w:snapToGrid w:val="0"/>
        <w:spacing w:line="360" w:lineRule="auto"/>
        <w:ind w:right="-156" w:rightChars="-64"/>
        <w:outlineLvl w:val="9"/>
        <w:rPr>
          <w:rFonts w:hint="eastAsia" w:ascii="仿宋" w:hAnsi="仿宋" w:eastAsia="仿宋" w:cs="仿宋"/>
          <w:b/>
          <w:caps/>
          <w:color w:val="auto"/>
          <w:kern w:val="0"/>
          <w:sz w:val="28"/>
          <w:szCs w:val="28"/>
          <w:highlight w:val="none"/>
        </w:rPr>
      </w:pPr>
      <w:r>
        <w:rPr>
          <w:rFonts w:hint="eastAsia" w:ascii="仿宋" w:hAnsi="仿宋" w:eastAsia="仿宋" w:cs="仿宋"/>
          <w:b/>
          <w:caps/>
          <w:color w:val="auto"/>
          <w:spacing w:val="176"/>
          <w:kern w:val="0"/>
          <w:sz w:val="28"/>
          <w:szCs w:val="28"/>
          <w:highlight w:val="none"/>
          <w:fitText w:val="2810" w:id="4"/>
        </w:rPr>
        <w:t>联系电话</w:t>
      </w:r>
      <w:r>
        <w:rPr>
          <w:rFonts w:hint="eastAsia" w:ascii="仿宋" w:hAnsi="仿宋" w:eastAsia="仿宋" w:cs="仿宋"/>
          <w:b/>
          <w:caps/>
          <w:color w:val="auto"/>
          <w:spacing w:val="1"/>
          <w:kern w:val="0"/>
          <w:sz w:val="28"/>
          <w:szCs w:val="28"/>
          <w:highlight w:val="none"/>
          <w:fitText w:val="2810" w:id="4"/>
        </w:rPr>
        <w:t>：</w:t>
      </w:r>
    </w:p>
    <w:p>
      <w:pPr>
        <w:pStyle w:val="2"/>
        <w:numPr>
          <w:ilvl w:val="0"/>
          <w:numId w:val="0"/>
        </w:numPr>
        <w:ind w:leftChars="0" w:right="0" w:rightChars="0"/>
        <w:rPr>
          <w:rFonts w:hint="eastAsia"/>
          <w:highlight w:val="none"/>
        </w:rPr>
      </w:pPr>
    </w:p>
    <w:p>
      <w:pPr>
        <w:pStyle w:val="2"/>
        <w:numPr>
          <w:ilvl w:val="0"/>
          <w:numId w:val="0"/>
        </w:numPr>
        <w:ind w:leftChars="0" w:right="0" w:rightChars="0"/>
        <w:jc w:val="left"/>
        <w:rPr>
          <w:rFonts w:hint="default" w:eastAsia="仿宋"/>
          <w:highlight w:val="none"/>
          <w:lang w:val="en-US" w:eastAsia="zh-CN"/>
        </w:rPr>
      </w:pPr>
      <w:r>
        <w:rPr>
          <w:rFonts w:hint="eastAsia" w:ascii="仿宋" w:hAnsi="仿宋" w:eastAsia="仿宋" w:cs="仿宋"/>
          <w:b/>
          <w:caps/>
          <w:color w:val="auto"/>
          <w:kern w:val="0"/>
          <w:sz w:val="28"/>
          <w:szCs w:val="28"/>
          <w:highlight w:val="none"/>
          <w:lang w:val="en-US" w:eastAsia="zh-CN"/>
        </w:rPr>
        <w:t xml:space="preserve">日              期： </w:t>
      </w:r>
      <w:r>
        <w:rPr>
          <w:rFonts w:hint="eastAsia" w:ascii="仿宋" w:hAnsi="仿宋" w:eastAsia="仿宋" w:cs="仿宋"/>
          <w:b/>
          <w:caps/>
          <w:color w:val="auto"/>
          <w:kern w:val="0"/>
          <w:sz w:val="28"/>
          <w:szCs w:val="28"/>
          <w:highlight w:val="none"/>
          <w:u w:val="single"/>
          <w:lang w:val="en-US" w:eastAsia="zh-CN"/>
        </w:rPr>
        <w:t xml:space="preserve">       </w:t>
      </w:r>
      <w:r>
        <w:rPr>
          <w:rFonts w:hint="eastAsia" w:ascii="仿宋" w:hAnsi="仿宋" w:eastAsia="仿宋" w:cs="仿宋"/>
          <w:b/>
          <w:caps/>
          <w:color w:val="auto"/>
          <w:kern w:val="0"/>
          <w:sz w:val="28"/>
          <w:szCs w:val="28"/>
          <w:highlight w:val="none"/>
          <w:lang w:val="en-US" w:eastAsia="zh-CN"/>
        </w:rPr>
        <w:t>年</w:t>
      </w:r>
      <w:r>
        <w:rPr>
          <w:rFonts w:hint="eastAsia" w:ascii="仿宋" w:hAnsi="仿宋" w:eastAsia="仿宋" w:cs="仿宋"/>
          <w:b/>
          <w:caps/>
          <w:color w:val="auto"/>
          <w:kern w:val="0"/>
          <w:sz w:val="28"/>
          <w:szCs w:val="28"/>
          <w:highlight w:val="none"/>
          <w:u w:val="single"/>
          <w:lang w:val="en-US" w:eastAsia="zh-CN"/>
        </w:rPr>
        <w:t xml:space="preserve">       </w:t>
      </w:r>
      <w:r>
        <w:rPr>
          <w:rFonts w:hint="eastAsia" w:ascii="仿宋" w:hAnsi="仿宋" w:eastAsia="仿宋" w:cs="仿宋"/>
          <w:b/>
          <w:caps/>
          <w:color w:val="auto"/>
          <w:kern w:val="0"/>
          <w:sz w:val="28"/>
          <w:szCs w:val="28"/>
          <w:highlight w:val="none"/>
          <w:lang w:val="en-US" w:eastAsia="zh-CN"/>
        </w:rPr>
        <w:t xml:space="preserve"> 月</w:t>
      </w:r>
      <w:r>
        <w:rPr>
          <w:rFonts w:hint="eastAsia" w:ascii="仿宋" w:hAnsi="仿宋" w:eastAsia="仿宋" w:cs="仿宋"/>
          <w:b/>
          <w:caps/>
          <w:color w:val="auto"/>
          <w:kern w:val="0"/>
          <w:sz w:val="28"/>
          <w:szCs w:val="28"/>
          <w:highlight w:val="none"/>
          <w:u w:val="single"/>
          <w:lang w:val="en-US" w:eastAsia="zh-CN"/>
        </w:rPr>
        <w:t xml:space="preserve">       </w:t>
      </w:r>
      <w:r>
        <w:rPr>
          <w:rFonts w:hint="eastAsia" w:ascii="仿宋" w:hAnsi="仿宋" w:eastAsia="仿宋" w:cs="仿宋"/>
          <w:b/>
          <w:caps/>
          <w:color w:val="auto"/>
          <w:kern w:val="0"/>
          <w:sz w:val="28"/>
          <w:szCs w:val="28"/>
          <w:highlight w:val="none"/>
          <w:lang w:val="en-US" w:eastAsia="zh-CN"/>
        </w:rPr>
        <w:t>日</w:t>
      </w:r>
    </w:p>
    <w:p>
      <w:pPr>
        <w:adjustRightInd w:val="0"/>
        <w:snapToGrid w:val="0"/>
        <w:spacing w:line="360" w:lineRule="auto"/>
        <w:jc w:val="center"/>
        <w:outlineLvl w:val="9"/>
        <w:rPr>
          <w:rFonts w:hint="eastAsia" w:ascii="仿宋" w:hAnsi="仿宋" w:eastAsia="仿宋" w:cs="仿宋"/>
          <w:b/>
          <w:caps/>
          <w:color w:val="auto"/>
          <w:sz w:val="28"/>
          <w:szCs w:val="28"/>
          <w:highlight w:val="none"/>
        </w:rPr>
      </w:pPr>
    </w:p>
    <w:p>
      <w:pPr>
        <w:pStyle w:val="36"/>
        <w:keepNext w:val="0"/>
        <w:keepLines w:val="0"/>
        <w:widowControl w:val="0"/>
        <w:shd w:val="clear" w:color="auto" w:fill="auto"/>
        <w:bidi w:val="0"/>
        <w:spacing w:before="0" w:after="340" w:line="240" w:lineRule="auto"/>
        <w:ind w:left="0" w:right="0" w:firstLine="0"/>
        <w:jc w:val="left"/>
        <w:outlineLvl w:val="9"/>
        <w:rPr>
          <w:rFonts w:hint="eastAsia" w:ascii="仿宋" w:hAnsi="仿宋" w:eastAsia="仿宋" w:cs="仿宋"/>
          <w:color w:val="auto"/>
          <w:spacing w:val="0"/>
          <w:w w:val="100"/>
          <w:position w:val="0"/>
          <w:highlight w:val="none"/>
        </w:rPr>
      </w:pPr>
    </w:p>
    <w:p>
      <w:pPr>
        <w:pStyle w:val="36"/>
        <w:keepNext w:val="0"/>
        <w:keepLines w:val="0"/>
        <w:widowControl w:val="0"/>
        <w:shd w:val="clear" w:color="auto" w:fill="auto"/>
        <w:bidi w:val="0"/>
        <w:spacing w:before="0" w:after="340" w:line="240" w:lineRule="auto"/>
        <w:ind w:left="0" w:right="0" w:firstLine="0"/>
        <w:jc w:val="left"/>
        <w:outlineLvl w:val="9"/>
        <w:rPr>
          <w:rFonts w:hint="eastAsia" w:ascii="仿宋" w:hAnsi="仿宋" w:eastAsia="仿宋" w:cs="仿宋"/>
          <w:color w:val="auto"/>
          <w:spacing w:val="0"/>
          <w:w w:val="100"/>
          <w:position w:val="0"/>
          <w:highlight w:val="none"/>
        </w:rPr>
      </w:pPr>
    </w:p>
    <w:bookmarkEnd w:id="84"/>
    <w:p>
      <w:pPr>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outlineLvl w:val="9"/>
        <w:rPr>
          <w:rFonts w:hint="eastAsia" w:ascii="仿宋" w:hAnsi="仿宋" w:eastAsia="仿宋" w:cs="仿宋"/>
          <w:b/>
          <w:bCs/>
          <w:color w:val="auto"/>
          <w:sz w:val="40"/>
          <w:szCs w:val="40"/>
          <w:highlight w:val="none"/>
        </w:rPr>
      </w:pPr>
      <w:bookmarkStart w:id="85" w:name="_Toc18974"/>
      <w:bookmarkStart w:id="86" w:name="_Toc515647803"/>
      <w:bookmarkStart w:id="87" w:name="_Toc8919"/>
      <w:bookmarkStart w:id="88" w:name="_Toc18694"/>
      <w:r>
        <w:rPr>
          <w:rFonts w:hint="eastAsia" w:ascii="仿宋" w:hAnsi="仿宋" w:eastAsia="仿宋" w:cs="仿宋"/>
          <w:b/>
          <w:bCs/>
          <w:color w:val="auto"/>
          <w:sz w:val="40"/>
          <w:szCs w:val="40"/>
          <w:highlight w:val="none"/>
        </w:rPr>
        <w:t>第一部分 资格证明文件</w:t>
      </w:r>
      <w:bookmarkEnd w:id="85"/>
      <w:bookmarkEnd w:id="86"/>
      <w:bookmarkEnd w:id="87"/>
      <w:bookmarkEnd w:id="88"/>
    </w:p>
    <w:p>
      <w:pPr>
        <w:shd w:val="clear" w:color="auto" w:fill="auto"/>
        <w:spacing w:line="240" w:lineRule="atLeast"/>
        <w:ind w:left="708" w:hanging="722" w:hangingChars="295"/>
        <w:jc w:val="center"/>
        <w:outlineLvl w:val="9"/>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、法定代表人资格证明书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4、投标保证金收据或保函等票据</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投标企业须提供投标人（被授权在职人员）近期社保证明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7、未被“信用中国”（www.creditchina.gov.cn）、中国政府采购网（www.ccgp.gov.cn）列入失信被执行人、重大税收违法案件当事人名单、政府采购严</w:t>
      </w:r>
      <w:r>
        <w:rPr>
          <w:rFonts w:hint="eastAsia" w:ascii="仿宋" w:hAnsi="仿宋" w:eastAsia="仿宋" w:cs="仿宋"/>
          <w:color w:val="auto"/>
          <w:sz w:val="24"/>
          <w:highlight w:val="none"/>
          <w:lang w:val="en-US" w:eastAsia="zh-CN"/>
        </w:rPr>
        <w:t>重违法失信行为记录名单（提供查询结果网页截图并加盖供应商公章）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投标人须知资料表要求的其他资格证明文件;</w:t>
      </w:r>
    </w:p>
    <w:p>
      <w:pPr>
        <w:pStyle w:val="2"/>
        <w:numPr>
          <w:ilvl w:val="0"/>
          <w:numId w:val="0"/>
        </w:numPr>
        <w:kinsoku w:val="0"/>
        <w:overflowPunct w:val="0"/>
        <w:spacing w:before="130" w:line="355" w:lineRule="auto"/>
        <w:ind w:left="480" w:leftChars="0" w:right="7" w:rightChars="0"/>
        <w:jc w:val="center"/>
        <w:outlineLvl w:val="9"/>
        <w:rPr>
          <w:rFonts w:hint="eastAsia" w:ascii="仿宋" w:hAnsi="仿宋" w:eastAsia="仿宋" w:cs="仿宋"/>
          <w:b/>
          <w:bCs/>
          <w:color w:val="auto"/>
          <w:sz w:val="36"/>
          <w:szCs w:val="36"/>
          <w:highlight w:val="none"/>
        </w:rPr>
      </w:pPr>
    </w:p>
    <w:p>
      <w:pPr>
        <w:pStyle w:val="2"/>
        <w:numPr>
          <w:ilvl w:val="0"/>
          <w:numId w:val="0"/>
        </w:numPr>
        <w:kinsoku w:val="0"/>
        <w:overflowPunct w:val="0"/>
        <w:spacing w:before="130" w:line="355" w:lineRule="auto"/>
        <w:ind w:left="480" w:leftChars="0" w:right="7" w:rightChars="0"/>
        <w:jc w:val="cente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pStyle w:val="32"/>
        <w:outlineLvl w:val="9"/>
        <w:rPr>
          <w:rFonts w:hint="eastAsia" w:ascii="仿宋" w:hAnsi="仿宋" w:eastAsia="仿宋" w:cs="仿宋"/>
          <w:b/>
          <w:bCs/>
          <w:color w:val="auto"/>
          <w:sz w:val="36"/>
          <w:szCs w:val="36"/>
          <w:highlight w:val="none"/>
        </w:rPr>
      </w:pPr>
    </w:p>
    <w:p>
      <w:pPr>
        <w:pStyle w:val="32"/>
        <w:outlineLvl w:val="9"/>
        <w:rPr>
          <w:rFonts w:hint="eastAsia" w:ascii="仿宋" w:hAnsi="仿宋" w:eastAsia="仿宋" w:cs="仿宋"/>
          <w:b/>
          <w:bCs/>
          <w:color w:val="auto"/>
          <w:sz w:val="36"/>
          <w:szCs w:val="36"/>
          <w:highlight w:val="none"/>
        </w:rPr>
      </w:pPr>
    </w:p>
    <w:p>
      <w:pPr>
        <w:pStyle w:val="32"/>
        <w:outlineLvl w:val="9"/>
        <w:rPr>
          <w:rFonts w:hint="eastAsia" w:ascii="仿宋" w:hAnsi="仿宋" w:eastAsia="仿宋" w:cs="仿宋"/>
          <w:b/>
          <w:bCs/>
          <w:color w:val="auto"/>
          <w:sz w:val="36"/>
          <w:szCs w:val="36"/>
          <w:highlight w:val="none"/>
        </w:rPr>
      </w:pPr>
    </w:p>
    <w:p>
      <w:pPr>
        <w:pStyle w:val="32"/>
        <w:outlineLvl w:val="9"/>
        <w:rPr>
          <w:rFonts w:hint="eastAsia" w:ascii="仿宋" w:hAnsi="仿宋" w:eastAsia="仿宋" w:cs="仿宋"/>
          <w:b/>
          <w:bCs/>
          <w:color w:val="auto"/>
          <w:sz w:val="36"/>
          <w:szCs w:val="36"/>
          <w:highlight w:val="none"/>
        </w:rPr>
      </w:pPr>
    </w:p>
    <w:p>
      <w:pPr>
        <w:pStyle w:val="32"/>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lang w:val="en-US" w:eastAsia="zh-CN"/>
        </w:rPr>
      </w:pPr>
      <w:bookmarkStart w:id="89" w:name="_Toc515647805"/>
      <w:bookmarkStart w:id="90" w:name="_Toc4844"/>
      <w:bookmarkStart w:id="91" w:name="_Toc29899"/>
      <w:bookmarkStart w:id="92" w:name="_Toc17577"/>
      <w:r>
        <w:rPr>
          <w:rFonts w:hint="eastAsia" w:ascii="仿宋" w:hAnsi="仿宋" w:eastAsia="仿宋" w:cs="仿宋"/>
          <w:b/>
          <w:bCs/>
          <w:color w:val="auto"/>
          <w:sz w:val="36"/>
          <w:szCs w:val="36"/>
          <w:highlight w:val="none"/>
          <w:lang w:val="en-US" w:eastAsia="zh-CN"/>
        </w:rPr>
        <w:br w:type="page"/>
      </w:r>
    </w:p>
    <w:p>
      <w:pPr>
        <w:pStyle w:val="2"/>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 法人或者非法人组织的营业执照等证明文件</w:t>
      </w:r>
      <w:bookmarkEnd w:id="89"/>
      <w:bookmarkStart w:id="93" w:name="_Toc515647806"/>
      <w:r>
        <w:rPr>
          <w:rFonts w:hint="eastAsia" w:ascii="仿宋" w:hAnsi="仿宋" w:eastAsia="仿宋" w:cs="仿宋"/>
          <w:b/>
          <w:bCs/>
          <w:color w:val="auto"/>
          <w:sz w:val="36"/>
          <w:szCs w:val="36"/>
          <w:highlight w:val="none"/>
          <w:lang w:val="en-US" w:eastAsia="zh-CN"/>
        </w:rPr>
        <w:t>或自然人的身份证明</w:t>
      </w:r>
      <w:bookmarkEnd w:id="90"/>
      <w:bookmarkEnd w:id="91"/>
      <w:bookmarkEnd w:id="92"/>
      <w:bookmarkEnd w:id="93"/>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outlineLvl w:val="9"/>
        <w:rPr>
          <w:rFonts w:hint="eastAsia" w:ascii="仿宋" w:hAnsi="仿宋" w:eastAsia="仿宋" w:cs="仿宋"/>
          <w:b/>
          <w:color w:val="auto"/>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outlineLvl w:val="9"/>
        <w:rPr>
          <w:rFonts w:hint="eastAsia" w:ascii="仿宋" w:hAnsi="仿宋" w:eastAsia="仿宋" w:cs="仿宋"/>
          <w:b/>
          <w:color w:val="auto"/>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outlineLvl w:val="9"/>
        <w:rPr>
          <w:rFonts w:hint="eastAsia" w:ascii="仿宋" w:hAnsi="仿宋" w:eastAsia="仿宋" w:cs="仿宋"/>
          <w:b/>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说明：1.提供有效的营业执照等证明文件复印件，复印件上应加盖本单位章。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2. 投标人为自然人的，应提供身份证明的复印件。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color w:val="auto"/>
          <w:sz w:val="36"/>
          <w:szCs w:val="36"/>
          <w:highlight w:val="none"/>
          <w:lang w:val="en-US" w:eastAsia="zh-CN"/>
        </w:rPr>
      </w:pPr>
    </w:p>
    <w:p>
      <w:pP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br w:type="page"/>
      </w: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lang w:val="en-US" w:eastAsia="zh-CN"/>
        </w:rPr>
        <w:t>2</w:t>
      </w:r>
      <w:r>
        <w:rPr>
          <w:rFonts w:hint="eastAsia" w:ascii="仿宋" w:hAnsi="仿宋" w:eastAsia="仿宋" w:cs="仿宋"/>
          <w:b/>
          <w:bCs/>
          <w:color w:val="auto"/>
          <w:sz w:val="36"/>
          <w:szCs w:val="36"/>
          <w:highlight w:val="none"/>
        </w:rPr>
        <w:t>、法定代表人身份证明</w:t>
      </w:r>
    </w:p>
    <w:p>
      <w:pPr>
        <w:spacing w:line="420" w:lineRule="exact"/>
        <w:ind w:firstLine="490" w:firstLineChars="200"/>
        <w:outlineLvl w:val="9"/>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投标单位名称：</w:t>
      </w:r>
      <w:r>
        <w:rPr>
          <w:rFonts w:hint="eastAsia" w:ascii="仿宋" w:hAnsi="仿宋" w:eastAsia="仿宋" w:cs="仿宋"/>
          <w:color w:val="auto"/>
          <w:kern w:val="0"/>
          <w:sz w:val="24"/>
          <w:highlight w:val="none"/>
          <w:u w:val="single"/>
        </w:rPr>
        <w:t xml:space="preserve">                       </w:t>
      </w:r>
    </w:p>
    <w:p>
      <w:pPr>
        <w:spacing w:line="420" w:lineRule="exact"/>
        <w:ind w:firstLine="490" w:firstLineChars="200"/>
        <w:outlineLvl w:val="9"/>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单位性质：</w:t>
      </w:r>
      <w:r>
        <w:rPr>
          <w:rFonts w:hint="eastAsia" w:ascii="仿宋" w:hAnsi="仿宋" w:eastAsia="仿宋" w:cs="仿宋"/>
          <w:color w:val="auto"/>
          <w:kern w:val="0"/>
          <w:sz w:val="24"/>
          <w:highlight w:val="none"/>
          <w:u w:val="single"/>
        </w:rPr>
        <w:t xml:space="preserve">                           </w:t>
      </w:r>
    </w:p>
    <w:p>
      <w:pPr>
        <w:spacing w:line="420" w:lineRule="exact"/>
        <w:ind w:firstLine="490" w:firstLineChars="200"/>
        <w:outlineLvl w:val="9"/>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p>
    <w:p>
      <w:pPr>
        <w:spacing w:line="42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spacing w:line="420" w:lineRule="exact"/>
        <w:ind w:firstLine="490" w:firstLineChars="200"/>
        <w:outlineLvl w:val="9"/>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pPr>
        <w:spacing w:line="420" w:lineRule="exact"/>
        <w:ind w:firstLine="490" w:firstLineChars="200"/>
        <w:outlineLvl w:val="9"/>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p>
    <w:p>
      <w:pPr>
        <w:spacing w:line="420" w:lineRule="exact"/>
        <w:ind w:firstLine="490" w:firstLineChars="200"/>
        <w:outlineLvl w:val="9"/>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p>
    <w:p>
      <w:pPr>
        <w:spacing w:line="42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（投标单位名称）的法定代表人。</w:t>
      </w:r>
    </w:p>
    <w:p>
      <w:pPr>
        <w:spacing w:line="420" w:lineRule="exact"/>
        <w:ind w:firstLine="980" w:firstLineChars="4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pPr>
        <w:pStyle w:val="2"/>
        <w:numPr>
          <w:ilvl w:val="0"/>
          <w:numId w:val="0"/>
        </w:numPr>
        <w:kinsoku w:val="0"/>
        <w:overflowPunct w:val="0"/>
        <w:ind w:leftChars="0" w:right="0" w:rightChars="0"/>
        <w:outlineLvl w:val="9"/>
        <w:rPr>
          <w:rFonts w:hint="eastAsia" w:ascii="仿宋" w:hAnsi="仿宋" w:eastAsia="仿宋" w:cs="仿宋"/>
          <w:color w:val="auto"/>
          <w:sz w:val="20"/>
          <w:szCs w:val="20"/>
          <w:highlight w:val="none"/>
        </w:rPr>
      </w:pPr>
    </w:p>
    <w:p>
      <w:pPr>
        <w:pStyle w:val="2"/>
        <w:numPr>
          <w:ilvl w:val="0"/>
          <w:numId w:val="0"/>
        </w:numPr>
        <w:kinsoku w:val="0"/>
        <w:overflowPunct w:val="0"/>
        <w:spacing w:before="7"/>
        <w:ind w:leftChars="0" w:right="0" w:rightChars="0"/>
        <w:outlineLvl w:val="9"/>
        <w:rPr>
          <w:rFonts w:hint="eastAsia" w:ascii="仿宋" w:hAnsi="仿宋" w:eastAsia="仿宋" w:cs="仿宋"/>
          <w:color w:val="auto"/>
          <w:sz w:val="25"/>
          <w:szCs w:val="25"/>
          <w:highlight w:val="none"/>
        </w:rPr>
      </w:pPr>
    </w:p>
    <w:p>
      <w:pPr>
        <w:pStyle w:val="2"/>
        <w:numPr>
          <w:ilvl w:val="0"/>
          <w:numId w:val="0"/>
        </w:numPr>
        <w:kinsoku w:val="0"/>
        <w:overflowPunct w:val="0"/>
        <w:spacing w:line="200" w:lineRule="atLeast"/>
        <w:ind w:right="0" w:rightChars="0"/>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mc:AlternateContent>
          <mc:Choice Requires="wpg">
            <w:drawing>
              <wp:inline distT="0" distB="0" distL="114300" distR="114300">
                <wp:extent cx="5136515" cy="1458595"/>
                <wp:effectExtent l="0" t="0" r="47625" b="2984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5" name="任意多边形 15"/>
                        <wps:cNvSpPr/>
                        <wps:spPr>
                          <a:xfrm>
                            <a:off x="24" y="28"/>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6" name="任意多边形 16"/>
                        <wps:cNvSpPr/>
                        <wps:spPr>
                          <a:xfrm>
                            <a:off x="24" y="2267"/>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7" name="任意多边形 17"/>
                        <wps:cNvSpPr/>
                        <wps:spPr>
                          <a:xfrm>
                            <a:off x="4" y="2286"/>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9" name="任意多边形 19"/>
                        <wps:cNvSpPr/>
                        <wps:spPr>
                          <a:xfrm>
                            <a:off x="9" y="4"/>
                            <a:ext cx="20" cy="2287"/>
                          </a:xfrm>
                          <a:custGeom>
                            <a:avLst/>
                            <a:gdLst/>
                            <a:ahLst/>
                            <a:cxnLst/>
                            <a:pathLst>
                              <a:path w="20" h="2287">
                                <a:moveTo>
                                  <a:pt x="0" y="0"/>
                                </a:moveTo>
                                <a:lnTo>
                                  <a:pt x="0" y="2286"/>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0" name="任意多边形 20"/>
                        <wps:cNvSpPr/>
                        <wps:spPr>
                          <a:xfrm>
                            <a:off x="28" y="24"/>
                            <a:ext cx="20" cy="2249"/>
                          </a:xfrm>
                          <a:custGeom>
                            <a:avLst/>
                            <a:gdLst/>
                            <a:ahLst/>
                            <a:cxnLst/>
                            <a:pathLst>
                              <a:path w="20" h="2249">
                                <a:moveTo>
                                  <a:pt x="0" y="0"/>
                                </a:moveTo>
                                <a:lnTo>
                                  <a:pt x="0" y="224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1" name="任意多边形 21"/>
                        <wps:cNvSpPr/>
                        <wps:spPr>
                          <a:xfrm>
                            <a:off x="4034"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2" name="任意多边形 22"/>
                        <wps:cNvSpPr/>
                        <wps:spPr>
                          <a:xfrm>
                            <a:off x="4053"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3" name="任意多边形 23"/>
                        <wps:cNvSpPr/>
                        <wps:spPr>
                          <a:xfrm>
                            <a:off x="8059" y="33"/>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4" name="任意多边形 24"/>
                        <wps:cNvSpPr/>
                        <wps:spPr>
                          <a:xfrm>
                            <a:off x="8078" y="14"/>
                            <a:ext cx="20" cy="2278"/>
                          </a:xfrm>
                          <a:custGeom>
                            <a:avLst/>
                            <a:gdLst/>
                            <a:ahLst/>
                            <a:cxnLst/>
                            <a:pathLst>
                              <a:path w="20" h="2278">
                                <a:moveTo>
                                  <a:pt x="0" y="0"/>
                                </a:moveTo>
                                <a:lnTo>
                                  <a:pt x="0" y="2277"/>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7" name="文本框 27"/>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2"/>
                                <w:numPr>
                                  <w:ilvl w:val="0"/>
                                  <w:numId w:val="0"/>
                                </w:numPr>
                                <w:kinsoku w:val="0"/>
                                <w:overflowPunct w:val="0"/>
                                <w:spacing w:before="13"/>
                                <w:ind w:leftChars="0" w:right="0" w:rightChars="0"/>
                                <w:rPr>
                                  <w:rFonts w:hint="eastAsia"/>
                                  <w:sz w:val="28"/>
                                  <w:szCs w:val="28"/>
                                </w:rPr>
                              </w:pPr>
                            </w:p>
                            <w:p>
                              <w:pPr>
                                <w:pStyle w:val="2"/>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2"/>
                                <w:numPr>
                                  <w:ilvl w:val="0"/>
                                  <w:numId w:val="0"/>
                                </w:numPr>
                                <w:kinsoku w:val="0"/>
                                <w:overflowPunct w:val="0"/>
                                <w:spacing w:before="13"/>
                                <w:ind w:leftChars="0" w:right="0" w:rightChars="0"/>
                                <w:rPr>
                                  <w:rFonts w:hint="eastAsia"/>
                                  <w:sz w:val="28"/>
                                  <w:szCs w:val="28"/>
                                </w:rPr>
                              </w:pPr>
                            </w:p>
                            <w:p>
                              <w:pPr>
                                <w:pStyle w:val="2"/>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l/l9z9YAAAAFAQAADwAAAAAAAAABACAAAAAiAAAAZHJzL2Rvd25yZXYueG1sUEsBAhQA&#10;FAAAAAgAh07iQELswcrZBAAAiyMAAA4AAAAAAAAAAQAgAAAAJQEAAGRycy9lMm9Eb2MueG1sUEsF&#10;BgAAAAAGAAYAWQEAAHAIAAAAAA==&#10;">
                <o:lock v:ext="edit" rotation="t" aspectratio="f"/>
                <v:shape id="_x0000_s1026" o:spid="_x0000_s1026" o:spt="100" style="position:absolute;left:4;top:9;height:20;width:8079;" fillcolor="#FFFFFF [3201]" filled="t" stroked="f" coordsize="8079,20" o:gfxdata="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9VF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24;top:28;height:20;width:8041;" fillcolor="#FFFFFF [3201]" filled="t" stroked="f" coordsize="8041,20" o:gfxdata="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gPPbsAAADb&#10;AAAADwAAAAAAAAABACAAAAAiAAAAZHJzL2Rvd25yZXYueG1sUEsBAhQAFAAAAAgAh07iQDMvBZ47&#10;AAAAOQAAABAAAAAAAAAAAQAgAAAACgEAAGRycy9zaGFwZXhtbC54bWxQSwUGAAAAAAYABgBbAQAA&#10;tAMAAAAA&#10;" path="m0,0l8040,0e">
                  <v:fill on="t" focussize="0,0"/>
                  <v:stroke on="f" weight="1pt" miterlimit="8" joinstyle="miter"/>
                  <v:imagedata o:title=""/>
                  <o:lock v:ext="edit" aspectratio="f"/>
                </v:shape>
                <v:shape id="_x0000_s1026" o:spid="_x0000_s1026" o:spt="100" style="position:absolute;left:24;top:2267;height:20;width:8041;" fillcolor="#FFFFFF [3201]" filled="t" stroked="f" coordsize="8041,20" o:gfxdata="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pFKugAAANsA&#10;AAAPAAAAAAAAAAEAIAAAACIAAABkcnMvZG93bnJldi54bWxQSwECFAAUAAAACACHTuJAMy8FnjsA&#10;AAA5AAAAEAAAAAAAAAABACAAAAAJAQAAZHJzL3NoYXBleG1sLnhtbFBLBQYAAAAABgAGAFsBAACz&#10;AwAAAAA=&#10;" path="m0,0l8040,0e">
                  <v:fill on="t" focussize="0,0"/>
                  <v:stroke on="f" weight="1pt" miterlimit="8" joinstyle="miter"/>
                  <v:imagedata o:title=""/>
                  <o:lock v:ext="edit" aspectratio="f"/>
                </v:shape>
                <v:shape id="_x0000_s1026" o:spid="_x0000_s1026" o:spt="100" style="position:absolute;left:4;top:2286;height:20;width:8079;" fillcolor="#FFFFFF [3201]" filled="t" stroked="f" coordsize="8079,20" o:gfxdata="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LUsy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9;top:4;height:2287;width:20;" fillcolor="#FFFFFF [3201]" filled="t" stroked="f" coordsize="20,2287" o:gfxdata="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5e25AAAA2wAA&#10;AA8AAAAAAAAAAQAgAAAAIgAAAGRycy9kb3ducmV2LnhtbFBLAQIUABQAAAAIAIdO4kAzLwWeOwAA&#10;ADkAAAAQAAAAAAAAAAEAIAAAAAgBAABkcnMvc2hhcGV4bWwueG1sUEsFBgAAAAAGAAYAWwEAALID&#10;AAAAAA==&#10;" path="m0,0l0,2286e">
                  <v:fill on="t" focussize="0,0"/>
                  <v:stroke on="f" weight="1pt" miterlimit="8" joinstyle="miter"/>
                  <v:imagedata o:title=""/>
                  <o:lock v:ext="edit" aspectratio="f"/>
                </v:shape>
                <v:shape id="_x0000_s1026" o:spid="_x0000_s1026" o:spt="100" style="position:absolute;left:28;top:24;height:2249;width:20;" fillcolor="#FFFFFF [3201]" filled="t" stroked="f" coordsize="20,2249" o:gfxdata="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fnZC5AAAA2wAA&#10;AA8AAAAAAAAAAQAgAAAAIgAAAGRycy9kb3ducmV2LnhtbFBLAQIUABQAAAAIAIdO4kAzLwWeOwAA&#10;ADkAAAAQAAAAAAAAAAEAIAAAAAgBAABkcnMvc2hhcGV4bWwueG1sUEsFBgAAAAAGAAYAWwEAALID&#10;AAAAAA==&#10;" path="m0,0l0,2248e">
                  <v:fill on="t" focussize="0,0"/>
                  <v:stroke on="f" weight="1pt" miterlimit="8" joinstyle="miter"/>
                  <v:imagedata o:title=""/>
                  <o:lock v:ext="edit" aspectratio="f"/>
                </v:shape>
                <v:shape id="_x0000_s1026" o:spid="_x0000_s1026" o:spt="100" style="position:absolute;left:4034;top:24;height:2239;width:20;" fillcolor="#FFFFFF [3201]" filled="t" stroked="f" coordsize="20,2239" o:gfxdata="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cnwu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4053;top:24;height:2239;width:20;" fillcolor="#FFFFFF [3201]" filled="t" stroked="f" coordsize="20,2239" o:gfxdata="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4BfLsAAADb&#10;AAAADwAAAAAAAAABACAAAAAiAAAAZHJzL2Rvd25yZXYueG1sUEsBAhQAFAAAAAgAh07iQDMvBZ47&#10;AAAAOQAAABAAAAAAAAAAAQAgAAAACgEAAGRycy9zaGFwZXhtbC54bWxQSwUGAAAAAAYABgBbAQAA&#10;tAMAAAAA&#10;" path="m0,0l0,2238e">
                  <v:fill on="t" focussize="0,0"/>
                  <v:stroke on="f" weight="1pt" miterlimit="8" joinstyle="miter"/>
                  <v:imagedata o:title=""/>
                  <o:lock v:ext="edit" aspectratio="f"/>
                </v:shape>
                <v:shape id="_x0000_s1026" o:spid="_x0000_s1026" o:spt="100" style="position:absolute;left:8059;top:33;height:2239;width:20;" fillcolor="#FFFFFF [3201]" filled="t" stroked="f" coordsize="20,2239" o:gfxdata="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CpOe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8078;top:14;height:2278;width:20;" fillcolor="#FFFFFF [3201]" filled="t" stroked="f" coordsize="20,2278" o:gfxdata="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FRt7sAAADb&#10;AAAADwAAAAAAAAABACAAAAAiAAAAZHJzL2Rvd25yZXYueG1sUEsBAhQAFAAAAAgAh07iQDMvBZ47&#10;AAAAOQAAABAAAAAAAAAAAQAgAAAACgEAAGRycy9zaGFwZXhtbC54bWxQSwUGAAAAAAYABgBbAQAA&#10;tAMAAAAA&#10;" path="m0,0l0,2277e">
                  <v:fill on="t" focussize="0,0"/>
                  <v:stroke on="f" weight="1pt" miterlimit="8" joinstyle="miter"/>
                  <v:imagedata o:title=""/>
                  <o:lock v:ext="edit" aspectratio="f"/>
                </v:shape>
                <v:shape id="_x0000_s1026" o:spid="_x0000_s1026" o:spt="202" type="#_x0000_t202" style="position:absolute;left:19;top:19;height:2258;width:4025;" filled="f" stroked="t" coordsize="21600,21600" o:gfxdata="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mQw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2"/>
                          <w:numPr>
                            <w:ilvl w:val="0"/>
                            <w:numId w:val="0"/>
                          </w:numPr>
                          <w:kinsoku w:val="0"/>
                          <w:overflowPunct w:val="0"/>
                          <w:spacing w:before="13"/>
                          <w:ind w:leftChars="0" w:right="0" w:rightChars="0"/>
                          <w:rPr>
                            <w:rFonts w:hint="eastAsia"/>
                            <w:sz w:val="28"/>
                            <w:szCs w:val="28"/>
                          </w:rPr>
                        </w:pPr>
                      </w:p>
                      <w:p>
                        <w:pPr>
                          <w:pStyle w:val="2"/>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txRdbwAAADb&#10;AAAADwAAAGRycy9kb3ducmV2LnhtbEWP3WrCQBSE7wXfYTlC73STFEWiq6C0YKlQ/x7gkD0mwezZ&#10;sLuN8e27gtDLYWa+YZbr3jSiI+drywrSSQKCuLC65lLB5fw5noPwAVljY5kUPMjDejUcLDHX9s5H&#10;6k6hFBHCPkcFVQhtLqUvKjLoJ7Yljt7VOoMhSldK7fAe4aaRWZLMpMGa40KFLW0rKm6nX6Pgw+8e&#10;GV2mm1l32Lsf/J7u0/5LqbdRmixABOrDf/jV3mkF7xk8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UXW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inset="0mm,0mm,0mm,0mm">
                    <w:txbxContent>
                      <w:p>
                        <w:pPr>
                          <w:pStyle w:val="2"/>
                          <w:numPr>
                            <w:ilvl w:val="0"/>
                            <w:numId w:val="0"/>
                          </w:numPr>
                          <w:kinsoku w:val="0"/>
                          <w:overflowPunct w:val="0"/>
                          <w:spacing w:before="13"/>
                          <w:ind w:leftChars="0" w:right="0" w:rightChars="0"/>
                          <w:rPr>
                            <w:rFonts w:hint="eastAsia"/>
                            <w:sz w:val="28"/>
                            <w:szCs w:val="28"/>
                          </w:rPr>
                        </w:pPr>
                      </w:p>
                      <w:p>
                        <w:pPr>
                          <w:pStyle w:val="2"/>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v:textbox>
                </v:shape>
                <w10:wrap type="none"/>
                <w10:anchorlock/>
              </v:group>
            </w:pict>
          </mc:Fallback>
        </mc:AlternateContent>
      </w:r>
    </w:p>
    <w:p>
      <w:pPr>
        <w:wordWrap w:val="0"/>
        <w:spacing w:line="420" w:lineRule="exact"/>
        <w:ind w:firstLine="490" w:firstLineChars="200"/>
        <w:jc w:val="right"/>
        <w:outlineLvl w:val="9"/>
        <w:rPr>
          <w:rFonts w:hint="eastAsia" w:ascii="仿宋" w:hAnsi="仿宋" w:eastAsia="仿宋" w:cs="仿宋"/>
          <w:color w:val="auto"/>
          <w:kern w:val="0"/>
          <w:sz w:val="24"/>
          <w:highlight w:val="none"/>
        </w:rPr>
      </w:pPr>
    </w:p>
    <w:p>
      <w:pPr>
        <w:spacing w:line="420" w:lineRule="exact"/>
        <w:ind w:firstLine="490" w:firstLineChars="200"/>
        <w:jc w:val="right"/>
        <w:outlineLvl w:val="9"/>
        <w:rPr>
          <w:rFonts w:hint="eastAsia" w:ascii="仿宋" w:hAnsi="仿宋" w:eastAsia="仿宋" w:cs="仿宋"/>
          <w:color w:val="auto"/>
          <w:kern w:val="0"/>
          <w:sz w:val="24"/>
          <w:highlight w:val="none"/>
        </w:rPr>
      </w:pPr>
    </w:p>
    <w:p>
      <w:pPr>
        <w:pStyle w:val="18"/>
        <w:outlineLvl w:val="9"/>
        <w:rPr>
          <w:rFonts w:hint="eastAsia" w:ascii="仿宋" w:hAnsi="仿宋" w:eastAsia="仿宋" w:cs="仿宋"/>
          <w:color w:val="auto"/>
          <w:kern w:val="0"/>
          <w:sz w:val="24"/>
          <w:highlight w:val="none"/>
        </w:rPr>
      </w:pPr>
    </w:p>
    <w:p>
      <w:pPr>
        <w:pStyle w:val="18"/>
        <w:outlineLvl w:val="9"/>
        <w:rPr>
          <w:rFonts w:hint="eastAsia" w:ascii="仿宋" w:hAnsi="仿宋" w:eastAsia="仿宋" w:cs="仿宋"/>
          <w:color w:val="auto"/>
          <w:kern w:val="0"/>
          <w:sz w:val="24"/>
          <w:highlight w:val="none"/>
        </w:rPr>
      </w:pPr>
    </w:p>
    <w:p>
      <w:pPr>
        <w:spacing w:line="420" w:lineRule="exact"/>
        <w:ind w:firstLine="490" w:firstLineChars="200"/>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pPr>
        <w:outlineLvl w:val="9"/>
        <w:rPr>
          <w:rFonts w:hint="eastAsia"/>
          <w:highlight w:val="none"/>
        </w:rPr>
      </w:pPr>
    </w:p>
    <w:p>
      <w:pPr>
        <w:wordWrap w:val="0"/>
        <w:spacing w:line="420" w:lineRule="exact"/>
        <w:ind w:right="480" w:firstLine="490" w:firstLineChars="200"/>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日 </w:t>
      </w:r>
    </w:p>
    <w:p>
      <w:pPr>
        <w:pStyle w:val="2"/>
        <w:numPr>
          <w:ilvl w:val="0"/>
          <w:numId w:val="0"/>
        </w:numPr>
        <w:kinsoku w:val="0"/>
        <w:overflowPunct w:val="0"/>
        <w:spacing w:before="34" w:line="357" w:lineRule="auto"/>
        <w:ind w:left="480" w:leftChars="0" w:right="126" w:rightChars="0"/>
        <w:jc w:val="center"/>
        <w:outlineLvl w:val="9"/>
        <w:rPr>
          <w:rFonts w:hint="eastAsia" w:ascii="仿宋" w:hAnsi="仿宋" w:eastAsia="仿宋" w:cs="仿宋"/>
          <w:b/>
          <w:bCs/>
          <w:color w:val="auto"/>
          <w:szCs w:val="21"/>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、授权委托书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2"/>
        <w:tabs>
          <w:tab w:val="left" w:pos="780"/>
        </w:tabs>
        <w:kinsoku w:val="0"/>
        <w:overflowPunct w:val="0"/>
        <w:adjustRightInd w:val="0"/>
        <w:snapToGrid w:val="0"/>
        <w:spacing w:before="12"/>
        <w:outlineLvl w:val="9"/>
        <w:rPr>
          <w:rFonts w:hint="eastAsia" w:ascii="仿宋" w:hAnsi="仿宋" w:eastAsia="仿宋" w:cs="仿宋"/>
          <w:color w:val="auto"/>
          <w:sz w:val="4"/>
          <w:szCs w:val="4"/>
          <w:highlight w:val="none"/>
        </w:rPr>
      </w:pPr>
    </w:p>
    <w:p>
      <w:pPr>
        <w:pStyle w:val="2"/>
        <w:numPr>
          <w:ilvl w:val="0"/>
          <w:numId w:val="0"/>
        </w:numPr>
        <w:kinsoku w:val="0"/>
        <w:overflowPunct w:val="0"/>
        <w:adjustRightInd w:val="0"/>
        <w:snapToGrid w:val="0"/>
        <w:spacing w:line="200" w:lineRule="atLeast"/>
        <w:ind w:right="1947" w:rightChars="795"/>
        <w:jc w:val="center"/>
        <w:outlineLvl w:val="9"/>
        <w:rPr>
          <w:rFonts w:hint="eastAsia" w:ascii="仿宋" w:hAnsi="仿宋" w:eastAsia="仿宋" w:cs="仿宋"/>
          <w:color w:val="auto"/>
          <w:sz w:val="18"/>
          <w:szCs w:val="20"/>
          <w:highlight w:val="none"/>
        </w:rPr>
      </w:pPr>
      <w:r>
        <w:rPr>
          <w:rFonts w:hint="eastAsia" w:ascii="仿宋" w:hAnsi="仿宋" w:eastAsia="仿宋" w:cs="仿宋"/>
          <w:color w:val="auto"/>
          <w:sz w:val="18"/>
          <w:szCs w:val="20"/>
          <w:highlight w:val="none"/>
        </w:rPr>
        <mc:AlternateContent>
          <mc:Choice Requires="wpg">
            <w:drawing>
              <wp:inline distT="0" distB="0" distL="114300" distR="114300">
                <wp:extent cx="5136515" cy="1458595"/>
                <wp:effectExtent l="0" t="0" r="50800" b="330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2"/>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2"/>
                                <w:numPr>
                                  <w:ilvl w:val="0"/>
                                  <w:numId w:val="0"/>
                                </w:numPr>
                                <w:kinsoku w:val="0"/>
                                <w:overflowPunct w:val="0"/>
                                <w:ind w:right="0" w:rightChars="0"/>
                                <w:jc w:val="center"/>
                                <w:rPr>
                                  <w:rFonts w:hint="eastAsia" w:ascii="仿宋" w:hAnsi="仿宋" w:eastAsia="仿宋" w:cs="仿宋"/>
                                </w:rPr>
                              </w:pPr>
                            </w:p>
                            <w:p>
                              <w:pPr>
                                <w:pStyle w:val="2"/>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wps:txbx>
                        <wps:bodyPr lIns="0" tIns="0" rIns="0" bIns="0" upright="1"/>
                      </wps:wsp>
                      <wps:wsp>
                        <wps:cNvPr id="12" name="文本框 1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2"/>
                                <w:numPr>
                                  <w:ilvl w:val="0"/>
                                  <w:numId w:val="0"/>
                                </w:numPr>
                                <w:shd w:val="clear" w:color="auto" w:fill="auto"/>
                                <w:kinsoku w:val="0"/>
                                <w:overflowPunct w:val="0"/>
                                <w:ind w:right="0" w:rightChars="0"/>
                                <w:jc w:val="center"/>
                                <w:rPr>
                                  <w:rFonts w:hint="eastAsia" w:ascii="仿宋" w:hAnsi="仿宋" w:eastAsia="仿宋" w:cs="仿宋"/>
                                </w:rPr>
                              </w:pPr>
                            </w:p>
                            <w:p>
                              <w:pPr>
                                <w:pStyle w:val="2"/>
                                <w:numPr>
                                  <w:ilvl w:val="0"/>
                                  <w:numId w:val="0"/>
                                </w:numPr>
                                <w:shd w:val="clear" w:color="auto" w:fill="auto"/>
                                <w:kinsoku w:val="0"/>
                                <w:overflowPunct w:val="0"/>
                                <w:ind w:right="0" w:rightChars="0"/>
                                <w:jc w:val="center"/>
                                <w:rPr>
                                  <w:rFonts w:hint="eastAsia" w:ascii="仿宋" w:hAnsi="仿宋" w:eastAsia="仿宋" w:cs="仿宋"/>
                                </w:rPr>
                              </w:pPr>
                            </w:p>
                            <w:p>
                              <w:pPr>
                                <w:pStyle w:val="2"/>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2"/>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l/l9z9YAAAAFAQAADwAAAAAAAAABACAAAAAiAAAAZHJzL2Rvd25yZXYueG1sUEsBAhQAFAAAAAgA&#10;h07iQP+fyNPTBAAAHCIAAA4AAAAAAAAAAQAgAAAAJQEAAGRycy9lMm9Eb2MueG1sUEsFBgAAAAAG&#10;AAYAWQEAAGoI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buTYrkAAADb&#10;AAAADwAAAGRycy9kb3ducmV2LnhtbEVP24rCMBB9F/Yfwiz4pmkFRbpGwWUFRWG1+gFDM9sWm0lJ&#10;Yq1/bwRh3+ZwrrNY9aYRHTlfW1aQjhMQxIXVNZcKLufNaA7CB2SNjWVS8CAPq+XHYIGZtnc+UZeH&#10;UsQQ9hkqqEJoMyl9UZFBP7YtceT+rDMYInSl1A7vMdw0cpIkM2mw5thQYUvfFRXX/GYU/PjtY0KX&#10;6XrWHQ/uF/fTQ9rvlBp+pskXiEB9+Be/3Vsd56fw+iUe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7k2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2"/>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2"/>
                          <w:numPr>
                            <w:ilvl w:val="0"/>
                            <w:numId w:val="0"/>
                          </w:numPr>
                          <w:kinsoku w:val="0"/>
                          <w:overflowPunct w:val="0"/>
                          <w:ind w:right="0" w:rightChars="0"/>
                          <w:jc w:val="center"/>
                          <w:rPr>
                            <w:rFonts w:hint="eastAsia" w:ascii="仿宋" w:hAnsi="仿宋" w:eastAsia="仿宋" w:cs="仿宋"/>
                          </w:rPr>
                        </w:pPr>
                      </w:p>
                      <w:p>
                        <w:pPr>
                          <w:pStyle w:val="2"/>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sWkNFbkAAADb&#10;AAAADwAAAGRycy9kb3ducmV2LnhtbEVP24rCMBB9X/Afwgi+rWkLylKNguKCsoLr5QOGZmyLzaQk&#10;2Vr/fiMIvs3hXGe+7E0jOnK+tqwgHScgiAuray4VXM7fn18gfEDW2FgmBQ/ysFwMPuaYa3vnI3Wn&#10;UIoYwj5HBVUIbS6lLyoy6Me2JY7c1TqDIUJXSu3wHsNNI7MkmUqDNceGCltaV1TcTn9GwcZvHxld&#10;Jqtp97t3B/yZ7NN+p9RomCYzEIH68Ba/3Fsd52fw/CUe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pDRW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2"/>
                          <w:numPr>
                            <w:ilvl w:val="0"/>
                            <w:numId w:val="0"/>
                          </w:numPr>
                          <w:shd w:val="clear" w:color="auto" w:fill="auto"/>
                          <w:kinsoku w:val="0"/>
                          <w:overflowPunct w:val="0"/>
                          <w:ind w:right="0" w:rightChars="0"/>
                          <w:jc w:val="center"/>
                          <w:rPr>
                            <w:rFonts w:hint="eastAsia" w:ascii="仿宋" w:hAnsi="仿宋" w:eastAsia="仿宋" w:cs="仿宋"/>
                          </w:rPr>
                        </w:pPr>
                      </w:p>
                      <w:p>
                        <w:pPr>
                          <w:pStyle w:val="2"/>
                          <w:numPr>
                            <w:ilvl w:val="0"/>
                            <w:numId w:val="0"/>
                          </w:numPr>
                          <w:shd w:val="clear" w:color="auto" w:fill="auto"/>
                          <w:kinsoku w:val="0"/>
                          <w:overflowPunct w:val="0"/>
                          <w:ind w:right="0" w:rightChars="0"/>
                          <w:jc w:val="center"/>
                          <w:rPr>
                            <w:rFonts w:hint="eastAsia" w:ascii="仿宋" w:hAnsi="仿宋" w:eastAsia="仿宋" w:cs="仿宋"/>
                          </w:rPr>
                        </w:pPr>
                      </w:p>
                      <w:p>
                        <w:pPr>
                          <w:pStyle w:val="2"/>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2"/>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v:textbox>
                </v:shape>
                <w10:wrap type="none"/>
                <w10:anchorlock/>
              </v:group>
            </w:pict>
          </mc:Fallback>
        </mc:AlternateContent>
      </w:r>
    </w:p>
    <w:p>
      <w:pPr>
        <w:pStyle w:val="2"/>
        <w:numPr>
          <w:ilvl w:val="0"/>
          <w:numId w:val="0"/>
        </w:numPr>
        <w:kinsoku w:val="0"/>
        <w:overflowPunct w:val="0"/>
        <w:adjustRightInd w:val="0"/>
        <w:snapToGrid w:val="0"/>
        <w:spacing w:line="200" w:lineRule="atLeast"/>
        <w:ind w:right="0" w:rightChars="0"/>
        <w:outlineLvl w:val="9"/>
        <w:rPr>
          <w:rFonts w:hint="eastAsia" w:ascii="仿宋" w:hAnsi="仿宋" w:eastAsia="仿宋" w:cs="仿宋"/>
          <w:color w:val="auto"/>
          <w:sz w:val="18"/>
          <w:szCs w:val="20"/>
          <w:highlight w:val="none"/>
        </w:rPr>
      </w:pPr>
      <w:r>
        <w:rPr>
          <w:rFonts w:hint="eastAsia" w:ascii="仿宋" w:hAnsi="仿宋" w:eastAsia="仿宋" w:cs="仿宋"/>
          <w:color w:val="auto"/>
          <w:sz w:val="18"/>
          <w:szCs w:val="20"/>
          <w:highlight w:val="none"/>
        </w:rPr>
        <mc:AlternateContent>
          <mc:Choice Requires="wpg">
            <w:drawing>
              <wp:inline distT="0" distB="0" distL="114300" distR="114300">
                <wp:extent cx="5137150" cy="1384935"/>
                <wp:effectExtent l="0" t="0" r="53340" b="4953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2"/>
                                <w:numPr>
                                  <w:ilvl w:val="0"/>
                                  <w:numId w:val="0"/>
                                </w:numPr>
                                <w:kinsoku w:val="0"/>
                                <w:overflowPunct w:val="0"/>
                                <w:ind w:right="0" w:rightChars="0"/>
                                <w:rPr>
                                  <w:rFonts w:hint="eastAsia"/>
                                </w:rPr>
                              </w:pPr>
                            </w:p>
                            <w:p>
                              <w:pPr>
                                <w:pStyle w:val="2"/>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2"/>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2"/>
                                <w:numPr>
                                  <w:ilvl w:val="0"/>
                                  <w:numId w:val="0"/>
                                </w:numPr>
                                <w:kinsoku w:val="0"/>
                                <w:overflowPunct w:val="0"/>
                                <w:ind w:right="0" w:rightChars="0"/>
                                <w:rPr>
                                  <w:rFonts w:hint="eastAsia"/>
                                </w:rPr>
                              </w:pPr>
                            </w:p>
                            <w:p>
                              <w:pPr>
                                <w:pStyle w:val="2"/>
                                <w:numPr>
                                  <w:ilvl w:val="0"/>
                                  <w:numId w:val="0"/>
                                </w:numPr>
                                <w:shd w:val="clear" w:color="auto" w:fill="auto"/>
                                <w:kinsoku w:val="0"/>
                                <w:overflowPunct w:val="0"/>
                                <w:ind w:right="0" w:rightChars="0"/>
                                <w:rPr>
                                  <w:rFonts w:hint="eastAsia" w:ascii="仿宋" w:hAnsi="仿宋" w:eastAsia="仿宋" w:cs="仿宋"/>
                                  <w:sz w:val="24"/>
                                  <w:szCs w:val="24"/>
                                </w:rPr>
                              </w:pPr>
                            </w:p>
                            <w:p>
                              <w:pPr>
                                <w:pStyle w:val="2"/>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PCHxSPVAAAABQEAAA8AAAAAAAAAAQAgAAAAIgAAAGRycy9kb3ducmV2LnhtbFBLAQIUABQAAAAI&#10;AIdO4kDOLr+S1QQAAC0iAAAOAAAAAAAAAAEAIAAAACQBAABkcnMvZTJvRG9jLnhtbFBLBQYAAAAA&#10;BgAGAFkBAABr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sq2BkL0AAADb&#10;AAAADwAAAGRycy9kb3ducmV2LnhtbEWP0WrCQBRE34X+w3ILvtVNRG1JsxFaKigKWusHXLK3SWj2&#10;bthdY/x7Vyj4OMzMGSZfDqYVPTnfWFaQThIQxKXVDVcKTj+rlzcQPiBrbC2Tgit5WBZPoxwzbS/8&#10;Tf0xVCJC2GeooA6hy6T0ZU0G/cR2xNH7tc5giNJVUju8RLhp5TRJFtJgw3Ghxo4+ayr/jmej4Muv&#10;r1M6zT8W/WHn9rid79Jho9T4OU3eQQQawiP8315rBbNXuH+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rYGQ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2"/>
                          <w:numPr>
                            <w:ilvl w:val="0"/>
                            <w:numId w:val="0"/>
                          </w:numPr>
                          <w:kinsoku w:val="0"/>
                          <w:overflowPunct w:val="0"/>
                          <w:ind w:right="0" w:rightChars="0"/>
                          <w:rPr>
                            <w:rFonts w:hint="eastAsia"/>
                          </w:rPr>
                        </w:pPr>
                      </w:p>
                      <w:p>
                        <w:pPr>
                          <w:pStyle w:val="2"/>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2"/>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v:textbox>
                </v:shape>
                <v:shape id="文本框 45" o:spid="_x0000_s1026" o:spt="202" type="#_x0000_t202" style="position:absolute;left:4044;top:19;height:2142;width:4025;" filled="f" stroked="t" coordsize="21600,21600" o:gfxdata="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yFe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2"/>
                          <w:numPr>
                            <w:ilvl w:val="0"/>
                            <w:numId w:val="0"/>
                          </w:numPr>
                          <w:kinsoku w:val="0"/>
                          <w:overflowPunct w:val="0"/>
                          <w:ind w:right="0" w:rightChars="0"/>
                          <w:rPr>
                            <w:rFonts w:hint="eastAsia"/>
                          </w:rPr>
                        </w:pPr>
                      </w:p>
                      <w:p>
                        <w:pPr>
                          <w:pStyle w:val="2"/>
                          <w:numPr>
                            <w:ilvl w:val="0"/>
                            <w:numId w:val="0"/>
                          </w:numPr>
                          <w:shd w:val="clear" w:color="auto" w:fill="auto"/>
                          <w:kinsoku w:val="0"/>
                          <w:overflowPunct w:val="0"/>
                          <w:ind w:right="0" w:rightChars="0"/>
                          <w:rPr>
                            <w:rFonts w:hint="eastAsia" w:ascii="仿宋" w:hAnsi="仿宋" w:eastAsia="仿宋" w:cs="仿宋"/>
                            <w:sz w:val="24"/>
                            <w:szCs w:val="24"/>
                          </w:rPr>
                        </w:pPr>
                      </w:p>
                      <w:p>
                        <w:pPr>
                          <w:pStyle w:val="2"/>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v:textbox>
                </v:shape>
                <w10:wrap type="none"/>
                <w10:anchorlock/>
              </v:group>
            </w:pict>
          </mc:Fallback>
        </mc:AlternateContent>
      </w:r>
    </w:p>
    <w:p>
      <w:pPr>
        <w:pStyle w:val="2"/>
        <w:numPr>
          <w:ilvl w:val="0"/>
          <w:numId w:val="0"/>
        </w:numPr>
        <w:tabs>
          <w:tab w:val="left" w:pos="5295"/>
        </w:tabs>
        <w:kinsoku w:val="0"/>
        <w:overflowPunct w:val="0"/>
        <w:adjustRightInd w:val="0"/>
        <w:snapToGrid w:val="0"/>
        <w:spacing w:line="360" w:lineRule="auto"/>
        <w:ind w:left="709" w:leftChars="0" w:right="0" w:rightChars="0"/>
        <w:outlineLvl w:val="9"/>
        <w:rPr>
          <w:rFonts w:hint="eastAsia" w:ascii="仿宋" w:hAnsi="仿宋" w:eastAsia="仿宋" w:cs="仿宋"/>
          <w:color w:val="auto"/>
          <w:sz w:val="24"/>
          <w:highlight w:val="none"/>
        </w:rPr>
      </w:pPr>
    </w:p>
    <w:p>
      <w:pPr>
        <w:pStyle w:val="2"/>
        <w:numPr>
          <w:ilvl w:val="0"/>
          <w:numId w:val="0"/>
        </w:numPr>
        <w:tabs>
          <w:tab w:val="left" w:pos="5295"/>
        </w:tabs>
        <w:kinsoku w:val="0"/>
        <w:overflowPunct w:val="0"/>
        <w:adjustRightInd w:val="0"/>
        <w:snapToGrid w:val="0"/>
        <w:spacing w:line="360" w:lineRule="auto"/>
        <w:ind w:left="709" w:leftChars="0" w:right="0" w:rightChars="0"/>
        <w:outlineLvl w:val="9"/>
        <w:rPr>
          <w:rFonts w:hint="eastAsia" w:ascii="仿宋" w:hAnsi="仿宋" w:eastAsia="仿宋" w:cs="仿宋"/>
          <w:color w:val="auto"/>
          <w:sz w:val="24"/>
          <w:highlight w:val="none"/>
        </w:rPr>
      </w:pPr>
    </w:p>
    <w:p>
      <w:pPr>
        <w:pStyle w:val="2"/>
        <w:numPr>
          <w:ilvl w:val="0"/>
          <w:numId w:val="0"/>
        </w:numPr>
        <w:tabs>
          <w:tab w:val="left" w:pos="5295"/>
        </w:tabs>
        <w:kinsoku w:val="0"/>
        <w:overflowPunct w:val="0"/>
        <w:adjustRightInd w:val="0"/>
        <w:snapToGrid w:val="0"/>
        <w:spacing w:line="360" w:lineRule="auto"/>
        <w:ind w:left="709" w:leftChars="0" w:right="0" w:right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被授权代表（</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投标人法定代表人（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p>
    <w:p>
      <w:pPr>
        <w:pStyle w:val="2"/>
        <w:numPr>
          <w:ilvl w:val="0"/>
          <w:numId w:val="0"/>
        </w:numPr>
        <w:tabs>
          <w:tab w:val="left" w:pos="1098"/>
          <w:tab w:val="left" w:pos="5298"/>
          <w:tab w:val="left" w:pos="5778"/>
        </w:tabs>
        <w:kinsoku w:val="0"/>
        <w:overflowPunct w:val="0"/>
        <w:adjustRightInd w:val="0"/>
        <w:snapToGrid w:val="0"/>
        <w:spacing w:line="360" w:lineRule="auto"/>
        <w:ind w:left="709" w:leftChars="0" w:right="0" w:right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p>
    <w:p>
      <w:pPr>
        <w:pStyle w:val="2"/>
        <w:numPr>
          <w:ilvl w:val="0"/>
          <w:numId w:val="0"/>
        </w:numPr>
        <w:tabs>
          <w:tab w:val="left" w:pos="1098"/>
          <w:tab w:val="left" w:pos="5298"/>
          <w:tab w:val="left" w:pos="5778"/>
        </w:tabs>
        <w:kinsoku w:val="0"/>
        <w:overflowPunct w:val="0"/>
        <w:adjustRightInd w:val="0"/>
        <w:snapToGrid w:val="0"/>
        <w:spacing w:line="360" w:lineRule="auto"/>
        <w:ind w:left="709" w:leftChars="0" w:right="0" w:right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p>
    <w:p>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（盖章）</w:t>
      </w:r>
    </w:p>
    <w:p>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outlineLvl w:val="9"/>
        <w:rPr>
          <w:rFonts w:hint="eastAsia" w:ascii="仿宋" w:hAnsi="仿宋" w:eastAsia="仿宋" w:cs="仿宋"/>
          <w:color w:val="auto"/>
          <w:sz w:val="24"/>
          <w:highlight w:val="none"/>
        </w:rPr>
      </w:pPr>
    </w:p>
    <w:p>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outlineLvl w:val="9"/>
        <w:rPr>
          <w:rFonts w:hint="eastAsia" w:ascii="仿宋" w:hAnsi="仿宋" w:eastAsia="仿宋" w:cs="仿宋"/>
          <w:color w:val="auto"/>
          <w:sz w:val="20"/>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0"/>
          <w:highlight w:val="none"/>
        </w:rPr>
        <w:t xml:space="preserve">               </w:t>
      </w:r>
    </w:p>
    <w:p>
      <w:pPr>
        <w:pStyle w:val="32"/>
        <w:outlineLvl w:val="9"/>
        <w:rPr>
          <w:rFonts w:hint="eastAsia" w:ascii="仿宋" w:hAnsi="仿宋" w:eastAsia="仿宋" w:cs="仿宋"/>
          <w:b/>
          <w:bCs/>
          <w:color w:val="auto"/>
          <w:sz w:val="36"/>
          <w:szCs w:val="36"/>
          <w:highlight w:val="none"/>
        </w:rPr>
      </w:pPr>
      <w:r>
        <w:rPr>
          <w:rFonts w:hint="eastAsia" w:ascii="仿宋" w:hAnsi="仿宋" w:eastAsia="仿宋" w:cs="仿宋"/>
          <w:color w:val="auto"/>
          <w:highlight w:val="none"/>
        </w:rPr>
        <w:br w:type="page"/>
      </w:r>
    </w:p>
    <w:p>
      <w:pPr>
        <w:pStyle w:val="2"/>
        <w:numPr>
          <w:ilvl w:val="0"/>
          <w:numId w:val="0"/>
        </w:numPr>
        <w:shd w:val="clear" w:color="auto" w:fill="auto"/>
        <w:kinsoku w:val="0"/>
        <w:overflowPunct w:val="0"/>
        <w:spacing w:before="34" w:line="357" w:lineRule="auto"/>
        <w:ind w:left="480" w:leftChars="0" w:right="126" w:rightChars="0"/>
        <w:jc w:val="cente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4、</w:t>
      </w:r>
      <w:r>
        <w:rPr>
          <w:rFonts w:hint="eastAsia" w:ascii="仿宋" w:hAnsi="仿宋" w:eastAsia="仿宋" w:cs="仿宋"/>
          <w:b/>
          <w:bCs/>
          <w:color w:val="auto"/>
          <w:sz w:val="36"/>
          <w:szCs w:val="36"/>
          <w:highlight w:val="none"/>
        </w:rPr>
        <w:t>参加政府采购活动前3年内</w:t>
      </w:r>
      <w:bookmarkStart w:id="94" w:name="_Toc6008"/>
      <w:bookmarkStart w:id="95" w:name="_Toc1137"/>
      <w:bookmarkStart w:id="96" w:name="_Toc515647812"/>
      <w:r>
        <w:rPr>
          <w:rFonts w:hint="eastAsia" w:ascii="仿宋" w:hAnsi="仿宋" w:eastAsia="仿宋" w:cs="仿宋"/>
          <w:b/>
          <w:bCs/>
          <w:color w:val="auto"/>
          <w:sz w:val="36"/>
          <w:szCs w:val="36"/>
          <w:highlight w:val="none"/>
        </w:rPr>
        <w:t>在经营活动中没有重大违法记录的书面声明</w:t>
      </w:r>
      <w:bookmarkEnd w:id="94"/>
      <w:bookmarkEnd w:id="95"/>
      <w:bookmarkEnd w:id="96"/>
    </w:p>
    <w:p>
      <w:pPr>
        <w:pStyle w:val="12"/>
        <w:shd w:val="clear" w:color="auto" w:fill="auto"/>
        <w:tabs>
          <w:tab w:val="left" w:pos="5580"/>
        </w:tabs>
        <w:spacing w:line="240" w:lineRule="atLeast"/>
        <w:ind w:left="1169" w:leftChars="257" w:hanging="540"/>
        <w:jc w:val="center"/>
        <w:outlineLvl w:val="9"/>
        <w:rPr>
          <w:rFonts w:hint="eastAsia" w:ascii="仿宋" w:hAnsi="仿宋" w:eastAsia="仿宋" w:cs="仿宋"/>
          <w:b/>
          <w:color w:val="auto"/>
          <w:sz w:val="24"/>
          <w:highlight w:val="none"/>
        </w:rPr>
      </w:pPr>
    </w:p>
    <w:p>
      <w:pPr>
        <w:pStyle w:val="12"/>
        <w:shd w:val="clear" w:color="auto" w:fill="auto"/>
        <w:tabs>
          <w:tab w:val="left" w:pos="5580"/>
        </w:tabs>
        <w:spacing w:line="240" w:lineRule="atLeast"/>
        <w:ind w:left="1169" w:leftChars="257" w:hanging="540"/>
        <w:outlineLvl w:val="9"/>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说明：1.投标人应按照相关法规规定如实作出说明。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1307" w:firstLineChars="534"/>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2．按照招标文件的规定加盖单位章（自然人投标的无需盖章，需要签字）。</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outlineLvl w:val="9"/>
        <w:rPr>
          <w:rFonts w:hint="eastAsia" w:ascii="仿宋" w:hAnsi="仿宋" w:eastAsia="仿宋" w:cs="仿宋"/>
          <w:color w:val="auto"/>
          <w:spacing w:val="0"/>
          <w:w w:val="100"/>
          <w:kern w:val="0"/>
          <w:position w:val="0"/>
          <w:sz w:val="24"/>
          <w:szCs w:val="24"/>
          <w:highlight w:val="none"/>
          <w:u w:val="none"/>
          <w:shd w:val="clear" w:color="auto" w:fill="auto"/>
          <w:lang w:val="en-US" w:eastAsia="zh-CN" w:bidi="en-US"/>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b/>
          <w:bCs/>
          <w:color w:val="auto"/>
          <w:sz w:val="36"/>
          <w:szCs w:val="36"/>
          <w:highlight w:val="none"/>
        </w:rPr>
      </w:pPr>
    </w:p>
    <w:p>
      <w:pPr>
        <w:numPr>
          <w:ilvl w:val="0"/>
          <w:numId w:val="0"/>
        </w:numPr>
        <w:shd w:val="clear" w:color="auto" w:fill="auto"/>
        <w:tabs>
          <w:tab w:val="left" w:pos="540"/>
        </w:tabs>
        <w:spacing w:before="0" w:line="240" w:lineRule="atLeast"/>
        <w:outlineLvl w:val="9"/>
        <w:rPr>
          <w:rFonts w:hint="eastAsia" w:ascii="仿宋" w:hAnsi="仿宋" w:eastAsia="仿宋" w:cs="仿宋"/>
          <w:b/>
          <w:bCs/>
          <w:color w:val="auto"/>
          <w:spacing w:val="0"/>
          <w:w w:val="100"/>
          <w:position w:val="0"/>
          <w:sz w:val="36"/>
          <w:szCs w:val="36"/>
          <w:highlight w:val="none"/>
          <w:shd w:val="clear" w:color="auto" w:fill="auto"/>
          <w:lang w:val="en-US" w:eastAsia="zh-CN" w:bidi="en-US"/>
        </w:rPr>
      </w:pPr>
    </w:p>
    <w:p>
      <w:pPr>
        <w:rPr>
          <w:rFonts w:hint="eastAsia" w:ascii="仿宋" w:hAnsi="仿宋" w:eastAsia="仿宋" w:cs="仿宋"/>
          <w:b/>
          <w:bCs/>
          <w:color w:val="auto"/>
          <w:spacing w:val="0"/>
          <w:w w:val="100"/>
          <w:position w:val="0"/>
          <w:sz w:val="36"/>
          <w:szCs w:val="36"/>
          <w:highlight w:val="none"/>
          <w:shd w:val="clear" w:color="auto" w:fill="auto"/>
          <w:lang w:val="en-US" w:eastAsia="zh-CN" w:bidi="en-US"/>
        </w:rPr>
      </w:pPr>
      <w:r>
        <w:rPr>
          <w:rFonts w:hint="eastAsia" w:ascii="仿宋" w:hAnsi="仿宋" w:eastAsia="仿宋" w:cs="仿宋"/>
          <w:b/>
          <w:bCs/>
          <w:color w:val="auto"/>
          <w:spacing w:val="0"/>
          <w:w w:val="100"/>
          <w:position w:val="0"/>
          <w:sz w:val="36"/>
          <w:szCs w:val="36"/>
          <w:highlight w:val="none"/>
          <w:shd w:val="clear" w:color="auto" w:fill="auto"/>
          <w:lang w:val="en-US" w:eastAsia="zh-CN" w:bidi="en-US"/>
        </w:rPr>
        <w:br w:type="page"/>
      </w:r>
    </w:p>
    <w:p>
      <w:pPr>
        <w:numPr>
          <w:ilvl w:val="0"/>
          <w:numId w:val="0"/>
        </w:numPr>
        <w:shd w:val="clear" w:color="auto" w:fill="auto"/>
        <w:tabs>
          <w:tab w:val="left" w:pos="540"/>
        </w:tabs>
        <w:spacing w:before="0" w:line="240" w:lineRule="atLeast"/>
        <w:outlineLvl w:val="9"/>
        <w:rPr>
          <w:rFonts w:hint="eastAsia" w:ascii="仿宋" w:hAnsi="仿宋" w:eastAsia="仿宋" w:cs="仿宋"/>
          <w:b/>
          <w:bCs/>
          <w:color w:val="auto"/>
          <w:spacing w:val="0"/>
          <w:w w:val="100"/>
          <w:position w:val="0"/>
          <w:sz w:val="36"/>
          <w:szCs w:val="36"/>
          <w:highlight w:val="none"/>
          <w:shd w:val="clear" w:color="auto" w:fill="auto"/>
          <w:lang w:val="en-US" w:eastAsia="en-US" w:bidi="en-US"/>
        </w:rPr>
      </w:pPr>
      <w:r>
        <w:rPr>
          <w:rFonts w:hint="eastAsia" w:ascii="仿宋" w:hAnsi="仿宋" w:eastAsia="仿宋" w:cs="仿宋"/>
          <w:b/>
          <w:bCs/>
          <w:color w:val="auto"/>
          <w:spacing w:val="0"/>
          <w:w w:val="100"/>
          <w:position w:val="0"/>
          <w:sz w:val="36"/>
          <w:szCs w:val="36"/>
          <w:highlight w:val="none"/>
          <w:shd w:val="clear" w:color="auto" w:fill="auto"/>
          <w:lang w:val="en-US" w:eastAsia="zh-CN" w:bidi="en-US"/>
        </w:rPr>
        <w:t>5、</w:t>
      </w:r>
      <w:r>
        <w:rPr>
          <w:rFonts w:hint="eastAsia" w:ascii="仿宋" w:hAnsi="仿宋" w:eastAsia="仿宋" w:cs="仿宋"/>
          <w:b/>
          <w:bCs/>
          <w:color w:val="auto"/>
          <w:spacing w:val="0"/>
          <w:w w:val="100"/>
          <w:position w:val="0"/>
          <w:sz w:val="36"/>
          <w:szCs w:val="36"/>
          <w:highlight w:val="none"/>
          <w:shd w:val="clear" w:color="auto" w:fill="auto"/>
          <w:lang w:val="en-US" w:eastAsia="en-US" w:bidi="en-US"/>
        </w:rPr>
        <w:t>投标保证金缴纳凭证或投标担保函</w:t>
      </w:r>
    </w:p>
    <w:p>
      <w:pPr>
        <w:shd w:val="clear" w:color="auto" w:fill="auto"/>
        <w:ind w:firstLine="490" w:firstLineChars="200"/>
        <w:outlineLvl w:val="9"/>
        <w:rPr>
          <w:rFonts w:hint="eastAsia" w:ascii="仿宋" w:hAnsi="仿宋" w:eastAsia="仿宋" w:cs="仿宋"/>
          <w:color w:val="auto"/>
          <w:sz w:val="24"/>
          <w:highlight w:val="none"/>
        </w:rPr>
      </w:pPr>
      <w:bookmarkStart w:id="97" w:name="_Toc494296665"/>
      <w:bookmarkStart w:id="98" w:name="_Toc494296991"/>
    </w:p>
    <w:bookmarkEnd w:id="97"/>
    <w:bookmarkEnd w:id="98"/>
    <w:p>
      <w:pPr>
        <w:pStyle w:val="7"/>
        <w:shd w:val="clear" w:color="auto" w:fill="auto"/>
        <w:outlineLvl w:val="9"/>
        <w:rPr>
          <w:rFonts w:hint="eastAsia" w:ascii="仿宋" w:hAnsi="仿宋" w:eastAsia="仿宋" w:cs="仿宋"/>
          <w:color w:val="auto"/>
          <w:highlight w:val="none"/>
        </w:rPr>
      </w:pPr>
    </w:p>
    <w:tbl>
      <w:tblPr>
        <w:tblStyle w:val="24"/>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pPr>
        <w:pStyle w:val="7"/>
        <w:shd w:val="clear" w:color="auto" w:fill="auto"/>
        <w:outlineLvl w:val="9"/>
        <w:rPr>
          <w:rFonts w:hint="eastAsia" w:ascii="仿宋" w:hAnsi="仿宋" w:eastAsia="仿宋" w:cs="仿宋"/>
          <w:color w:val="auto"/>
          <w:highlight w:val="none"/>
        </w:rPr>
      </w:pPr>
    </w:p>
    <w:p>
      <w:pPr>
        <w:shd w:val="clear" w:color="auto" w:fill="auto"/>
        <w:spacing w:line="240" w:lineRule="atLeast"/>
        <w:ind w:left="1169" w:leftChars="257" w:hanging="540"/>
        <w:jc w:val="center"/>
        <w:outlineLvl w:val="9"/>
        <w:rPr>
          <w:rFonts w:hint="eastAsia" w:ascii="仿宋" w:hAnsi="仿宋" w:eastAsia="仿宋" w:cs="仿宋"/>
          <w:color w:val="auto"/>
          <w:sz w:val="24"/>
          <w:highlight w:val="none"/>
        </w:rPr>
      </w:pPr>
    </w:p>
    <w:p>
      <w:pPr>
        <w:shd w:val="clear" w:color="auto" w:fill="auto"/>
        <w:outlineLvl w:val="9"/>
        <w:rPr>
          <w:rFonts w:hint="eastAsia" w:ascii="仿宋" w:hAnsi="仿宋" w:eastAsia="仿宋" w:cs="仿宋"/>
          <w:color w:val="auto"/>
          <w:sz w:val="28"/>
          <w:szCs w:val="28"/>
          <w:highlight w:val="none"/>
        </w:rPr>
      </w:pPr>
    </w:p>
    <w:tbl>
      <w:tblPr>
        <w:tblStyle w:val="24"/>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pPr>
        <w:pStyle w:val="7"/>
        <w:shd w:val="clear" w:color="auto" w:fill="auto"/>
        <w:outlineLvl w:val="9"/>
        <w:rPr>
          <w:rFonts w:hint="eastAsia" w:ascii="仿宋" w:hAnsi="仿宋" w:eastAsia="仿宋" w:cs="仿宋"/>
          <w:color w:val="auto"/>
          <w:highlight w:val="none"/>
        </w:rPr>
      </w:pPr>
    </w:p>
    <w:p>
      <w:pPr>
        <w:pStyle w:val="7"/>
        <w:shd w:val="clear" w:color="auto" w:fill="auto"/>
        <w:outlineLvl w:val="9"/>
        <w:rPr>
          <w:rFonts w:hint="eastAsia" w:ascii="仿宋" w:hAnsi="仿宋" w:eastAsia="仿宋" w:cs="仿宋"/>
          <w:color w:val="auto"/>
          <w:highlight w:val="none"/>
        </w:rPr>
      </w:pPr>
    </w:p>
    <w:p>
      <w:pPr>
        <w:pStyle w:val="7"/>
        <w:shd w:val="clear" w:color="auto" w:fill="auto"/>
        <w:outlineLvl w:val="9"/>
        <w:rPr>
          <w:rFonts w:hint="eastAsia" w:ascii="仿宋" w:hAnsi="仿宋" w:eastAsia="仿宋" w:cs="仿宋"/>
          <w:color w:val="auto"/>
          <w:highlight w:val="none"/>
        </w:rPr>
      </w:pPr>
    </w:p>
    <w:p>
      <w:pPr>
        <w:pStyle w:val="7"/>
        <w:shd w:val="clear" w:color="auto" w:fill="auto"/>
        <w:outlineLvl w:val="9"/>
        <w:rPr>
          <w:rFonts w:hint="eastAsia" w:ascii="仿宋" w:hAnsi="仿宋" w:eastAsia="仿宋" w:cs="仿宋"/>
          <w:color w:val="auto"/>
          <w:highlight w:val="none"/>
        </w:rPr>
      </w:pPr>
    </w:p>
    <w:p>
      <w:pPr>
        <w:pStyle w:val="7"/>
        <w:shd w:val="clear" w:color="auto" w:fill="auto"/>
        <w:outlineLvl w:val="9"/>
        <w:rPr>
          <w:rFonts w:hint="eastAsia" w:ascii="仿宋" w:hAnsi="仿宋" w:eastAsia="仿宋" w:cs="仿宋"/>
          <w:color w:val="auto"/>
          <w:highlight w:val="none"/>
        </w:rPr>
      </w:pPr>
    </w:p>
    <w:p>
      <w:pPr>
        <w:pStyle w:val="7"/>
        <w:shd w:val="clear" w:color="auto" w:fill="auto"/>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outlineLvl w:val="9"/>
        <w:rPr>
          <w:rFonts w:hint="eastAsia" w:ascii="仿宋" w:hAnsi="仿宋" w:eastAsia="仿宋" w:cs="仿宋"/>
          <w:color w:val="auto"/>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both"/>
        <w:outlineLvl w:val="9"/>
        <w:rPr>
          <w:rFonts w:hint="eastAsia" w:ascii="仿宋" w:hAnsi="仿宋" w:eastAsia="仿宋" w:cs="仿宋"/>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color="auto" w:fill="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采购文件，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2．询价通知书规定的投标人应当缴纳保证金的其他情形。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4．你方或其他有权机关对询价通知书进行任何澄清或修改，加重我方保证责任的，我方对加重部分不承担保证责任，但该澄清或修改经我方事先书面同意的除外。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pgSz w:w="11905" w:h="16838"/>
          <w:pgMar w:top="1440" w:right="1134" w:bottom="1440" w:left="1134" w:header="850" w:footer="992" w:gutter="0"/>
          <w:pgNumType w:fmt="decimal"/>
          <w:cols w:space="0" w:num="1"/>
          <w:rtlGutter w:val="0"/>
          <w:docGrid w:type="linesAndChars" w:linePitch="335"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90" w:firstLineChars="200"/>
        <w:jc w:val="left"/>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6、投标企业须提供投标人（被授权在职人员）近期社保证明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90" w:firstLineChars="200"/>
        <w:jc w:val="left"/>
        <w:textAlignment w:val="auto"/>
        <w:outlineLvl w:val="9"/>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90" w:firstLineChars="200"/>
        <w:jc w:val="lef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说明：复印件上应加盖本单位章</w:t>
      </w:r>
    </w:p>
    <w:p>
      <w:pPr>
        <w:outlineLvl w:val="9"/>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b/>
          <w:bCs/>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b/>
          <w:bCs/>
          <w:color w:val="auto"/>
          <w:spacing w:val="0"/>
          <w:w w:val="100"/>
          <w:kern w:val="0"/>
          <w:position w:val="0"/>
          <w:sz w:val="24"/>
          <w:szCs w:val="24"/>
          <w:highlight w:val="none"/>
          <w:shd w:val="clear" w:color="auto" w:fill="auto"/>
          <w:lang w:val="en-US" w:eastAsia="zh-CN" w:bidi="en-US"/>
        </w:rPr>
        <w:t>7、参加采购活动前三年内，在经营活动中没有重大违法记录，供应商须提供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b/>
          <w:bCs/>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left"/>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投标人须知资料表要求的其他资格证明文件</w:t>
      </w:r>
    </w:p>
    <w:p>
      <w:pPr>
        <w:outlineLvl w:val="9"/>
        <w:rPr>
          <w:rFonts w:hint="eastAsia" w:ascii="仿宋" w:hAnsi="仿宋" w:eastAsia="仿宋" w:cs="仿宋"/>
          <w:b/>
          <w:bCs/>
          <w:color w:val="auto"/>
          <w:highlight w:val="none"/>
        </w:rPr>
      </w:pPr>
    </w:p>
    <w:p>
      <w:pPr>
        <w:outlineLvl w:val="9"/>
        <w:rPr>
          <w:rFonts w:hint="eastAsia" w:ascii="仿宋" w:hAnsi="仿宋" w:eastAsia="仿宋" w:cs="仿宋"/>
          <w:b/>
          <w:bCs/>
          <w:color w:val="auto"/>
          <w:highlight w:val="none"/>
        </w:rPr>
      </w:pPr>
    </w:p>
    <w:p>
      <w:pPr>
        <w:outlineLvl w:val="9"/>
        <w:rPr>
          <w:rFonts w:hint="eastAsia" w:ascii="仿宋" w:hAnsi="仿宋" w:eastAsia="仿宋" w:cs="仿宋"/>
          <w:b/>
          <w:bCs/>
          <w:color w:val="auto"/>
          <w:highlight w:val="none"/>
        </w:rPr>
      </w:pPr>
    </w:p>
    <w:p>
      <w:pPr>
        <w:outlineLvl w:val="9"/>
        <w:rPr>
          <w:rFonts w:hint="eastAsia" w:ascii="仿宋" w:hAnsi="仿宋" w:eastAsia="仿宋" w:cs="仿宋"/>
          <w:b/>
          <w:bCs/>
          <w:color w:val="auto"/>
          <w:highlight w:val="none"/>
        </w:rPr>
      </w:pPr>
    </w:p>
    <w:p>
      <w:pPr>
        <w:outlineLvl w:val="9"/>
        <w:rPr>
          <w:rFonts w:hint="eastAsia" w:ascii="仿宋" w:hAnsi="仿宋" w:eastAsia="仿宋" w:cs="仿宋"/>
          <w:b/>
          <w:bCs/>
          <w:color w:val="auto"/>
          <w:highlight w:val="none"/>
        </w:rPr>
      </w:pPr>
    </w:p>
    <w:p>
      <w:pPr>
        <w:outlineLvl w:val="9"/>
        <w:rPr>
          <w:rFonts w:hint="eastAsia" w:ascii="仿宋" w:hAnsi="仿宋" w:eastAsia="仿宋" w:cs="仿宋"/>
          <w:b/>
          <w:bCs/>
          <w:color w:val="auto"/>
          <w:highlight w:val="none"/>
        </w:rPr>
      </w:pPr>
    </w:p>
    <w:p>
      <w:pPr>
        <w:outlineLvl w:val="9"/>
        <w:rPr>
          <w:rFonts w:hint="eastAsia" w:ascii="仿宋" w:hAnsi="仿宋" w:eastAsia="仿宋" w:cs="仿宋"/>
          <w:b/>
          <w:bCs/>
          <w:color w:val="auto"/>
          <w:highlight w:val="none"/>
        </w:rPr>
      </w:pPr>
    </w:p>
    <w:p>
      <w:pPr>
        <w:pStyle w:val="12"/>
        <w:shd w:val="clear" w:color="auto" w:fill="auto"/>
        <w:tabs>
          <w:tab w:val="left" w:pos="5580"/>
        </w:tabs>
        <w:spacing w:line="240" w:lineRule="atLeast"/>
        <w:ind w:firstLine="490" w:firstLineChars="200"/>
        <w:outlineLvl w:val="9"/>
        <w:rPr>
          <w:rFonts w:hint="eastAsia" w:ascii="仿宋" w:hAnsi="仿宋" w:eastAsia="仿宋" w:cs="仿宋"/>
          <w:color w:val="auto"/>
          <w:sz w:val="24"/>
          <w:highlight w:val="none"/>
        </w:rPr>
      </w:pPr>
    </w:p>
    <w:p>
      <w:pPr>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outlineLvl w:val="9"/>
        <w:rPr>
          <w:rFonts w:hint="eastAsia" w:ascii="仿宋" w:hAnsi="仿宋" w:eastAsia="仿宋" w:cs="仿宋"/>
          <w:color w:val="auto"/>
          <w:sz w:val="32"/>
          <w:szCs w:val="32"/>
          <w:highlight w:val="none"/>
        </w:rPr>
      </w:pPr>
      <w:bookmarkStart w:id="99" w:name="_Toc11180"/>
      <w:bookmarkStart w:id="100" w:name="_Toc515647816"/>
      <w:bookmarkStart w:id="101" w:name="_Toc22967"/>
      <w:bookmarkStart w:id="102" w:name="_Toc5695"/>
    </w:p>
    <w:p>
      <w:pPr>
        <w:outlineLvl w:val="9"/>
        <w:rPr>
          <w:rFonts w:hint="eastAsia" w:ascii="仿宋" w:hAnsi="仿宋" w:eastAsia="仿宋" w:cs="仿宋"/>
          <w:color w:val="auto"/>
          <w:sz w:val="32"/>
          <w:szCs w:val="32"/>
          <w:highlight w:val="none"/>
        </w:rPr>
      </w:pPr>
    </w:p>
    <w:p>
      <w:pPr>
        <w:pStyle w:val="32"/>
        <w:outlineLvl w:val="9"/>
        <w:rPr>
          <w:rFonts w:hint="eastAsia" w:ascii="仿宋" w:hAnsi="仿宋" w:eastAsia="仿宋" w:cs="仿宋"/>
          <w:color w:val="auto"/>
          <w:sz w:val="32"/>
          <w:szCs w:val="32"/>
          <w:highlight w:val="none"/>
        </w:rPr>
      </w:pPr>
    </w:p>
    <w:p>
      <w:pPr>
        <w:pStyle w:val="32"/>
        <w:outlineLvl w:val="9"/>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outlineLvl w:val="9"/>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第二部分  商务及技术文件</w:t>
      </w:r>
      <w:bookmarkEnd w:id="99"/>
      <w:bookmarkEnd w:id="100"/>
      <w:bookmarkEnd w:id="101"/>
      <w:bookmarkEnd w:id="102"/>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1、投标函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2、开标一览表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3、货物说明一览表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4、投标分项报价表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5、技术规格偏离表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6、商务条款偏离表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7、投标人基本情况表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8、近三年（2019年1月1日至今）类似项目业绩表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9、中小企业声明函(货物)</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10、《残疾人福利性单位声明函》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11、评分标准和细则中技术部分证明材料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12、评分标准和细则中技术部分证明材料（格式自拟）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13、投标人认为有必要提供的其他证明材料（格式自拟）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br w:type="page"/>
      </w:r>
    </w:p>
    <w:p>
      <w:pPr>
        <w:pStyle w:val="2"/>
        <w:numPr>
          <w:ilvl w:val="0"/>
          <w:numId w:val="0"/>
        </w:numPr>
        <w:kinsoku w:val="0"/>
        <w:overflowPunct w:val="0"/>
        <w:spacing w:before="130" w:line="355" w:lineRule="auto"/>
        <w:ind w:left="480" w:leftChars="0" w:right="7" w:rightChars="0"/>
        <w:jc w:val="cente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、投标函</w:t>
      </w:r>
    </w:p>
    <w:p>
      <w:pPr>
        <w:keepNext w:val="0"/>
        <w:keepLines w:val="0"/>
        <w:pageBreakBefore w:val="0"/>
        <w:widowControl w:val="0"/>
        <w:topLinePunct w:val="0"/>
        <w:autoSpaceDE/>
        <w:autoSpaceDN/>
        <w:bidi w:val="0"/>
        <w:adjustRightInd/>
        <w:snapToGrid/>
        <w:spacing w:line="440" w:lineRule="exact"/>
        <w:textAlignment w:val="auto"/>
        <w:outlineLvl w:val="9"/>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single"/>
        </w:rPr>
        <w:t xml:space="preserve">                     </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为响应你方组织的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项目的招标项目编号为：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，我方愿参与投标。</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我方确认收到贵方提供的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招标</w:t>
      </w:r>
      <w:r>
        <w:rPr>
          <w:rFonts w:hint="eastAsia" w:ascii="仿宋" w:hAnsi="仿宋" w:eastAsia="仿宋" w:cs="仿宋"/>
          <w:color w:val="auto"/>
          <w:kern w:val="0"/>
          <w:sz w:val="24"/>
          <w:highlight w:val="none"/>
        </w:rPr>
        <w:t>文件的全部内容。</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(投标人名称)      </w:t>
      </w:r>
      <w:r>
        <w:rPr>
          <w:rFonts w:hint="eastAsia" w:ascii="仿宋" w:hAnsi="仿宋" w:eastAsia="仿宋" w:cs="仿宋"/>
          <w:color w:val="auto"/>
          <w:kern w:val="0"/>
          <w:sz w:val="24"/>
          <w:highlight w:val="none"/>
        </w:rPr>
        <w:t>作为投标人正式授权</w:t>
      </w:r>
      <w:r>
        <w:rPr>
          <w:rFonts w:hint="eastAsia" w:ascii="仿宋" w:hAnsi="仿宋" w:eastAsia="仿宋" w:cs="仿宋"/>
          <w:color w:val="auto"/>
          <w:kern w:val="0"/>
          <w:sz w:val="24"/>
          <w:highlight w:val="none"/>
          <w:u w:val="single"/>
        </w:rPr>
        <w:t xml:space="preserve">  (授权代表全名, 职务)  </w:t>
      </w:r>
      <w:r>
        <w:rPr>
          <w:rFonts w:hint="eastAsia" w:ascii="仿宋" w:hAnsi="仿宋" w:eastAsia="仿宋" w:cs="仿宋"/>
          <w:color w:val="auto"/>
          <w:kern w:val="0"/>
          <w:sz w:val="24"/>
          <w:highlight w:val="none"/>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我方已完全明白招标文件的所有条款要求，并申明如下：</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（一）按招标文件提供的全部货物与相关服务的投标总价详见《报价一览表》。</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（二）本投标文件的有效期为投标截止时间起</w:t>
      </w:r>
      <w:r>
        <w:rPr>
          <w:rFonts w:hint="eastAsia" w:ascii="仿宋" w:hAnsi="仿宋" w:eastAsia="仿宋" w:cs="仿宋"/>
          <w:color w:val="auto"/>
          <w:kern w:val="0"/>
          <w:sz w:val="24"/>
          <w:highlight w:val="none"/>
          <w:u w:val="single"/>
          <w:lang w:val="en-US" w:eastAsia="zh-CN"/>
        </w:rPr>
        <w:t>60</w:t>
      </w:r>
      <w:r>
        <w:rPr>
          <w:rFonts w:hint="eastAsia" w:ascii="仿宋" w:hAnsi="仿宋" w:eastAsia="仿宋" w:cs="仿宋"/>
          <w:color w:val="auto"/>
          <w:kern w:val="0"/>
          <w:sz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（三）我方同意按照贵方可能提出的要求而提供与投标有关的任何其它数据、信息或资料。</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四</w:t>
      </w:r>
      <w:r>
        <w:rPr>
          <w:rFonts w:hint="eastAsia" w:ascii="仿宋" w:hAnsi="仿宋" w:eastAsia="仿宋" w:cs="仿宋"/>
          <w:color w:val="auto"/>
          <w:kern w:val="0"/>
          <w:sz w:val="24"/>
          <w:highlight w:val="none"/>
        </w:rPr>
        <w:t>）我方理解贵方不一定接受最低投标价或任何贵方可能收到的投标。</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五</w:t>
      </w:r>
      <w:r>
        <w:rPr>
          <w:rFonts w:hint="eastAsia" w:ascii="仿宋" w:hAnsi="仿宋" w:eastAsia="仿宋" w:cs="仿宋"/>
          <w:color w:val="auto"/>
          <w:kern w:val="0"/>
          <w:sz w:val="24"/>
          <w:highlight w:val="none"/>
        </w:rPr>
        <w:t>）我方如果中标，将保证履行招标文件及其澄清、修改文件（如果有）中的全部责任和义务，按质、按量、按期完成《招标内容》及《合同书》中的全部任务。</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六</w:t>
      </w:r>
      <w:r>
        <w:rPr>
          <w:rFonts w:hint="eastAsia" w:ascii="仿宋" w:hAnsi="仿宋" w:eastAsia="仿宋" w:cs="仿宋"/>
          <w:color w:val="auto"/>
          <w:kern w:val="0"/>
          <w:sz w:val="24"/>
          <w:highlight w:val="none"/>
        </w:rPr>
        <w:t>）如我方被授予合同，我方承诺支付就本次招标应支付或将支付的中标服务费（详见按招标文件要求格式填写的《中标服务费支付承诺书》）。</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七</w:t>
      </w:r>
      <w:r>
        <w:rPr>
          <w:rFonts w:hint="eastAsia" w:ascii="仿宋" w:hAnsi="仿宋" w:eastAsia="仿宋" w:cs="仿宋"/>
          <w:color w:val="auto"/>
          <w:kern w:val="0"/>
          <w:sz w:val="24"/>
          <w:highlight w:val="none"/>
        </w:rPr>
        <w:t>）我方作为在法律、财务和运作上独立于采购人、招标代理机构的投标人，在此保证所提交的所有文件和全部说明是真实的和正确的。</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八</w:t>
      </w:r>
      <w:r>
        <w:rPr>
          <w:rFonts w:hint="eastAsia" w:ascii="仿宋" w:hAnsi="仿宋" w:eastAsia="仿宋" w:cs="仿宋"/>
          <w:color w:val="auto"/>
          <w:kern w:val="0"/>
          <w:sz w:val="24"/>
          <w:highlight w:val="none"/>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九</w:t>
      </w:r>
      <w:r>
        <w:rPr>
          <w:rFonts w:hint="eastAsia" w:ascii="仿宋" w:hAnsi="仿宋" w:eastAsia="仿宋" w:cs="仿宋"/>
          <w:color w:val="auto"/>
          <w:kern w:val="0"/>
          <w:sz w:val="24"/>
          <w:highlight w:val="none"/>
        </w:rPr>
        <w:t>）我方与其他投标人不存在单位负责人为同一人或者存在直接控股、管理关系。</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（十）我方承诺未为本项目提供整体设计、规范编制或者项目管理、监理、检测等服务。</w:t>
      </w:r>
    </w:p>
    <w:p>
      <w:pPr>
        <w:spacing w:line="480" w:lineRule="exact"/>
        <w:ind w:firstLine="49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w:t>
      </w:r>
      <w:r>
        <w:rPr>
          <w:rFonts w:hint="eastAsia" w:ascii="仿宋" w:hAnsi="仿宋" w:eastAsia="仿宋" w:cs="仿宋"/>
          <w:color w:val="auto"/>
          <w:kern w:val="0"/>
          <w:sz w:val="24"/>
          <w:highlight w:val="none"/>
          <w:lang w:eastAsia="zh-CN"/>
        </w:rPr>
        <w:t>一</w:t>
      </w:r>
      <w:r>
        <w:rPr>
          <w:rFonts w:hint="eastAsia" w:ascii="仿宋" w:hAnsi="仿宋" w:eastAsia="仿宋" w:cs="仿宋"/>
          <w:color w:val="auto"/>
          <w:kern w:val="0"/>
          <w:sz w:val="24"/>
          <w:highlight w:val="none"/>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topLinePunct w:val="0"/>
        <w:autoSpaceDE/>
        <w:autoSpaceDN/>
        <w:bidi w:val="0"/>
        <w:adjustRightInd/>
        <w:snapToGrid/>
        <w:spacing w:line="440" w:lineRule="exac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topLinePunct w:val="0"/>
        <w:autoSpaceDE/>
        <w:autoSpaceDN/>
        <w:bidi w:val="0"/>
        <w:adjustRightInd/>
        <w:snapToGrid/>
        <w:spacing w:line="440" w:lineRule="exac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topLinePunct w:val="0"/>
        <w:autoSpaceDE/>
        <w:autoSpaceDN/>
        <w:bidi w:val="0"/>
        <w:adjustRightInd/>
        <w:snapToGrid/>
        <w:spacing w:line="440" w:lineRule="exac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    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topLinePunct w:val="0"/>
        <w:autoSpaceDE/>
        <w:autoSpaceDN/>
        <w:bidi w:val="0"/>
        <w:adjustRightInd/>
        <w:snapToGrid/>
        <w:spacing w:line="440" w:lineRule="exact"/>
        <w:ind w:right="480"/>
        <w:jc w:val="righ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（公章）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法定代表人或委托人：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签字或盖章</w:t>
      </w:r>
      <w:r>
        <w:rPr>
          <w:rFonts w:hint="eastAsia" w:ascii="仿宋" w:hAnsi="仿宋" w:eastAsia="仿宋" w:cs="仿宋"/>
          <w:color w:val="auto"/>
          <w:kern w:val="0"/>
          <w:sz w:val="24"/>
          <w:highlight w:val="none"/>
        </w:rPr>
        <w:t xml:space="preserve">）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pStyle w:val="32"/>
        <w:outlineLvl w:val="9"/>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pPr>
        <w:pStyle w:val="7"/>
        <w:shd w:val="clear" w:color="auto" w:fill="auto"/>
        <w:tabs>
          <w:tab w:val="left" w:pos="5580"/>
        </w:tabs>
        <w:spacing w:line="240" w:lineRule="atLeast"/>
        <w:ind w:firstLine="3383" w:firstLineChars="927"/>
        <w:jc w:val="both"/>
        <w:outlineLvl w:val="9"/>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outlineLvl w:val="9"/>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outlineLvl w:val="9"/>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outlineLvl w:val="9"/>
              <w:rPr>
                <w:rFonts w:hint="eastAsia" w:ascii="仿宋" w:hAnsi="仿宋" w:eastAsia="仿宋" w:cs="仿宋"/>
                <w:color w:val="auto"/>
                <w:szCs w:val="21"/>
                <w:highlight w:val="none"/>
              </w:rPr>
            </w:pPr>
          </w:p>
        </w:tc>
      </w:tr>
    </w:tbl>
    <w:p>
      <w:pPr>
        <w:shd w:val="clear" w:color="auto" w:fill="auto"/>
        <w:spacing w:line="500" w:lineRule="exact"/>
        <w:ind w:firstLine="479"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9"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numPr>
          <w:ilvl w:val="0"/>
          <w:numId w:val="0"/>
        </w:numPr>
        <w:shd w:val="clear" w:color="auto" w:fill="auto"/>
        <w:tabs>
          <w:tab w:val="left" w:pos="540"/>
        </w:tabs>
        <w:spacing w:before="0" w:line="240" w:lineRule="atLeast"/>
        <w:outlineLvl w:val="9"/>
        <w:rPr>
          <w:rFonts w:hint="eastAsia" w:ascii="宋体" w:hAnsi="宋体" w:eastAsia="宋体" w:cs="宋体"/>
          <w:b/>
          <w:bCs/>
          <w:color w:val="auto"/>
          <w:sz w:val="24"/>
          <w:highlight w:val="none"/>
        </w:rPr>
      </w:pPr>
    </w:p>
    <w:p>
      <w:pPr>
        <w:numPr>
          <w:ilvl w:val="0"/>
          <w:numId w:val="0"/>
        </w:numPr>
        <w:shd w:val="clear" w:color="auto" w:fill="auto"/>
        <w:tabs>
          <w:tab w:val="left" w:pos="540"/>
        </w:tabs>
        <w:spacing w:before="0" w:line="240" w:lineRule="atLeast"/>
        <w:outlineLvl w:val="9"/>
        <w:rPr>
          <w:rFonts w:hint="eastAsia" w:ascii="宋体" w:hAnsi="宋体" w:eastAsia="宋体" w:cs="宋体"/>
          <w:b/>
          <w:bCs/>
          <w:color w:val="auto"/>
          <w:sz w:val="24"/>
          <w:highlight w:val="none"/>
        </w:rPr>
      </w:pPr>
    </w:p>
    <w:p>
      <w:pPr>
        <w:pStyle w:val="34"/>
        <w:keepNext/>
        <w:keepLines/>
        <w:widowControl w:val="0"/>
        <w:numPr>
          <w:ilvl w:val="0"/>
          <w:numId w:val="0"/>
        </w:numPr>
        <w:shd w:val="clear" w:color="auto" w:fill="auto"/>
        <w:bidi w:val="0"/>
        <w:spacing w:before="0" w:after="220" w:line="240" w:lineRule="auto"/>
        <w:ind w:right="0" w:rightChars="0"/>
        <w:jc w:val="center"/>
        <w:outlineLvl w:val="9"/>
        <w:rPr>
          <w:rFonts w:hint="eastAsia" w:ascii="仿宋" w:hAnsi="仿宋" w:eastAsia="仿宋" w:cs="仿宋"/>
          <w:b/>
          <w:bCs/>
          <w:color w:val="auto"/>
          <w:spacing w:val="0"/>
          <w:w w:val="100"/>
          <w:position w:val="0"/>
          <w:highlight w:val="none"/>
          <w:lang w:val="en-US" w:eastAsia="zh-CN"/>
        </w:rPr>
      </w:pPr>
      <w:bookmarkStart w:id="103" w:name="_Toc10322"/>
      <w:bookmarkStart w:id="104" w:name="_Toc9019"/>
      <w:bookmarkStart w:id="105" w:name="_Toc21651"/>
      <w:bookmarkStart w:id="106" w:name="_Toc9054"/>
      <w:bookmarkStart w:id="107" w:name="_Toc3162"/>
      <w:bookmarkStart w:id="108" w:name="_Toc19182"/>
      <w:r>
        <w:rPr>
          <w:rFonts w:hint="eastAsia" w:ascii="仿宋" w:hAnsi="仿宋" w:eastAsia="仿宋" w:cs="仿宋"/>
          <w:b/>
          <w:bCs/>
          <w:color w:val="auto"/>
          <w:spacing w:val="0"/>
          <w:w w:val="100"/>
          <w:position w:val="0"/>
          <w:highlight w:val="none"/>
          <w:lang w:val="en-US" w:eastAsia="zh-CN"/>
        </w:rPr>
        <w:t>3、货物说明一览表</w:t>
      </w:r>
      <w:bookmarkEnd w:id="103"/>
      <w:bookmarkEnd w:id="104"/>
      <w:bookmarkEnd w:id="105"/>
      <w:bookmarkEnd w:id="106"/>
      <w:bookmarkEnd w:id="107"/>
      <w:bookmarkEnd w:id="108"/>
    </w:p>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rPr>
      </w:pPr>
    </w:p>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rPr>
      </w:pPr>
    </w:p>
    <w:tbl>
      <w:tblPr>
        <w:tblStyle w:val="24"/>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highlight w:val="none"/>
                <w:lang w:eastAsia="zh-CN"/>
              </w:rPr>
              <w:t>品牌型号</w:t>
            </w:r>
          </w:p>
        </w:tc>
        <w:tc>
          <w:tcPr>
            <w:tcW w:w="1225" w:type="dxa"/>
            <w:noWrap w:val="0"/>
            <w:vAlign w:val="center"/>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供货期</w:t>
            </w:r>
          </w:p>
        </w:tc>
        <w:tc>
          <w:tcPr>
            <w:tcW w:w="1250" w:type="dxa"/>
            <w:noWrap w:val="0"/>
            <w:vAlign w:val="center"/>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lang w:val="en-US" w:eastAsia="zh-CN"/>
              </w:rPr>
            </w:pPr>
          </w:p>
        </w:tc>
      </w:tr>
    </w:tbl>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rPr>
      </w:pPr>
    </w:p>
    <w:p>
      <w:pPr>
        <w:pStyle w:val="12"/>
        <w:shd w:val="clear" w:color="auto" w:fill="auto"/>
        <w:spacing w:line="240" w:lineRule="atLeast"/>
        <w:ind w:left="1169" w:leftChars="257" w:hanging="540"/>
        <w:outlineLvl w:val="9"/>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2"/>
        <w:shd w:val="clear" w:color="auto" w:fill="auto"/>
        <w:tabs>
          <w:tab w:val="left" w:pos="5370"/>
        </w:tabs>
        <w:spacing w:line="240" w:lineRule="atLeast"/>
        <w:ind w:left="1169" w:leftChars="257" w:hanging="540"/>
        <w:outlineLvl w:val="9"/>
        <w:rPr>
          <w:rFonts w:hint="eastAsia" w:ascii="宋体" w:hAnsi="宋体" w:eastAsia="宋体" w:cs="宋体"/>
          <w:color w:val="auto"/>
          <w:sz w:val="24"/>
          <w:highlight w:val="none"/>
        </w:rPr>
      </w:pPr>
    </w:p>
    <w:p>
      <w:pPr>
        <w:pStyle w:val="12"/>
        <w:shd w:val="clear" w:color="auto" w:fill="auto"/>
        <w:tabs>
          <w:tab w:val="left" w:pos="5370"/>
        </w:tabs>
        <w:spacing w:line="240" w:lineRule="atLeast"/>
        <w:ind w:left="1169"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rPr>
      </w:pPr>
    </w:p>
    <w:p>
      <w:pPr>
        <w:pStyle w:val="12"/>
        <w:shd w:val="clear" w:color="auto" w:fill="auto"/>
        <w:spacing w:line="240" w:lineRule="atLeast"/>
        <w:ind w:left="1169"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pPr>
        <w:pStyle w:val="12"/>
        <w:shd w:val="clear" w:color="auto" w:fill="auto"/>
        <w:spacing w:line="240" w:lineRule="atLeast"/>
        <w:ind w:left="1169" w:leftChars="257" w:hanging="540"/>
        <w:jc w:val="center"/>
        <w:outlineLvl w:val="9"/>
        <w:rPr>
          <w:rFonts w:hint="eastAsia" w:ascii="仿宋" w:hAnsi="仿宋" w:eastAsia="仿宋" w:cs="仿宋"/>
          <w:color w:val="auto"/>
          <w:sz w:val="24"/>
          <w:highlight w:val="none"/>
        </w:rPr>
      </w:pPr>
    </w:p>
    <w:p>
      <w:pPr>
        <w:pStyle w:val="12"/>
        <w:shd w:val="clear" w:color="auto" w:fill="auto"/>
        <w:spacing w:line="240" w:lineRule="atLeast"/>
        <w:ind w:left="1169" w:leftChars="257" w:hanging="540"/>
        <w:jc w:val="center"/>
        <w:outlineLvl w:val="9"/>
        <w:rPr>
          <w:rFonts w:hint="eastAsia" w:ascii="仿宋" w:hAnsi="仿宋" w:eastAsia="仿宋" w:cs="仿宋"/>
          <w:color w:val="auto"/>
          <w:sz w:val="24"/>
          <w:highlight w:val="none"/>
        </w:rPr>
        <w:sectPr>
          <w:pgSz w:w="11905" w:h="16838"/>
          <w:pgMar w:top="1440" w:right="1134" w:bottom="1440" w:left="1134" w:header="850" w:footer="992" w:gutter="0"/>
          <w:pgNumType w:fmt="decimal"/>
          <w:cols w:space="0" w:num="1"/>
          <w:rtlGutter w:val="0"/>
          <w:docGrid w:type="linesAndChars" w:linePitch="335" w:charSpace="1057"/>
        </w:sectPr>
      </w:pPr>
    </w:p>
    <w:p>
      <w:pPr>
        <w:pStyle w:val="34"/>
        <w:keepNext/>
        <w:keepLines/>
        <w:widowControl w:val="0"/>
        <w:numPr>
          <w:ilvl w:val="0"/>
          <w:numId w:val="0"/>
        </w:numPr>
        <w:shd w:val="clear" w:color="auto" w:fill="auto"/>
        <w:bidi w:val="0"/>
        <w:spacing w:before="0" w:after="220" w:line="240" w:lineRule="auto"/>
        <w:ind w:right="0" w:rightChars="0"/>
        <w:jc w:val="center"/>
        <w:outlineLvl w:val="9"/>
        <w:rPr>
          <w:rFonts w:hint="eastAsia" w:ascii="仿宋" w:hAnsi="仿宋" w:eastAsia="仿宋" w:cs="仿宋"/>
          <w:b/>
          <w:bCs/>
          <w:i w:val="0"/>
          <w:iCs w:val="0"/>
          <w:color w:val="auto"/>
          <w:spacing w:val="0"/>
          <w:w w:val="100"/>
          <w:position w:val="0"/>
          <w:highlight w:val="none"/>
        </w:rPr>
      </w:pPr>
      <w:bookmarkStart w:id="109" w:name="_Toc4302"/>
      <w:bookmarkStart w:id="110" w:name="_Toc1219"/>
      <w:bookmarkStart w:id="111" w:name="_Toc24160"/>
      <w:bookmarkStart w:id="112" w:name="_Toc17635"/>
      <w:bookmarkStart w:id="113" w:name="_Toc4468"/>
      <w:bookmarkStart w:id="114" w:name="_Toc23637"/>
      <w:r>
        <w:rPr>
          <w:rFonts w:hint="eastAsia" w:ascii="仿宋" w:hAnsi="仿宋" w:eastAsia="仿宋" w:cs="仿宋"/>
          <w:b/>
          <w:bCs/>
          <w:i w:val="0"/>
          <w:iCs w:val="0"/>
          <w:color w:val="auto"/>
          <w:spacing w:val="0"/>
          <w:w w:val="100"/>
          <w:position w:val="0"/>
          <w:highlight w:val="none"/>
          <w:lang w:val="en-US" w:eastAsia="zh-CN"/>
        </w:rPr>
        <w:t>4</w:t>
      </w:r>
      <w:r>
        <w:rPr>
          <w:rFonts w:hint="eastAsia" w:ascii="仿宋" w:hAnsi="仿宋" w:eastAsia="仿宋" w:cs="仿宋"/>
          <w:b/>
          <w:bCs/>
          <w:i w:val="0"/>
          <w:iCs w:val="0"/>
          <w:color w:val="auto"/>
          <w:spacing w:val="0"/>
          <w:w w:val="100"/>
          <w:position w:val="0"/>
          <w:highlight w:val="none"/>
          <w:lang w:eastAsia="zh-CN"/>
        </w:rPr>
        <w:t>、</w:t>
      </w:r>
      <w:r>
        <w:rPr>
          <w:rFonts w:hint="eastAsia" w:ascii="仿宋" w:hAnsi="仿宋" w:eastAsia="仿宋" w:cs="仿宋"/>
          <w:b/>
          <w:bCs/>
          <w:i w:val="0"/>
          <w:iCs w:val="0"/>
          <w:color w:val="auto"/>
          <w:spacing w:val="0"/>
          <w:w w:val="100"/>
          <w:position w:val="0"/>
          <w:highlight w:val="none"/>
        </w:rPr>
        <w:t>投标报价明细表</w:t>
      </w:r>
      <w:bookmarkEnd w:id="109"/>
      <w:bookmarkEnd w:id="110"/>
      <w:bookmarkEnd w:id="111"/>
      <w:bookmarkEnd w:id="112"/>
      <w:bookmarkEnd w:id="113"/>
      <w:bookmarkEnd w:id="114"/>
    </w:p>
    <w:p>
      <w:pPr>
        <w:pStyle w:val="34"/>
        <w:keepNext/>
        <w:keepLines/>
        <w:widowControl w:val="0"/>
        <w:numPr>
          <w:ilvl w:val="0"/>
          <w:numId w:val="0"/>
        </w:numPr>
        <w:shd w:val="clear" w:color="auto" w:fill="auto"/>
        <w:bidi w:val="0"/>
        <w:spacing w:before="0" w:after="220" w:line="240" w:lineRule="auto"/>
        <w:ind w:right="0" w:rightChars="0"/>
        <w:jc w:val="both"/>
        <w:outlineLvl w:val="9"/>
        <w:rPr>
          <w:rFonts w:hint="eastAsia" w:ascii="仿宋" w:hAnsi="仿宋" w:eastAsia="仿宋" w:cs="仿宋"/>
          <w:color w:val="auto"/>
          <w:sz w:val="24"/>
          <w:highlight w:val="none"/>
        </w:rPr>
      </w:pPr>
      <w:bookmarkStart w:id="115" w:name="_Toc1002"/>
      <w:bookmarkStart w:id="116" w:name="_Toc10498"/>
      <w:bookmarkStart w:id="117" w:name="_Toc21879"/>
      <w:bookmarkStart w:id="118" w:name="_Toc9703"/>
      <w:bookmarkStart w:id="119" w:name="_Toc17844"/>
      <w:bookmarkStart w:id="120" w:name="_Toc15970"/>
      <w:r>
        <w:rPr>
          <w:rFonts w:hint="eastAsia" w:ascii="仿宋" w:hAnsi="仿宋" w:eastAsia="仿宋" w:cs="仿宋"/>
          <w:color w:val="auto"/>
          <w:sz w:val="24"/>
          <w:highlight w:val="none"/>
        </w:rPr>
        <w:t>项目名称:</w:t>
      </w:r>
      <w:bookmarkEnd w:id="115"/>
      <w:bookmarkEnd w:id="116"/>
      <w:bookmarkEnd w:id="117"/>
      <w:bookmarkEnd w:id="118"/>
      <w:bookmarkEnd w:id="119"/>
      <w:bookmarkEnd w:id="120"/>
      <w:r>
        <w:rPr>
          <w:rFonts w:hint="eastAsia" w:ascii="仿宋" w:hAnsi="仿宋" w:eastAsia="仿宋" w:cs="仿宋"/>
          <w:color w:val="auto"/>
          <w:sz w:val="24"/>
          <w:highlight w:val="none"/>
        </w:rPr>
        <w:t xml:space="preserve">                      </w:t>
      </w:r>
    </w:p>
    <w:p>
      <w:pPr>
        <w:pStyle w:val="34"/>
        <w:keepNext/>
        <w:keepLines/>
        <w:widowControl w:val="0"/>
        <w:numPr>
          <w:ilvl w:val="0"/>
          <w:numId w:val="0"/>
        </w:numPr>
        <w:shd w:val="clear" w:color="auto" w:fill="auto"/>
        <w:bidi w:val="0"/>
        <w:spacing w:before="0" w:after="220" w:line="240" w:lineRule="auto"/>
        <w:ind w:right="0" w:rightChars="0"/>
        <w:jc w:val="both"/>
        <w:outlineLvl w:val="9"/>
        <w:rPr>
          <w:rFonts w:hint="eastAsia" w:ascii="仿宋" w:hAnsi="仿宋" w:eastAsia="仿宋" w:cs="仿宋"/>
          <w:color w:val="auto"/>
          <w:sz w:val="24"/>
          <w:highlight w:val="none"/>
        </w:rPr>
      </w:pPr>
      <w:bookmarkStart w:id="121" w:name="_Toc12706"/>
      <w:bookmarkStart w:id="122" w:name="_Toc28765"/>
      <w:bookmarkStart w:id="123" w:name="_Toc28736"/>
      <w:bookmarkStart w:id="124" w:name="_Toc27922"/>
      <w:bookmarkStart w:id="125" w:name="_Toc31050"/>
      <w:bookmarkStart w:id="126" w:name="_Toc30794"/>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w:t>
      </w:r>
      <w:bookmarkEnd w:id="121"/>
      <w:bookmarkEnd w:id="122"/>
      <w:bookmarkEnd w:id="123"/>
      <w:bookmarkEnd w:id="124"/>
      <w:bookmarkEnd w:id="125"/>
      <w:bookmarkEnd w:id="126"/>
      <w:r>
        <w:rPr>
          <w:rFonts w:hint="eastAsia" w:ascii="仿宋" w:hAnsi="仿宋" w:eastAsia="仿宋" w:cs="仿宋"/>
          <w:color w:val="auto"/>
          <w:sz w:val="24"/>
          <w:highlight w:val="none"/>
        </w:rPr>
        <w:t xml:space="preserve"> 　 </w:t>
      </w:r>
    </w:p>
    <w:p>
      <w:pPr>
        <w:pStyle w:val="12"/>
        <w:shd w:val="clear" w:color="auto" w:fill="auto"/>
        <w:spacing w:line="240" w:lineRule="atLeast"/>
        <w:ind w:left="1169"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highlight w:val="none"/>
        </w:rPr>
        <w:t>元（人民币）</w:t>
      </w:r>
    </w:p>
    <w:tbl>
      <w:tblPr>
        <w:tblStyle w:val="24"/>
        <w:tblW w:w="87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1"/>
        <w:gridCol w:w="1457"/>
        <w:gridCol w:w="1360"/>
        <w:gridCol w:w="1870"/>
        <w:gridCol w:w="825"/>
        <w:gridCol w:w="782"/>
        <w:gridCol w:w="739"/>
        <w:gridCol w:w="9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821"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57"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品目名称</w:t>
            </w:r>
          </w:p>
        </w:tc>
        <w:tc>
          <w:tcPr>
            <w:tcW w:w="1360"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品牌型号</w:t>
            </w:r>
          </w:p>
        </w:tc>
        <w:tc>
          <w:tcPr>
            <w:tcW w:w="1870"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主要技术参数</w:t>
            </w:r>
          </w:p>
        </w:tc>
        <w:tc>
          <w:tcPr>
            <w:tcW w:w="825"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78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单位</w:t>
            </w:r>
          </w:p>
        </w:tc>
        <w:tc>
          <w:tcPr>
            <w:tcW w:w="739"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922"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outlineLvl w:val="9"/>
              <w:rPr>
                <w:rFonts w:hint="eastAsia" w:ascii="仿宋" w:hAnsi="仿宋" w:eastAsia="仿宋" w:cs="仿宋"/>
                <w:color w:val="auto"/>
                <w:szCs w:val="21"/>
                <w:highlight w:val="none"/>
              </w:rPr>
            </w:pPr>
          </w:p>
        </w:tc>
      </w:tr>
    </w:tbl>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说明：</w:t>
      </w:r>
      <w:r>
        <w:rPr>
          <w:rFonts w:hint="eastAsia" w:ascii="仿宋" w:hAnsi="仿宋" w:eastAsia="仿宋" w:cs="仿宋"/>
          <w:color w:val="auto"/>
          <w:spacing w:val="0"/>
          <w:w w:val="100"/>
          <w:position w:val="0"/>
          <w:sz w:val="24"/>
          <w:szCs w:val="24"/>
          <w:highlight w:val="none"/>
          <w:lang w:val="en-US" w:eastAsia="en-US" w:bidi="en-US"/>
        </w:rPr>
        <w:t>1.</w:t>
      </w:r>
      <w:r>
        <w:rPr>
          <w:rFonts w:hint="eastAsia" w:ascii="仿宋" w:hAnsi="仿宋" w:eastAsia="仿宋" w:cs="仿宋"/>
          <w:color w:val="auto"/>
          <w:spacing w:val="0"/>
          <w:w w:val="100"/>
          <w:position w:val="0"/>
          <w:sz w:val="24"/>
          <w:szCs w:val="24"/>
          <w:highlight w:val="none"/>
        </w:rPr>
        <w:t>所有价格均用人民币表示，单位为元。</w:t>
      </w:r>
    </w:p>
    <w:p>
      <w:pPr>
        <w:pStyle w:val="38"/>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35" w:firstLine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lang w:val="en-US" w:eastAsia="zh-CN"/>
        </w:rPr>
        <w:t>2.</w:t>
      </w:r>
      <w:r>
        <w:rPr>
          <w:rFonts w:hint="eastAsia" w:ascii="仿宋" w:hAnsi="仿宋" w:eastAsia="仿宋" w:cs="仿宋"/>
          <w:color w:val="auto"/>
          <w:spacing w:val="0"/>
          <w:w w:val="100"/>
          <w:position w:val="0"/>
          <w:sz w:val="24"/>
          <w:szCs w:val="24"/>
          <w:highlight w:val="none"/>
        </w:rPr>
        <w:t>报价总计价格必须与《</w:t>
      </w:r>
      <w:r>
        <w:rPr>
          <w:rFonts w:hint="eastAsia" w:ascii="仿宋" w:hAnsi="仿宋" w:eastAsia="仿宋" w:cs="仿宋"/>
          <w:color w:val="auto"/>
          <w:spacing w:val="0"/>
          <w:w w:val="100"/>
          <w:position w:val="0"/>
          <w:sz w:val="24"/>
          <w:szCs w:val="24"/>
          <w:highlight w:val="none"/>
          <w:lang w:eastAsia="zh-CN"/>
        </w:rPr>
        <w:t>投标报价单</w:t>
      </w:r>
      <w:r>
        <w:rPr>
          <w:rFonts w:hint="eastAsia" w:ascii="仿宋" w:hAnsi="仿宋" w:eastAsia="仿宋" w:cs="仿宋"/>
          <w:color w:val="auto"/>
          <w:spacing w:val="0"/>
          <w:w w:val="100"/>
          <w:position w:val="0"/>
          <w:sz w:val="24"/>
          <w:szCs w:val="24"/>
          <w:highlight w:val="none"/>
        </w:rPr>
        <w:t>》报价一致。</w:t>
      </w:r>
    </w:p>
    <w:p>
      <w:pPr>
        <w:pStyle w:val="38"/>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35" w:firstLineChars="30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lang w:val="en-US" w:eastAsia="zh-CN"/>
        </w:rPr>
        <w:t>3.</w:t>
      </w:r>
      <w:r>
        <w:rPr>
          <w:rFonts w:hint="eastAsia" w:ascii="仿宋" w:hAnsi="仿宋" w:eastAsia="仿宋" w:cs="仿宋"/>
          <w:color w:val="auto"/>
          <w:spacing w:val="0"/>
          <w:w w:val="100"/>
          <w:position w:val="0"/>
          <w:sz w:val="24"/>
          <w:szCs w:val="24"/>
          <w:highlight w:val="none"/>
        </w:rPr>
        <w:t>如果不提供详细的分项报价表将被视为没有实质性</w:t>
      </w:r>
      <w:r>
        <w:rPr>
          <w:rFonts w:hint="eastAsia" w:ascii="仿宋" w:hAnsi="仿宋" w:eastAsia="仿宋" w:cs="仿宋"/>
          <w:color w:val="auto"/>
          <w:spacing w:val="0"/>
          <w:w w:val="100"/>
          <w:position w:val="0"/>
          <w:sz w:val="24"/>
          <w:szCs w:val="24"/>
          <w:highlight w:val="none"/>
          <w:lang w:eastAsia="zh-CN"/>
        </w:rPr>
        <w:t>投标文件</w:t>
      </w:r>
      <w:r>
        <w:rPr>
          <w:rFonts w:hint="eastAsia" w:ascii="仿宋" w:hAnsi="仿宋" w:eastAsia="仿宋" w:cs="仿宋"/>
          <w:color w:val="auto"/>
          <w:spacing w:val="0"/>
          <w:w w:val="100"/>
          <w:position w:val="0"/>
          <w:sz w:val="24"/>
          <w:szCs w:val="24"/>
          <w:highlight w:val="none"/>
        </w:rPr>
        <w:t>。</w:t>
      </w:r>
    </w:p>
    <w:p>
      <w:pPr>
        <w:pStyle w:val="38"/>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35" w:firstLine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lang w:val="en-US" w:eastAsia="zh-CN"/>
        </w:rPr>
        <w:t>4.</w:t>
      </w:r>
      <w:r>
        <w:rPr>
          <w:rFonts w:hint="eastAsia" w:ascii="仿宋" w:hAnsi="仿宋" w:eastAsia="仿宋" w:cs="仿宋"/>
          <w:color w:val="auto"/>
          <w:spacing w:val="0"/>
          <w:w w:val="100"/>
          <w:position w:val="0"/>
          <w:sz w:val="24"/>
          <w:szCs w:val="24"/>
          <w:highlight w:val="none"/>
        </w:rPr>
        <w:t>投标人必须按此表格式中的对应栏目内容填写，若需增加栏目，请在栏目</w:t>
      </w:r>
      <w:r>
        <w:rPr>
          <w:rFonts w:hint="eastAsia" w:ascii="仿宋" w:hAnsi="仿宋" w:eastAsia="仿宋" w:cs="仿宋"/>
          <w:color w:val="auto"/>
          <w:spacing w:val="0"/>
          <w:w w:val="100"/>
          <w:position w:val="0"/>
          <w:sz w:val="24"/>
          <w:szCs w:val="24"/>
          <w:highlight w:val="none"/>
          <w:lang w:val="zh-CN" w:eastAsia="zh-CN" w:bidi="zh-CN"/>
        </w:rPr>
        <w:t>“其</w:t>
      </w:r>
      <w:r>
        <w:rPr>
          <w:rFonts w:hint="eastAsia" w:ascii="仿宋" w:hAnsi="仿宋" w:eastAsia="仿宋" w:cs="仿宋"/>
          <w:color w:val="auto"/>
          <w:spacing w:val="0"/>
          <w:w w:val="100"/>
          <w:position w:val="0"/>
          <w:sz w:val="24"/>
          <w:szCs w:val="24"/>
          <w:highlight w:val="none"/>
        </w:rPr>
        <w:t>它”中填写，并作详细说明。</w:t>
      </w:r>
    </w:p>
    <w:p>
      <w:pPr>
        <w:pStyle w:val="38"/>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outlineLvl w:val="9"/>
        <w:rPr>
          <w:rFonts w:hint="eastAsia" w:ascii="仿宋" w:hAnsi="仿宋" w:eastAsia="仿宋" w:cs="仿宋"/>
          <w:color w:val="auto"/>
          <w:spacing w:val="0"/>
          <w:w w:val="100"/>
          <w:position w:val="0"/>
          <w:sz w:val="24"/>
          <w:szCs w:val="24"/>
          <w:highlight w:val="none"/>
        </w:rPr>
      </w:pP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outlineLvl w:val="9"/>
        <w:rPr>
          <w:rFonts w:hint="eastAsia" w:ascii="仿宋" w:hAnsi="仿宋" w:eastAsia="仿宋" w:cs="仿宋"/>
          <w:color w:val="auto"/>
          <w:spacing w:val="0"/>
          <w:w w:val="100"/>
          <w:position w:val="0"/>
          <w:sz w:val="20"/>
          <w:szCs w:val="20"/>
          <w:highlight w:val="none"/>
        </w:rPr>
      </w:pP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w w:val="95"/>
          <w:sz w:val="24"/>
          <w:szCs w:val="24"/>
          <w:highlight w:val="none"/>
        </w:rPr>
        <w:t>（盖章）</w:t>
      </w:r>
      <w:r>
        <w:rPr>
          <w:rFonts w:hint="eastAsia" w:ascii="仿宋" w:hAnsi="仿宋" w:eastAsia="仿宋" w:cs="仿宋"/>
          <w:color w:val="auto"/>
          <w:sz w:val="24"/>
          <w:szCs w:val="24"/>
          <w:highlight w:val="none"/>
        </w:rPr>
        <w:t xml:space="preserve"> </w:t>
      </w: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w w:val="95"/>
          <w:sz w:val="24"/>
          <w:szCs w:val="24"/>
          <w:highlight w:val="non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w:t>
      </w:r>
      <w:r>
        <w:rPr>
          <w:rFonts w:hint="eastAsia" w:ascii="仿宋" w:hAnsi="仿宋" w:eastAsia="仿宋" w:cs="仿宋"/>
          <w:color w:val="auto"/>
          <w:w w:val="95"/>
          <w:sz w:val="24"/>
          <w:szCs w:val="24"/>
          <w:highlight w:val="none"/>
          <w:lang w:eastAsia="zh-CN"/>
        </w:rPr>
        <w:t>签字或盖章</w:t>
      </w:r>
      <w:r>
        <w:rPr>
          <w:rFonts w:hint="eastAsia" w:ascii="仿宋" w:hAnsi="仿宋" w:eastAsia="仿宋" w:cs="仿宋"/>
          <w:color w:val="auto"/>
          <w:w w:val="95"/>
          <w:sz w:val="24"/>
          <w:szCs w:val="24"/>
          <w:highlight w:val="none"/>
        </w:rPr>
        <w:t>）</w:t>
      </w:r>
    </w:p>
    <w:p>
      <w:pPr>
        <w:pStyle w:val="2"/>
        <w:numPr>
          <w:ilvl w:val="0"/>
          <w:numId w:val="0"/>
        </w:numPr>
        <w:tabs>
          <w:tab w:val="left" w:pos="5551"/>
          <w:tab w:val="left" w:pos="6511"/>
          <w:tab w:val="left" w:pos="7111"/>
          <w:tab w:val="left" w:pos="7711"/>
        </w:tabs>
        <w:kinsoku w:val="0"/>
        <w:overflowPunct w:val="0"/>
        <w:spacing w:before="46"/>
        <w:ind w:left="3928" w:leftChars="0" w:right="0" w:rightChars="0"/>
        <w:outlineLvl w:val="9"/>
        <w:rPr>
          <w:rFonts w:hint="eastAsia" w:ascii="仿宋" w:hAnsi="仿宋" w:eastAsia="仿宋" w:cs="仿宋"/>
          <w:b/>
          <w:bCs/>
          <w:color w:val="auto"/>
          <w:sz w:val="36"/>
          <w:szCs w:val="36"/>
          <w:highlight w:val="none"/>
          <w:lang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34"/>
        <w:keepNext/>
        <w:keepLines/>
        <w:widowControl w:val="0"/>
        <w:numPr>
          <w:ilvl w:val="0"/>
          <w:numId w:val="0"/>
        </w:numPr>
        <w:shd w:val="clear" w:color="auto" w:fill="auto"/>
        <w:bidi w:val="0"/>
        <w:spacing w:before="0" w:after="220" w:line="240" w:lineRule="auto"/>
        <w:ind w:right="0" w:rightChars="0"/>
        <w:jc w:val="center"/>
        <w:outlineLvl w:val="9"/>
        <w:rPr>
          <w:rFonts w:hint="eastAsia" w:ascii="仿宋" w:hAnsi="仿宋" w:eastAsia="仿宋" w:cs="仿宋"/>
          <w:b/>
          <w:bCs/>
          <w:color w:val="auto"/>
          <w:spacing w:val="0"/>
          <w:w w:val="100"/>
          <w:position w:val="0"/>
          <w:highlight w:val="none"/>
          <w:lang w:val="en-US" w:eastAsia="zh-CN"/>
        </w:rPr>
      </w:pPr>
      <w:bookmarkStart w:id="127" w:name="_Toc21177"/>
      <w:bookmarkStart w:id="128" w:name="_Toc31583"/>
      <w:bookmarkStart w:id="129" w:name="_Toc14853"/>
      <w:bookmarkStart w:id="130" w:name="_Toc17126"/>
      <w:bookmarkStart w:id="131" w:name="_Toc19895"/>
      <w:bookmarkStart w:id="132" w:name="_Toc5218"/>
      <w:r>
        <w:rPr>
          <w:rFonts w:hint="eastAsia" w:ascii="仿宋" w:hAnsi="仿宋" w:eastAsia="仿宋" w:cs="仿宋"/>
          <w:b/>
          <w:bCs/>
          <w:color w:val="auto"/>
          <w:spacing w:val="0"/>
          <w:w w:val="100"/>
          <w:position w:val="0"/>
          <w:highlight w:val="none"/>
          <w:lang w:val="en-US" w:eastAsia="zh-CN"/>
        </w:rPr>
        <w:t>5、技术条款偏离表</w:t>
      </w:r>
      <w:bookmarkEnd w:id="127"/>
      <w:bookmarkEnd w:id="128"/>
      <w:bookmarkEnd w:id="129"/>
      <w:bookmarkEnd w:id="130"/>
      <w:bookmarkEnd w:id="131"/>
      <w:bookmarkEnd w:id="132"/>
    </w:p>
    <w:tbl>
      <w:tblPr>
        <w:tblStyle w:val="24"/>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57" w:type="dxa"/>
            <w:noWrap w:val="0"/>
            <w:vAlign w:val="center"/>
          </w:tcPr>
          <w:p>
            <w:pPr>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货物名称</w:t>
            </w:r>
          </w:p>
        </w:tc>
        <w:tc>
          <w:tcPr>
            <w:tcW w:w="1326" w:type="dxa"/>
            <w:noWrap w:val="0"/>
            <w:vAlign w:val="center"/>
          </w:tcPr>
          <w:p>
            <w:pPr>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1326" w:type="dxa"/>
            <w:noWrap w:val="0"/>
            <w:vAlign w:val="center"/>
          </w:tcPr>
          <w:p>
            <w:pPr>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招标文件要求规格</w:t>
            </w:r>
          </w:p>
        </w:tc>
        <w:tc>
          <w:tcPr>
            <w:tcW w:w="1326" w:type="dxa"/>
            <w:noWrap w:val="0"/>
            <w:vAlign w:val="center"/>
          </w:tcPr>
          <w:p>
            <w:pPr>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327" w:type="dxa"/>
            <w:noWrap w:val="0"/>
            <w:vAlign w:val="center"/>
          </w:tcPr>
          <w:p>
            <w:pPr>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327" w:type="dxa"/>
            <w:noWrap w:val="0"/>
            <w:vAlign w:val="center"/>
          </w:tcPr>
          <w:p>
            <w:pPr>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outlineLvl w:val="9"/>
              <w:rPr>
                <w:rFonts w:hint="eastAsia" w:ascii="仿宋" w:hAnsi="仿宋" w:eastAsia="仿宋" w:cs="仿宋"/>
                <w:b/>
                <w:bCs/>
                <w:color w:val="auto"/>
                <w:sz w:val="24"/>
                <w:szCs w:val="24"/>
                <w:highlight w:val="none"/>
              </w:rPr>
            </w:pPr>
          </w:p>
        </w:tc>
        <w:tc>
          <w:tcPr>
            <w:tcW w:w="1357"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如有正偏离需提供证明材料，证明材料附后(并注明页码)</w:t>
            </w: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outlineLvl w:val="9"/>
              <w:rPr>
                <w:rFonts w:hint="eastAsia" w:ascii="仿宋" w:hAnsi="仿宋" w:eastAsia="仿宋" w:cs="仿宋"/>
                <w:b/>
                <w:bCs/>
                <w:color w:val="auto"/>
                <w:sz w:val="24"/>
                <w:szCs w:val="24"/>
                <w:highlight w:val="none"/>
              </w:rPr>
            </w:pPr>
          </w:p>
        </w:tc>
        <w:tc>
          <w:tcPr>
            <w:tcW w:w="1357"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outlineLvl w:val="9"/>
              <w:rPr>
                <w:rFonts w:hint="eastAsia" w:ascii="仿宋" w:hAnsi="仿宋" w:eastAsia="仿宋" w:cs="仿宋"/>
                <w:b/>
                <w:bCs/>
                <w:color w:val="auto"/>
                <w:sz w:val="24"/>
                <w:szCs w:val="24"/>
                <w:highlight w:val="none"/>
              </w:rPr>
            </w:pPr>
          </w:p>
        </w:tc>
        <w:tc>
          <w:tcPr>
            <w:tcW w:w="1357"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outlineLvl w:val="9"/>
              <w:rPr>
                <w:rFonts w:hint="eastAsia" w:ascii="仿宋" w:hAnsi="仿宋" w:eastAsia="仿宋" w:cs="仿宋"/>
                <w:b/>
                <w:bCs/>
                <w:color w:val="auto"/>
                <w:sz w:val="24"/>
                <w:szCs w:val="24"/>
                <w:highlight w:val="none"/>
              </w:rPr>
            </w:pPr>
          </w:p>
        </w:tc>
        <w:tc>
          <w:tcPr>
            <w:tcW w:w="1357"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outlineLvl w:val="9"/>
              <w:rPr>
                <w:rFonts w:hint="eastAsia" w:ascii="仿宋" w:hAnsi="仿宋" w:eastAsia="仿宋" w:cs="仿宋"/>
                <w:b/>
                <w:bCs/>
                <w:color w:val="auto"/>
                <w:sz w:val="24"/>
                <w:szCs w:val="24"/>
                <w:highlight w:val="none"/>
              </w:rPr>
            </w:pPr>
          </w:p>
        </w:tc>
        <w:tc>
          <w:tcPr>
            <w:tcW w:w="1357"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6"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c>
          <w:tcPr>
            <w:tcW w:w="1327" w:type="dxa"/>
            <w:noWrap w:val="0"/>
            <w:vAlign w:val="top"/>
          </w:tcPr>
          <w:p>
            <w:pPr>
              <w:jc w:val="center"/>
              <w:outlineLvl w:val="9"/>
              <w:rPr>
                <w:rFonts w:hint="eastAsia" w:ascii="仿宋" w:hAnsi="仿宋" w:eastAsia="仿宋" w:cs="仿宋"/>
                <w:b/>
                <w:bCs/>
                <w:color w:val="auto"/>
                <w:sz w:val="24"/>
                <w:szCs w:val="24"/>
                <w:highlight w:val="none"/>
              </w:rPr>
            </w:pPr>
          </w:p>
        </w:tc>
      </w:tr>
    </w:tbl>
    <w:p>
      <w:pPr>
        <w:spacing w:line="360" w:lineRule="auto"/>
        <w:ind w:firstLine="484" w:firstLineChars="19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2"/>
        <w:tabs>
          <w:tab w:val="left" w:pos="5580"/>
        </w:tabs>
        <w:spacing w:line="360" w:lineRule="auto"/>
        <w:ind w:firstLine="3185" w:firstLineChars="1300"/>
        <w:outlineLvl w:val="9"/>
        <w:rPr>
          <w:rFonts w:hint="eastAsia" w:ascii="仿宋" w:hAnsi="仿宋" w:eastAsia="仿宋" w:cs="仿宋"/>
          <w:color w:val="auto"/>
          <w:sz w:val="24"/>
          <w:highlight w:val="none"/>
        </w:rPr>
      </w:pPr>
    </w:p>
    <w:p>
      <w:pPr>
        <w:pStyle w:val="12"/>
        <w:tabs>
          <w:tab w:val="left" w:pos="5580"/>
        </w:tabs>
        <w:spacing w:line="360" w:lineRule="auto"/>
        <w:ind w:firstLine="3185" w:firstLineChars="13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Style w:val="12"/>
        <w:tabs>
          <w:tab w:val="left" w:pos="5580"/>
        </w:tabs>
        <w:spacing w:line="360" w:lineRule="auto"/>
        <w:ind w:firstLine="3185" w:firstLineChars="1300"/>
        <w:outlineLvl w:val="9"/>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highlight w:val="none"/>
          <w:lang w:eastAsia="zh-CN"/>
        </w:rPr>
        <w:t>法定代表人或</w:t>
      </w: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85" w:firstLineChars="1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outlineLvl w:val="9"/>
        <w:rPr>
          <w:rFonts w:hint="eastAsia" w:ascii="仿宋" w:hAnsi="仿宋" w:eastAsia="仿宋" w:cs="仿宋"/>
          <w:b/>
          <w:bCs/>
          <w:color w:val="auto"/>
          <w:sz w:val="36"/>
          <w:szCs w:val="36"/>
          <w:highlight w:val="none"/>
        </w:rPr>
      </w:pPr>
    </w:p>
    <w:p>
      <w:pPr>
        <w:outlineLvl w:val="9"/>
        <w:rPr>
          <w:rFonts w:hint="eastAsia" w:ascii="仿宋" w:hAnsi="仿宋" w:eastAsia="仿宋" w:cs="仿宋"/>
          <w:color w:val="auto"/>
          <w:highlight w:val="none"/>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lang w:eastAsia="zh-CN"/>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lang w:eastAsia="zh-CN"/>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lang w:eastAsia="zh-CN"/>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lang w:eastAsia="zh-CN"/>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lang w:eastAsia="zh-CN"/>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lang w:eastAsia="zh-CN"/>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b/>
          <w:bCs/>
          <w:color w:val="auto"/>
          <w:spacing w:val="0"/>
          <w:w w:val="100"/>
          <w:position w:val="0"/>
          <w:sz w:val="36"/>
          <w:szCs w:val="36"/>
          <w:highlight w:val="none"/>
          <w:lang w:eastAsia="zh-CN"/>
        </w:rPr>
      </w:pPr>
      <w:r>
        <w:rPr>
          <w:rFonts w:hint="eastAsia" w:ascii="仿宋" w:hAnsi="仿宋" w:eastAsia="仿宋" w:cs="仿宋"/>
          <w:b/>
          <w:bCs/>
          <w:color w:val="auto"/>
          <w:spacing w:val="0"/>
          <w:w w:val="100"/>
          <w:position w:val="0"/>
          <w:sz w:val="36"/>
          <w:szCs w:val="36"/>
          <w:highlight w:val="none"/>
          <w:lang w:val="en-US" w:eastAsia="zh-CN"/>
        </w:rPr>
        <w:t>6</w:t>
      </w:r>
      <w:r>
        <w:rPr>
          <w:rFonts w:hint="eastAsia" w:ascii="仿宋" w:hAnsi="仿宋" w:eastAsia="仿宋" w:cs="仿宋"/>
          <w:b/>
          <w:bCs/>
          <w:color w:val="auto"/>
          <w:spacing w:val="0"/>
          <w:w w:val="100"/>
          <w:position w:val="0"/>
          <w:sz w:val="36"/>
          <w:szCs w:val="36"/>
          <w:highlight w:val="none"/>
        </w:rPr>
        <w:t>、</w:t>
      </w:r>
      <w:r>
        <w:rPr>
          <w:rFonts w:hint="eastAsia" w:ascii="仿宋" w:hAnsi="仿宋" w:eastAsia="仿宋" w:cs="仿宋"/>
          <w:b/>
          <w:bCs/>
          <w:color w:val="auto"/>
          <w:spacing w:val="0"/>
          <w:w w:val="100"/>
          <w:position w:val="0"/>
          <w:sz w:val="36"/>
          <w:szCs w:val="36"/>
          <w:highlight w:val="none"/>
          <w:lang w:eastAsia="zh-CN"/>
        </w:rPr>
        <w:t>商务条款偏离表</w:t>
      </w: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序号</w:t>
            </w:r>
          </w:p>
        </w:tc>
        <w:tc>
          <w:tcPr>
            <w:tcW w:w="2154" w:type="dxa"/>
            <w:noWrap w:val="0"/>
            <w:vAlign w:val="top"/>
          </w:tcPr>
          <w:p>
            <w:pPr>
              <w:pStyle w:val="12"/>
              <w:shd w:val="clear" w:color="auto" w:fill="auto"/>
              <w:spacing w:line="240" w:lineRule="atLeast"/>
              <w:ind w:left="0" w:leftChars="0" w:right="0" w:rightChars="0" w:firstLine="0" w:firstLineChars="0"/>
              <w:jc w:val="cente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2"/>
              <w:shd w:val="clear" w:color="auto" w:fill="auto"/>
              <w:spacing w:line="240" w:lineRule="atLeast"/>
              <w:ind w:left="0" w:leftChars="0" w:right="0" w:rightChars="0" w:firstLine="0" w:firstLineChars="0"/>
              <w:jc w:val="cente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2"/>
              <w:shd w:val="clear" w:color="auto" w:fill="auto"/>
              <w:spacing w:line="240" w:lineRule="atLeast"/>
              <w:ind w:left="0" w:leftChars="0" w:right="0" w:rightChars="0" w:firstLine="0" w:firstLineChars="0"/>
              <w:jc w:val="cente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2"/>
              <w:shd w:val="clear" w:color="auto" w:fill="auto"/>
              <w:spacing w:line="240" w:lineRule="atLeast"/>
              <w:ind w:left="0" w:leftChars="0" w:right="0" w:rightChars="0" w:firstLine="0" w:firstLineChars="0"/>
              <w:jc w:val="cente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2</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3</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4</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5</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6</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7</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8</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9</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10</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11</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12</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13</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14</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15</w:t>
            </w:r>
          </w:p>
        </w:tc>
        <w:tc>
          <w:tcPr>
            <w:tcW w:w="2154" w:type="dxa"/>
            <w:noWrap w:val="0"/>
            <w:vAlign w:val="center"/>
          </w:tcPr>
          <w:p>
            <w:pPr>
              <w:outlineLvl w:val="9"/>
              <w:rPr>
                <w:rFonts w:hint="eastAsia" w:ascii="仿宋" w:hAnsi="仿宋" w:eastAsia="仿宋" w:cs="仿宋"/>
                <w:color w:val="auto"/>
                <w:spacing w:val="-1"/>
                <w:kern w:val="0"/>
                <w:sz w:val="24"/>
                <w:highlight w:val="none"/>
              </w:rPr>
            </w:pPr>
          </w:p>
        </w:tc>
        <w:tc>
          <w:tcPr>
            <w:tcW w:w="2477" w:type="dxa"/>
            <w:noWrap w:val="0"/>
            <w:vAlign w:val="center"/>
          </w:tcPr>
          <w:p>
            <w:pPr>
              <w:outlineLvl w:val="9"/>
              <w:rPr>
                <w:rFonts w:hint="eastAsia" w:ascii="仿宋" w:hAnsi="仿宋" w:eastAsia="仿宋" w:cs="仿宋"/>
                <w:color w:val="auto"/>
                <w:spacing w:val="-1"/>
                <w:kern w:val="0"/>
                <w:sz w:val="24"/>
                <w:highlight w:val="none"/>
              </w:rPr>
            </w:pPr>
          </w:p>
        </w:tc>
        <w:tc>
          <w:tcPr>
            <w:tcW w:w="2454" w:type="dxa"/>
            <w:noWrap w:val="0"/>
            <w:vAlign w:val="center"/>
          </w:tcPr>
          <w:p>
            <w:pPr>
              <w:outlineLvl w:val="9"/>
              <w:rPr>
                <w:rFonts w:hint="eastAsia" w:ascii="仿宋" w:hAnsi="仿宋" w:eastAsia="仿宋" w:cs="仿宋"/>
                <w:color w:val="auto"/>
                <w:spacing w:val="-1"/>
                <w:kern w:val="0"/>
                <w:sz w:val="24"/>
                <w:highlight w:val="none"/>
              </w:rPr>
            </w:pPr>
          </w:p>
        </w:tc>
        <w:tc>
          <w:tcPr>
            <w:tcW w:w="1130" w:type="dxa"/>
            <w:noWrap w:val="0"/>
            <w:vAlign w:val="center"/>
          </w:tcPr>
          <w:p>
            <w:pPr>
              <w:outlineLvl w:val="9"/>
              <w:rPr>
                <w:rFonts w:hint="eastAsia" w:ascii="仿宋" w:hAnsi="仿宋" w:eastAsia="仿宋" w:cs="仿宋"/>
                <w:color w:val="auto"/>
                <w:spacing w:val="-1"/>
                <w:kern w:val="0"/>
                <w:sz w:val="24"/>
                <w:highlight w:val="none"/>
              </w:rPr>
            </w:pPr>
          </w:p>
        </w:tc>
      </w:tr>
    </w:tbl>
    <w:p>
      <w:pPr>
        <w:outlineLvl w:val="9"/>
        <w:rPr>
          <w:rFonts w:hint="eastAsia" w:ascii="仿宋" w:hAnsi="仿宋" w:eastAsia="仿宋" w:cs="仿宋"/>
          <w:color w:val="auto"/>
          <w:spacing w:val="-1"/>
          <w:kern w:val="0"/>
          <w:sz w:val="24"/>
          <w:highlight w:val="none"/>
        </w:rPr>
      </w:pPr>
    </w:p>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注：请在“偏离说明”栏内扼要说明偏离情况，如无偏离则不需列明。</w:t>
      </w: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highlight w:val="none"/>
        </w:rPr>
      </w:pP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highlight w:val="none"/>
        </w:rPr>
      </w:pP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sz w:val="24"/>
          <w:szCs w:val="24"/>
          <w:highlight w:val="none"/>
        </w:rPr>
      </w:pP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w w:val="95"/>
          <w:sz w:val="24"/>
          <w:szCs w:val="24"/>
          <w:highlight w:val="none"/>
        </w:rPr>
        <w:t>（盖章）</w:t>
      </w:r>
      <w:r>
        <w:rPr>
          <w:rFonts w:hint="eastAsia" w:ascii="仿宋" w:hAnsi="仿宋" w:eastAsia="仿宋" w:cs="仿宋"/>
          <w:color w:val="auto"/>
          <w:sz w:val="24"/>
          <w:szCs w:val="24"/>
          <w:highlight w:val="none"/>
        </w:rPr>
        <w:t xml:space="preserve"> </w:t>
      </w: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w w:val="95"/>
          <w:sz w:val="24"/>
          <w:szCs w:val="24"/>
          <w:highlight w:val="non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w:t>
      </w:r>
      <w:r>
        <w:rPr>
          <w:rFonts w:hint="eastAsia" w:ascii="仿宋" w:hAnsi="仿宋" w:eastAsia="仿宋" w:cs="仿宋"/>
          <w:color w:val="auto"/>
          <w:w w:val="95"/>
          <w:sz w:val="24"/>
          <w:szCs w:val="24"/>
          <w:highlight w:val="none"/>
          <w:lang w:eastAsia="zh-CN"/>
        </w:rPr>
        <w:t>签字或盖章</w:t>
      </w:r>
      <w:r>
        <w:rPr>
          <w:rFonts w:hint="eastAsia" w:ascii="仿宋" w:hAnsi="仿宋" w:eastAsia="仿宋" w:cs="仿宋"/>
          <w:color w:val="auto"/>
          <w:w w:val="95"/>
          <w:sz w:val="24"/>
          <w:szCs w:val="24"/>
          <w:highlight w:val="none"/>
        </w:rPr>
        <w:t>）</w:t>
      </w: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z w:val="24"/>
          <w:szCs w:val="24"/>
          <w:highlight w:val="none"/>
        </w:rPr>
      </w:pP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color w:val="auto"/>
          <w:spacing w:val="0"/>
          <w:w w:val="100"/>
          <w:position w:val="0"/>
          <w:sz w:val="36"/>
          <w:szCs w:val="36"/>
          <w:highlight w:val="none"/>
        </w:rPr>
      </w:pPr>
    </w:p>
    <w:p>
      <w:pPr>
        <w:pStyle w:val="36"/>
        <w:keepNext w:val="0"/>
        <w:keepLines w:val="0"/>
        <w:widowControl w:val="0"/>
        <w:shd w:val="clear" w:color="auto" w:fill="auto"/>
        <w:tabs>
          <w:tab w:val="left" w:pos="826"/>
        </w:tabs>
        <w:bidi w:val="0"/>
        <w:spacing w:before="0" w:after="0" w:line="470" w:lineRule="exact"/>
        <w:ind w:left="0" w:leftChars="0" w:right="0" w:firstLine="0" w:firstLineChars="0"/>
        <w:jc w:val="center"/>
        <w:outlineLvl w:val="9"/>
        <w:rPr>
          <w:rFonts w:hint="eastAsia" w:ascii="仿宋" w:hAnsi="仿宋" w:eastAsia="仿宋" w:cs="仿宋"/>
          <w:color w:val="auto"/>
          <w:spacing w:val="0"/>
          <w:w w:val="100"/>
          <w:position w:val="0"/>
          <w:sz w:val="21"/>
          <w:szCs w:val="21"/>
          <w:highlight w:val="none"/>
        </w:rPr>
      </w:pPr>
    </w:p>
    <w:p>
      <w:pPr>
        <w:pStyle w:val="36"/>
        <w:keepNext w:val="0"/>
        <w:keepLines w:val="0"/>
        <w:widowControl w:val="0"/>
        <w:shd w:val="clear" w:color="auto" w:fill="auto"/>
        <w:tabs>
          <w:tab w:val="left" w:pos="826"/>
        </w:tabs>
        <w:bidi w:val="0"/>
        <w:spacing w:before="0" w:after="0" w:line="470" w:lineRule="exact"/>
        <w:ind w:left="0" w:leftChars="0" w:right="0" w:firstLine="0" w:firstLineChars="0"/>
        <w:jc w:val="center"/>
        <w:outlineLvl w:val="9"/>
        <w:rPr>
          <w:rFonts w:hint="eastAsia" w:ascii="仿宋" w:hAnsi="仿宋" w:eastAsia="仿宋" w:cs="仿宋"/>
          <w:color w:val="auto"/>
          <w:spacing w:val="0"/>
          <w:w w:val="100"/>
          <w:position w:val="0"/>
          <w:sz w:val="21"/>
          <w:szCs w:val="21"/>
          <w:highlight w:val="none"/>
        </w:rPr>
      </w:pPr>
    </w:p>
    <w:p>
      <w:pPr>
        <w:pStyle w:val="36"/>
        <w:keepNext w:val="0"/>
        <w:keepLines w:val="0"/>
        <w:widowControl w:val="0"/>
        <w:shd w:val="clear" w:color="auto" w:fill="auto"/>
        <w:tabs>
          <w:tab w:val="left" w:pos="826"/>
        </w:tabs>
        <w:bidi w:val="0"/>
        <w:spacing w:before="0" w:after="0" w:line="470" w:lineRule="exact"/>
        <w:ind w:left="0" w:leftChars="0" w:right="0" w:firstLine="0" w:firstLineChars="0"/>
        <w:jc w:val="center"/>
        <w:outlineLvl w:val="9"/>
        <w:rPr>
          <w:rFonts w:hint="eastAsia" w:ascii="仿宋" w:hAnsi="仿宋" w:eastAsia="仿宋" w:cs="仿宋"/>
          <w:color w:val="auto"/>
          <w:spacing w:val="0"/>
          <w:w w:val="100"/>
          <w:position w:val="0"/>
          <w:sz w:val="21"/>
          <w:szCs w:val="21"/>
          <w:highlight w:val="none"/>
        </w:rPr>
      </w:pPr>
    </w:p>
    <w:p>
      <w:pP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br w:type="page"/>
      </w:r>
    </w:p>
    <w:p>
      <w:pPr>
        <w:pStyle w:val="35"/>
        <w:keepNext w:val="0"/>
        <w:keepLines w:val="0"/>
        <w:widowControl w:val="0"/>
        <w:shd w:val="clear" w:color="auto" w:fill="auto"/>
        <w:bidi w:val="0"/>
        <w:spacing w:before="0" w:after="0" w:line="240" w:lineRule="auto"/>
        <w:ind w:left="0" w:right="0" w:firstLine="420"/>
        <w:jc w:val="center"/>
        <w:outlineLvl w:val="9"/>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7、投标人基本情况表</w:t>
      </w:r>
    </w:p>
    <w:p>
      <w:pPr>
        <w:pStyle w:val="2"/>
        <w:numPr>
          <w:ilvl w:val="0"/>
          <w:numId w:val="0"/>
        </w:numPr>
        <w:kinsoku w:val="0"/>
        <w:overflowPunct w:val="0"/>
        <w:spacing w:before="5"/>
        <w:ind w:leftChars="0" w:right="0" w:rightChars="0"/>
        <w:outlineLvl w:val="9"/>
        <w:rPr>
          <w:rFonts w:hint="eastAsia" w:ascii="仿宋" w:hAnsi="仿宋" w:eastAsia="仿宋" w:cs="仿宋"/>
          <w:b/>
          <w:bCs/>
          <w:color w:val="auto"/>
          <w:sz w:val="6"/>
          <w:szCs w:val="6"/>
          <w:highlight w:val="none"/>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outlineLvl w:val="9"/>
              <w:rPr>
                <w:rFonts w:hint="eastAsia"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outlineLvl w:val="9"/>
              <w:rPr>
                <w:rFonts w:hint="eastAsia"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outlineLvl w:val="9"/>
              <w:rPr>
                <w:rFonts w:hint="eastAsia"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outlineLvl w:val="9"/>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81"/>
              <w:outlineLvl w:val="9"/>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6"/>
              <w:ind w:left="137"/>
              <w:outlineLvl w:val="9"/>
              <w:rPr>
                <w:rFonts w:hint="eastAsia"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1" w:line="312" w:lineRule="exact"/>
              <w:ind w:left="257" w:right="133" w:hanging="120"/>
              <w:outlineLvl w:val="9"/>
              <w:rPr>
                <w:rFonts w:hint="eastAsia"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4"/>
              <w:outlineLvl w:val="9"/>
              <w:rPr>
                <w:rFonts w:hint="eastAsia" w:ascii="仿宋" w:hAnsi="仿宋" w:eastAsia="仿宋" w:cs="仿宋"/>
                <w:b/>
                <w:bCs/>
                <w:color w:val="auto"/>
                <w:sz w:val="20"/>
                <w:szCs w:val="20"/>
                <w:highlight w:val="none"/>
              </w:rPr>
            </w:pPr>
          </w:p>
          <w:p>
            <w:pPr>
              <w:pStyle w:val="39"/>
              <w:kinsoku w:val="0"/>
              <w:overflowPunct w:val="0"/>
              <w:ind w:left="366"/>
              <w:outlineLvl w:val="9"/>
              <w:rPr>
                <w:rFonts w:hint="eastAsia"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4"/>
              <w:outlineLvl w:val="9"/>
              <w:rPr>
                <w:rFonts w:hint="eastAsia" w:ascii="仿宋" w:hAnsi="仿宋" w:eastAsia="仿宋" w:cs="仿宋"/>
                <w:b/>
                <w:bCs/>
                <w:color w:val="auto"/>
                <w:sz w:val="20"/>
                <w:szCs w:val="20"/>
                <w:highlight w:val="none"/>
              </w:rPr>
            </w:pPr>
          </w:p>
          <w:p>
            <w:pPr>
              <w:pStyle w:val="39"/>
              <w:kinsoku w:val="0"/>
              <w:overflowPunct w:val="0"/>
              <w:ind w:left="383"/>
              <w:outlineLvl w:val="9"/>
              <w:rPr>
                <w:rFonts w:hint="eastAsia"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outlineLvl w:val="9"/>
              <w:rPr>
                <w:rFonts w:hint="eastAsia" w:ascii="仿宋" w:hAnsi="仿宋" w:eastAsia="仿宋" w:cs="仿宋"/>
                <w:b/>
                <w:bCs/>
                <w:color w:val="auto"/>
                <w:highlight w:val="none"/>
              </w:rPr>
            </w:pPr>
          </w:p>
          <w:p>
            <w:pPr>
              <w:pStyle w:val="39"/>
              <w:kinsoku w:val="0"/>
              <w:overflowPunct w:val="0"/>
              <w:outlineLvl w:val="9"/>
              <w:rPr>
                <w:rFonts w:hint="eastAsia" w:ascii="仿宋" w:hAnsi="仿宋" w:eastAsia="仿宋" w:cs="仿宋"/>
                <w:b/>
                <w:bCs/>
                <w:color w:val="auto"/>
                <w:highlight w:val="none"/>
              </w:rPr>
            </w:pPr>
          </w:p>
          <w:p>
            <w:pPr>
              <w:pStyle w:val="39"/>
              <w:kinsoku w:val="0"/>
              <w:overflowPunct w:val="0"/>
              <w:outlineLvl w:val="9"/>
              <w:rPr>
                <w:rFonts w:hint="eastAsia" w:ascii="仿宋" w:hAnsi="仿宋" w:eastAsia="仿宋" w:cs="仿宋"/>
                <w:b/>
                <w:bCs/>
                <w:color w:val="auto"/>
                <w:highlight w:val="none"/>
              </w:rPr>
            </w:pPr>
          </w:p>
          <w:p>
            <w:pPr>
              <w:pStyle w:val="39"/>
              <w:kinsoku w:val="0"/>
              <w:overflowPunct w:val="0"/>
              <w:spacing w:line="475" w:lineRule="auto"/>
              <w:ind w:left="497" w:right="493"/>
              <w:jc w:val="both"/>
              <w:outlineLvl w:val="9"/>
              <w:rPr>
                <w:rFonts w:hint="eastAsia"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4"/>
              <w:ind w:left="236"/>
              <w:outlineLvl w:val="9"/>
              <w:rPr>
                <w:rFonts w:hint="eastAsia"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4"/>
              <w:ind w:left="118"/>
              <w:outlineLvl w:val="9"/>
              <w:rPr>
                <w:rFonts w:hint="eastAsia"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jc w:val="center"/>
              <w:outlineLvl w:val="9"/>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16"/>
              <w:outlineLvl w:val="9"/>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52"/>
              <w:outlineLvl w:val="9"/>
              <w:rPr>
                <w:rFonts w:hint="eastAsia"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50"/>
              <w:outlineLvl w:val="9"/>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9"/>
              <w:tabs>
                <w:tab w:val="left" w:pos="479"/>
              </w:tabs>
              <w:kinsoku w:val="0"/>
              <w:overflowPunct w:val="0"/>
              <w:spacing w:before="145"/>
              <w:ind w:right="1"/>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9"/>
              <w:tabs>
                <w:tab w:val="left" w:pos="479"/>
              </w:tabs>
              <w:kinsoku w:val="0"/>
              <w:overflowPunct w:val="0"/>
              <w:spacing w:before="145"/>
              <w:ind w:right="1"/>
              <w:jc w:val="center"/>
              <w:outlineLvl w:val="9"/>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
              <w:outlineLvl w:val="9"/>
              <w:rPr>
                <w:rFonts w:hint="eastAsia" w:ascii="仿宋" w:hAnsi="仿宋" w:eastAsia="仿宋" w:cs="仿宋"/>
                <w:b/>
                <w:bCs/>
                <w:color w:val="auto"/>
                <w:sz w:val="23"/>
                <w:szCs w:val="23"/>
                <w:highlight w:val="none"/>
              </w:rPr>
            </w:pPr>
          </w:p>
          <w:p>
            <w:pPr>
              <w:pStyle w:val="39"/>
              <w:kinsoku w:val="0"/>
              <w:overflowPunct w:val="0"/>
              <w:spacing w:line="237" w:lineRule="auto"/>
              <w:ind w:left="497" w:right="493"/>
              <w:jc w:val="both"/>
              <w:outlineLvl w:val="9"/>
              <w:rPr>
                <w:rFonts w:hint="eastAsia"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仿宋" w:hAnsi="仿宋" w:eastAsia="仿宋" w:cs="仿宋"/>
                <w:color w:val="auto"/>
                <w:highlight w:val="none"/>
              </w:rPr>
            </w:pPr>
          </w:p>
        </w:tc>
      </w:tr>
    </w:tbl>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color w:val="auto"/>
          <w:sz w:val="24"/>
          <w:szCs w:val="24"/>
          <w:highlight w:val="none"/>
          <w:lang w:val="en-US" w:eastAsia="zh-CN"/>
        </w:rPr>
      </w:pP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color w:val="auto"/>
          <w:sz w:val="24"/>
          <w:szCs w:val="24"/>
          <w:highlight w:val="none"/>
          <w:lang w:val="en-US" w:eastAsia="zh-CN"/>
        </w:rPr>
      </w:pP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color w:val="auto"/>
          <w:sz w:val="24"/>
          <w:szCs w:val="24"/>
          <w:highlight w:val="none"/>
          <w:lang w:val="en-US" w:eastAsia="zh-CN"/>
        </w:rPr>
      </w:pP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color w:val="auto"/>
          <w:sz w:val="24"/>
          <w:szCs w:val="24"/>
          <w:highlight w:val="none"/>
          <w:lang w:val="en-US" w:eastAsia="zh-CN"/>
        </w:rPr>
      </w:pP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color w:val="auto"/>
          <w:sz w:val="24"/>
          <w:szCs w:val="24"/>
          <w:highlight w:val="none"/>
          <w:lang w:val="en-US" w:eastAsia="zh-CN"/>
        </w:rPr>
      </w:pP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color w:val="auto"/>
          <w:sz w:val="24"/>
          <w:szCs w:val="24"/>
          <w:highlight w:val="none"/>
          <w:lang w:val="en-US" w:eastAsia="zh-CN"/>
        </w:rPr>
      </w:pP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color w:val="auto"/>
          <w:sz w:val="24"/>
          <w:szCs w:val="24"/>
          <w:highlight w:val="none"/>
          <w:lang w:val="en-US" w:eastAsia="zh-CN"/>
        </w:rPr>
      </w:pP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outlineLvl w:val="9"/>
        <w:rPr>
          <w:rFonts w:hint="eastAsia" w:ascii="仿宋" w:hAnsi="仿宋" w:eastAsia="仿宋" w:cs="仿宋"/>
          <w:b/>
          <w:color w:val="auto"/>
          <w:sz w:val="30"/>
          <w:szCs w:val="30"/>
          <w:highlight w:val="none"/>
        </w:rPr>
      </w:pPr>
    </w:p>
    <w:p>
      <w:pPr>
        <w:pStyle w:val="2"/>
        <w:numPr>
          <w:ilvl w:val="0"/>
          <w:numId w:val="0"/>
        </w:numPr>
        <w:kinsoku w:val="0"/>
        <w:overflowPunct w:val="0"/>
        <w:spacing w:before="34" w:line="357" w:lineRule="auto"/>
        <w:ind w:left="480" w:leftChars="0" w:right="126" w:rightChars="0"/>
        <w:jc w:val="center"/>
        <w:outlineLvl w:val="9"/>
        <w:rPr>
          <w:rFonts w:hint="eastAsia" w:ascii="仿宋" w:hAnsi="仿宋" w:eastAsia="仿宋" w:cs="仿宋"/>
          <w:b w:val="0"/>
          <w:bCs/>
          <w:color w:val="auto"/>
          <w:kern w:val="0"/>
          <w:sz w:val="36"/>
          <w:szCs w:val="36"/>
          <w:highlight w:val="none"/>
          <w:lang w:val="en-US" w:eastAsia="zh-CN"/>
        </w:rPr>
      </w:pPr>
    </w:p>
    <w:p>
      <w:pPr>
        <w:pStyle w:val="2"/>
        <w:numPr>
          <w:ilvl w:val="0"/>
          <w:numId w:val="0"/>
        </w:numPr>
        <w:kinsoku w:val="0"/>
        <w:overflowPunct w:val="0"/>
        <w:spacing w:before="34" w:line="357" w:lineRule="auto"/>
        <w:ind w:left="480" w:leftChars="0" w:right="126" w:rightChars="0"/>
        <w:jc w:val="center"/>
        <w:outlineLvl w:val="9"/>
        <w:rPr>
          <w:rFonts w:hint="eastAsia" w:ascii="仿宋" w:hAnsi="仿宋" w:eastAsia="仿宋" w:cs="仿宋"/>
          <w:b/>
          <w:bCs/>
          <w:color w:val="auto"/>
          <w:w w:val="90"/>
          <w:highlight w:val="none"/>
          <w:lang w:eastAsia="zh-CN"/>
        </w:rPr>
      </w:pPr>
      <w:r>
        <w:rPr>
          <w:rFonts w:hint="eastAsia" w:ascii="仿宋" w:hAnsi="仿宋" w:eastAsia="仿宋" w:cs="仿宋"/>
          <w:b w:val="0"/>
          <w:bCs/>
          <w:color w:val="auto"/>
          <w:kern w:val="0"/>
          <w:sz w:val="36"/>
          <w:szCs w:val="36"/>
          <w:highlight w:val="none"/>
          <w:lang w:val="en-US" w:eastAsia="zh-CN"/>
        </w:rPr>
        <w:t>8、</w:t>
      </w:r>
      <w:r>
        <w:rPr>
          <w:rFonts w:hint="eastAsia" w:ascii="仿宋" w:hAnsi="仿宋" w:eastAsia="仿宋" w:cs="仿宋"/>
          <w:b/>
          <w:bCs/>
          <w:color w:val="auto"/>
          <w:w w:val="90"/>
          <w:sz w:val="36"/>
          <w:szCs w:val="36"/>
          <w:highlight w:val="none"/>
        </w:rPr>
        <w:t>近三年（20</w:t>
      </w:r>
      <w:r>
        <w:rPr>
          <w:rFonts w:hint="eastAsia" w:ascii="仿宋" w:hAnsi="仿宋" w:eastAsia="仿宋" w:cs="仿宋"/>
          <w:b/>
          <w:bCs/>
          <w:color w:val="auto"/>
          <w:w w:val="90"/>
          <w:sz w:val="36"/>
          <w:szCs w:val="36"/>
          <w:highlight w:val="none"/>
          <w:lang w:val="en-US" w:eastAsia="zh-CN"/>
        </w:rPr>
        <w:t>19</w:t>
      </w:r>
      <w:r>
        <w:rPr>
          <w:rFonts w:hint="eastAsia" w:ascii="仿宋" w:hAnsi="仿宋" w:eastAsia="仿宋" w:cs="仿宋"/>
          <w:b/>
          <w:bCs/>
          <w:color w:val="auto"/>
          <w:w w:val="90"/>
          <w:sz w:val="36"/>
          <w:szCs w:val="36"/>
          <w:highlight w:val="none"/>
        </w:rPr>
        <w:t>年1月1日至今）类似项目业绩</w:t>
      </w:r>
      <w:r>
        <w:rPr>
          <w:rFonts w:hint="eastAsia" w:ascii="仿宋" w:hAnsi="仿宋" w:eastAsia="仿宋" w:cs="仿宋"/>
          <w:b/>
          <w:bCs/>
          <w:color w:val="auto"/>
          <w:w w:val="90"/>
          <w:sz w:val="36"/>
          <w:szCs w:val="36"/>
          <w:highlight w:val="none"/>
          <w:lang w:eastAsia="zh-CN"/>
        </w:rPr>
        <w:t>表</w:t>
      </w:r>
    </w:p>
    <w:p>
      <w:pPr>
        <w:pStyle w:val="2"/>
        <w:numPr>
          <w:ilvl w:val="0"/>
          <w:numId w:val="0"/>
        </w:numPr>
        <w:kinsoku w:val="0"/>
        <w:overflowPunct w:val="0"/>
        <w:ind w:leftChars="0" w:right="0" w:rightChars="0"/>
        <w:outlineLvl w:val="9"/>
        <w:rPr>
          <w:rFonts w:hint="eastAsia" w:ascii="仿宋" w:hAnsi="仿宋" w:eastAsia="仿宋" w:cs="仿宋"/>
          <w:b/>
          <w:bCs/>
          <w:color w:val="auto"/>
          <w:sz w:val="20"/>
          <w:szCs w:val="20"/>
          <w:highlight w:val="none"/>
        </w:rPr>
      </w:pPr>
    </w:p>
    <w:tbl>
      <w:tblPr>
        <w:tblStyle w:val="24"/>
        <w:tblW w:w="9115" w:type="dxa"/>
        <w:jc w:val="center"/>
        <w:shd w:val="clear" w:color="auto" w:fill="auto"/>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auto"/>
            <w:vAlign w:val="center"/>
          </w:tcPr>
          <w:p>
            <w:pPr>
              <w:pStyle w:val="37"/>
              <w:keepNext w:val="0"/>
              <w:keepLines w:val="0"/>
              <w:widowControl w:val="0"/>
              <w:shd w:val="clear" w:color="auto" w:fill="auto"/>
              <w:bidi w:val="0"/>
              <w:spacing w:before="0" w:after="0" w:line="240" w:lineRule="auto"/>
              <w:ind w:left="0" w:right="0" w:firstLine="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项目名称</w:t>
            </w:r>
          </w:p>
        </w:tc>
        <w:tc>
          <w:tcPr>
            <w:tcW w:w="7196" w:type="dxa"/>
            <w:tcBorders>
              <w:top w:val="single" w:color="auto" w:sz="4" w:space="0"/>
              <w:left w:val="single" w:color="auto" w:sz="4" w:space="0"/>
              <w:right w:val="single" w:color="auto" w:sz="4" w:space="0"/>
            </w:tcBorders>
            <w:shd w:val="clear" w:color="auto" w:fill="auto"/>
            <w:vAlign w:val="top"/>
          </w:tcPr>
          <w:p>
            <w:pPr>
              <w:widowControl w:val="0"/>
              <w:outlineLvl w:val="9"/>
              <w:rPr>
                <w:rFonts w:hint="eastAsia" w:ascii="仿宋" w:hAnsi="仿宋" w:eastAsia="仿宋" w:cs="仿宋"/>
                <w:color w:val="auto"/>
                <w:sz w:val="10"/>
                <w:szCs w:val="10"/>
                <w:highlight w:val="none"/>
              </w:rPr>
            </w:pPr>
          </w:p>
        </w:tc>
      </w:tr>
      <w:tr>
        <w:tblPrEx>
          <w:shd w:val="clear" w:color="auto" w:fill="auto"/>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shd w:val="clear" w:color="auto" w:fill="auto"/>
            <w:vAlign w:val="center"/>
          </w:tcPr>
          <w:p>
            <w:pPr>
              <w:pStyle w:val="37"/>
              <w:keepNext w:val="0"/>
              <w:keepLines w:val="0"/>
              <w:widowControl w:val="0"/>
              <w:shd w:val="clear" w:color="auto" w:fill="auto"/>
              <w:bidi w:val="0"/>
              <w:spacing w:before="120" w:after="0" w:line="240" w:lineRule="auto"/>
              <w:ind w:left="0" w:leftChars="0" w:right="0"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项目单位名称</w:t>
            </w:r>
          </w:p>
        </w:tc>
        <w:tc>
          <w:tcPr>
            <w:tcW w:w="7196" w:type="dxa"/>
            <w:tcBorders>
              <w:top w:val="single" w:color="auto" w:sz="4" w:space="0"/>
              <w:left w:val="single" w:color="auto" w:sz="4" w:space="0"/>
              <w:right w:val="single" w:color="auto" w:sz="4" w:space="0"/>
            </w:tcBorders>
            <w:shd w:val="clear" w:color="auto" w:fill="auto"/>
            <w:vAlign w:val="top"/>
          </w:tcPr>
          <w:p>
            <w:pPr>
              <w:widowControl w:val="0"/>
              <w:outlineLvl w:val="9"/>
              <w:rPr>
                <w:rFonts w:hint="eastAsia" w:ascii="仿宋" w:hAnsi="仿宋" w:eastAsia="仿宋" w:cs="仿宋"/>
                <w:color w:val="auto"/>
                <w:sz w:val="10"/>
                <w:szCs w:val="10"/>
                <w:highlight w:val="none"/>
              </w:rPr>
            </w:pPr>
          </w:p>
        </w:tc>
      </w:tr>
      <w:tr>
        <w:tblPrEx>
          <w:shd w:val="clear" w:color="auto" w:fill="auto"/>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shd w:val="clear" w:color="auto" w:fill="auto"/>
            <w:vAlign w:val="center"/>
          </w:tcPr>
          <w:p>
            <w:pPr>
              <w:pStyle w:val="37"/>
              <w:keepNext w:val="0"/>
              <w:keepLines w:val="0"/>
              <w:widowControl w:val="0"/>
              <w:shd w:val="clear" w:color="auto" w:fill="auto"/>
              <w:bidi w:val="0"/>
              <w:spacing w:before="0" w:after="0" w:line="320" w:lineRule="exact"/>
              <w:ind w:left="0" w:right="0" w:firstLine="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项目单位联系姓名及联系方式</w:t>
            </w:r>
          </w:p>
        </w:tc>
        <w:tc>
          <w:tcPr>
            <w:tcW w:w="7196" w:type="dxa"/>
            <w:tcBorders>
              <w:top w:val="single" w:color="auto" w:sz="4" w:space="0"/>
              <w:left w:val="single" w:color="auto" w:sz="4" w:space="0"/>
              <w:right w:val="single" w:color="auto" w:sz="4" w:space="0"/>
            </w:tcBorders>
            <w:shd w:val="clear" w:color="auto" w:fill="auto"/>
            <w:vAlign w:val="top"/>
          </w:tcPr>
          <w:p>
            <w:pPr>
              <w:widowControl w:val="0"/>
              <w:outlineLvl w:val="9"/>
              <w:rPr>
                <w:rFonts w:hint="eastAsia" w:ascii="仿宋" w:hAnsi="仿宋" w:eastAsia="仿宋" w:cs="仿宋"/>
                <w:color w:val="auto"/>
                <w:sz w:val="10"/>
                <w:szCs w:val="10"/>
                <w:highlight w:val="none"/>
              </w:rPr>
            </w:pPr>
          </w:p>
        </w:tc>
      </w:tr>
      <w:tr>
        <w:tblPrEx>
          <w:shd w:val="clear" w:color="auto" w:fill="auto"/>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auto"/>
            <w:vAlign w:val="center"/>
          </w:tcPr>
          <w:p>
            <w:pPr>
              <w:pStyle w:val="37"/>
              <w:keepNext w:val="0"/>
              <w:keepLines w:val="0"/>
              <w:widowControl w:val="0"/>
              <w:shd w:val="clear" w:color="auto" w:fill="auto"/>
              <w:bidi w:val="0"/>
              <w:spacing w:before="0" w:after="0" w:line="240" w:lineRule="auto"/>
              <w:ind w:left="0" w:right="0" w:firstLine="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合同金额</w:t>
            </w:r>
          </w:p>
        </w:tc>
        <w:tc>
          <w:tcPr>
            <w:tcW w:w="7196" w:type="dxa"/>
            <w:tcBorders>
              <w:top w:val="single" w:color="auto" w:sz="4" w:space="0"/>
              <w:left w:val="single" w:color="auto" w:sz="4" w:space="0"/>
              <w:right w:val="single" w:color="auto" w:sz="4" w:space="0"/>
            </w:tcBorders>
            <w:shd w:val="clear" w:color="auto" w:fill="auto"/>
            <w:vAlign w:val="top"/>
          </w:tcPr>
          <w:p>
            <w:pPr>
              <w:widowControl w:val="0"/>
              <w:outlineLvl w:val="9"/>
              <w:rPr>
                <w:rFonts w:hint="eastAsia" w:ascii="仿宋" w:hAnsi="仿宋" w:eastAsia="仿宋" w:cs="仿宋"/>
                <w:color w:val="auto"/>
                <w:sz w:val="10"/>
                <w:szCs w:val="10"/>
                <w:highlight w:val="none"/>
              </w:rPr>
            </w:pPr>
          </w:p>
        </w:tc>
      </w:tr>
      <w:tr>
        <w:tblPrEx>
          <w:shd w:val="clear" w:color="auto" w:fill="auto"/>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auto"/>
            <w:vAlign w:val="center"/>
          </w:tcPr>
          <w:p>
            <w:pPr>
              <w:pStyle w:val="37"/>
              <w:keepNext w:val="0"/>
              <w:keepLines w:val="0"/>
              <w:widowControl w:val="0"/>
              <w:shd w:val="clear" w:color="auto" w:fill="auto"/>
              <w:bidi w:val="0"/>
              <w:spacing w:before="0" w:after="0" w:line="306" w:lineRule="exact"/>
              <w:ind w:left="0" w:right="0" w:firstLine="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项目负责人姓名</w:t>
            </w:r>
          </w:p>
        </w:tc>
        <w:tc>
          <w:tcPr>
            <w:tcW w:w="7196" w:type="dxa"/>
            <w:tcBorders>
              <w:top w:val="single" w:color="auto" w:sz="4" w:space="0"/>
              <w:left w:val="single" w:color="auto" w:sz="4" w:space="0"/>
              <w:right w:val="single" w:color="auto" w:sz="4" w:space="0"/>
            </w:tcBorders>
            <w:shd w:val="clear" w:color="auto" w:fill="auto"/>
            <w:vAlign w:val="top"/>
          </w:tcPr>
          <w:p>
            <w:pPr>
              <w:widowControl w:val="0"/>
              <w:outlineLvl w:val="9"/>
              <w:rPr>
                <w:rFonts w:hint="eastAsia" w:ascii="仿宋" w:hAnsi="仿宋" w:eastAsia="仿宋" w:cs="仿宋"/>
                <w:color w:val="auto"/>
                <w:sz w:val="10"/>
                <w:szCs w:val="10"/>
                <w:highlight w:val="none"/>
              </w:rPr>
            </w:pPr>
          </w:p>
        </w:tc>
      </w:tr>
      <w:tr>
        <w:tblPrEx>
          <w:shd w:val="clear" w:color="auto" w:fill="auto"/>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auto"/>
            <w:vAlign w:val="center"/>
          </w:tcPr>
          <w:p>
            <w:pPr>
              <w:pStyle w:val="37"/>
              <w:keepNext w:val="0"/>
              <w:keepLines w:val="0"/>
              <w:widowControl w:val="0"/>
              <w:shd w:val="clear" w:color="auto" w:fill="auto"/>
              <w:bidi w:val="0"/>
              <w:spacing w:before="120" w:after="0" w:line="240" w:lineRule="auto"/>
              <w:ind w:left="0" w:leftChars="0" w:right="0"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项目实施时间</w:t>
            </w:r>
          </w:p>
        </w:tc>
        <w:tc>
          <w:tcPr>
            <w:tcW w:w="7196" w:type="dxa"/>
            <w:tcBorders>
              <w:top w:val="single" w:color="auto" w:sz="4" w:space="0"/>
              <w:left w:val="single" w:color="auto" w:sz="4" w:space="0"/>
              <w:right w:val="single" w:color="auto" w:sz="4" w:space="0"/>
            </w:tcBorders>
            <w:shd w:val="clear" w:color="auto" w:fill="auto"/>
            <w:vAlign w:val="top"/>
          </w:tcPr>
          <w:p>
            <w:pPr>
              <w:widowControl w:val="0"/>
              <w:outlineLvl w:val="9"/>
              <w:rPr>
                <w:rFonts w:hint="eastAsia" w:ascii="仿宋" w:hAnsi="仿宋" w:eastAsia="仿宋" w:cs="仿宋"/>
                <w:color w:val="auto"/>
                <w:sz w:val="10"/>
                <w:szCs w:val="10"/>
                <w:highlight w:val="none"/>
              </w:rPr>
            </w:pPr>
          </w:p>
        </w:tc>
      </w:tr>
      <w:tr>
        <w:tblPrEx>
          <w:shd w:val="clear" w:color="auto" w:fill="auto"/>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auto"/>
            <w:vAlign w:val="center"/>
          </w:tcPr>
          <w:p>
            <w:pPr>
              <w:pStyle w:val="37"/>
              <w:keepNext w:val="0"/>
              <w:keepLines w:val="0"/>
              <w:widowControl w:val="0"/>
              <w:shd w:val="clear" w:color="auto" w:fill="auto"/>
              <w:bidi w:val="0"/>
              <w:spacing w:before="0" w:after="0" w:line="240" w:lineRule="auto"/>
              <w:ind w:left="0" w:leftChars="0" w:right="0"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outlineLvl w:val="9"/>
              <w:rPr>
                <w:rFonts w:hint="eastAsia" w:ascii="仿宋" w:hAnsi="仿宋" w:eastAsia="仿宋" w:cs="仿宋"/>
                <w:color w:val="auto"/>
                <w:sz w:val="10"/>
                <w:szCs w:val="10"/>
                <w:highlight w:val="none"/>
              </w:rPr>
            </w:pPr>
          </w:p>
        </w:tc>
      </w:tr>
    </w:tbl>
    <w:p>
      <w:pPr>
        <w:outlineLvl w:val="9"/>
        <w:rPr>
          <w:rFonts w:hint="eastAsia" w:ascii="仿宋" w:hAnsi="仿宋" w:eastAsia="仿宋" w:cs="仿宋"/>
          <w:color w:val="auto"/>
          <w:spacing w:val="-1"/>
          <w:kern w:val="0"/>
          <w:sz w:val="24"/>
          <w:highlight w:val="none"/>
        </w:rPr>
      </w:pPr>
    </w:p>
    <w:p>
      <w:pPr>
        <w:outlineLvl w:val="9"/>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注：每个</w:t>
      </w:r>
      <w:r>
        <w:rPr>
          <w:rFonts w:hint="eastAsia" w:ascii="仿宋" w:hAnsi="仿宋" w:eastAsia="仿宋" w:cs="仿宋"/>
          <w:color w:val="auto"/>
          <w:spacing w:val="-1"/>
          <w:kern w:val="0"/>
          <w:sz w:val="24"/>
          <w:highlight w:val="none"/>
          <w:lang w:eastAsia="zh-CN"/>
        </w:rPr>
        <w:t>业绩</w:t>
      </w:r>
      <w:r>
        <w:rPr>
          <w:rFonts w:hint="eastAsia" w:ascii="仿宋" w:hAnsi="仿宋" w:eastAsia="仿宋" w:cs="仿宋"/>
          <w:color w:val="auto"/>
          <w:spacing w:val="-1"/>
          <w:kern w:val="0"/>
          <w:sz w:val="24"/>
          <w:highlight w:val="none"/>
        </w:rPr>
        <w:t>须单独附表，并附上</w:t>
      </w:r>
      <w:r>
        <w:rPr>
          <w:rFonts w:hint="eastAsia" w:ascii="仿宋" w:hAnsi="仿宋" w:eastAsia="仿宋" w:cs="仿宋"/>
          <w:color w:val="auto"/>
          <w:spacing w:val="-1"/>
          <w:kern w:val="0"/>
          <w:sz w:val="24"/>
          <w:highlight w:val="none"/>
          <w:lang w:eastAsia="zh-CN"/>
        </w:rPr>
        <w:t>合同和中标通知书</w:t>
      </w:r>
      <w:r>
        <w:rPr>
          <w:rFonts w:hint="eastAsia" w:ascii="仿宋" w:hAnsi="仿宋" w:eastAsia="仿宋" w:cs="仿宋"/>
          <w:color w:val="auto"/>
          <w:spacing w:val="-1"/>
          <w:kern w:val="0"/>
          <w:sz w:val="24"/>
          <w:highlight w:val="none"/>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sz w:val="24"/>
          <w:szCs w:val="24"/>
          <w:highlight w:val="none"/>
        </w:rPr>
      </w:pP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sz w:val="24"/>
          <w:szCs w:val="24"/>
          <w:highlight w:val="none"/>
        </w:rPr>
      </w:pP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sz w:val="24"/>
          <w:szCs w:val="24"/>
          <w:highlight w:val="none"/>
        </w:rPr>
      </w:pP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w w:val="95"/>
          <w:sz w:val="24"/>
          <w:szCs w:val="24"/>
          <w:highlight w:val="none"/>
        </w:rPr>
        <w:t>（盖章）</w:t>
      </w:r>
      <w:r>
        <w:rPr>
          <w:rFonts w:hint="eastAsia" w:ascii="仿宋" w:hAnsi="仿宋" w:eastAsia="仿宋" w:cs="仿宋"/>
          <w:color w:val="auto"/>
          <w:sz w:val="24"/>
          <w:szCs w:val="24"/>
          <w:highlight w:val="none"/>
        </w:rPr>
        <w:t xml:space="preserve"> </w:t>
      </w:r>
    </w:p>
    <w:p>
      <w:pPr>
        <w:pStyle w:val="2"/>
        <w:numPr>
          <w:ilvl w:val="0"/>
          <w:numId w:val="0"/>
        </w:numPr>
        <w:tabs>
          <w:tab w:val="left" w:pos="8227"/>
        </w:tabs>
        <w:kinsoku w:val="0"/>
        <w:overflowPunct w:val="0"/>
        <w:spacing w:line="381" w:lineRule="auto"/>
        <w:ind w:left="1680" w:leftChars="0" w:right="118" w:rightChars="0"/>
        <w:outlineLvl w:val="9"/>
        <w:rPr>
          <w:rFonts w:hint="eastAsia" w:ascii="仿宋" w:hAnsi="仿宋" w:eastAsia="仿宋" w:cs="仿宋"/>
          <w:color w:val="auto"/>
          <w:w w:val="95"/>
          <w:sz w:val="24"/>
          <w:szCs w:val="24"/>
          <w:highlight w:val="non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lang w:eastAsia="zh-CN"/>
        </w:rPr>
        <w:t>签字或盖章</w:t>
      </w:r>
      <w:r>
        <w:rPr>
          <w:rFonts w:hint="eastAsia" w:ascii="仿宋" w:hAnsi="仿宋" w:eastAsia="仿宋" w:cs="仿宋"/>
          <w:color w:val="auto"/>
          <w:w w:val="95"/>
          <w:sz w:val="24"/>
          <w:szCs w:val="24"/>
          <w:highlight w:val="none"/>
        </w:rPr>
        <w:t>）</w:t>
      </w:r>
    </w:p>
    <w:p>
      <w:pPr>
        <w:pStyle w:val="2"/>
        <w:numPr>
          <w:ilvl w:val="0"/>
          <w:numId w:val="0"/>
        </w:numPr>
        <w:tabs>
          <w:tab w:val="left" w:pos="5551"/>
          <w:tab w:val="left" w:pos="6511"/>
          <w:tab w:val="left" w:pos="7111"/>
          <w:tab w:val="left" w:pos="7711"/>
        </w:tabs>
        <w:kinsoku w:val="0"/>
        <w:overflowPunct w:val="0"/>
        <w:spacing w:before="46"/>
        <w:ind w:right="0" w:rightChars="0" w:firstLine="4410" w:firstLineChars="18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35"/>
        <w:keepNext w:val="0"/>
        <w:keepLines w:val="0"/>
        <w:widowControl w:val="0"/>
        <w:shd w:val="clear" w:color="auto" w:fill="auto"/>
        <w:bidi w:val="0"/>
        <w:spacing w:before="0" w:after="580" w:line="240" w:lineRule="auto"/>
        <w:ind w:left="0" w:right="0" w:firstLine="360"/>
        <w:jc w:val="left"/>
        <w:outlineLvl w:val="9"/>
        <w:rPr>
          <w:rFonts w:hint="eastAsia" w:ascii="仿宋" w:hAnsi="仿宋" w:eastAsia="仿宋" w:cs="仿宋"/>
          <w:color w:val="auto"/>
          <w:spacing w:val="0"/>
          <w:w w:val="100"/>
          <w:position w:val="0"/>
          <w:highlight w:val="none"/>
        </w:rPr>
      </w:pPr>
    </w:p>
    <w:p>
      <w:pPr>
        <w:shd w:val="clear" w:color="auto" w:fill="auto"/>
        <w:spacing w:line="360" w:lineRule="auto"/>
        <w:jc w:val="center"/>
        <w:outlineLvl w:val="9"/>
        <w:rPr>
          <w:rFonts w:hint="eastAsia" w:ascii="仿宋" w:hAnsi="仿宋" w:eastAsia="仿宋" w:cs="仿宋"/>
          <w:b w:val="0"/>
          <w:bCs/>
          <w:color w:val="auto"/>
          <w:kern w:val="0"/>
          <w:sz w:val="36"/>
          <w:szCs w:val="36"/>
          <w:highlight w:val="none"/>
          <w:lang w:val="en-US" w:eastAsia="zh-CN"/>
        </w:rPr>
      </w:pPr>
    </w:p>
    <w:p>
      <w:pPr>
        <w:shd w:val="clear" w:color="auto" w:fill="auto"/>
        <w:spacing w:line="360" w:lineRule="auto"/>
        <w:jc w:val="center"/>
        <w:outlineLvl w:val="9"/>
        <w:rPr>
          <w:rFonts w:hint="eastAsia" w:ascii="仿宋" w:hAnsi="仿宋" w:eastAsia="仿宋" w:cs="仿宋"/>
          <w:b w:val="0"/>
          <w:bCs/>
          <w:color w:val="auto"/>
          <w:kern w:val="0"/>
          <w:sz w:val="36"/>
          <w:szCs w:val="36"/>
          <w:highlight w:val="none"/>
          <w:lang w:val="en-US" w:eastAsia="zh-CN"/>
        </w:rPr>
      </w:pPr>
    </w:p>
    <w:p>
      <w:pPr>
        <w:shd w:val="clear" w:color="auto" w:fill="auto"/>
        <w:spacing w:line="360" w:lineRule="auto"/>
        <w:jc w:val="center"/>
        <w:outlineLvl w:val="9"/>
        <w:rPr>
          <w:rFonts w:hint="eastAsia" w:ascii="仿宋" w:hAnsi="仿宋" w:eastAsia="仿宋" w:cs="仿宋"/>
          <w:b w:val="0"/>
          <w:bCs/>
          <w:color w:val="auto"/>
          <w:kern w:val="0"/>
          <w:sz w:val="36"/>
          <w:szCs w:val="36"/>
          <w:highlight w:val="none"/>
          <w:lang w:val="en-US" w:eastAsia="zh-CN"/>
        </w:rPr>
      </w:pPr>
    </w:p>
    <w:p>
      <w:pPr>
        <w:shd w:val="clear" w:color="auto" w:fill="auto"/>
        <w:spacing w:line="360" w:lineRule="auto"/>
        <w:jc w:val="center"/>
        <w:outlineLvl w:val="9"/>
        <w:rPr>
          <w:rFonts w:hint="eastAsia" w:ascii="仿宋" w:hAnsi="仿宋" w:eastAsia="仿宋" w:cs="仿宋"/>
          <w:b/>
          <w:bCs w:val="0"/>
          <w:color w:val="auto"/>
          <w:kern w:val="0"/>
          <w:sz w:val="36"/>
          <w:szCs w:val="36"/>
          <w:highlight w:val="none"/>
        </w:rPr>
      </w:pPr>
      <w:r>
        <w:rPr>
          <w:rFonts w:hint="eastAsia" w:ascii="仿宋" w:hAnsi="仿宋" w:eastAsia="仿宋" w:cs="仿宋"/>
          <w:b/>
          <w:bCs w:val="0"/>
          <w:color w:val="auto"/>
          <w:kern w:val="0"/>
          <w:sz w:val="36"/>
          <w:szCs w:val="36"/>
          <w:highlight w:val="none"/>
          <w:lang w:val="en-US" w:eastAsia="zh-CN"/>
        </w:rPr>
        <w:t>9</w:t>
      </w:r>
      <w:r>
        <w:rPr>
          <w:rFonts w:hint="eastAsia" w:ascii="仿宋" w:hAnsi="仿宋" w:eastAsia="仿宋" w:cs="仿宋"/>
          <w:b/>
          <w:bCs w:val="0"/>
          <w:color w:val="auto"/>
          <w:kern w:val="0"/>
          <w:sz w:val="36"/>
          <w:szCs w:val="36"/>
          <w:highlight w:val="none"/>
        </w:rPr>
        <w:t>、中小企业声明函(</w:t>
      </w:r>
      <w:r>
        <w:rPr>
          <w:rFonts w:hint="eastAsia" w:ascii="仿宋" w:hAnsi="仿宋" w:eastAsia="仿宋" w:cs="仿宋"/>
          <w:b/>
          <w:bCs w:val="0"/>
          <w:color w:val="auto"/>
          <w:kern w:val="0"/>
          <w:sz w:val="36"/>
          <w:szCs w:val="36"/>
          <w:highlight w:val="none"/>
          <w:lang w:eastAsia="zh-CN"/>
        </w:rPr>
        <w:t>货物</w:t>
      </w:r>
      <w:r>
        <w:rPr>
          <w:rFonts w:hint="eastAsia" w:ascii="仿宋" w:hAnsi="仿宋" w:eastAsia="仿宋" w:cs="仿宋"/>
          <w:b/>
          <w:bCs w:val="0"/>
          <w:color w:val="auto"/>
          <w:kern w:val="0"/>
          <w:sz w:val="36"/>
          <w:szCs w:val="36"/>
          <w:highlight w:val="none"/>
        </w:rPr>
        <w:t>)</w:t>
      </w:r>
    </w:p>
    <w:p>
      <w:pPr>
        <w:ind w:left="1280"/>
        <w:outlineLvl w:val="9"/>
        <w:rPr>
          <w:rFonts w:hint="eastAsia" w:ascii="仿宋" w:hAnsi="仿宋" w:eastAsia="仿宋" w:cs="仿宋"/>
          <w:color w:val="auto"/>
          <w:sz w:val="32"/>
          <w:szCs w:val="32"/>
          <w:highlight w:val="none"/>
        </w:rPr>
      </w:pP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p>
    <w:p>
      <w:pPr>
        <w:shd w:val="clear" w:color="auto" w:fill="auto"/>
        <w:spacing w:line="360" w:lineRule="auto"/>
        <w:ind w:firstLine="4655"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pPr>
        <w:shd w:val="clear" w:color="auto" w:fill="auto"/>
        <w:spacing w:line="360" w:lineRule="auto"/>
        <w:ind w:firstLine="49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日期：</w:t>
      </w: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pStyle w:val="18"/>
        <w:outlineLvl w:val="9"/>
        <w:rPr>
          <w:rFonts w:hint="eastAsia" w:ascii="仿宋" w:hAnsi="仿宋" w:eastAsia="仿宋" w:cs="仿宋"/>
          <w:color w:val="auto"/>
          <w:highlight w:val="none"/>
        </w:rPr>
      </w:pPr>
    </w:p>
    <w:p>
      <w:pPr>
        <w:tabs>
          <w:tab w:val="left" w:pos="3600"/>
        </w:tabs>
        <w:adjustRightInd w:val="0"/>
        <w:snapToGrid w:val="0"/>
        <w:spacing w:line="440" w:lineRule="exact"/>
        <w:jc w:val="center"/>
        <w:outlineLvl w:val="9"/>
        <w:rPr>
          <w:rFonts w:hint="eastAsia" w:ascii="仿宋" w:hAnsi="仿宋" w:eastAsia="仿宋" w:cs="仿宋"/>
          <w:color w:val="auto"/>
          <w:spacing w:val="0"/>
          <w:w w:val="100"/>
          <w:position w:val="0"/>
          <w:sz w:val="36"/>
          <w:szCs w:val="36"/>
          <w:highlight w:val="none"/>
          <w:lang w:val="en-US" w:eastAsia="zh-CN"/>
        </w:rPr>
      </w:pPr>
    </w:p>
    <w:p>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10</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pPr>
        <w:widowControl/>
        <w:adjustRightInd w:val="0"/>
        <w:snapToGrid w:val="0"/>
        <w:spacing w:line="440" w:lineRule="exact"/>
        <w:ind w:firstLine="514" w:firstLineChars="200"/>
        <w:jc w:val="left"/>
        <w:outlineLvl w:val="9"/>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51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1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pPr>
        <w:widowControl/>
        <w:adjustRightInd w:val="0"/>
        <w:snapToGrid w:val="0"/>
        <w:spacing w:line="440" w:lineRule="exact"/>
        <w:ind w:firstLine="51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pPr>
        <w:widowControl/>
        <w:adjustRightInd w:val="0"/>
        <w:snapToGrid w:val="0"/>
        <w:spacing w:line="440" w:lineRule="exact"/>
        <w:ind w:firstLine="5654"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pPr>
        <w:widowControl/>
        <w:adjustRightInd w:val="0"/>
        <w:snapToGrid w:val="0"/>
        <w:spacing w:line="440" w:lineRule="exact"/>
        <w:ind w:firstLine="51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pStyle w:val="32"/>
        <w:outlineLvl w:val="9"/>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pPr>
        <w:pStyle w:val="2"/>
        <w:rPr>
          <w:rFonts w:hint="eastAsia"/>
          <w:highlight w:val="none"/>
          <w:lang w:val="en-US" w:eastAsia="zh-CN"/>
        </w:rPr>
      </w:pPr>
    </w:p>
    <w:p>
      <w:pPr>
        <w:shd w:val="clear" w:color="auto" w:fill="auto"/>
        <w:tabs>
          <w:tab w:val="left" w:pos="3600"/>
        </w:tabs>
        <w:adjustRightInd w:val="0"/>
        <w:snapToGrid w:val="0"/>
        <w:spacing w:line="440" w:lineRule="exact"/>
        <w:jc w:val="center"/>
        <w:outlineLvl w:val="9"/>
        <w:rPr>
          <w:rFonts w:hint="eastAsia" w:ascii="仿宋" w:hAnsi="仿宋" w:eastAsia="仿宋" w:cs="仿宋"/>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11、评分标准和细则中技术部分证明材料（格式自拟</w:t>
      </w:r>
      <w:r>
        <w:rPr>
          <w:rFonts w:hint="eastAsia" w:ascii="仿宋" w:hAnsi="仿宋" w:eastAsia="仿宋" w:cs="仿宋"/>
          <w:color w:val="auto"/>
          <w:spacing w:val="0"/>
          <w:w w:val="100"/>
          <w:position w:val="0"/>
          <w:sz w:val="36"/>
          <w:szCs w:val="36"/>
          <w:highlight w:val="none"/>
          <w:lang w:val="en-US" w:eastAsia="zh-CN"/>
        </w:rPr>
        <w:t>）</w:t>
      </w:r>
    </w:p>
    <w:p>
      <w:pPr>
        <w:numPr>
          <w:ilvl w:val="1"/>
          <w:numId w:val="0"/>
        </w:numPr>
        <w:shd w:val="clear" w:color="auto" w:fill="auto"/>
        <w:tabs>
          <w:tab w:val="left" w:pos="540"/>
        </w:tabs>
        <w:spacing w:before="0" w:line="240" w:lineRule="atLeast"/>
        <w:ind w:leftChars="257"/>
        <w:jc w:val="center"/>
        <w:outlineLvl w:val="9"/>
        <w:rPr>
          <w:rFonts w:hint="eastAsia" w:ascii="仿宋" w:hAnsi="仿宋" w:eastAsia="仿宋" w:cs="仿宋"/>
          <w:color w:val="auto"/>
          <w:sz w:val="24"/>
          <w:highlight w:val="none"/>
          <w:lang w:val="en-US" w:eastAsia="zh-CN"/>
        </w:rPr>
      </w:pPr>
    </w:p>
    <w:p>
      <w:pPr>
        <w:pStyle w:val="12"/>
        <w:pageBreakBefore w:val="0"/>
        <w:widowControl w:val="0"/>
        <w:shd w:val="clear" w:color="auto" w:fill="auto"/>
        <w:tabs>
          <w:tab w:val="left" w:pos="5580"/>
        </w:tabs>
        <w:kinsoku/>
        <w:wordWrap/>
        <w:overflowPunct/>
        <w:topLinePunct w:val="0"/>
        <w:autoSpaceDE/>
        <w:autoSpaceDN/>
        <w:bidi w:val="0"/>
        <w:adjustRightInd/>
        <w:snapToGrid/>
        <w:spacing w:line="360" w:lineRule="auto"/>
        <w:ind w:left="1169"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pPr>
        <w:pStyle w:val="12"/>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1470" w:firstLineChars="6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ageBreakBefore w:val="0"/>
        <w:widowControl w:val="0"/>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outlineLvl w:val="9"/>
        <w:rPr>
          <w:rFonts w:hint="eastAsia" w:ascii="仿宋" w:hAnsi="仿宋" w:eastAsia="仿宋" w:cs="仿宋"/>
          <w:color w:val="auto"/>
          <w:highlight w:val="none"/>
          <w:lang w:val="en-US" w:eastAsia="zh-CN"/>
        </w:rPr>
      </w:pPr>
    </w:p>
    <w:p>
      <w:pPr>
        <w:numPr>
          <w:ilvl w:val="1"/>
          <w:numId w:val="0"/>
        </w:numPr>
        <w:shd w:val="clear" w:color="auto" w:fill="auto"/>
        <w:tabs>
          <w:tab w:val="left" w:pos="540"/>
        </w:tabs>
        <w:spacing w:before="0" w:line="240" w:lineRule="atLeast"/>
        <w:ind w:leftChars="257"/>
        <w:jc w:val="center"/>
        <w:outlineLvl w:val="9"/>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outlineLvl w:val="9"/>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12、评分标准和细则中商务部分证明材料（格式自拟）</w:t>
      </w:r>
    </w:p>
    <w:p>
      <w:pPr>
        <w:pStyle w:val="12"/>
        <w:shd w:val="clear" w:color="auto" w:fill="auto"/>
        <w:tabs>
          <w:tab w:val="left" w:pos="5580"/>
        </w:tabs>
        <w:spacing w:line="240" w:lineRule="atLeast"/>
        <w:outlineLvl w:val="9"/>
        <w:rPr>
          <w:rFonts w:hint="eastAsia" w:ascii="仿宋" w:hAnsi="仿宋" w:eastAsia="仿宋" w:cs="仿宋"/>
          <w:color w:val="auto"/>
          <w:sz w:val="24"/>
          <w:highlight w:val="none"/>
        </w:rPr>
      </w:pPr>
    </w:p>
    <w:p>
      <w:pPr>
        <w:pStyle w:val="12"/>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169"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pPr>
        <w:pStyle w:val="12"/>
        <w:keepNext w:val="0"/>
        <w:keepLines w:val="0"/>
        <w:pageBreakBefore w:val="0"/>
        <w:widowControl w:val="0"/>
        <w:shd w:val="clear" w:color="auto" w:fill="auto"/>
        <w:tabs>
          <w:tab w:val="left" w:pos="5580"/>
        </w:tabs>
        <w:kinsoku/>
        <w:wordWrap/>
        <w:overflowPunct/>
        <w:topLinePunct w:val="0"/>
        <w:autoSpaceDE/>
        <w:autoSpaceDN/>
        <w:bidi w:val="0"/>
        <w:spacing w:line="360" w:lineRule="auto"/>
        <w:ind w:firstLine="1470" w:firstLineChars="6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keepNext w:val="0"/>
        <w:keepLines w:val="0"/>
        <w:pageBreakBefore w:val="0"/>
        <w:widowControl w:val="0"/>
        <w:numPr>
          <w:ilvl w:val="1"/>
          <w:numId w:val="0"/>
        </w:numPr>
        <w:shd w:val="clear" w:color="auto" w:fill="auto"/>
        <w:tabs>
          <w:tab w:val="left" w:pos="540"/>
        </w:tabs>
        <w:kinsoku/>
        <w:wordWrap/>
        <w:overflowPunct/>
        <w:topLinePunct w:val="0"/>
        <w:autoSpaceDE/>
        <w:autoSpaceDN/>
        <w:bidi w:val="0"/>
        <w:spacing w:before="0" w:line="360" w:lineRule="auto"/>
        <w:jc w:val="left"/>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outlineLvl w:val="9"/>
        <w:rPr>
          <w:rFonts w:hint="eastAsia" w:ascii="仿宋" w:hAnsi="仿宋" w:eastAsia="仿宋" w:cs="仿宋"/>
          <w:color w:val="auto"/>
          <w:highlight w:val="none"/>
          <w:lang w:val="en-US" w:eastAsia="zh-CN"/>
        </w:rPr>
      </w:pP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outlineLvl w:val="9"/>
        <w:rPr>
          <w:rFonts w:hint="eastAsia" w:ascii="仿宋" w:hAnsi="仿宋" w:eastAsia="仿宋" w:cs="仿宋"/>
          <w:b/>
          <w:bCs/>
          <w:color w:val="auto"/>
          <w:spacing w:val="0"/>
          <w:w w:val="9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13、</w:t>
      </w:r>
      <w:r>
        <w:rPr>
          <w:rFonts w:hint="eastAsia" w:ascii="仿宋" w:hAnsi="仿宋" w:eastAsia="仿宋" w:cs="仿宋"/>
          <w:b/>
          <w:bCs/>
          <w:color w:val="auto"/>
          <w:spacing w:val="0"/>
          <w:w w:val="90"/>
          <w:position w:val="0"/>
          <w:sz w:val="36"/>
          <w:szCs w:val="36"/>
          <w:highlight w:val="none"/>
          <w:lang w:val="en-US" w:eastAsia="zh-CN"/>
        </w:rPr>
        <w:t>投标人认为有必要提供的其他证明材料（格式自拟）</w:t>
      </w:r>
    </w:p>
    <w:p>
      <w:pPr>
        <w:pStyle w:val="12"/>
        <w:shd w:val="clear" w:color="auto" w:fill="auto"/>
        <w:tabs>
          <w:tab w:val="left" w:pos="5580"/>
        </w:tabs>
        <w:spacing w:line="240" w:lineRule="atLeast"/>
        <w:ind w:firstLine="490" w:firstLineChars="200"/>
        <w:outlineLvl w:val="9"/>
        <w:rPr>
          <w:rFonts w:hint="eastAsia" w:ascii="仿宋" w:hAnsi="仿宋" w:eastAsia="仿宋" w:cs="仿宋"/>
          <w:color w:val="auto"/>
          <w:sz w:val="24"/>
          <w:highlight w:val="none"/>
        </w:rPr>
      </w:pPr>
    </w:p>
    <w:p>
      <w:pPr>
        <w:pStyle w:val="12"/>
        <w:shd w:val="clear" w:color="auto" w:fill="auto"/>
        <w:tabs>
          <w:tab w:val="left" w:pos="5580"/>
        </w:tabs>
        <w:spacing w:line="240" w:lineRule="atLeast"/>
        <w:ind w:firstLine="49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pPr>
        <w:pStyle w:val="13"/>
        <w:outlineLvl w:val="9"/>
        <w:rPr>
          <w:rFonts w:hint="eastAsia"/>
          <w:color w:val="auto"/>
          <w:highlight w:val="none"/>
        </w:rPr>
      </w:pPr>
    </w:p>
    <w:sectPr>
      <w:pgSz w:w="11905" w:h="16838"/>
      <w:pgMar w:top="1440" w:right="1134" w:bottom="1440" w:left="1134" w:header="850" w:footer="992" w:gutter="0"/>
      <w:pgNumType w:fmt="decimal"/>
      <w:cols w:space="0" w:num="1"/>
      <w:rtlGutter w:val="0"/>
      <w:docGrid w:type="linesAndChars" w:linePitch="335"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ascii="仿宋" w:hAnsi="仿宋" w:eastAsia="仿宋" w:cs="仿宋"/>
        <w:sz w:val="40"/>
        <w:szCs w:val="56"/>
      </w:rPr>
    </w:pPr>
    <w:r>
      <w:rPr>
        <w:rFonts w:hint="eastAsia" w:ascii="仿宋" w:hAnsi="仿宋" w:eastAsia="仿宋" w:cs="仿宋"/>
        <w:sz w:val="20"/>
        <w:szCs w:val="20"/>
      </w:rPr>
      <w:t>新疆天勤工程管理有限公司    地址：克州阿图什市迎宾路80号三楼    联系电话：0908</w:t>
    </w:r>
    <w:r>
      <w:rPr>
        <w:rFonts w:hint="eastAsia" w:ascii="仿宋" w:hAnsi="仿宋" w:eastAsia="仿宋" w:cs="仿宋"/>
        <w:sz w:val="20"/>
        <w:szCs w:val="20"/>
        <w:lang w:val="en-US" w:eastAsia="zh-CN"/>
      </w:rPr>
      <w:t>-4230066</w:t>
    </w:r>
    <w:r>
      <w:rPr>
        <w:rFonts w:hint="eastAsia" w:ascii="仿宋" w:hAnsi="仿宋" w:eastAsia="仿宋" w:cs="仿宋"/>
        <w:sz w:val="18"/>
        <w:szCs w:val="18"/>
      </w:rPr>
      <w:tab/>
    </w:r>
    <w:r>
      <w:rPr>
        <w:rFonts w:hint="eastAsia" w:ascii="仿宋" w:hAnsi="仿宋" w:eastAsia="仿宋" w:cs="仿宋"/>
        <w:sz w:val="24"/>
        <w:szCs w:val="4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ascii="仿宋" w:hAnsi="仿宋" w:eastAsia="仿宋" w:cs="仿宋"/>
        <w:sz w:val="40"/>
        <w:szCs w:val="56"/>
      </w:rPr>
    </w:pPr>
    <w:r>
      <w:rPr>
        <w:sz w:val="20"/>
      </w:rPr>
      <mc:AlternateContent>
        <mc:Choice Requires="wps">
          <w:drawing>
            <wp:anchor distT="0" distB="0" distL="114300" distR="114300" simplePos="0" relativeHeight="251662336" behindDoc="0" locked="0" layoutInCell="1" allowOverlap="1">
              <wp:simplePos x="0" y="0"/>
              <wp:positionH relativeFrom="margin">
                <wp:posOffset>5835015</wp:posOffset>
              </wp:positionH>
              <wp:positionV relativeFrom="paragraph">
                <wp:posOffset>6985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9.45pt;margin-top:0.55pt;height:144pt;width:144pt;mso-position-horizontal-relative:margin;mso-wrap-style:none;z-index:251662336;mso-width-relative:page;mso-height-relative:page;" filled="f" stroked="f" coordsize="21600,21600" o:gfxdata="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rPlT1gAAAAo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sz w:val="20"/>
        <w:szCs w:val="20"/>
      </w:rPr>
      <w:t>新疆天勤工程管理有限公司    地址：克州阿图什市迎宾路80号三楼    联系电话：0908</w:t>
    </w:r>
    <w:r>
      <w:rPr>
        <w:rFonts w:hint="eastAsia" w:ascii="仿宋" w:hAnsi="仿宋" w:eastAsia="仿宋" w:cs="仿宋"/>
        <w:sz w:val="20"/>
        <w:szCs w:val="20"/>
        <w:lang w:val="en-US" w:eastAsia="zh-CN"/>
      </w:rPr>
      <w:t>-4230066</w:t>
    </w:r>
    <w:r>
      <w:rPr>
        <w:rFonts w:hint="eastAsia" w:ascii="仿宋" w:hAnsi="仿宋" w:eastAsia="仿宋" w:cs="仿宋"/>
        <w:sz w:val="18"/>
        <w:szCs w:val="18"/>
      </w:rPr>
      <w:tab/>
    </w:r>
    <w:r>
      <w:rPr>
        <w:rFonts w:hint="eastAsia" w:ascii="仿宋" w:hAnsi="仿宋" w:eastAsia="仿宋" w:cs="仿宋"/>
        <w:sz w:val="24"/>
        <w:szCs w:val="4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tabs>
        <w:tab w:val="clear" w:pos="4153"/>
        <w:tab w:val="clear" w:pos="8306"/>
      </w:tabs>
      <w:jc w:val="right"/>
      <w:rPr>
        <w:rFonts w:hint="eastAsia" w:ascii="仿宋" w:hAnsi="仿宋" w:eastAsia="仿宋" w:cs="仿宋"/>
        <w:sz w:val="21"/>
        <w:szCs w:val="32"/>
        <w:lang w:eastAsia="zh-CN"/>
      </w:rPr>
    </w:pPr>
    <w:r>
      <w:rPr>
        <w:rFonts w:hint="eastAsia" w:ascii="仿宋" w:hAnsi="仿宋" w:eastAsia="仿宋" w:cs="仿宋"/>
        <w:sz w:val="21"/>
        <w:szCs w:val="32"/>
        <w:lang w:eastAsia="zh-CN"/>
      </w:rPr>
      <w:t>上阿图什镇塔库提村农机服务设备采购项目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293B7"/>
    <w:multiLevelType w:val="singleLevel"/>
    <w:tmpl w:val="FAF293B7"/>
    <w:lvl w:ilvl="0" w:tentative="0">
      <w:start w:val="1"/>
      <w:numFmt w:val="decimal"/>
      <w:suff w:val="nothing"/>
      <w:lvlText w:val="%1、"/>
      <w:lvlJc w:val="left"/>
    </w:lvl>
  </w:abstractNum>
  <w:abstractNum w:abstractNumId="1">
    <w:nsid w:val="FB2EA784"/>
    <w:multiLevelType w:val="singleLevel"/>
    <w:tmpl w:val="FB2EA784"/>
    <w:lvl w:ilvl="0" w:tentative="0">
      <w:start w:val="4"/>
      <w:numFmt w:val="chineseCounting"/>
      <w:suff w:val="space"/>
      <w:lvlText w:val="第%1部分"/>
      <w:lvlJc w:val="left"/>
      <w:rPr>
        <w:rFonts w:hint="eastAsia"/>
      </w:rPr>
    </w:lvl>
  </w:abstractNum>
  <w:abstractNum w:abstractNumId="2">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3105F6B5"/>
    <w:multiLevelType w:val="singleLevel"/>
    <w:tmpl w:val="3105F6B5"/>
    <w:lvl w:ilvl="0" w:tentative="0">
      <w:start w:val="1"/>
      <w:numFmt w:val="decimal"/>
      <w:suff w:val="nothing"/>
      <w:lvlText w:val="%1、"/>
      <w:lvlJc w:val="left"/>
      <w:pPr>
        <w:ind w:left="320" w:leftChars="0" w:firstLine="0" w:firstLineChars="0"/>
      </w:p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HorizontalSpacing w:val="123"/>
  <w:drawingGridVerticalSpacing w:val="168"/>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zUwZmVjMzY2MDBmMGFhNDE0NzRhOGE3NTEzNmYifQ=="/>
  </w:docVars>
  <w:rsids>
    <w:rsidRoot w:val="430832B2"/>
    <w:rsid w:val="00036274"/>
    <w:rsid w:val="001C66E0"/>
    <w:rsid w:val="00271C3B"/>
    <w:rsid w:val="003348B2"/>
    <w:rsid w:val="00472A86"/>
    <w:rsid w:val="00DF3300"/>
    <w:rsid w:val="0123584C"/>
    <w:rsid w:val="01387A0A"/>
    <w:rsid w:val="015E08CF"/>
    <w:rsid w:val="01E13C39"/>
    <w:rsid w:val="01E44B68"/>
    <w:rsid w:val="023C35FE"/>
    <w:rsid w:val="025D7EBF"/>
    <w:rsid w:val="02811823"/>
    <w:rsid w:val="03120DC1"/>
    <w:rsid w:val="038329E4"/>
    <w:rsid w:val="040D666A"/>
    <w:rsid w:val="04197466"/>
    <w:rsid w:val="042A106A"/>
    <w:rsid w:val="044D2FF9"/>
    <w:rsid w:val="04DF1D99"/>
    <w:rsid w:val="04F35535"/>
    <w:rsid w:val="05CE725F"/>
    <w:rsid w:val="05E31007"/>
    <w:rsid w:val="06141E47"/>
    <w:rsid w:val="063B7194"/>
    <w:rsid w:val="074D53D1"/>
    <w:rsid w:val="07A939A9"/>
    <w:rsid w:val="07B57D82"/>
    <w:rsid w:val="08323FEC"/>
    <w:rsid w:val="08353FA3"/>
    <w:rsid w:val="08440397"/>
    <w:rsid w:val="085D5AE7"/>
    <w:rsid w:val="091D420B"/>
    <w:rsid w:val="09231976"/>
    <w:rsid w:val="093F2ABC"/>
    <w:rsid w:val="099C0E75"/>
    <w:rsid w:val="09B3430A"/>
    <w:rsid w:val="09D536A7"/>
    <w:rsid w:val="0A104989"/>
    <w:rsid w:val="0A982D0F"/>
    <w:rsid w:val="0AD77765"/>
    <w:rsid w:val="0AEC1713"/>
    <w:rsid w:val="0AEC1935"/>
    <w:rsid w:val="0B213EE8"/>
    <w:rsid w:val="0B2F3756"/>
    <w:rsid w:val="0B680A2B"/>
    <w:rsid w:val="0B84310F"/>
    <w:rsid w:val="0B9E39F1"/>
    <w:rsid w:val="0BF26C44"/>
    <w:rsid w:val="0CDD46C2"/>
    <w:rsid w:val="0D102430"/>
    <w:rsid w:val="0D2B33CB"/>
    <w:rsid w:val="0DE97ED5"/>
    <w:rsid w:val="0E782F04"/>
    <w:rsid w:val="0F5301E8"/>
    <w:rsid w:val="0F9E7F65"/>
    <w:rsid w:val="10685029"/>
    <w:rsid w:val="10751E04"/>
    <w:rsid w:val="107847B5"/>
    <w:rsid w:val="110E25D3"/>
    <w:rsid w:val="11A227BD"/>
    <w:rsid w:val="11BC2427"/>
    <w:rsid w:val="130308CA"/>
    <w:rsid w:val="135B3A09"/>
    <w:rsid w:val="13725EDE"/>
    <w:rsid w:val="13EB3FA7"/>
    <w:rsid w:val="13F25F1E"/>
    <w:rsid w:val="14333C53"/>
    <w:rsid w:val="147F77B9"/>
    <w:rsid w:val="14CF4184"/>
    <w:rsid w:val="15164F4C"/>
    <w:rsid w:val="1525173B"/>
    <w:rsid w:val="153C6A85"/>
    <w:rsid w:val="15AE1060"/>
    <w:rsid w:val="15E839EB"/>
    <w:rsid w:val="160A2911"/>
    <w:rsid w:val="167B61DA"/>
    <w:rsid w:val="169D7529"/>
    <w:rsid w:val="170A0FC7"/>
    <w:rsid w:val="171F0B4E"/>
    <w:rsid w:val="17451C21"/>
    <w:rsid w:val="17EB3771"/>
    <w:rsid w:val="182C2DE0"/>
    <w:rsid w:val="18333FC9"/>
    <w:rsid w:val="184B14B9"/>
    <w:rsid w:val="184E2C86"/>
    <w:rsid w:val="18FE29CF"/>
    <w:rsid w:val="1910625E"/>
    <w:rsid w:val="19791440"/>
    <w:rsid w:val="1985592C"/>
    <w:rsid w:val="198D3D53"/>
    <w:rsid w:val="19F6321A"/>
    <w:rsid w:val="1A3C3B56"/>
    <w:rsid w:val="1AA14F3E"/>
    <w:rsid w:val="1AED2CFB"/>
    <w:rsid w:val="1AFA15B8"/>
    <w:rsid w:val="1B6F1AB4"/>
    <w:rsid w:val="1BA86B96"/>
    <w:rsid w:val="1BCE2BAE"/>
    <w:rsid w:val="1BD6471C"/>
    <w:rsid w:val="1BE65325"/>
    <w:rsid w:val="1C824952"/>
    <w:rsid w:val="1E24584C"/>
    <w:rsid w:val="1E6813A9"/>
    <w:rsid w:val="1E91363A"/>
    <w:rsid w:val="1EC0484F"/>
    <w:rsid w:val="1ECE4F82"/>
    <w:rsid w:val="1EE5064C"/>
    <w:rsid w:val="1F232690"/>
    <w:rsid w:val="1F5B26D6"/>
    <w:rsid w:val="1F6007D8"/>
    <w:rsid w:val="1FBF7012"/>
    <w:rsid w:val="206F41B2"/>
    <w:rsid w:val="207F1924"/>
    <w:rsid w:val="2080160F"/>
    <w:rsid w:val="212A6FB2"/>
    <w:rsid w:val="22965E6B"/>
    <w:rsid w:val="22A01578"/>
    <w:rsid w:val="22F917C9"/>
    <w:rsid w:val="23844555"/>
    <w:rsid w:val="23874BA3"/>
    <w:rsid w:val="23C60E74"/>
    <w:rsid w:val="24AA355B"/>
    <w:rsid w:val="24D80E4E"/>
    <w:rsid w:val="25002F8D"/>
    <w:rsid w:val="250F1BE1"/>
    <w:rsid w:val="251B598A"/>
    <w:rsid w:val="25546BA5"/>
    <w:rsid w:val="25550156"/>
    <w:rsid w:val="25777D91"/>
    <w:rsid w:val="260D7B4D"/>
    <w:rsid w:val="26694B4E"/>
    <w:rsid w:val="267D2FA7"/>
    <w:rsid w:val="26D37563"/>
    <w:rsid w:val="26E45926"/>
    <w:rsid w:val="26FC7E22"/>
    <w:rsid w:val="27161DF2"/>
    <w:rsid w:val="27D72414"/>
    <w:rsid w:val="27EF2A88"/>
    <w:rsid w:val="283D072F"/>
    <w:rsid w:val="28527753"/>
    <w:rsid w:val="285C7E68"/>
    <w:rsid w:val="286B44D3"/>
    <w:rsid w:val="28CE180E"/>
    <w:rsid w:val="291C049E"/>
    <w:rsid w:val="296347F1"/>
    <w:rsid w:val="299F2BD7"/>
    <w:rsid w:val="29DC7303"/>
    <w:rsid w:val="2A2953D2"/>
    <w:rsid w:val="2A403E4C"/>
    <w:rsid w:val="2A470C7F"/>
    <w:rsid w:val="2A4D3EAF"/>
    <w:rsid w:val="2A6F2C28"/>
    <w:rsid w:val="2AB303AA"/>
    <w:rsid w:val="2AF552B4"/>
    <w:rsid w:val="2B233137"/>
    <w:rsid w:val="2B7102E5"/>
    <w:rsid w:val="2B762634"/>
    <w:rsid w:val="2C047AD0"/>
    <w:rsid w:val="2C4C731E"/>
    <w:rsid w:val="2C7C4FC9"/>
    <w:rsid w:val="2D1B0C53"/>
    <w:rsid w:val="2DF06B27"/>
    <w:rsid w:val="2DF1140A"/>
    <w:rsid w:val="2E1B0C2F"/>
    <w:rsid w:val="2E2D151C"/>
    <w:rsid w:val="2E3E3691"/>
    <w:rsid w:val="2E764B34"/>
    <w:rsid w:val="2E9D1F9E"/>
    <w:rsid w:val="2F934252"/>
    <w:rsid w:val="2FA50B1C"/>
    <w:rsid w:val="304F102E"/>
    <w:rsid w:val="305F7D9F"/>
    <w:rsid w:val="30CE30FC"/>
    <w:rsid w:val="31146331"/>
    <w:rsid w:val="31286C3D"/>
    <w:rsid w:val="31753DD8"/>
    <w:rsid w:val="31C54436"/>
    <w:rsid w:val="3207424B"/>
    <w:rsid w:val="32D36D80"/>
    <w:rsid w:val="32E53B2C"/>
    <w:rsid w:val="32E72D84"/>
    <w:rsid w:val="335C76C1"/>
    <w:rsid w:val="33974E7C"/>
    <w:rsid w:val="34325BDF"/>
    <w:rsid w:val="3464452F"/>
    <w:rsid w:val="347714ED"/>
    <w:rsid w:val="34AC63E7"/>
    <w:rsid w:val="35104540"/>
    <w:rsid w:val="35427B0F"/>
    <w:rsid w:val="355166BF"/>
    <w:rsid w:val="35C66178"/>
    <w:rsid w:val="36AA5E0A"/>
    <w:rsid w:val="36B2479F"/>
    <w:rsid w:val="36E42A50"/>
    <w:rsid w:val="379F4F25"/>
    <w:rsid w:val="37D44BCF"/>
    <w:rsid w:val="38083993"/>
    <w:rsid w:val="386C0CA7"/>
    <w:rsid w:val="3891387E"/>
    <w:rsid w:val="38C56C0D"/>
    <w:rsid w:val="396A3EEA"/>
    <w:rsid w:val="39C66770"/>
    <w:rsid w:val="39C72577"/>
    <w:rsid w:val="39EE19D4"/>
    <w:rsid w:val="3A1273C6"/>
    <w:rsid w:val="3A283A12"/>
    <w:rsid w:val="3A716BA7"/>
    <w:rsid w:val="3AE06945"/>
    <w:rsid w:val="3BC55DD4"/>
    <w:rsid w:val="3BEF2DB1"/>
    <w:rsid w:val="3BFA097C"/>
    <w:rsid w:val="3C044892"/>
    <w:rsid w:val="3C2D32D2"/>
    <w:rsid w:val="3C415AEE"/>
    <w:rsid w:val="3CA827C1"/>
    <w:rsid w:val="3CAD59EE"/>
    <w:rsid w:val="3D4F6A6F"/>
    <w:rsid w:val="3D681E63"/>
    <w:rsid w:val="3D751F42"/>
    <w:rsid w:val="3E0E1F27"/>
    <w:rsid w:val="3E983751"/>
    <w:rsid w:val="3ED26025"/>
    <w:rsid w:val="3FA7735D"/>
    <w:rsid w:val="407D392A"/>
    <w:rsid w:val="408E72C3"/>
    <w:rsid w:val="408E7BCF"/>
    <w:rsid w:val="40B26236"/>
    <w:rsid w:val="41047E71"/>
    <w:rsid w:val="413A315B"/>
    <w:rsid w:val="41523CEF"/>
    <w:rsid w:val="41681350"/>
    <w:rsid w:val="416F668A"/>
    <w:rsid w:val="419F6662"/>
    <w:rsid w:val="41A72D03"/>
    <w:rsid w:val="41BC55E0"/>
    <w:rsid w:val="41CC18D7"/>
    <w:rsid w:val="420B7389"/>
    <w:rsid w:val="42297C51"/>
    <w:rsid w:val="42320F37"/>
    <w:rsid w:val="423544BC"/>
    <w:rsid w:val="423563C7"/>
    <w:rsid w:val="42A122A4"/>
    <w:rsid w:val="42C57370"/>
    <w:rsid w:val="430832B2"/>
    <w:rsid w:val="435B2B0B"/>
    <w:rsid w:val="445769C9"/>
    <w:rsid w:val="44740DA7"/>
    <w:rsid w:val="44951B21"/>
    <w:rsid w:val="44A45B7D"/>
    <w:rsid w:val="4501031B"/>
    <w:rsid w:val="454815E5"/>
    <w:rsid w:val="45712B3F"/>
    <w:rsid w:val="457C2033"/>
    <w:rsid w:val="45CA1335"/>
    <w:rsid w:val="45F44D45"/>
    <w:rsid w:val="46A95479"/>
    <w:rsid w:val="46F77B89"/>
    <w:rsid w:val="4706296E"/>
    <w:rsid w:val="471A0124"/>
    <w:rsid w:val="4743767B"/>
    <w:rsid w:val="474D22A8"/>
    <w:rsid w:val="47785342"/>
    <w:rsid w:val="479455D3"/>
    <w:rsid w:val="4834354A"/>
    <w:rsid w:val="48F2746A"/>
    <w:rsid w:val="490F2667"/>
    <w:rsid w:val="49726A4B"/>
    <w:rsid w:val="49BD2994"/>
    <w:rsid w:val="4A0D2D7D"/>
    <w:rsid w:val="4A4B2CCE"/>
    <w:rsid w:val="4A69564B"/>
    <w:rsid w:val="4B856EF0"/>
    <w:rsid w:val="4BB73B85"/>
    <w:rsid w:val="4BF478AD"/>
    <w:rsid w:val="4BF50141"/>
    <w:rsid w:val="4C17384D"/>
    <w:rsid w:val="4C257A37"/>
    <w:rsid w:val="4CF5766A"/>
    <w:rsid w:val="4CF71E3A"/>
    <w:rsid w:val="4DF50B78"/>
    <w:rsid w:val="4E0976AB"/>
    <w:rsid w:val="4E6938E7"/>
    <w:rsid w:val="4E701DC0"/>
    <w:rsid w:val="4F006719"/>
    <w:rsid w:val="4F2E489B"/>
    <w:rsid w:val="4F5166AD"/>
    <w:rsid w:val="4F5D25FD"/>
    <w:rsid w:val="4F781BCA"/>
    <w:rsid w:val="4FB41D44"/>
    <w:rsid w:val="4FCC0E0D"/>
    <w:rsid w:val="4FE96891"/>
    <w:rsid w:val="50BF6E81"/>
    <w:rsid w:val="5119117C"/>
    <w:rsid w:val="513F080C"/>
    <w:rsid w:val="515317E5"/>
    <w:rsid w:val="515B13D4"/>
    <w:rsid w:val="51EF5036"/>
    <w:rsid w:val="52324560"/>
    <w:rsid w:val="52485F28"/>
    <w:rsid w:val="52654DCD"/>
    <w:rsid w:val="5306542C"/>
    <w:rsid w:val="533662E6"/>
    <w:rsid w:val="53390376"/>
    <w:rsid w:val="534704F3"/>
    <w:rsid w:val="53746819"/>
    <w:rsid w:val="53940122"/>
    <w:rsid w:val="553813F1"/>
    <w:rsid w:val="55B81281"/>
    <w:rsid w:val="56493792"/>
    <w:rsid w:val="57D3597F"/>
    <w:rsid w:val="58A83ABB"/>
    <w:rsid w:val="58E30CBE"/>
    <w:rsid w:val="597C103E"/>
    <w:rsid w:val="59834B75"/>
    <w:rsid w:val="59BD150F"/>
    <w:rsid w:val="5A7E608A"/>
    <w:rsid w:val="5AE0581C"/>
    <w:rsid w:val="5B070AA1"/>
    <w:rsid w:val="5B316E66"/>
    <w:rsid w:val="5B5C1769"/>
    <w:rsid w:val="5BE43388"/>
    <w:rsid w:val="5C183C67"/>
    <w:rsid w:val="5C233588"/>
    <w:rsid w:val="5CA75AA1"/>
    <w:rsid w:val="5CBC3478"/>
    <w:rsid w:val="5CD53D28"/>
    <w:rsid w:val="5CFE772B"/>
    <w:rsid w:val="5D2366CB"/>
    <w:rsid w:val="5D2E6280"/>
    <w:rsid w:val="5D3331A6"/>
    <w:rsid w:val="5E0B0134"/>
    <w:rsid w:val="5E135BA1"/>
    <w:rsid w:val="5E1D1079"/>
    <w:rsid w:val="5E9F4200"/>
    <w:rsid w:val="5EDA6373"/>
    <w:rsid w:val="5F0C00BF"/>
    <w:rsid w:val="601F4136"/>
    <w:rsid w:val="6031773D"/>
    <w:rsid w:val="603C050E"/>
    <w:rsid w:val="606D7C3D"/>
    <w:rsid w:val="60C45E60"/>
    <w:rsid w:val="618E773C"/>
    <w:rsid w:val="62123B3B"/>
    <w:rsid w:val="622D3D77"/>
    <w:rsid w:val="634A483E"/>
    <w:rsid w:val="639B557E"/>
    <w:rsid w:val="63A76D6E"/>
    <w:rsid w:val="642B45E0"/>
    <w:rsid w:val="64604EAC"/>
    <w:rsid w:val="64740A1C"/>
    <w:rsid w:val="64A63DCF"/>
    <w:rsid w:val="64DF79CD"/>
    <w:rsid w:val="66457796"/>
    <w:rsid w:val="6695111E"/>
    <w:rsid w:val="66A5387A"/>
    <w:rsid w:val="66BA5854"/>
    <w:rsid w:val="67656B1B"/>
    <w:rsid w:val="67AE419D"/>
    <w:rsid w:val="67B22635"/>
    <w:rsid w:val="683769EB"/>
    <w:rsid w:val="68BF6DF6"/>
    <w:rsid w:val="698C50B9"/>
    <w:rsid w:val="69D47128"/>
    <w:rsid w:val="6A845405"/>
    <w:rsid w:val="6AD37813"/>
    <w:rsid w:val="6ADE7537"/>
    <w:rsid w:val="6B221B0E"/>
    <w:rsid w:val="6B506044"/>
    <w:rsid w:val="6C5067B1"/>
    <w:rsid w:val="6C7543E1"/>
    <w:rsid w:val="6C783074"/>
    <w:rsid w:val="6C963B87"/>
    <w:rsid w:val="6C9F4DA0"/>
    <w:rsid w:val="6CA96079"/>
    <w:rsid w:val="6CAC1F8A"/>
    <w:rsid w:val="6CC81EA4"/>
    <w:rsid w:val="6D3756D1"/>
    <w:rsid w:val="6D37776E"/>
    <w:rsid w:val="6D3E293F"/>
    <w:rsid w:val="6DBD66CF"/>
    <w:rsid w:val="6E181588"/>
    <w:rsid w:val="6EEE4B4A"/>
    <w:rsid w:val="6F782CCB"/>
    <w:rsid w:val="6FFC5967"/>
    <w:rsid w:val="701E297D"/>
    <w:rsid w:val="704838FD"/>
    <w:rsid w:val="709119F6"/>
    <w:rsid w:val="71F7318A"/>
    <w:rsid w:val="721A3870"/>
    <w:rsid w:val="725C5BA9"/>
    <w:rsid w:val="72951E3C"/>
    <w:rsid w:val="72DB435C"/>
    <w:rsid w:val="72DC3B42"/>
    <w:rsid w:val="739641CD"/>
    <w:rsid w:val="746335E0"/>
    <w:rsid w:val="74B1717B"/>
    <w:rsid w:val="74D13CD9"/>
    <w:rsid w:val="754C749B"/>
    <w:rsid w:val="75AB1C93"/>
    <w:rsid w:val="75DF2050"/>
    <w:rsid w:val="76013DC0"/>
    <w:rsid w:val="761B163F"/>
    <w:rsid w:val="76810114"/>
    <w:rsid w:val="76A5065C"/>
    <w:rsid w:val="76C43894"/>
    <w:rsid w:val="76E41762"/>
    <w:rsid w:val="7717316E"/>
    <w:rsid w:val="77603777"/>
    <w:rsid w:val="77901BB9"/>
    <w:rsid w:val="77C7479C"/>
    <w:rsid w:val="77EC0C4E"/>
    <w:rsid w:val="78066149"/>
    <w:rsid w:val="786C31EE"/>
    <w:rsid w:val="788E3223"/>
    <w:rsid w:val="78E06AB0"/>
    <w:rsid w:val="791F1447"/>
    <w:rsid w:val="798E0318"/>
    <w:rsid w:val="7A466BC3"/>
    <w:rsid w:val="7A630025"/>
    <w:rsid w:val="7AD93877"/>
    <w:rsid w:val="7BEB61FD"/>
    <w:rsid w:val="7BFC0690"/>
    <w:rsid w:val="7C691800"/>
    <w:rsid w:val="7CC540BD"/>
    <w:rsid w:val="7CFB6C1C"/>
    <w:rsid w:val="7D162B61"/>
    <w:rsid w:val="7D277D65"/>
    <w:rsid w:val="7D423759"/>
    <w:rsid w:val="7D695F1A"/>
    <w:rsid w:val="7DD956AA"/>
    <w:rsid w:val="7E2D5B39"/>
    <w:rsid w:val="7E3239CA"/>
    <w:rsid w:val="7E9956EB"/>
    <w:rsid w:val="7ED160D1"/>
    <w:rsid w:val="7FDE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numPr>
        <w:ilvl w:val="0"/>
        <w:numId w:val="1"/>
      </w:numPr>
      <w:tabs>
        <w:tab w:val="clear" w:pos="780"/>
      </w:tabs>
      <w:ind w:left="0" w:firstLine="0"/>
    </w:pPr>
    <w:rPr>
      <w:rFonts w:ascii="黑体" w:eastAsia="黑体"/>
      <w:sz w:val="22"/>
    </w:rPr>
  </w:style>
  <w:style w:type="paragraph" w:customStyle="1" w:styleId="3">
    <w:name w:val="_Style 2"/>
    <w:basedOn w:val="4"/>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0"/>
    </w:rPr>
  </w:style>
  <w:style w:type="paragraph" w:styleId="9">
    <w:name w:val="index 6"/>
    <w:basedOn w:val="1"/>
    <w:next w:val="1"/>
    <w:qFormat/>
    <w:uiPriority w:val="99"/>
    <w:pPr>
      <w:ind w:left="2100"/>
    </w:pPr>
  </w:style>
  <w:style w:type="paragraph" w:styleId="10">
    <w:name w:val="Body Text Indent"/>
    <w:basedOn w:val="1"/>
    <w:next w:val="1"/>
    <w:qFormat/>
    <w:uiPriority w:val="0"/>
    <w:pPr>
      <w:spacing w:after="120"/>
      <w:ind w:left="200" w:leftChars="200"/>
    </w:pPr>
  </w:style>
  <w:style w:type="paragraph" w:styleId="11">
    <w:name w:val="toc 3"/>
    <w:basedOn w:val="1"/>
    <w:next w:val="1"/>
    <w:qFormat/>
    <w:uiPriority w:val="0"/>
    <w:pPr>
      <w:ind w:left="840" w:leftChars="400"/>
    </w:pPr>
  </w:style>
  <w:style w:type="paragraph" w:styleId="12">
    <w:name w:val="Plain Text"/>
    <w:basedOn w:val="1"/>
    <w:next w:val="13"/>
    <w:qFormat/>
    <w:uiPriority w:val="0"/>
    <w:rPr>
      <w:rFonts w:ascii="宋体"/>
      <w:color w:val="000000"/>
      <w:szCs w:val="20"/>
      <w:u w:val="none" w:color="000000"/>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Date"/>
    <w:basedOn w:val="1"/>
    <w:next w:val="1"/>
    <w:qFormat/>
    <w:uiPriority w:val="0"/>
    <w:pPr>
      <w:ind w:left="100"/>
    </w:pPr>
    <w:rPr>
      <w:sz w:val="24"/>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footnote text"/>
    <w:basedOn w:val="1"/>
    <w:semiHidden/>
    <w:unhideWhenUsed/>
    <w:qFormat/>
    <w:uiPriority w:val="99"/>
    <w:pPr>
      <w:snapToGrid w:val="0"/>
      <w:jc w:val="left"/>
    </w:pPr>
    <w:rPr>
      <w:sz w:val="18"/>
      <w:szCs w:val="18"/>
    </w:rPr>
  </w:style>
  <w:style w:type="paragraph" w:styleId="19">
    <w:name w:val="toc 2"/>
    <w:basedOn w:val="1"/>
    <w:next w:val="1"/>
    <w:qFormat/>
    <w:uiPriority w:val="0"/>
    <w:pPr>
      <w:ind w:left="420" w:leftChars="200"/>
    </w:pPr>
  </w:style>
  <w:style w:type="paragraph" w:styleId="20">
    <w:name w:val="Body Text 2"/>
    <w:basedOn w:val="1"/>
    <w:qFormat/>
    <w:uiPriority w:val="0"/>
    <w:pPr>
      <w:tabs>
        <w:tab w:val="left" w:pos="0"/>
      </w:tabs>
      <w:spacing w:line="400" w:lineRule="atLeast"/>
    </w:pPr>
    <w:rPr>
      <w:rFonts w:ascii="Arial" w:hAnsi="Arial"/>
      <w:color w:val="000000"/>
    </w:rPr>
  </w:style>
  <w:style w:type="paragraph" w:styleId="21">
    <w:name w:val="Normal (Web)"/>
    <w:basedOn w:val="1"/>
    <w:next w:val="22"/>
    <w:qFormat/>
    <w:uiPriority w:val="99"/>
    <w:pPr>
      <w:widowControl/>
      <w:jc w:val="left"/>
    </w:pPr>
    <w:rPr>
      <w:rFonts w:ascii="宋体" w:hAnsi="宋体" w:eastAsia="宋体" w:cs="宋体"/>
      <w:kern w:val="0"/>
      <w:sz w:val="24"/>
      <w:szCs w:val="24"/>
    </w:rPr>
  </w:style>
  <w:style w:type="paragraph" w:customStyle="1" w:styleId="22">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2"/>
    <w:basedOn w:val="10"/>
    <w:semiHidden/>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Hyperlink"/>
    <w:qFormat/>
    <w:uiPriority w:val="99"/>
    <w:rPr>
      <w:color w:val="0000FF"/>
      <w:u w:val="single"/>
    </w:rPr>
  </w:style>
  <w:style w:type="character" w:styleId="29">
    <w:name w:val="footnote reference"/>
    <w:basedOn w:val="26"/>
    <w:semiHidden/>
    <w:unhideWhenUsed/>
    <w:qFormat/>
    <w:uiPriority w:val="99"/>
    <w:rPr>
      <w:vertAlign w:val="superscript"/>
    </w:rPr>
  </w:style>
  <w:style w:type="character" w:styleId="30">
    <w:name w:val="HTML Sample"/>
    <w:basedOn w:val="26"/>
    <w:qFormat/>
    <w:uiPriority w:val="0"/>
    <w:rPr>
      <w:rFonts w:ascii="Courier New" w:hAnsi="Courier New"/>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3">
    <w:name w:val="文档正文"/>
    <w:basedOn w:val="7"/>
    <w:qFormat/>
    <w:uiPriority w:val="0"/>
    <w:pPr>
      <w:spacing w:line="360" w:lineRule="auto"/>
    </w:pPr>
    <w:rPr>
      <w:rFonts w:ascii="宋体" w:hAnsi="宋体"/>
      <w:b/>
      <w:bCs/>
    </w:rPr>
  </w:style>
  <w:style w:type="paragraph" w:customStyle="1" w:styleId="34">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5">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6">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7">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8">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9">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0">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1">
    <w:name w:val="图例"/>
    <w:basedOn w:val="1"/>
    <w:qFormat/>
    <w:uiPriority w:val="0"/>
    <w:pPr>
      <w:spacing w:before="120" w:beforeLines="0" w:after="120" w:afterLines="0" w:line="360" w:lineRule="auto"/>
      <w:jc w:val="center"/>
    </w:pPr>
    <w:rPr>
      <w:rFonts w:eastAsia="仿宋_GB2312"/>
      <w:b/>
      <w:sz w:val="24"/>
    </w:rPr>
  </w:style>
  <w:style w:type="paragraph" w:customStyle="1" w:styleId="42">
    <w:name w:val="WPS Plain"/>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qFormat/>
    <w:uiPriority w:val="0"/>
    <w:pPr>
      <w:ind w:left="525" w:hanging="525" w:hangingChars="250"/>
    </w:pPr>
    <w:rPr>
      <w:szCs w:val="20"/>
    </w:rPr>
  </w:style>
  <w:style w:type="character" w:customStyle="1" w:styleId="44">
    <w:name w:val="font11"/>
    <w:basedOn w:val="26"/>
    <w:qFormat/>
    <w:uiPriority w:val="0"/>
    <w:rPr>
      <w:rFonts w:ascii="Calibri" w:hAnsi="Calibri" w:cs="Calibri"/>
      <w:color w:val="000000"/>
      <w:sz w:val="20"/>
      <w:szCs w:val="20"/>
      <w:u w:val="none"/>
    </w:rPr>
  </w:style>
  <w:style w:type="paragraph" w:customStyle="1" w:styleId="45">
    <w:name w:val="Normal"/>
    <w:qFormat/>
    <w:uiPriority w:val="0"/>
    <w:rPr>
      <w:rFonts w:ascii="Times New Roman" w:hAnsi="Times New Roman" w:eastAsia="Times New Roman" w:cs="Times New Roman"/>
      <w:sz w:val="24"/>
      <w:szCs w:val="24"/>
      <w:lang w:bidi="ar-SA"/>
    </w:rPr>
  </w:style>
  <w:style w:type="paragraph" w:customStyle="1" w:styleId="4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7">
    <w:name w:val="BodyText1I2"/>
    <w:basedOn w:val="48"/>
    <w:qFormat/>
    <w:uiPriority w:val="0"/>
    <w:pPr>
      <w:spacing w:after="0" w:afterLines="0" w:line="500" w:lineRule="exact"/>
      <w:ind w:left="0" w:leftChars="0" w:firstLine="420" w:firstLineChars="200"/>
      <w:jc w:val="both"/>
    </w:pPr>
    <w:rPr>
      <w:kern w:val="2"/>
      <w:sz w:val="21"/>
      <w:szCs w:val="24"/>
      <w:lang w:bidi="ar-SA"/>
    </w:rPr>
  </w:style>
  <w:style w:type="paragraph" w:customStyle="1" w:styleId="48">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character" w:customStyle="1" w:styleId="49">
    <w:name w:val="font51"/>
    <w:basedOn w:val="26"/>
    <w:qFormat/>
    <w:uiPriority w:val="0"/>
    <w:rPr>
      <w:rFonts w:hint="eastAsia" w:ascii="宋体" w:hAnsi="宋体" w:eastAsia="宋体" w:cs="宋体"/>
      <w:color w:val="000000"/>
      <w:sz w:val="22"/>
      <w:szCs w:val="22"/>
      <w:u w:val="none"/>
    </w:rPr>
  </w:style>
  <w:style w:type="character" w:customStyle="1" w:styleId="50">
    <w:name w:val="font61"/>
    <w:basedOn w:val="26"/>
    <w:qFormat/>
    <w:uiPriority w:val="0"/>
    <w:rPr>
      <w:rFonts w:hint="eastAsia" w:ascii="宋体" w:hAnsi="宋体" w:eastAsia="宋体" w:cs="宋体"/>
      <w:color w:val="000000"/>
      <w:sz w:val="24"/>
      <w:szCs w:val="24"/>
      <w:u w:val="none"/>
    </w:rPr>
  </w:style>
  <w:style w:type="character" w:customStyle="1" w:styleId="51">
    <w:name w:val="font91"/>
    <w:basedOn w:val="26"/>
    <w:qFormat/>
    <w:uiPriority w:val="0"/>
    <w:rPr>
      <w:rFonts w:hint="default" w:ascii="Verdana" w:hAnsi="Verdana" w:cs="Verdana"/>
      <w:color w:val="000000"/>
      <w:sz w:val="24"/>
      <w:szCs w:val="24"/>
      <w:u w:val="none"/>
    </w:rPr>
  </w:style>
  <w:style w:type="character" w:customStyle="1" w:styleId="52">
    <w:name w:val="font31"/>
    <w:basedOn w:val="26"/>
    <w:qFormat/>
    <w:uiPriority w:val="0"/>
    <w:rPr>
      <w:rFonts w:hint="eastAsia" w:ascii="宋体" w:hAnsi="宋体" w:eastAsia="宋体" w:cs="宋体"/>
      <w:color w:val="000000"/>
      <w:sz w:val="21"/>
      <w:szCs w:val="21"/>
      <w:u w:val="none"/>
    </w:rPr>
  </w:style>
  <w:style w:type="character" w:customStyle="1" w:styleId="53">
    <w:name w:val="font01"/>
    <w:basedOn w:val="26"/>
    <w:qFormat/>
    <w:uiPriority w:val="0"/>
    <w:rPr>
      <w:rFonts w:hint="eastAsia" w:ascii="宋体" w:hAnsi="宋体" w:eastAsia="宋体" w:cs="宋体"/>
      <w:color w:val="000000"/>
      <w:sz w:val="22"/>
      <w:szCs w:val="22"/>
      <w:u w:val="none"/>
    </w:rPr>
  </w:style>
  <w:style w:type="character" w:customStyle="1" w:styleId="54">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45293</Words>
  <Characters>48650</Characters>
  <Lines>0</Lines>
  <Paragraphs>0</Paragraphs>
  <TotalTime>16</TotalTime>
  <ScaleCrop>false</ScaleCrop>
  <LinksUpToDate>false</LinksUpToDate>
  <CharactersWithSpaces>52753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尘埃里点、开不出爱情的花</cp:lastModifiedBy>
  <cp:lastPrinted>2022-09-05T04:29:00Z</cp:lastPrinted>
  <dcterms:modified xsi:type="dcterms:W3CDTF">2022-12-02T09:54:46Z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DEC63E6696464C9394C13ADC17C5580A</vt:lpwstr>
  </property>
</Properties>
</file>