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utoSpaceDE w:val="0"/>
        <w:autoSpaceDN w:val="0"/>
        <w:adjustRightInd w:val="0"/>
        <w:spacing w:line="300" w:lineRule="auto"/>
        <w:jc w:val="center"/>
        <w:rPr>
          <w:sz w:val="44"/>
          <w:szCs w:val="44"/>
          <w:lang w:val="zh-CN"/>
        </w:rPr>
      </w:pPr>
      <w:bookmarkStart w:id="0" w:name="_Toc5048"/>
      <w:bookmarkStart w:id="1" w:name="_Toc10143"/>
      <w:bookmarkStart w:id="2" w:name="_Toc13550"/>
      <w:bookmarkStart w:id="3" w:name="_Toc1819"/>
      <w:bookmarkStart w:id="4" w:name="_Toc17407"/>
      <w:bookmarkStart w:id="5" w:name="_Toc521014774"/>
      <w:r>
        <w:rPr>
          <w:rFonts w:hint="eastAsia" w:ascii="宋体" w:hAnsi="宋体" w:cs="宋体"/>
          <w:b/>
          <w:bCs/>
          <w:sz w:val="44"/>
          <w:szCs w:val="44"/>
          <w:lang w:val="en-US" w:eastAsia="zh-CN"/>
        </w:rPr>
        <w:t xml:space="preserve">和田地区洛浦县新城区供排水管网及附属配套建设项目 （智慧水务-计量设施）    </w:t>
      </w:r>
      <w:r>
        <w:rPr>
          <w:rFonts w:hint="eastAsia" w:ascii="宋体" w:hAnsi="宋体" w:cs="宋体"/>
          <w:b/>
          <w:bCs/>
          <w:sz w:val="44"/>
          <w:szCs w:val="44"/>
          <w:lang w:val="zh-CN"/>
        </w:rPr>
        <w:t>招标文件</w:t>
      </w:r>
    </w:p>
    <w:p>
      <w:pPr>
        <w:autoSpaceDE w:val="0"/>
        <w:autoSpaceDN w:val="0"/>
        <w:adjustRightInd w:val="0"/>
        <w:spacing w:line="300" w:lineRule="auto"/>
        <w:jc w:val="center"/>
        <w:rPr>
          <w:rFonts w:ascii="宋体" w:hAnsi="宋体" w:cs="宋体"/>
          <w:b/>
          <w:bCs/>
          <w:sz w:val="48"/>
          <w:szCs w:val="48"/>
          <w:lang w:val="zh-CN"/>
        </w:rPr>
      </w:pPr>
    </w:p>
    <w:p>
      <w:pPr>
        <w:autoSpaceDE w:val="0"/>
        <w:autoSpaceDN w:val="0"/>
        <w:adjustRightInd w:val="0"/>
        <w:spacing w:line="300" w:lineRule="auto"/>
        <w:jc w:val="center"/>
        <w:rPr>
          <w:lang w:val="zh-CN"/>
        </w:rPr>
      </w:pPr>
    </w:p>
    <w:p>
      <w:pPr>
        <w:pStyle w:val="7"/>
        <w:rPr>
          <w:lang w:val="zh-CN"/>
        </w:rPr>
      </w:pPr>
    </w:p>
    <w:p>
      <w:pPr>
        <w:pStyle w:val="7"/>
        <w:rPr>
          <w:lang w:val="zh-CN"/>
        </w:rPr>
      </w:pPr>
    </w:p>
    <w:p>
      <w:pPr>
        <w:pStyle w:val="7"/>
        <w:rPr>
          <w:lang w:val="zh-CN"/>
        </w:rPr>
      </w:pPr>
    </w:p>
    <w:p>
      <w:pPr>
        <w:spacing w:line="480" w:lineRule="auto"/>
        <w:ind w:firstLine="293" w:firstLineChars="100"/>
        <w:rPr>
          <w:rFonts w:hint="eastAsia" w:ascii="宋体" w:hAnsi="宋体"/>
          <w:b/>
          <w:bCs/>
          <w:spacing w:val="26"/>
          <w:sz w:val="24"/>
          <w:szCs w:val="24"/>
        </w:rPr>
      </w:pPr>
    </w:p>
    <w:p>
      <w:pPr>
        <w:spacing w:line="480" w:lineRule="auto"/>
        <w:rPr>
          <w:rFonts w:hint="eastAsia" w:ascii="宋体" w:hAnsi="宋体"/>
          <w:b/>
          <w:bCs/>
          <w:spacing w:val="26"/>
          <w:sz w:val="24"/>
          <w:szCs w:val="24"/>
        </w:rPr>
      </w:pPr>
    </w:p>
    <w:p>
      <w:pPr>
        <w:spacing w:line="480" w:lineRule="auto"/>
        <w:rPr>
          <w:rFonts w:hint="eastAsia" w:ascii="宋体" w:hAnsi="宋体"/>
          <w:b/>
          <w:bCs/>
          <w:spacing w:val="26"/>
          <w:sz w:val="30"/>
          <w:szCs w:val="30"/>
        </w:rPr>
      </w:pPr>
    </w:p>
    <w:p>
      <w:pPr>
        <w:spacing w:line="480" w:lineRule="auto"/>
        <w:ind w:firstLine="353" w:firstLineChars="100"/>
        <w:rPr>
          <w:rFonts w:hint="eastAsia" w:ascii="宋体" w:hAnsi="宋体"/>
          <w:b/>
          <w:bCs/>
          <w:spacing w:val="26"/>
          <w:sz w:val="30"/>
          <w:szCs w:val="30"/>
        </w:rPr>
      </w:pPr>
    </w:p>
    <w:p>
      <w:pPr>
        <w:spacing w:line="480" w:lineRule="auto"/>
        <w:ind w:firstLine="353" w:firstLineChars="100"/>
        <w:rPr>
          <w:rFonts w:hint="eastAsia" w:ascii="宋体" w:hAnsi="宋体" w:eastAsia="宋体"/>
          <w:sz w:val="30"/>
          <w:szCs w:val="30"/>
          <w:lang w:eastAsia="zh-CN"/>
        </w:rPr>
      </w:pPr>
      <w:r>
        <w:rPr>
          <w:rFonts w:hint="eastAsia" w:ascii="宋体" w:hAnsi="宋体"/>
          <w:b/>
          <w:bCs/>
          <w:spacing w:val="26"/>
          <w:sz w:val="30"/>
          <w:szCs w:val="30"/>
        </w:rPr>
        <w:t>采  购  人</w:t>
      </w:r>
      <w:r>
        <w:rPr>
          <w:rFonts w:hint="eastAsia" w:ascii="宋体" w:hAnsi="宋体"/>
          <w:spacing w:val="5"/>
          <w:w w:val="76"/>
          <w:sz w:val="30"/>
          <w:szCs w:val="30"/>
        </w:rPr>
        <w:t>（</w:t>
      </w:r>
      <w:r>
        <w:rPr>
          <w:rFonts w:hint="eastAsia" w:ascii="宋体" w:hAnsi="宋体"/>
          <w:spacing w:val="4"/>
          <w:sz w:val="30"/>
          <w:szCs w:val="30"/>
        </w:rPr>
        <w:t>盖章）</w:t>
      </w:r>
      <w:r>
        <w:rPr>
          <w:rFonts w:hint="eastAsia" w:ascii="宋体" w:hAnsi="宋体"/>
          <w:b/>
          <w:bCs/>
          <w:sz w:val="30"/>
          <w:szCs w:val="30"/>
        </w:rPr>
        <w:t>：</w:t>
      </w:r>
      <w:r>
        <w:rPr>
          <w:rFonts w:hint="eastAsia" w:ascii="宋体" w:hAnsi="宋体"/>
          <w:sz w:val="30"/>
          <w:szCs w:val="30"/>
          <w:lang w:eastAsia="zh-CN"/>
        </w:rPr>
        <w:t xml:space="preserve">和田地区北京工业园区管理委员会  </w:t>
      </w:r>
    </w:p>
    <w:p>
      <w:pPr>
        <w:spacing w:line="480" w:lineRule="auto"/>
        <w:rPr>
          <w:rFonts w:hint="eastAsia" w:ascii="宋体" w:hAnsi="宋体"/>
          <w:b/>
          <w:sz w:val="30"/>
          <w:szCs w:val="30"/>
        </w:rPr>
      </w:pPr>
    </w:p>
    <w:p>
      <w:pPr>
        <w:spacing w:line="480" w:lineRule="auto"/>
        <w:ind w:firstLine="301" w:firstLineChars="100"/>
        <w:rPr>
          <w:rFonts w:hint="eastAsia" w:ascii="宋体" w:hAnsi="宋体" w:eastAsia="宋体"/>
          <w:b/>
          <w:bCs/>
          <w:sz w:val="30"/>
          <w:szCs w:val="30"/>
          <w:lang w:eastAsia="zh-CN"/>
        </w:rPr>
      </w:pPr>
      <w:r>
        <w:rPr>
          <w:rFonts w:hint="eastAsia" w:ascii="宋体" w:hAnsi="宋体"/>
          <w:b/>
          <w:sz w:val="30"/>
          <w:szCs w:val="30"/>
        </w:rPr>
        <w:t>采购代理机构</w:t>
      </w:r>
      <w:r>
        <w:rPr>
          <w:rFonts w:hint="eastAsia" w:ascii="宋体" w:hAnsi="宋体"/>
          <w:spacing w:val="5"/>
          <w:w w:val="76"/>
          <w:sz w:val="30"/>
          <w:szCs w:val="30"/>
        </w:rPr>
        <w:t>（</w:t>
      </w:r>
      <w:r>
        <w:rPr>
          <w:rFonts w:hint="eastAsia" w:ascii="宋体" w:hAnsi="宋体"/>
          <w:spacing w:val="4"/>
          <w:sz w:val="30"/>
          <w:szCs w:val="30"/>
        </w:rPr>
        <w:t>盖章）</w:t>
      </w:r>
      <w:r>
        <w:rPr>
          <w:rFonts w:hint="eastAsia" w:ascii="宋体" w:hAnsi="宋体"/>
          <w:b/>
          <w:bCs/>
          <w:sz w:val="30"/>
          <w:szCs w:val="30"/>
        </w:rPr>
        <w:t>：</w:t>
      </w:r>
      <w:r>
        <w:rPr>
          <w:rFonts w:hint="eastAsia" w:ascii="宋体" w:hAnsi="宋体"/>
          <w:sz w:val="30"/>
          <w:szCs w:val="30"/>
          <w:lang w:eastAsia="zh-CN"/>
        </w:rPr>
        <w:t>新疆欣西域工程管理服务有限公司</w:t>
      </w:r>
    </w:p>
    <w:p>
      <w:pPr>
        <w:autoSpaceDE w:val="0"/>
        <w:autoSpaceDN w:val="0"/>
        <w:jc w:val="center"/>
        <w:rPr>
          <w:rFonts w:hint="eastAsia" w:ascii="宋体" w:hAnsi="宋体" w:cs="宋体"/>
          <w:bCs/>
          <w:color w:val="000000"/>
          <w:sz w:val="44"/>
          <w:szCs w:val="44"/>
          <w:lang w:val="zh-CN"/>
        </w:rPr>
      </w:pPr>
    </w:p>
    <w:p>
      <w:pPr>
        <w:pStyle w:val="7"/>
        <w:rPr>
          <w:rFonts w:hint="eastAsia" w:ascii="宋体" w:hAnsi="宋体" w:cs="宋体"/>
          <w:bCs/>
          <w:color w:val="000000"/>
          <w:sz w:val="44"/>
          <w:szCs w:val="44"/>
          <w:lang w:val="zh-CN"/>
        </w:rPr>
      </w:pPr>
    </w:p>
    <w:p>
      <w:pPr>
        <w:rPr>
          <w:rFonts w:hint="eastAsia"/>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autoSpaceDE w:val="0"/>
        <w:autoSpaceDN w:val="0"/>
        <w:jc w:val="center"/>
        <w:rPr>
          <w:rFonts w:hint="eastAsia" w:ascii="宋体" w:hAnsi="宋体" w:cs="宋体"/>
          <w:bCs/>
          <w:color w:val="000000"/>
          <w:sz w:val="44"/>
          <w:szCs w:val="44"/>
          <w:lang w:val="zh-CN"/>
        </w:rPr>
      </w:pPr>
    </w:p>
    <w:p>
      <w:pPr>
        <w:keepNext w:val="0"/>
        <w:keepLines w:val="0"/>
        <w:pageBreakBefore w:val="0"/>
        <w:widowControl w:val="0"/>
        <w:kinsoku/>
        <w:wordWrap/>
        <w:overflowPunct/>
        <w:topLinePunct w:val="0"/>
        <w:autoSpaceDE w:val="0"/>
        <w:autoSpaceDN w:val="0"/>
        <w:bidi w:val="0"/>
        <w:adjustRightInd/>
        <w:snapToGrid/>
        <w:spacing w:line="520" w:lineRule="exact"/>
        <w:jc w:val="center"/>
        <w:textAlignment w:val="auto"/>
        <w:rPr>
          <w:rFonts w:ascii="宋体" w:hAnsi="宋体"/>
          <w:bCs/>
          <w:color w:val="000000"/>
          <w:sz w:val="44"/>
          <w:szCs w:val="44"/>
          <w:lang w:val="zh-CN"/>
        </w:rPr>
      </w:pPr>
      <w:r>
        <w:rPr>
          <w:rFonts w:hint="eastAsia" w:ascii="宋体" w:hAnsi="宋体" w:cs="宋体"/>
          <w:bCs/>
          <w:color w:val="000000"/>
          <w:sz w:val="44"/>
          <w:szCs w:val="44"/>
          <w:lang w:val="zh-CN"/>
        </w:rPr>
        <w:t>招标文件</w:t>
      </w:r>
    </w:p>
    <w:p>
      <w:pPr>
        <w:autoSpaceDE w:val="0"/>
        <w:autoSpaceDN w:val="0"/>
        <w:adjustRightInd w:val="0"/>
        <w:ind w:left="4375" w:leftChars="150" w:hanging="4060" w:hangingChars="1450"/>
        <w:rPr>
          <w:rFonts w:ascii="宋体" w:hAnsi="宋体" w:cs="宋体"/>
          <w:bCs/>
          <w:color w:val="000000"/>
          <w:kern w:val="0"/>
          <w:sz w:val="28"/>
          <w:szCs w:val="28"/>
          <w:lang w:val="zh-CN"/>
        </w:rPr>
      </w:pPr>
    </w:p>
    <w:p>
      <w:pPr>
        <w:autoSpaceDE w:val="0"/>
        <w:autoSpaceDN w:val="0"/>
        <w:adjustRightInd w:val="0"/>
        <w:spacing w:line="480" w:lineRule="auto"/>
        <w:jc w:val="left"/>
        <w:rPr>
          <w:rFonts w:hint="eastAsia" w:ascii="宋体" w:hAnsi="宋体" w:cs="宋体"/>
          <w:bCs/>
          <w:color w:val="000000"/>
          <w:sz w:val="28"/>
          <w:szCs w:val="28"/>
          <w:lang w:val="zh-CN"/>
        </w:rPr>
      </w:pPr>
    </w:p>
    <w:p>
      <w:pPr>
        <w:keepNext w:val="0"/>
        <w:keepLines w:val="0"/>
        <w:pageBreakBefore w:val="0"/>
        <w:widowControl w:val="0"/>
        <w:kinsoku/>
        <w:wordWrap/>
        <w:overflowPunct/>
        <w:topLinePunct w:val="0"/>
        <w:autoSpaceDE w:val="0"/>
        <w:autoSpaceDN w:val="0"/>
        <w:bidi w:val="0"/>
        <w:adjustRightInd w:val="0"/>
        <w:snapToGrid/>
        <w:spacing w:line="480" w:lineRule="auto"/>
        <w:ind w:left="0" w:leftChars="0" w:firstLine="0" w:firstLineChars="0"/>
        <w:jc w:val="left"/>
        <w:textAlignment w:val="auto"/>
        <w:rPr>
          <w:rFonts w:hint="eastAsia" w:ascii="宋体" w:hAnsi="宋体" w:cs="宋体"/>
          <w:bCs/>
          <w:color w:val="000000"/>
          <w:sz w:val="28"/>
          <w:szCs w:val="28"/>
          <w:lang w:val="zh-CN" w:eastAsia="zh-CN"/>
        </w:rPr>
      </w:pPr>
      <w:r>
        <w:rPr>
          <w:rFonts w:hint="eastAsia" w:ascii="宋体" w:hAnsi="宋体" w:cs="宋体"/>
          <w:bCs/>
          <w:color w:val="000000"/>
          <w:sz w:val="28"/>
          <w:szCs w:val="28"/>
          <w:lang w:val="en-US" w:eastAsia="zh-CN"/>
        </w:rPr>
        <w:t>项目</w:t>
      </w:r>
      <w:r>
        <w:rPr>
          <w:rFonts w:hint="eastAsia" w:ascii="宋体" w:hAnsi="宋体" w:cs="宋体"/>
          <w:bCs/>
          <w:color w:val="000000"/>
          <w:sz w:val="28"/>
          <w:szCs w:val="28"/>
          <w:lang w:val="zh-CN"/>
        </w:rPr>
        <w:t>名称：</w:t>
      </w:r>
      <w:r>
        <w:rPr>
          <w:rFonts w:hint="eastAsia" w:ascii="宋体" w:hAnsi="宋体" w:cs="宋体"/>
          <w:bCs/>
          <w:color w:val="000000"/>
          <w:sz w:val="28"/>
          <w:szCs w:val="28"/>
          <w:lang w:val="zh-CN" w:eastAsia="zh-CN"/>
        </w:rPr>
        <w:t>和田地区洛浦县新城区供排水管网及附属配套建设项目 （智慧水务-计量设施）</w:t>
      </w:r>
    </w:p>
    <w:p>
      <w:pPr>
        <w:autoSpaceDE w:val="0"/>
        <w:autoSpaceDN w:val="0"/>
        <w:adjustRightInd w:val="0"/>
        <w:spacing w:line="480" w:lineRule="auto"/>
        <w:ind w:left="4375" w:leftChars="150" w:hanging="4060" w:hangingChars="1450"/>
        <w:rPr>
          <w:rFonts w:hint="eastAsia" w:ascii="宋体" w:hAnsi="宋体" w:cs="宋体"/>
          <w:bCs/>
          <w:color w:val="000000"/>
          <w:sz w:val="28"/>
          <w:szCs w:val="28"/>
          <w:lang w:val="zh-CN"/>
        </w:rPr>
      </w:pPr>
    </w:p>
    <w:p>
      <w:pPr>
        <w:autoSpaceDE w:val="0"/>
        <w:autoSpaceDN w:val="0"/>
        <w:adjustRightInd w:val="0"/>
        <w:spacing w:line="480" w:lineRule="auto"/>
        <w:ind w:left="4375" w:leftChars="150" w:hanging="4060" w:hangingChars="1450"/>
        <w:rPr>
          <w:rFonts w:hint="eastAsia" w:ascii="宋体" w:hAnsi="宋体" w:eastAsia="宋体" w:cs="宋体"/>
          <w:bCs/>
          <w:color w:val="000000"/>
          <w:sz w:val="28"/>
          <w:szCs w:val="28"/>
          <w:lang w:val="zh-CN" w:eastAsia="zh-CN"/>
        </w:rPr>
      </w:pPr>
      <w:r>
        <w:rPr>
          <w:rFonts w:hint="eastAsia" w:ascii="宋体" w:hAnsi="宋体" w:cs="宋体"/>
          <w:bCs/>
          <w:color w:val="000000"/>
          <w:sz w:val="28"/>
          <w:szCs w:val="28"/>
          <w:lang w:val="zh-CN"/>
        </w:rPr>
        <w:t>招 标 人（盖章）：</w:t>
      </w:r>
      <w:r>
        <w:rPr>
          <w:rFonts w:hint="eastAsia" w:ascii="宋体" w:hAnsi="宋体" w:cs="宋体"/>
          <w:bCs/>
          <w:color w:val="000000"/>
          <w:sz w:val="28"/>
          <w:szCs w:val="28"/>
          <w:lang w:eastAsia="zh-CN"/>
        </w:rPr>
        <w:t xml:space="preserve">和田地区北京工业园区管理委员会  </w:t>
      </w:r>
    </w:p>
    <w:p>
      <w:pPr>
        <w:autoSpaceDE w:val="0"/>
        <w:autoSpaceDN w:val="0"/>
        <w:adjustRightInd w:val="0"/>
        <w:spacing w:line="480" w:lineRule="auto"/>
        <w:ind w:left="4375" w:leftChars="150" w:hanging="4060" w:hangingChars="1450"/>
        <w:rPr>
          <w:rFonts w:hint="default" w:ascii="宋体" w:hAnsi="宋体" w:cs="宋体"/>
          <w:bCs/>
          <w:sz w:val="28"/>
          <w:szCs w:val="28"/>
          <w:lang w:val="en-US" w:eastAsia="zh-CN"/>
        </w:rPr>
      </w:pPr>
      <w:r>
        <w:rPr>
          <w:rFonts w:hint="eastAsia" w:ascii="宋体" w:hAnsi="宋体" w:cs="宋体"/>
          <w:bCs/>
          <w:color w:val="000000"/>
          <w:sz w:val="28"/>
          <w:szCs w:val="28"/>
          <w:lang w:val="zh-CN"/>
        </w:rPr>
        <w:t xml:space="preserve">联 系 </w:t>
      </w:r>
      <w:r>
        <w:rPr>
          <w:rFonts w:hint="eastAsia" w:ascii="宋体" w:hAnsi="宋体" w:cs="宋体"/>
          <w:bCs/>
          <w:sz w:val="28"/>
          <w:szCs w:val="28"/>
          <w:lang w:val="zh-CN"/>
        </w:rPr>
        <w:t>人：</w:t>
      </w:r>
      <w:r>
        <w:rPr>
          <w:rFonts w:hint="eastAsia" w:ascii="宋体" w:hAnsi="宋体" w:cs="宋体"/>
          <w:bCs/>
          <w:sz w:val="28"/>
          <w:szCs w:val="28"/>
          <w:lang w:val="zh-CN" w:eastAsia="zh-CN"/>
        </w:rPr>
        <w:t>方</w:t>
      </w:r>
      <w:r>
        <w:rPr>
          <w:rFonts w:hint="eastAsia" w:ascii="宋体" w:hAnsi="宋体" w:cs="宋体"/>
          <w:bCs/>
          <w:sz w:val="28"/>
          <w:szCs w:val="28"/>
          <w:lang w:val="en-US" w:eastAsia="zh-CN"/>
        </w:rPr>
        <w:t>志</w:t>
      </w:r>
    </w:p>
    <w:p>
      <w:pPr>
        <w:autoSpaceDE w:val="0"/>
        <w:autoSpaceDN w:val="0"/>
        <w:adjustRightInd w:val="0"/>
        <w:spacing w:line="480" w:lineRule="auto"/>
        <w:ind w:left="4375" w:leftChars="150" w:hanging="4060" w:hangingChars="1450"/>
        <w:rPr>
          <w:rFonts w:hint="eastAsia" w:ascii="宋体" w:hAnsi="宋体" w:cs="宋体"/>
          <w:bCs/>
          <w:sz w:val="28"/>
          <w:szCs w:val="28"/>
          <w:lang w:val="en-US" w:eastAsia="zh-CN"/>
        </w:rPr>
      </w:pPr>
      <w:r>
        <w:rPr>
          <w:rFonts w:hint="eastAsia" w:ascii="宋体" w:hAnsi="宋体" w:cs="宋体"/>
          <w:bCs/>
          <w:sz w:val="28"/>
          <w:szCs w:val="28"/>
          <w:lang w:val="zh-CN"/>
        </w:rPr>
        <w:t>电    话：</w:t>
      </w:r>
      <w:r>
        <w:rPr>
          <w:rFonts w:hint="eastAsia" w:ascii="宋体" w:hAnsi="宋体" w:cs="宋体"/>
          <w:bCs/>
          <w:sz w:val="28"/>
          <w:szCs w:val="28"/>
          <w:lang w:val="en-US" w:eastAsia="zh-CN"/>
        </w:rPr>
        <w:t xml:space="preserve">0903-6621095 </w:t>
      </w:r>
    </w:p>
    <w:p>
      <w:pPr>
        <w:autoSpaceDE w:val="0"/>
        <w:autoSpaceDN w:val="0"/>
        <w:adjustRightInd w:val="0"/>
        <w:spacing w:line="480" w:lineRule="auto"/>
        <w:ind w:left="4375" w:leftChars="150" w:hanging="4060" w:hangingChars="1450"/>
        <w:rPr>
          <w:rFonts w:hint="eastAsia"/>
          <w:color w:val="000000"/>
        </w:rPr>
      </w:pPr>
      <w:r>
        <w:rPr>
          <w:rFonts w:hint="eastAsia" w:ascii="宋体" w:hAnsi="宋体" w:cs="宋体"/>
          <w:bCs/>
          <w:color w:val="000000"/>
          <w:sz w:val="28"/>
          <w:szCs w:val="28"/>
          <w:lang w:val="zh-CN"/>
        </w:rPr>
        <w:t>详细地址：洛浦县北京路6号</w:t>
      </w:r>
    </w:p>
    <w:p>
      <w:pPr>
        <w:autoSpaceDE w:val="0"/>
        <w:autoSpaceDN w:val="0"/>
        <w:adjustRightInd w:val="0"/>
        <w:rPr>
          <w:rFonts w:ascii="宋体" w:hAnsi="宋体"/>
          <w:bCs/>
          <w:color w:val="000000"/>
          <w:sz w:val="28"/>
          <w:szCs w:val="28"/>
          <w:u w:val="single"/>
        </w:rPr>
      </w:pPr>
    </w:p>
    <w:p>
      <w:pPr>
        <w:autoSpaceDE w:val="0"/>
        <w:autoSpaceDN w:val="0"/>
        <w:adjustRightInd w:val="0"/>
        <w:spacing w:line="800" w:lineRule="exact"/>
        <w:rPr>
          <w:rFonts w:ascii="宋体" w:hAnsi="宋体" w:cs="宋体"/>
          <w:bCs/>
          <w:sz w:val="28"/>
          <w:szCs w:val="28"/>
        </w:rPr>
      </w:pPr>
      <w:r>
        <w:rPr>
          <w:rFonts w:hint="eastAsia" w:ascii="宋体" w:hAnsi="宋体" w:cs="宋体"/>
          <w:bCs/>
          <w:sz w:val="30"/>
          <w:szCs w:val="30"/>
        </w:rPr>
        <w:t>-------------------------------------------------------</w:t>
      </w:r>
    </w:p>
    <w:p>
      <w:pPr>
        <w:snapToGrid w:val="0"/>
        <w:spacing w:line="800" w:lineRule="exact"/>
        <w:ind w:left="-26" w:leftChars="-95" w:hanging="173" w:hangingChars="62"/>
        <w:rPr>
          <w:rFonts w:hint="default" w:ascii="宋体" w:hAnsi="宋体" w:eastAsia="宋体" w:cs="宋体"/>
          <w:bCs/>
          <w:sz w:val="28"/>
          <w:szCs w:val="28"/>
          <w:lang w:val="en-US" w:eastAsia="zh-CN"/>
        </w:rPr>
      </w:pPr>
      <w:r>
        <w:rPr>
          <w:rFonts w:hint="eastAsia" w:ascii="宋体" w:hAnsi="宋体" w:cs="宋体"/>
          <w:bCs/>
          <w:sz w:val="28"/>
          <w:szCs w:val="28"/>
        </w:rPr>
        <w:t>招标代理机构（盖章）:</w:t>
      </w:r>
      <w:r>
        <w:rPr>
          <w:rFonts w:hint="eastAsia" w:ascii="宋体" w:hAnsi="宋体" w:cs="宋体"/>
          <w:bCs/>
          <w:sz w:val="28"/>
          <w:szCs w:val="28"/>
          <w:lang w:val="en-US" w:eastAsia="zh-CN"/>
        </w:rPr>
        <w:t>新疆欣西域工程管理服务有限公司</w:t>
      </w:r>
    </w:p>
    <w:p>
      <w:pPr>
        <w:pStyle w:val="7"/>
        <w:rPr>
          <w:rFonts w:ascii="宋体" w:hAnsi="宋体" w:eastAsia="宋体" w:cs="宋体"/>
        </w:rPr>
      </w:pPr>
    </w:p>
    <w:p>
      <w:pPr>
        <w:snapToGrid w:val="0"/>
        <w:spacing w:line="800" w:lineRule="exact"/>
        <w:ind w:left="-26" w:leftChars="-95" w:hanging="173" w:hangingChars="62"/>
        <w:rPr>
          <w:rFonts w:hint="default" w:ascii="宋体" w:hAnsi="宋体" w:eastAsia="宋体" w:cs="宋体"/>
          <w:bCs/>
          <w:sz w:val="28"/>
          <w:szCs w:val="28"/>
          <w:lang w:val="en-US" w:eastAsia="zh-CN"/>
        </w:rPr>
      </w:pPr>
      <w:r>
        <w:rPr>
          <w:rFonts w:hint="eastAsia" w:ascii="宋体" w:hAnsi="宋体" w:cs="宋体"/>
          <w:bCs/>
          <w:sz w:val="28"/>
          <w:szCs w:val="28"/>
          <w:lang w:val="en-US" w:eastAsia="zh-CN"/>
        </w:rPr>
        <w:t>项目</w:t>
      </w:r>
      <w:r>
        <w:rPr>
          <w:rFonts w:hint="eastAsia" w:ascii="宋体" w:hAnsi="宋体" w:cs="宋体"/>
          <w:bCs/>
          <w:sz w:val="28"/>
          <w:szCs w:val="28"/>
        </w:rPr>
        <w:t>负责人：</w:t>
      </w:r>
      <w:r>
        <w:rPr>
          <w:rFonts w:hint="eastAsia" w:ascii="宋体" w:hAnsi="宋体" w:cs="宋体"/>
          <w:bCs/>
          <w:sz w:val="28"/>
          <w:szCs w:val="28"/>
          <w:lang w:val="en-US" w:eastAsia="zh-CN"/>
        </w:rPr>
        <w:t>王璇</w:t>
      </w:r>
    </w:p>
    <w:p>
      <w:pPr>
        <w:pStyle w:val="7"/>
        <w:rPr>
          <w:rFonts w:ascii="宋体" w:hAnsi="宋体" w:eastAsia="宋体" w:cs="宋体"/>
        </w:rPr>
      </w:pPr>
    </w:p>
    <w:p>
      <w:pPr>
        <w:snapToGrid w:val="0"/>
        <w:spacing w:line="800" w:lineRule="exact"/>
        <w:ind w:left="-26" w:leftChars="-95" w:hanging="173" w:hangingChars="62"/>
        <w:rPr>
          <w:rFonts w:hint="eastAsia" w:ascii="宋体" w:hAnsi="宋体" w:cs="宋体"/>
          <w:bCs/>
          <w:sz w:val="28"/>
          <w:szCs w:val="28"/>
          <w:lang w:val="en-US" w:eastAsia="zh-CN"/>
        </w:rPr>
      </w:pPr>
      <w:r>
        <w:rPr>
          <w:rFonts w:hint="eastAsia" w:ascii="宋体" w:hAnsi="宋体" w:cs="宋体"/>
          <w:bCs/>
          <w:sz w:val="28"/>
          <w:szCs w:val="28"/>
          <w:lang w:val="en-US" w:eastAsia="zh-CN"/>
        </w:rPr>
        <w:t>电话</w:t>
      </w:r>
      <w:r>
        <w:rPr>
          <w:rFonts w:hint="eastAsia" w:ascii="宋体" w:hAnsi="宋体" w:cs="宋体"/>
          <w:bCs/>
          <w:sz w:val="28"/>
          <w:szCs w:val="28"/>
        </w:rPr>
        <w:t>：</w:t>
      </w:r>
      <w:r>
        <w:rPr>
          <w:rFonts w:hint="eastAsia" w:ascii="宋体" w:hAnsi="宋体" w:cs="宋体"/>
          <w:bCs/>
          <w:sz w:val="28"/>
          <w:szCs w:val="28"/>
          <w:lang w:val="en-US" w:eastAsia="zh-CN"/>
        </w:rPr>
        <w:t>0903-6860001</w:t>
      </w:r>
    </w:p>
    <w:p>
      <w:pPr>
        <w:snapToGrid w:val="0"/>
        <w:spacing w:line="800" w:lineRule="exact"/>
        <w:ind w:left="-26" w:leftChars="-95" w:hanging="173" w:hangingChars="62"/>
        <w:rPr>
          <w:rFonts w:hint="eastAsia" w:ascii="宋体" w:hAnsi="宋体" w:cs="宋体"/>
          <w:bCs/>
          <w:sz w:val="28"/>
          <w:szCs w:val="28"/>
          <w:lang w:val="en-US" w:eastAsia="zh-CN"/>
        </w:rPr>
      </w:pPr>
      <w:r>
        <w:rPr>
          <w:rFonts w:hint="eastAsia" w:ascii="宋体" w:hAnsi="宋体" w:cs="宋体"/>
          <w:bCs/>
          <w:sz w:val="28"/>
          <w:szCs w:val="28"/>
          <w:lang w:val="en-US" w:eastAsia="zh-CN"/>
        </w:rPr>
        <w:t>详细地址：和田市人民街玉都国际广场玉座1101</w:t>
      </w:r>
    </w:p>
    <w:p>
      <w:pPr>
        <w:rPr>
          <w:rFonts w:ascii="宋体" w:hAnsi="宋体"/>
          <w:b/>
          <w:bCs/>
          <w:color w:val="000000"/>
          <w:sz w:val="28"/>
          <w:szCs w:val="28"/>
        </w:rPr>
        <w:sectPr>
          <w:footerReference r:id="rId5" w:type="default"/>
          <w:pgSz w:w="11907" w:h="16840"/>
          <w:pgMar w:top="1474" w:right="1814" w:bottom="1474" w:left="1814" w:header="851" w:footer="851" w:gutter="0"/>
          <w:cols w:space="720" w:num="1"/>
          <w:docGrid w:linePitch="462" w:charSpace="0"/>
        </w:sectPr>
      </w:pPr>
    </w:p>
    <w:p>
      <w:pPr>
        <w:pageBreakBefore w:val="0"/>
        <w:kinsoku/>
        <w:wordWrap/>
        <w:topLinePunct w:val="0"/>
        <w:bidi w:val="0"/>
        <w:spacing w:before="0" w:beforeLines="0" w:after="0" w:afterLines="0" w:line="360" w:lineRule="auto"/>
        <w:ind w:left="0" w:leftChars="0" w:right="0" w:rightChars="0" w:firstLine="0" w:firstLineChars="0"/>
        <w:jc w:val="center"/>
        <w:rPr>
          <w:rFonts w:hint="eastAsia" w:ascii="宋体" w:hAnsi="宋体" w:eastAsia="宋体" w:cs="宋体"/>
          <w:b/>
          <w:bCs/>
          <w:sz w:val="32"/>
          <w:szCs w:val="32"/>
        </w:rPr>
      </w:pPr>
      <w:r>
        <w:rPr>
          <w:rFonts w:hint="eastAsia" w:ascii="宋体" w:hAnsi="宋体" w:eastAsia="宋体" w:cs="宋体"/>
          <w:b/>
          <w:bCs/>
          <w:sz w:val="32"/>
          <w:szCs w:val="32"/>
        </w:rPr>
        <w:t>目</w:t>
      </w:r>
      <w:r>
        <w:rPr>
          <w:rFonts w:hint="eastAsia" w:ascii="宋体" w:hAnsi="宋体" w:eastAsia="宋体" w:cs="宋体"/>
          <w:b/>
          <w:bCs/>
          <w:sz w:val="32"/>
          <w:szCs w:val="32"/>
          <w:lang w:val="en-US" w:eastAsia="zh-CN"/>
        </w:rPr>
        <w:t xml:space="preserve">   </w:t>
      </w:r>
      <w:r>
        <w:rPr>
          <w:rFonts w:hint="eastAsia" w:ascii="宋体" w:hAnsi="宋体" w:eastAsia="宋体" w:cs="宋体"/>
          <w:b/>
          <w:bCs/>
          <w:sz w:val="32"/>
          <w:szCs w:val="32"/>
        </w:rPr>
        <w:t>录</w:t>
      </w:r>
    </w:p>
    <w:p>
      <w:pPr>
        <w:pStyle w:val="4"/>
        <w:numPr>
          <w:ilvl w:val="0"/>
          <w:numId w:val="0"/>
        </w:numPr>
        <w:ind w:left="735" w:leftChars="0"/>
        <w:rPr>
          <w:rFonts w:hint="eastAsia"/>
        </w:rPr>
      </w:pPr>
    </w:p>
    <w:p>
      <w:pPr>
        <w:pStyle w:val="18"/>
        <w:tabs>
          <w:tab w:val="right" w:leader="dot" w:pos="8279"/>
        </w:tabs>
        <w:ind w:left="0" w:leftChars="0" w:firstLine="281" w:firstLineChars="100"/>
        <w:rPr>
          <w:rFonts w:hint="eastAsia" w:ascii="宋体" w:hAnsi="宋体" w:eastAsia="宋体" w:cs="宋体"/>
          <w:b/>
          <w:bCs/>
          <w:sz w:val="28"/>
          <w:szCs w:val="28"/>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color w:val="000000"/>
          <w:sz w:val="28"/>
          <w:szCs w:val="28"/>
        </w:rPr>
        <w:instrText xml:space="preserve">TOC \o "1-3" \h \u </w:instrText>
      </w:r>
      <w:r>
        <w:rPr>
          <w:rFonts w:hint="eastAsia" w:ascii="宋体" w:hAnsi="宋体" w:eastAsia="宋体" w:cs="宋体"/>
          <w:b/>
          <w:bCs/>
          <w:caps/>
          <w:color w:val="000000"/>
          <w:sz w:val="28"/>
          <w:szCs w:val="28"/>
        </w:rPr>
        <w:fldChar w:fldCharType="separate"/>
      </w: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_Toc12470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highlight w:val="none"/>
          <w:lang w:val="en-US" w:eastAsia="zh-CN"/>
        </w:rPr>
        <w:t xml:space="preserve">第一部分  </w:t>
      </w:r>
      <w:r>
        <w:rPr>
          <w:rFonts w:hint="eastAsia" w:ascii="宋体" w:hAnsi="宋体" w:eastAsia="宋体" w:cs="宋体"/>
          <w:b/>
          <w:bCs/>
          <w:sz w:val="28"/>
          <w:szCs w:val="28"/>
          <w:highlight w:val="none"/>
        </w:rPr>
        <w:t>招标公告</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8"/>
        <w:tabs>
          <w:tab w:val="right" w:leader="dot" w:pos="8279"/>
        </w:tabs>
        <w:ind w:left="0" w:leftChars="0" w:firstLine="281" w:firstLineChars="100"/>
        <w:rPr>
          <w:rFonts w:hint="eastAsia" w:ascii="宋体" w:hAnsi="宋体" w:eastAsia="宋体" w:cs="宋体"/>
          <w:b/>
          <w:bCs/>
          <w:sz w:val="28"/>
          <w:szCs w:val="28"/>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_Toc28380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rPr>
        <w:t>第二部分</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投标须知前附表</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5"/>
        <w:tabs>
          <w:tab w:val="right" w:leader="dot" w:pos="8279"/>
        </w:tabs>
        <w:ind w:firstLine="281" w:firstLineChars="100"/>
        <w:rPr>
          <w:rFonts w:hint="eastAsia" w:ascii="宋体" w:hAnsi="宋体" w:eastAsia="宋体" w:cs="宋体"/>
          <w:b/>
          <w:bCs/>
          <w:sz w:val="28"/>
          <w:szCs w:val="28"/>
          <w:lang w:val="en-US" w:eastAsia="zh-CN"/>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_Toc7842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lang w:eastAsia="zh-CN"/>
        </w:rPr>
        <w:t>第三部分</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rPr>
        <w:t>评标办法及标准</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5"/>
        <w:tabs>
          <w:tab w:val="right" w:leader="dot" w:pos="8279"/>
        </w:tabs>
        <w:ind w:firstLine="281" w:firstLineChars="100"/>
        <w:rPr>
          <w:rFonts w:hint="eastAsia" w:ascii="宋体" w:hAnsi="宋体" w:eastAsia="宋体" w:cs="宋体"/>
          <w:b/>
          <w:bCs/>
          <w:sz w:val="28"/>
          <w:szCs w:val="28"/>
          <w:lang w:val="en-US" w:eastAsia="zh-CN"/>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_Toc27270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highlight w:val="none"/>
          <w:lang w:eastAsia="zh-CN"/>
        </w:rPr>
        <w:t>第四部分</w:t>
      </w:r>
      <w:r>
        <w:rPr>
          <w:rFonts w:hint="eastAsia" w:ascii="宋体" w:hAnsi="宋体" w:eastAsia="宋体" w:cs="宋体"/>
          <w:b/>
          <w:bCs/>
          <w:sz w:val="28"/>
          <w:szCs w:val="28"/>
          <w:highlight w:val="none"/>
          <w:lang w:val="en-US" w:eastAsia="zh-CN"/>
        </w:rPr>
        <w:t xml:space="preserve">  采购参数要求</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5"/>
        <w:tabs>
          <w:tab w:val="right" w:leader="dot" w:pos="8279"/>
        </w:tabs>
        <w:ind w:firstLine="281" w:firstLineChars="100"/>
        <w:rPr>
          <w:rFonts w:hint="eastAsia" w:ascii="宋体" w:hAnsi="宋体" w:eastAsia="宋体" w:cs="宋体"/>
          <w:b/>
          <w:bCs/>
          <w:caps/>
          <w:color w:val="000000"/>
          <w:sz w:val="28"/>
          <w:szCs w:val="28"/>
          <w:lang w:val="en-US" w:eastAsia="zh-CN"/>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_Toc31011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rPr>
        <w:t>第</w:t>
      </w:r>
      <w:r>
        <w:rPr>
          <w:rFonts w:hint="eastAsia" w:ascii="宋体" w:hAnsi="宋体" w:eastAsia="宋体" w:cs="宋体"/>
          <w:b/>
          <w:bCs/>
          <w:sz w:val="28"/>
          <w:szCs w:val="28"/>
          <w:lang w:eastAsia="zh-CN"/>
        </w:rPr>
        <w:t>五</w:t>
      </w:r>
      <w:r>
        <w:rPr>
          <w:rFonts w:hint="eastAsia" w:ascii="宋体" w:hAnsi="宋体" w:eastAsia="宋体" w:cs="宋体"/>
          <w:b/>
          <w:bCs/>
          <w:sz w:val="28"/>
          <w:szCs w:val="28"/>
        </w:rPr>
        <w:t>部分</w:t>
      </w:r>
      <w:r>
        <w:rPr>
          <w:rFonts w:hint="eastAsia" w:ascii="宋体" w:hAnsi="宋体" w:eastAsia="宋体" w:cs="宋体"/>
          <w:b/>
          <w:bCs/>
          <w:sz w:val="28"/>
          <w:szCs w:val="28"/>
          <w:lang w:val="en-US" w:eastAsia="zh-CN"/>
        </w:rPr>
        <w:t xml:space="preserve">  </w:t>
      </w:r>
      <w:r>
        <w:rPr>
          <w:rFonts w:hint="eastAsia" w:ascii="宋体" w:hAnsi="宋体" w:eastAsia="宋体" w:cs="宋体"/>
          <w:b/>
          <w:bCs/>
          <w:sz w:val="28"/>
          <w:szCs w:val="28"/>
          <w:lang w:eastAsia="zh-CN"/>
        </w:rPr>
        <w:t>合同模板</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5"/>
        <w:tabs>
          <w:tab w:val="right" w:leader="dot" w:pos="8279"/>
        </w:tabs>
        <w:ind w:firstLine="281" w:firstLineChars="100"/>
        <w:rPr>
          <w:rFonts w:hint="eastAsia" w:ascii="宋体" w:hAnsi="宋体" w:eastAsia="宋体" w:cs="宋体"/>
          <w:b/>
          <w:bCs/>
          <w:sz w:val="28"/>
          <w:szCs w:val="28"/>
          <w:lang w:val="en-US" w:eastAsia="zh-CN"/>
        </w:rPr>
      </w:pPr>
      <w:r>
        <w:rPr>
          <w:rFonts w:hint="eastAsia" w:ascii="宋体" w:hAnsi="宋体" w:eastAsia="宋体" w:cs="宋体"/>
          <w:b/>
          <w:bCs/>
          <w:caps/>
          <w:color w:val="000000"/>
          <w:sz w:val="28"/>
          <w:szCs w:val="28"/>
        </w:rPr>
        <w:fldChar w:fldCharType="begin"/>
      </w:r>
      <w:r>
        <w:rPr>
          <w:rFonts w:hint="eastAsia" w:ascii="宋体" w:hAnsi="宋体" w:eastAsia="宋体" w:cs="宋体"/>
          <w:b/>
          <w:bCs/>
          <w:caps/>
          <w:sz w:val="28"/>
          <w:szCs w:val="28"/>
        </w:rPr>
        <w:instrText xml:space="preserve"> HYPERLINK \l _Toc31011 </w:instrText>
      </w:r>
      <w:r>
        <w:rPr>
          <w:rFonts w:hint="eastAsia" w:ascii="宋体" w:hAnsi="宋体" w:eastAsia="宋体" w:cs="宋体"/>
          <w:b/>
          <w:bCs/>
          <w:caps/>
          <w:sz w:val="28"/>
          <w:szCs w:val="28"/>
        </w:rPr>
        <w:fldChar w:fldCharType="separate"/>
      </w:r>
      <w:r>
        <w:rPr>
          <w:rFonts w:hint="eastAsia" w:ascii="宋体" w:hAnsi="宋体" w:eastAsia="宋体" w:cs="宋体"/>
          <w:b/>
          <w:bCs/>
          <w:sz w:val="28"/>
          <w:szCs w:val="28"/>
        </w:rPr>
        <w:t>第</w:t>
      </w:r>
      <w:r>
        <w:rPr>
          <w:rFonts w:hint="eastAsia" w:ascii="宋体" w:hAnsi="宋体" w:eastAsia="宋体" w:cs="宋体"/>
          <w:b/>
          <w:bCs/>
          <w:sz w:val="28"/>
          <w:szCs w:val="28"/>
          <w:lang w:eastAsia="zh-CN"/>
        </w:rPr>
        <w:t>六</w:t>
      </w:r>
      <w:r>
        <w:rPr>
          <w:rFonts w:hint="eastAsia" w:ascii="宋体" w:hAnsi="宋体" w:eastAsia="宋体" w:cs="宋体"/>
          <w:b/>
          <w:bCs/>
          <w:sz w:val="28"/>
          <w:szCs w:val="28"/>
        </w:rPr>
        <w:t>部分　投标文件格式</w:t>
      </w:r>
      <w:r>
        <w:rPr>
          <w:rFonts w:hint="eastAsia" w:ascii="宋体" w:hAnsi="宋体" w:eastAsia="宋体" w:cs="宋体"/>
          <w:b/>
          <w:bCs/>
          <w:sz w:val="28"/>
          <w:szCs w:val="28"/>
        </w:rPr>
        <w:tab/>
      </w:r>
      <w:r>
        <w:rPr>
          <w:rFonts w:hint="eastAsia" w:ascii="宋体" w:hAnsi="宋体" w:eastAsia="宋体" w:cs="宋体"/>
          <w:b/>
          <w:bCs/>
          <w:caps/>
          <w:color w:val="000000"/>
          <w:sz w:val="28"/>
          <w:szCs w:val="28"/>
        </w:rPr>
        <w:fldChar w:fldCharType="end"/>
      </w:r>
    </w:p>
    <w:p>
      <w:pPr>
        <w:pStyle w:val="15"/>
        <w:tabs>
          <w:tab w:val="right" w:leader="dot" w:pos="8279"/>
        </w:tabs>
        <w:rPr>
          <w:rFonts w:hint="eastAsia" w:ascii="宋体" w:hAnsi="宋体" w:eastAsia="宋体" w:cs="宋体"/>
          <w:b/>
          <w:bCs/>
          <w:sz w:val="28"/>
          <w:szCs w:val="28"/>
        </w:rPr>
      </w:pPr>
    </w:p>
    <w:p>
      <w:pPr>
        <w:pStyle w:val="18"/>
        <w:tabs>
          <w:tab w:val="right" w:leader="dot" w:pos="8279"/>
        </w:tabs>
        <w:rPr>
          <w:rFonts w:hint="eastAsia" w:ascii="宋体" w:hAnsi="宋体" w:eastAsia="宋体" w:cs="宋体"/>
          <w:b/>
          <w:bCs/>
          <w:sz w:val="28"/>
          <w:szCs w:val="28"/>
        </w:rPr>
      </w:pPr>
    </w:p>
    <w:p>
      <w:pPr>
        <w:bidi w:val="0"/>
        <w:rPr>
          <w:rFonts w:hint="eastAsia"/>
        </w:rPr>
      </w:pPr>
      <w:r>
        <w:rPr>
          <w:rFonts w:hint="eastAsia" w:ascii="宋体" w:hAnsi="宋体" w:eastAsia="宋体" w:cs="宋体"/>
          <w:b/>
          <w:bCs/>
          <w:caps/>
          <w:color w:val="000000"/>
          <w:sz w:val="28"/>
          <w:szCs w:val="28"/>
        </w:rPr>
        <w:fldChar w:fldCharType="end"/>
      </w:r>
    </w:p>
    <w:p>
      <w:pPr>
        <w:bidi w:val="0"/>
        <w:rPr>
          <w:rFonts w:hint="eastAsia"/>
        </w:rPr>
      </w:pPr>
    </w:p>
    <w:p>
      <w:pPr>
        <w:bidi w:val="0"/>
        <w:rPr>
          <w:rFonts w:hint="eastAsia"/>
        </w:rPr>
      </w:pPr>
    </w:p>
    <w:p>
      <w:pPr>
        <w:bidi w:val="0"/>
        <w:rPr>
          <w:rFonts w:hint="eastAsia"/>
        </w:rPr>
      </w:pPr>
    </w:p>
    <w:p>
      <w:pPr>
        <w:tabs>
          <w:tab w:val="left" w:pos="2377"/>
        </w:tabs>
        <w:bidi w:val="0"/>
        <w:jc w:val="left"/>
        <w:rPr>
          <w:rFonts w:hint="eastAsia" w:eastAsia="宋体"/>
          <w:lang w:eastAsia="zh-CN"/>
        </w:rPr>
        <w:sectPr>
          <w:footerReference r:id="rId6" w:type="default"/>
          <w:pgSz w:w="11907" w:h="16840"/>
          <w:pgMar w:top="1474" w:right="1814" w:bottom="1474" w:left="1814" w:header="851" w:footer="851" w:gutter="0"/>
          <w:cols w:space="720" w:num="1"/>
          <w:docGrid w:linePitch="462" w:charSpace="0"/>
        </w:sectPr>
      </w:pPr>
      <w:r>
        <w:rPr>
          <w:rFonts w:hint="eastAsia"/>
          <w:lang w:eastAsia="zh-CN"/>
        </w:rPr>
        <w:tab/>
      </w:r>
    </w:p>
    <w:bookmarkEnd w:id="0"/>
    <w:bookmarkEnd w:id="1"/>
    <w:bookmarkEnd w:id="2"/>
    <w:bookmarkEnd w:id="3"/>
    <w:bookmarkEnd w:id="4"/>
    <w:bookmarkEnd w:id="5"/>
    <w:p>
      <w:pPr>
        <w:pStyle w:val="4"/>
        <w:numPr>
          <w:ilvl w:val="0"/>
          <w:numId w:val="0"/>
        </w:numPr>
        <w:tabs>
          <w:tab w:val="left" w:pos="0"/>
          <w:tab w:val="left" w:pos="3165"/>
          <w:tab w:val="center" w:pos="4153"/>
        </w:tabs>
        <w:autoSpaceDE w:val="0"/>
        <w:autoSpaceDN w:val="0"/>
        <w:adjustRightInd w:val="0"/>
        <w:spacing w:before="0" w:after="0" w:line="360" w:lineRule="auto"/>
        <w:jc w:val="center"/>
        <w:outlineLvl w:val="0"/>
        <w:rPr>
          <w:rFonts w:ascii="华文中宋" w:hAnsi="华文中宋" w:eastAsia="华文中宋"/>
        </w:rPr>
      </w:pPr>
      <w:r>
        <w:rPr>
          <w:rFonts w:hint="eastAsia" w:ascii="华文中宋" w:hAnsi="华文中宋" w:eastAsia="华文中宋"/>
          <w:lang w:eastAsia="zh-CN"/>
        </w:rPr>
        <w:t>和田地区洛浦县新城区供排水管网及附属配套建设项目</w:t>
      </w:r>
      <w:r>
        <w:rPr>
          <w:rFonts w:hint="eastAsia" w:ascii="华文中宋" w:hAnsi="华文中宋" w:eastAsia="华文中宋"/>
          <w:lang w:val="en-US" w:eastAsia="zh-CN"/>
        </w:rPr>
        <w:t xml:space="preserve"> </w:t>
      </w:r>
      <w:r>
        <w:rPr>
          <w:rFonts w:hint="eastAsia" w:ascii="华文中宋" w:hAnsi="华文中宋" w:eastAsia="华文中宋"/>
          <w:lang w:eastAsia="zh-CN"/>
        </w:rPr>
        <w:t>（</w:t>
      </w:r>
      <w:r>
        <w:rPr>
          <w:rFonts w:hint="eastAsia" w:ascii="华文中宋" w:hAnsi="华文中宋" w:eastAsia="华文中宋"/>
          <w:lang w:val="en-US" w:eastAsia="zh-CN"/>
        </w:rPr>
        <w:t>智慧水务-计量设施</w:t>
      </w:r>
      <w:r>
        <w:rPr>
          <w:rFonts w:hint="eastAsia" w:ascii="华文中宋" w:hAnsi="华文中宋" w:eastAsia="华文中宋"/>
          <w:lang w:eastAsia="zh-CN"/>
        </w:rPr>
        <w:t>）</w:t>
      </w:r>
      <w:r>
        <w:rPr>
          <w:rFonts w:hint="eastAsia" w:ascii="华文中宋" w:hAnsi="华文中宋" w:eastAsia="华文中宋"/>
        </w:rPr>
        <w:t>招标公告</w:t>
      </w:r>
    </w:p>
    <w:p>
      <w:pPr>
        <w:pBdr>
          <w:top w:val="single" w:color="auto" w:sz="4" w:space="0"/>
          <w:left w:val="single" w:color="auto" w:sz="4" w:space="4"/>
          <w:bottom w:val="single" w:color="auto" w:sz="4" w:space="1"/>
          <w:right w:val="single" w:color="auto" w:sz="4" w:space="4"/>
        </w:pBdr>
        <w:spacing w:line="240" w:lineRule="auto"/>
        <w:ind w:firstLine="480"/>
        <w:rPr>
          <w:rFonts w:hint="eastAsia" w:ascii="仿宋" w:hAnsi="仿宋" w:eastAsia="仿宋" w:cs="宋体"/>
          <w:sz w:val="24"/>
          <w:szCs w:val="24"/>
        </w:rPr>
      </w:pPr>
      <w:bookmarkStart w:id="6" w:name="_Toc28359079"/>
      <w:bookmarkStart w:id="7" w:name="_Toc35393790"/>
      <w:bookmarkStart w:id="8" w:name="_Toc28359002"/>
      <w:bookmarkStart w:id="9" w:name="_Hlk24379207"/>
      <w:bookmarkStart w:id="10" w:name="_Toc35393621"/>
      <w:r>
        <w:rPr>
          <w:rFonts w:hint="eastAsia" w:ascii="仿宋" w:hAnsi="仿宋" w:eastAsia="仿宋" w:cs="宋体"/>
          <w:sz w:val="24"/>
          <w:szCs w:val="24"/>
        </w:rPr>
        <w:t>项目概况</w:t>
      </w:r>
    </w:p>
    <w:p>
      <w:pPr>
        <w:pBdr>
          <w:top w:val="single" w:color="auto" w:sz="4" w:space="0"/>
          <w:left w:val="single" w:color="auto" w:sz="4" w:space="4"/>
          <w:bottom w:val="single" w:color="auto" w:sz="4" w:space="1"/>
          <w:right w:val="single" w:color="auto" w:sz="4" w:space="4"/>
        </w:pBdr>
        <w:spacing w:line="240" w:lineRule="auto"/>
        <w:ind w:firstLine="480"/>
        <w:rPr>
          <w:rFonts w:hint="eastAsia" w:ascii="仿宋" w:hAnsi="仿宋" w:eastAsia="仿宋" w:cs="宋体"/>
          <w:sz w:val="24"/>
          <w:szCs w:val="24"/>
        </w:rPr>
      </w:pPr>
      <w:r>
        <w:rPr>
          <w:rFonts w:hint="eastAsia" w:ascii="仿宋" w:hAnsi="仿宋" w:eastAsia="仿宋" w:cs="宋体"/>
          <w:sz w:val="24"/>
          <w:szCs w:val="24"/>
          <w:lang w:eastAsia="zh-CN"/>
        </w:rPr>
        <w:t>和田地区洛浦县新城区供排水管网及附属配套建设项目</w:t>
      </w:r>
      <w:r>
        <w:rPr>
          <w:rFonts w:hint="eastAsia" w:ascii="仿宋" w:hAnsi="仿宋" w:eastAsia="仿宋" w:cs="宋体"/>
          <w:sz w:val="24"/>
          <w:szCs w:val="24"/>
          <w:lang w:val="en-US" w:eastAsia="zh-CN"/>
        </w:rPr>
        <w:t xml:space="preserve"> </w:t>
      </w:r>
      <w:r>
        <w:rPr>
          <w:rFonts w:hint="eastAsia" w:ascii="仿宋" w:hAnsi="仿宋" w:eastAsia="仿宋" w:cs="宋体"/>
          <w:sz w:val="24"/>
          <w:szCs w:val="24"/>
          <w:lang w:eastAsia="zh-CN"/>
        </w:rPr>
        <w:t>（</w:t>
      </w:r>
      <w:r>
        <w:rPr>
          <w:rFonts w:hint="eastAsia" w:ascii="仿宋" w:hAnsi="仿宋" w:eastAsia="仿宋" w:cs="宋体"/>
          <w:sz w:val="24"/>
          <w:szCs w:val="24"/>
          <w:lang w:val="en-US" w:eastAsia="zh-CN"/>
        </w:rPr>
        <w:t>智慧水务-计量设施</w:t>
      </w:r>
      <w:r>
        <w:rPr>
          <w:rFonts w:hint="eastAsia" w:ascii="仿宋" w:hAnsi="仿宋" w:eastAsia="仿宋" w:cs="宋体"/>
          <w:sz w:val="24"/>
          <w:szCs w:val="24"/>
          <w:lang w:eastAsia="zh-CN"/>
        </w:rPr>
        <w:t>）</w:t>
      </w:r>
      <w:r>
        <w:rPr>
          <w:rFonts w:hint="eastAsia" w:ascii="仿宋" w:hAnsi="仿宋" w:eastAsia="仿宋" w:cs="宋体"/>
          <w:sz w:val="24"/>
          <w:szCs w:val="24"/>
        </w:rPr>
        <w:t>的潜在投标人应登陆政采云平台https://www.zcygov.cn/在线申请获取采购文件（进入“项目采购”应用，在获取采购文件菜单中选择项目，申请获取采购文件），并于</w:t>
      </w:r>
      <w:r>
        <w:rPr>
          <w:rFonts w:hint="eastAsia" w:ascii="仿宋" w:hAnsi="仿宋" w:eastAsia="仿宋" w:cs="宋体"/>
          <w:sz w:val="24"/>
          <w:szCs w:val="24"/>
          <w:lang w:val="en-US" w:eastAsia="zh-CN"/>
        </w:rPr>
        <w:t>2022</w:t>
      </w:r>
      <w:r>
        <w:rPr>
          <w:rFonts w:hint="eastAsia" w:ascii="仿宋" w:hAnsi="仿宋" w:eastAsia="仿宋" w:cs="宋体"/>
          <w:sz w:val="24"/>
          <w:szCs w:val="24"/>
        </w:rPr>
        <w:t>年</w:t>
      </w:r>
      <w:r>
        <w:rPr>
          <w:rFonts w:hint="eastAsia" w:ascii="仿宋" w:hAnsi="仿宋" w:eastAsia="仿宋" w:cs="宋体"/>
          <w:sz w:val="24"/>
          <w:szCs w:val="24"/>
          <w:lang w:val="en-US" w:eastAsia="zh-CN"/>
        </w:rPr>
        <w:t>09月29日10</w:t>
      </w:r>
      <w:r>
        <w:rPr>
          <w:rFonts w:hint="eastAsia" w:ascii="仿宋" w:hAnsi="仿宋" w:eastAsia="仿宋" w:cs="宋体"/>
          <w:sz w:val="24"/>
          <w:szCs w:val="24"/>
        </w:rPr>
        <w:t>点</w:t>
      </w:r>
      <w:r>
        <w:rPr>
          <w:rFonts w:hint="eastAsia" w:ascii="仿宋" w:hAnsi="仿宋" w:eastAsia="仿宋" w:cs="宋体"/>
          <w:sz w:val="24"/>
          <w:szCs w:val="24"/>
          <w:lang w:val="en-US" w:eastAsia="zh-CN"/>
        </w:rPr>
        <w:t>30</w:t>
      </w:r>
      <w:r>
        <w:rPr>
          <w:rFonts w:hint="eastAsia" w:ascii="仿宋" w:hAnsi="仿宋" w:eastAsia="仿宋" w:cs="宋体"/>
          <w:sz w:val="24"/>
          <w:szCs w:val="24"/>
        </w:rPr>
        <w:t>分（北京时间）前递交投标文</w:t>
      </w:r>
      <w:r>
        <w:rPr>
          <w:rFonts w:hint="eastAsia" w:ascii="仿宋" w:hAnsi="仿宋" w:eastAsia="仿宋" w:cs="宋体"/>
          <w:bCs/>
          <w:sz w:val="24"/>
          <w:szCs w:val="24"/>
        </w:rPr>
        <w:t>件</w:t>
      </w:r>
      <w:r>
        <w:rPr>
          <w:rFonts w:hint="eastAsia" w:ascii="仿宋" w:hAnsi="仿宋" w:eastAsia="仿宋" w:cs="宋体"/>
          <w:sz w:val="24"/>
          <w:szCs w:val="24"/>
        </w:rPr>
        <w:t>。</w:t>
      </w:r>
    </w:p>
    <w:bookmarkEnd w:id="6"/>
    <w:bookmarkEnd w:id="7"/>
    <w:bookmarkEnd w:id="8"/>
    <w:bookmarkEnd w:id="9"/>
    <w:bookmarkEnd w:id="10"/>
    <w:p>
      <w:pPr>
        <w:pStyle w:val="4"/>
        <w:numPr>
          <w:ilvl w:val="0"/>
          <w:numId w:val="0"/>
        </w:numPr>
        <w:spacing w:line="240" w:lineRule="auto"/>
        <w:rPr>
          <w:rFonts w:ascii="黑体" w:hAnsi="黑体" w:cs="宋体"/>
          <w:b w:val="0"/>
          <w:sz w:val="24"/>
          <w:szCs w:val="24"/>
        </w:rPr>
      </w:pPr>
      <w:bookmarkStart w:id="11" w:name="_Toc8181"/>
      <w:bookmarkStart w:id="12" w:name="_Toc31021"/>
      <w:bookmarkStart w:id="13" w:name="_Toc17129"/>
      <w:bookmarkStart w:id="14" w:name="_Toc28359080"/>
      <w:bookmarkStart w:id="15" w:name="_Toc31185"/>
      <w:bookmarkStart w:id="16" w:name="_Toc17685"/>
      <w:bookmarkStart w:id="17" w:name="_Toc35393622"/>
      <w:bookmarkStart w:id="18" w:name="_Toc28359003"/>
      <w:bookmarkStart w:id="19" w:name="_Toc35393791"/>
      <w:bookmarkStart w:id="20" w:name="_Toc14454"/>
      <w:r>
        <w:rPr>
          <w:rFonts w:hint="eastAsia" w:ascii="黑体" w:hAnsi="黑体" w:cs="宋体"/>
          <w:b w:val="0"/>
          <w:sz w:val="24"/>
          <w:szCs w:val="24"/>
        </w:rPr>
        <w:t>一、项目基本情况</w:t>
      </w:r>
      <w:bookmarkEnd w:id="11"/>
      <w:bookmarkEnd w:id="12"/>
      <w:bookmarkEnd w:id="13"/>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ascii="仿宋" w:hAnsi="仿宋" w:eastAsia="仿宋"/>
          <w:color w:val="auto"/>
          <w:sz w:val="24"/>
          <w:szCs w:val="24"/>
          <w:highlight w:val="red"/>
        </w:rPr>
      </w:pPr>
      <w:r>
        <w:rPr>
          <w:rFonts w:hint="eastAsia" w:ascii="仿宋" w:hAnsi="仿宋" w:eastAsia="仿宋"/>
          <w:sz w:val="24"/>
          <w:szCs w:val="24"/>
        </w:rPr>
        <w:t>项目编号：</w:t>
      </w:r>
      <w:r>
        <w:rPr>
          <w:rFonts w:ascii="仿宋" w:hAnsi="仿宋" w:eastAsia="仿宋" w:cs="仿宋"/>
          <w:i w:val="0"/>
          <w:iCs w:val="0"/>
          <w:caps w:val="0"/>
          <w:color w:val="000000"/>
          <w:spacing w:val="0"/>
          <w:sz w:val="27"/>
          <w:szCs w:val="27"/>
        </w:rPr>
        <w:t>XJ</w:t>
      </w:r>
      <w:r>
        <w:rPr>
          <w:rFonts w:hint="eastAsia" w:ascii="仿宋" w:hAnsi="仿宋" w:eastAsia="仿宋" w:cs="仿宋"/>
          <w:i w:val="0"/>
          <w:iCs w:val="0"/>
          <w:caps w:val="0"/>
          <w:color w:val="000000"/>
          <w:spacing w:val="0"/>
          <w:sz w:val="27"/>
          <w:szCs w:val="27"/>
          <w:lang w:val="en-US" w:eastAsia="zh-CN"/>
        </w:rPr>
        <w:t>XXY</w:t>
      </w:r>
      <w:r>
        <w:rPr>
          <w:rFonts w:ascii="仿宋" w:hAnsi="仿宋" w:eastAsia="仿宋" w:cs="仿宋"/>
          <w:i w:val="0"/>
          <w:iCs w:val="0"/>
          <w:caps w:val="0"/>
          <w:color w:val="000000"/>
          <w:spacing w:val="0"/>
          <w:sz w:val="27"/>
          <w:szCs w:val="27"/>
        </w:rPr>
        <w:t>-CG-2022-</w:t>
      </w:r>
      <w:r>
        <w:rPr>
          <w:rFonts w:hint="eastAsia" w:ascii="仿宋" w:hAnsi="仿宋" w:eastAsia="仿宋" w:cs="仿宋"/>
          <w:i w:val="0"/>
          <w:iCs w:val="0"/>
          <w:caps w:val="0"/>
          <w:color w:val="000000"/>
          <w:spacing w:val="0"/>
          <w:sz w:val="27"/>
          <w:szCs w:val="27"/>
          <w:lang w:val="en-US" w:eastAsia="zh-CN"/>
        </w:rPr>
        <w:t>002</w:t>
      </w:r>
      <w:r>
        <w:rPr>
          <w:rFonts w:hint="eastAsia" w:ascii="仿宋" w:hAnsi="仿宋" w:eastAsia="仿宋"/>
          <w:sz w:val="24"/>
          <w:szCs w:val="24"/>
        </w:rPr>
        <w:t>号</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cs="宋体"/>
          <w:sz w:val="24"/>
          <w:szCs w:val="24"/>
          <w:lang w:eastAsia="zh-CN"/>
        </w:rPr>
      </w:pPr>
      <w:r>
        <w:rPr>
          <w:rFonts w:hint="eastAsia" w:ascii="仿宋" w:hAnsi="仿宋" w:eastAsia="仿宋"/>
          <w:sz w:val="24"/>
          <w:szCs w:val="24"/>
        </w:rPr>
        <w:t>项目名称：</w:t>
      </w:r>
      <w:r>
        <w:rPr>
          <w:rFonts w:hint="eastAsia" w:ascii="仿宋" w:hAnsi="仿宋" w:eastAsia="仿宋"/>
          <w:sz w:val="24"/>
          <w:szCs w:val="24"/>
          <w:lang w:eastAsia="zh-CN"/>
        </w:rPr>
        <w:t>和田地区洛浦县新城区供排水管网及附属配套建设项目</w:t>
      </w:r>
      <w:r>
        <w:rPr>
          <w:rFonts w:hint="eastAsia" w:ascii="仿宋" w:hAnsi="仿宋" w:eastAsia="仿宋"/>
          <w:sz w:val="24"/>
          <w:szCs w:val="24"/>
          <w:lang w:val="en-US" w:eastAsia="zh-CN"/>
        </w:rPr>
        <w:t xml:space="preserve"> </w:t>
      </w:r>
      <w:r>
        <w:rPr>
          <w:rFonts w:hint="eastAsia" w:ascii="仿宋" w:hAnsi="仿宋" w:eastAsia="仿宋" w:cs="宋体"/>
          <w:sz w:val="24"/>
          <w:szCs w:val="24"/>
          <w:lang w:val="en-US" w:eastAsia="zh-CN"/>
        </w:rPr>
        <w:t xml:space="preserve"> </w:t>
      </w:r>
      <w:r>
        <w:rPr>
          <w:rFonts w:hint="eastAsia" w:ascii="仿宋" w:hAnsi="仿宋" w:eastAsia="仿宋" w:cs="宋体"/>
          <w:sz w:val="24"/>
          <w:szCs w:val="24"/>
          <w:lang w:eastAsia="zh-CN"/>
        </w:rPr>
        <w:t>（</w:t>
      </w:r>
      <w:r>
        <w:rPr>
          <w:rFonts w:hint="eastAsia" w:ascii="仿宋" w:hAnsi="仿宋" w:eastAsia="仿宋" w:cs="宋体"/>
          <w:sz w:val="24"/>
          <w:szCs w:val="24"/>
          <w:lang w:val="en-US" w:eastAsia="zh-CN"/>
        </w:rPr>
        <w:t>智慧水务-计量设施</w:t>
      </w:r>
      <w:r>
        <w:rPr>
          <w:rFonts w:hint="eastAsia" w:ascii="仿宋" w:hAnsi="仿宋" w:eastAsia="仿宋" w:cs="宋体"/>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cs="宋体"/>
          <w:kern w:val="0"/>
          <w:sz w:val="24"/>
          <w:szCs w:val="24"/>
          <w:lang w:eastAsia="zh-CN"/>
        </w:rPr>
      </w:pPr>
      <w:r>
        <w:rPr>
          <w:rFonts w:hint="eastAsia" w:ascii="仿宋" w:hAnsi="仿宋" w:eastAsia="仿宋"/>
          <w:sz w:val="24"/>
          <w:szCs w:val="24"/>
        </w:rPr>
        <w:t>预算金额：</w:t>
      </w:r>
      <w:r>
        <w:rPr>
          <w:rFonts w:hint="eastAsia" w:ascii="仿宋" w:hAnsi="仿宋" w:eastAsia="仿宋"/>
          <w:sz w:val="24"/>
          <w:szCs w:val="24"/>
          <w:lang w:val="en-US" w:eastAsia="zh-CN"/>
        </w:rPr>
        <w:t>7000000.00元</w:t>
      </w:r>
      <w:r>
        <w:rPr>
          <w:rFonts w:hint="eastAsia" w:ascii="仿宋" w:hAnsi="仿宋" w:eastAsia="仿宋"/>
          <w:sz w:val="24"/>
          <w:szCs w:val="24"/>
        </w:rPr>
        <w:t>（超过此预算价，作无效报价处理）</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rPr>
      </w:pPr>
      <w:r>
        <w:rPr>
          <w:rFonts w:hint="eastAsia" w:ascii="仿宋" w:hAnsi="仿宋" w:eastAsia="仿宋"/>
          <w:sz w:val="24"/>
          <w:szCs w:val="24"/>
        </w:rPr>
        <w:t>采购需求：标项一</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lang w:eastAsia="zh-CN"/>
        </w:rPr>
      </w:pPr>
      <w:r>
        <w:rPr>
          <w:rFonts w:hint="eastAsia" w:ascii="仿宋" w:hAnsi="仿宋" w:eastAsia="仿宋"/>
          <w:sz w:val="24"/>
          <w:szCs w:val="24"/>
        </w:rPr>
        <w:t>标项名称:</w:t>
      </w:r>
      <w:r>
        <w:rPr>
          <w:rFonts w:hint="eastAsia" w:ascii="仿宋" w:hAnsi="仿宋" w:eastAsia="仿宋"/>
          <w:sz w:val="24"/>
          <w:szCs w:val="24"/>
          <w:lang w:eastAsia="zh-CN"/>
        </w:rPr>
        <w:t>和田地区洛浦县新城区供排水管网及附属配套建设项目</w:t>
      </w:r>
      <w:r>
        <w:rPr>
          <w:rFonts w:hint="eastAsia" w:ascii="仿宋" w:hAnsi="仿宋" w:eastAsia="仿宋"/>
          <w:sz w:val="24"/>
          <w:szCs w:val="24"/>
          <w:lang w:val="en-US" w:eastAsia="zh-CN"/>
        </w:rPr>
        <w:t xml:space="preserve"> </w:t>
      </w:r>
      <w:r>
        <w:rPr>
          <w:rFonts w:hint="eastAsia" w:ascii="仿宋" w:hAnsi="仿宋" w:eastAsia="仿宋"/>
          <w:sz w:val="24"/>
          <w:szCs w:val="24"/>
          <w:lang w:eastAsia="zh-CN"/>
        </w:rPr>
        <w:t>（</w:t>
      </w:r>
      <w:r>
        <w:rPr>
          <w:rFonts w:hint="eastAsia" w:ascii="仿宋" w:hAnsi="仿宋" w:eastAsia="仿宋"/>
          <w:sz w:val="24"/>
          <w:szCs w:val="24"/>
          <w:lang w:val="en-US" w:eastAsia="zh-CN"/>
        </w:rPr>
        <w:t>智慧水务-</w:t>
      </w:r>
      <w:r>
        <w:rPr>
          <w:rFonts w:hint="eastAsia" w:ascii="仿宋" w:hAnsi="仿宋" w:eastAsia="仿宋"/>
          <w:sz w:val="24"/>
          <w:szCs w:val="24"/>
        </w:rPr>
        <w:t>计量设施</w:t>
      </w:r>
      <w:r>
        <w:rPr>
          <w:rFonts w:hint="eastAsia" w:ascii="仿宋" w:hAnsi="仿宋" w:eastAsia="仿宋"/>
          <w:sz w:val="24"/>
          <w:szCs w:val="24"/>
          <w:lang w:eastAsia="zh-CN"/>
        </w:rPr>
        <w:t>）</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rPr>
      </w:pPr>
      <w:r>
        <w:rPr>
          <w:rFonts w:hint="eastAsia" w:ascii="仿宋" w:hAnsi="仿宋" w:eastAsia="仿宋"/>
          <w:sz w:val="24"/>
          <w:szCs w:val="24"/>
        </w:rPr>
        <w:t>数量:1</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lang w:val="en-US" w:eastAsia="zh-CN"/>
        </w:rPr>
      </w:pPr>
      <w:r>
        <w:rPr>
          <w:rFonts w:hint="eastAsia" w:ascii="仿宋" w:hAnsi="仿宋" w:eastAsia="仿宋"/>
          <w:sz w:val="24"/>
          <w:szCs w:val="24"/>
        </w:rPr>
        <w:t>预算金额（元）:</w:t>
      </w:r>
      <w:r>
        <w:rPr>
          <w:rFonts w:hint="eastAsia" w:ascii="仿宋" w:hAnsi="仿宋" w:eastAsia="仿宋"/>
          <w:sz w:val="24"/>
          <w:szCs w:val="24"/>
          <w:lang w:val="en-US" w:eastAsia="zh-CN"/>
        </w:rPr>
        <w:t>7000000.00元</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rPr>
      </w:pPr>
      <w:r>
        <w:rPr>
          <w:rFonts w:hint="eastAsia" w:ascii="仿宋" w:hAnsi="仿宋" w:eastAsia="仿宋"/>
          <w:sz w:val="24"/>
          <w:szCs w:val="24"/>
        </w:rPr>
        <w:t>简要规格描述或项目基本概况介绍、用途：计量设施材料一批，具体详见</w:t>
      </w:r>
      <w:r>
        <w:rPr>
          <w:rFonts w:hint="eastAsia" w:ascii="仿宋" w:hAnsi="仿宋" w:eastAsia="仿宋"/>
          <w:sz w:val="24"/>
          <w:szCs w:val="24"/>
          <w:lang w:val="en-US" w:eastAsia="zh-CN"/>
        </w:rPr>
        <w:t>招标文件</w:t>
      </w:r>
      <w:r>
        <w:rPr>
          <w:rFonts w:hint="eastAsia" w:ascii="仿宋" w:hAnsi="仿宋" w:eastAsia="仿宋"/>
          <w:sz w:val="24"/>
          <w:szCs w:val="24"/>
        </w:rPr>
        <w:t>采购参数。</w:t>
      </w:r>
    </w:p>
    <w:p>
      <w:pPr>
        <w:keepNext w:val="0"/>
        <w:keepLines w:val="0"/>
        <w:pageBreakBefore w:val="0"/>
        <w:widowControl w:val="0"/>
        <w:kinsoku/>
        <w:wordWrap/>
        <w:overflowPunct/>
        <w:topLinePunct w:val="0"/>
        <w:autoSpaceDE/>
        <w:autoSpaceDN/>
        <w:bidi w:val="0"/>
        <w:adjustRightInd/>
        <w:snapToGrid/>
        <w:spacing w:line="420" w:lineRule="exact"/>
        <w:ind w:firstLine="480" w:firstLineChars="200"/>
        <w:textAlignment w:val="auto"/>
        <w:rPr>
          <w:rFonts w:hint="eastAsia" w:ascii="仿宋" w:hAnsi="仿宋" w:eastAsia="仿宋"/>
          <w:sz w:val="24"/>
          <w:szCs w:val="24"/>
        </w:rPr>
      </w:pPr>
      <w:r>
        <w:rPr>
          <w:rFonts w:hint="eastAsia" w:ascii="仿宋" w:hAnsi="仿宋" w:eastAsia="仿宋"/>
          <w:sz w:val="24"/>
          <w:szCs w:val="24"/>
        </w:rPr>
        <w:t>备注：</w:t>
      </w:r>
    </w:p>
    <w:p>
      <w:pPr>
        <w:pStyle w:val="8"/>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auto"/>
        <w:rPr>
          <w:rFonts w:hint="eastAsia" w:ascii="仿宋" w:hAnsi="仿宋" w:eastAsia="仿宋"/>
          <w:sz w:val="24"/>
          <w:szCs w:val="24"/>
          <w:lang w:val="en-US" w:eastAsia="zh-CN"/>
        </w:rPr>
      </w:pPr>
      <w:r>
        <w:rPr>
          <w:rFonts w:hint="eastAsia" w:ascii="仿宋" w:hAnsi="仿宋" w:eastAsia="仿宋"/>
          <w:sz w:val="24"/>
          <w:szCs w:val="24"/>
        </w:rPr>
        <w:t>合同履行期限：</w:t>
      </w:r>
      <w:r>
        <w:rPr>
          <w:rFonts w:hint="eastAsia" w:ascii="仿宋" w:hAnsi="仿宋" w:eastAsia="仿宋"/>
          <w:sz w:val="24"/>
          <w:szCs w:val="24"/>
          <w:lang w:val="en-US" w:eastAsia="zh-CN"/>
        </w:rPr>
        <w:t>合同签订后180日历天内完成设备供货、安装及调试。</w:t>
      </w:r>
    </w:p>
    <w:p>
      <w:pPr>
        <w:pStyle w:val="8"/>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auto"/>
        <w:rPr>
          <w:rFonts w:hint="default" w:ascii="仿宋" w:hAnsi="仿宋" w:eastAsia="仿宋"/>
          <w:sz w:val="24"/>
          <w:szCs w:val="24"/>
          <w:lang w:val="en-US" w:eastAsia="zh-CN"/>
        </w:rPr>
      </w:pPr>
      <w:r>
        <w:rPr>
          <w:rFonts w:hint="eastAsia" w:ascii="仿宋" w:hAnsi="仿宋" w:eastAsia="仿宋"/>
          <w:sz w:val="24"/>
          <w:szCs w:val="24"/>
          <w:lang w:val="en-US" w:eastAsia="zh-CN"/>
        </w:rPr>
        <w:t>资金来源：地方债券资金和其他资金</w:t>
      </w:r>
    </w:p>
    <w:p>
      <w:pPr>
        <w:pStyle w:val="8"/>
        <w:keepNext w:val="0"/>
        <w:keepLines w:val="0"/>
        <w:pageBreakBefore w:val="0"/>
        <w:widowControl w:val="0"/>
        <w:kinsoku/>
        <w:wordWrap/>
        <w:overflowPunct/>
        <w:topLinePunct w:val="0"/>
        <w:autoSpaceDE/>
        <w:autoSpaceDN/>
        <w:bidi w:val="0"/>
        <w:adjustRightInd/>
        <w:snapToGrid/>
        <w:spacing w:after="0" w:line="420" w:lineRule="exact"/>
        <w:ind w:firstLine="480" w:firstLineChars="200"/>
        <w:textAlignment w:val="auto"/>
        <w:rPr>
          <w:rFonts w:hint="eastAsia" w:ascii="仿宋" w:hAnsi="仿宋" w:eastAsia="仿宋"/>
          <w:sz w:val="24"/>
          <w:szCs w:val="24"/>
          <w:lang w:val="en-US" w:eastAsia="zh-CN"/>
        </w:rPr>
      </w:pPr>
      <w:r>
        <w:rPr>
          <w:rFonts w:hint="eastAsia" w:ascii="仿宋" w:hAnsi="仿宋" w:eastAsia="仿宋"/>
          <w:sz w:val="24"/>
          <w:szCs w:val="24"/>
        </w:rPr>
        <w:t>本项目（是/否）接受联合体投标：</w:t>
      </w:r>
      <w:r>
        <w:rPr>
          <w:rFonts w:hint="eastAsia" w:ascii="仿宋" w:hAnsi="仿宋" w:eastAsia="仿宋"/>
          <w:sz w:val="24"/>
          <w:szCs w:val="24"/>
          <w:lang w:val="en-US" w:eastAsia="zh-CN"/>
        </w:rPr>
        <w:t>否</w:t>
      </w:r>
    </w:p>
    <w:p>
      <w:pPr>
        <w:keepNext w:val="0"/>
        <w:keepLines w:val="0"/>
        <w:pageBreakBefore w:val="0"/>
        <w:numPr>
          <w:ilvl w:val="0"/>
          <w:numId w:val="3"/>
        </w:numPr>
        <w:kinsoku/>
        <w:wordWrap/>
        <w:overflowPunct/>
        <w:topLinePunct w:val="0"/>
        <w:autoSpaceDE/>
        <w:autoSpaceDN/>
        <w:bidi w:val="0"/>
        <w:adjustRightInd/>
        <w:snapToGrid/>
        <w:spacing w:line="420" w:lineRule="exact"/>
        <w:textAlignment w:val="auto"/>
        <w:outlineLvl w:val="1"/>
        <w:rPr>
          <w:rFonts w:hint="eastAsia" w:ascii="黑体" w:hAnsi="黑体" w:cs="宋体"/>
          <w:b/>
          <w:bCs/>
          <w:sz w:val="24"/>
          <w:szCs w:val="24"/>
        </w:rPr>
      </w:pPr>
      <w:r>
        <w:rPr>
          <w:rFonts w:hint="eastAsia" w:ascii="黑体" w:hAnsi="黑体" w:cs="宋体"/>
          <w:b/>
          <w:bCs/>
          <w:sz w:val="24"/>
          <w:szCs w:val="24"/>
        </w:rPr>
        <w:t>申请人的资格要求：</w:t>
      </w:r>
      <w:bookmarkEnd w:id="14"/>
      <w:bookmarkEnd w:id="15"/>
      <w:bookmarkEnd w:id="16"/>
      <w:bookmarkEnd w:id="17"/>
      <w:bookmarkEnd w:id="18"/>
      <w:bookmarkEnd w:id="19"/>
      <w:bookmarkEnd w:id="20"/>
      <w:bookmarkStart w:id="21" w:name="_Toc28359081"/>
      <w:bookmarkStart w:id="22" w:name="_Toc28359004"/>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bookmarkStart w:id="23" w:name="_Toc24117"/>
      <w:bookmarkStart w:id="24" w:name="_Toc35393623"/>
      <w:bookmarkStart w:id="25" w:name="_Toc35393792"/>
      <w:bookmarkStart w:id="26" w:name="_Toc12439"/>
      <w:bookmarkStart w:id="27" w:name="_Toc14160"/>
      <w:r>
        <w:rPr>
          <w:rFonts w:hint="default" w:ascii="仿宋" w:hAnsi="仿宋" w:eastAsia="仿宋" w:cs="宋体"/>
          <w:kern w:val="0"/>
          <w:sz w:val="24"/>
          <w:szCs w:val="24"/>
          <w:lang w:val="en-US" w:eastAsia="zh-CN"/>
        </w:rPr>
        <w:t>1、投标单位必须符合《中华人民共和国政府采购法》第二十二条规定；</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2、经年审合格（三证合一）的营业执照；</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3、特定资格：供应商为生产厂家时需具备质量技术监督局颁发的有效的《计量器具型式批准证书》，供应商为经销商时应提供生产厂家有效的《计量器具型式批准证书》的复印件加盖经销商公章。（计量器具型式批准证书上水表规格：根据市场监管总局关于发布实施强制管理的计量器具目录的公告2019年第48号要求“2020年1月1日后办理的《计量器具型式批准证书》只有列入《目录》且监管方式为P（型式批准）和P+V（型式批准+强制检定）的计量器具应办理型式批准水表DN15～DN50 P+V”2020年1月1日之前的计量器具型式批准证书上显示DN</w:t>
      </w:r>
      <w:r>
        <w:rPr>
          <w:rFonts w:hint="eastAsia" w:ascii="仿宋" w:hAnsi="仿宋" w:eastAsia="仿宋" w:cs="宋体"/>
          <w:kern w:val="0"/>
          <w:sz w:val="24"/>
          <w:szCs w:val="24"/>
          <w:lang w:val="en-US" w:eastAsia="zh-CN"/>
        </w:rPr>
        <w:t>15</w:t>
      </w:r>
      <w:r>
        <w:rPr>
          <w:rFonts w:hint="default" w:ascii="仿宋" w:hAnsi="仿宋" w:eastAsia="仿宋" w:cs="宋体"/>
          <w:kern w:val="0"/>
          <w:sz w:val="24"/>
          <w:szCs w:val="24"/>
          <w:lang w:val="en-US" w:eastAsia="zh-CN"/>
        </w:rPr>
        <w:t>～DN200水表类型）</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4、提供经第三方会计师事务所或审计机构审计的2021年度财务报告原件或加盖公章的复印件；(2022年以后成立公司需出具银行近一个月的资信证明）；</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5、近三年内（本项目投标截止期前）在“信用中国（www.creditchina.gov.cn）”被列入失信被执行人、企业经营异常名录、重大税收违法案件当事人名单、政府采购严重违法失信名单（尚在处罚期内的）；在“中国政府采购网（www.ccgp.gov.cn）”被列入政府采购严重违法失信行为记录名单的（尚在处罚期内的）；将拒绝其参加本次政府采购活动；</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6、企业负责人为同一人或者存在直接控股、管理关系的不同投标人，不得参加同一合同项下的政府采购活动。否则，皆取消投标资格；</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7、投标保证金：：70000.00元整(柒万元整)；</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ind w:firstLine="480" w:firstLineChars="200"/>
        <w:textAlignment w:val="auto"/>
        <w:rPr>
          <w:rFonts w:hint="default" w:ascii="仿宋" w:hAnsi="仿宋" w:eastAsia="仿宋" w:cs="宋体"/>
          <w:kern w:val="0"/>
          <w:sz w:val="24"/>
          <w:szCs w:val="24"/>
          <w:lang w:val="en-US" w:eastAsia="zh-CN"/>
        </w:rPr>
      </w:pPr>
      <w:r>
        <w:rPr>
          <w:rFonts w:hint="default" w:ascii="仿宋" w:hAnsi="仿宋" w:eastAsia="仿宋" w:cs="宋体"/>
          <w:kern w:val="0"/>
          <w:sz w:val="24"/>
          <w:szCs w:val="24"/>
          <w:lang w:val="en-US" w:eastAsia="zh-CN"/>
        </w:rPr>
        <w:t>8、本项目：100%面向中小企业采购，投标人须提供《中小企业声明函》</w:t>
      </w:r>
    </w:p>
    <w:p>
      <w:pPr>
        <w:keepNext w:val="0"/>
        <w:keepLines w:val="0"/>
        <w:pageBreakBefore w:val="0"/>
        <w:widowControl/>
        <w:numPr>
          <w:ilvl w:val="0"/>
          <w:numId w:val="0"/>
        </w:numPr>
        <w:kinsoku/>
        <w:wordWrap/>
        <w:overflowPunct/>
        <w:topLinePunct w:val="0"/>
        <w:autoSpaceDE/>
        <w:autoSpaceDN/>
        <w:bidi w:val="0"/>
        <w:adjustRightInd/>
        <w:snapToGrid/>
        <w:spacing w:line="420" w:lineRule="exact"/>
        <w:ind w:leftChars="0" w:right="0" w:rightChars="0"/>
        <w:jc w:val="left"/>
        <w:textAlignment w:val="auto"/>
        <w:outlineLvl w:val="9"/>
        <w:rPr>
          <w:rFonts w:ascii="黑体" w:hAnsi="黑体" w:cs="宋体"/>
          <w:b w:val="0"/>
          <w:sz w:val="24"/>
          <w:szCs w:val="24"/>
        </w:rPr>
      </w:pPr>
      <w:r>
        <w:rPr>
          <w:rFonts w:hint="eastAsia" w:ascii="黑体" w:hAnsi="黑体" w:cs="宋体"/>
          <w:b/>
          <w:bCs/>
          <w:sz w:val="24"/>
          <w:szCs w:val="24"/>
        </w:rPr>
        <w:t>三、</w:t>
      </w:r>
      <w:r>
        <w:rPr>
          <w:rFonts w:hint="eastAsia" w:ascii="黑体" w:hAnsi="黑体" w:cs="宋体"/>
          <w:b w:val="0"/>
          <w:sz w:val="24"/>
          <w:szCs w:val="24"/>
        </w:rPr>
        <w:t>获取招标文件</w:t>
      </w:r>
      <w:bookmarkEnd w:id="21"/>
      <w:bookmarkEnd w:id="22"/>
      <w:bookmarkEnd w:id="23"/>
      <w:bookmarkEnd w:id="24"/>
      <w:bookmarkEnd w:id="25"/>
      <w:bookmarkEnd w:id="26"/>
      <w:bookmarkEnd w:id="27"/>
    </w:p>
    <w:p>
      <w:pPr>
        <w:keepNext w:val="0"/>
        <w:keepLines w:val="0"/>
        <w:pageBreakBefore w:val="0"/>
        <w:kinsoku/>
        <w:wordWrap/>
        <w:overflowPunct/>
        <w:topLinePunct w:val="0"/>
        <w:autoSpaceDE/>
        <w:autoSpaceDN/>
        <w:bidi w:val="0"/>
        <w:adjustRightInd/>
        <w:snapToGrid/>
        <w:spacing w:line="420" w:lineRule="exact"/>
        <w:ind w:firstLine="540"/>
        <w:textAlignment w:val="auto"/>
        <w:rPr>
          <w:rFonts w:hint="default" w:ascii="仿宋" w:hAnsi="仿宋" w:eastAsia="仿宋" w:cs="宋体"/>
          <w:color w:val="FF0000"/>
          <w:sz w:val="24"/>
          <w:szCs w:val="24"/>
          <w:highlight w:val="yellow"/>
          <w:u w:val="single"/>
          <w:lang w:val="en-US"/>
        </w:rPr>
      </w:pPr>
      <w:r>
        <w:rPr>
          <w:rFonts w:hint="eastAsia" w:ascii="仿宋" w:hAnsi="仿宋" w:eastAsia="仿宋" w:cs="宋体"/>
          <w:sz w:val="24"/>
          <w:szCs w:val="24"/>
        </w:rPr>
        <w:t>时间：</w:t>
      </w:r>
      <w:r>
        <w:rPr>
          <w:rFonts w:ascii="仿宋" w:hAnsi="仿宋" w:eastAsia="仿宋" w:cs="宋体"/>
          <w:sz w:val="24"/>
          <w:szCs w:val="24"/>
          <w:u w:val="single"/>
        </w:rPr>
        <w:t xml:space="preserve"> </w:t>
      </w:r>
      <w:r>
        <w:rPr>
          <w:rFonts w:hint="eastAsia" w:ascii="仿宋" w:hAnsi="仿宋" w:eastAsia="仿宋" w:cs="宋体"/>
          <w:sz w:val="24"/>
          <w:szCs w:val="24"/>
          <w:u w:val="single"/>
        </w:rPr>
        <w:t>20</w:t>
      </w:r>
      <w:r>
        <w:rPr>
          <w:rFonts w:hint="eastAsia" w:ascii="仿宋" w:hAnsi="仿宋" w:eastAsia="仿宋" w:cs="宋体"/>
          <w:sz w:val="24"/>
          <w:szCs w:val="24"/>
          <w:u w:val="single"/>
          <w:lang w:val="en-US" w:eastAsia="zh-CN"/>
        </w:rPr>
        <w:t>22</w:t>
      </w:r>
      <w:r>
        <w:rPr>
          <w:rFonts w:hint="eastAsia" w:ascii="仿宋" w:hAnsi="仿宋" w:eastAsia="仿宋" w:cs="宋体"/>
          <w:sz w:val="24"/>
          <w:szCs w:val="24"/>
          <w:u w:val="single"/>
        </w:rPr>
        <w:t>年</w:t>
      </w:r>
      <w:r>
        <w:rPr>
          <w:rFonts w:hint="eastAsia" w:ascii="仿宋" w:hAnsi="仿宋" w:eastAsia="仿宋" w:cs="宋体"/>
          <w:sz w:val="24"/>
          <w:szCs w:val="24"/>
          <w:u w:val="single"/>
          <w:lang w:val="en-US" w:eastAsia="zh-CN"/>
        </w:rPr>
        <w:t>09月07</w:t>
      </w:r>
      <w:r>
        <w:rPr>
          <w:rFonts w:hint="eastAsia" w:ascii="仿宋" w:hAnsi="仿宋" w:eastAsia="仿宋" w:cs="宋体"/>
          <w:sz w:val="24"/>
          <w:szCs w:val="24"/>
          <w:u w:val="single"/>
        </w:rPr>
        <w:t>日至</w:t>
      </w:r>
      <w:r>
        <w:rPr>
          <w:rFonts w:hint="eastAsia" w:ascii="仿宋" w:hAnsi="仿宋" w:eastAsia="仿宋" w:cs="宋体"/>
          <w:color w:val="000000"/>
          <w:sz w:val="24"/>
          <w:szCs w:val="24"/>
          <w:u w:val="single"/>
        </w:rPr>
        <w:t>202</w:t>
      </w:r>
      <w:r>
        <w:rPr>
          <w:rFonts w:hint="eastAsia" w:ascii="仿宋" w:hAnsi="仿宋" w:eastAsia="仿宋" w:cs="宋体"/>
          <w:color w:val="000000"/>
          <w:sz w:val="24"/>
          <w:szCs w:val="24"/>
          <w:u w:val="single"/>
          <w:lang w:val="en-US" w:eastAsia="zh-CN"/>
        </w:rPr>
        <w:t>2</w:t>
      </w:r>
      <w:r>
        <w:rPr>
          <w:rFonts w:hint="eastAsia" w:ascii="仿宋" w:hAnsi="仿宋" w:eastAsia="仿宋" w:cs="宋体"/>
          <w:color w:val="000000"/>
          <w:sz w:val="24"/>
          <w:szCs w:val="24"/>
          <w:u w:val="single"/>
        </w:rPr>
        <w:t>年</w:t>
      </w:r>
      <w:r>
        <w:rPr>
          <w:rFonts w:hint="eastAsia" w:ascii="仿宋" w:hAnsi="仿宋" w:eastAsia="仿宋" w:cs="宋体"/>
          <w:color w:val="000000"/>
          <w:sz w:val="24"/>
          <w:szCs w:val="24"/>
          <w:u w:val="single"/>
          <w:lang w:val="en-US" w:eastAsia="zh-CN"/>
        </w:rPr>
        <w:t>09月28</w:t>
      </w:r>
      <w:bookmarkStart w:id="512" w:name="_GoBack"/>
      <w:bookmarkEnd w:id="512"/>
      <w:r>
        <w:rPr>
          <w:rFonts w:hint="eastAsia" w:ascii="仿宋" w:hAnsi="仿宋" w:eastAsia="仿宋" w:cs="宋体"/>
          <w:color w:val="000000"/>
          <w:sz w:val="24"/>
          <w:szCs w:val="24"/>
          <w:u w:val="single"/>
          <w:lang w:val="en-US" w:eastAsia="zh-CN"/>
        </w:rPr>
        <w:t>日，每天上午10:00至12:00，下午12:00至23:59</w:t>
      </w:r>
    </w:p>
    <w:p>
      <w:pPr>
        <w:keepNext w:val="0"/>
        <w:keepLines w:val="0"/>
        <w:pageBreakBefore w:val="0"/>
        <w:kinsoku/>
        <w:wordWrap/>
        <w:overflowPunct/>
        <w:topLinePunct w:val="0"/>
        <w:autoSpaceDE/>
        <w:autoSpaceDN/>
        <w:bidi w:val="0"/>
        <w:adjustRightInd/>
        <w:snapToGrid/>
        <w:spacing w:line="420" w:lineRule="exact"/>
        <w:ind w:firstLine="540"/>
        <w:textAlignment w:val="auto"/>
        <w:rPr>
          <w:rFonts w:ascii="仿宋" w:hAnsi="仿宋" w:eastAsia="仿宋" w:cs="宋体"/>
          <w:sz w:val="24"/>
          <w:szCs w:val="24"/>
          <w:u w:val="single"/>
        </w:rPr>
      </w:pPr>
      <w:r>
        <w:rPr>
          <w:rFonts w:hint="eastAsia" w:ascii="仿宋" w:hAnsi="仿宋" w:eastAsia="仿宋" w:cs="宋体"/>
          <w:sz w:val="24"/>
          <w:szCs w:val="24"/>
        </w:rPr>
        <w:t>地点：政采云平台</w:t>
      </w:r>
      <w:r>
        <w:rPr>
          <w:rFonts w:hint="eastAsia" w:ascii="仿宋" w:hAnsi="仿宋" w:eastAsia="仿宋" w:cs="宋体"/>
          <w:sz w:val="24"/>
          <w:szCs w:val="24"/>
          <w:lang w:eastAsia="zh-CN"/>
        </w:rPr>
        <w:t>（</w:t>
      </w:r>
      <w:r>
        <w:rPr>
          <w:rFonts w:hint="eastAsia" w:ascii="仿宋" w:hAnsi="仿宋" w:eastAsia="仿宋" w:cs="宋体"/>
          <w:sz w:val="24"/>
          <w:szCs w:val="24"/>
        </w:rPr>
        <w:t>https://www.zcygov.cn/</w:t>
      </w:r>
      <w:r>
        <w:rPr>
          <w:rFonts w:hint="eastAsia" w:ascii="仿宋" w:hAnsi="仿宋" w:eastAsia="仿宋" w:cs="宋体"/>
          <w:sz w:val="24"/>
          <w:szCs w:val="24"/>
          <w:lang w:eastAsia="zh-CN"/>
        </w:rPr>
        <w:t>）</w:t>
      </w:r>
      <w:r>
        <w:rPr>
          <w:rFonts w:hint="eastAsia" w:ascii="仿宋" w:hAnsi="仿宋" w:eastAsia="仿宋" w:cs="宋体"/>
          <w:sz w:val="24"/>
          <w:szCs w:val="24"/>
        </w:rPr>
        <w:t>线上获取</w:t>
      </w:r>
    </w:p>
    <w:p>
      <w:pPr>
        <w:keepNext w:val="0"/>
        <w:keepLines w:val="0"/>
        <w:pageBreakBefore w:val="0"/>
        <w:kinsoku/>
        <w:wordWrap/>
        <w:overflowPunct/>
        <w:topLinePunct w:val="0"/>
        <w:autoSpaceDE/>
        <w:autoSpaceDN/>
        <w:bidi w:val="0"/>
        <w:adjustRightInd/>
        <w:snapToGrid/>
        <w:spacing w:line="420" w:lineRule="exact"/>
        <w:ind w:firstLine="540"/>
        <w:textAlignment w:val="auto"/>
        <w:rPr>
          <w:rFonts w:ascii="仿宋" w:hAnsi="仿宋" w:eastAsia="仿宋" w:cs="宋体"/>
          <w:color w:val="000000"/>
          <w:sz w:val="24"/>
          <w:szCs w:val="24"/>
        </w:rPr>
      </w:pPr>
      <w:r>
        <w:rPr>
          <w:rFonts w:hint="eastAsia" w:ascii="仿宋" w:hAnsi="仿宋" w:eastAsia="仿宋" w:cs="宋体"/>
          <w:color w:val="000000"/>
          <w:sz w:val="24"/>
          <w:szCs w:val="24"/>
        </w:rPr>
        <w:t>方式：供应商登陆政采云平台https://www.zcygov.cn/在线申请获取采购文件（进入“项目采购”应用，在获取采购文件菜单中选择项目，申请获取采购文件）</w:t>
      </w:r>
    </w:p>
    <w:p>
      <w:pPr>
        <w:keepNext w:val="0"/>
        <w:keepLines w:val="0"/>
        <w:pageBreakBefore w:val="0"/>
        <w:kinsoku/>
        <w:wordWrap/>
        <w:overflowPunct/>
        <w:topLinePunct w:val="0"/>
        <w:autoSpaceDE/>
        <w:autoSpaceDN/>
        <w:bidi w:val="0"/>
        <w:adjustRightInd/>
        <w:snapToGrid/>
        <w:spacing w:line="420" w:lineRule="exact"/>
        <w:ind w:firstLine="540"/>
        <w:textAlignment w:val="auto"/>
        <w:rPr>
          <w:rFonts w:hint="eastAsia"/>
          <w:lang w:val="en-US" w:eastAsia="zh-CN"/>
        </w:rPr>
      </w:pPr>
      <w:r>
        <w:rPr>
          <w:rFonts w:hint="eastAsia" w:ascii="仿宋" w:hAnsi="仿宋" w:eastAsia="仿宋" w:cs="宋体"/>
          <w:sz w:val="24"/>
          <w:szCs w:val="24"/>
          <w:lang w:val="en-US" w:eastAsia="zh-CN"/>
        </w:rPr>
        <w:t>文件</w:t>
      </w:r>
      <w:r>
        <w:rPr>
          <w:rFonts w:hint="eastAsia" w:ascii="仿宋" w:hAnsi="仿宋" w:eastAsia="仿宋" w:cs="宋体"/>
          <w:sz w:val="24"/>
          <w:szCs w:val="24"/>
        </w:rPr>
        <w:t>售价：</w:t>
      </w:r>
      <w:bookmarkStart w:id="28" w:name="_Toc28359005"/>
      <w:bookmarkStart w:id="29" w:name="_Toc28359082"/>
      <w:bookmarkStart w:id="30" w:name="_Toc16029"/>
      <w:bookmarkStart w:id="31" w:name="_Toc7609"/>
      <w:bookmarkStart w:id="32" w:name="_Toc35393793"/>
      <w:bookmarkStart w:id="33" w:name="_Toc35393624"/>
      <w:bookmarkStart w:id="34" w:name="_Toc21441"/>
      <w:r>
        <w:rPr>
          <w:rFonts w:hint="eastAsia" w:ascii="仿宋" w:hAnsi="仿宋" w:eastAsia="仿宋" w:cs="宋体"/>
          <w:sz w:val="24"/>
          <w:szCs w:val="24"/>
          <w:lang w:val="en-US" w:eastAsia="zh-CN"/>
        </w:rPr>
        <w:t>0</w:t>
      </w:r>
    </w:p>
    <w:p>
      <w:pPr>
        <w:pStyle w:val="4"/>
        <w:keepNext/>
        <w:keepLines/>
        <w:pageBreakBefore w:val="0"/>
        <w:widowControl w:val="0"/>
        <w:numPr>
          <w:ilvl w:val="0"/>
          <w:numId w:val="0"/>
        </w:numPr>
        <w:kinsoku/>
        <w:wordWrap/>
        <w:overflowPunct/>
        <w:topLinePunct w:val="0"/>
        <w:autoSpaceDE/>
        <w:autoSpaceDN/>
        <w:bidi w:val="0"/>
        <w:adjustRightInd/>
        <w:snapToGrid/>
        <w:spacing w:before="0" w:after="0" w:line="240" w:lineRule="auto"/>
        <w:textAlignment w:val="auto"/>
        <w:rPr>
          <w:rFonts w:ascii="黑体" w:hAnsi="黑体" w:cs="宋体"/>
          <w:b w:val="0"/>
          <w:sz w:val="24"/>
          <w:szCs w:val="24"/>
        </w:rPr>
      </w:pPr>
      <w:r>
        <w:rPr>
          <w:rFonts w:hint="eastAsia" w:ascii="黑体" w:hAnsi="黑体" w:cs="宋体"/>
          <w:b w:val="0"/>
          <w:sz w:val="24"/>
          <w:szCs w:val="24"/>
        </w:rPr>
        <w:t>四、提交投标文件</w:t>
      </w:r>
      <w:bookmarkEnd w:id="28"/>
      <w:bookmarkEnd w:id="29"/>
      <w:r>
        <w:rPr>
          <w:rFonts w:hint="eastAsia" w:ascii="黑体" w:hAnsi="黑体" w:cs="宋体"/>
          <w:b w:val="0"/>
          <w:sz w:val="24"/>
          <w:szCs w:val="24"/>
        </w:rPr>
        <w:t>截止时间、开标时间和地点</w:t>
      </w:r>
      <w:bookmarkEnd w:id="30"/>
      <w:bookmarkEnd w:id="31"/>
      <w:bookmarkEnd w:id="32"/>
      <w:bookmarkEnd w:id="33"/>
      <w:bookmarkEnd w:id="34"/>
    </w:p>
    <w:p>
      <w:pPr>
        <w:widowControl/>
        <w:spacing w:before="75" w:after="75" w:line="240" w:lineRule="auto"/>
        <w:ind w:firstLine="480"/>
        <w:jc w:val="left"/>
        <w:rPr>
          <w:rFonts w:ascii="仿宋" w:hAnsi="仿宋" w:eastAsia="仿宋" w:cs="宋体"/>
          <w:color w:val="000000"/>
          <w:kern w:val="0"/>
          <w:sz w:val="24"/>
          <w:szCs w:val="24"/>
          <w:highlight w:val="none"/>
        </w:rPr>
      </w:pPr>
      <w:bookmarkStart w:id="35" w:name="_Toc28359084"/>
      <w:bookmarkStart w:id="36" w:name="_Toc35393625"/>
      <w:bookmarkStart w:id="37" w:name="_Toc28359007"/>
      <w:bookmarkStart w:id="38" w:name="_Toc35393794"/>
      <w:r>
        <w:rPr>
          <w:rFonts w:hint="eastAsia" w:ascii="仿宋" w:hAnsi="仿宋" w:eastAsia="仿宋" w:cs="宋体"/>
          <w:color w:val="000000"/>
          <w:kern w:val="0"/>
          <w:sz w:val="24"/>
          <w:szCs w:val="24"/>
        </w:rPr>
        <w:t>提交投标文件截止时间：</w:t>
      </w:r>
      <w:r>
        <w:rPr>
          <w:rFonts w:hint="eastAsia" w:ascii="仿宋" w:hAnsi="仿宋" w:eastAsia="仿宋" w:cs="宋体"/>
          <w:color w:val="auto"/>
          <w:kern w:val="0"/>
          <w:sz w:val="24"/>
          <w:szCs w:val="24"/>
          <w:highlight w:val="none"/>
        </w:rPr>
        <w:t>202</w:t>
      </w:r>
      <w:r>
        <w:rPr>
          <w:rFonts w:hint="eastAsia" w:ascii="仿宋" w:hAnsi="仿宋" w:eastAsia="仿宋" w:cs="宋体"/>
          <w:color w:val="auto"/>
          <w:kern w:val="0"/>
          <w:sz w:val="24"/>
          <w:szCs w:val="24"/>
          <w:highlight w:val="none"/>
          <w:lang w:val="en-US" w:eastAsia="zh-CN"/>
        </w:rPr>
        <w:t>2</w:t>
      </w:r>
      <w:r>
        <w:rPr>
          <w:rFonts w:hint="eastAsia" w:ascii="仿宋" w:hAnsi="仿宋" w:eastAsia="仿宋" w:cs="宋体"/>
          <w:color w:val="auto"/>
          <w:kern w:val="0"/>
          <w:sz w:val="24"/>
          <w:szCs w:val="24"/>
          <w:highlight w:val="none"/>
        </w:rPr>
        <w:t>年</w:t>
      </w:r>
      <w:r>
        <w:rPr>
          <w:rFonts w:hint="eastAsia" w:ascii="仿宋" w:hAnsi="仿宋" w:eastAsia="仿宋" w:cs="宋体"/>
          <w:color w:val="auto"/>
          <w:kern w:val="0"/>
          <w:sz w:val="24"/>
          <w:szCs w:val="24"/>
          <w:highlight w:val="none"/>
          <w:lang w:val="en-US" w:eastAsia="zh-CN"/>
        </w:rPr>
        <w:t>09月29日</w:t>
      </w:r>
      <w:r>
        <w:rPr>
          <w:rFonts w:hint="eastAsia" w:ascii="仿宋" w:hAnsi="仿宋" w:eastAsia="仿宋" w:cs="宋体"/>
          <w:color w:val="auto"/>
          <w:kern w:val="0"/>
          <w:sz w:val="24"/>
          <w:szCs w:val="24"/>
          <w:highlight w:val="none"/>
        </w:rPr>
        <w:t xml:space="preserve"> </w:t>
      </w:r>
      <w:r>
        <w:rPr>
          <w:rFonts w:hint="eastAsia" w:ascii="仿宋" w:hAnsi="仿宋" w:eastAsia="仿宋" w:cs="宋体"/>
          <w:color w:val="auto"/>
          <w:kern w:val="0"/>
          <w:sz w:val="24"/>
          <w:szCs w:val="24"/>
          <w:highlight w:val="none"/>
          <w:lang w:val="en-US" w:eastAsia="zh-CN"/>
        </w:rPr>
        <w:t>10:30</w:t>
      </w:r>
      <w:r>
        <w:rPr>
          <w:rFonts w:hint="eastAsia" w:ascii="仿宋" w:hAnsi="仿宋" w:eastAsia="仿宋" w:cs="宋体"/>
          <w:color w:val="auto"/>
          <w:kern w:val="0"/>
          <w:sz w:val="24"/>
          <w:szCs w:val="24"/>
          <w:highlight w:val="none"/>
        </w:rPr>
        <w:t>（北京时间）</w:t>
      </w:r>
    </w:p>
    <w:p>
      <w:pPr>
        <w:widowControl/>
        <w:spacing w:before="75" w:after="75" w:line="240" w:lineRule="auto"/>
        <w:ind w:firstLine="480"/>
        <w:jc w:val="left"/>
        <w:rPr>
          <w:rFonts w:hint="eastAsia" w:ascii="仿宋" w:hAnsi="仿宋" w:eastAsia="仿宋" w:cs="宋体"/>
          <w:color w:val="000000"/>
          <w:kern w:val="0"/>
          <w:sz w:val="24"/>
          <w:szCs w:val="24"/>
          <w:highlight w:val="none"/>
        </w:rPr>
      </w:pPr>
      <w:r>
        <w:rPr>
          <w:rFonts w:hint="eastAsia" w:ascii="仿宋" w:hAnsi="仿宋" w:eastAsia="仿宋" w:cs="宋体"/>
          <w:color w:val="000000"/>
          <w:kern w:val="0"/>
          <w:sz w:val="24"/>
          <w:szCs w:val="24"/>
          <w:highlight w:val="none"/>
        </w:rPr>
        <w:t>投标地点：洛浦县政务服务和公共资源交易中心(洛浦县文化路115号，洛浦县住建局5楼)</w:t>
      </w:r>
    </w:p>
    <w:p>
      <w:pPr>
        <w:widowControl/>
        <w:spacing w:before="75" w:after="75" w:line="240" w:lineRule="auto"/>
        <w:ind w:firstLine="480"/>
        <w:jc w:val="left"/>
        <w:rPr>
          <w:rFonts w:hint="eastAsia" w:ascii="仿宋" w:hAnsi="仿宋" w:eastAsia="仿宋" w:cs="宋体"/>
          <w:color w:val="FF0000"/>
          <w:kern w:val="0"/>
          <w:sz w:val="24"/>
          <w:szCs w:val="24"/>
          <w:highlight w:val="none"/>
        </w:rPr>
      </w:pPr>
      <w:r>
        <w:rPr>
          <w:rFonts w:hint="eastAsia" w:ascii="仿宋" w:hAnsi="仿宋" w:eastAsia="仿宋" w:cs="宋体"/>
          <w:color w:val="000000"/>
          <w:kern w:val="0"/>
          <w:sz w:val="24"/>
          <w:szCs w:val="24"/>
          <w:highlight w:val="none"/>
        </w:rPr>
        <w:t>开标时间：</w:t>
      </w:r>
      <w:r>
        <w:rPr>
          <w:rFonts w:hint="eastAsia" w:ascii="仿宋" w:hAnsi="仿宋" w:eastAsia="仿宋" w:cs="宋体"/>
          <w:color w:val="auto"/>
          <w:kern w:val="0"/>
          <w:sz w:val="24"/>
          <w:szCs w:val="24"/>
          <w:highlight w:val="none"/>
        </w:rPr>
        <w:t>202</w:t>
      </w:r>
      <w:r>
        <w:rPr>
          <w:rFonts w:hint="eastAsia" w:ascii="仿宋" w:hAnsi="仿宋" w:eastAsia="仿宋" w:cs="宋体"/>
          <w:color w:val="auto"/>
          <w:kern w:val="0"/>
          <w:sz w:val="24"/>
          <w:szCs w:val="24"/>
          <w:highlight w:val="none"/>
          <w:lang w:val="en-US" w:eastAsia="zh-CN"/>
        </w:rPr>
        <w:t>2</w:t>
      </w:r>
      <w:r>
        <w:rPr>
          <w:rFonts w:hint="eastAsia" w:ascii="仿宋" w:hAnsi="仿宋" w:eastAsia="仿宋" w:cs="宋体"/>
          <w:color w:val="auto"/>
          <w:kern w:val="0"/>
          <w:sz w:val="24"/>
          <w:szCs w:val="24"/>
          <w:highlight w:val="none"/>
        </w:rPr>
        <w:t>年</w:t>
      </w:r>
      <w:r>
        <w:rPr>
          <w:rFonts w:hint="eastAsia" w:ascii="仿宋" w:hAnsi="仿宋" w:eastAsia="仿宋" w:cs="宋体"/>
          <w:color w:val="auto"/>
          <w:kern w:val="0"/>
          <w:sz w:val="24"/>
          <w:szCs w:val="24"/>
          <w:highlight w:val="none"/>
          <w:lang w:val="en-US" w:eastAsia="zh-CN"/>
        </w:rPr>
        <w:t>09月29日</w:t>
      </w:r>
      <w:r>
        <w:rPr>
          <w:rFonts w:hint="eastAsia" w:ascii="仿宋" w:hAnsi="仿宋" w:eastAsia="仿宋" w:cs="宋体"/>
          <w:color w:val="auto"/>
          <w:kern w:val="0"/>
          <w:sz w:val="24"/>
          <w:szCs w:val="24"/>
          <w:highlight w:val="none"/>
        </w:rPr>
        <w:t xml:space="preserve"> </w:t>
      </w:r>
      <w:r>
        <w:rPr>
          <w:rFonts w:hint="eastAsia" w:ascii="仿宋" w:hAnsi="仿宋" w:eastAsia="仿宋" w:cs="宋体"/>
          <w:color w:val="auto"/>
          <w:kern w:val="0"/>
          <w:sz w:val="24"/>
          <w:szCs w:val="24"/>
          <w:highlight w:val="none"/>
          <w:lang w:val="en-US" w:eastAsia="zh-CN"/>
        </w:rPr>
        <w:t>10:30</w:t>
      </w:r>
      <w:r>
        <w:rPr>
          <w:rFonts w:hint="eastAsia" w:ascii="仿宋" w:hAnsi="仿宋" w:eastAsia="仿宋" w:cs="宋体"/>
          <w:color w:val="auto"/>
          <w:kern w:val="0"/>
          <w:sz w:val="24"/>
          <w:szCs w:val="24"/>
          <w:highlight w:val="none"/>
        </w:rPr>
        <w:t>（北京时间）</w:t>
      </w:r>
    </w:p>
    <w:p>
      <w:pPr>
        <w:widowControl/>
        <w:spacing w:before="75" w:after="75" w:line="240" w:lineRule="auto"/>
        <w:ind w:firstLine="480"/>
        <w:jc w:val="left"/>
        <w:rPr>
          <w:rFonts w:hint="eastAsia" w:ascii="仿宋" w:hAnsi="仿宋" w:eastAsia="仿宋" w:cs="宋体"/>
          <w:color w:val="000000"/>
          <w:kern w:val="0"/>
          <w:sz w:val="24"/>
          <w:szCs w:val="24"/>
        </w:rPr>
      </w:pPr>
      <w:r>
        <w:rPr>
          <w:rFonts w:hint="eastAsia" w:ascii="仿宋" w:hAnsi="仿宋" w:eastAsia="仿宋" w:cs="宋体"/>
          <w:color w:val="000000"/>
          <w:kern w:val="0"/>
          <w:sz w:val="24"/>
          <w:szCs w:val="24"/>
        </w:rPr>
        <w:t>开标地点：洛浦县政务服务和公共资源交易中心(洛浦县文化路115号，洛浦县住建局5楼)</w:t>
      </w:r>
    </w:p>
    <w:p>
      <w:pPr>
        <w:pStyle w:val="4"/>
        <w:numPr>
          <w:ilvl w:val="0"/>
          <w:numId w:val="0"/>
        </w:numPr>
        <w:spacing w:line="240" w:lineRule="auto"/>
        <w:rPr>
          <w:rFonts w:ascii="黑体" w:hAnsi="黑体" w:cs="宋体"/>
          <w:b w:val="0"/>
          <w:sz w:val="24"/>
          <w:szCs w:val="24"/>
        </w:rPr>
      </w:pPr>
      <w:bookmarkStart w:id="39" w:name="_Toc1554"/>
      <w:bookmarkStart w:id="40" w:name="_Toc14845"/>
      <w:bookmarkStart w:id="41" w:name="_Toc18038"/>
      <w:r>
        <w:rPr>
          <w:rFonts w:hint="eastAsia" w:ascii="黑体" w:hAnsi="黑体" w:cs="宋体"/>
          <w:b w:val="0"/>
          <w:sz w:val="24"/>
          <w:szCs w:val="24"/>
        </w:rPr>
        <w:t>五、公告期限</w:t>
      </w:r>
      <w:bookmarkEnd w:id="35"/>
      <w:bookmarkEnd w:id="36"/>
      <w:bookmarkEnd w:id="37"/>
      <w:bookmarkEnd w:id="38"/>
      <w:bookmarkEnd w:id="39"/>
      <w:bookmarkEnd w:id="40"/>
      <w:bookmarkEnd w:id="41"/>
    </w:p>
    <w:p>
      <w:pPr>
        <w:spacing w:line="240" w:lineRule="auto"/>
        <w:ind w:firstLine="480" w:firstLineChars="200"/>
        <w:rPr>
          <w:rFonts w:ascii="仿宋" w:hAnsi="仿宋" w:eastAsia="仿宋" w:cs="宋体"/>
          <w:kern w:val="0"/>
          <w:sz w:val="24"/>
          <w:szCs w:val="24"/>
        </w:rPr>
      </w:pPr>
      <w:r>
        <w:rPr>
          <w:rFonts w:hint="eastAsia" w:ascii="仿宋" w:hAnsi="仿宋" w:eastAsia="仿宋" w:cs="宋体"/>
          <w:kern w:val="0"/>
          <w:sz w:val="24"/>
          <w:szCs w:val="24"/>
        </w:rPr>
        <w:t>自本公告发布之日起</w:t>
      </w:r>
      <w:r>
        <w:rPr>
          <w:rFonts w:hint="eastAsia" w:ascii="仿宋" w:hAnsi="仿宋" w:eastAsia="仿宋" w:cs="宋体"/>
          <w:kern w:val="0"/>
          <w:sz w:val="24"/>
          <w:szCs w:val="24"/>
          <w:lang w:val="en-US" w:eastAsia="zh-CN"/>
        </w:rPr>
        <w:t>5</w:t>
      </w:r>
      <w:r>
        <w:rPr>
          <w:rFonts w:hint="eastAsia" w:ascii="仿宋" w:hAnsi="仿宋" w:eastAsia="仿宋" w:cs="宋体"/>
          <w:kern w:val="0"/>
          <w:sz w:val="24"/>
          <w:szCs w:val="24"/>
        </w:rPr>
        <w:t>个工作日。</w:t>
      </w:r>
    </w:p>
    <w:p>
      <w:pPr>
        <w:pStyle w:val="4"/>
        <w:numPr>
          <w:ilvl w:val="0"/>
          <w:numId w:val="4"/>
        </w:numPr>
        <w:spacing w:line="240" w:lineRule="auto"/>
        <w:rPr>
          <w:rFonts w:hint="eastAsia" w:ascii="黑体" w:hAnsi="黑体" w:cs="宋体"/>
          <w:b w:val="0"/>
          <w:sz w:val="24"/>
          <w:szCs w:val="24"/>
        </w:rPr>
      </w:pPr>
      <w:bookmarkStart w:id="42" w:name="_Toc27078"/>
      <w:bookmarkStart w:id="43" w:name="_Toc21056"/>
      <w:bookmarkStart w:id="44" w:name="_Toc35393795"/>
      <w:bookmarkStart w:id="45" w:name="_Toc35393626"/>
      <w:bookmarkStart w:id="46" w:name="_Toc1253"/>
      <w:r>
        <w:rPr>
          <w:rFonts w:hint="eastAsia" w:ascii="黑体" w:hAnsi="黑体" w:cs="宋体"/>
          <w:b w:val="0"/>
          <w:sz w:val="24"/>
          <w:szCs w:val="24"/>
        </w:rPr>
        <w:t>其他补充事宜</w:t>
      </w:r>
      <w:bookmarkEnd w:id="42"/>
      <w:bookmarkEnd w:id="43"/>
      <w:bookmarkEnd w:id="44"/>
      <w:bookmarkEnd w:id="45"/>
      <w:bookmarkEnd w:id="46"/>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宋体"/>
          <w:kern w:val="0"/>
          <w:sz w:val="24"/>
          <w:szCs w:val="24"/>
        </w:rPr>
      </w:pPr>
      <w:bookmarkStart w:id="47" w:name="_Toc28359008"/>
      <w:bookmarkStart w:id="48" w:name="_Toc35393627"/>
      <w:bookmarkStart w:id="49" w:name="_Toc28359085"/>
      <w:bookmarkStart w:id="50" w:name="_Toc35393796"/>
      <w:r>
        <w:rPr>
          <w:rFonts w:hint="eastAsia" w:ascii="仿宋" w:hAnsi="仿宋" w:eastAsia="仿宋" w:cs="宋体"/>
          <w:kern w:val="0"/>
          <w:sz w:val="24"/>
          <w:szCs w:val="24"/>
        </w:rPr>
        <w:t>特别提示：</w:t>
      </w:r>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宋体"/>
          <w:kern w:val="0"/>
          <w:sz w:val="24"/>
          <w:szCs w:val="24"/>
        </w:rPr>
      </w:pPr>
      <w:r>
        <w:rPr>
          <w:rFonts w:hint="eastAsia" w:ascii="仿宋" w:hAnsi="仿宋" w:eastAsia="仿宋" w:cs="宋体"/>
          <w:kern w:val="0"/>
          <w:sz w:val="24"/>
          <w:szCs w:val="24"/>
        </w:rPr>
        <w:t>1、超过200万元的货物和服务采购项目、超过400万元的工程采购项目中适宜由中小企业提供的，预留该部分采购项目预算总额的40%以上专门面向中小企业采购，其中预留给小微企业的比例不低于60%。</w:t>
      </w:r>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宋体"/>
          <w:kern w:val="0"/>
          <w:sz w:val="24"/>
          <w:szCs w:val="24"/>
        </w:rPr>
      </w:pPr>
      <w:r>
        <w:rPr>
          <w:rFonts w:hint="eastAsia" w:ascii="仿宋" w:hAnsi="仿宋" w:eastAsia="仿宋" w:cs="宋体"/>
          <w:kern w:val="0"/>
          <w:sz w:val="24"/>
          <w:szCs w:val="24"/>
        </w:rPr>
        <w:t>2、对于未预留份额专门面向中小企业的采购项目，以及预留份额项目中的非预留部分采购包，采购人、采购代理机构应当对符合规定的小微企业报价给予10%~20%（工程项目为6%~10%）的扣除，用扣除后的价格参加评审。适用招标投标法的政府采购工程建设项目，采用综合评估法但未采用低价优先法计算价格分的，评标时应当在采用原报价进行评分的基础上增加其价格得分的6%~10%作为其价格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宋体"/>
          <w:kern w:val="0"/>
          <w:sz w:val="24"/>
          <w:szCs w:val="24"/>
        </w:rPr>
      </w:pPr>
      <w:r>
        <w:rPr>
          <w:rFonts w:hint="eastAsia" w:ascii="仿宋" w:hAnsi="仿宋" w:eastAsia="仿宋" w:cs="宋体"/>
          <w:kern w:val="0"/>
          <w:sz w:val="24"/>
          <w:szCs w:val="24"/>
        </w:rPr>
        <w:t>3、接受大中型企业与小微企业组成联合体或者允许大中型企业向一家或者多家小微企业分包的采购项目，对于联合协议或者分包意向协议约定小微企业的合同份额占到合同总金额40%以上的，采购人、采购代理机构应当对联合体或者大中型企业的报价给予4%~6%（工程项目为2%~4%）的扣除，用扣除后的价格参加评审。适用招标投标法的政府采购工程建设项目，采用综合评估法但未采用低价优先法计算价格分的，评标时应当在采用原报价进行评分的基础上增加其价格得分的2%~4%作为其价格分。</w:t>
      </w:r>
    </w:p>
    <w:p>
      <w:pPr>
        <w:keepNext w:val="0"/>
        <w:keepLines w:val="0"/>
        <w:pageBreakBefore w:val="0"/>
        <w:widowControl w:val="0"/>
        <w:numPr>
          <w:ilvl w:val="0"/>
          <w:numId w:val="0"/>
        </w:numPr>
        <w:kinsoku/>
        <w:wordWrap/>
        <w:overflowPunct/>
        <w:topLinePunct w:val="0"/>
        <w:autoSpaceDE/>
        <w:autoSpaceDN/>
        <w:bidi w:val="0"/>
        <w:adjustRightInd w:val="0"/>
        <w:snapToGrid w:val="0"/>
        <w:spacing w:line="400" w:lineRule="exact"/>
        <w:ind w:firstLine="480" w:firstLineChars="200"/>
        <w:jc w:val="left"/>
        <w:textAlignment w:val="auto"/>
        <w:rPr>
          <w:rFonts w:hint="eastAsia" w:ascii="仿宋" w:hAnsi="仿宋" w:eastAsia="仿宋" w:cs="宋体"/>
          <w:kern w:val="0"/>
          <w:sz w:val="24"/>
          <w:szCs w:val="24"/>
        </w:rPr>
      </w:pPr>
    </w:p>
    <w:p>
      <w:pPr>
        <w:pStyle w:val="4"/>
        <w:numPr>
          <w:ilvl w:val="0"/>
          <w:numId w:val="0"/>
        </w:numPr>
        <w:spacing w:line="240" w:lineRule="auto"/>
        <w:rPr>
          <w:rFonts w:ascii="黑体" w:hAnsi="黑体" w:cs="宋体"/>
          <w:b w:val="0"/>
          <w:sz w:val="24"/>
          <w:szCs w:val="24"/>
        </w:rPr>
      </w:pPr>
      <w:bookmarkStart w:id="51" w:name="_Toc266"/>
      <w:bookmarkStart w:id="52" w:name="_Toc7535"/>
      <w:bookmarkStart w:id="53" w:name="_Toc2501"/>
      <w:r>
        <w:rPr>
          <w:rFonts w:hint="eastAsia" w:ascii="黑体" w:hAnsi="黑体" w:cs="宋体"/>
          <w:b w:val="0"/>
          <w:sz w:val="24"/>
          <w:szCs w:val="24"/>
        </w:rPr>
        <w:t>七、对本次招标提出询问，请按</w:t>
      </w:r>
      <w:r>
        <w:rPr>
          <w:rFonts w:ascii="黑体" w:hAnsi="黑体" w:cs="宋体"/>
          <w:b w:val="0"/>
          <w:sz w:val="24"/>
          <w:szCs w:val="24"/>
        </w:rPr>
        <w:t>以下方式</w:t>
      </w:r>
      <w:r>
        <w:rPr>
          <w:rFonts w:hint="eastAsia" w:ascii="黑体" w:hAnsi="黑体" w:cs="宋体"/>
          <w:b w:val="0"/>
          <w:sz w:val="24"/>
          <w:szCs w:val="24"/>
        </w:rPr>
        <w:t>联系。</w:t>
      </w:r>
      <w:bookmarkEnd w:id="47"/>
      <w:bookmarkEnd w:id="48"/>
      <w:bookmarkEnd w:id="49"/>
      <w:bookmarkEnd w:id="50"/>
      <w:bookmarkEnd w:id="51"/>
      <w:bookmarkEnd w:id="52"/>
      <w:bookmarkEnd w:id="53"/>
    </w:p>
    <w:p>
      <w:pPr>
        <w:keepNext w:val="0"/>
        <w:keepLines w:val="0"/>
        <w:pageBreakBefore w:val="0"/>
        <w:widowControl/>
        <w:kinsoku/>
        <w:wordWrap/>
        <w:overflowPunct/>
        <w:topLinePunct w:val="0"/>
        <w:autoSpaceDE/>
        <w:autoSpaceDN/>
        <w:bidi w:val="0"/>
        <w:adjustRightInd/>
        <w:snapToGrid/>
        <w:spacing w:line="460" w:lineRule="exact"/>
        <w:jc w:val="left"/>
        <w:textAlignment w:val="auto"/>
        <w:rPr>
          <w:rFonts w:hint="eastAsia" w:ascii="仿宋" w:hAnsi="仿宋" w:eastAsia="仿宋" w:cs="宋体"/>
          <w:sz w:val="24"/>
          <w:szCs w:val="24"/>
        </w:rPr>
      </w:pPr>
      <w:r>
        <w:rPr>
          <w:rFonts w:hint="eastAsia" w:ascii="仿宋" w:hAnsi="仿宋" w:eastAsia="仿宋" w:cs="宋体"/>
          <w:sz w:val="24"/>
          <w:szCs w:val="24"/>
        </w:rPr>
        <w:t>　　　1.采购人信息</w:t>
      </w:r>
    </w:p>
    <w:p>
      <w:pPr>
        <w:keepNext w:val="0"/>
        <w:keepLines w:val="0"/>
        <w:pageBreakBefore w:val="0"/>
        <w:widowControl/>
        <w:kinsoku/>
        <w:wordWrap/>
        <w:overflowPunct/>
        <w:topLinePunct w:val="0"/>
        <w:autoSpaceDE/>
        <w:autoSpaceDN/>
        <w:bidi w:val="0"/>
        <w:adjustRightInd/>
        <w:snapToGrid/>
        <w:spacing w:line="460" w:lineRule="exact"/>
        <w:ind w:firstLine="720" w:firstLineChars="300"/>
        <w:jc w:val="left"/>
        <w:textAlignment w:val="auto"/>
        <w:rPr>
          <w:rFonts w:ascii="仿宋" w:hAnsi="仿宋" w:eastAsia="仿宋"/>
          <w:sz w:val="24"/>
          <w:szCs w:val="24"/>
        </w:rPr>
      </w:pPr>
      <w:r>
        <w:rPr>
          <w:rFonts w:hint="eastAsia" w:ascii="仿宋" w:hAnsi="仿宋" w:eastAsia="仿宋"/>
          <w:sz w:val="24"/>
          <w:szCs w:val="24"/>
        </w:rPr>
        <w:t>名</w:t>
      </w:r>
      <w:r>
        <w:rPr>
          <w:rFonts w:hint="eastAsia" w:ascii="仿宋" w:hAnsi="仿宋" w:eastAsia="仿宋"/>
          <w:sz w:val="24"/>
          <w:szCs w:val="24"/>
          <w:lang w:val="en-US" w:eastAsia="zh-CN"/>
        </w:rPr>
        <w:t xml:space="preserve">   </w:t>
      </w:r>
      <w:r>
        <w:rPr>
          <w:rFonts w:hint="eastAsia" w:ascii="仿宋" w:hAnsi="仿宋" w:eastAsia="仿宋"/>
          <w:sz w:val="24"/>
          <w:szCs w:val="24"/>
        </w:rPr>
        <w:t xml:space="preserve"> 称：</w:t>
      </w:r>
      <w:r>
        <w:rPr>
          <w:rFonts w:hint="eastAsia" w:ascii="仿宋" w:hAnsi="仿宋" w:eastAsia="仿宋"/>
          <w:sz w:val="24"/>
          <w:szCs w:val="24"/>
          <w:u w:val="single"/>
        </w:rPr>
        <w:t>和田地区北京工业园区管理委员会</w:t>
      </w:r>
      <w:r>
        <w:rPr>
          <w:rFonts w:hint="eastAsia" w:ascii="仿宋" w:hAnsi="仿宋" w:eastAsia="仿宋"/>
          <w:sz w:val="24"/>
          <w:szCs w:val="24"/>
        </w:rPr>
        <w:t>　　　　　              　　</w:t>
      </w:r>
    </w:p>
    <w:p>
      <w:pPr>
        <w:keepNext w:val="0"/>
        <w:keepLines w:val="0"/>
        <w:pageBreakBefore w:val="0"/>
        <w:kinsoku/>
        <w:wordWrap/>
        <w:overflowPunct/>
        <w:topLinePunct w:val="0"/>
        <w:autoSpaceDE/>
        <w:autoSpaceDN/>
        <w:bidi w:val="0"/>
        <w:adjustRightInd/>
        <w:snapToGrid/>
        <w:spacing w:line="460" w:lineRule="exact"/>
        <w:ind w:left="1079" w:leftChars="371" w:hanging="300" w:hangingChars="125"/>
        <w:jc w:val="left"/>
        <w:textAlignment w:val="auto"/>
        <w:rPr>
          <w:rFonts w:hint="eastAsia" w:ascii="仿宋" w:hAnsi="仿宋" w:eastAsia="仿宋"/>
          <w:sz w:val="24"/>
          <w:szCs w:val="24"/>
          <w:u w:val="single"/>
          <w:lang w:val="zh-CN"/>
        </w:rPr>
      </w:pPr>
      <w:r>
        <w:rPr>
          <w:rFonts w:hint="eastAsia" w:ascii="仿宋" w:hAnsi="仿宋" w:eastAsia="仿宋"/>
          <w:sz w:val="24"/>
          <w:szCs w:val="24"/>
        </w:rPr>
        <w:t>地</w:t>
      </w:r>
      <w:r>
        <w:rPr>
          <w:rFonts w:hint="eastAsia" w:ascii="仿宋" w:hAnsi="仿宋" w:eastAsia="仿宋"/>
          <w:sz w:val="24"/>
          <w:szCs w:val="24"/>
          <w:lang w:val="en-US" w:eastAsia="zh-CN"/>
        </w:rPr>
        <w:t xml:space="preserve">    </w:t>
      </w:r>
      <w:r>
        <w:rPr>
          <w:rFonts w:hint="eastAsia" w:ascii="仿宋" w:hAnsi="仿宋" w:eastAsia="仿宋"/>
          <w:sz w:val="24"/>
          <w:szCs w:val="24"/>
        </w:rPr>
        <w:t>址：</w:t>
      </w:r>
      <w:r>
        <w:rPr>
          <w:rFonts w:hint="eastAsia" w:ascii="仿宋" w:hAnsi="仿宋" w:eastAsia="仿宋"/>
          <w:sz w:val="24"/>
          <w:szCs w:val="24"/>
          <w:u w:val="single"/>
        </w:rPr>
        <w:t>洛浦县北京路6号</w:t>
      </w:r>
    </w:p>
    <w:p>
      <w:pPr>
        <w:keepNext w:val="0"/>
        <w:keepLines w:val="0"/>
        <w:pageBreakBefore w:val="0"/>
        <w:kinsoku/>
        <w:wordWrap/>
        <w:overflowPunct/>
        <w:topLinePunct w:val="0"/>
        <w:autoSpaceDE/>
        <w:autoSpaceDN/>
        <w:bidi w:val="0"/>
        <w:adjustRightInd/>
        <w:snapToGrid/>
        <w:spacing w:line="460" w:lineRule="exact"/>
        <w:ind w:left="1079" w:leftChars="371" w:hanging="300" w:hangingChars="125"/>
        <w:jc w:val="left"/>
        <w:textAlignment w:val="auto"/>
        <w:rPr>
          <w:rFonts w:ascii="仿宋" w:hAnsi="仿宋" w:eastAsia="仿宋"/>
          <w:sz w:val="24"/>
          <w:szCs w:val="24"/>
          <w:u w:val="single"/>
        </w:rPr>
      </w:pPr>
      <w:r>
        <w:rPr>
          <w:rFonts w:hint="eastAsia" w:ascii="仿宋" w:hAnsi="仿宋" w:eastAsia="仿宋"/>
          <w:sz w:val="24"/>
          <w:szCs w:val="24"/>
        </w:rPr>
        <w:t>联系方式：</w:t>
      </w:r>
      <w:r>
        <w:rPr>
          <w:rFonts w:hint="eastAsia" w:ascii="仿宋" w:hAnsi="仿宋" w:eastAsia="仿宋"/>
          <w:sz w:val="24"/>
          <w:szCs w:val="24"/>
          <w:u w:val="single"/>
        </w:rPr>
        <w:t xml:space="preserve">0903-6621095 </w:t>
      </w:r>
      <w:bookmarkStart w:id="54" w:name="_Toc28359086"/>
      <w:bookmarkStart w:id="55" w:name="_Toc28359009"/>
    </w:p>
    <w:p>
      <w:pPr>
        <w:keepNext w:val="0"/>
        <w:keepLines w:val="0"/>
        <w:pageBreakBefore w:val="0"/>
        <w:kinsoku/>
        <w:wordWrap/>
        <w:overflowPunct/>
        <w:topLinePunct w:val="0"/>
        <w:autoSpaceDE/>
        <w:autoSpaceDN/>
        <w:bidi w:val="0"/>
        <w:adjustRightInd/>
        <w:snapToGrid/>
        <w:spacing w:line="460" w:lineRule="exact"/>
        <w:ind w:left="1079" w:leftChars="371" w:hanging="300" w:hangingChars="125"/>
        <w:jc w:val="left"/>
        <w:textAlignment w:val="auto"/>
        <w:rPr>
          <w:rFonts w:ascii="仿宋" w:hAnsi="仿宋" w:eastAsia="仿宋"/>
          <w:sz w:val="24"/>
          <w:szCs w:val="24"/>
        </w:rPr>
      </w:pPr>
      <w:r>
        <w:rPr>
          <w:rFonts w:hint="eastAsia" w:ascii="仿宋" w:hAnsi="仿宋" w:eastAsia="仿宋" w:cs="宋体"/>
          <w:sz w:val="24"/>
          <w:szCs w:val="24"/>
        </w:rPr>
        <w:t>2.采购代理机构信息</w:t>
      </w:r>
      <w:bookmarkEnd w:id="54"/>
      <w:bookmarkEnd w:id="55"/>
    </w:p>
    <w:p>
      <w:pPr>
        <w:keepNext w:val="0"/>
        <w:keepLines w:val="0"/>
        <w:pageBreakBefore w:val="0"/>
        <w:kinsoku/>
        <w:wordWrap/>
        <w:overflowPunct/>
        <w:topLinePunct w:val="0"/>
        <w:autoSpaceDE/>
        <w:autoSpaceDN/>
        <w:bidi w:val="0"/>
        <w:adjustRightInd/>
        <w:snapToGrid/>
        <w:spacing w:line="460" w:lineRule="exact"/>
        <w:ind w:firstLine="720" w:firstLineChars="300"/>
        <w:textAlignment w:val="auto"/>
        <w:rPr>
          <w:rFonts w:hint="eastAsia" w:ascii="仿宋" w:hAnsi="仿宋" w:eastAsia="仿宋"/>
          <w:sz w:val="24"/>
          <w:szCs w:val="24"/>
          <w:u w:val="single"/>
          <w:lang w:val="en-US" w:eastAsia="zh-CN"/>
        </w:rPr>
      </w:pPr>
      <w:r>
        <w:rPr>
          <w:rFonts w:hint="eastAsia" w:ascii="仿宋" w:hAnsi="仿宋" w:eastAsia="仿宋"/>
          <w:sz w:val="24"/>
          <w:szCs w:val="24"/>
        </w:rPr>
        <w:t xml:space="preserve">名 </w:t>
      </w:r>
      <w:r>
        <w:rPr>
          <w:rFonts w:hint="eastAsia" w:ascii="仿宋" w:hAnsi="仿宋" w:eastAsia="仿宋"/>
          <w:sz w:val="24"/>
          <w:szCs w:val="24"/>
          <w:lang w:val="en-US" w:eastAsia="zh-CN"/>
        </w:rPr>
        <w:t xml:space="preserve">   </w:t>
      </w:r>
      <w:r>
        <w:rPr>
          <w:rFonts w:hint="eastAsia" w:ascii="仿宋" w:hAnsi="仿宋" w:eastAsia="仿宋"/>
          <w:sz w:val="24"/>
          <w:szCs w:val="24"/>
        </w:rPr>
        <w:t>称：</w:t>
      </w:r>
      <w:r>
        <w:rPr>
          <w:rFonts w:hint="eastAsia" w:ascii="仿宋" w:hAnsi="仿宋" w:eastAsia="仿宋"/>
          <w:sz w:val="24"/>
          <w:szCs w:val="24"/>
          <w:u w:val="single"/>
          <w:lang w:val="en-US" w:eastAsia="zh-CN"/>
        </w:rPr>
        <w:t>新疆欣西域工程管理服务有限公司</w:t>
      </w:r>
    </w:p>
    <w:p>
      <w:pPr>
        <w:keepNext w:val="0"/>
        <w:keepLines w:val="0"/>
        <w:pageBreakBefore w:val="0"/>
        <w:kinsoku/>
        <w:wordWrap/>
        <w:overflowPunct/>
        <w:topLinePunct w:val="0"/>
        <w:autoSpaceDE/>
        <w:autoSpaceDN/>
        <w:bidi w:val="0"/>
        <w:adjustRightInd/>
        <w:snapToGrid/>
        <w:spacing w:line="460" w:lineRule="exact"/>
        <w:ind w:firstLine="720" w:firstLineChars="300"/>
        <w:textAlignment w:val="auto"/>
        <w:rPr>
          <w:rFonts w:hint="default" w:ascii="仿宋" w:hAnsi="仿宋" w:eastAsia="仿宋"/>
          <w:sz w:val="24"/>
          <w:szCs w:val="24"/>
          <w:u w:val="single"/>
          <w:lang w:val="en-US" w:eastAsia="zh-CN"/>
        </w:rPr>
      </w:pPr>
      <w:r>
        <w:rPr>
          <w:rFonts w:hint="eastAsia" w:ascii="仿宋" w:hAnsi="仿宋" w:eastAsia="仿宋"/>
          <w:sz w:val="24"/>
          <w:szCs w:val="24"/>
        </w:rPr>
        <w:t>地　</w:t>
      </w:r>
      <w:r>
        <w:rPr>
          <w:rFonts w:hint="eastAsia" w:ascii="仿宋" w:hAnsi="仿宋" w:eastAsia="仿宋"/>
          <w:sz w:val="24"/>
          <w:szCs w:val="24"/>
          <w:lang w:val="en-US" w:eastAsia="zh-CN"/>
        </w:rPr>
        <w:t xml:space="preserve">  </w:t>
      </w:r>
      <w:r>
        <w:rPr>
          <w:rFonts w:hint="eastAsia" w:ascii="仿宋" w:hAnsi="仿宋" w:eastAsia="仿宋"/>
          <w:sz w:val="24"/>
          <w:szCs w:val="24"/>
        </w:rPr>
        <w:t>址：</w:t>
      </w:r>
      <w:r>
        <w:rPr>
          <w:rFonts w:hint="eastAsia" w:ascii="仿宋" w:hAnsi="仿宋" w:eastAsia="仿宋"/>
          <w:sz w:val="24"/>
          <w:szCs w:val="24"/>
          <w:u w:val="single"/>
          <w:lang w:eastAsia="zh-CN"/>
        </w:rPr>
        <w:t>和田市人民街玉都国际广场玉座1101</w:t>
      </w:r>
      <w:r>
        <w:rPr>
          <w:rFonts w:hint="eastAsia" w:ascii="仿宋" w:hAnsi="仿宋" w:eastAsia="仿宋"/>
          <w:sz w:val="24"/>
          <w:szCs w:val="24"/>
          <w:u w:val="single"/>
          <w:lang w:val="en-US" w:eastAsia="zh-CN"/>
        </w:rPr>
        <w:t>室</w:t>
      </w:r>
    </w:p>
    <w:p>
      <w:pPr>
        <w:keepNext w:val="0"/>
        <w:keepLines w:val="0"/>
        <w:pageBreakBefore w:val="0"/>
        <w:kinsoku/>
        <w:wordWrap/>
        <w:overflowPunct/>
        <w:topLinePunct w:val="0"/>
        <w:autoSpaceDE/>
        <w:autoSpaceDN/>
        <w:bidi w:val="0"/>
        <w:adjustRightInd/>
        <w:snapToGrid/>
        <w:spacing w:line="460" w:lineRule="exact"/>
        <w:ind w:firstLine="720" w:firstLineChars="300"/>
        <w:textAlignment w:val="auto"/>
        <w:rPr>
          <w:rFonts w:hint="eastAsia" w:ascii="仿宋" w:hAnsi="仿宋" w:eastAsia="仿宋"/>
          <w:color w:val="auto"/>
          <w:sz w:val="24"/>
          <w:szCs w:val="24"/>
          <w:highlight w:val="none"/>
          <w:u w:val="none"/>
          <w:lang w:val="en-US" w:eastAsia="zh-CN"/>
        </w:rPr>
      </w:pPr>
      <w:r>
        <w:rPr>
          <w:rFonts w:hint="eastAsia" w:ascii="仿宋" w:hAnsi="仿宋" w:eastAsia="仿宋"/>
          <w:color w:val="auto"/>
          <w:sz w:val="24"/>
          <w:szCs w:val="24"/>
          <w:highlight w:val="none"/>
        </w:rPr>
        <w:t>项目联系人：</w:t>
      </w:r>
      <w:r>
        <w:rPr>
          <w:rFonts w:hint="eastAsia" w:ascii="仿宋" w:hAnsi="仿宋" w:eastAsia="仿宋"/>
          <w:color w:val="auto"/>
          <w:sz w:val="24"/>
          <w:szCs w:val="24"/>
          <w:highlight w:val="none"/>
          <w:u w:val="single"/>
          <w:lang w:val="en-US" w:eastAsia="zh-CN"/>
        </w:rPr>
        <w:t>王璇</w:t>
      </w:r>
      <w:r>
        <w:rPr>
          <w:rFonts w:hint="eastAsia" w:ascii="仿宋" w:hAnsi="仿宋" w:eastAsia="仿宋"/>
          <w:color w:val="auto"/>
          <w:sz w:val="24"/>
          <w:szCs w:val="24"/>
          <w:highlight w:val="none"/>
          <w:u w:val="none"/>
          <w:lang w:val="en-US" w:eastAsia="zh-CN"/>
        </w:rPr>
        <w:t xml:space="preserve"> </w:t>
      </w:r>
    </w:p>
    <w:p>
      <w:pPr>
        <w:keepNext w:val="0"/>
        <w:keepLines w:val="0"/>
        <w:pageBreakBefore w:val="0"/>
        <w:kinsoku/>
        <w:wordWrap/>
        <w:overflowPunct/>
        <w:topLinePunct w:val="0"/>
        <w:autoSpaceDE/>
        <w:autoSpaceDN/>
        <w:bidi w:val="0"/>
        <w:adjustRightInd/>
        <w:snapToGrid/>
        <w:spacing w:line="460" w:lineRule="exact"/>
        <w:ind w:firstLine="720" w:firstLineChars="300"/>
        <w:textAlignment w:val="auto"/>
        <w:rPr>
          <w:rFonts w:hint="eastAsia" w:ascii="仿宋" w:hAnsi="仿宋" w:eastAsia="仿宋"/>
          <w:b/>
          <w:bCs/>
          <w:color w:val="auto"/>
          <w:sz w:val="24"/>
          <w:szCs w:val="24"/>
          <w:highlight w:val="none"/>
          <w:u w:val="none"/>
          <w:lang w:val="en-US" w:eastAsia="zh-CN"/>
        </w:rPr>
      </w:pPr>
      <w:r>
        <w:rPr>
          <w:rFonts w:hint="eastAsia" w:ascii="仿宋" w:hAnsi="仿宋" w:eastAsia="仿宋"/>
          <w:color w:val="auto"/>
          <w:sz w:val="24"/>
          <w:szCs w:val="24"/>
          <w:highlight w:val="none"/>
        </w:rPr>
        <w:t>联系方式：</w:t>
      </w:r>
      <w:bookmarkStart w:id="56" w:name="_Toc28359087"/>
      <w:bookmarkStart w:id="57" w:name="_Toc28359010"/>
      <w:r>
        <w:rPr>
          <w:rFonts w:hint="eastAsia" w:ascii="仿宋" w:hAnsi="仿宋" w:eastAsia="仿宋"/>
          <w:color w:val="auto"/>
          <w:sz w:val="24"/>
          <w:szCs w:val="24"/>
          <w:highlight w:val="none"/>
          <w:u w:val="single"/>
          <w:lang w:val="en-US" w:eastAsia="zh-CN"/>
        </w:rPr>
        <w:t>0903-6860001</w:t>
      </w:r>
      <w:r>
        <w:rPr>
          <w:rFonts w:hint="eastAsia" w:ascii="仿宋" w:hAnsi="仿宋" w:eastAsia="仿宋"/>
          <w:b/>
          <w:bCs/>
          <w:color w:val="auto"/>
          <w:sz w:val="24"/>
          <w:szCs w:val="24"/>
          <w:highlight w:val="none"/>
          <w:u w:val="none"/>
          <w:lang w:val="en-US" w:eastAsia="zh-CN"/>
        </w:rPr>
        <w:t xml:space="preserve">   </w:t>
      </w:r>
    </w:p>
    <w:p>
      <w:pPr>
        <w:keepNext w:val="0"/>
        <w:keepLines w:val="0"/>
        <w:pageBreakBefore w:val="0"/>
        <w:kinsoku/>
        <w:wordWrap/>
        <w:overflowPunct/>
        <w:topLinePunct w:val="0"/>
        <w:autoSpaceDE/>
        <w:autoSpaceDN/>
        <w:bidi w:val="0"/>
        <w:adjustRightInd/>
        <w:snapToGrid/>
        <w:spacing w:line="460" w:lineRule="exact"/>
        <w:ind w:firstLine="720" w:firstLineChars="300"/>
        <w:textAlignment w:val="auto"/>
        <w:rPr>
          <w:rFonts w:hint="eastAsia" w:ascii="仿宋" w:hAnsi="仿宋" w:eastAsia="仿宋"/>
          <w:color w:val="auto"/>
          <w:sz w:val="24"/>
          <w:szCs w:val="24"/>
          <w:highlight w:val="none"/>
          <w:u w:val="none"/>
          <w:lang w:val="en-US" w:eastAsia="zh-CN"/>
        </w:rPr>
      </w:pPr>
      <w:r>
        <w:rPr>
          <w:rFonts w:hint="eastAsia" w:ascii="仿宋" w:hAnsi="仿宋" w:eastAsia="仿宋"/>
          <w:color w:val="auto"/>
          <w:sz w:val="24"/>
          <w:szCs w:val="24"/>
          <w:highlight w:val="none"/>
          <w:u w:val="none"/>
          <w:lang w:val="en-US" w:eastAsia="zh-CN"/>
        </w:rPr>
        <w:t>邮箱：</w:t>
      </w:r>
      <w:r>
        <w:rPr>
          <w:rFonts w:hint="eastAsia" w:ascii="仿宋" w:hAnsi="仿宋" w:eastAsia="仿宋"/>
          <w:color w:val="auto"/>
          <w:sz w:val="24"/>
          <w:szCs w:val="24"/>
          <w:highlight w:val="none"/>
          <w:u w:val="single"/>
          <w:lang w:val="en-US" w:eastAsia="zh-CN"/>
        </w:rPr>
        <w:t>594216362</w:t>
      </w:r>
      <w:r>
        <w:rPr>
          <w:rFonts w:hint="eastAsia" w:ascii="仿宋" w:hAnsi="仿宋" w:eastAsia="仿宋"/>
          <w:color w:val="auto"/>
          <w:sz w:val="24"/>
          <w:szCs w:val="24"/>
          <w:highlight w:val="none"/>
          <w:u w:val="single"/>
        </w:rPr>
        <w:t>@qq.com</w:t>
      </w:r>
    </w:p>
    <w:bookmarkEnd w:id="56"/>
    <w:bookmarkEnd w:id="57"/>
    <w:p/>
    <w:p>
      <w:pPr>
        <w:rPr>
          <w:rFonts w:hint="eastAsia"/>
        </w:rPr>
        <w:sectPr>
          <w:footerReference r:id="rId7" w:type="default"/>
          <w:pgSz w:w="11907" w:h="16840"/>
          <w:pgMar w:top="1021" w:right="1287" w:bottom="1021" w:left="1247" w:header="851" w:footer="992" w:gutter="0"/>
          <w:pgNumType w:fmt="decimal" w:start="1"/>
          <w:cols w:space="0" w:num="1"/>
          <w:docGrid w:type="lines" w:linePitch="334" w:charSpace="0"/>
        </w:sectPr>
      </w:pPr>
    </w:p>
    <w:p>
      <w:pPr>
        <w:pStyle w:val="5"/>
        <w:rPr>
          <w:rFonts w:hint="eastAsia"/>
        </w:rPr>
      </w:pPr>
    </w:p>
    <w:p>
      <w:pPr>
        <w:pStyle w:val="4"/>
        <w:numPr>
          <w:ilvl w:val="1"/>
          <w:numId w:val="0"/>
        </w:numPr>
        <w:ind w:firstLine="2570" w:firstLineChars="800"/>
        <w:outlineLvl w:val="0"/>
        <w:rPr>
          <w:rFonts w:hint="default" w:eastAsia="黑体"/>
          <w:lang w:val="en-US" w:eastAsia="zh-CN"/>
        </w:rPr>
      </w:pPr>
      <w:r>
        <w:rPr>
          <w:rFonts w:hint="eastAsia"/>
        </w:rPr>
        <w:t>第二部分</w:t>
      </w:r>
      <w:r>
        <w:t xml:space="preserve">  </w:t>
      </w:r>
      <w:r>
        <w:rPr>
          <w:rFonts w:hint="eastAsia"/>
          <w:lang w:val="en-US" w:eastAsia="zh-CN"/>
        </w:rPr>
        <w:t xml:space="preserve"> </w:t>
      </w:r>
      <w:r>
        <w:rPr>
          <w:rFonts w:hint="eastAsia"/>
        </w:rPr>
        <w:t>投标须知前附表</w:t>
      </w:r>
      <w:r>
        <w:rPr>
          <w:rFonts w:hint="eastAsia"/>
          <w:lang w:val="en-US" w:eastAsia="zh-CN"/>
        </w:rPr>
        <w:t xml:space="preserve">    </w:t>
      </w:r>
    </w:p>
    <w:tbl>
      <w:tblPr>
        <w:tblStyle w:val="23"/>
        <w:tblW w:w="1002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28" w:type="dxa"/>
          <w:bottom w:w="0" w:type="dxa"/>
          <w:right w:w="28" w:type="dxa"/>
        </w:tblCellMar>
      </w:tblPr>
      <w:tblGrid>
        <w:gridCol w:w="823"/>
        <w:gridCol w:w="1664"/>
        <w:gridCol w:w="754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90" w:hRule="atLeast"/>
          <w:jc w:val="center"/>
        </w:trPr>
        <w:tc>
          <w:tcPr>
            <w:tcW w:w="823" w:type="dxa"/>
            <w:tcBorders>
              <w:top w:val="single" w:color="auto" w:sz="12" w:space="0"/>
            </w:tcBorders>
            <w:noWrap w:val="0"/>
            <w:vAlign w:val="center"/>
          </w:tcPr>
          <w:p>
            <w:pPr>
              <w:spacing w:line="360" w:lineRule="exact"/>
              <w:jc w:val="center"/>
              <w:rPr>
                <w:rFonts w:ascii="宋体"/>
                <w:b/>
                <w:color w:val="000000"/>
                <w:sz w:val="24"/>
              </w:rPr>
            </w:pPr>
            <w:r>
              <w:rPr>
                <w:rFonts w:hint="eastAsia" w:ascii="宋体" w:hAnsi="宋体"/>
                <w:b/>
                <w:color w:val="000000"/>
                <w:sz w:val="24"/>
              </w:rPr>
              <w:t>序号</w:t>
            </w:r>
          </w:p>
        </w:tc>
        <w:tc>
          <w:tcPr>
            <w:tcW w:w="1664" w:type="dxa"/>
            <w:tcBorders>
              <w:top w:val="single" w:color="auto" w:sz="12" w:space="0"/>
              <w:right w:val="single" w:color="auto" w:sz="4" w:space="0"/>
            </w:tcBorders>
            <w:noWrap w:val="0"/>
            <w:vAlign w:val="center"/>
          </w:tcPr>
          <w:p>
            <w:pPr>
              <w:spacing w:line="360" w:lineRule="exact"/>
              <w:jc w:val="center"/>
              <w:rPr>
                <w:rFonts w:ascii="宋体"/>
                <w:b/>
                <w:color w:val="000000"/>
                <w:sz w:val="24"/>
              </w:rPr>
            </w:pPr>
            <w:r>
              <w:rPr>
                <w:rFonts w:hint="eastAsia" w:ascii="宋体" w:hAnsi="宋体"/>
                <w:b/>
                <w:color w:val="000000"/>
                <w:sz w:val="24"/>
              </w:rPr>
              <w:t>条款名称</w:t>
            </w:r>
          </w:p>
        </w:tc>
        <w:tc>
          <w:tcPr>
            <w:tcW w:w="7541" w:type="dxa"/>
            <w:tcBorders>
              <w:top w:val="single" w:color="auto" w:sz="12" w:space="0"/>
              <w:left w:val="single" w:color="auto" w:sz="4" w:space="0"/>
            </w:tcBorders>
            <w:noWrap w:val="0"/>
            <w:vAlign w:val="center"/>
          </w:tcPr>
          <w:p>
            <w:pPr>
              <w:spacing w:line="360" w:lineRule="exact"/>
              <w:jc w:val="center"/>
              <w:rPr>
                <w:rFonts w:ascii="宋体"/>
                <w:b/>
                <w:color w:val="000000"/>
                <w:sz w:val="24"/>
              </w:rPr>
            </w:pPr>
            <w:r>
              <w:rPr>
                <w:rFonts w:hint="eastAsia" w:ascii="宋体" w:hAnsi="宋体"/>
                <w:b/>
                <w:color w:val="000000"/>
                <w:sz w:val="24"/>
              </w:rPr>
              <w:t>说明和要求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087"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采购人</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名  称：</w:t>
            </w:r>
            <w:r>
              <w:rPr>
                <w:rFonts w:hint="eastAsia" w:ascii="宋体" w:hAnsi="宋体" w:cs="宋体"/>
                <w:kern w:val="0"/>
                <w:sz w:val="24"/>
                <w:szCs w:val="24"/>
                <w:lang w:val="en-US" w:eastAsia="zh-CN"/>
              </w:rPr>
              <w:t>和田地区北京工业园区管理委员会</w:t>
            </w:r>
            <w:r>
              <w:rPr>
                <w:rFonts w:hint="eastAsia" w:ascii="宋体" w:hAnsi="宋体" w:eastAsia="宋体" w:cs="宋体"/>
                <w:kern w:val="0"/>
                <w:sz w:val="24"/>
                <w:szCs w:val="24"/>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 xml:space="preserve">联系人: </w:t>
            </w:r>
            <w:r>
              <w:rPr>
                <w:rFonts w:hint="eastAsia" w:ascii="宋体" w:hAnsi="宋体" w:cs="宋体"/>
                <w:kern w:val="0"/>
                <w:sz w:val="24"/>
                <w:szCs w:val="24"/>
                <w:lang w:val="en-US" w:eastAsia="zh-CN"/>
              </w:rPr>
              <w:t>方志</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电  话：0903-6425889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61"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代理机构</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名  称：新疆欣西域工程管理服务有限公司</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地  址：和田市人民街玉都国际广场玉座1101</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联系人：王璇</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电  话：0903-6860001,13399030968</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采购项目名称</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和田地区洛浦县新城区供排水管网及附属配套建设项目</w:t>
            </w:r>
            <w:r>
              <w:rPr>
                <w:rFonts w:hint="eastAsia" w:ascii="宋体" w:hAnsi="宋体" w:cs="宋体"/>
                <w:kern w:val="0"/>
                <w:sz w:val="24"/>
                <w:szCs w:val="24"/>
                <w:lang w:val="en-US" w:eastAsia="zh-CN"/>
              </w:rPr>
              <w:t>（智慧水务-计量设施）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4</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采购内容</w:t>
            </w:r>
          </w:p>
        </w:tc>
        <w:tc>
          <w:tcPr>
            <w:tcW w:w="7541"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snapToGrid/>
              <w:spacing w:line="400" w:lineRule="exact"/>
              <w:ind w:firstLine="0" w:firstLineChars="0"/>
              <w:textAlignment w:val="auto"/>
              <w:rPr>
                <w:rFonts w:hint="default" w:ascii="宋体" w:hAnsi="宋体" w:eastAsia="宋体" w:cs="宋体"/>
                <w:kern w:val="0"/>
                <w:sz w:val="24"/>
                <w:szCs w:val="24"/>
                <w:lang w:val="en-US" w:eastAsia="zh-CN"/>
              </w:rPr>
            </w:pPr>
            <w:r>
              <w:rPr>
                <w:rFonts w:hint="eastAsia" w:ascii="宋体" w:hAnsi="Times New Roman" w:eastAsia="宋体" w:cs="宋体"/>
                <w:color w:val="000000"/>
                <w:kern w:val="0"/>
                <w:sz w:val="24"/>
                <w:lang w:val="en-US" w:eastAsia="zh-CN"/>
              </w:rPr>
              <w:t>智能计量设备</w:t>
            </w:r>
            <w:r>
              <w:rPr>
                <w:rFonts w:hint="eastAsia" w:ascii="宋体" w:cs="宋体"/>
                <w:color w:val="000000"/>
                <w:kern w:val="0"/>
                <w:sz w:val="24"/>
                <w:lang w:val="en-US" w:eastAsia="zh-CN"/>
              </w:rPr>
              <w:t>6100台，大用户智能计量设备200台及其他配套设备，具体要求</w:t>
            </w:r>
            <w:r>
              <w:rPr>
                <w:rFonts w:hint="eastAsia" w:ascii="宋体" w:hAnsi="Times New Roman" w:eastAsia="宋体" w:cs="宋体"/>
                <w:color w:val="000000"/>
                <w:kern w:val="0"/>
                <w:sz w:val="24"/>
                <w:lang w:val="en-US" w:eastAsia="zh-CN"/>
              </w:rPr>
              <w:t>详见招标文件</w:t>
            </w:r>
            <w:r>
              <w:rPr>
                <w:rFonts w:hint="eastAsia" w:ascii="宋体" w:cs="宋体"/>
                <w:color w:val="000000"/>
                <w:kern w:val="0"/>
                <w:sz w:val="24"/>
                <w:lang w:val="en-US" w:eastAsia="zh-CN"/>
              </w:rPr>
              <w:t>第四部分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5</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资金来源</w:t>
            </w:r>
          </w:p>
        </w:tc>
        <w:tc>
          <w:tcPr>
            <w:tcW w:w="7541" w:type="dxa"/>
            <w:tcBorders>
              <w:left w:val="single" w:color="auto" w:sz="4" w:space="0"/>
            </w:tcBorders>
            <w:noWrap w:val="0"/>
            <w:vAlign w:val="bottom"/>
          </w:tcPr>
          <w:p>
            <w:pPr>
              <w:keepNext w:val="0"/>
              <w:keepLines w:val="0"/>
              <w:pageBreakBefore w:val="0"/>
              <w:widowControl/>
              <w:kinsoku/>
              <w:wordWrap/>
              <w:overflowPunct/>
              <w:topLinePunct w:val="0"/>
              <w:autoSpaceDE/>
              <w:autoSpaceDN/>
              <w:bidi w:val="0"/>
              <w:spacing w:line="360" w:lineRule="auto"/>
              <w:ind w:firstLine="0" w:firstLineChars="0"/>
              <w:textAlignment w:val="auto"/>
              <w:rPr>
                <w:rFonts w:hint="default" w:ascii="宋体" w:hAnsi="宋体" w:eastAsia="宋体" w:cs="宋体"/>
                <w:kern w:val="0"/>
                <w:sz w:val="24"/>
                <w:szCs w:val="24"/>
                <w:lang w:val="en-US" w:eastAsia="zh-CN"/>
              </w:rPr>
            </w:pPr>
            <w:r>
              <w:rPr>
                <w:rFonts w:hint="eastAsia" w:ascii="宋体" w:hAnsi="宋体" w:eastAsia="宋体" w:cs="宋体"/>
                <w:color w:val="000000"/>
                <w:kern w:val="0"/>
                <w:sz w:val="24"/>
                <w:szCs w:val="24"/>
                <w:lang w:val="en-US" w:eastAsia="zh-CN"/>
              </w:rPr>
              <w:t>地债资金</w:t>
            </w:r>
            <w:r>
              <w:rPr>
                <w:rFonts w:hint="eastAsia" w:ascii="宋体" w:hAnsi="宋体" w:cs="宋体"/>
                <w:color w:val="000000"/>
                <w:kern w:val="0"/>
                <w:sz w:val="24"/>
                <w:szCs w:val="24"/>
                <w:lang w:val="en-US" w:eastAsia="zh-CN"/>
              </w:rPr>
              <w:t>及其他资金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8"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6</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采购概算价</w:t>
            </w:r>
          </w:p>
        </w:tc>
        <w:tc>
          <w:tcPr>
            <w:tcW w:w="7541" w:type="dxa"/>
            <w:tcBorders>
              <w:left w:val="single" w:color="auto" w:sz="4" w:space="0"/>
            </w:tcBorders>
            <w:noWrap w:val="0"/>
            <w:vAlign w:val="center"/>
          </w:tcPr>
          <w:p>
            <w:pPr>
              <w:keepNext w:val="0"/>
              <w:keepLines w:val="0"/>
              <w:pageBreakBefore w:val="0"/>
              <w:tabs>
                <w:tab w:val="left" w:pos="900"/>
              </w:tabs>
              <w:kinsoku/>
              <w:wordWrap/>
              <w:overflowPunct/>
              <w:topLinePunct w:val="0"/>
              <w:autoSpaceDE/>
              <w:autoSpaceDN/>
              <w:bidi w:val="0"/>
              <w:spacing w:before="31" w:beforeLines="10" w:after="31" w:afterLines="10" w:line="360" w:lineRule="exact"/>
              <w:ind w:firstLine="0" w:firstLineChars="0"/>
              <w:textAlignment w:val="auto"/>
              <w:rPr>
                <w:rFonts w:hint="eastAsia" w:ascii="宋体" w:hAnsi="宋体" w:eastAsia="宋体" w:cs="宋体"/>
                <w:color w:val="auto"/>
                <w:sz w:val="24"/>
                <w:szCs w:val="24"/>
                <w:highlight w:val="none"/>
              </w:rPr>
            </w:pPr>
            <w:r>
              <w:rPr>
                <w:rFonts w:hint="eastAsia" w:ascii="宋体" w:hAnsi="宋体" w:cs="宋体"/>
                <w:color w:val="000000"/>
                <w:kern w:val="0"/>
                <w:sz w:val="24"/>
                <w:szCs w:val="24"/>
                <w:lang w:val="en-US" w:eastAsia="zh-CN"/>
              </w:rPr>
              <w:t>7000000.00</w:t>
            </w:r>
            <w:r>
              <w:rPr>
                <w:rFonts w:hint="eastAsia" w:ascii="宋体" w:hAnsi="宋体" w:eastAsia="宋体" w:cs="宋体"/>
                <w:color w:val="000000"/>
                <w:kern w:val="0"/>
                <w:sz w:val="24"/>
                <w:szCs w:val="24"/>
              </w:rPr>
              <w:t>元</w:t>
            </w:r>
            <w:r>
              <w:rPr>
                <w:rFonts w:hint="eastAsia" w:ascii="宋体" w:hAnsi="宋体" w:eastAsia="宋体" w:cs="宋体"/>
                <w:color w:val="auto"/>
                <w:sz w:val="24"/>
                <w:szCs w:val="24"/>
                <w:highlight w:val="none"/>
              </w:rPr>
              <w:t>（投标报价高于预算限价按废标处理</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w:t>
            </w:r>
          </w:p>
          <w:p>
            <w:pPr>
              <w:keepNext w:val="0"/>
              <w:keepLines w:val="0"/>
              <w:pageBreakBefore w:val="0"/>
              <w:tabs>
                <w:tab w:val="left" w:pos="900"/>
              </w:tabs>
              <w:kinsoku/>
              <w:wordWrap/>
              <w:overflowPunct/>
              <w:topLinePunct w:val="0"/>
              <w:autoSpaceDE/>
              <w:autoSpaceDN/>
              <w:bidi w:val="0"/>
              <w:spacing w:before="31" w:beforeLines="10" w:after="31" w:afterLines="10" w:line="360" w:lineRule="exact"/>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1、投标人的投标报价应以人民币进行报价。</w:t>
            </w:r>
          </w:p>
          <w:p>
            <w:pPr>
              <w:keepNext w:val="0"/>
              <w:keepLines w:val="0"/>
              <w:pageBreakBefore w:val="0"/>
              <w:tabs>
                <w:tab w:val="left" w:pos="900"/>
              </w:tabs>
              <w:kinsoku/>
              <w:wordWrap/>
              <w:overflowPunct/>
              <w:topLinePunct w:val="0"/>
              <w:autoSpaceDE/>
              <w:autoSpaceDN/>
              <w:bidi w:val="0"/>
              <w:spacing w:before="31" w:beforeLines="10" w:after="31" w:afterLines="10" w:line="360" w:lineRule="exact"/>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2、投标报价为货到工地价，包括但不限于所有产品费、运输费、装卸费、现场水表拆装、接线调试组网服务、售后服务及培训费、质保期的维修服务、保险、税费等涉及本项目完成的一切费用。</w:t>
            </w:r>
          </w:p>
          <w:p>
            <w:pPr>
              <w:keepNext w:val="0"/>
              <w:keepLines w:val="0"/>
              <w:pageBreakBefore w:val="0"/>
              <w:tabs>
                <w:tab w:val="left" w:pos="900"/>
              </w:tabs>
              <w:kinsoku/>
              <w:wordWrap/>
              <w:overflowPunct/>
              <w:topLinePunct w:val="0"/>
              <w:autoSpaceDE/>
              <w:autoSpaceDN/>
              <w:bidi w:val="0"/>
              <w:spacing w:before="31" w:beforeLines="10" w:after="31" w:afterLines="10" w:line="360" w:lineRule="exact"/>
              <w:ind w:firstLine="0" w:firstLineChars="0"/>
              <w:textAlignment w:val="auto"/>
              <w:rPr>
                <w:rFonts w:hint="eastAsia" w:ascii="宋体" w:hAnsi="宋体" w:eastAsia="宋体" w:cs="宋体"/>
                <w:kern w:val="0"/>
                <w:sz w:val="24"/>
                <w:szCs w:val="24"/>
                <w:lang w:val="en-US" w:eastAsia="zh-CN"/>
              </w:rPr>
            </w:pPr>
            <w:r>
              <w:rPr>
                <w:rFonts w:hint="eastAsia" w:ascii="宋体" w:hAnsi="宋体" w:cs="宋体"/>
                <w:kern w:val="0"/>
                <w:sz w:val="24"/>
                <w:szCs w:val="24"/>
                <w:lang w:val="en-US" w:eastAsia="zh-CN"/>
              </w:rPr>
              <w:t>3</w:t>
            </w:r>
            <w:r>
              <w:rPr>
                <w:rFonts w:hint="eastAsia" w:ascii="宋体" w:hAnsi="宋体" w:eastAsia="宋体" w:cs="宋体"/>
                <w:kern w:val="0"/>
                <w:sz w:val="24"/>
                <w:szCs w:val="24"/>
                <w:lang w:val="en-US" w:eastAsia="zh-CN"/>
              </w:rPr>
              <w:t>、不论投标结果如何，投标人均应自行承担所有与投标有关的全部费用。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7</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采购方式</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公开招标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8</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Prima Serif Std Roman" w:hAnsi="Prima Serif Std Roman" w:eastAsia="Prima Serif Std Roman" w:cs="Prima Serif Std Roman"/>
                <w:kern w:val="0"/>
                <w:sz w:val="24"/>
                <w:szCs w:val="24"/>
              </w:rPr>
              <w:t>本项目是否专门面向中小企业</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sz w:val="24"/>
                <w:lang w:val="en-US" w:eastAsia="zh-CN"/>
              </w:rPr>
              <w:t>是，</w:t>
            </w:r>
            <w:r>
              <w:rPr>
                <w:sz w:val="24"/>
              </w:rPr>
              <w:t>本项目专门面向</w:t>
            </w:r>
            <w:r>
              <w:rPr>
                <w:sz w:val="24"/>
              </w:rPr>
              <w:sym w:font="Wingdings 2" w:char="0052"/>
            </w:r>
            <w:r>
              <w:rPr>
                <w:sz w:val="24"/>
              </w:rPr>
              <w:t>中小</w:t>
            </w:r>
            <w:r>
              <w:rPr>
                <w:rFonts w:hint="eastAsia"/>
                <w:sz w:val="24"/>
                <w:lang w:val="en-US" w:eastAsia="zh-CN"/>
              </w:rPr>
              <w:t>企业</w:t>
            </w:r>
            <w:r>
              <w:rPr>
                <w:sz w:val="24"/>
              </w:rPr>
              <w:t>采购。即：提供的货物全部由符合政策要求的中小企业制造、服务全部由符合政策要求的中小企业承接。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9</w:t>
            </w:r>
          </w:p>
        </w:tc>
        <w:tc>
          <w:tcPr>
            <w:tcW w:w="1664" w:type="dxa"/>
            <w:tcBorders>
              <w:right w:val="single" w:color="auto" w:sz="4" w:space="0"/>
            </w:tcBorders>
            <w:noWrap w:val="0"/>
            <w:vAlign w:val="center"/>
          </w:tcPr>
          <w:p>
            <w:pPr>
              <w:jc w:val="center"/>
              <w:rPr>
                <w:rFonts w:hint="eastAsia" w:ascii="Times New Roman" w:hAnsi="Times New Roman" w:eastAsia="宋体" w:cs="Times New Roman"/>
                <w:kern w:val="2"/>
                <w:sz w:val="24"/>
                <w:lang w:val="en-US" w:eastAsia="zh-CN" w:bidi="ar-SA"/>
              </w:rPr>
            </w:pPr>
            <w:r>
              <w:rPr>
                <w:sz w:val="24"/>
              </w:rPr>
              <w:t>标的所属行业</w:t>
            </w:r>
          </w:p>
        </w:tc>
        <w:tc>
          <w:tcPr>
            <w:tcW w:w="7541" w:type="dxa"/>
            <w:tcBorders>
              <w:left w:val="single" w:color="auto" w:sz="4" w:space="0"/>
            </w:tcBorders>
            <w:noWrap w:val="0"/>
            <w:vAlign w:val="center"/>
          </w:tcPr>
          <w:p>
            <w:pPr>
              <w:jc w:val="left"/>
              <w:rPr>
                <w:sz w:val="24"/>
              </w:rPr>
            </w:pPr>
            <w:r>
              <w:rPr>
                <w:sz w:val="24"/>
              </w:rPr>
              <w:t>本项目采购标的对应的中小企业划分标准所属行业：</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730"/>
              <w:gridCol w:w="3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5" w:type="pct"/>
                  <w:tcBorders>
                    <w:top w:val="single" w:color="auto" w:sz="4" w:space="0"/>
                    <w:left w:val="single" w:color="auto" w:sz="4" w:space="0"/>
                    <w:bottom w:val="single" w:color="auto" w:sz="4" w:space="0"/>
                    <w:right w:val="single" w:color="auto" w:sz="4" w:space="0"/>
                  </w:tcBorders>
                  <w:vAlign w:val="center"/>
                </w:tcPr>
                <w:p>
                  <w:pPr>
                    <w:jc w:val="center"/>
                    <w:rPr>
                      <w:bCs/>
                      <w:sz w:val="24"/>
                    </w:rPr>
                  </w:pPr>
                  <w:r>
                    <w:rPr>
                      <w:bCs/>
                      <w:sz w:val="24"/>
                    </w:rPr>
                    <w:t>标的名称</w:t>
                  </w:r>
                </w:p>
              </w:tc>
              <w:tc>
                <w:tcPr>
                  <w:tcW w:w="2505" w:type="pct"/>
                  <w:tcBorders>
                    <w:top w:val="single" w:color="auto" w:sz="4" w:space="0"/>
                    <w:left w:val="single" w:color="auto" w:sz="4" w:space="0"/>
                    <w:bottom w:val="single" w:color="auto" w:sz="4" w:space="0"/>
                    <w:right w:val="single" w:color="auto" w:sz="4" w:space="0"/>
                  </w:tcBorders>
                  <w:vAlign w:val="center"/>
                </w:tcPr>
                <w:p>
                  <w:pPr>
                    <w:jc w:val="center"/>
                    <w:rPr>
                      <w:sz w:val="24"/>
                    </w:rPr>
                  </w:pPr>
                  <w:r>
                    <w:rPr>
                      <w:sz w:val="24"/>
                    </w:rPr>
                    <w:t>中小企业划分标准所属行业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95" w:type="pct"/>
                  <w:tcBorders>
                    <w:top w:val="single" w:color="auto" w:sz="4" w:space="0"/>
                    <w:left w:val="single" w:color="auto" w:sz="4" w:space="0"/>
                    <w:bottom w:val="single" w:color="auto" w:sz="4" w:space="0"/>
                    <w:right w:val="single" w:color="auto" w:sz="4" w:space="0"/>
                  </w:tcBorders>
                  <w:vAlign w:val="center"/>
                </w:tcPr>
                <w:p>
                  <w:pPr>
                    <w:jc w:val="center"/>
                    <w:rPr>
                      <w:bCs/>
                      <w:sz w:val="24"/>
                    </w:rPr>
                  </w:pPr>
                  <w:r>
                    <w:rPr>
                      <w:rFonts w:hint="eastAsia" w:ascii="宋体" w:hAnsi="Times New Roman" w:eastAsia="宋体" w:cs="宋体"/>
                      <w:color w:val="000000"/>
                      <w:kern w:val="0"/>
                      <w:sz w:val="24"/>
                      <w:lang w:val="en-US" w:eastAsia="zh-CN"/>
                    </w:rPr>
                    <w:t>智能计量设备</w:t>
                  </w:r>
                </w:p>
              </w:tc>
              <w:tc>
                <w:tcPr>
                  <w:tcW w:w="2505" w:type="pct"/>
                  <w:tcBorders>
                    <w:top w:val="single" w:color="auto" w:sz="4" w:space="0"/>
                    <w:left w:val="single" w:color="auto" w:sz="4" w:space="0"/>
                    <w:bottom w:val="single" w:color="auto" w:sz="4" w:space="0"/>
                    <w:right w:val="single" w:color="auto" w:sz="4" w:space="0"/>
                  </w:tcBorders>
                  <w:vAlign w:val="center"/>
                </w:tcPr>
                <w:p>
                  <w:pPr>
                    <w:jc w:val="center"/>
                    <w:rPr>
                      <w:rFonts w:hint="eastAsia" w:eastAsia="宋体"/>
                      <w:kern w:val="0"/>
                      <w:sz w:val="24"/>
                      <w:lang w:val="en-US" w:eastAsia="zh-CN"/>
                    </w:rPr>
                  </w:pPr>
                  <w:r>
                    <w:rPr>
                      <w:rFonts w:hint="eastAsia"/>
                      <w:kern w:val="0"/>
                      <w:sz w:val="24"/>
                      <w:lang w:val="en-US" w:eastAsia="zh-CN"/>
                    </w:rPr>
                    <w:t>工业</w:t>
                  </w:r>
                </w:p>
              </w:tc>
            </w:tr>
          </w:tbl>
          <w:p>
            <w:pPr>
              <w:jc w:val="left"/>
              <w:rPr>
                <w:rFonts w:hint="eastAsia" w:ascii="Times New Roman" w:hAnsi="Times New Roman" w:eastAsia="宋体" w:cs="Times New Roman"/>
                <w:kern w:val="2"/>
                <w:sz w:val="24"/>
                <w:lang w:val="en-US" w:eastAsia="zh-CN" w:bidi="ar-SA"/>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10</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评标方法</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评审方法：综合评分法。</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sz w:val="24"/>
                <w:lang w:val="en-US" w:eastAsia="zh-CN"/>
              </w:rPr>
              <w:t>按评审后得分由高到低顺序排列。</w:t>
            </w:r>
            <w:r>
              <w:rPr>
                <w:rFonts w:hint="eastAsia"/>
                <w:sz w:val="24"/>
              </w:rPr>
              <w:t>评标委员会遵循公平、公正、择优原则，独立按照评分标准分别评定投标人的分值；各投标人的评审后得分为各评委所评定分值的平均值，并按高低顺序排列。得分相同的，按投标报价由低到高顺序排列，得分且投标报价相同的并列。投标文件满足招标文件全部实质性要求，且按照评审因素的量化指标评审得分最高的投标人排名第一，为中标单位。提供相同品牌产品且通过资格审查、符合性审查的不同投标人参加同一合同项下投标的，按一家投标人计算，评审后得分最高的同品牌投标人获得评审排名资格；评审得分相同的，由采购人确定其中一个投标人获得评审排名资格，其他同品牌投标人无评审排名资格。非单一产品采购项目，多家投标人提供的核心产品品牌相同的，同上处理。</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最低报价不是成交唯一条件。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11</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供货期限及地点</w:t>
            </w:r>
          </w:p>
        </w:tc>
        <w:tc>
          <w:tcPr>
            <w:tcW w:w="7541" w:type="dxa"/>
            <w:tcBorders>
              <w:left w:val="single" w:color="auto" w:sz="4" w:space="0"/>
            </w:tcBorders>
            <w:noWrap w:val="0"/>
            <w:vAlign w:val="center"/>
          </w:tcPr>
          <w:p>
            <w:pPr>
              <w:keepNext w:val="0"/>
              <w:keepLines w:val="0"/>
              <w:pageBreakBefore w:val="0"/>
              <w:kinsoku/>
              <w:wordWrap/>
              <w:overflowPunct/>
              <w:topLinePunct w:val="0"/>
              <w:autoSpaceDE/>
              <w:autoSpaceDN/>
              <w:bidi w:val="0"/>
              <w:adjustRightInd w:val="0"/>
              <w:spacing w:line="240" w:lineRule="auto"/>
              <w:ind w:firstLine="0" w:firstLineChars="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交货时间：</w:t>
            </w:r>
            <w:r>
              <w:rPr>
                <w:rFonts w:hint="eastAsia" w:ascii="宋体" w:hAnsi="宋体" w:cs="宋体"/>
                <w:sz w:val="24"/>
                <w:szCs w:val="24"/>
                <w:highlight w:val="none"/>
                <w:lang w:val="en-US" w:eastAsia="zh-CN"/>
              </w:rPr>
              <w:t>合同</w:t>
            </w:r>
            <w:r>
              <w:rPr>
                <w:rFonts w:hint="eastAsia" w:ascii="宋体" w:hAnsi="宋体" w:eastAsia="宋体" w:cs="宋体"/>
                <w:sz w:val="24"/>
                <w:szCs w:val="24"/>
                <w:highlight w:val="none"/>
                <w:lang w:val="en-US" w:eastAsia="zh-CN"/>
              </w:rPr>
              <w:t>签订后</w:t>
            </w:r>
            <w:r>
              <w:rPr>
                <w:rFonts w:hint="eastAsia" w:ascii="宋体" w:hAnsi="宋体" w:cs="宋体"/>
                <w:sz w:val="24"/>
                <w:szCs w:val="24"/>
                <w:highlight w:val="none"/>
                <w:lang w:val="en-US" w:eastAsia="zh-CN"/>
              </w:rPr>
              <w:t>180</w:t>
            </w:r>
            <w:r>
              <w:rPr>
                <w:rFonts w:hint="eastAsia" w:ascii="宋体" w:hAnsi="宋体" w:eastAsia="宋体" w:cs="宋体"/>
                <w:sz w:val="24"/>
                <w:szCs w:val="24"/>
                <w:highlight w:val="none"/>
                <w:lang w:val="en-US" w:eastAsia="zh-CN"/>
              </w:rPr>
              <w:t>日历天内完成设备供货、安装及调试</w:t>
            </w:r>
            <w:r>
              <w:rPr>
                <w:rFonts w:hint="eastAsia" w:ascii="宋体" w:hAnsi="宋体" w:cs="宋体"/>
                <w:sz w:val="24"/>
                <w:szCs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质保期：</w:t>
            </w:r>
            <w:r>
              <w:rPr>
                <w:rFonts w:hint="eastAsia" w:ascii="宋体" w:hAnsi="宋体" w:cs="宋体"/>
                <w:sz w:val="24"/>
                <w:szCs w:val="24"/>
                <w:highlight w:val="none"/>
                <w:lang w:val="en-US" w:eastAsia="zh-CN"/>
              </w:rPr>
              <w:t>水</w:t>
            </w:r>
            <w:r>
              <w:rPr>
                <w:rFonts w:hint="eastAsia" w:ascii="宋体" w:hAnsi="宋体" w:eastAsia="宋体" w:cs="宋体"/>
                <w:sz w:val="24"/>
                <w:szCs w:val="24"/>
                <w:highlight w:val="none"/>
                <w:lang w:val="en-US" w:eastAsia="zh-CN"/>
              </w:rPr>
              <w:t>表质保期6年，电子部分质保</w:t>
            </w:r>
            <w:r>
              <w:rPr>
                <w:rFonts w:hint="eastAsia" w:ascii="宋体" w:hAnsi="宋体" w:cs="宋体"/>
                <w:sz w:val="24"/>
                <w:szCs w:val="24"/>
                <w:highlight w:val="none"/>
                <w:lang w:val="en-US" w:eastAsia="zh-CN"/>
              </w:rPr>
              <w:t>8</w:t>
            </w:r>
            <w:r>
              <w:rPr>
                <w:rFonts w:hint="eastAsia" w:ascii="宋体" w:hAnsi="宋体" w:eastAsia="宋体" w:cs="宋体"/>
                <w:sz w:val="24"/>
                <w:szCs w:val="24"/>
                <w:highlight w:val="none"/>
                <w:lang w:val="en-US" w:eastAsia="zh-CN"/>
              </w:rPr>
              <w:t>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sz w:val="24"/>
                <w:szCs w:val="24"/>
              </w:rPr>
              <w:t>交货地点：采购方指定地点。</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52"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12</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质量要求</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color w:val="000000"/>
                <w:sz w:val="24"/>
                <w:szCs w:val="24"/>
              </w:rPr>
              <w:t>合格，必须达到国家和行业规定标准及招标文件中规定的标准。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35"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13</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联合体投标</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不接受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37" w:hRule="atLeast"/>
          <w:jc w:val="center"/>
        </w:trPr>
        <w:tc>
          <w:tcPr>
            <w:tcW w:w="82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宋体" w:hAnsi="宋体" w:eastAsia="宋体" w:cs="宋体"/>
                <w:kern w:val="0"/>
                <w:sz w:val="24"/>
                <w:szCs w:val="24"/>
                <w:lang w:val="en-US" w:eastAsia="zh-CN"/>
              </w:rPr>
            </w:pPr>
            <w:r>
              <w:rPr>
                <w:rFonts w:hint="eastAsia" w:ascii="宋体" w:hAnsi="宋体" w:cs="宋体"/>
                <w:kern w:val="0"/>
                <w:sz w:val="24"/>
                <w:szCs w:val="24"/>
                <w:lang w:val="en-US" w:eastAsia="zh-CN"/>
              </w:rPr>
              <w:t>14</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考察现场</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不组织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09"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1</w:t>
            </w:r>
            <w:r>
              <w:rPr>
                <w:rFonts w:hint="eastAsia" w:ascii="宋体" w:hAnsi="宋体" w:cs="宋体"/>
                <w:color w:val="000000"/>
                <w:sz w:val="24"/>
                <w:szCs w:val="24"/>
                <w:lang w:val="en-US" w:eastAsia="zh-CN"/>
              </w:rPr>
              <w:t>5</w:t>
            </w:r>
          </w:p>
        </w:tc>
        <w:tc>
          <w:tcPr>
            <w:tcW w:w="1664" w:type="dxa"/>
            <w:tcBorders>
              <w:right w:val="single" w:color="auto" w:sz="4" w:space="0"/>
            </w:tcBorders>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投标人对招标文件提出质疑的时间</w:t>
            </w:r>
          </w:p>
        </w:tc>
        <w:tc>
          <w:tcPr>
            <w:tcW w:w="7541" w:type="dxa"/>
            <w:tcBorders>
              <w:left w:val="single" w:color="auto" w:sz="4" w:space="0"/>
            </w:tcBorders>
            <w:noWrap w:val="0"/>
            <w:vAlign w:val="center"/>
          </w:tcPr>
          <w:p>
            <w:pPr>
              <w:pStyle w:val="42"/>
              <w:keepNext w:val="0"/>
              <w:keepLines w:val="0"/>
              <w:pageBreakBefore w:val="0"/>
              <w:kinsoku/>
              <w:wordWrap/>
              <w:overflowPunct/>
              <w:topLinePunct w:val="0"/>
              <w:autoSpaceDE/>
              <w:autoSpaceDN/>
              <w:bidi w:val="0"/>
              <w:spacing w:line="440" w:lineRule="exact"/>
              <w:ind w:firstLine="0" w:firstLineChars="0"/>
              <w:jc w:val="both"/>
              <w:textAlignment w:val="auto"/>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提出质疑函的时限：对采购文件提出质疑的，应当在获取采购文件或者采购文件公告期限届满之日起7个工作日内提出。</w:t>
            </w:r>
          </w:p>
          <w:p>
            <w:pPr>
              <w:pStyle w:val="42"/>
              <w:keepNext w:val="0"/>
              <w:keepLines w:val="0"/>
              <w:pageBreakBefore w:val="0"/>
              <w:kinsoku/>
              <w:wordWrap/>
              <w:overflowPunct/>
              <w:topLinePunct w:val="0"/>
              <w:autoSpaceDE/>
              <w:autoSpaceDN/>
              <w:bidi w:val="0"/>
              <w:spacing w:line="440" w:lineRule="exact"/>
              <w:ind w:firstLine="0" w:firstLineChars="0"/>
              <w:jc w:val="both"/>
              <w:textAlignment w:val="auto"/>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接收质疑函的方式：将PDF格式电子版质疑文件加盖公章扫描发送至594216362@qq.com邮箱。</w:t>
            </w:r>
          </w:p>
          <w:p>
            <w:pPr>
              <w:pStyle w:val="42"/>
              <w:keepNext w:val="0"/>
              <w:keepLines w:val="0"/>
              <w:pageBreakBefore w:val="0"/>
              <w:kinsoku/>
              <w:wordWrap/>
              <w:overflowPunct/>
              <w:topLinePunct w:val="0"/>
              <w:autoSpaceDE/>
              <w:autoSpaceDN/>
              <w:bidi w:val="0"/>
              <w:spacing w:line="440" w:lineRule="exact"/>
              <w:ind w:firstLine="0" w:firstLineChars="0"/>
              <w:jc w:val="both"/>
              <w:textAlignment w:val="auto"/>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 xml:space="preserve">接受质疑的单位：新疆欣西域工程管理服务有限公司联系电话：0903-6860001    </w:t>
            </w:r>
          </w:p>
          <w:p>
            <w:pPr>
              <w:pStyle w:val="42"/>
              <w:keepNext w:val="0"/>
              <w:keepLines w:val="0"/>
              <w:pageBreakBefore w:val="0"/>
              <w:widowControl w:val="0"/>
              <w:kinsoku/>
              <w:wordWrap/>
              <w:overflowPunct/>
              <w:topLinePunct w:val="0"/>
              <w:autoSpaceDE/>
              <w:autoSpaceDN/>
              <w:bidi w:val="0"/>
              <w:adjustRightInd w:val="0"/>
              <w:snapToGrid/>
              <w:spacing w:line="340" w:lineRule="exact"/>
              <w:ind w:firstLine="0" w:firstLineChars="0"/>
              <w:jc w:val="both"/>
              <w:textAlignment w:val="auto"/>
              <w:rPr>
                <w:rFonts w:hint="eastAsia" w:ascii="宋体" w:hAnsi="宋体" w:eastAsia="宋体" w:cs="宋体"/>
                <w:b/>
                <w:bCs/>
                <w:color w:val="000000"/>
                <w:kern w:val="2"/>
                <w:sz w:val="24"/>
                <w:szCs w:val="24"/>
                <w:lang w:val="en-US" w:eastAsia="zh-CN" w:bidi="ar-SA"/>
              </w:rPr>
            </w:pPr>
            <w:r>
              <w:rPr>
                <w:rFonts w:hint="eastAsia" w:ascii="宋体" w:hAnsi="宋体" w:eastAsia="宋体" w:cs="宋体"/>
                <w:b/>
                <w:bCs/>
                <w:color w:val="000000"/>
                <w:kern w:val="2"/>
                <w:sz w:val="24"/>
                <w:szCs w:val="24"/>
                <w:lang w:val="en-US" w:eastAsia="zh-CN" w:bidi="ar-SA"/>
              </w:rPr>
              <w:t>地址：和田市人民路玉都国际广场玉座1101</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1</w:t>
            </w:r>
            <w:r>
              <w:rPr>
                <w:rFonts w:hint="eastAsia" w:ascii="宋体" w:hAnsi="宋体" w:cs="宋体"/>
                <w:color w:val="000000"/>
                <w:sz w:val="24"/>
                <w:szCs w:val="24"/>
                <w:lang w:val="en-US" w:eastAsia="zh-CN"/>
              </w:rPr>
              <w:t>6</w:t>
            </w:r>
          </w:p>
        </w:tc>
        <w:tc>
          <w:tcPr>
            <w:tcW w:w="1664" w:type="dxa"/>
            <w:tcBorders>
              <w:right w:val="single" w:color="auto" w:sz="4" w:space="0"/>
            </w:tcBorders>
            <w:noWrap w:val="0"/>
            <w:vAlign w:val="center"/>
          </w:tcPr>
          <w:p>
            <w:pPr>
              <w:keepNext w:val="0"/>
              <w:keepLines w:val="0"/>
              <w:pageBreakBefore w:val="0"/>
              <w:kinsoku/>
              <w:wordWrap/>
              <w:overflowPunct/>
              <w:topLinePunct w:val="0"/>
              <w:autoSpaceDE/>
              <w:autoSpaceDN/>
              <w:bidi w:val="0"/>
              <w:spacing w:line="440" w:lineRule="exact"/>
              <w:ind w:firstLine="0" w:firstLineChars="0"/>
              <w:jc w:val="center"/>
              <w:textAlignment w:val="auto"/>
              <w:rPr>
                <w:rFonts w:hint="eastAsia" w:ascii="宋体" w:hAnsi="宋体" w:eastAsia="宋体" w:cs="宋体"/>
                <w:color w:val="000000"/>
                <w:sz w:val="24"/>
                <w:szCs w:val="24"/>
              </w:rPr>
            </w:pPr>
            <w:r>
              <w:rPr>
                <w:rFonts w:hint="eastAsia" w:ascii="宋体" w:hAnsi="宋体" w:eastAsia="宋体" w:cs="宋体"/>
                <w:kern w:val="0"/>
                <w:sz w:val="24"/>
                <w:szCs w:val="24"/>
                <w:lang w:val="en-US" w:eastAsia="zh-CN"/>
              </w:rPr>
              <w:t>投标资格</w:t>
            </w:r>
          </w:p>
        </w:tc>
        <w:tc>
          <w:tcPr>
            <w:tcW w:w="7541" w:type="dxa"/>
            <w:tcBorders>
              <w:left w:val="single" w:color="auto" w:sz="4" w:space="0"/>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1、投标单位必须符合《中华人民共和国政府采购法》第二十二条规定；</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2、经年审合格（三证合一）的营业执照；</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3、特定资格：供应商为生产厂家时需具备质量技术监督局颁发的有效的《计量器具型式批准证书》，供应商为经销商时应提供生产厂家有效的《计量器具型式批准证书》的复印件加盖经销商公章。</w:t>
            </w:r>
            <w:r>
              <w:rPr>
                <w:rFonts w:hint="eastAsia" w:ascii="宋体" w:hAnsi="宋体" w:cs="宋体"/>
                <w:b/>
                <w:bCs/>
                <w:color w:val="auto"/>
                <w:sz w:val="24"/>
                <w:szCs w:val="24"/>
                <w:lang w:val="en-US" w:eastAsia="zh-CN"/>
              </w:rPr>
              <w:t>（</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上水表规格：根据市场监管总局关于发布实施强制管理的计量器具目录的公告2019年第48号要求“2020年1月1日后办理的</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只有列入《目录》且监管方式为P（型式批准）和P+V（型式批准+强制检定）的计量器具应办理型式批准水表DN15～DN50 P+V”2020年1月1日之前的</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上显示DN15～DN200水表类型）</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4、提供经第三方会计师事务所或审计机构审计的2021年度财务报告原件或加盖公章的复印件；(2022年以后成立公司需出具银行近一个月的资信证明）；</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5、近三年内（本项目投标截止期前）在“信用中国（www.creditchina.gov.cn）”被列入失信被执行人、企业经营异常名录、重大税收违法案件当事人名单、政府采购严重违法失信名单（尚在处罚期内的）；在“中国政府采购网（www.ccgp.gov.cn）”被列入政府采购严重违法失信行为记录名单的（尚在处罚期内的）；将拒绝其参加本次政府采购活动；</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6、企业负责人为同一人或者存在直接控股、管理关系的不同投标人，不得参加同一合同项下的政府采购活动。否则，皆取消投标资格；</w:t>
            </w:r>
          </w:p>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b/>
                <w:bCs/>
                <w:color w:val="auto"/>
                <w:sz w:val="24"/>
                <w:szCs w:val="24"/>
                <w:lang w:val="en-US" w:eastAsia="zh-CN"/>
              </w:rPr>
            </w:pPr>
            <w:r>
              <w:rPr>
                <w:rFonts w:hint="eastAsia" w:ascii="宋体" w:hAnsi="宋体" w:eastAsia="宋体" w:cs="宋体"/>
                <w:b/>
                <w:bCs/>
                <w:color w:val="auto"/>
                <w:sz w:val="24"/>
                <w:szCs w:val="24"/>
                <w:lang w:val="en-US" w:eastAsia="zh-CN"/>
              </w:rPr>
              <w:t>7、投标保证金：：</w:t>
            </w:r>
            <w:r>
              <w:rPr>
                <w:rFonts w:hint="eastAsia" w:ascii="宋体" w:hAnsi="宋体" w:cs="宋体"/>
                <w:b/>
                <w:bCs/>
                <w:color w:val="auto"/>
                <w:sz w:val="24"/>
                <w:szCs w:val="24"/>
                <w:lang w:val="en-US" w:eastAsia="zh-CN"/>
              </w:rPr>
              <w:t>70000</w:t>
            </w:r>
            <w:r>
              <w:rPr>
                <w:rFonts w:hint="eastAsia" w:ascii="宋体" w:hAnsi="宋体" w:eastAsia="宋体" w:cs="宋体"/>
                <w:b/>
                <w:bCs/>
                <w:color w:val="auto"/>
                <w:sz w:val="24"/>
                <w:szCs w:val="24"/>
                <w:lang w:val="en-US" w:eastAsia="zh-CN"/>
              </w:rPr>
              <w:t>.00元整</w:t>
            </w:r>
            <w:r>
              <w:rPr>
                <w:rFonts w:hint="eastAsia" w:ascii="宋体" w:hAnsi="宋体" w:cs="宋体"/>
                <w:b/>
                <w:bCs/>
                <w:color w:val="auto"/>
                <w:sz w:val="24"/>
                <w:szCs w:val="24"/>
                <w:lang w:val="en-US" w:eastAsia="zh-CN"/>
              </w:rPr>
              <w:t>(柒万元整)</w:t>
            </w:r>
            <w:r>
              <w:rPr>
                <w:rFonts w:hint="eastAsia" w:ascii="宋体" w:hAnsi="宋体" w:eastAsia="宋体" w:cs="宋体"/>
                <w:b/>
                <w:bCs/>
                <w:color w:val="auto"/>
                <w:sz w:val="24"/>
                <w:szCs w:val="24"/>
                <w:lang w:val="en-US" w:eastAsia="zh-CN"/>
              </w:rPr>
              <w:t>；</w:t>
            </w:r>
          </w:p>
          <w:p>
            <w:pPr>
              <w:tabs>
                <w:tab w:val="left" w:pos="1080"/>
              </w:tabs>
              <w:snapToGrid w:val="0"/>
              <w:rPr>
                <w:rFonts w:hint="default"/>
                <w:lang w:val="en-US" w:eastAsia="zh-CN"/>
              </w:rPr>
            </w:pPr>
            <w:r>
              <w:rPr>
                <w:rFonts w:hint="eastAsia" w:ascii="宋体" w:hAnsi="宋体" w:eastAsia="宋体" w:cs="宋体"/>
                <w:b/>
                <w:bCs/>
                <w:color w:val="auto"/>
                <w:sz w:val="24"/>
                <w:szCs w:val="24"/>
                <w:lang w:val="en-US" w:eastAsia="zh-CN"/>
              </w:rPr>
              <w:t>8、本项目：100%面向中小企业采购，投标人须提供《中小企业声明函》；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42"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17</w:t>
            </w:r>
          </w:p>
        </w:tc>
        <w:tc>
          <w:tcPr>
            <w:tcW w:w="1664" w:type="dxa"/>
            <w:tcBorders>
              <w:right w:val="single" w:color="auto" w:sz="4" w:space="0"/>
            </w:tcBorders>
            <w:noWrap w:val="0"/>
            <w:vAlign w:val="center"/>
          </w:tcPr>
          <w:p>
            <w:pPr>
              <w:pStyle w:val="42"/>
              <w:keepNext w:val="0"/>
              <w:keepLines w:val="0"/>
              <w:pageBreakBefore w:val="0"/>
              <w:kinsoku/>
              <w:wordWrap/>
              <w:overflowPunct/>
              <w:topLinePunct w:val="0"/>
              <w:autoSpaceDE/>
              <w:autoSpaceDN/>
              <w:bidi w:val="0"/>
              <w:ind w:left="38" w:firstLine="0" w:firstLineChars="0"/>
              <w:jc w:val="center"/>
              <w:textAlignment w:val="auto"/>
              <w:rPr>
                <w:rFonts w:hint="eastAsia" w:ascii="宋体" w:hAnsi="宋体" w:eastAsia="宋体" w:cs="宋体"/>
                <w:color w:val="000000"/>
                <w:sz w:val="24"/>
                <w:szCs w:val="24"/>
              </w:rPr>
            </w:pPr>
            <w:r>
              <w:rPr>
                <w:rFonts w:hint="eastAsia" w:ascii="宋体" w:hAnsi="宋体" w:eastAsia="宋体" w:cs="宋体"/>
                <w:kern w:val="0"/>
                <w:sz w:val="24"/>
                <w:szCs w:val="24"/>
                <w:lang w:val="en-US" w:eastAsia="zh-CN" w:bidi="ar-SA"/>
              </w:rPr>
              <w:t>信用情况</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1、信用记录查询时间及方式：</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（1）查询时间：自招标公告发布日期起至开标日期止，超出此时间范围将被视为无效投标。</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2）查询方式：投标人自行通过“信用中国”及“中国政府采购网”查询，并按招标文件要求提供网页材料。被列入失信被执行人、政府采购严重违法失信行为记录名单,其他不符合《中华人民共和国政府采购法》第二十二条规定条件的供应商，其投标文件将被视为无效投标。未提供证明材料的视为不响应招标文件。</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（3）供应商参加政府采购活动时，应当就自己的诚信情况在响应性文件中进行承诺。</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本项目不接受失信企业投标。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071"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18</w:t>
            </w:r>
          </w:p>
        </w:tc>
        <w:tc>
          <w:tcPr>
            <w:tcW w:w="1664" w:type="dxa"/>
            <w:tcBorders>
              <w:right w:val="single" w:color="auto" w:sz="4" w:space="0"/>
            </w:tcBorders>
            <w:noWrap w:val="0"/>
            <w:vAlign w:val="center"/>
          </w:tcPr>
          <w:p>
            <w:pPr>
              <w:keepNext w:val="0"/>
              <w:keepLines w:val="0"/>
              <w:pageBreakBefore w:val="0"/>
              <w:kinsoku/>
              <w:wordWrap/>
              <w:overflowPunct/>
              <w:topLinePunct w:val="0"/>
              <w:autoSpaceDE/>
              <w:autoSpaceDN/>
              <w:bidi w:val="0"/>
              <w:spacing w:line="440" w:lineRule="exact"/>
              <w:ind w:firstLine="0" w:firstLineChars="0"/>
              <w:jc w:val="center"/>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投标文件发放</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供应商登陆政采云平台</w:t>
            </w:r>
            <w:r>
              <w:rPr>
                <w:rFonts w:hint="eastAsia" w:ascii="宋体" w:hAnsi="宋体" w:eastAsia="宋体" w:cs="宋体"/>
                <w:kern w:val="0"/>
                <w:sz w:val="24"/>
                <w:szCs w:val="24"/>
                <w:lang w:val="en-US" w:eastAsia="zh-CN" w:bidi="ar-SA"/>
              </w:rPr>
              <w:fldChar w:fldCharType="begin"/>
            </w:r>
            <w:r>
              <w:rPr>
                <w:rFonts w:hint="eastAsia" w:ascii="宋体" w:hAnsi="宋体" w:eastAsia="宋体" w:cs="宋体"/>
                <w:kern w:val="0"/>
                <w:sz w:val="24"/>
                <w:szCs w:val="24"/>
                <w:lang w:val="en-US" w:eastAsia="zh-CN" w:bidi="ar-SA"/>
              </w:rPr>
              <w:instrText xml:space="preserve"> HYPERLINK "https://www.zcygov.cn/" </w:instrText>
            </w:r>
            <w:r>
              <w:rPr>
                <w:rFonts w:hint="eastAsia" w:ascii="宋体" w:hAnsi="宋体" w:eastAsia="宋体" w:cs="宋体"/>
                <w:kern w:val="0"/>
                <w:sz w:val="24"/>
                <w:szCs w:val="24"/>
                <w:lang w:val="en-US" w:eastAsia="zh-CN" w:bidi="ar-SA"/>
              </w:rPr>
              <w:fldChar w:fldCharType="separate"/>
            </w:r>
            <w:r>
              <w:rPr>
                <w:rFonts w:hint="eastAsia" w:ascii="宋体" w:hAnsi="宋体" w:eastAsia="宋体" w:cs="宋体"/>
                <w:kern w:val="0"/>
                <w:sz w:val="24"/>
                <w:szCs w:val="24"/>
                <w:lang w:val="en-US" w:eastAsia="zh-CN" w:bidi="ar-SA"/>
              </w:rPr>
              <w:t>https://www.zcygov.cn/</w:t>
            </w:r>
            <w:r>
              <w:rPr>
                <w:rFonts w:hint="eastAsia" w:ascii="宋体" w:hAnsi="宋体" w:eastAsia="宋体" w:cs="宋体"/>
                <w:kern w:val="0"/>
                <w:sz w:val="24"/>
                <w:szCs w:val="24"/>
                <w:lang w:val="en-US" w:eastAsia="zh-CN" w:bidi="ar-SA"/>
              </w:rPr>
              <w:fldChar w:fldCharType="end"/>
            </w:r>
            <w:r>
              <w:rPr>
                <w:rFonts w:hint="eastAsia" w:ascii="宋体" w:hAnsi="宋体" w:eastAsia="宋体" w:cs="宋体"/>
                <w:kern w:val="0"/>
                <w:sz w:val="24"/>
                <w:szCs w:val="24"/>
                <w:lang w:val="en-US" w:eastAsia="zh-CN" w:bidi="ar-SA"/>
              </w:rPr>
              <w:t>在线申请获取采购文件（进入“项目采购”应用，在获取采购文件菜单中选择项目，申请获取采购文件）。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80"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19</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构成招标文件的其他文件</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招标文件的澄清、修改书及有关补充通知为招标文件的有效组成部分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8"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20</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投标截止时间</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color w:val="auto"/>
                <w:kern w:val="0"/>
                <w:sz w:val="24"/>
                <w:szCs w:val="24"/>
                <w:lang w:val="en-US" w:eastAsia="zh-CN" w:bidi="ar-SA"/>
              </w:rPr>
              <w:t>2022年</w:t>
            </w:r>
            <w:r>
              <w:rPr>
                <w:rFonts w:hint="eastAsia" w:ascii="宋体" w:hAnsi="宋体" w:cs="宋体"/>
                <w:color w:val="auto"/>
                <w:kern w:val="0"/>
                <w:sz w:val="24"/>
                <w:szCs w:val="24"/>
                <w:lang w:val="en-US" w:eastAsia="zh-CN" w:bidi="ar-SA"/>
              </w:rPr>
              <w:t>09月29日10:30</w:t>
            </w:r>
            <w:r>
              <w:rPr>
                <w:rFonts w:hint="eastAsia" w:ascii="宋体" w:hAnsi="宋体" w:eastAsia="宋体" w:cs="宋体"/>
                <w:color w:val="auto"/>
                <w:kern w:val="0"/>
                <w:sz w:val="24"/>
                <w:szCs w:val="24"/>
                <w:lang w:val="en-US" w:eastAsia="zh-CN" w:bidi="ar-SA"/>
              </w:rPr>
              <w:t>（北京时间）</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8"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21</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投标有效期</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90日历天（从投标截止之日算起）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68"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22</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投标保证金</w:t>
            </w:r>
          </w:p>
        </w:tc>
        <w:tc>
          <w:tcPr>
            <w:tcW w:w="7541" w:type="dxa"/>
            <w:tcBorders>
              <w:left w:val="single" w:color="auto" w:sz="4" w:space="0"/>
            </w:tcBorders>
            <w:noWrap w:val="0"/>
            <w:vAlign w:val="center"/>
          </w:tcPr>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Cs/>
                <w:color w:val="000000"/>
                <w:sz w:val="24"/>
                <w:szCs w:val="24"/>
              </w:rPr>
            </w:pPr>
            <w:r>
              <w:rPr>
                <w:rFonts w:hint="eastAsia" w:ascii="宋体" w:hAnsi="宋体" w:eastAsia="宋体" w:cs="宋体"/>
                <w:bCs/>
                <w:color w:val="000000"/>
                <w:sz w:val="24"/>
                <w:szCs w:val="24"/>
              </w:rPr>
              <w:t>投标保证金的形式：转账、汇款（对公转账，从基本账户转入）、保函</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Cs/>
                <w:color w:val="000000"/>
                <w:sz w:val="24"/>
                <w:szCs w:val="24"/>
              </w:rPr>
            </w:pPr>
            <w:r>
              <w:rPr>
                <w:rFonts w:hint="eastAsia" w:ascii="宋体" w:hAnsi="宋体" w:eastAsia="宋体" w:cs="宋体"/>
                <w:bCs/>
                <w:color w:val="000000"/>
                <w:sz w:val="24"/>
                <w:szCs w:val="24"/>
              </w:rPr>
              <w:t>投标保证金的金额：</w:t>
            </w:r>
            <w:r>
              <w:rPr>
                <w:rFonts w:hint="eastAsia" w:ascii="宋体" w:hAnsi="宋体" w:cs="宋体"/>
                <w:bCs/>
                <w:color w:val="000000"/>
                <w:sz w:val="24"/>
                <w:szCs w:val="24"/>
                <w:lang w:val="en-US" w:eastAsia="zh-CN"/>
              </w:rPr>
              <w:t>70000.00</w:t>
            </w:r>
            <w:r>
              <w:rPr>
                <w:rFonts w:hint="eastAsia" w:ascii="宋体" w:hAnsi="宋体" w:eastAsia="宋体" w:cs="宋体"/>
                <w:bCs/>
                <w:color w:val="000000"/>
                <w:sz w:val="24"/>
                <w:szCs w:val="24"/>
              </w:rPr>
              <w:t>元整（</w:t>
            </w:r>
            <w:r>
              <w:rPr>
                <w:rFonts w:hint="eastAsia" w:ascii="宋体" w:hAnsi="宋体" w:cs="宋体"/>
                <w:bCs/>
                <w:color w:val="000000"/>
                <w:sz w:val="24"/>
                <w:szCs w:val="24"/>
                <w:lang w:val="en-US" w:eastAsia="zh-CN"/>
              </w:rPr>
              <w:t>柒万元整</w:t>
            </w:r>
            <w:r>
              <w:rPr>
                <w:rFonts w:hint="eastAsia" w:ascii="宋体" w:hAnsi="宋体" w:eastAsia="宋体" w:cs="宋体"/>
                <w:bCs/>
                <w:color w:val="000000"/>
                <w:sz w:val="24"/>
                <w:szCs w:val="24"/>
              </w:rPr>
              <w:t>）</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Cs/>
                <w:color w:val="000000"/>
                <w:sz w:val="24"/>
                <w:szCs w:val="24"/>
              </w:rPr>
            </w:pPr>
            <w:r>
              <w:rPr>
                <w:rFonts w:hint="eastAsia" w:ascii="宋体" w:hAnsi="宋体" w:eastAsia="宋体" w:cs="宋体"/>
                <w:bCs/>
                <w:color w:val="000000"/>
                <w:sz w:val="24"/>
                <w:szCs w:val="24"/>
              </w:rPr>
              <w:t>投标保证金缴纳账户：</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开户名称：洛浦县政务服务和公共资源交易中心</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开户银行：中国农业银行股份有限公司洛浦县支行</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账    号：30581601040888887</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b/>
                <w:color w:val="000000"/>
                <w:sz w:val="24"/>
                <w:szCs w:val="24"/>
                <w:lang w:val="en-US" w:eastAsia="zh-CN"/>
              </w:rPr>
            </w:pPr>
            <w:r>
              <w:rPr>
                <w:rFonts w:hint="eastAsia" w:ascii="宋体" w:hAnsi="宋体" w:eastAsia="宋体" w:cs="宋体"/>
                <w:b/>
                <w:color w:val="000000"/>
                <w:sz w:val="24"/>
                <w:szCs w:val="24"/>
                <w:lang w:val="en-US" w:eastAsia="zh-CN"/>
              </w:rPr>
              <w:t>行    号:103896558162</w:t>
            </w:r>
          </w:p>
          <w:p>
            <w:pPr>
              <w:keepNext w:val="0"/>
              <w:keepLines w:val="0"/>
              <w:pageBreakBefore w:val="0"/>
              <w:kinsoku/>
              <w:wordWrap/>
              <w:overflowPunct/>
              <w:topLinePunct w:val="0"/>
              <w:autoSpaceDE/>
              <w:autoSpaceDN/>
              <w:bidi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b/>
                <w:color w:val="000000"/>
                <w:sz w:val="24"/>
                <w:szCs w:val="24"/>
              </w:rPr>
              <w:t>注：</w:t>
            </w:r>
            <w:r>
              <w:rPr>
                <w:rFonts w:hint="eastAsia" w:ascii="宋体"/>
                <w:sz w:val="24"/>
              </w:rPr>
              <w:t>投标保证金缴纳截止时间为</w:t>
            </w:r>
            <w:r>
              <w:rPr>
                <w:rFonts w:hint="eastAsia" w:ascii="宋体"/>
                <w:sz w:val="24"/>
                <w:lang w:eastAsia="zh-CN"/>
              </w:rPr>
              <w:t>202</w:t>
            </w:r>
            <w:r>
              <w:rPr>
                <w:rFonts w:hint="eastAsia" w:ascii="宋体"/>
                <w:sz w:val="24"/>
                <w:lang w:val="en-US" w:eastAsia="zh-CN"/>
              </w:rPr>
              <w:t>2</w:t>
            </w:r>
            <w:r>
              <w:rPr>
                <w:rFonts w:hint="eastAsia" w:ascii="宋体"/>
                <w:sz w:val="24"/>
                <w:lang w:eastAsia="zh-CN"/>
              </w:rPr>
              <w:t>年</w:t>
            </w:r>
            <w:r>
              <w:rPr>
                <w:rFonts w:hint="eastAsia" w:ascii="宋体"/>
                <w:sz w:val="24"/>
                <w:lang w:val="en-US" w:eastAsia="zh-CN"/>
              </w:rPr>
              <w:t>09月29日</w:t>
            </w:r>
            <w:r>
              <w:rPr>
                <w:rFonts w:hint="eastAsia" w:ascii="宋体"/>
                <w:sz w:val="24"/>
              </w:rPr>
              <w:t>北京时间</w:t>
            </w:r>
            <w:r>
              <w:rPr>
                <w:rFonts w:hint="eastAsia" w:ascii="宋体"/>
                <w:sz w:val="24"/>
                <w:lang w:val="en-US" w:eastAsia="zh-CN"/>
              </w:rPr>
              <w:t>10:30</w:t>
            </w:r>
            <w:r>
              <w:rPr>
                <w:rFonts w:hint="eastAsia" w:ascii="宋体"/>
                <w:sz w:val="24"/>
              </w:rPr>
              <w:t>前。必须以投标单位的名义缴纳投标保证金,汇款时必须在备注栏写明所投采购项目名称。在投标截止时间前将投标保证金以银行电汇、银行转账的方式到</w:t>
            </w:r>
            <w:r>
              <w:rPr>
                <w:rFonts w:hint="eastAsia" w:ascii="宋体"/>
                <w:sz w:val="24"/>
                <w:lang w:val="en-US" w:eastAsia="zh-CN"/>
              </w:rPr>
              <w:t>洛浦县政务服务和公共资源交易中心</w:t>
            </w:r>
            <w:r>
              <w:rPr>
                <w:rFonts w:hint="eastAsia" w:ascii="宋体"/>
                <w:sz w:val="24"/>
              </w:rPr>
              <w:t>，须公对公账户，不接受个人打款，以个人名义打款将视为无效。</w:t>
            </w:r>
            <w:r>
              <w:rPr>
                <w:rFonts w:hint="eastAsia" w:ascii="宋体"/>
                <w:sz w:val="24"/>
                <w:lang w:val="en-US" w:eastAsia="zh-CN"/>
              </w:rPr>
              <w:t>无需</w:t>
            </w:r>
            <w:r>
              <w:rPr>
                <w:rFonts w:hint="eastAsia" w:ascii="宋体"/>
                <w:sz w:val="24"/>
              </w:rPr>
              <w:t>换取投标保证金收据，开标时现场查验投标保证金到账情况。开标结束后未中标企业现场将授权委托书或法人身份证复印件、开户许可证复印件（注明：联系人、联系电话、行号）、收据（必须加盖公司公章/财务章）、投标保证金银行回单递交至</w:t>
            </w:r>
            <w:r>
              <w:rPr>
                <w:rFonts w:hint="eastAsia" w:ascii="宋体"/>
                <w:sz w:val="24"/>
                <w:lang w:val="en-US" w:eastAsia="zh-CN"/>
              </w:rPr>
              <w:t>洛浦县政务服务和公共资源交易中心</w:t>
            </w:r>
            <w:r>
              <w:rPr>
                <w:rFonts w:hint="eastAsia" w:ascii="宋体"/>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773"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23</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备选投标方案和报价</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color w:val="000000"/>
                <w:sz w:val="24"/>
                <w:szCs w:val="24"/>
              </w:rPr>
              <w:t>报价应包括采购、运输、装卸、验收、开具发票和相关售后等服务；不接受备选投标方案和多个报价。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8"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24</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递交投标文件的地点及方式</w:t>
            </w:r>
          </w:p>
        </w:tc>
        <w:tc>
          <w:tcPr>
            <w:tcW w:w="7541" w:type="dxa"/>
            <w:tcBorders>
              <w:left w:val="single" w:color="auto" w:sz="4" w:space="0"/>
            </w:tcBorders>
            <w:noWrap w:val="0"/>
            <w:vAlign w:val="center"/>
          </w:tcPr>
          <w:p>
            <w:pPr>
              <w:rPr>
                <w:rFonts w:hint="eastAsia" w:ascii="宋体" w:hAnsi="宋体" w:cs="宋体"/>
                <w:bCs/>
                <w:sz w:val="24"/>
                <w:szCs w:val="24"/>
              </w:rPr>
            </w:pPr>
            <w:r>
              <w:rPr>
                <w:rFonts w:hint="eastAsia" w:ascii="宋体" w:hAnsi="宋体" w:cs="宋体"/>
                <w:bCs/>
                <w:sz w:val="24"/>
                <w:szCs w:val="24"/>
              </w:rPr>
              <w:t>投标文件递交时间：</w:t>
            </w:r>
            <w:r>
              <w:rPr>
                <w:rFonts w:hint="eastAsia" w:ascii="宋体" w:hAnsi="宋体" w:cs="宋体"/>
                <w:bCs/>
                <w:sz w:val="24"/>
                <w:szCs w:val="24"/>
                <w:lang w:eastAsia="zh-CN"/>
              </w:rPr>
              <w:t>2022年09月29日</w:t>
            </w:r>
            <w:r>
              <w:rPr>
                <w:rFonts w:hint="eastAsia" w:ascii="宋体" w:hAnsi="宋体" w:cs="宋体"/>
                <w:bCs/>
                <w:sz w:val="24"/>
                <w:szCs w:val="24"/>
                <w:lang w:val="en-US" w:eastAsia="zh-CN"/>
              </w:rPr>
              <w:t>10</w:t>
            </w:r>
            <w:r>
              <w:rPr>
                <w:rFonts w:hint="eastAsia" w:ascii="宋体" w:hAnsi="宋体" w:cs="宋体"/>
                <w:bCs/>
                <w:sz w:val="24"/>
                <w:szCs w:val="24"/>
              </w:rPr>
              <w:t>时</w:t>
            </w:r>
            <w:r>
              <w:rPr>
                <w:rFonts w:hint="eastAsia" w:ascii="宋体" w:hAnsi="宋体" w:cs="宋体"/>
                <w:bCs/>
                <w:sz w:val="24"/>
                <w:szCs w:val="24"/>
                <w:lang w:val="en-US" w:eastAsia="zh-CN"/>
              </w:rPr>
              <w:t>3</w:t>
            </w:r>
            <w:r>
              <w:rPr>
                <w:rFonts w:hint="eastAsia" w:ascii="宋体" w:hAnsi="宋体" w:cs="宋体"/>
                <w:bCs/>
                <w:sz w:val="24"/>
                <w:szCs w:val="24"/>
              </w:rPr>
              <w:t>0分（北京时间）</w:t>
            </w:r>
          </w:p>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cs="宋体"/>
                <w:bCs/>
                <w:sz w:val="24"/>
                <w:szCs w:val="24"/>
              </w:rPr>
              <w:t>投标文件递交地点：洛浦县公共资源交易中心（洛浦县住建局5楼）</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8"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25</w:t>
            </w:r>
          </w:p>
        </w:tc>
        <w:tc>
          <w:tcPr>
            <w:tcW w:w="1664" w:type="dxa"/>
            <w:tcBorders>
              <w:right w:val="single" w:color="auto" w:sz="4" w:space="0"/>
            </w:tcBorders>
            <w:noWrap w:val="0"/>
            <w:vAlign w:val="center"/>
          </w:tcPr>
          <w:p>
            <w:pPr>
              <w:spacing w:beforeLines="50" w:line="240" w:lineRule="auto"/>
              <w:contextualSpacing/>
              <w:jc w:val="center"/>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签字或盖章  要求</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投标文件格式规定盖单位章的页面必须盖单位章，规定法定代表人或授权委托人、项目负责人和技术负责人签字的页面必须签字。</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26</w:t>
            </w:r>
          </w:p>
        </w:tc>
        <w:tc>
          <w:tcPr>
            <w:tcW w:w="1664" w:type="dxa"/>
            <w:tcBorders>
              <w:right w:val="single" w:color="auto" w:sz="4" w:space="0"/>
            </w:tcBorders>
            <w:noWrap w:val="0"/>
            <w:vAlign w:val="center"/>
          </w:tcPr>
          <w:p>
            <w:pPr>
              <w:spacing w:beforeLines="50" w:line="360" w:lineRule="auto"/>
              <w:contextualSpacing/>
              <w:jc w:val="center"/>
              <w:rPr>
                <w:rFonts w:hint="eastAsia" w:ascii="宋体" w:hAnsi="宋体" w:eastAsia="宋体" w:cs="宋体"/>
                <w:b/>
                <w:sz w:val="24"/>
                <w:szCs w:val="24"/>
              </w:rPr>
            </w:pPr>
            <w:r>
              <w:rPr>
                <w:rFonts w:hint="eastAsia" w:ascii="宋体" w:hAnsi="宋体" w:eastAsia="宋体" w:cs="宋体"/>
                <w:kern w:val="0"/>
                <w:sz w:val="24"/>
                <w:szCs w:val="24"/>
                <w:lang w:val="en-US" w:eastAsia="zh-CN" w:bidi="ar-SA"/>
              </w:rPr>
              <w:t>投标文件份数</w:t>
            </w:r>
          </w:p>
        </w:tc>
        <w:tc>
          <w:tcPr>
            <w:tcW w:w="7541" w:type="dxa"/>
            <w:tcBorders>
              <w:left w:val="single" w:color="auto" w:sz="4" w:space="0"/>
            </w:tcBorders>
            <w:noWrap w:val="0"/>
            <w:vAlign w:val="center"/>
          </w:tcPr>
          <w:p>
            <w:pPr>
              <w:keepNext w:val="0"/>
              <w:keepLines w:val="0"/>
              <w:pageBreakBefore w:val="0"/>
              <w:kinsoku/>
              <w:wordWrap/>
              <w:overflowPunct/>
              <w:topLinePunct w:val="0"/>
              <w:autoSpaceDE/>
              <w:autoSpaceDN/>
              <w:bidi w:val="0"/>
              <w:spacing w:line="440" w:lineRule="exact"/>
              <w:ind w:firstLine="0" w:firstLineChars="0"/>
              <w:jc w:val="left"/>
              <w:textAlignment w:val="auto"/>
              <w:rPr>
                <w:rFonts w:hint="eastAsia" w:ascii="宋体" w:hAnsi="宋体" w:eastAsia="宋体" w:cs="宋体"/>
                <w:b/>
                <w:color w:val="0000FF"/>
                <w:sz w:val="24"/>
                <w:szCs w:val="24"/>
              </w:rPr>
            </w:pPr>
            <w:r>
              <w:rPr>
                <w:rFonts w:hint="eastAsia" w:ascii="宋体" w:hAnsi="宋体" w:eastAsia="宋体" w:cs="宋体"/>
                <w:b/>
                <w:color w:val="0000FF"/>
                <w:sz w:val="24"/>
                <w:szCs w:val="24"/>
              </w:rPr>
              <w:t>投标文件的数目：正本1份、副本4 份，开标一览表及投标文件电子版（U盘）各1份且单独密封，投标文件一律采用胶装不得有掉页、漏页等现象，否则作否决投标处理。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41"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27</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评标委员的组建</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color w:val="FF0000"/>
                <w:kern w:val="0"/>
                <w:sz w:val="24"/>
                <w:szCs w:val="24"/>
                <w:lang w:val="en-US" w:eastAsia="zh-CN" w:bidi="ar-SA"/>
              </w:rPr>
              <w:t>评标委员会构成</w:t>
            </w:r>
            <w:r>
              <w:rPr>
                <w:rFonts w:hint="eastAsia" w:ascii="宋体" w:hAnsi="宋体" w:cs="宋体"/>
                <w:color w:val="FF0000"/>
                <w:kern w:val="0"/>
                <w:sz w:val="24"/>
                <w:szCs w:val="24"/>
                <w:lang w:val="en-US" w:eastAsia="zh-CN" w:bidi="ar-SA"/>
              </w:rPr>
              <w:t>7</w:t>
            </w:r>
            <w:r>
              <w:rPr>
                <w:rFonts w:hint="eastAsia" w:ascii="宋体" w:hAnsi="宋体" w:eastAsia="宋体" w:cs="宋体"/>
                <w:color w:val="FF0000"/>
                <w:kern w:val="0"/>
                <w:sz w:val="24"/>
                <w:szCs w:val="24"/>
                <w:lang w:val="en-US" w:eastAsia="zh-CN" w:bidi="ar-SA"/>
              </w:rPr>
              <w:t>人组成</w:t>
            </w:r>
            <w:r>
              <w:rPr>
                <w:rFonts w:hint="eastAsia" w:ascii="宋体" w:hAnsi="宋体" w:cs="宋体"/>
                <w:color w:val="FF0000"/>
                <w:kern w:val="0"/>
                <w:sz w:val="24"/>
                <w:szCs w:val="24"/>
                <w:lang w:val="en-US" w:eastAsia="zh-CN" w:bidi="ar-SA"/>
              </w:rPr>
              <w:t>（评审专家7名）</w:t>
            </w:r>
            <w:r>
              <w:rPr>
                <w:rFonts w:hint="eastAsia" w:ascii="宋体" w:hAnsi="宋体" w:eastAsia="宋体" w:cs="宋体"/>
                <w:color w:val="FF0000"/>
                <w:kern w:val="0"/>
                <w:sz w:val="24"/>
                <w:szCs w:val="24"/>
                <w:lang w:val="en-US" w:eastAsia="zh-CN" w:bidi="ar-SA"/>
              </w:rPr>
              <w:t>，评</w:t>
            </w:r>
            <w:r>
              <w:rPr>
                <w:rFonts w:hint="eastAsia" w:ascii="宋体" w:hAnsi="宋体" w:cs="宋体"/>
                <w:color w:val="FF0000"/>
                <w:kern w:val="0"/>
                <w:sz w:val="24"/>
                <w:szCs w:val="24"/>
                <w:lang w:val="en-US" w:eastAsia="zh-CN" w:bidi="ar-SA"/>
              </w:rPr>
              <w:t>审</w:t>
            </w:r>
            <w:r>
              <w:rPr>
                <w:rFonts w:hint="eastAsia" w:ascii="宋体" w:hAnsi="宋体" w:eastAsia="宋体" w:cs="宋体"/>
                <w:color w:val="FF0000"/>
                <w:kern w:val="0"/>
                <w:sz w:val="24"/>
                <w:szCs w:val="24"/>
                <w:lang w:val="en-US" w:eastAsia="zh-CN" w:bidi="ar-SA"/>
              </w:rPr>
              <w:t>专家确定方式：由招标代理在开标前48小时在政采云专家中随机抽取此次评标专家。</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25"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2</w:t>
            </w:r>
            <w:r>
              <w:rPr>
                <w:rFonts w:hint="eastAsia" w:ascii="宋体" w:hAnsi="宋体" w:cs="宋体"/>
                <w:color w:val="000000"/>
                <w:sz w:val="24"/>
                <w:szCs w:val="24"/>
                <w:lang w:val="en-US" w:eastAsia="zh-CN"/>
              </w:rPr>
              <w:t>8</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招标代理服务费</w:t>
            </w:r>
          </w:p>
        </w:tc>
        <w:tc>
          <w:tcPr>
            <w:tcW w:w="7541" w:type="dxa"/>
            <w:tcBorders>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由中标单位领取中标通知书时一次性支付。</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370" w:hRule="atLeast"/>
          <w:jc w:val="center"/>
        </w:trPr>
        <w:tc>
          <w:tcPr>
            <w:tcW w:w="823" w:type="dxa"/>
            <w:tcBorders>
              <w:top w:val="single" w:color="auto" w:sz="4" w:space="0"/>
            </w:tcBorders>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eastAsia" w:ascii="宋体" w:hAnsi="宋体" w:eastAsia="宋体" w:cs="宋体"/>
                <w:color w:val="000000"/>
                <w:sz w:val="24"/>
                <w:szCs w:val="24"/>
                <w:lang w:eastAsia="zh-CN"/>
              </w:rPr>
            </w:pPr>
            <w:r>
              <w:rPr>
                <w:rFonts w:hint="eastAsia" w:ascii="宋体" w:hAnsi="宋体" w:eastAsia="宋体" w:cs="宋体"/>
                <w:color w:val="000000"/>
                <w:sz w:val="24"/>
                <w:szCs w:val="24"/>
              </w:rPr>
              <w:t>2</w:t>
            </w:r>
            <w:r>
              <w:rPr>
                <w:rFonts w:hint="eastAsia" w:ascii="宋体" w:hAnsi="宋体" w:cs="宋体"/>
                <w:color w:val="000000"/>
                <w:sz w:val="24"/>
                <w:szCs w:val="24"/>
                <w:lang w:val="en-US" w:eastAsia="zh-CN"/>
              </w:rPr>
              <w:t>9</w:t>
            </w:r>
          </w:p>
        </w:tc>
        <w:tc>
          <w:tcPr>
            <w:tcW w:w="1664" w:type="dxa"/>
            <w:tcBorders>
              <w:top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left"/>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履约保证金</w:t>
            </w:r>
          </w:p>
        </w:tc>
        <w:tc>
          <w:tcPr>
            <w:tcW w:w="7541" w:type="dxa"/>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履约担保 《中华人民共和国政府采购法实施条例》第四十八条履约保证金的数额不得超过政府采购合同金额的10%。（本项目需缴纳10%）中标人与招标人签订合同前提交履约保证金，如中标人未按招标文件规定的工期供货，则扣除履约保证金。</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1917" w:hRule="atLeast"/>
          <w:jc w:val="center"/>
        </w:trPr>
        <w:tc>
          <w:tcPr>
            <w:tcW w:w="823" w:type="dxa"/>
            <w:tcBorders>
              <w:top w:val="single" w:color="auto" w:sz="4" w:space="0"/>
            </w:tcBorders>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30</w:t>
            </w:r>
          </w:p>
        </w:tc>
        <w:tc>
          <w:tcPr>
            <w:tcW w:w="1664" w:type="dxa"/>
            <w:tcBorders>
              <w:top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政府采购政策支持</w:t>
            </w:r>
          </w:p>
        </w:tc>
        <w:tc>
          <w:tcPr>
            <w:tcW w:w="7541" w:type="dxa"/>
            <w:tcBorders>
              <w:top w:val="single" w:color="auto" w:sz="4" w:space="0"/>
              <w:left w:val="single" w:color="auto" w:sz="4" w:space="0"/>
            </w:tcBorders>
            <w:noWrap w:val="0"/>
            <w:vAlign w:val="top"/>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根据财政部、工业和信息化部关于印发《政府采购促进中小企业发展暂行办法》的通知(财库[2011]181号)，投标人及其所投产品的制造商均属于《工业和信息化部、国家统计局、国家发展和改革委员会、财政部关于印发中小企业划型标准规定的通知》(工信部联企业[2011]300号)中规定的小型、微型企业标准的，按招标文件格式提供《中小企业声明函》等政府采购政策。 《财政部发展改革委 生态环境部 市场监管总局 关于调整优化节能产品、环境标志产品政府采购执行机制的通知》（财库〔2019〕9号）。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36" w:hRule="atLeast"/>
          <w:jc w:val="center"/>
        </w:trPr>
        <w:tc>
          <w:tcPr>
            <w:tcW w:w="823" w:type="dxa"/>
            <w:noWrap w:val="0"/>
            <w:vAlign w:val="center"/>
          </w:tcPr>
          <w:p>
            <w:pPr>
              <w:keepNext w:val="0"/>
              <w:keepLines w:val="0"/>
              <w:pageBreakBefore w:val="0"/>
              <w:kinsoku/>
              <w:wordWrap/>
              <w:overflowPunct/>
              <w:topLinePunct w:val="0"/>
              <w:autoSpaceDE/>
              <w:autoSpaceDN/>
              <w:bidi w:val="0"/>
              <w:spacing w:line="360" w:lineRule="exact"/>
              <w:ind w:firstLine="0" w:firstLineChars="0"/>
              <w:jc w:val="center"/>
              <w:textAlignment w:val="auto"/>
              <w:rPr>
                <w:rFonts w:hint="default" w:ascii="宋体" w:hAnsi="宋体" w:eastAsia="宋体" w:cs="宋体"/>
                <w:color w:val="000000"/>
                <w:sz w:val="24"/>
                <w:szCs w:val="24"/>
                <w:lang w:val="en-US" w:eastAsia="zh-CN"/>
              </w:rPr>
            </w:pPr>
            <w:r>
              <w:rPr>
                <w:rFonts w:hint="eastAsia" w:ascii="宋体" w:hAnsi="宋体" w:cs="宋体"/>
                <w:color w:val="000000"/>
                <w:sz w:val="24"/>
                <w:szCs w:val="24"/>
                <w:lang w:val="en-US" w:eastAsia="zh-CN"/>
              </w:rPr>
              <w:t>31</w:t>
            </w:r>
          </w:p>
        </w:tc>
        <w:tc>
          <w:tcPr>
            <w:tcW w:w="1664" w:type="dxa"/>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textAlignment w:val="auto"/>
              <w:rPr>
                <w:rFonts w:hint="eastAsia" w:ascii="宋体" w:hAnsi="宋体" w:eastAsia="宋体" w:cs="宋体"/>
                <w:kern w:val="0"/>
                <w:sz w:val="24"/>
                <w:szCs w:val="24"/>
                <w:lang w:val="en-US" w:eastAsia="zh-CN" w:bidi="ar-SA"/>
              </w:rPr>
            </w:pPr>
            <w:r>
              <w:rPr>
                <w:rFonts w:hint="eastAsia" w:ascii="宋体" w:hAnsi="宋体" w:eastAsia="宋体" w:cs="宋体"/>
                <w:kern w:val="0"/>
                <w:sz w:val="24"/>
                <w:szCs w:val="24"/>
                <w:lang w:val="en-US" w:eastAsia="zh-CN" w:bidi="ar-SA"/>
              </w:rPr>
              <w:t>其他说明</w:t>
            </w:r>
          </w:p>
        </w:tc>
        <w:tc>
          <w:tcPr>
            <w:tcW w:w="7541" w:type="dxa"/>
            <w:tcBorders>
              <w:left w:val="single" w:color="auto" w:sz="4" w:space="0"/>
            </w:tcBorders>
            <w:noWrap w:val="0"/>
            <w:vAlign w:val="center"/>
          </w:tcPr>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特别提醒：</w:t>
            </w:r>
          </w:p>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1、所有投标人的报价高于采购预算额度视为无效报价（即作否决投标处理）。</w:t>
            </w:r>
          </w:p>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2、相同品牌产品且通过资格审查、符合性审查的不同投标人参加同一合同项下投标的，按一家投标人计算，按评审后得分由高到低顺序排列。得分相同的，按投标报价由低到高顺序排列，得分与投标报价均相同的，按技术指标优劣排列。综合打分排名第一的供应商为成交候选人。</w:t>
            </w:r>
          </w:p>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3、所有投标人的报价明显低于其他投标报价或者在设有标底时明显低于标底，使得其投标报价可能低于其个别成本的，应当要求该投标人作出书面说明并提供相应证明材料。投标人不能合理或者不能提供相应证明材料的，由评标委员会认定该投标人以低于成本报价竞标，其投标视为无效标处理。</w:t>
            </w:r>
          </w:p>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lang w:val="en-US" w:eastAsia="zh-CN"/>
              </w:rPr>
            </w:pPr>
            <w:r>
              <w:rPr>
                <w:rFonts w:hint="eastAsia" w:ascii="宋体" w:hAnsi="宋体" w:eastAsia="宋体" w:cs="宋体"/>
                <w:b/>
                <w:bCs/>
                <w:color w:val="000000"/>
                <w:sz w:val="24"/>
                <w:szCs w:val="24"/>
                <w:lang w:val="en-US" w:eastAsia="zh-CN"/>
              </w:rPr>
              <w:t>4、更正补充公告请自行登录新疆政府采购网查看下载。</w:t>
            </w:r>
          </w:p>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default"/>
                <w:lang w:val="en-US" w:eastAsia="zh-CN"/>
              </w:rPr>
            </w:pPr>
            <w:r>
              <w:rPr>
                <w:rFonts w:hint="eastAsia" w:ascii="宋体" w:hAnsi="宋体" w:eastAsia="宋体" w:cs="宋体"/>
                <w:b/>
                <w:bCs/>
                <w:color w:val="000000"/>
                <w:sz w:val="24"/>
                <w:szCs w:val="24"/>
                <w:lang w:val="en-US" w:eastAsia="zh-CN"/>
              </w:rPr>
              <w:t>5、本项目现场递交文件，新冠肺炎疫情防控期间严格遵守各项疫情防控措施，自觉接受体温检测及相关防疫检查，开标期间必须佩戴口罩，保持安全距离就坐。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jc w:val="center"/>
        </w:trPr>
        <w:tc>
          <w:tcPr>
            <w:tcW w:w="10028" w:type="dxa"/>
            <w:gridSpan w:val="3"/>
            <w:noWrap w:val="0"/>
            <w:vAlign w:val="top"/>
          </w:tcPr>
          <w:p>
            <w:pPr>
              <w:keepNext w:val="0"/>
              <w:keepLines w:val="0"/>
              <w:pageBreakBefore w:val="0"/>
              <w:kinsoku/>
              <w:wordWrap/>
              <w:overflowPunct/>
              <w:topLinePunct w:val="0"/>
              <w:autoSpaceDE/>
              <w:autoSpaceDN/>
              <w:bidi w:val="0"/>
              <w:spacing w:line="360" w:lineRule="auto"/>
              <w:ind w:left="105" w:leftChars="50" w:firstLine="0" w:firstLineChars="0"/>
              <w:jc w:val="left"/>
              <w:textAlignment w:val="auto"/>
              <w:rPr>
                <w:rFonts w:hint="eastAsia" w:ascii="宋体" w:hAnsi="宋体" w:eastAsia="宋体" w:cs="宋体"/>
                <w:b/>
                <w:bCs/>
                <w:color w:val="000000"/>
                <w:sz w:val="24"/>
                <w:szCs w:val="24"/>
              </w:rPr>
            </w:pPr>
            <w:r>
              <w:rPr>
                <w:rFonts w:hint="eastAsia" w:ascii="宋体" w:hAnsi="宋体" w:eastAsia="宋体" w:cs="宋体"/>
                <w:b/>
                <w:bCs/>
                <w:color w:val="000000"/>
                <w:sz w:val="24"/>
                <w:szCs w:val="24"/>
              </w:rPr>
              <w:t>供应商必须保证货物的品质满足技术要求，若用户在货物使用过程中发现货物由于技术要求不能满足用户要求，则用户有权要求该供应商更换为合格产品，若供应商不能在用户规定的合理期限内予以更换或更换的货物仍不能达到用户要求，则用户有权终止合同，并向该供应商追索由此给用户造成的一切损失。</w:t>
            </w:r>
          </w:p>
        </w:tc>
      </w:tr>
    </w:tbl>
    <w:p>
      <w:pPr>
        <w:jc w:val="center"/>
        <w:outlineLvl w:val="1"/>
        <w:rPr>
          <w:rFonts w:hint="eastAsia" w:ascii="宋体" w:hAnsi="宋体" w:cs="宋体"/>
          <w:b/>
          <w:bCs/>
          <w:color w:val="000000"/>
          <w:sz w:val="24"/>
        </w:rPr>
      </w:pPr>
      <w:bookmarkStart w:id="58" w:name="_Toc15784"/>
      <w:bookmarkStart w:id="59" w:name="_Toc18783"/>
      <w:bookmarkStart w:id="60" w:name="_Toc17382"/>
      <w:bookmarkStart w:id="61" w:name="_Toc13745"/>
    </w:p>
    <w:p>
      <w:pPr>
        <w:jc w:val="center"/>
        <w:outlineLvl w:val="1"/>
        <w:rPr>
          <w:rFonts w:hint="eastAsia" w:ascii="宋体" w:hAnsi="宋体" w:cs="宋体"/>
          <w:b/>
          <w:bCs/>
          <w:color w:val="000000"/>
          <w:sz w:val="24"/>
        </w:rPr>
      </w:pPr>
    </w:p>
    <w:p>
      <w:pPr>
        <w:jc w:val="center"/>
        <w:outlineLvl w:val="1"/>
        <w:rPr>
          <w:rFonts w:hint="eastAsia" w:ascii="宋体" w:hAnsi="宋体" w:cs="宋体"/>
          <w:b/>
          <w:bCs/>
          <w:color w:val="000000"/>
          <w:sz w:val="24"/>
        </w:rPr>
        <w:sectPr>
          <w:pgSz w:w="11907" w:h="16840"/>
          <w:pgMar w:top="1021" w:right="1287" w:bottom="1021" w:left="1247" w:header="851" w:footer="992" w:gutter="0"/>
          <w:pgNumType w:fmt="decimal"/>
          <w:cols w:space="0" w:num="1"/>
          <w:docGrid w:type="lines" w:linePitch="334" w:charSpace="0"/>
        </w:sectPr>
      </w:pPr>
    </w:p>
    <w:p>
      <w:pPr>
        <w:jc w:val="center"/>
        <w:outlineLvl w:val="1"/>
        <w:rPr>
          <w:rFonts w:ascii="宋体" w:hAnsi="宋体" w:cs="宋体"/>
          <w:b/>
          <w:bCs/>
          <w:color w:val="000000"/>
          <w:sz w:val="24"/>
        </w:rPr>
      </w:pPr>
      <w:r>
        <w:rPr>
          <w:rFonts w:hint="eastAsia" w:ascii="宋体" w:hAnsi="宋体" w:cs="宋体"/>
          <w:b/>
          <w:bCs/>
          <w:color w:val="000000"/>
          <w:sz w:val="24"/>
        </w:rPr>
        <w:t>总则</w:t>
      </w:r>
      <w:bookmarkEnd w:id="58"/>
      <w:bookmarkEnd w:id="59"/>
      <w:bookmarkEnd w:id="60"/>
      <w:bookmarkEnd w:id="61"/>
    </w:p>
    <w:p>
      <w:pPr>
        <w:rPr>
          <w:rFonts w:hint="eastAsia" w:ascii="宋体" w:hAnsi="宋体" w:cs="宋体"/>
          <w:b/>
          <w:bCs/>
          <w:color w:val="000000"/>
          <w:sz w:val="24"/>
        </w:rPr>
      </w:pPr>
      <w:r>
        <w:rPr>
          <w:rFonts w:hint="eastAsia" w:ascii="宋体" w:hAnsi="宋体" w:cs="宋体"/>
          <w:b/>
          <w:bCs/>
          <w:color w:val="000000"/>
          <w:sz w:val="24"/>
        </w:rPr>
        <w:t>（一） 适用范围</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本招标文件适用于</w:t>
      </w:r>
      <w:r>
        <w:rPr>
          <w:rFonts w:hint="eastAsia" w:ascii="宋体" w:hAnsi="宋体" w:cs="宋体"/>
          <w:kern w:val="0"/>
          <w:sz w:val="20"/>
          <w:szCs w:val="20"/>
          <w:lang w:val="zh-CN" w:eastAsia="zh-CN" w:bidi="ar-SA"/>
        </w:rPr>
        <w:t xml:space="preserve">和田地区洛浦县新城区供排水管网及附属配套建设项目（智慧水务-计量设施）  </w:t>
      </w:r>
      <w:r>
        <w:rPr>
          <w:rFonts w:hint="eastAsia" w:ascii="宋体" w:hAnsi="宋体" w:eastAsia="宋体" w:cs="宋体"/>
          <w:kern w:val="0"/>
          <w:sz w:val="20"/>
          <w:szCs w:val="20"/>
          <w:lang w:val="en-US" w:eastAsia="zh-CN" w:bidi="ar-SA"/>
        </w:rPr>
        <w:t>投标、评标、定标、验收、合同履约、付款等行为（法律、法规另有规定的，从其规定）。</w:t>
      </w:r>
    </w:p>
    <w:p>
      <w:pPr>
        <w:rPr>
          <w:rFonts w:hint="eastAsia" w:ascii="宋体" w:hAnsi="宋体" w:cs="宋体"/>
          <w:b/>
          <w:bCs/>
          <w:color w:val="000000"/>
          <w:sz w:val="24"/>
        </w:rPr>
      </w:pPr>
      <w:r>
        <w:rPr>
          <w:rFonts w:hint="eastAsia" w:ascii="宋体" w:hAnsi="宋体" w:cs="宋体"/>
          <w:b/>
          <w:bCs/>
          <w:color w:val="000000"/>
          <w:sz w:val="24"/>
        </w:rPr>
        <w:t>（二）定义</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1.招标采购单位系指组织本次招标的代理机构（“招标人”）和采购单位。</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2.“投标人”系指向招标方提交投标文件的单位或个人。</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3.“产品”系指供方按招标文件规定，须向招标人提供的一切设备、保险、税金、备品备件、工具、手册及其它有关技术资料和材料。</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4.“服务”系指招标文件规定投标人须承担的技术协助、校准、培训、技术指导以及其他类似的义务。</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5.“项目”系指投标人按招标文件规定向招标人提供的产品和服务。</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6.“书面形式”包括信函、传真、电报等。</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7.“▲”系指实质性要求条款。</w:t>
      </w:r>
    </w:p>
    <w:p>
      <w:pPr>
        <w:spacing w:after="156" w:afterLines="50"/>
        <w:rPr>
          <w:rFonts w:hint="eastAsia" w:ascii="宋体" w:hAnsi="宋体" w:cs="宋体"/>
          <w:b/>
          <w:bCs/>
          <w:color w:val="000000"/>
          <w:sz w:val="24"/>
        </w:rPr>
      </w:pPr>
      <w:r>
        <w:rPr>
          <w:rFonts w:hint="eastAsia" w:ascii="宋体" w:hAnsi="宋体" w:cs="宋体"/>
          <w:b/>
          <w:bCs/>
          <w:color w:val="000000"/>
          <w:sz w:val="24"/>
        </w:rPr>
        <w:t xml:space="preserve">    （三）招标方式</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本次招标采用公开招标方式进行。</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（四）投标报名</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 xml:space="preserve">供应商登陆政采云平台https://www.zcygov.cn/在线申请获取采购文件（进入“项目采购”应用，在获取采购文件菜单中选择项目，申请获取采购文件）。   </w:t>
      </w:r>
    </w:p>
    <w:p>
      <w:pPr>
        <w:snapToGrid w:val="0"/>
        <w:spacing w:after="156" w:afterLines="50" w:line="360" w:lineRule="auto"/>
        <w:ind w:firstLine="482" w:firstLineChars="200"/>
        <w:jc w:val="left"/>
        <w:rPr>
          <w:rFonts w:hint="eastAsia" w:ascii="宋体" w:hAnsi="宋体" w:cs="宋体"/>
          <w:b/>
          <w:bCs/>
          <w:color w:val="000000"/>
          <w:sz w:val="24"/>
        </w:rPr>
      </w:pPr>
      <w:r>
        <w:rPr>
          <w:rFonts w:hint="eastAsia" w:ascii="宋体" w:hAnsi="宋体" w:cs="宋体"/>
          <w:b/>
          <w:bCs/>
          <w:color w:val="000000"/>
          <w:sz w:val="24"/>
        </w:rPr>
        <w:t>（五）投标费用</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不论投标结果如何，投标人均应自行承担所有与投标有关的全部费用。</w:t>
      </w:r>
    </w:p>
    <w:p>
      <w:pPr>
        <w:spacing w:after="156" w:afterLines="50"/>
        <w:rPr>
          <w:rFonts w:hint="eastAsia" w:ascii="宋体" w:hAnsi="宋体" w:cs="宋体"/>
          <w:b/>
          <w:bCs/>
          <w:color w:val="000000"/>
          <w:sz w:val="24"/>
        </w:rPr>
      </w:pPr>
      <w:r>
        <w:rPr>
          <w:rFonts w:hint="eastAsia" w:ascii="宋体" w:hAnsi="宋体" w:cs="宋体"/>
          <w:b/>
          <w:bCs/>
          <w:color w:val="000000"/>
          <w:sz w:val="24"/>
        </w:rPr>
        <w:t xml:space="preserve">    （六）联合体投标</w:t>
      </w:r>
    </w:p>
    <w:p>
      <w:pPr>
        <w:keepNext w:val="0"/>
        <w:keepLines w:val="0"/>
        <w:pageBreakBefore w:val="0"/>
        <w:widowControl w:val="0"/>
        <w:kinsoku/>
        <w:wordWrap/>
        <w:overflowPunct/>
        <w:topLinePunct w:val="0"/>
        <w:autoSpaceDE/>
        <w:autoSpaceDN/>
        <w:bidi w:val="0"/>
        <w:adjustRightInd w:val="0"/>
        <w:snapToGrid w:val="0"/>
        <w:spacing w:line="240" w:lineRule="auto"/>
        <w:ind w:firstLine="400" w:firstLineChars="200"/>
        <w:textAlignment w:val="auto"/>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本项目不接受联合体投标。</w:t>
      </w:r>
    </w:p>
    <w:p>
      <w:pPr>
        <w:spacing w:after="156" w:afterLines="50"/>
        <w:rPr>
          <w:rFonts w:hint="eastAsia" w:ascii="宋体" w:hAnsi="宋体" w:cs="宋体"/>
          <w:b/>
          <w:bCs/>
          <w:color w:val="000000"/>
        </w:rPr>
      </w:pPr>
      <w:r>
        <w:rPr>
          <w:rFonts w:hint="eastAsia" w:ascii="宋体" w:hAnsi="宋体" w:cs="宋体"/>
          <w:b/>
          <w:bCs/>
          <w:color w:val="000000"/>
        </w:rPr>
        <w:t xml:space="preserve">    （</w:t>
      </w:r>
      <w:r>
        <w:rPr>
          <w:rFonts w:hint="eastAsia" w:ascii="宋体" w:hAnsi="宋体" w:cs="宋体"/>
          <w:b/>
          <w:bCs/>
          <w:color w:val="000000"/>
          <w:sz w:val="24"/>
        </w:rPr>
        <w:t>七）转包与分包</w:t>
      </w:r>
    </w:p>
    <w:p>
      <w:pPr>
        <w:spacing w:after="156" w:afterLines="50"/>
        <w:ind w:firstLine="422" w:firstLineChars="200"/>
        <w:rPr>
          <w:rFonts w:hint="eastAsia" w:ascii="宋体" w:hAnsi="宋体" w:cs="宋体"/>
          <w:b/>
          <w:bCs/>
          <w:color w:val="000000"/>
        </w:rPr>
      </w:pPr>
      <w:r>
        <w:rPr>
          <w:rFonts w:hint="eastAsia" w:ascii="宋体" w:hAnsi="宋体" w:cs="宋体"/>
          <w:b/>
          <w:bCs/>
          <w:color w:val="000000"/>
        </w:rPr>
        <w:t>1.本项目不允许转包。</w:t>
      </w:r>
    </w:p>
    <w:p>
      <w:pPr>
        <w:spacing w:after="156" w:afterLines="50"/>
        <w:ind w:firstLine="422" w:firstLineChars="200"/>
        <w:rPr>
          <w:rFonts w:hint="eastAsia" w:ascii="宋体" w:hAnsi="宋体" w:cs="宋体"/>
          <w:b/>
          <w:bCs/>
          <w:color w:val="000000"/>
        </w:rPr>
      </w:pPr>
      <w:r>
        <w:rPr>
          <w:rFonts w:hint="eastAsia" w:ascii="宋体" w:hAnsi="宋体" w:cs="宋体"/>
          <w:b/>
          <w:bCs/>
          <w:color w:val="000000"/>
        </w:rPr>
        <w:t>2.本项目不可以分包。</w:t>
      </w:r>
    </w:p>
    <w:p>
      <w:pPr>
        <w:spacing w:after="156" w:afterLines="50"/>
        <w:rPr>
          <w:rFonts w:hint="eastAsia" w:ascii="宋体" w:hAnsi="宋体" w:cs="宋体"/>
          <w:b/>
          <w:bCs/>
          <w:color w:val="000000"/>
        </w:rPr>
      </w:pPr>
      <w:r>
        <w:rPr>
          <w:rFonts w:hint="eastAsia" w:ascii="宋体" w:hAnsi="宋体" w:cs="宋体"/>
          <w:b/>
          <w:bCs/>
          <w:color w:val="000000"/>
        </w:rPr>
        <w:t xml:space="preserve">    3、投标人应仔细阅读招标文件的所有内容，按照招标文件的要求提交投标文件，并对所提供的全部资料的真实性承担法律责任。</w:t>
      </w:r>
    </w:p>
    <w:p>
      <w:pPr>
        <w:spacing w:after="156" w:afterLines="50"/>
        <w:ind w:firstLine="422" w:firstLineChars="200"/>
        <w:rPr>
          <w:rFonts w:hint="eastAsia" w:ascii="宋体" w:hAnsi="宋体" w:cs="宋体"/>
          <w:b/>
          <w:bCs/>
          <w:color w:val="000000"/>
        </w:rPr>
      </w:pPr>
      <w:r>
        <w:rPr>
          <w:rFonts w:hint="eastAsia" w:ascii="宋体" w:hAnsi="宋体" w:cs="宋体"/>
          <w:b/>
          <w:bCs/>
          <w:color w:val="000000"/>
        </w:rPr>
        <w:t>4、投标人在投标活动中提供任何虚假材料,其投标无效，并报监管部门查处；中标后发现的,中标人须依照《中华人民共和国消费者权益保护法》第49条之规定双倍赔偿招标人，且民事赔偿并不免除违法投标人的行政与刑事责任。</w:t>
      </w:r>
    </w:p>
    <w:p>
      <w:pPr>
        <w:spacing w:after="156" w:afterLines="50"/>
        <w:rPr>
          <w:rFonts w:hint="eastAsia" w:ascii="宋体" w:hAnsi="宋体" w:cs="宋体"/>
          <w:b/>
          <w:bCs/>
          <w:color w:val="000000"/>
          <w:sz w:val="24"/>
        </w:rPr>
      </w:pPr>
      <w:r>
        <w:rPr>
          <w:rFonts w:hint="eastAsia" w:ascii="宋体" w:hAnsi="宋体" w:cs="宋体"/>
          <w:b/>
          <w:bCs/>
          <w:color w:val="000000"/>
          <w:sz w:val="24"/>
        </w:rPr>
        <w:t xml:space="preserve">    （八）质疑和投诉</w:t>
      </w:r>
    </w:p>
    <w:p>
      <w:pPr>
        <w:pStyle w:val="11"/>
        <w:snapToGrid w:val="0"/>
        <w:spacing w:line="360" w:lineRule="auto"/>
        <w:ind w:firstLine="400" w:firstLineChars="200"/>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1.投标人认为招标文件、招标过程或中标结果使自己的合法权益受到损害的，应当在知道或者应知其权益受到损害之日起七个工作日内，以书面形式向招标人、招标代理机构提出质疑。投标人对招标采购单位的质疑答复不满意或者招标采购单位未在规定时间内作出答复的，可以在答复期满后十五个工作日内向招标人投诉。</w:t>
      </w:r>
    </w:p>
    <w:p>
      <w:pPr>
        <w:pStyle w:val="11"/>
        <w:snapToGrid w:val="0"/>
        <w:spacing w:line="360" w:lineRule="auto"/>
        <w:ind w:firstLine="400" w:firstLineChars="200"/>
        <w:rPr>
          <w:rFonts w:hint="eastAsia" w:ascii="宋体" w:hAnsi="宋体" w:eastAsia="宋体" w:cs="宋体"/>
          <w:kern w:val="0"/>
          <w:sz w:val="20"/>
          <w:szCs w:val="20"/>
          <w:lang w:val="en-US" w:eastAsia="zh-CN" w:bidi="ar-SA"/>
        </w:rPr>
      </w:pPr>
      <w:r>
        <w:rPr>
          <w:rFonts w:hint="eastAsia" w:ascii="宋体" w:hAnsi="宋体" w:eastAsia="宋体" w:cs="宋体"/>
          <w:kern w:val="0"/>
          <w:sz w:val="20"/>
          <w:szCs w:val="20"/>
          <w:lang w:val="en-US" w:eastAsia="zh-CN" w:bidi="ar-SA"/>
        </w:rPr>
        <w:t>2.质疑、投诉应当采用书面形式，质疑书、投诉书均应明确阐述招标文件、招标过程或中标结果中使自己合法权益受到损害的实质性内容，提供相关事实、依据和证据及其来源或线索，便于有关单位调查、答复和处理。</w:t>
      </w:r>
    </w:p>
    <w:p>
      <w:pPr>
        <w:pStyle w:val="4"/>
        <w:numPr>
          <w:ilvl w:val="1"/>
          <w:numId w:val="0"/>
        </w:numPr>
        <w:jc w:val="center"/>
        <w:rPr>
          <w:rFonts w:ascii="宋体" w:hAnsi="宋体" w:cs="宋体"/>
          <w:color w:val="auto"/>
          <w:sz w:val="28"/>
          <w:highlight w:val="none"/>
        </w:rPr>
      </w:pPr>
      <w:bookmarkStart w:id="62" w:name="_Toc5675"/>
      <w:bookmarkStart w:id="63" w:name="_Toc28886"/>
      <w:bookmarkStart w:id="64" w:name="_Toc12428"/>
      <w:bookmarkStart w:id="65" w:name="_Toc8265"/>
      <w:bookmarkStart w:id="66" w:name="_Toc32728"/>
      <w:bookmarkStart w:id="67" w:name="_Toc521014777"/>
      <w:bookmarkStart w:id="68" w:name="_Toc28270"/>
      <w:bookmarkStart w:id="69" w:name="_Toc503212209"/>
      <w:bookmarkStart w:id="70" w:name="_Toc30350"/>
      <w:bookmarkStart w:id="71" w:name="_Toc2760"/>
      <w:bookmarkStart w:id="72" w:name="_Toc32144"/>
      <w:r>
        <w:rPr>
          <w:rFonts w:hint="eastAsia" w:ascii="宋体" w:hAnsi="宋体" w:cs="宋体"/>
          <w:color w:val="auto"/>
          <w:sz w:val="28"/>
          <w:highlight w:val="none"/>
          <w:lang w:val="en-US" w:eastAsia="zh-CN"/>
        </w:rPr>
        <w:t>一  、</w:t>
      </w:r>
      <w:r>
        <w:rPr>
          <w:rFonts w:hint="eastAsia" w:ascii="宋体" w:hAnsi="宋体" w:cs="宋体"/>
          <w:color w:val="auto"/>
          <w:sz w:val="28"/>
          <w:highlight w:val="none"/>
        </w:rPr>
        <w:t>招标文件</w:t>
      </w:r>
      <w:bookmarkEnd w:id="62"/>
      <w:bookmarkEnd w:id="63"/>
      <w:bookmarkEnd w:id="64"/>
    </w:p>
    <w:p>
      <w:pPr>
        <w:spacing w:line="360" w:lineRule="auto"/>
        <w:ind w:firstLine="422" w:firstLineChars="2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一</w:t>
      </w:r>
      <w:r>
        <w:rPr>
          <w:rFonts w:hint="eastAsia" w:ascii="宋体" w:hAnsi="宋体" w:cs="宋体"/>
          <w:b/>
          <w:color w:val="auto"/>
          <w:highlight w:val="none"/>
          <w:lang w:eastAsia="zh-CN"/>
        </w:rPr>
        <w:t>）</w:t>
      </w:r>
      <w:r>
        <w:rPr>
          <w:rFonts w:hint="eastAsia" w:ascii="宋体" w:hAnsi="宋体" w:cs="宋体"/>
          <w:b/>
          <w:color w:val="auto"/>
          <w:highlight w:val="none"/>
        </w:rPr>
        <w:t>招标文件</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 xml:space="preserve">1 </w:t>
      </w:r>
      <w:r>
        <w:rPr>
          <w:rFonts w:hint="eastAsia" w:ascii="宋体" w:hAnsi="宋体" w:cs="宋体"/>
          <w:color w:val="auto"/>
          <w:highlight w:val="none"/>
        </w:rPr>
        <w:t>招标文件用以阐明所招标的内容，招标投标程序及合同条款，包括：</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投标邀请</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投标人须知</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评标程序、评标方法和评标标准</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采购需求</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拟签订的合同文本</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投标文件格式</w:t>
      </w:r>
    </w:p>
    <w:p>
      <w:pPr>
        <w:adjustRightInd w:val="0"/>
        <w:snapToGrid w:val="0"/>
        <w:spacing w:line="360" w:lineRule="auto"/>
        <w:ind w:firstLine="560" w:firstLineChars="200"/>
        <w:rPr>
          <w:rFonts w:hint="eastAsia" w:ascii="宋体" w:hAnsi="宋体" w:cs="宋体"/>
          <w:color w:val="000000"/>
          <w:sz w:val="28"/>
          <w:szCs w:val="28"/>
        </w:rPr>
      </w:pPr>
      <w:r>
        <w:rPr>
          <w:rFonts w:hint="eastAsia" w:ascii="宋体" w:hAnsi="宋体" w:cs="宋体"/>
          <w:color w:val="000000"/>
          <w:sz w:val="28"/>
          <w:szCs w:val="28"/>
        </w:rPr>
        <w:t>2投标人应仔细阅读采购文件中的所有内容。招标机构将拒绝未按采购文件的要求提供全部资料或提交的投标文件未对采购文件作出实质性响应的投标。</w:t>
      </w:r>
    </w:p>
    <w:p>
      <w:pPr>
        <w:spacing w:line="360" w:lineRule="auto"/>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二</w:t>
      </w:r>
      <w:r>
        <w:rPr>
          <w:rFonts w:hint="eastAsia" w:ascii="宋体" w:hAnsi="宋体" w:cs="宋体"/>
          <w:b/>
          <w:color w:val="auto"/>
          <w:highlight w:val="none"/>
          <w:lang w:eastAsia="zh-CN"/>
        </w:rPr>
        <w:t>）</w:t>
      </w:r>
      <w:r>
        <w:rPr>
          <w:rFonts w:hint="eastAsia" w:ascii="宋体" w:hAnsi="宋体" w:cs="宋体"/>
          <w:b/>
          <w:color w:val="auto"/>
          <w:highlight w:val="none"/>
        </w:rPr>
        <w:t>招标文件的澄清</w:t>
      </w:r>
    </w:p>
    <w:p>
      <w:pPr>
        <w:spacing w:line="360" w:lineRule="auto"/>
        <w:ind w:firstLine="422" w:firstLineChars="2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color w:val="auto"/>
          <w:highlight w:val="none"/>
        </w:rPr>
        <w:t>1</w:t>
      </w:r>
      <w:r>
        <w:rPr>
          <w:rFonts w:hint="eastAsia" w:asciiTheme="minorEastAsia" w:hAnsiTheme="minorEastAsia" w:eastAsiaTheme="minorEastAsia" w:cstheme="minorEastAsia"/>
          <w:color w:val="auto"/>
          <w:highlight w:val="none"/>
        </w:rPr>
        <w:t xml:space="preserve"> 任何要求澄清招标文件的投标人，均应在投标截止日期三天前以书面形式或传真、电报、QQ邮箱通知招标机构，招标机构不接受口头、电话及其它形式的通知和逾期通知。招标机构将以书面形式予以答复，同时将书面通知每个购买招标文件的投标人。投标人不得与招标人私下就招投标的有关实质性问题进行磋商。</w:t>
      </w:r>
    </w:p>
    <w:p>
      <w:pPr>
        <w:spacing w:line="360" w:lineRule="auto"/>
        <w:ind w:firstLine="422" w:firstLineChars="2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bCs/>
          <w:color w:val="auto"/>
          <w:highlight w:val="none"/>
        </w:rPr>
        <w:t>2</w:t>
      </w:r>
      <w:r>
        <w:rPr>
          <w:rFonts w:hint="eastAsia" w:asciiTheme="minorEastAsia" w:hAnsiTheme="minorEastAsia" w:eastAsiaTheme="minorEastAsia" w:cstheme="minorEastAsia"/>
          <w:color w:val="auto"/>
          <w:highlight w:val="none"/>
        </w:rPr>
        <w:t>任何要求澄清招标文件的投标人，均须要求招标机构以书面形式或传真、电报、QQ邮箱予以答复，没有上述形式答复的内容，均不得作为证据提供。</w:t>
      </w:r>
    </w:p>
    <w:p>
      <w:pPr>
        <w:spacing w:line="360" w:lineRule="auto"/>
        <w:ind w:firstLine="422" w:firstLineChars="2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bCs/>
          <w:color w:val="auto"/>
          <w:highlight w:val="none"/>
        </w:rPr>
        <w:t>3</w:t>
      </w:r>
      <w:r>
        <w:rPr>
          <w:rFonts w:hint="eastAsia" w:asciiTheme="minorEastAsia" w:hAnsiTheme="minorEastAsia" w:eastAsiaTheme="minorEastAsia" w:cstheme="minorEastAsia"/>
          <w:color w:val="auto"/>
          <w:highlight w:val="none"/>
        </w:rPr>
        <w:t>投标人要求澄清招标文件内容的，均须要求招标机构以书面形式或传真、电报、QQ邮箱予以答复，招标机构不以上述形式答复的，可向项目所在地政府采购办或纪律监察部门投诉，亦可在开标会议宣布开标时（或开标前）提供相关证据。</w:t>
      </w:r>
    </w:p>
    <w:p>
      <w:pPr>
        <w:spacing w:line="360" w:lineRule="auto"/>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三</w:t>
      </w:r>
      <w:r>
        <w:rPr>
          <w:rFonts w:hint="eastAsia" w:ascii="宋体" w:hAnsi="宋体" w:cs="宋体"/>
          <w:b/>
          <w:color w:val="auto"/>
          <w:highlight w:val="none"/>
          <w:lang w:eastAsia="zh-CN"/>
        </w:rPr>
        <w:t>）</w:t>
      </w:r>
      <w:r>
        <w:rPr>
          <w:rFonts w:hint="eastAsia" w:ascii="宋体" w:hAnsi="宋体" w:cs="宋体"/>
          <w:b/>
          <w:color w:val="auto"/>
          <w:highlight w:val="none"/>
        </w:rPr>
        <w:t>招标文件的修改</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在投标截止时间</w:t>
      </w:r>
      <w:r>
        <w:rPr>
          <w:rFonts w:hint="eastAsia" w:ascii="宋体" w:hAnsi="宋体" w:cs="宋体"/>
          <w:color w:val="auto"/>
          <w:highlight w:val="none"/>
          <w:u w:val="single"/>
          <w:lang w:val="en-US" w:eastAsia="zh-CN"/>
        </w:rPr>
        <w:t>3天</w:t>
      </w:r>
      <w:r>
        <w:rPr>
          <w:rFonts w:hint="eastAsia" w:ascii="宋体" w:hAnsi="宋体" w:cs="宋体"/>
          <w:color w:val="auto"/>
          <w:highlight w:val="none"/>
        </w:rPr>
        <w:t>，招标人都可能以《招标文件补充》的方式修改招标文件。并将以书面形式、</w:t>
      </w:r>
      <w:r>
        <w:rPr>
          <w:rFonts w:hint="eastAsia" w:asciiTheme="minorEastAsia" w:hAnsiTheme="minorEastAsia" w:eastAsiaTheme="minorEastAsia" w:cstheme="minorEastAsia"/>
          <w:color w:val="auto"/>
          <w:highlight w:val="none"/>
        </w:rPr>
        <w:t>QQ形式</w:t>
      </w:r>
      <w:r>
        <w:rPr>
          <w:rFonts w:hint="eastAsia" w:ascii="宋体" w:hAnsi="宋体" w:cs="宋体"/>
          <w:color w:val="auto"/>
          <w:highlight w:val="none"/>
        </w:rPr>
        <w:t>通知所有购买招标文件的投标人。</w:t>
      </w:r>
    </w:p>
    <w:p>
      <w:pPr>
        <w:spacing w:line="360" w:lineRule="auto"/>
        <w:ind w:firstLine="422" w:firstLineChars="200"/>
        <w:rPr>
          <w:rFonts w:ascii="宋体" w:hAnsi="宋体" w:cs="宋体"/>
          <w:snapToGrid w:val="0"/>
          <w:color w:val="auto"/>
          <w:kern w:val="0"/>
          <w:highlight w:val="none"/>
        </w:rPr>
      </w:pPr>
      <w:r>
        <w:rPr>
          <w:rFonts w:hint="eastAsia" w:ascii="宋体" w:hAnsi="宋体" w:cs="宋体"/>
          <w:b/>
          <w:color w:val="auto"/>
          <w:highlight w:val="none"/>
        </w:rPr>
        <w:t>2</w:t>
      </w:r>
      <w:r>
        <w:rPr>
          <w:rFonts w:hint="eastAsia" w:ascii="宋体" w:hAnsi="宋体" w:cs="宋体"/>
          <w:color w:val="auto"/>
          <w:highlight w:val="none"/>
        </w:rPr>
        <w:t xml:space="preserve"> 《招标文件补充》作为招标文件的组成部分，对招标人具有同等约束力。如果招标文件补充内容与此招标文件补充发出之前的</w:t>
      </w:r>
      <w:r>
        <w:rPr>
          <w:rFonts w:hint="eastAsia" w:ascii="宋体" w:hAnsi="宋体" w:cs="宋体"/>
          <w:snapToGrid w:val="0"/>
          <w:color w:val="auto"/>
          <w:kern w:val="0"/>
          <w:highlight w:val="none"/>
        </w:rPr>
        <w:t>招标文件等书面材料中相关内容相冲突，请投标人执行招标文件补充的相关内容，先前发出的招标文件等书面材料中相关内容自动废止。</w:t>
      </w:r>
    </w:p>
    <w:p>
      <w:pPr>
        <w:spacing w:line="360" w:lineRule="auto"/>
        <w:ind w:firstLine="422" w:firstLineChars="200"/>
        <w:rPr>
          <w:rFonts w:ascii="宋体" w:hAnsi="宋体" w:cs="宋体"/>
          <w:snapToGrid w:val="0"/>
          <w:color w:val="auto"/>
          <w:kern w:val="0"/>
          <w:highlight w:val="none"/>
        </w:rPr>
      </w:pPr>
      <w:r>
        <w:rPr>
          <w:rFonts w:hint="eastAsia" w:ascii="宋体" w:hAnsi="宋体" w:cs="宋体"/>
          <w:b/>
          <w:snapToGrid w:val="0"/>
          <w:color w:val="auto"/>
          <w:kern w:val="0"/>
          <w:highlight w:val="none"/>
        </w:rPr>
        <w:t>3</w:t>
      </w:r>
      <w:r>
        <w:rPr>
          <w:rFonts w:hint="eastAsia" w:ascii="宋体" w:hAnsi="宋体" w:cs="宋体"/>
          <w:snapToGrid w:val="0"/>
          <w:color w:val="auto"/>
          <w:kern w:val="0"/>
          <w:highlight w:val="none"/>
        </w:rPr>
        <w:t xml:space="preserve"> 为使投标人在编制投标文件时把《招标文件补充》内容考虑进去，招标人可以相应延长投标截止日期，具体时间将在《招标文件补充》中写明。</w:t>
      </w:r>
    </w:p>
    <w:p>
      <w:pPr>
        <w:pStyle w:val="4"/>
        <w:numPr>
          <w:ilvl w:val="1"/>
          <w:numId w:val="0"/>
        </w:numPr>
        <w:jc w:val="center"/>
        <w:rPr>
          <w:rFonts w:ascii="宋体" w:hAnsi="宋体" w:cs="宋体"/>
          <w:snapToGrid w:val="0"/>
          <w:color w:val="auto"/>
          <w:kern w:val="0"/>
          <w:sz w:val="28"/>
          <w:highlight w:val="none"/>
        </w:rPr>
      </w:pPr>
      <w:bookmarkStart w:id="73" w:name="_Toc2368"/>
      <w:bookmarkStart w:id="74" w:name="_Toc7292"/>
      <w:bookmarkStart w:id="75" w:name="_Toc6645"/>
      <w:r>
        <w:rPr>
          <w:rFonts w:hint="eastAsia" w:ascii="宋体" w:hAnsi="宋体" w:cs="宋体"/>
          <w:snapToGrid w:val="0"/>
          <w:color w:val="auto"/>
          <w:kern w:val="0"/>
          <w:sz w:val="28"/>
          <w:highlight w:val="none"/>
          <w:lang w:val="en-US" w:eastAsia="zh-CN"/>
        </w:rPr>
        <w:t>二、</w:t>
      </w:r>
      <w:r>
        <w:rPr>
          <w:rFonts w:hint="eastAsia" w:ascii="宋体" w:hAnsi="宋体" w:cs="宋体"/>
          <w:snapToGrid w:val="0"/>
          <w:color w:val="auto"/>
          <w:kern w:val="0"/>
          <w:sz w:val="28"/>
          <w:highlight w:val="none"/>
        </w:rPr>
        <w:t>投标文件的编制</w:t>
      </w:r>
      <w:bookmarkEnd w:id="73"/>
      <w:bookmarkEnd w:id="74"/>
      <w:bookmarkEnd w:id="75"/>
    </w:p>
    <w:p>
      <w:pPr>
        <w:spacing w:line="360" w:lineRule="auto"/>
        <w:ind w:firstLine="422" w:firstLineChars="2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一</w:t>
      </w:r>
      <w:r>
        <w:rPr>
          <w:rFonts w:hint="eastAsia" w:ascii="宋体" w:hAnsi="宋体" w:cs="宋体"/>
          <w:b/>
          <w:color w:val="auto"/>
          <w:highlight w:val="none"/>
          <w:lang w:eastAsia="zh-CN"/>
        </w:rPr>
        <w:t>）</w:t>
      </w:r>
      <w:r>
        <w:rPr>
          <w:rFonts w:hint="eastAsia" w:ascii="宋体" w:hAnsi="宋体" w:cs="宋体"/>
          <w:b/>
          <w:color w:val="auto"/>
          <w:highlight w:val="none"/>
        </w:rPr>
        <w:t>、投标文件的编写</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投标人应仔细阅读招标文件，了解招标文件的要求。在充分理解招标文件提出的技术要求、服务和商务条件后，编制投标文件。</w:t>
      </w:r>
    </w:p>
    <w:p>
      <w:pPr>
        <w:spacing w:line="360" w:lineRule="auto"/>
        <w:ind w:firstLine="422" w:firstLineChars="2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二</w:t>
      </w:r>
      <w:r>
        <w:rPr>
          <w:rFonts w:hint="eastAsia" w:ascii="宋体" w:hAnsi="宋体" w:cs="宋体"/>
          <w:b/>
          <w:color w:val="auto"/>
          <w:highlight w:val="none"/>
          <w:lang w:eastAsia="zh-CN"/>
        </w:rPr>
        <w:t>）</w:t>
      </w:r>
      <w:r>
        <w:rPr>
          <w:rFonts w:hint="eastAsia" w:ascii="宋体" w:hAnsi="宋体" w:cs="宋体"/>
          <w:b/>
          <w:color w:val="auto"/>
          <w:highlight w:val="none"/>
        </w:rPr>
        <w:t>、投标语言</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 xml:space="preserve">1 </w:t>
      </w:r>
      <w:r>
        <w:rPr>
          <w:rFonts w:hint="eastAsia" w:ascii="宋体" w:hAnsi="宋体" w:cs="宋体"/>
          <w:color w:val="auto"/>
          <w:highlight w:val="none"/>
        </w:rPr>
        <w:t>投标人的投标文件以及投标人与招标机构就有关招标活动的所有来往函电均应使用中文。如果投标文件或与投标有关的其他文件、信件及来往函电以其他语言书写，投标人应将其译成中文。</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投标文件中使用的计量单位除招标文件中有特殊规定外，一律使用法定计量单位。</w:t>
      </w:r>
    </w:p>
    <w:p>
      <w:pPr>
        <w:numPr>
          <w:ilvl w:val="0"/>
          <w:numId w:val="5"/>
        </w:numPr>
        <w:spacing w:line="360" w:lineRule="auto"/>
        <w:ind w:firstLine="422" w:firstLineChars="200"/>
        <w:rPr>
          <w:rFonts w:hint="eastAsia" w:ascii="宋体" w:hAnsi="宋体" w:cs="宋体"/>
          <w:b/>
          <w:color w:val="auto"/>
          <w:highlight w:val="none"/>
        </w:rPr>
      </w:pPr>
      <w:r>
        <w:rPr>
          <w:rFonts w:hint="eastAsia" w:ascii="宋体" w:hAnsi="宋体" w:cs="宋体"/>
          <w:b/>
          <w:color w:val="auto"/>
          <w:highlight w:val="none"/>
        </w:rPr>
        <w:t>投标文件构成：</w:t>
      </w:r>
    </w:p>
    <w:p>
      <w:pPr>
        <w:numPr>
          <w:ilvl w:val="0"/>
          <w:numId w:val="0"/>
        </w:numPr>
        <w:spacing w:line="360" w:lineRule="auto"/>
        <w:ind w:firstLine="422" w:firstLineChars="200"/>
        <w:rPr>
          <w:rFonts w:hint="eastAsia" w:ascii="宋体" w:hAnsi="宋体" w:cs="宋体"/>
          <w:b/>
          <w:color w:val="auto"/>
          <w:highlight w:val="none"/>
          <w:lang w:val="en-US" w:eastAsia="zh-CN"/>
        </w:rPr>
      </w:pPr>
      <w:r>
        <w:rPr>
          <w:rFonts w:hint="eastAsia" w:ascii="宋体" w:hAnsi="宋体" w:cs="宋体"/>
          <w:b/>
          <w:color w:val="auto"/>
          <w:highlight w:val="none"/>
          <w:lang w:val="en-US" w:eastAsia="zh-CN"/>
        </w:rPr>
        <w:t xml:space="preserve">1 </w:t>
      </w:r>
      <w:r>
        <w:rPr>
          <w:rFonts w:hint="eastAsia" w:ascii="宋体" w:hAnsi="宋体" w:cs="宋体"/>
          <w:b/>
          <w:color w:val="auto"/>
          <w:highlight w:val="none"/>
        </w:rPr>
        <w:t>投标文件</w:t>
      </w:r>
      <w:r>
        <w:rPr>
          <w:rFonts w:hint="eastAsia" w:ascii="宋体" w:hAnsi="宋体" w:cs="宋体"/>
          <w:b/>
          <w:color w:val="auto"/>
          <w:highlight w:val="none"/>
          <w:lang w:val="en-US" w:eastAsia="zh-CN"/>
        </w:rPr>
        <w:t>按照投标文件格式</w:t>
      </w:r>
      <w:r>
        <w:rPr>
          <w:rFonts w:hint="eastAsia" w:ascii="宋体" w:hAnsi="宋体" w:cs="宋体"/>
          <w:b/>
          <w:color w:val="auto"/>
          <w:highlight w:val="none"/>
        </w:rPr>
        <w:t>合装成一本标书（胶装）。</w:t>
      </w:r>
      <w:r>
        <w:rPr>
          <w:rFonts w:hint="eastAsia" w:ascii="宋体" w:hAnsi="宋体" w:cs="宋体"/>
          <w:b/>
          <w:color w:val="auto"/>
          <w:highlight w:val="none"/>
          <w:lang w:val="en-US" w:eastAsia="zh-CN"/>
        </w:rPr>
        <w:t>电子版投标文件：电子版U盘及光盘各一份，包含投标文件全部内容。开标一览表一份单独密封。</w:t>
      </w:r>
    </w:p>
    <w:p>
      <w:pPr>
        <w:spacing w:line="360" w:lineRule="auto"/>
        <w:rPr>
          <w:rFonts w:ascii="宋体" w:hAnsi="宋体" w:cs="宋体"/>
          <w:b/>
          <w:color w:val="auto"/>
          <w:highlight w:val="none"/>
        </w:rPr>
      </w:pPr>
      <w:r>
        <w:rPr>
          <w:rFonts w:hint="eastAsia" w:ascii="宋体" w:hAnsi="宋体" w:cs="宋体"/>
          <w:b/>
          <w:color w:val="auto"/>
          <w:highlight w:val="none"/>
        </w:rPr>
        <w:t>详细如下：</w:t>
      </w:r>
    </w:p>
    <w:p>
      <w:pPr>
        <w:spacing w:line="360" w:lineRule="auto"/>
        <w:ind w:firstLine="211" w:firstLineChars="100"/>
        <w:rPr>
          <w:rFonts w:hint="eastAsia" w:ascii="宋体" w:hAnsi="宋体" w:cs="宋体"/>
          <w:b/>
          <w:color w:val="auto"/>
          <w:highlight w:val="none"/>
          <w:lang w:eastAsia="zh-CN"/>
        </w:rPr>
      </w:pPr>
      <w:bookmarkStart w:id="76" w:name="_Ref467052588"/>
      <w:r>
        <w:rPr>
          <w:rFonts w:hint="eastAsia" w:ascii="宋体" w:hAnsi="宋体" w:cs="宋体"/>
          <w:b/>
          <w:color w:val="auto"/>
          <w:highlight w:val="none"/>
          <w:lang w:val="en-US" w:eastAsia="zh-CN"/>
        </w:rPr>
        <w:t xml:space="preserve">2 </w:t>
      </w:r>
      <w:r>
        <w:rPr>
          <w:rFonts w:hint="eastAsia" w:ascii="宋体" w:hAnsi="宋体" w:cs="宋体"/>
          <w:b/>
          <w:color w:val="auto"/>
          <w:highlight w:val="none"/>
          <w:lang w:eastAsia="zh-CN"/>
        </w:rPr>
        <w:t>投标人应当按照招标文件的要求编制投标文件。投标文件应由《资格证明文件》、《商务技术文件》两部分构成。投标文件的部分格式要求，见第七章《投标文件格式》。</w:t>
      </w:r>
    </w:p>
    <w:p>
      <w:pPr>
        <w:spacing w:line="360" w:lineRule="auto"/>
        <w:ind w:firstLine="211" w:firstLineChars="100"/>
        <w:rPr>
          <w:rFonts w:hint="eastAsia" w:ascii="宋体" w:hAnsi="宋体" w:cs="宋体"/>
          <w:b/>
          <w:color w:val="auto"/>
          <w:highlight w:val="none"/>
          <w:lang w:eastAsia="zh-CN"/>
        </w:rPr>
      </w:pPr>
      <w:r>
        <w:rPr>
          <w:rFonts w:hint="eastAsia" w:ascii="宋体" w:hAnsi="宋体" w:cs="宋体"/>
          <w:b/>
          <w:color w:val="auto"/>
          <w:highlight w:val="none"/>
          <w:lang w:val="en-US" w:eastAsia="zh-CN"/>
        </w:rPr>
        <w:t xml:space="preserve">3 </w:t>
      </w:r>
      <w:r>
        <w:rPr>
          <w:rFonts w:hint="eastAsia" w:ascii="宋体" w:hAnsi="宋体" w:cs="宋体"/>
          <w:b/>
          <w:color w:val="auto"/>
          <w:highlight w:val="none"/>
          <w:lang w:eastAsia="zh-CN"/>
        </w:rPr>
        <w:t>对于招标文件中标记了“实质性格式”文件的，投标人不得改变格式中给定的文字所表达的含义，不得删减格式中的实质性内容，不得自行添加与格式中给定的文字内容相矛盾的内容，不得对应当填写的空格不填写或不实质性响应，否则投标无效。未标记“实质性格式”的文件和招标文件未提供格式的内容，可由投标人自行编写。</w:t>
      </w:r>
    </w:p>
    <w:p>
      <w:pPr>
        <w:spacing w:line="360" w:lineRule="auto"/>
        <w:ind w:firstLine="211" w:firstLineChars="100"/>
        <w:rPr>
          <w:rFonts w:hint="eastAsia" w:ascii="宋体" w:hAnsi="宋体" w:cs="宋体"/>
          <w:b/>
          <w:color w:val="auto"/>
          <w:highlight w:val="none"/>
          <w:lang w:eastAsia="zh-CN"/>
        </w:rPr>
      </w:pPr>
      <w:r>
        <w:rPr>
          <w:rFonts w:hint="eastAsia" w:ascii="宋体" w:hAnsi="宋体" w:cs="宋体"/>
          <w:b/>
          <w:color w:val="auto"/>
          <w:highlight w:val="none"/>
          <w:lang w:val="en-US" w:eastAsia="zh-CN"/>
        </w:rPr>
        <w:t xml:space="preserve">4 </w:t>
      </w:r>
      <w:r>
        <w:rPr>
          <w:rFonts w:hint="eastAsia" w:ascii="宋体" w:hAnsi="宋体" w:cs="宋体"/>
          <w:b/>
          <w:color w:val="auto"/>
          <w:highlight w:val="none"/>
          <w:lang w:eastAsia="zh-CN"/>
        </w:rPr>
        <w:t>第</w:t>
      </w:r>
      <w:r>
        <w:rPr>
          <w:rFonts w:hint="eastAsia" w:ascii="宋体" w:hAnsi="宋体" w:cs="宋体"/>
          <w:b/>
          <w:color w:val="auto"/>
          <w:highlight w:val="none"/>
          <w:lang w:val="en-US" w:eastAsia="zh-CN"/>
        </w:rPr>
        <w:t>三部分</w:t>
      </w:r>
      <w:r>
        <w:rPr>
          <w:rFonts w:hint="eastAsia" w:ascii="宋体" w:hAnsi="宋体" w:cs="宋体"/>
          <w:b/>
          <w:color w:val="auto"/>
          <w:highlight w:val="none"/>
          <w:lang w:eastAsia="zh-CN"/>
        </w:rPr>
        <w:t>《评标程序、评标方法和评标标准》中涉及的证明文件。</w:t>
      </w:r>
    </w:p>
    <w:p>
      <w:pPr>
        <w:spacing w:line="360" w:lineRule="auto"/>
        <w:ind w:firstLine="211" w:firstLineChars="100"/>
        <w:rPr>
          <w:rFonts w:hint="eastAsia" w:ascii="宋体" w:hAnsi="宋体" w:cs="宋体"/>
          <w:b/>
          <w:color w:val="auto"/>
          <w:highlight w:val="none"/>
          <w:lang w:eastAsia="zh-CN"/>
        </w:rPr>
      </w:pPr>
      <w:r>
        <w:rPr>
          <w:rFonts w:hint="eastAsia" w:ascii="宋体" w:hAnsi="宋体" w:cs="宋体"/>
          <w:b/>
          <w:color w:val="auto"/>
          <w:highlight w:val="none"/>
          <w:lang w:val="en-US" w:eastAsia="zh-CN"/>
        </w:rPr>
        <w:t xml:space="preserve">5 </w:t>
      </w:r>
      <w:r>
        <w:rPr>
          <w:rFonts w:hint="eastAsia" w:ascii="宋体" w:hAnsi="宋体" w:cs="宋体"/>
          <w:b/>
          <w:color w:val="auto"/>
          <w:highlight w:val="none"/>
          <w:lang w:eastAsia="zh-CN"/>
        </w:rPr>
        <w:t>对照第</w:t>
      </w:r>
      <w:r>
        <w:rPr>
          <w:rFonts w:hint="eastAsia" w:ascii="宋体" w:hAnsi="宋体" w:cs="宋体"/>
          <w:b/>
          <w:color w:val="auto"/>
          <w:highlight w:val="none"/>
          <w:lang w:val="en-US" w:eastAsia="zh-CN"/>
        </w:rPr>
        <w:t>四部分</w:t>
      </w:r>
      <w:r>
        <w:rPr>
          <w:rFonts w:hint="eastAsia" w:ascii="宋体" w:hAnsi="宋体" w:cs="宋体"/>
          <w:b/>
          <w:color w:val="auto"/>
          <w:highlight w:val="none"/>
          <w:lang w:eastAsia="zh-CN"/>
        </w:rPr>
        <w:t>《采购需求》，说明所提供货物和服务已对第五章《采购需求》做出了响应，或申明与第五章《采购需求》的偏差和例外。如第五章《采购需求》中要求提供证明文件的，投标人应当按具体要求提供证明文件。</w:t>
      </w:r>
    </w:p>
    <w:p>
      <w:pPr>
        <w:spacing w:line="360" w:lineRule="auto"/>
        <w:ind w:firstLine="211" w:firstLineChars="100"/>
        <w:rPr>
          <w:rFonts w:hint="eastAsia" w:ascii="宋体" w:hAnsi="宋体" w:cs="宋体"/>
          <w:b/>
          <w:color w:val="auto"/>
          <w:highlight w:val="none"/>
          <w:lang w:eastAsia="zh-CN"/>
        </w:rPr>
      </w:pPr>
      <w:r>
        <w:rPr>
          <w:rFonts w:hint="eastAsia" w:ascii="宋体" w:hAnsi="宋体" w:cs="宋体"/>
          <w:b/>
          <w:color w:val="auto"/>
          <w:highlight w:val="none"/>
          <w:lang w:val="en-US" w:eastAsia="zh-CN"/>
        </w:rPr>
        <w:t xml:space="preserve">6 </w:t>
      </w:r>
      <w:r>
        <w:rPr>
          <w:rFonts w:hint="eastAsia" w:ascii="宋体" w:hAnsi="宋体" w:cs="宋体"/>
          <w:b/>
          <w:color w:val="auto"/>
          <w:highlight w:val="none"/>
          <w:lang w:eastAsia="zh-CN"/>
        </w:rPr>
        <w:t>投标人认为应附的其他材料。</w:t>
      </w:r>
      <w:bookmarkEnd w:id="76"/>
    </w:p>
    <w:p>
      <w:pPr>
        <w:spacing w:line="360" w:lineRule="auto"/>
        <w:ind w:firstLine="211" w:firstLineChars="100"/>
        <w:rPr>
          <w:rFonts w:hint="eastAsia" w:ascii="宋体" w:hAnsi="宋体" w:cs="宋体"/>
          <w:b/>
          <w:color w:val="auto"/>
          <w:highlight w:val="none"/>
          <w:lang w:eastAsia="zh-CN"/>
        </w:rPr>
      </w:pPr>
    </w:p>
    <w:p>
      <w:pPr>
        <w:spacing w:line="360" w:lineRule="auto"/>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四</w:t>
      </w:r>
      <w:r>
        <w:rPr>
          <w:rFonts w:hint="eastAsia" w:ascii="宋体" w:hAnsi="宋体" w:cs="宋体"/>
          <w:b/>
          <w:color w:val="auto"/>
          <w:highlight w:val="none"/>
          <w:lang w:eastAsia="zh-CN"/>
        </w:rPr>
        <w:t>）</w:t>
      </w:r>
      <w:r>
        <w:rPr>
          <w:rFonts w:hint="eastAsia" w:ascii="宋体" w:hAnsi="宋体" w:cs="宋体"/>
          <w:b/>
          <w:color w:val="auto"/>
          <w:highlight w:val="none"/>
        </w:rPr>
        <w:t>投标报价：</w:t>
      </w:r>
    </w:p>
    <w:p>
      <w:pPr>
        <w:spacing w:line="360" w:lineRule="auto"/>
        <w:ind w:firstLine="422" w:firstLineChars="200"/>
        <w:rPr>
          <w:rFonts w:ascii="宋体" w:hAnsi="宋体" w:cs="宋体"/>
          <w:b/>
          <w:bCs/>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w:t>
      </w:r>
      <w:r>
        <w:rPr>
          <w:rFonts w:hint="eastAsia" w:ascii="宋体" w:hAnsi="宋体" w:cs="宋体"/>
          <w:b/>
          <w:bCs/>
          <w:color w:val="auto"/>
          <w:highlight w:val="none"/>
          <w:lang w:eastAsia="zh-CN"/>
        </w:rPr>
        <w:t>投标供应商</w:t>
      </w:r>
      <w:r>
        <w:rPr>
          <w:rFonts w:hint="eastAsia" w:ascii="宋体" w:hAnsi="宋体" w:cs="宋体"/>
          <w:b/>
          <w:bCs/>
          <w:color w:val="auto"/>
          <w:highlight w:val="none"/>
        </w:rPr>
        <w:t>应以总价报价，并在投标报价表上注明单价。小写与大写不符的，以大写为准；单价与总价不符的，以单价核准总价。</w:t>
      </w:r>
    </w:p>
    <w:p>
      <w:pPr>
        <w:spacing w:line="360" w:lineRule="auto"/>
        <w:ind w:firstLine="422" w:firstLineChars="200"/>
        <w:rPr>
          <w:rFonts w:ascii="宋体" w:hAnsi="宋体" w:cs="宋体" w:eastAsiaTheme="minorEastAsia"/>
          <w:color w:val="auto"/>
          <w:highlight w:val="none"/>
        </w:rPr>
      </w:pPr>
      <w:r>
        <w:rPr>
          <w:rFonts w:hint="eastAsia" w:ascii="宋体" w:hAnsi="宋体" w:cs="宋体"/>
          <w:b/>
          <w:color w:val="auto"/>
          <w:highlight w:val="none"/>
        </w:rPr>
        <w:t>2</w:t>
      </w:r>
      <w:r>
        <w:rPr>
          <w:rFonts w:hint="eastAsia" w:asciiTheme="minorEastAsia" w:hAnsiTheme="minorEastAsia" w:eastAsiaTheme="minorEastAsia" w:cstheme="minorEastAsia"/>
          <w:color w:val="auto"/>
          <w:highlight w:val="none"/>
        </w:rPr>
        <w:t>不接受两个或两个以上及模糊不清的不确定报价；</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3</w:t>
      </w:r>
      <w:r>
        <w:rPr>
          <w:rFonts w:hint="eastAsia" w:ascii="宋体" w:hAnsi="宋体" w:cs="宋体"/>
          <w:color w:val="auto"/>
          <w:highlight w:val="none"/>
        </w:rPr>
        <w:t xml:space="preserve"> 投标报价的总价指货物、随货附件等运抵交货地点的</w:t>
      </w:r>
      <w:r>
        <w:rPr>
          <w:rFonts w:hint="eastAsia" w:ascii="宋体" w:hAnsi="宋体" w:cs="宋体"/>
          <w:color w:val="auto"/>
          <w:highlight w:val="none"/>
          <w:lang w:eastAsia="zh-CN"/>
        </w:rPr>
        <w:t>采购、运输、装卸、</w:t>
      </w:r>
      <w:r>
        <w:rPr>
          <w:rFonts w:hint="eastAsia" w:ascii="宋体" w:hAnsi="宋体" w:cs="宋体"/>
          <w:color w:val="auto"/>
          <w:highlight w:val="none"/>
          <w:lang w:val="en-US" w:eastAsia="zh-CN"/>
        </w:rPr>
        <w:t>安装、</w:t>
      </w:r>
      <w:r>
        <w:rPr>
          <w:rFonts w:hint="eastAsia" w:ascii="宋体" w:hAnsi="宋体" w:cs="宋体"/>
          <w:color w:val="auto"/>
          <w:highlight w:val="none"/>
          <w:lang w:eastAsia="zh-CN"/>
        </w:rPr>
        <w:t>验收、税费、开具发票和相关售后等服务</w:t>
      </w:r>
      <w:r>
        <w:rPr>
          <w:rFonts w:hint="eastAsia" w:ascii="宋体" w:hAnsi="宋体" w:cs="宋体"/>
          <w:color w:val="auto"/>
          <w:highlight w:val="none"/>
        </w:rPr>
        <w:t>及其他所有费用的总和（由中标单位自行承担）。</w:t>
      </w:r>
    </w:p>
    <w:p>
      <w:pPr>
        <w:spacing w:line="360" w:lineRule="auto"/>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五</w:t>
      </w:r>
      <w:r>
        <w:rPr>
          <w:rFonts w:hint="eastAsia" w:ascii="宋体" w:hAnsi="宋体" w:cs="宋体"/>
          <w:b/>
          <w:color w:val="auto"/>
          <w:highlight w:val="none"/>
          <w:lang w:eastAsia="zh-CN"/>
        </w:rPr>
        <w:t>）</w:t>
      </w:r>
      <w:r>
        <w:rPr>
          <w:rFonts w:hint="eastAsia" w:ascii="宋体" w:hAnsi="宋体" w:cs="宋体"/>
          <w:b/>
          <w:color w:val="auto"/>
          <w:highlight w:val="none"/>
        </w:rPr>
        <w:t>投标货币</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投标应以人民币报价。</w:t>
      </w:r>
    </w:p>
    <w:p>
      <w:pPr>
        <w:spacing w:line="360" w:lineRule="auto"/>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六</w:t>
      </w:r>
      <w:r>
        <w:rPr>
          <w:rFonts w:hint="eastAsia" w:ascii="宋体" w:hAnsi="宋体" w:cs="宋体"/>
          <w:b/>
          <w:color w:val="auto"/>
          <w:highlight w:val="none"/>
          <w:lang w:eastAsia="zh-CN"/>
        </w:rPr>
        <w:t>）</w:t>
      </w:r>
      <w:r>
        <w:rPr>
          <w:rFonts w:hint="eastAsia" w:ascii="宋体" w:hAnsi="宋体" w:cs="宋体"/>
          <w:b/>
          <w:color w:val="auto"/>
          <w:highlight w:val="none"/>
        </w:rPr>
        <w:t>证明投标人资格的文件</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投标人应提交证明其有资格参加投标和一旦中标则有能力履行合同的文件，并作为其投标文件的一部分。详细如下：</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1.1 投标企业有效“</w:t>
      </w:r>
      <w:r>
        <w:rPr>
          <w:rFonts w:hint="eastAsia" w:ascii="宋体" w:hAnsi="宋体" w:eastAsia="宋体" w:cs="宋体"/>
          <w:b/>
          <w:bCs/>
          <w:color w:val="auto"/>
          <w:kern w:val="0"/>
          <w:sz w:val="21"/>
          <w:szCs w:val="21"/>
          <w:highlight w:val="none"/>
        </w:rPr>
        <w:t>营业执照、税务登记证、组织机构代码证或“三证合一”的营业执照</w:t>
      </w:r>
      <w:r>
        <w:rPr>
          <w:rFonts w:hint="eastAsia" w:ascii="宋体" w:hAnsi="宋体" w:eastAsia="宋体" w:cs="宋体"/>
          <w:b/>
          <w:bCs/>
          <w:color w:val="auto"/>
          <w:sz w:val="21"/>
          <w:szCs w:val="21"/>
          <w:highlight w:val="none"/>
        </w:rPr>
        <w:t>；</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1.2 法人代表资格证明书或法人</w:t>
      </w:r>
      <w:r>
        <w:rPr>
          <w:rFonts w:hint="eastAsia" w:ascii="宋体" w:hAnsi="宋体" w:eastAsia="宋体" w:cs="宋体"/>
          <w:b/>
          <w:bCs/>
          <w:color w:val="auto"/>
          <w:sz w:val="21"/>
          <w:szCs w:val="21"/>
          <w:highlight w:val="none"/>
          <w:lang w:val="en-US" w:eastAsia="zh-CN"/>
        </w:rPr>
        <w:t>身份证</w:t>
      </w:r>
      <w:r>
        <w:rPr>
          <w:rFonts w:hint="eastAsia" w:ascii="宋体" w:hAnsi="宋体" w:eastAsia="宋体" w:cs="宋体"/>
          <w:b/>
          <w:bCs/>
          <w:color w:val="auto"/>
          <w:sz w:val="21"/>
          <w:szCs w:val="21"/>
          <w:highlight w:val="none"/>
        </w:rPr>
        <w:t>；</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en-US" w:eastAsia="zh-CN"/>
        </w:rPr>
        <w:t>1.3 供应商为生产厂家时需具备质量技术监督局颁发的有效的《计量器具型式批准证书》，供应商为经销商时应提供生产厂家有效的《计量器具型式批准证书》的复印件加盖经销商公章。（计量器具型式批准证书上水表规格：根据市场监管总局关于发布实施强制管理的计量器具目录的公告2019年第48号要求“2020年1月1日后办理的《计量器具型式批准证书》只有列入《目录》且监管方式为P（型式批准）和P+V（型式批准+强制检定）的计量器具应办理型式批准水表DN15～DN50 P+V”2020年1月1日之前的计量器具型式批准证书上显示DN</w:t>
      </w:r>
      <w:r>
        <w:rPr>
          <w:rFonts w:hint="eastAsia" w:ascii="宋体" w:hAnsi="宋体" w:cs="宋体"/>
          <w:b/>
          <w:bCs/>
          <w:color w:val="auto"/>
          <w:sz w:val="21"/>
          <w:szCs w:val="21"/>
          <w:highlight w:val="none"/>
          <w:lang w:val="en-US" w:eastAsia="zh-CN"/>
        </w:rPr>
        <w:t>15</w:t>
      </w:r>
      <w:r>
        <w:rPr>
          <w:rFonts w:hint="eastAsia" w:ascii="宋体" w:hAnsi="宋体" w:eastAsia="宋体" w:cs="宋体"/>
          <w:b/>
          <w:bCs/>
          <w:color w:val="auto"/>
          <w:sz w:val="21"/>
          <w:szCs w:val="21"/>
          <w:highlight w:val="none"/>
          <w:lang w:val="en-US" w:eastAsia="zh-CN"/>
        </w:rPr>
        <w:t>～DN200水表类型）</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4</w:t>
      </w:r>
      <w:r>
        <w:rPr>
          <w:rFonts w:hint="eastAsia" w:ascii="宋体" w:hAnsi="宋体" w:eastAsia="宋体" w:cs="宋体"/>
          <w:b/>
          <w:bCs/>
          <w:color w:val="auto"/>
          <w:sz w:val="21"/>
          <w:szCs w:val="21"/>
          <w:highlight w:val="none"/>
        </w:rPr>
        <w:t xml:space="preserve"> 法定代表人授权书</w:t>
      </w:r>
      <w:r>
        <w:rPr>
          <w:rFonts w:hint="eastAsia" w:ascii="宋体" w:hAnsi="宋体" w:eastAsia="宋体" w:cs="宋体"/>
          <w:b/>
          <w:bCs/>
          <w:color w:val="auto"/>
          <w:sz w:val="21"/>
          <w:szCs w:val="21"/>
          <w:highlight w:val="none"/>
          <w:lang w:val="en-US" w:eastAsia="zh-CN"/>
        </w:rPr>
        <w:t>及委托人</w:t>
      </w:r>
      <w:r>
        <w:rPr>
          <w:rFonts w:hint="eastAsia" w:ascii="宋体" w:hAnsi="宋体" w:eastAsia="宋体" w:cs="宋体"/>
          <w:b/>
          <w:bCs/>
          <w:color w:val="auto"/>
          <w:sz w:val="21"/>
          <w:szCs w:val="21"/>
          <w:highlight w:val="none"/>
        </w:rPr>
        <w:t>所在公司近</w:t>
      </w:r>
      <w:r>
        <w:rPr>
          <w:rFonts w:hint="eastAsia" w:ascii="宋体" w:hAnsi="宋体" w:eastAsia="宋体" w:cs="宋体"/>
          <w:b/>
          <w:bCs/>
          <w:color w:val="auto"/>
          <w:sz w:val="21"/>
          <w:szCs w:val="21"/>
          <w:highlight w:val="none"/>
          <w:lang w:val="en-US" w:eastAsia="zh-CN"/>
        </w:rPr>
        <w:t>三个月</w:t>
      </w:r>
      <w:r>
        <w:rPr>
          <w:rFonts w:hint="eastAsia" w:ascii="宋体" w:hAnsi="宋体" w:eastAsia="宋体" w:cs="宋体"/>
          <w:b/>
          <w:bCs/>
          <w:color w:val="auto"/>
          <w:sz w:val="21"/>
          <w:szCs w:val="21"/>
          <w:highlight w:val="none"/>
        </w:rPr>
        <w:t>以上有效的社保局提供的社保缴纳证明；</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b/>
          <w:bCs/>
          <w:color w:val="auto"/>
          <w:kern w:val="0"/>
          <w:sz w:val="21"/>
          <w:szCs w:val="21"/>
          <w:highlight w:val="none"/>
          <w:shd w:val="clear" w:color="0A0000" w:fill="FFFFFF"/>
        </w:rPr>
      </w:pPr>
      <w:r>
        <w:rPr>
          <w:rFonts w:hint="eastAsia" w:ascii="宋体" w:hAnsi="宋体" w:eastAsia="宋体" w:cs="宋体"/>
          <w:b/>
          <w:bCs/>
          <w:color w:val="auto"/>
          <w:sz w:val="21"/>
          <w:szCs w:val="21"/>
          <w:highlight w:val="none"/>
        </w:rPr>
        <w:t>1.</w:t>
      </w:r>
      <w:r>
        <w:rPr>
          <w:rFonts w:hint="eastAsia" w:ascii="宋体" w:hAnsi="宋体" w:eastAsia="宋体" w:cs="宋体"/>
          <w:b/>
          <w:bCs/>
          <w:color w:val="auto"/>
          <w:sz w:val="21"/>
          <w:szCs w:val="21"/>
          <w:highlight w:val="none"/>
          <w:lang w:val="en-US" w:eastAsia="zh-CN"/>
        </w:rPr>
        <w:t>5</w:t>
      </w:r>
      <w:r>
        <w:rPr>
          <w:rFonts w:hint="eastAsia" w:ascii="宋体" w:hAnsi="宋体" w:eastAsia="宋体" w:cs="宋体"/>
          <w:b/>
          <w:bCs/>
          <w:color w:val="auto"/>
          <w:kern w:val="0"/>
          <w:sz w:val="21"/>
          <w:szCs w:val="21"/>
          <w:highlight w:val="none"/>
        </w:rPr>
        <w:t>“信用中国”网站、中国政府采购网、国家企业信用信息公示系统</w:t>
      </w:r>
      <w:r>
        <w:rPr>
          <w:rFonts w:hint="eastAsia" w:ascii="宋体" w:hAnsi="宋体" w:eastAsia="宋体" w:cs="宋体"/>
          <w:b/>
          <w:bCs/>
          <w:color w:val="auto"/>
          <w:kern w:val="0"/>
          <w:sz w:val="21"/>
          <w:szCs w:val="21"/>
          <w:highlight w:val="none"/>
          <w:shd w:val="clear" w:color="0A0000" w:fill="FFFFFF"/>
        </w:rPr>
        <w:t>查询结果；</w:t>
      </w:r>
    </w:p>
    <w:p>
      <w:pPr>
        <w:pStyle w:val="5"/>
        <w:pageBreakBefore w:val="0"/>
        <w:widowControl w:val="0"/>
        <w:kinsoku/>
        <w:wordWrap/>
        <w:overflowPunct/>
        <w:topLinePunct w:val="0"/>
        <w:bidi w:val="0"/>
        <w:snapToGrid/>
        <w:spacing w:before="0" w:after="0" w:line="240" w:lineRule="auto"/>
        <w:ind w:firstLine="422" w:firstLineChars="200"/>
        <w:textAlignment w:val="auto"/>
        <w:rPr>
          <w:rFonts w:hint="eastAsia" w:ascii="宋体" w:hAnsi="宋体" w:eastAsia="宋体" w:cs="宋体"/>
          <w:b/>
          <w:bCs/>
          <w:color w:val="auto"/>
          <w:kern w:val="2"/>
          <w:sz w:val="21"/>
          <w:szCs w:val="21"/>
          <w:highlight w:val="none"/>
          <w:lang w:val="en-US" w:eastAsia="zh-CN" w:bidi="ar-SA"/>
        </w:rPr>
      </w:pPr>
      <w:r>
        <w:rPr>
          <w:rFonts w:hint="eastAsia" w:ascii="宋体" w:hAnsi="宋体" w:eastAsia="宋体" w:cs="宋体"/>
          <w:b/>
          <w:bCs/>
          <w:color w:val="auto"/>
          <w:kern w:val="0"/>
          <w:sz w:val="21"/>
          <w:szCs w:val="21"/>
          <w:highlight w:val="none"/>
          <w:lang w:val="en-US" w:eastAsia="zh-CN" w:bidi="ar-SA"/>
        </w:rPr>
        <w:t xml:space="preserve">1.6 </w:t>
      </w:r>
      <w:r>
        <w:rPr>
          <w:rFonts w:hint="eastAsia" w:ascii="宋体" w:hAnsi="宋体" w:eastAsia="宋体" w:cs="宋体"/>
          <w:b/>
          <w:bCs/>
          <w:color w:val="auto"/>
          <w:kern w:val="2"/>
          <w:sz w:val="21"/>
          <w:szCs w:val="21"/>
          <w:highlight w:val="none"/>
          <w:lang w:val="en-US" w:eastAsia="zh-CN" w:bidi="ar-SA"/>
        </w:rPr>
        <w:t>具有经第三方会计师事务所或审计机构审计的2021年度财务报告；((2022年以后成立公司需出具银行近一个月的资信证明）</w:t>
      </w:r>
    </w:p>
    <w:p>
      <w:pPr>
        <w:rPr>
          <w:rFonts w:hint="default"/>
          <w:lang w:val="en-US" w:eastAsia="zh-CN"/>
        </w:rPr>
      </w:pPr>
      <w:r>
        <w:rPr>
          <w:rFonts w:hint="eastAsia" w:ascii="宋体" w:hAnsi="宋体" w:cs="宋体"/>
          <w:b/>
          <w:bCs/>
          <w:color w:val="auto"/>
          <w:kern w:val="2"/>
          <w:sz w:val="21"/>
          <w:szCs w:val="21"/>
          <w:highlight w:val="none"/>
          <w:lang w:val="en-US" w:eastAsia="zh-CN" w:bidi="ar-SA"/>
        </w:rPr>
        <w:t xml:space="preserve">    1.7投标保证金银行回单</w:t>
      </w:r>
    </w:p>
    <w:p>
      <w:pPr>
        <w:pageBreakBefore w:val="0"/>
        <w:widowControl w:val="0"/>
        <w:kinsoku/>
        <w:wordWrap/>
        <w:overflowPunct/>
        <w:topLinePunct w:val="0"/>
        <w:bidi w:val="0"/>
        <w:snapToGrid/>
        <w:spacing w:line="240" w:lineRule="auto"/>
        <w:ind w:firstLine="422" w:firstLineChars="200"/>
        <w:textAlignment w:val="auto"/>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rPr>
        <w:t>1.</w:t>
      </w:r>
      <w:r>
        <w:rPr>
          <w:rFonts w:hint="eastAsia" w:ascii="宋体" w:hAnsi="宋体" w:cs="宋体"/>
          <w:b/>
          <w:bCs/>
          <w:color w:val="auto"/>
          <w:sz w:val="21"/>
          <w:szCs w:val="21"/>
          <w:highlight w:val="none"/>
          <w:lang w:val="en-US" w:eastAsia="zh-CN"/>
        </w:rPr>
        <w:t>8</w:t>
      </w:r>
      <w:r>
        <w:rPr>
          <w:rFonts w:hint="eastAsia" w:ascii="宋体" w:hAnsi="宋体" w:eastAsia="宋体" w:cs="宋体"/>
          <w:b/>
          <w:bCs/>
          <w:color w:val="auto"/>
          <w:sz w:val="21"/>
          <w:szCs w:val="21"/>
          <w:highlight w:val="none"/>
          <w:lang w:eastAsia="zh-CN"/>
        </w:rPr>
        <w:t>投标供应商</w:t>
      </w:r>
      <w:r>
        <w:rPr>
          <w:rFonts w:hint="eastAsia" w:ascii="宋体" w:hAnsi="宋体" w:eastAsia="宋体" w:cs="宋体"/>
          <w:b/>
          <w:bCs/>
          <w:color w:val="auto"/>
          <w:sz w:val="21"/>
          <w:szCs w:val="21"/>
          <w:highlight w:val="none"/>
        </w:rPr>
        <w:t>认为有必要提供的声明及文件资料。</w:t>
      </w:r>
    </w:p>
    <w:p>
      <w:pPr>
        <w:spacing w:line="440" w:lineRule="exact"/>
        <w:ind w:firstLine="211" w:firstLineChars="100"/>
        <w:rPr>
          <w:rFonts w:ascii="宋体" w:hAnsi="宋体" w:cs="宋体"/>
          <w:b/>
          <w:color w:val="auto"/>
          <w:highlight w:val="none"/>
        </w:rPr>
      </w:pPr>
      <w:r>
        <w:rPr>
          <w:rFonts w:hint="eastAsia" w:ascii="宋体" w:hAnsi="宋体" w:eastAsia="宋体" w:cs="宋体"/>
          <w:b/>
          <w:color w:val="auto"/>
          <w:sz w:val="21"/>
          <w:szCs w:val="21"/>
          <w:highlight w:val="none"/>
          <w:lang w:eastAsia="zh-CN"/>
        </w:rPr>
        <w:t>（</w:t>
      </w:r>
      <w:r>
        <w:rPr>
          <w:rFonts w:hint="eastAsia" w:ascii="宋体" w:hAnsi="宋体" w:eastAsia="宋体" w:cs="宋体"/>
          <w:b/>
          <w:color w:val="auto"/>
          <w:sz w:val="21"/>
          <w:szCs w:val="21"/>
          <w:highlight w:val="none"/>
          <w:lang w:val="en-US" w:eastAsia="zh-CN"/>
        </w:rPr>
        <w:t>七</w:t>
      </w:r>
      <w:r>
        <w:rPr>
          <w:rFonts w:hint="eastAsia" w:ascii="宋体" w:hAnsi="宋体" w:eastAsia="宋体" w:cs="宋体"/>
          <w:b/>
          <w:color w:val="auto"/>
          <w:sz w:val="21"/>
          <w:szCs w:val="21"/>
          <w:highlight w:val="none"/>
          <w:lang w:eastAsia="zh-CN"/>
        </w:rPr>
        <w:t>）</w:t>
      </w:r>
      <w:r>
        <w:rPr>
          <w:rFonts w:hint="eastAsia" w:ascii="宋体" w:hAnsi="宋体" w:eastAsia="宋体" w:cs="宋体"/>
          <w:b/>
          <w:color w:val="auto"/>
          <w:sz w:val="21"/>
          <w:szCs w:val="21"/>
          <w:highlight w:val="none"/>
        </w:rPr>
        <w:t>投标人应逐条详细阅读招标文件有关要求，表明所提供的服务</w:t>
      </w:r>
      <w:r>
        <w:rPr>
          <w:rFonts w:hint="eastAsia" w:ascii="宋体" w:hAnsi="宋体" w:cs="宋体"/>
          <w:b/>
          <w:color w:val="auto"/>
          <w:highlight w:val="none"/>
        </w:rPr>
        <w:t>是否对招标文件做出实质性响应。</w:t>
      </w:r>
    </w:p>
    <w:p>
      <w:pPr>
        <w:spacing w:line="440" w:lineRule="exact"/>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八</w:t>
      </w:r>
      <w:r>
        <w:rPr>
          <w:rFonts w:hint="eastAsia" w:ascii="宋体" w:hAnsi="宋体" w:cs="宋体"/>
          <w:b/>
          <w:color w:val="auto"/>
          <w:highlight w:val="none"/>
          <w:lang w:eastAsia="zh-CN"/>
        </w:rPr>
        <w:t>）</w:t>
      </w:r>
      <w:r>
        <w:rPr>
          <w:rFonts w:hint="eastAsia" w:ascii="宋体" w:hAnsi="宋体" w:cs="宋体"/>
          <w:b/>
          <w:color w:val="auto"/>
          <w:highlight w:val="none"/>
        </w:rPr>
        <w:t>投标文件的有效期</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投标文件从实质开标之日起</w:t>
      </w:r>
      <w:r>
        <w:rPr>
          <w:rFonts w:hint="eastAsia" w:ascii="宋体" w:hAnsi="宋体" w:cs="宋体"/>
          <w:color w:val="auto"/>
          <w:highlight w:val="none"/>
          <w:lang w:val="en-US" w:eastAsia="zh-CN"/>
        </w:rPr>
        <w:t>9</w:t>
      </w:r>
      <w:r>
        <w:rPr>
          <w:rFonts w:hint="eastAsia" w:ascii="宋体" w:hAnsi="宋体" w:cs="宋体"/>
          <w:color w:val="auto"/>
          <w:highlight w:val="none"/>
          <w:lang w:eastAsia="zh-CN"/>
        </w:rPr>
        <w:t>0天</w:t>
      </w:r>
      <w:r>
        <w:rPr>
          <w:rFonts w:hint="eastAsia" w:ascii="宋体" w:hAnsi="宋体" w:cs="宋体"/>
          <w:color w:val="auto"/>
          <w:highlight w:val="none"/>
        </w:rPr>
        <w:t>内有效。</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如遇特殊情况，在原投标有效期届满之前，招标人可与投标人协商延长投标文件的有效期，并经投标人确认。</w:t>
      </w:r>
    </w:p>
    <w:p>
      <w:pPr>
        <w:spacing w:line="440" w:lineRule="exact"/>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九</w:t>
      </w:r>
      <w:r>
        <w:rPr>
          <w:rFonts w:hint="eastAsia" w:ascii="宋体" w:hAnsi="宋体" w:cs="宋体"/>
          <w:b/>
          <w:color w:val="auto"/>
          <w:highlight w:val="none"/>
          <w:lang w:eastAsia="zh-CN"/>
        </w:rPr>
        <w:t>）</w:t>
      </w:r>
      <w:r>
        <w:rPr>
          <w:rFonts w:hint="eastAsia" w:ascii="宋体" w:hAnsi="宋体" w:cs="宋体"/>
          <w:b/>
          <w:color w:val="auto"/>
          <w:highlight w:val="none"/>
        </w:rPr>
        <w:t>投标文件的份数、签署、字体、装订</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投标人必须按“投标人须知前附表”中规定</w:t>
      </w:r>
      <w:r>
        <w:rPr>
          <w:rFonts w:hint="eastAsia" w:ascii="宋体" w:hAnsi="宋体" w:cs="宋体"/>
          <w:color w:val="auto"/>
          <w:highlight w:val="none"/>
          <w:lang w:val="en-US" w:eastAsia="zh-CN"/>
        </w:rPr>
        <w:t>投标文件</w:t>
      </w:r>
      <w:r>
        <w:rPr>
          <w:rFonts w:hint="eastAsia" w:ascii="宋体" w:hAnsi="宋体" w:cs="宋体"/>
          <w:color w:val="auto"/>
          <w:highlight w:val="none"/>
        </w:rPr>
        <w:t>的“正本”</w:t>
      </w:r>
      <w:r>
        <w:rPr>
          <w:rFonts w:hint="eastAsia" w:ascii="宋体" w:hAnsi="宋体" w:cs="宋体"/>
          <w:color w:val="auto"/>
          <w:highlight w:val="none"/>
          <w:lang w:eastAsia="zh-CN"/>
        </w:rPr>
        <w:t>、</w:t>
      </w:r>
      <w:r>
        <w:rPr>
          <w:rFonts w:hint="eastAsia" w:ascii="宋体" w:hAnsi="宋体" w:cs="宋体"/>
          <w:color w:val="auto"/>
          <w:highlight w:val="none"/>
        </w:rPr>
        <w:t>“副本”和</w:t>
      </w:r>
      <w:r>
        <w:rPr>
          <w:rFonts w:hint="eastAsia" w:ascii="宋体" w:hAnsi="宋体" w:cs="宋体"/>
          <w:color w:val="auto"/>
          <w:highlight w:val="none"/>
          <w:lang w:val="en-US" w:eastAsia="zh-CN"/>
        </w:rPr>
        <w:t>电子版投标文件</w:t>
      </w:r>
      <w:r>
        <w:rPr>
          <w:rFonts w:hint="eastAsia" w:ascii="宋体" w:hAnsi="宋体" w:cs="宋体"/>
          <w:color w:val="auto"/>
          <w:highlight w:val="none"/>
        </w:rPr>
        <w:t>份数</w:t>
      </w:r>
      <w:r>
        <w:rPr>
          <w:rFonts w:hint="eastAsia" w:ascii="宋体" w:hAnsi="宋体" w:cs="宋体"/>
          <w:color w:val="auto"/>
          <w:highlight w:val="none"/>
          <w:lang w:val="en-US" w:eastAsia="zh-CN"/>
        </w:rPr>
        <w:t>递交投标文件</w:t>
      </w:r>
      <w:r>
        <w:rPr>
          <w:rFonts w:hint="eastAsia" w:ascii="宋体" w:hAnsi="宋体" w:cs="宋体"/>
          <w:color w:val="auto"/>
          <w:highlight w:val="none"/>
        </w:rPr>
        <w:t>，投标文件正本和副本如有不一致之处，以正本为准，参考资料数量不限。</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投标文件正本与副本须用A4纸用不褪色的墨水笔书写或打印。投标文件的书写应清楚工整，修改处须由投标人法人代表或授权委托人代表</w:t>
      </w:r>
      <w:r>
        <w:rPr>
          <w:rFonts w:hint="eastAsia" w:asciiTheme="minorEastAsia" w:hAnsiTheme="minorEastAsia" w:eastAsiaTheme="minorEastAsia" w:cstheme="minorEastAsia"/>
          <w:color w:val="auto"/>
          <w:highlight w:val="none"/>
        </w:rPr>
        <w:t>签字或加盖私章并加盖单位公章</w:t>
      </w:r>
      <w:r>
        <w:rPr>
          <w:rFonts w:hint="eastAsia" w:ascii="宋体" w:hAnsi="宋体" w:cs="宋体" w:eastAsiaTheme="minorEastAsia"/>
          <w:color w:val="auto"/>
          <w:highlight w:val="none"/>
          <w:lang w:eastAsia="zh-CN"/>
        </w:rPr>
        <w:t>；</w:t>
      </w:r>
      <w:r>
        <w:rPr>
          <w:rFonts w:hint="eastAsia" w:ascii="宋体" w:hAnsi="宋体" w:cs="宋体" w:eastAsiaTheme="minorEastAsia"/>
          <w:color w:val="auto"/>
          <w:highlight w:val="none"/>
          <w:lang w:val="en-US" w:eastAsia="zh-CN"/>
        </w:rPr>
        <w:t>并统一加盖骑缝章；</w:t>
      </w:r>
      <w:r>
        <w:rPr>
          <w:rFonts w:hint="eastAsia" w:ascii="宋体" w:hAnsi="宋体"/>
          <w:color w:val="auto"/>
          <w:highlight w:val="none"/>
          <w:lang w:val="en-US" w:eastAsia="zh-CN"/>
        </w:rPr>
        <w:t>电子版投标文件：</w:t>
      </w:r>
      <w:r>
        <w:rPr>
          <w:rFonts w:hint="eastAsia" w:ascii="宋体" w:hAnsi="宋体" w:eastAsia="宋体" w:cs="宋体"/>
          <w:color w:val="auto"/>
          <w:kern w:val="0"/>
          <w:sz w:val="24"/>
          <w:szCs w:val="24"/>
          <w:highlight w:val="none"/>
          <w:lang w:val="zh-CN" w:eastAsia="zh-CN" w:bidi="ar-SA"/>
        </w:rPr>
        <w:t>电子版U盘</w:t>
      </w:r>
      <w:r>
        <w:rPr>
          <w:rFonts w:hint="eastAsia" w:ascii="宋体" w:hAnsi="宋体" w:eastAsia="宋体" w:cs="宋体"/>
          <w:color w:val="auto"/>
          <w:kern w:val="0"/>
          <w:sz w:val="24"/>
          <w:szCs w:val="24"/>
          <w:highlight w:val="none"/>
          <w:lang w:val="en-US" w:eastAsia="zh-CN" w:bidi="ar-SA"/>
        </w:rPr>
        <w:t>及</w:t>
      </w:r>
      <w:r>
        <w:rPr>
          <w:rFonts w:hint="eastAsia" w:ascii="宋体" w:hAnsi="宋体" w:eastAsia="宋体" w:cs="宋体"/>
          <w:color w:val="auto"/>
          <w:kern w:val="0"/>
          <w:sz w:val="24"/>
          <w:szCs w:val="24"/>
          <w:highlight w:val="none"/>
          <w:lang w:val="zh-CN" w:eastAsia="zh-CN" w:bidi="ar-SA"/>
        </w:rPr>
        <w:t>光盘</w:t>
      </w:r>
      <w:r>
        <w:rPr>
          <w:rFonts w:hint="eastAsia" w:ascii="宋体" w:hAnsi="宋体" w:cs="宋体"/>
          <w:color w:val="auto"/>
          <w:kern w:val="0"/>
          <w:sz w:val="24"/>
          <w:szCs w:val="24"/>
          <w:highlight w:val="none"/>
          <w:lang w:val="en-US" w:eastAsia="zh-CN" w:bidi="ar-SA"/>
        </w:rPr>
        <w:t>各一份</w:t>
      </w:r>
      <w:r>
        <w:rPr>
          <w:rFonts w:hint="eastAsia" w:ascii="宋体" w:hAnsi="宋体"/>
          <w:color w:val="auto"/>
          <w:highlight w:val="none"/>
          <w:lang w:val="en-US" w:eastAsia="zh-CN"/>
        </w:rPr>
        <w:t>。</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rPr>
        <w:t>3</w:t>
      </w:r>
      <w:r>
        <w:rPr>
          <w:rFonts w:hint="eastAsia" w:ascii="宋体" w:hAnsi="宋体" w:cs="宋体"/>
          <w:color w:val="auto"/>
          <w:highlight w:val="none"/>
        </w:rPr>
        <w:t xml:space="preserve"> 投标文件应在规定企业法人或法人授权代表签字盖章处逐一签字盖章并在规定加盖单位公章处加盖单位公章。</w:t>
      </w:r>
    </w:p>
    <w:p>
      <w:pPr>
        <w:spacing w:line="440" w:lineRule="exact"/>
        <w:ind w:firstLine="422" w:firstLineChars="200"/>
        <w:rPr>
          <w:rFonts w:ascii="宋体" w:hAnsi="宋体" w:cs="宋体"/>
          <w:color w:val="auto"/>
          <w:highlight w:val="none"/>
        </w:rPr>
      </w:pPr>
      <w:r>
        <w:rPr>
          <w:rFonts w:hint="eastAsia" w:ascii="宋体" w:hAnsi="宋体" w:cs="宋体"/>
          <w:b/>
          <w:color w:val="auto"/>
          <w:highlight w:val="none"/>
          <w:lang w:val="en-US" w:eastAsia="zh-CN"/>
        </w:rPr>
        <w:t>4</w:t>
      </w:r>
      <w:r>
        <w:rPr>
          <w:rFonts w:hint="eastAsia" w:ascii="宋体" w:hAnsi="宋体" w:cs="宋体"/>
          <w:color w:val="auto"/>
          <w:highlight w:val="none"/>
        </w:rPr>
        <w:t>投标文件一律采用胶装方式进行装订。</w:t>
      </w:r>
    </w:p>
    <w:p>
      <w:pPr>
        <w:spacing w:line="440" w:lineRule="exact"/>
        <w:ind w:firstLine="211" w:firstLineChars="1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十</w:t>
      </w:r>
      <w:r>
        <w:rPr>
          <w:rFonts w:hint="eastAsia" w:ascii="宋体" w:hAnsi="宋体" w:cs="宋体"/>
          <w:b/>
          <w:color w:val="auto"/>
          <w:highlight w:val="none"/>
          <w:lang w:eastAsia="zh-CN"/>
        </w:rPr>
        <w:t>）</w:t>
      </w:r>
      <w:r>
        <w:rPr>
          <w:rFonts w:hint="eastAsia" w:ascii="宋体" w:hAnsi="宋体" w:cs="宋体"/>
          <w:b/>
          <w:color w:val="auto"/>
          <w:highlight w:val="none"/>
        </w:rPr>
        <w:t>投标保证金</w:t>
      </w:r>
    </w:p>
    <w:p>
      <w:pPr>
        <w:spacing w:line="440" w:lineRule="exact"/>
        <w:ind w:firstLine="422" w:firstLineChars="200"/>
        <w:rPr>
          <w:rFonts w:hint="eastAsia" w:ascii="宋体" w:hAnsi="宋体" w:eastAsia="宋体" w:cs="宋体"/>
          <w:color w:val="auto"/>
          <w:highlight w:val="none"/>
          <w:lang w:eastAsia="zh-CN"/>
        </w:rPr>
      </w:pPr>
      <w:r>
        <w:rPr>
          <w:rFonts w:hint="eastAsia" w:ascii="宋体" w:hAnsi="宋体" w:cs="宋体"/>
          <w:b/>
          <w:color w:val="auto"/>
          <w:highlight w:val="none"/>
        </w:rPr>
        <w:t>1</w:t>
      </w:r>
      <w:r>
        <w:rPr>
          <w:rFonts w:hint="eastAsia" w:ascii="宋体" w:hAnsi="宋体" w:cs="宋体"/>
          <w:color w:val="auto"/>
          <w:highlight w:val="none"/>
        </w:rPr>
        <w:t xml:space="preserve"> 投标保证金数额详见投标须知前附表</w:t>
      </w:r>
      <w:r>
        <w:rPr>
          <w:rFonts w:hint="eastAsia" w:ascii="宋体" w:hAnsi="宋体" w:cs="宋体"/>
          <w:color w:val="auto"/>
          <w:highlight w:val="none"/>
          <w:lang w:eastAsia="zh-CN"/>
        </w:rPr>
        <w:t>。</w:t>
      </w:r>
    </w:p>
    <w:p>
      <w:pPr>
        <w:spacing w:line="440" w:lineRule="exact"/>
        <w:ind w:firstLine="422" w:firstLineChars="200"/>
        <w:rPr>
          <w:rFonts w:hint="eastAsia"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若</w:t>
      </w:r>
      <w:r>
        <w:rPr>
          <w:rFonts w:hint="eastAsia" w:ascii="宋体" w:hAnsi="宋体" w:cs="宋体"/>
          <w:color w:val="auto"/>
          <w:highlight w:val="none"/>
          <w:lang w:eastAsia="zh-CN"/>
        </w:rPr>
        <w:t>供应商</w:t>
      </w:r>
      <w:r>
        <w:rPr>
          <w:rFonts w:hint="eastAsia" w:ascii="宋体" w:hAnsi="宋体" w:cs="宋体"/>
          <w:color w:val="auto"/>
          <w:highlight w:val="none"/>
        </w:rPr>
        <w:t>有违规行为而令招标人受到损害时，招标人将扣除全部或部分投标保证金，将其作为所受损害的补偿。</w:t>
      </w:r>
    </w:p>
    <w:p>
      <w:pPr>
        <w:spacing w:line="440" w:lineRule="exact"/>
        <w:ind w:firstLine="422" w:firstLineChars="200"/>
        <w:rPr>
          <w:rFonts w:hint="eastAsia" w:ascii="宋体" w:hAnsi="宋体" w:cs="宋体"/>
          <w:color w:val="auto"/>
          <w:highlight w:val="none"/>
          <w:lang w:eastAsia="zh-CN"/>
        </w:rPr>
      </w:pPr>
      <w:r>
        <w:rPr>
          <w:rFonts w:hint="eastAsia" w:ascii="宋体" w:hAnsi="宋体" w:cs="宋体"/>
          <w:b/>
          <w:color w:val="auto"/>
          <w:highlight w:val="none"/>
          <w:lang w:val="en-US" w:eastAsia="zh-CN"/>
        </w:rPr>
        <w:t>3</w:t>
      </w:r>
      <w:r>
        <w:rPr>
          <w:rFonts w:hint="eastAsia" w:ascii="宋体" w:hAnsi="宋体" w:cs="宋体"/>
          <w:color w:val="auto"/>
          <w:highlight w:val="none"/>
        </w:rPr>
        <w:t>　</w:t>
      </w:r>
      <w:r>
        <w:rPr>
          <w:rFonts w:hint="eastAsia" w:ascii="宋体" w:hAnsi="宋体" w:cs="宋体"/>
          <w:color w:val="auto"/>
          <w:highlight w:val="none"/>
          <w:lang w:val="en-US" w:eastAsia="zh-CN"/>
        </w:rPr>
        <w:t>投标保证金可以用支票、汇票或者金融机构、担保机构出具的保函等非现金形式缴纳。</w:t>
      </w:r>
      <w:r>
        <w:rPr>
          <w:rFonts w:hint="eastAsia" w:ascii="宋体" w:hAnsi="宋体" w:cs="宋体"/>
          <w:color w:val="auto"/>
          <w:highlight w:val="none"/>
        </w:rPr>
        <w:t>使用转账汇款缴纳投标保证金时，必须以投标单位的名义缴纳投标保证金,投标单位在缴纳投标保证金时备注项目名称及用途,于开标前缴入指定账户</w:t>
      </w:r>
      <w:r>
        <w:rPr>
          <w:rFonts w:hint="eastAsia" w:ascii="宋体" w:hAnsi="宋体" w:cs="宋体"/>
          <w:color w:val="auto"/>
          <w:highlight w:val="none"/>
          <w:lang w:eastAsia="zh-CN"/>
        </w:rPr>
        <w:t>。（具体说明详见第一部分供应商须知）。</w:t>
      </w:r>
    </w:p>
    <w:p>
      <w:pPr>
        <w:spacing w:line="440" w:lineRule="exact"/>
        <w:ind w:firstLine="422" w:firstLineChars="200"/>
        <w:rPr>
          <w:rFonts w:hint="eastAsia" w:ascii="宋体" w:hAnsi="宋体" w:cs="宋体"/>
          <w:color w:val="auto"/>
          <w:highlight w:val="none"/>
        </w:rPr>
      </w:pPr>
      <w:r>
        <w:rPr>
          <w:rFonts w:hint="eastAsia" w:ascii="宋体" w:hAnsi="宋体" w:cs="宋体"/>
          <w:b/>
          <w:color w:val="auto"/>
          <w:highlight w:val="none"/>
          <w:lang w:val="en-US" w:eastAsia="zh-CN"/>
        </w:rPr>
        <w:t>4</w:t>
      </w:r>
      <w:r>
        <w:rPr>
          <w:rFonts w:hint="eastAsia" w:ascii="宋体" w:hAnsi="宋体" w:cs="宋体"/>
          <w:color w:val="auto"/>
          <w:highlight w:val="none"/>
        </w:rPr>
        <w:t>下列任何情况发生时，投标保证金将不予退还，转为违约金：</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 xml:space="preserve">(1)  </w:t>
      </w:r>
      <w:r>
        <w:rPr>
          <w:rFonts w:hint="eastAsia" w:ascii="宋体" w:hAnsi="宋体" w:cs="宋体"/>
          <w:color w:val="auto"/>
          <w:highlight w:val="none"/>
          <w:lang w:eastAsia="zh-CN"/>
        </w:rPr>
        <w:t>供应商</w:t>
      </w:r>
      <w:r>
        <w:rPr>
          <w:rFonts w:hint="eastAsia" w:ascii="宋体" w:hAnsi="宋体" w:cs="宋体"/>
          <w:color w:val="auto"/>
          <w:highlight w:val="none"/>
        </w:rPr>
        <w:t>在投标截止期后，投标有效期内撤回投标；</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 xml:space="preserve">(2)  </w:t>
      </w:r>
      <w:r>
        <w:rPr>
          <w:rFonts w:hint="eastAsia" w:ascii="宋体" w:hAnsi="宋体" w:cs="宋体"/>
          <w:color w:val="auto"/>
          <w:highlight w:val="none"/>
          <w:lang w:eastAsia="zh-CN"/>
        </w:rPr>
        <w:t>供应商</w:t>
      </w:r>
      <w:r>
        <w:rPr>
          <w:rFonts w:hint="eastAsia" w:ascii="宋体" w:hAnsi="宋体" w:cs="宋体"/>
          <w:color w:val="auto"/>
          <w:highlight w:val="none"/>
        </w:rPr>
        <w:t>在规定期限内未按规定向采购人缴纳履约保证金；</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(3)  中标方未按</w:t>
      </w:r>
      <w:r>
        <w:rPr>
          <w:rFonts w:hint="eastAsia" w:ascii="宋体" w:hAnsi="宋体" w:cs="宋体"/>
          <w:color w:val="auto"/>
          <w:highlight w:val="none"/>
          <w:lang w:eastAsia="zh-CN"/>
        </w:rPr>
        <w:t>供应商</w:t>
      </w:r>
      <w:r>
        <w:rPr>
          <w:rFonts w:hint="eastAsia" w:ascii="宋体" w:hAnsi="宋体" w:cs="宋体"/>
          <w:color w:val="auto"/>
          <w:highlight w:val="none"/>
        </w:rPr>
        <w:t>须知规定缴纳招标代理费；</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(4)  以他人名义投标或者以其他方式弄虚作假，骗取中标；</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(5)  打架斗殴，扰乱标场秩序；</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(6)  本招标文件中或《政府采购货物和服务招标投标管理办法》第七十五条规定的其他不予退还投标保证金的情形。</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rPr>
        <w:t>上述不予退还投标保证金的情况并给招标代理机构造成损失的，还要承担赔偿责任。</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 xml:space="preserve"> 发生以下情况，投标保证金可能被</w:t>
      </w:r>
      <w:r>
        <w:rPr>
          <w:rFonts w:hint="eastAsia" w:ascii="宋体" w:hAnsi="宋体" w:cs="宋体"/>
          <w:color w:val="auto"/>
          <w:highlight w:val="none"/>
          <w:lang w:val="en-US" w:eastAsia="zh-CN"/>
        </w:rPr>
        <w:t>不予退回</w:t>
      </w:r>
      <w:r>
        <w:rPr>
          <w:rFonts w:hint="eastAsia" w:ascii="宋体" w:hAnsi="宋体" w:cs="宋体"/>
          <w:color w:val="auto"/>
          <w:highlight w:val="none"/>
        </w:rPr>
        <w:t>：</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.1报价方在提交投标文件截止时间后撤回投标文件的；</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.2 报价方在投标文件中提供虚假材料的；</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 xml:space="preserve">.3 除因不可抗力或招标文件认可的情形以外，中标方不与采购人签订合同的； </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.4 报价方与采购人、其他报价方或者采购方恶意串通的；</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.5 投标文件规定的其他情形。</w:t>
      </w:r>
    </w:p>
    <w:p>
      <w:pPr>
        <w:spacing w:line="440" w:lineRule="exact"/>
        <w:ind w:firstLine="420" w:firstLineChars="200"/>
        <w:rPr>
          <w:rFonts w:hint="eastAsia" w:ascii="宋体" w:hAnsi="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.6、因投标人违规、违法导致项目废标的。</w:t>
      </w:r>
    </w:p>
    <w:p>
      <w:pPr>
        <w:pStyle w:val="4"/>
        <w:numPr>
          <w:ilvl w:val="1"/>
          <w:numId w:val="0"/>
        </w:numPr>
        <w:ind w:leftChars="0"/>
        <w:jc w:val="center"/>
        <w:rPr>
          <w:rFonts w:hint="eastAsia" w:ascii="宋体" w:hAnsi="宋体" w:cs="宋体"/>
          <w:color w:val="auto"/>
          <w:sz w:val="28"/>
          <w:highlight w:val="none"/>
        </w:rPr>
      </w:pPr>
      <w:bookmarkStart w:id="77" w:name="_Toc15819"/>
      <w:bookmarkStart w:id="78" w:name="_Toc13276"/>
      <w:bookmarkStart w:id="79" w:name="_Toc3874"/>
      <w:r>
        <w:rPr>
          <w:rFonts w:hint="eastAsia" w:ascii="宋体" w:hAnsi="宋体" w:cs="宋体"/>
          <w:color w:val="auto"/>
          <w:sz w:val="28"/>
          <w:highlight w:val="none"/>
          <w:lang w:val="en-US" w:eastAsia="zh-CN"/>
        </w:rPr>
        <w:t>三、</w:t>
      </w:r>
      <w:r>
        <w:rPr>
          <w:rFonts w:hint="eastAsia" w:ascii="宋体" w:hAnsi="宋体" w:cs="宋体"/>
          <w:color w:val="auto"/>
          <w:sz w:val="28"/>
          <w:highlight w:val="none"/>
        </w:rPr>
        <w:t>投标文件递交</w:t>
      </w:r>
      <w:bookmarkEnd w:id="77"/>
      <w:bookmarkEnd w:id="78"/>
      <w:bookmarkEnd w:id="79"/>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lang w:eastAsia="zh-CN"/>
        </w:rPr>
        <w:t>（</w:t>
      </w:r>
      <w:r>
        <w:rPr>
          <w:rFonts w:hint="eastAsia" w:ascii="宋体" w:hAnsi="宋体" w:cs="宋体"/>
          <w:b/>
          <w:bCs/>
          <w:color w:val="auto"/>
          <w:highlight w:val="none"/>
          <w:lang w:val="en-US" w:eastAsia="zh-CN"/>
        </w:rPr>
        <w:t>一</w:t>
      </w:r>
      <w:r>
        <w:rPr>
          <w:rFonts w:hint="eastAsia" w:ascii="宋体" w:hAnsi="宋体" w:cs="宋体"/>
          <w:b/>
          <w:bCs/>
          <w:color w:val="auto"/>
          <w:highlight w:val="none"/>
          <w:lang w:eastAsia="zh-CN"/>
        </w:rPr>
        <w:t>）</w:t>
      </w:r>
      <w:r>
        <w:rPr>
          <w:rFonts w:hint="eastAsia" w:ascii="宋体" w:hAnsi="宋体" w:cs="宋体"/>
          <w:b/>
          <w:bCs/>
          <w:color w:val="auto"/>
          <w:highlight w:val="none"/>
        </w:rPr>
        <w:t>投标文件的密封与标记</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1将投标文件正、副本装入投标文件袋内加以密封，并在密封件的封面上标明投标</w:t>
      </w:r>
      <w:r>
        <w:rPr>
          <w:rFonts w:hint="eastAsia" w:ascii="宋体" w:hAnsi="宋体" w:cs="宋体"/>
          <w:b/>
          <w:bCs/>
          <w:color w:val="auto"/>
          <w:highlight w:val="none"/>
          <w:lang w:val="en-US" w:eastAsia="zh-CN"/>
        </w:rPr>
        <w:t>单位</w:t>
      </w:r>
      <w:r>
        <w:rPr>
          <w:rFonts w:hint="eastAsia" w:ascii="宋体" w:hAnsi="宋体" w:cs="宋体"/>
          <w:b/>
          <w:bCs/>
          <w:color w:val="auto"/>
          <w:highlight w:val="none"/>
        </w:rPr>
        <w:t>名称、法定代表人、单位公章、正本或副本，且开启处密封并加盖公章（或合同专用章）。</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2正本 1份、副本</w:t>
      </w:r>
      <w:r>
        <w:rPr>
          <w:rFonts w:hint="eastAsia" w:ascii="宋体" w:hAnsi="宋体" w:cs="宋体"/>
          <w:b/>
          <w:bCs/>
          <w:color w:val="auto"/>
          <w:highlight w:val="none"/>
          <w:lang w:val="en-US" w:eastAsia="zh-CN"/>
        </w:rPr>
        <w:t>4</w:t>
      </w:r>
      <w:r>
        <w:rPr>
          <w:rFonts w:hint="eastAsia" w:ascii="宋体" w:hAnsi="宋体" w:cs="宋体"/>
          <w:b/>
          <w:bCs/>
          <w:color w:val="auto"/>
          <w:highlight w:val="none"/>
        </w:rPr>
        <w:t>份，开标一览表及投标文件电子版（U盘）各1份且密封，投标文件一律采用胶装不得有掉页、漏页等现象，否则作否决投标处理。</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3所有投标文件信袋及包装物上均应贴上封条，封条上应注明以下内容：</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（1）招标单位；</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（2）项目名称；</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（3）项目编号；</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（4）投标企业名称和地址；</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（5）联系人、联系电话；</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w:t>
      </w:r>
      <w:r>
        <w:rPr>
          <w:rFonts w:hint="eastAsia" w:ascii="宋体" w:hAnsi="宋体" w:cs="宋体"/>
          <w:b/>
          <w:bCs/>
          <w:color w:val="auto"/>
          <w:highlight w:val="none"/>
          <w:lang w:val="en-US" w:eastAsia="zh-CN"/>
        </w:rPr>
        <w:t>6</w:t>
      </w:r>
      <w:r>
        <w:rPr>
          <w:rFonts w:hint="eastAsia" w:ascii="宋体" w:hAnsi="宋体" w:cs="宋体"/>
          <w:b/>
          <w:bCs/>
          <w:color w:val="auto"/>
          <w:highlight w:val="none"/>
        </w:rPr>
        <w:t>）法定代表人签字并盖章；</w:t>
      </w:r>
    </w:p>
    <w:p>
      <w:pPr>
        <w:spacing w:line="360" w:lineRule="auto"/>
        <w:ind w:firstLine="422" w:firstLineChars="200"/>
        <w:rPr>
          <w:rFonts w:hint="eastAsia" w:ascii="宋体" w:hAnsi="宋体" w:cs="宋体"/>
          <w:b/>
          <w:bCs/>
          <w:color w:val="auto"/>
          <w:highlight w:val="none"/>
        </w:rPr>
      </w:pPr>
      <w:r>
        <w:rPr>
          <w:rFonts w:hint="eastAsia" w:ascii="宋体" w:hAnsi="宋体" w:cs="宋体"/>
          <w:b/>
          <w:bCs/>
          <w:color w:val="auto"/>
          <w:highlight w:val="none"/>
        </w:rPr>
        <w:t>（7）“年月日时 分开标前不准启封”；</w:t>
      </w:r>
    </w:p>
    <w:p>
      <w:pPr>
        <w:spacing w:line="360" w:lineRule="auto"/>
        <w:rPr>
          <w:rFonts w:ascii="宋体" w:hAnsi="宋体" w:cs="宋体"/>
          <w:b/>
          <w:bCs/>
          <w:color w:val="auto"/>
          <w:highlight w:val="none"/>
        </w:rPr>
      </w:pPr>
      <w:r>
        <w:rPr>
          <w:rFonts w:hint="eastAsia" w:ascii="宋体" w:hAnsi="宋体" w:cs="宋体"/>
          <w:b/>
          <w:bCs/>
          <w:color w:val="auto"/>
          <w:highlight w:val="none"/>
          <w:lang w:val="en-US" w:eastAsia="zh-CN"/>
        </w:rPr>
        <w:t xml:space="preserve">   </w:t>
      </w:r>
      <w:r>
        <w:rPr>
          <w:rFonts w:hint="eastAsia" w:ascii="宋体" w:hAnsi="宋体" w:cs="宋体"/>
          <w:b/>
          <w:bCs/>
          <w:color w:val="auto"/>
          <w:highlight w:val="none"/>
        </w:rPr>
        <w:t>4未按本须知要求密封、标记和递交的投标文件，后果自负。</w:t>
      </w:r>
    </w:p>
    <w:p>
      <w:pPr>
        <w:spacing w:line="360" w:lineRule="auto"/>
        <w:rPr>
          <w:rFonts w:hint="eastAsia" w:ascii="宋体" w:hAnsi="宋体" w:cs="宋体"/>
          <w:b/>
          <w:bCs/>
          <w:color w:val="auto"/>
          <w:highlight w:val="none"/>
        </w:rPr>
      </w:pPr>
      <w:r>
        <w:rPr>
          <w:rFonts w:hint="eastAsia" w:ascii="宋体" w:hAnsi="宋体" w:cs="宋体"/>
          <w:b/>
          <w:bCs/>
          <w:color w:val="auto"/>
          <w:highlight w:val="none"/>
          <w:lang w:val="en-US" w:eastAsia="zh-CN"/>
        </w:rPr>
        <w:t xml:space="preserve">   </w:t>
      </w:r>
      <w:r>
        <w:rPr>
          <w:rFonts w:hint="eastAsia" w:ascii="宋体" w:hAnsi="宋体" w:cs="宋体"/>
          <w:b/>
          <w:bCs/>
          <w:color w:val="auto"/>
          <w:highlight w:val="none"/>
        </w:rPr>
        <w:t>5未按要求密封、标记和递交的投标文件，招标机构将视为不响应投标予以拒绝</w:t>
      </w:r>
      <w:r>
        <w:rPr>
          <w:rFonts w:hint="eastAsia" w:ascii="宋体" w:hAnsi="宋体" w:cs="宋体"/>
          <w:b/>
          <w:bCs/>
          <w:color w:val="auto"/>
          <w:highlight w:val="none"/>
          <w:lang w:val="en-US" w:eastAsia="zh-CN"/>
        </w:rPr>
        <w:t>接收</w:t>
      </w:r>
      <w:r>
        <w:rPr>
          <w:rFonts w:hint="eastAsia" w:ascii="宋体" w:hAnsi="宋体" w:cs="宋体"/>
          <w:b/>
          <w:bCs/>
          <w:color w:val="auto"/>
          <w:highlight w:val="none"/>
        </w:rPr>
        <w:t>。</w:t>
      </w:r>
    </w:p>
    <w:p>
      <w:pPr>
        <w:spacing w:line="360" w:lineRule="auto"/>
        <w:ind w:firstLine="211" w:firstLineChars="100"/>
        <w:rPr>
          <w:rFonts w:hint="eastAsia" w:ascii="宋体" w:hAnsi="宋体" w:cs="宋体"/>
          <w:b/>
          <w:bCs/>
          <w:color w:val="auto"/>
          <w:highlight w:val="none"/>
        </w:rPr>
      </w:pPr>
      <w:r>
        <w:rPr>
          <w:rFonts w:hint="eastAsia" w:ascii="宋体" w:hAnsi="宋体" w:cs="宋体"/>
          <w:b/>
          <w:bCs/>
          <w:color w:val="auto"/>
          <w:highlight w:val="none"/>
          <w:lang w:eastAsia="zh-CN"/>
        </w:rPr>
        <w:t>（</w:t>
      </w:r>
      <w:r>
        <w:rPr>
          <w:rFonts w:hint="eastAsia" w:ascii="宋体" w:hAnsi="宋体" w:cs="宋体"/>
          <w:b/>
          <w:bCs/>
          <w:color w:val="auto"/>
          <w:highlight w:val="none"/>
          <w:lang w:val="en-US" w:eastAsia="zh-CN"/>
        </w:rPr>
        <w:t>二</w:t>
      </w:r>
      <w:r>
        <w:rPr>
          <w:rFonts w:hint="eastAsia" w:ascii="宋体" w:hAnsi="宋体" w:cs="宋体"/>
          <w:b/>
          <w:bCs/>
          <w:color w:val="auto"/>
          <w:highlight w:val="none"/>
          <w:lang w:eastAsia="zh-CN"/>
        </w:rPr>
        <w:t>）</w:t>
      </w:r>
      <w:r>
        <w:rPr>
          <w:rFonts w:hint="eastAsia" w:ascii="宋体" w:hAnsi="宋体" w:cs="宋体"/>
          <w:b/>
          <w:bCs/>
          <w:color w:val="auto"/>
          <w:highlight w:val="none"/>
        </w:rPr>
        <w:t>投标文件递交的截止日期</w:t>
      </w:r>
    </w:p>
    <w:p>
      <w:pPr>
        <w:spacing w:line="360" w:lineRule="auto"/>
        <w:ind w:firstLine="420" w:firstLineChars="200"/>
        <w:rPr>
          <w:rFonts w:hint="eastAsia" w:ascii="宋体" w:hAnsi="宋体" w:cs="宋体"/>
          <w:color w:val="auto"/>
          <w:highlight w:val="none"/>
        </w:rPr>
      </w:pPr>
      <w:r>
        <w:rPr>
          <w:rFonts w:hint="eastAsia" w:ascii="宋体" w:hAnsi="宋体" w:cs="宋体"/>
          <w:color w:val="auto"/>
          <w:highlight w:val="none"/>
        </w:rPr>
        <w:t>1 投标人必须按“投标人须知前附表”中规定的投标截止时间将投标文件送达开标地点。</w:t>
      </w:r>
    </w:p>
    <w:p>
      <w:pPr>
        <w:spacing w:line="360" w:lineRule="auto"/>
        <w:ind w:firstLine="420" w:firstLineChars="200"/>
        <w:rPr>
          <w:rFonts w:hint="eastAsia" w:ascii="宋体" w:hAnsi="宋体" w:cs="宋体"/>
          <w:color w:val="auto"/>
          <w:highlight w:val="none"/>
        </w:rPr>
      </w:pPr>
      <w:r>
        <w:rPr>
          <w:rFonts w:hint="eastAsia" w:ascii="宋体" w:hAnsi="宋体" w:cs="宋体"/>
          <w:color w:val="auto"/>
          <w:highlight w:val="none"/>
        </w:rPr>
        <w:t>2 超过招标文件规定的投标截止时间送达或邮寄的投标文件将不予接受。</w:t>
      </w:r>
    </w:p>
    <w:p>
      <w:pPr>
        <w:spacing w:line="360" w:lineRule="auto"/>
        <w:ind w:firstLine="211" w:firstLineChars="100"/>
        <w:rPr>
          <w:rFonts w:hint="eastAsia" w:ascii="宋体" w:hAnsi="宋体" w:cs="宋体"/>
          <w:b/>
          <w:bCs/>
          <w:color w:val="auto"/>
          <w:highlight w:val="none"/>
        </w:rPr>
      </w:pPr>
      <w:r>
        <w:rPr>
          <w:rFonts w:hint="eastAsia" w:ascii="宋体" w:hAnsi="宋体" w:cs="宋体"/>
          <w:b/>
          <w:bCs/>
          <w:color w:val="auto"/>
          <w:highlight w:val="none"/>
          <w:lang w:eastAsia="zh-CN"/>
        </w:rPr>
        <w:t>（</w:t>
      </w:r>
      <w:r>
        <w:rPr>
          <w:rFonts w:hint="eastAsia" w:ascii="宋体" w:hAnsi="宋体" w:cs="宋体"/>
          <w:b/>
          <w:bCs/>
          <w:color w:val="auto"/>
          <w:highlight w:val="none"/>
          <w:lang w:val="en-US" w:eastAsia="zh-CN"/>
        </w:rPr>
        <w:t>三</w:t>
      </w:r>
      <w:r>
        <w:rPr>
          <w:rFonts w:hint="eastAsia" w:ascii="宋体" w:hAnsi="宋体" w:cs="宋体"/>
          <w:b/>
          <w:bCs/>
          <w:color w:val="auto"/>
          <w:highlight w:val="none"/>
          <w:lang w:eastAsia="zh-CN"/>
        </w:rPr>
        <w:t>）</w:t>
      </w:r>
      <w:r>
        <w:rPr>
          <w:rFonts w:hint="eastAsia" w:ascii="宋体" w:hAnsi="宋体" w:cs="宋体"/>
          <w:b/>
          <w:bCs/>
          <w:color w:val="auto"/>
          <w:highlight w:val="none"/>
        </w:rPr>
        <w:t>投标文件的修改和撤销</w:t>
      </w:r>
    </w:p>
    <w:p>
      <w:pPr>
        <w:spacing w:line="360" w:lineRule="auto"/>
        <w:ind w:firstLine="420" w:firstLineChars="200"/>
        <w:rPr>
          <w:rFonts w:hint="eastAsia" w:ascii="宋体" w:hAnsi="宋体" w:cs="宋体"/>
          <w:color w:val="auto"/>
          <w:highlight w:val="none"/>
        </w:rPr>
      </w:pPr>
      <w:r>
        <w:rPr>
          <w:rFonts w:hint="eastAsia" w:ascii="宋体" w:hAnsi="宋体" w:cs="宋体"/>
          <w:color w:val="auto"/>
          <w:highlight w:val="none"/>
        </w:rPr>
        <w:t>1 投标人可以在递交投标文件后，在规定的投标截止时间前，以书面形式向招标人递交通知修改或撤回其投标文件。</w:t>
      </w:r>
    </w:p>
    <w:p>
      <w:pPr>
        <w:spacing w:line="360" w:lineRule="auto"/>
        <w:ind w:firstLine="420" w:firstLineChars="200"/>
        <w:rPr>
          <w:rFonts w:hint="eastAsia" w:ascii="宋体" w:hAnsi="宋体" w:cs="宋体"/>
          <w:color w:val="auto"/>
          <w:highlight w:val="none"/>
        </w:rPr>
      </w:pPr>
      <w:r>
        <w:rPr>
          <w:rFonts w:hint="eastAsia" w:ascii="宋体" w:hAnsi="宋体" w:cs="宋体"/>
          <w:color w:val="auto"/>
          <w:highlight w:val="none"/>
        </w:rPr>
        <w:t>2 投标人对投标文件的修改或撤销应按本章第</w:t>
      </w:r>
      <w:r>
        <w:rPr>
          <w:rFonts w:hint="eastAsia" w:ascii="宋体" w:hAnsi="宋体" w:cs="宋体"/>
          <w:color w:val="auto"/>
          <w:highlight w:val="none"/>
          <w:lang w:val="en-US" w:eastAsia="zh-CN"/>
        </w:rPr>
        <w:t>26</w:t>
      </w:r>
      <w:r>
        <w:rPr>
          <w:rFonts w:hint="eastAsia" w:ascii="宋体" w:hAnsi="宋体" w:cs="宋体"/>
          <w:color w:val="auto"/>
          <w:highlight w:val="none"/>
        </w:rPr>
        <w:t>和</w:t>
      </w:r>
      <w:r>
        <w:rPr>
          <w:rFonts w:hint="eastAsia" w:ascii="宋体" w:hAnsi="宋体" w:cs="宋体"/>
          <w:color w:val="auto"/>
          <w:highlight w:val="none"/>
          <w:lang w:val="en-US" w:eastAsia="zh-CN"/>
        </w:rPr>
        <w:t>27</w:t>
      </w:r>
      <w:r>
        <w:rPr>
          <w:rFonts w:hint="eastAsia" w:ascii="宋体" w:hAnsi="宋体" w:cs="宋体"/>
          <w:color w:val="auto"/>
          <w:highlight w:val="none"/>
        </w:rPr>
        <w:t>条规定进行准备、密封、标注和递交。</w:t>
      </w:r>
    </w:p>
    <w:p>
      <w:pPr>
        <w:spacing w:line="360" w:lineRule="auto"/>
        <w:ind w:firstLine="420" w:firstLineChars="200"/>
        <w:rPr>
          <w:rFonts w:hint="eastAsia" w:ascii="宋体" w:hAnsi="宋体" w:cs="宋体"/>
          <w:color w:val="auto"/>
          <w:highlight w:val="none"/>
        </w:rPr>
      </w:pPr>
      <w:r>
        <w:rPr>
          <w:rFonts w:hint="eastAsia" w:ascii="宋体" w:hAnsi="宋体" w:cs="宋体"/>
          <w:color w:val="auto"/>
          <w:highlight w:val="none"/>
        </w:rPr>
        <w:t>3 投标截止时间后不得修改投标文件。</w:t>
      </w:r>
    </w:p>
    <w:p>
      <w:pPr>
        <w:spacing w:line="360" w:lineRule="auto"/>
        <w:rPr>
          <w:rFonts w:ascii="宋体" w:hAnsi="宋体" w:cs="宋体"/>
          <w:color w:val="auto"/>
          <w:highlight w:val="none"/>
        </w:rPr>
      </w:pPr>
      <w:r>
        <w:rPr>
          <w:rFonts w:hint="eastAsia" w:ascii="宋体" w:hAnsi="宋体" w:cs="宋体"/>
          <w:color w:val="auto"/>
          <w:highlight w:val="none"/>
          <w:lang w:val="en-US" w:eastAsia="zh-CN"/>
        </w:rPr>
        <w:t xml:space="preserve">    </w:t>
      </w:r>
      <w:r>
        <w:rPr>
          <w:rFonts w:hint="eastAsia" w:ascii="宋体" w:hAnsi="宋体" w:cs="宋体"/>
          <w:color w:val="auto"/>
          <w:highlight w:val="none"/>
        </w:rPr>
        <w:t>4 投标人不得在投标截止时间起至投标文件有效期满前撤销投标文件，否则招标机构将没收投标保证金，作为对招标代理机构和招标人的违约赔偿金。</w:t>
      </w:r>
    </w:p>
    <w:p>
      <w:pPr>
        <w:pStyle w:val="4"/>
        <w:numPr>
          <w:ilvl w:val="1"/>
          <w:numId w:val="0"/>
        </w:numPr>
        <w:jc w:val="center"/>
        <w:rPr>
          <w:rFonts w:ascii="宋体" w:hAnsi="宋体" w:cs="宋体"/>
          <w:color w:val="auto"/>
          <w:sz w:val="28"/>
          <w:highlight w:val="none"/>
        </w:rPr>
      </w:pPr>
      <w:bookmarkStart w:id="80" w:name="_Toc15351"/>
      <w:bookmarkStart w:id="81" w:name="_Toc32206"/>
      <w:bookmarkStart w:id="82" w:name="_Toc7815"/>
      <w:r>
        <w:rPr>
          <w:rFonts w:hint="eastAsia" w:ascii="宋体" w:hAnsi="宋体" w:cs="宋体"/>
          <w:color w:val="auto"/>
          <w:sz w:val="28"/>
          <w:highlight w:val="none"/>
          <w:lang w:val="en-US" w:eastAsia="zh-CN"/>
        </w:rPr>
        <w:t>四、</w:t>
      </w:r>
      <w:r>
        <w:rPr>
          <w:rFonts w:hint="eastAsia" w:ascii="宋体" w:hAnsi="宋体" w:cs="宋体"/>
          <w:color w:val="auto"/>
          <w:sz w:val="28"/>
          <w:highlight w:val="none"/>
        </w:rPr>
        <w:t>开标</w:t>
      </w:r>
      <w:bookmarkEnd w:id="80"/>
      <w:bookmarkEnd w:id="81"/>
      <w:bookmarkEnd w:id="82"/>
    </w:p>
    <w:p>
      <w:pPr>
        <w:spacing w:line="360" w:lineRule="auto"/>
        <w:ind w:firstLine="422" w:firstLineChars="200"/>
        <w:rPr>
          <w:rFonts w:hint="eastAsia" w:ascii="宋体" w:hAnsi="宋体" w:eastAsia="宋体" w:cs="宋体"/>
          <w:b/>
          <w:color w:val="auto"/>
          <w:highlight w:val="none"/>
          <w:lang w:val="en-US" w:eastAsia="zh-CN"/>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一</w:t>
      </w:r>
      <w:r>
        <w:rPr>
          <w:rFonts w:hint="eastAsia" w:ascii="宋体" w:hAnsi="宋体" w:cs="宋体"/>
          <w:b/>
          <w:color w:val="auto"/>
          <w:highlight w:val="none"/>
          <w:lang w:eastAsia="zh-CN"/>
        </w:rPr>
        <w:t>）</w:t>
      </w:r>
      <w:r>
        <w:rPr>
          <w:rFonts w:hint="eastAsia" w:ascii="宋体" w:hAnsi="宋体" w:cs="宋体"/>
          <w:b/>
          <w:color w:val="auto"/>
          <w:highlight w:val="none"/>
        </w:rPr>
        <w:t>开标</w:t>
      </w:r>
      <w:r>
        <w:rPr>
          <w:rFonts w:hint="eastAsia" w:ascii="宋体" w:hAnsi="宋体" w:cs="宋体"/>
          <w:b/>
          <w:color w:val="auto"/>
          <w:highlight w:val="none"/>
          <w:lang w:val="en-US" w:eastAsia="zh-CN"/>
        </w:rPr>
        <w:t>准备</w:t>
      </w:r>
    </w:p>
    <w:p>
      <w:pPr>
        <w:spacing w:line="360" w:lineRule="auto"/>
        <w:ind w:firstLine="422" w:firstLineChars="200"/>
      </w:pPr>
      <w:r>
        <w:rPr>
          <w:rFonts w:hint="eastAsia" w:ascii="宋体" w:hAnsi="宋体" w:cs="宋体"/>
          <w:b/>
          <w:color w:val="auto"/>
          <w:highlight w:val="none"/>
        </w:rPr>
        <w:t xml:space="preserve">1 </w:t>
      </w:r>
      <w:r>
        <w:rPr>
          <w:rFonts w:hint="eastAsia" w:ascii="宋体" w:hAnsi="宋体" w:cs="宋体"/>
          <w:color w:val="auto"/>
          <w:highlight w:val="none"/>
        </w:rPr>
        <w:t>招标代理机构在“投标人须知前附表”中规定的日期、时间和地点组织公开开标。届时请监督人和采购方代表参加并签到。</w:t>
      </w:r>
    </w:p>
    <w:p>
      <w:pPr>
        <w:spacing w:line="360" w:lineRule="auto"/>
        <w:ind w:firstLine="422" w:firstLineChars="200"/>
        <w:rPr>
          <w:rFonts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开标时先由投标人代表和监督人对投标人有效资质及投标文件的密封与标志进行核查；唱标人宣读投标文件正本、“开标一览表”有关内容及投标文件的修改、撤销和招标代理机构认为合适的其他内容。</w:t>
      </w:r>
    </w:p>
    <w:p>
      <w:pPr>
        <w:pStyle w:val="11"/>
        <w:snapToGrid w:val="0"/>
        <w:spacing w:line="360" w:lineRule="auto"/>
        <w:ind w:firstLine="413" w:firstLineChars="196"/>
        <w:rPr>
          <w:rFonts w:hint="eastAsia" w:ascii="宋体" w:hAnsi="宋体" w:eastAsia="宋体" w:cs="宋体"/>
          <w:b/>
          <w:bCs/>
          <w:color w:val="000000"/>
          <w:kern w:val="2"/>
          <w:sz w:val="21"/>
          <w:szCs w:val="16"/>
          <w:lang w:val="en-US" w:eastAsia="zh-CN" w:bidi="ar-SA"/>
        </w:rPr>
      </w:pPr>
      <w:r>
        <w:rPr>
          <w:rFonts w:hint="eastAsia" w:ascii="宋体" w:hAnsi="宋体" w:eastAsia="宋体" w:cs="宋体"/>
          <w:b/>
          <w:bCs/>
          <w:color w:val="000000"/>
          <w:kern w:val="2"/>
          <w:sz w:val="21"/>
          <w:szCs w:val="16"/>
          <w:lang w:val="en-US" w:eastAsia="zh-CN" w:bidi="ar-SA"/>
        </w:rPr>
        <w:t>（二） 开标程序：</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1.开标会由招标代理机构主持，主持人宣布开标会议开始；</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 xml:space="preserve">2.主持人介绍参加开标会的人员名单； </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3.主持人宣布评标期间的有关事项；告知应当回避的情形,提请有关人员回避；</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4.专家进入会场进入评标阶段，宣读评标纪律。</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5.资格审查由评标委员会组织检查</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6.符合性审查由评标委员会组织。</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7.符合性审查通过的企业评标委员会组织对商务部分评分，评分完毕后对技术部分评分，招标代理公司负责本环节的录音录像工作。</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8.复会时由主持人公布无效投标的投标人名单、投标无效的原因</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9.由主持人按照递交标书逆向顺序逐一宣读投标企业的《投标报价一览表》，宣读其中的投标人名称及在其投标文件中承诺的投标报价和供货期，以及主持人认为有必要宣读的其他内容。</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10.由主持人公布及其他有效投标的评分结果；</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11.记录人做开标记录, 投标人代表对开标记录进行当场校核及勘误，并签字确认；同时由记录人、监督人当场签字确认。</w:t>
      </w:r>
    </w:p>
    <w:p>
      <w:pPr>
        <w:pStyle w:val="11"/>
        <w:snapToGrid w:val="0"/>
        <w:spacing w:line="360" w:lineRule="auto"/>
        <w:ind w:firstLine="411" w:firstLineChars="196"/>
      </w:pPr>
      <w:r>
        <w:rPr>
          <w:rFonts w:hint="eastAsia" w:ascii="宋体" w:hAnsi="宋体" w:eastAsia="宋体" w:cs="宋体"/>
          <w:color w:val="000000"/>
          <w:kern w:val="2"/>
          <w:sz w:val="21"/>
          <w:szCs w:val="16"/>
          <w:lang w:val="en-US" w:eastAsia="zh-CN" w:bidi="ar-SA"/>
        </w:rPr>
        <w:t>12.开标会议结束。</w:t>
      </w:r>
    </w:p>
    <w:p>
      <w:pPr>
        <w:pStyle w:val="4"/>
        <w:pageBreakBefore w:val="0"/>
        <w:widowControl w:val="0"/>
        <w:numPr>
          <w:ilvl w:val="1"/>
          <w:numId w:val="0"/>
        </w:numPr>
        <w:kinsoku/>
        <w:wordWrap/>
        <w:overflowPunct/>
        <w:topLinePunct w:val="0"/>
        <w:autoSpaceDE/>
        <w:autoSpaceDN/>
        <w:bidi w:val="0"/>
        <w:adjustRightInd/>
        <w:spacing w:line="520" w:lineRule="exact"/>
        <w:ind w:firstLine="562" w:firstLineChars="200"/>
        <w:jc w:val="left"/>
        <w:textAlignment w:val="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lang w:val="en-US" w:eastAsia="zh-CN"/>
        </w:rPr>
        <w:t>特别注意：</w:t>
      </w:r>
      <w:r>
        <w:rPr>
          <w:rFonts w:hint="eastAsia" w:ascii="宋体" w:hAnsi="宋体" w:eastAsia="宋体" w:cs="宋体"/>
          <w:color w:val="auto"/>
          <w:sz w:val="28"/>
          <w:szCs w:val="28"/>
          <w:highlight w:val="none"/>
          <w:lang w:eastAsia="zh-CN"/>
        </w:rPr>
        <w:t>开标</w:t>
      </w:r>
      <w:r>
        <w:rPr>
          <w:rFonts w:hint="eastAsia" w:ascii="宋体" w:hAnsi="宋体" w:eastAsia="宋体" w:cs="宋体"/>
          <w:color w:val="auto"/>
          <w:sz w:val="28"/>
          <w:szCs w:val="28"/>
          <w:highlight w:val="none"/>
        </w:rPr>
        <w:t>现场携带资料：</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val="en-US"/>
        </w:rPr>
      </w:pPr>
      <w:r>
        <w:rPr>
          <w:rFonts w:hint="eastAsia" w:ascii="宋体" w:hAnsi="宋体" w:eastAsia="宋体" w:cs="宋体"/>
          <w:b/>
          <w:bCs/>
          <w:color w:val="000000"/>
          <w:sz w:val="28"/>
          <w:szCs w:val="28"/>
          <w:lang w:eastAsia="zh-CN"/>
        </w:rPr>
        <w:t>（</w:t>
      </w:r>
      <w:r>
        <w:rPr>
          <w:rFonts w:hint="eastAsia" w:ascii="宋体" w:hAnsi="宋体" w:eastAsia="宋体" w:cs="宋体"/>
          <w:b/>
          <w:bCs/>
          <w:color w:val="000000"/>
          <w:sz w:val="28"/>
          <w:szCs w:val="28"/>
          <w:lang w:val="en-US" w:eastAsia="zh-CN"/>
        </w:rPr>
        <w:t>1</w:t>
      </w:r>
      <w:r>
        <w:rPr>
          <w:rFonts w:hint="eastAsia" w:ascii="宋体" w:hAnsi="宋体" w:eastAsia="宋体" w:cs="宋体"/>
          <w:b/>
          <w:bCs/>
          <w:color w:val="000000"/>
          <w:sz w:val="28"/>
          <w:szCs w:val="28"/>
          <w:lang w:eastAsia="zh-CN"/>
        </w:rPr>
        <w:t>）具有经年审合格的企业法人三证合一营业执照（</w:t>
      </w:r>
      <w:r>
        <w:rPr>
          <w:rFonts w:hint="eastAsia" w:ascii="宋体" w:hAnsi="宋体" w:eastAsia="宋体" w:cs="宋体"/>
          <w:b/>
          <w:bCs/>
          <w:color w:val="000000"/>
          <w:sz w:val="28"/>
          <w:szCs w:val="28"/>
          <w:lang w:val="en-US" w:eastAsia="zh-CN"/>
        </w:rPr>
        <w:t>原件复印件加盖投标人公章）</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eastAsia="zh-CN"/>
        </w:rPr>
      </w:pPr>
      <w:r>
        <w:rPr>
          <w:rFonts w:hint="eastAsia" w:ascii="宋体" w:hAnsi="宋体" w:eastAsia="宋体" w:cs="宋体"/>
          <w:b/>
          <w:bCs/>
          <w:color w:val="000000"/>
          <w:sz w:val="28"/>
          <w:szCs w:val="28"/>
          <w:lang w:eastAsia="zh-CN"/>
        </w:rPr>
        <w:t>（</w:t>
      </w:r>
      <w:r>
        <w:rPr>
          <w:rFonts w:hint="eastAsia" w:ascii="宋体" w:hAnsi="宋体" w:eastAsia="宋体" w:cs="宋体"/>
          <w:b/>
          <w:bCs/>
          <w:color w:val="000000"/>
          <w:sz w:val="28"/>
          <w:szCs w:val="28"/>
          <w:lang w:val="en-US" w:eastAsia="zh-CN"/>
        </w:rPr>
        <w:t>2</w:t>
      </w:r>
      <w:r>
        <w:rPr>
          <w:rFonts w:hint="eastAsia" w:ascii="宋体" w:hAnsi="宋体" w:eastAsia="宋体" w:cs="宋体"/>
          <w:b/>
          <w:bCs/>
          <w:color w:val="000000"/>
          <w:sz w:val="28"/>
          <w:szCs w:val="28"/>
          <w:lang w:eastAsia="zh-CN"/>
        </w:rPr>
        <w:t>）法定代表人身份证原件及复印件或法定代表人授权委托书和委托代理人的身份证原件（授权书需附法人身份证及委托人身份证复印件正反面）须提供社保部门出具的最少近三个月的社保缴纳证明（个人明细表，新成立时间少于三个月的公司，按实际发生提供）。</w:t>
      </w:r>
    </w:p>
    <w:p>
      <w:pPr>
        <w:keepNext w:val="0"/>
        <w:keepLines w:val="0"/>
        <w:pageBreakBefore w:val="0"/>
        <w:widowControl w:val="0"/>
        <w:numPr>
          <w:ilvl w:val="0"/>
          <w:numId w:val="0"/>
        </w:numPr>
        <w:kinsoku/>
        <w:wordWrap/>
        <w:overflowPunct/>
        <w:topLinePunct w:val="0"/>
        <w:autoSpaceDE/>
        <w:autoSpaceDN/>
        <w:bidi w:val="0"/>
        <w:adjustRightInd/>
        <w:snapToGrid/>
        <w:spacing w:line="520" w:lineRule="exact"/>
        <w:jc w:val="left"/>
        <w:textAlignment w:val="auto"/>
        <w:rPr>
          <w:rFonts w:hint="eastAsia" w:ascii="宋体" w:hAnsi="宋体" w:eastAsia="宋体" w:cs="宋体"/>
          <w:b/>
          <w:bCs/>
          <w:color w:val="000000"/>
          <w:kern w:val="2"/>
          <w:sz w:val="28"/>
          <w:szCs w:val="28"/>
          <w:lang w:val="en-US" w:eastAsia="zh-CN" w:bidi="ar-SA"/>
        </w:rPr>
      </w:pPr>
      <w:r>
        <w:rPr>
          <w:rFonts w:hint="eastAsia" w:ascii="宋体" w:hAnsi="宋体" w:eastAsia="宋体" w:cs="宋体"/>
          <w:b/>
          <w:bCs/>
          <w:color w:val="000000"/>
          <w:sz w:val="28"/>
          <w:szCs w:val="28"/>
          <w:lang w:val="en-US" w:eastAsia="zh-CN"/>
        </w:rPr>
        <w:t xml:space="preserve">    （3）</w:t>
      </w:r>
      <w:r>
        <w:rPr>
          <w:rFonts w:hint="eastAsia" w:ascii="宋体" w:hAnsi="宋体" w:eastAsia="宋体" w:cs="宋体"/>
          <w:b/>
          <w:bCs/>
          <w:color w:val="auto"/>
          <w:sz w:val="28"/>
          <w:szCs w:val="28"/>
          <w:lang w:val="en-US" w:eastAsia="zh-CN"/>
        </w:rPr>
        <w:t>供应商为生产厂家时需具备质量技术监督局颁发的有效的《计量器具型式批准证书》，供应商为经销商时应提供生产厂家有效的《计量器具型式批准证书》的复印件加盖经销商公章。（计量器具型式批准证书上水表规格：根据市场监管总局关于发布实施强制管理的计量器具目录的公告2019年第48号要求“2020年1月1日后办理的《计量器具型式批准证书》只有列入《目录》且监管方式为P（型式批准）和P+V（型式批准+强制检定）的计量器具应办理型式批准水表DN15～DN50 P+V”2020年1月1日之前的计量器具型式批准证书上显示DN15～DN200水表类型）</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eastAsia="zh-CN"/>
        </w:rPr>
      </w:pPr>
      <w:r>
        <w:rPr>
          <w:rFonts w:hint="eastAsia" w:ascii="宋体" w:hAnsi="宋体" w:eastAsia="宋体" w:cs="宋体"/>
          <w:b/>
          <w:bCs/>
          <w:color w:val="000000"/>
          <w:sz w:val="28"/>
          <w:szCs w:val="28"/>
          <w:lang w:eastAsia="zh-CN"/>
        </w:rPr>
        <w:t>（</w:t>
      </w:r>
      <w:r>
        <w:rPr>
          <w:rFonts w:hint="eastAsia" w:ascii="宋体" w:hAnsi="宋体" w:eastAsia="宋体" w:cs="宋体"/>
          <w:b/>
          <w:bCs/>
          <w:color w:val="000000"/>
          <w:sz w:val="28"/>
          <w:szCs w:val="28"/>
          <w:lang w:val="en-US" w:eastAsia="zh-CN"/>
        </w:rPr>
        <w:t>4</w:t>
      </w:r>
      <w:r>
        <w:rPr>
          <w:rFonts w:hint="eastAsia" w:ascii="宋体" w:hAnsi="宋体" w:eastAsia="宋体" w:cs="宋体"/>
          <w:b/>
          <w:bCs/>
          <w:color w:val="000000"/>
          <w:sz w:val="28"/>
          <w:szCs w:val="28"/>
          <w:lang w:eastAsia="zh-CN"/>
        </w:rPr>
        <w:t>）提供经第三方会计师事务所或审计机构审计的2021年度财务报告原件或加盖公章的复印件；(2022年以后成立公司需出具银行近一个月的资信证明）</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eastAsia="zh-CN"/>
        </w:rPr>
      </w:pPr>
      <w:r>
        <w:rPr>
          <w:rFonts w:hint="eastAsia" w:ascii="宋体" w:hAnsi="宋体" w:eastAsia="宋体" w:cs="宋体"/>
          <w:b/>
          <w:bCs/>
          <w:color w:val="000000"/>
          <w:sz w:val="28"/>
          <w:szCs w:val="28"/>
          <w:lang w:eastAsia="zh-CN"/>
        </w:rPr>
        <w:t>（</w:t>
      </w:r>
      <w:r>
        <w:rPr>
          <w:rFonts w:hint="eastAsia" w:ascii="宋体" w:hAnsi="宋体" w:eastAsia="宋体" w:cs="宋体"/>
          <w:b/>
          <w:bCs/>
          <w:color w:val="000000"/>
          <w:sz w:val="28"/>
          <w:szCs w:val="28"/>
          <w:lang w:val="en-US" w:eastAsia="zh-CN"/>
        </w:rPr>
        <w:t>5）</w:t>
      </w:r>
      <w:r>
        <w:rPr>
          <w:rFonts w:hint="eastAsia" w:ascii="宋体" w:hAnsi="宋体" w:eastAsia="宋体" w:cs="宋体"/>
          <w:b/>
          <w:bCs/>
          <w:color w:val="000000"/>
          <w:sz w:val="28"/>
          <w:szCs w:val="28"/>
          <w:lang w:eastAsia="zh-CN"/>
        </w:rPr>
        <w:t>投标保证金电子</w:t>
      </w:r>
      <w:r>
        <w:rPr>
          <w:rFonts w:hint="eastAsia" w:ascii="宋体" w:hAnsi="宋体" w:eastAsia="宋体" w:cs="宋体"/>
          <w:b/>
          <w:bCs/>
          <w:color w:val="000000"/>
          <w:sz w:val="28"/>
          <w:szCs w:val="28"/>
          <w:lang w:val="en-US" w:eastAsia="zh-CN"/>
        </w:rPr>
        <w:t>银行</w:t>
      </w:r>
      <w:r>
        <w:rPr>
          <w:rFonts w:hint="eastAsia" w:ascii="宋体" w:hAnsi="宋体" w:eastAsia="宋体" w:cs="宋体"/>
          <w:b/>
          <w:bCs/>
          <w:color w:val="000000"/>
          <w:sz w:val="28"/>
          <w:szCs w:val="28"/>
          <w:lang w:eastAsia="zh-CN"/>
        </w:rPr>
        <w:t>回单</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val="en-US" w:eastAsia="zh-CN"/>
        </w:rPr>
      </w:pPr>
      <w:r>
        <w:rPr>
          <w:rFonts w:hint="eastAsia" w:ascii="宋体" w:hAnsi="宋体" w:eastAsia="宋体" w:cs="宋体"/>
          <w:b/>
          <w:bCs/>
          <w:color w:val="000000"/>
          <w:sz w:val="28"/>
          <w:szCs w:val="28"/>
          <w:lang w:val="en-US" w:eastAsia="zh-CN"/>
        </w:rPr>
        <w:t>（6）</w:t>
      </w:r>
      <w:r>
        <w:rPr>
          <w:rFonts w:hint="eastAsia" w:ascii="宋体" w:hAnsi="宋体" w:eastAsia="宋体" w:cs="宋体"/>
          <w:b/>
          <w:bCs/>
          <w:color w:val="000000"/>
          <w:sz w:val="28"/>
          <w:szCs w:val="28"/>
          <w:lang w:eastAsia="zh-CN"/>
        </w:rPr>
        <w:t>“信用中国”、“中国政府采购网”、“国家企业信用信息公示系统”、企业信息查询记录，</w:t>
      </w:r>
      <w:r>
        <w:rPr>
          <w:rFonts w:hint="eastAsia" w:ascii="宋体" w:hAnsi="宋体" w:eastAsia="宋体" w:cs="宋体"/>
          <w:b/>
          <w:bCs/>
          <w:color w:val="000000"/>
          <w:sz w:val="28"/>
          <w:szCs w:val="28"/>
          <w:lang w:val="en-US" w:eastAsia="zh-CN"/>
        </w:rPr>
        <w:t>需在查询的复印件上加盖企业鲜红公章</w:t>
      </w:r>
    </w:p>
    <w:p>
      <w:pPr>
        <w:pStyle w:val="5"/>
        <w:pageBreakBefore w:val="0"/>
        <w:widowControl w:val="0"/>
        <w:kinsoku/>
        <w:wordWrap/>
        <w:overflowPunct/>
        <w:topLinePunct w:val="0"/>
        <w:autoSpaceDE/>
        <w:autoSpaceDN/>
        <w:bidi w:val="0"/>
        <w:adjustRightInd/>
        <w:spacing w:line="520" w:lineRule="exact"/>
        <w:textAlignment w:val="auto"/>
        <w:rPr>
          <w:rFonts w:hint="eastAsia" w:ascii="宋体" w:hAnsi="宋体" w:eastAsia="宋体" w:cs="宋体"/>
          <w:sz w:val="28"/>
          <w:szCs w:val="28"/>
          <w:lang w:val="en-US" w:eastAsia="zh-CN"/>
        </w:rPr>
      </w:pPr>
      <w:r>
        <w:rPr>
          <w:rFonts w:hint="eastAsia" w:ascii="宋体" w:hAnsi="宋体" w:eastAsia="宋体" w:cs="宋体"/>
          <w:b/>
          <w:bCs/>
          <w:color w:val="000000"/>
          <w:sz w:val="28"/>
          <w:szCs w:val="28"/>
          <w:lang w:val="en-US" w:eastAsia="zh-CN"/>
        </w:rPr>
        <w:t xml:space="preserve">     （7）</w:t>
      </w:r>
      <w:r>
        <w:rPr>
          <w:rFonts w:hint="eastAsia" w:ascii="宋体" w:hAnsi="宋体" w:eastAsia="宋体" w:cs="宋体"/>
          <w:sz w:val="28"/>
          <w:szCs w:val="28"/>
        </w:rPr>
        <w:t>中小企业声明函</w:t>
      </w: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原件</w:t>
      </w:r>
      <w:r>
        <w:rPr>
          <w:rFonts w:hint="eastAsia" w:ascii="宋体" w:hAnsi="宋体" w:eastAsia="宋体" w:cs="宋体"/>
          <w:sz w:val="28"/>
          <w:szCs w:val="28"/>
          <w:lang w:eastAsia="zh-CN"/>
        </w:rPr>
        <w:t>）</w:t>
      </w:r>
      <w:r>
        <w:rPr>
          <w:rFonts w:hint="eastAsia" w:ascii="宋体" w:hAnsi="宋体" w:eastAsia="宋体" w:cs="宋体"/>
          <w:b/>
          <w:bCs/>
          <w:color w:val="000000"/>
          <w:sz w:val="28"/>
          <w:szCs w:val="28"/>
          <w:lang w:val="en-US" w:eastAsia="zh-CN"/>
        </w:rPr>
        <w:t xml:space="preserve">    </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lang w:eastAsia="zh-CN"/>
        </w:rPr>
      </w:pPr>
      <w:r>
        <w:rPr>
          <w:rFonts w:hint="eastAsia" w:ascii="宋体" w:hAnsi="宋体" w:eastAsia="宋体" w:cs="宋体"/>
          <w:b/>
          <w:bCs/>
          <w:color w:val="000000"/>
          <w:sz w:val="28"/>
          <w:szCs w:val="28"/>
          <w:lang w:val="en-US" w:eastAsia="zh-CN"/>
        </w:rPr>
        <w:t>注：1、</w:t>
      </w:r>
      <w:r>
        <w:rPr>
          <w:rFonts w:hint="eastAsia" w:ascii="宋体" w:hAnsi="宋体" w:eastAsia="宋体" w:cs="宋体"/>
          <w:b/>
          <w:bCs/>
          <w:color w:val="000000"/>
          <w:sz w:val="28"/>
          <w:szCs w:val="28"/>
          <w:lang w:eastAsia="zh-CN"/>
        </w:rPr>
        <w:t>以上</w:t>
      </w:r>
      <w:r>
        <w:rPr>
          <w:rFonts w:hint="eastAsia" w:ascii="宋体" w:hAnsi="宋体" w:eastAsia="宋体" w:cs="宋体"/>
          <w:b/>
          <w:bCs/>
          <w:color w:val="000000"/>
          <w:sz w:val="28"/>
          <w:szCs w:val="28"/>
          <w:lang w:val="en-US" w:eastAsia="zh-CN"/>
        </w:rPr>
        <w:t>所提供的材料如不按招标文件要求递交的均视为无效处理</w:t>
      </w:r>
      <w:r>
        <w:rPr>
          <w:rFonts w:hint="eastAsia" w:ascii="宋体" w:hAnsi="宋体" w:eastAsia="宋体" w:cs="宋体"/>
          <w:b/>
          <w:bCs/>
          <w:color w:val="000000"/>
          <w:sz w:val="28"/>
          <w:szCs w:val="28"/>
          <w:lang w:eastAsia="zh-CN"/>
        </w:rPr>
        <w:t>。</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b/>
          <w:bCs/>
          <w:color w:val="000000"/>
          <w:sz w:val="28"/>
          <w:szCs w:val="28"/>
        </w:rPr>
      </w:pPr>
      <w:r>
        <w:rPr>
          <w:rFonts w:hint="eastAsia" w:ascii="宋体" w:hAnsi="宋体" w:eastAsia="宋体" w:cs="宋体"/>
          <w:b/>
          <w:bCs/>
          <w:color w:val="000000"/>
          <w:sz w:val="28"/>
          <w:szCs w:val="28"/>
        </w:rPr>
        <w:t>未通过资质查验的投标文件将不予以接受。</w:t>
      </w:r>
    </w:p>
    <w:p>
      <w:pPr>
        <w:pageBreakBefore w:val="0"/>
        <w:widowControl w:val="0"/>
        <w:numPr>
          <w:ilvl w:val="0"/>
          <w:numId w:val="0"/>
        </w:numPr>
        <w:kinsoku/>
        <w:wordWrap/>
        <w:overflowPunct/>
        <w:topLinePunct w:val="0"/>
        <w:autoSpaceDE/>
        <w:autoSpaceDN/>
        <w:bidi w:val="0"/>
        <w:adjustRightInd/>
        <w:snapToGrid w:val="0"/>
        <w:spacing w:line="520" w:lineRule="exact"/>
        <w:ind w:firstLine="562" w:firstLineChars="200"/>
        <w:jc w:val="left"/>
        <w:textAlignment w:val="auto"/>
        <w:rPr>
          <w:rFonts w:hint="eastAsia" w:ascii="宋体" w:hAnsi="宋体" w:eastAsia="宋体" w:cs="宋体"/>
          <w:color w:val="auto"/>
          <w:sz w:val="28"/>
          <w:szCs w:val="28"/>
          <w:highlight w:val="none"/>
        </w:rPr>
        <w:sectPr>
          <w:pgSz w:w="11907" w:h="16840"/>
          <w:pgMar w:top="1021" w:right="1287" w:bottom="1021" w:left="1247" w:header="851" w:footer="992" w:gutter="0"/>
          <w:pgNumType w:fmt="decimal"/>
          <w:cols w:space="0" w:num="1"/>
          <w:docGrid w:type="lines" w:linePitch="334" w:charSpace="0"/>
        </w:sectPr>
      </w:pPr>
      <w:r>
        <w:rPr>
          <w:rFonts w:hint="eastAsia" w:ascii="宋体" w:hAnsi="宋体" w:eastAsia="宋体" w:cs="宋体"/>
          <w:b/>
          <w:bCs/>
          <w:color w:val="000000"/>
          <w:sz w:val="28"/>
          <w:szCs w:val="28"/>
          <w:lang w:val="en-US" w:eastAsia="zh-CN"/>
        </w:rPr>
        <w:t>2、</w:t>
      </w:r>
      <w:r>
        <w:rPr>
          <w:rFonts w:hint="eastAsia" w:ascii="宋体" w:hAnsi="宋体" w:eastAsia="宋体" w:cs="宋体"/>
          <w:b/>
          <w:bCs/>
          <w:color w:val="000000"/>
          <w:sz w:val="28"/>
          <w:szCs w:val="28"/>
        </w:rPr>
        <w:t>投标人的法定代表人或被授权人未准时参加开标会议的视为自动弃权。</w:t>
      </w:r>
    </w:p>
    <w:bookmarkEnd w:id="65"/>
    <w:bookmarkEnd w:id="66"/>
    <w:bookmarkEnd w:id="67"/>
    <w:bookmarkEnd w:id="68"/>
    <w:bookmarkEnd w:id="69"/>
    <w:bookmarkEnd w:id="70"/>
    <w:bookmarkEnd w:id="71"/>
    <w:bookmarkEnd w:id="72"/>
    <w:p>
      <w:pPr>
        <w:pStyle w:val="4"/>
        <w:numPr>
          <w:ilvl w:val="1"/>
          <w:numId w:val="0"/>
        </w:numPr>
        <w:ind w:left="3990" w:leftChars="0"/>
        <w:jc w:val="left"/>
        <w:rPr>
          <w:rFonts w:hint="eastAsia" w:ascii="宋体" w:hAnsi="宋体" w:eastAsia="宋体" w:cs="宋体"/>
        </w:rPr>
      </w:pPr>
      <w:bookmarkStart w:id="83" w:name="_Toc521014788"/>
      <w:bookmarkStart w:id="84" w:name="_Toc20288"/>
      <w:bookmarkStart w:id="85" w:name="_Toc12263"/>
      <w:bookmarkStart w:id="86" w:name="_Toc11458"/>
      <w:bookmarkStart w:id="87" w:name="_Toc31461"/>
      <w:bookmarkStart w:id="88" w:name="_Toc503212220"/>
      <w:bookmarkStart w:id="89" w:name="_Toc3301"/>
      <w:bookmarkStart w:id="90" w:name="_Toc24288"/>
      <w:r>
        <w:rPr>
          <w:rFonts w:hint="eastAsia" w:ascii="宋体" w:hAnsi="宋体" w:eastAsia="宋体" w:cs="宋体"/>
          <w:lang w:val="en-US" w:eastAsia="zh-CN"/>
        </w:rPr>
        <w:t>五、</w:t>
      </w:r>
      <w:r>
        <w:rPr>
          <w:rFonts w:hint="eastAsia" w:ascii="宋体" w:hAnsi="宋体" w:eastAsia="宋体" w:cs="宋体"/>
        </w:rPr>
        <w:t>评标</w:t>
      </w:r>
      <w:bookmarkEnd w:id="83"/>
      <w:bookmarkEnd w:id="84"/>
      <w:bookmarkEnd w:id="85"/>
      <w:bookmarkEnd w:id="86"/>
      <w:bookmarkEnd w:id="87"/>
      <w:bookmarkEnd w:id="88"/>
      <w:bookmarkEnd w:id="89"/>
      <w:bookmarkEnd w:id="90"/>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（一）组建评标委员会</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本项目评标委员会由业主监督人在专家库中抽取评审专家</w:t>
      </w:r>
      <w:r>
        <w:rPr>
          <w:rFonts w:hint="eastAsia" w:hAnsi="宋体" w:cs="宋体"/>
          <w:color w:val="000000"/>
          <w:kern w:val="2"/>
          <w:sz w:val="21"/>
          <w:szCs w:val="16"/>
          <w:lang w:val="en-US" w:eastAsia="zh-CN" w:bidi="ar-SA"/>
        </w:rPr>
        <w:t>7</w:t>
      </w:r>
      <w:r>
        <w:rPr>
          <w:rFonts w:hint="eastAsia" w:ascii="宋体" w:hAnsi="宋体" w:eastAsia="宋体" w:cs="宋体"/>
          <w:color w:val="000000"/>
          <w:kern w:val="2"/>
          <w:sz w:val="21"/>
          <w:szCs w:val="16"/>
          <w:lang w:val="en-US" w:eastAsia="zh-CN" w:bidi="ar-SA"/>
        </w:rPr>
        <w:t>人组成，专家由招标代理机在开标前48小时在政采云专家中随机抽取此次评标专家。</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（二）评标的方式</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本项目采用不公开方式评标，评标的依据为《中华人民共和国招标投标法》《中华人民共和国政府采购法》、《中华人民共和国财政部令第87号--政府采购货物和服务招标投标管理办法》及招标文件。</w:t>
      </w:r>
    </w:p>
    <w:p>
      <w:pPr>
        <w:pStyle w:val="11"/>
        <w:snapToGrid w:val="0"/>
        <w:spacing w:line="360" w:lineRule="auto"/>
        <w:ind w:firstLine="411" w:firstLineChars="196"/>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评标程序</w:t>
      </w:r>
    </w:p>
    <w:p>
      <w:pPr>
        <w:pStyle w:val="11"/>
        <w:numPr>
          <w:ilvl w:val="0"/>
          <w:numId w:val="6"/>
        </w:numPr>
        <w:snapToGrid w:val="0"/>
        <w:spacing w:line="360" w:lineRule="auto"/>
        <w:rPr>
          <w:rFonts w:hint="eastAsia" w:hAnsi="宋体" w:cs="宋体"/>
          <w:b/>
          <w:bCs/>
          <w:color w:val="000000"/>
          <w:sz w:val="24"/>
          <w:szCs w:val="24"/>
        </w:rPr>
      </w:pPr>
      <w:r>
        <w:rPr>
          <w:rFonts w:hint="eastAsia" w:hAnsi="宋体" w:cs="宋体"/>
          <w:b/>
          <w:bCs/>
          <w:color w:val="000000"/>
          <w:sz w:val="24"/>
          <w:szCs w:val="24"/>
        </w:rPr>
        <w:t>资格评审</w:t>
      </w:r>
    </w:p>
    <w:p>
      <w:pPr>
        <w:pStyle w:val="11"/>
        <w:snapToGrid w:val="0"/>
        <w:spacing w:line="360" w:lineRule="auto"/>
        <w:ind w:left="480"/>
        <w:rPr>
          <w:rFonts w:hAnsi="宋体" w:cs="宋体"/>
          <w:color w:val="000000"/>
          <w:sz w:val="24"/>
          <w:szCs w:val="24"/>
        </w:rPr>
      </w:pPr>
      <w:r>
        <w:rPr>
          <w:rFonts w:hint="eastAsia" w:ascii="宋体" w:hAnsi="宋体" w:eastAsia="宋体" w:cs="宋体"/>
          <w:color w:val="000000"/>
          <w:kern w:val="2"/>
          <w:sz w:val="21"/>
          <w:szCs w:val="16"/>
          <w:lang w:val="en-US" w:eastAsia="zh-CN" w:bidi="ar-SA"/>
        </w:rPr>
        <w:t>评标委员会对投标人提交的资格文件进行评审。</w:t>
      </w:r>
    </w:p>
    <w:p>
      <w:pPr>
        <w:pStyle w:val="11"/>
        <w:snapToGrid w:val="0"/>
        <w:spacing w:line="360" w:lineRule="auto"/>
        <w:ind w:firstLine="482" w:firstLineChars="200"/>
        <w:rPr>
          <w:rFonts w:hint="eastAsia" w:hAnsi="宋体" w:cs="宋体"/>
          <w:color w:val="000000"/>
          <w:sz w:val="24"/>
          <w:szCs w:val="24"/>
        </w:rPr>
      </w:pPr>
      <w:r>
        <w:rPr>
          <w:rFonts w:hint="eastAsia" w:hAnsi="宋体" w:cs="宋体"/>
          <w:b/>
          <w:bCs/>
          <w:color w:val="000000"/>
          <w:sz w:val="24"/>
        </w:rPr>
        <w:t>2.符合性评审</w:t>
      </w:r>
    </w:p>
    <w:p>
      <w:pPr>
        <w:pStyle w:val="11"/>
        <w:snapToGrid w:val="0"/>
        <w:spacing w:line="360" w:lineRule="auto"/>
        <w:rPr>
          <w:rFonts w:hint="eastAsia" w:hAnsi="宋体" w:cs="宋体"/>
          <w:b/>
          <w:color w:val="000000"/>
          <w:sz w:val="24"/>
        </w:rPr>
      </w:pPr>
      <w:r>
        <w:rPr>
          <w:rFonts w:hint="eastAsia" w:hAnsi="宋体" w:cs="宋体"/>
          <w:color w:val="000000"/>
          <w:sz w:val="24"/>
        </w:rPr>
        <w:t xml:space="preserve">    </w:t>
      </w:r>
      <w:r>
        <w:rPr>
          <w:rFonts w:hint="eastAsia" w:ascii="宋体" w:hAnsi="宋体" w:eastAsia="宋体" w:cs="宋体"/>
          <w:color w:val="000000"/>
          <w:kern w:val="2"/>
          <w:sz w:val="21"/>
          <w:szCs w:val="16"/>
          <w:lang w:val="en-US" w:eastAsia="zh-CN" w:bidi="ar-SA"/>
        </w:rPr>
        <w:t>评标委员会对投标人提交的投标文件进行符合性评审。</w:t>
      </w:r>
    </w:p>
    <w:p>
      <w:pPr>
        <w:snapToGrid w:val="0"/>
        <w:spacing w:line="360" w:lineRule="auto"/>
        <w:ind w:firstLine="472" w:firstLineChars="196"/>
        <w:rPr>
          <w:rFonts w:hint="eastAsia" w:ascii="宋体" w:hAnsi="宋体" w:cs="宋体"/>
          <w:b/>
          <w:bCs/>
          <w:color w:val="000000"/>
          <w:sz w:val="24"/>
        </w:rPr>
      </w:pPr>
      <w:r>
        <w:rPr>
          <w:rFonts w:hint="eastAsia" w:ascii="宋体" w:hAnsi="宋体" w:cs="宋体"/>
          <w:b/>
          <w:bCs/>
          <w:color w:val="000000"/>
          <w:sz w:val="24"/>
        </w:rPr>
        <w:t>3.实质审查与比较</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（1）评标委员会审查投标文件的实质性内容是否符合招标文件的实质性要求。</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（2）评标委员会将根据投标人与投标文件进行审查、核对,如有疑问,将对投标人进行询标,投标人要向评标委员会澄清有关问题,并最终以书面形式进行答复。</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（3）各投标人的商务评分、技术评分按照评标委员会成员的独立评分的算术平均值计算，由指定专人进行计算复核。</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（4）工作人员协助评标委员会根据本项目的评分标准计算各投标人的报价得分。</w:t>
      </w:r>
    </w:p>
    <w:p>
      <w:pPr>
        <w:snapToGrid w:val="0"/>
        <w:spacing w:line="360" w:lineRule="auto"/>
        <w:ind w:firstLine="420" w:firstLineChars="200"/>
        <w:rPr>
          <w:rFonts w:hint="eastAsia" w:ascii="宋体" w:hAnsi="宋体" w:cs="宋体"/>
          <w:color w:val="000000"/>
          <w:sz w:val="24"/>
        </w:rPr>
      </w:pPr>
      <w:r>
        <w:rPr>
          <w:rFonts w:hint="eastAsia" w:ascii="宋体" w:hAnsi="宋体" w:eastAsia="宋体" w:cs="宋体"/>
          <w:color w:val="000000"/>
          <w:kern w:val="2"/>
          <w:sz w:val="21"/>
          <w:szCs w:val="16"/>
          <w:lang w:val="en-US" w:eastAsia="zh-CN" w:bidi="ar-SA"/>
        </w:rPr>
        <w:t>（5）评标委员会完成评标后,评委对得分进行汇总,计算出本项目最终得分等。评标委员会按评标原则推荐排名前三中标候选人同时起草评标报告。</w:t>
      </w:r>
    </w:p>
    <w:p>
      <w:pPr>
        <w:snapToGrid w:val="0"/>
        <w:spacing w:line="360" w:lineRule="auto"/>
        <w:ind w:firstLine="480" w:firstLineChars="200"/>
        <w:rPr>
          <w:rFonts w:hint="eastAsia" w:ascii="宋体" w:hAnsi="宋体" w:cs="宋体"/>
          <w:b/>
          <w:color w:val="000000"/>
          <w:sz w:val="24"/>
        </w:rPr>
      </w:pPr>
      <w:r>
        <w:rPr>
          <w:rFonts w:hint="eastAsia" w:ascii="宋体" w:hAnsi="宋体" w:cs="宋体"/>
          <w:color w:val="000000"/>
          <w:sz w:val="24"/>
        </w:rPr>
        <w:t>（四）</w:t>
      </w:r>
      <w:r>
        <w:rPr>
          <w:rFonts w:hint="eastAsia" w:ascii="宋体" w:hAnsi="宋体" w:cs="宋体"/>
          <w:b/>
          <w:color w:val="000000"/>
          <w:sz w:val="24"/>
        </w:rPr>
        <w:t>澄清问题的形式</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对投标文件中含义不明确、同类问题表述不一致或者有明显文字和计算错误的内容，评标委员会可要求投标人作出必要的澄清、说明或者纠正。投标人的澄清、说明或者补正应当采用书面形式，由其授权代表签字或盖章确认，并不得超出投标文件的范围或者改变投标文件的实质性内容。</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（五）错误修正</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投标文件如果出现计算或表达上的错误，修正错误的原则如下：</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1.投标报价一览表总价与投标报价明细表汇总数不一致的，以投标报价一览表为准；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2.投标文件的大写金额和小写金额不一致的，以大写金额为准；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3.总价金额与按单价汇总金额不一致的，以单价金额计算结果为准；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4.对不同文字文本投标文件的解释发生异议的，以中文文本为准。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按上述修正错误的原则及方法调整或修正投标文件的投标报价，投标人同意并签字确认后，调整后的投标报价对投标人具有约束作用。如果投标人不接受修正后的报价，则其投标将作为无效投标处理。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（六）评标原则和评标办法</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1.评标原则。评标委员会必须公平、公正、客观，不带任何倾向性和启发性；不得向外界透露任何与评标有关的内容；任何单位和个人不得干扰、影响评标的正常进行；评标委员会及有关工作人员不得私下与投标人接触。</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2.评标办法。本项目评标办法是</w:t>
      </w:r>
      <w:r>
        <w:rPr>
          <w:rFonts w:hint="eastAsia" w:ascii="宋体" w:hAnsi="宋体" w:cs="宋体"/>
          <w:color w:val="000000"/>
          <w:kern w:val="2"/>
          <w:sz w:val="21"/>
          <w:szCs w:val="16"/>
          <w:lang w:val="en-US" w:eastAsia="zh-CN" w:bidi="ar-SA"/>
        </w:rPr>
        <w:t>综合评分法</w:t>
      </w:r>
      <w:r>
        <w:rPr>
          <w:rFonts w:hint="eastAsia" w:ascii="宋体" w:hAnsi="宋体" w:eastAsia="宋体" w:cs="宋体"/>
          <w:color w:val="000000"/>
          <w:kern w:val="2"/>
          <w:sz w:val="21"/>
          <w:szCs w:val="16"/>
          <w:lang w:val="en-US" w:eastAsia="zh-CN" w:bidi="ar-SA"/>
        </w:rPr>
        <w:t>，具体评标内容及评分标准等详见《第三部分评标办法及评分标准》。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（七）评标过程的监控</w:t>
      </w:r>
    </w:p>
    <w:p>
      <w:pPr>
        <w:snapToGrid w:val="0"/>
        <w:spacing w:line="360" w:lineRule="auto"/>
        <w:ind w:firstLine="420" w:firstLineChars="200"/>
        <w:rPr>
          <w:rFonts w:hint="eastAsia" w:hAnsi="宋体" w:cs="宋体"/>
          <w:color w:val="000000"/>
          <w:sz w:val="24"/>
          <w:szCs w:val="24"/>
        </w:rPr>
      </w:pPr>
      <w:r>
        <w:rPr>
          <w:rFonts w:hint="eastAsia" w:ascii="宋体" w:hAnsi="宋体" w:eastAsia="宋体" w:cs="宋体"/>
          <w:color w:val="000000"/>
          <w:kern w:val="2"/>
          <w:sz w:val="21"/>
          <w:szCs w:val="16"/>
          <w:lang w:val="en-US" w:eastAsia="zh-CN" w:bidi="ar-SA"/>
        </w:rPr>
        <w:t>本项目评标过程实行录像监控、照片记录，且由监标人员进行现场监督，投标人在评标过程中所进行的试图影响评标结果的不公正活动，可能导致其投标被拒绝。</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推荐成交供应商：由</w:t>
      </w:r>
      <w:r>
        <w:rPr>
          <w:rFonts w:hint="eastAsia" w:ascii="宋体" w:hAnsi="宋体" w:cs="宋体"/>
          <w:color w:val="000000"/>
          <w:kern w:val="2"/>
          <w:sz w:val="21"/>
          <w:szCs w:val="16"/>
          <w:lang w:val="en-US" w:eastAsia="zh-CN" w:bidi="ar-SA"/>
        </w:rPr>
        <w:t>评标</w:t>
      </w:r>
      <w:r>
        <w:rPr>
          <w:rFonts w:hint="eastAsia" w:ascii="宋体" w:hAnsi="宋体" w:eastAsia="宋体" w:cs="宋体"/>
          <w:color w:val="000000"/>
          <w:kern w:val="2"/>
          <w:sz w:val="21"/>
          <w:szCs w:val="16"/>
          <w:lang w:val="en-US" w:eastAsia="zh-CN" w:bidi="ar-SA"/>
        </w:rPr>
        <w:t>小组根据综合评分情况，按照评审得分由高到低顺序推荐成交候选供应商及排序。评审得分相同的，按照最后报价由低到高的顺序推荐，评审得分且最后报价相同的，按技术指标优劣顺序推荐。</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采购人从</w:t>
      </w:r>
      <w:r>
        <w:rPr>
          <w:rFonts w:hint="eastAsia" w:ascii="宋体" w:hAnsi="宋体" w:cs="宋体"/>
          <w:color w:val="000000"/>
          <w:kern w:val="2"/>
          <w:sz w:val="21"/>
          <w:szCs w:val="16"/>
          <w:lang w:val="en-US" w:eastAsia="zh-CN" w:bidi="ar-SA"/>
        </w:rPr>
        <w:t>评审</w:t>
      </w:r>
      <w:r>
        <w:rPr>
          <w:rFonts w:hint="eastAsia" w:ascii="宋体" w:hAnsi="宋体" w:eastAsia="宋体" w:cs="宋体"/>
          <w:color w:val="000000"/>
          <w:kern w:val="2"/>
          <w:sz w:val="21"/>
          <w:szCs w:val="16"/>
          <w:lang w:val="en-US" w:eastAsia="zh-CN" w:bidi="ar-SA"/>
        </w:rPr>
        <w:t>小组推荐的成交候选供应商中，按照排序由高到低的原则确定成交供应商，也可以书面授权</w:t>
      </w:r>
      <w:r>
        <w:rPr>
          <w:rFonts w:hint="eastAsia" w:ascii="宋体" w:hAnsi="宋体" w:cs="宋体"/>
          <w:color w:val="000000"/>
          <w:kern w:val="2"/>
          <w:sz w:val="21"/>
          <w:szCs w:val="16"/>
          <w:lang w:val="en-US" w:eastAsia="zh-CN" w:bidi="ar-SA"/>
        </w:rPr>
        <w:t>评审</w:t>
      </w:r>
      <w:r>
        <w:rPr>
          <w:rFonts w:hint="eastAsia" w:ascii="宋体" w:hAnsi="宋体" w:eastAsia="宋体" w:cs="宋体"/>
          <w:color w:val="000000"/>
          <w:kern w:val="2"/>
          <w:sz w:val="21"/>
          <w:szCs w:val="16"/>
          <w:lang w:val="en-US" w:eastAsia="zh-CN" w:bidi="ar-SA"/>
        </w:rPr>
        <w:t>小组直接确定成交供应商。</w:t>
      </w:r>
    </w:p>
    <w:p>
      <w:pPr>
        <w:snapToGrid w:val="0"/>
        <w:spacing w:line="360" w:lineRule="auto"/>
        <w:ind w:firstLine="420" w:firstLineChars="200"/>
        <w:rPr>
          <w:rFonts w:hint="eastAsia" w:ascii="宋体" w:hAnsi="宋体" w:eastAsia="宋体" w:cs="宋体"/>
          <w:color w:val="000000"/>
          <w:kern w:val="2"/>
          <w:sz w:val="21"/>
          <w:szCs w:val="16"/>
          <w:lang w:val="en-US" w:eastAsia="zh-CN" w:bidi="ar-SA"/>
        </w:rPr>
      </w:pPr>
      <w:r>
        <w:rPr>
          <w:rFonts w:hint="eastAsia" w:ascii="宋体" w:hAnsi="宋体" w:eastAsia="宋体" w:cs="宋体"/>
          <w:color w:val="000000"/>
          <w:kern w:val="2"/>
          <w:sz w:val="21"/>
          <w:szCs w:val="16"/>
          <w:lang w:val="en-US" w:eastAsia="zh-CN" w:bidi="ar-SA"/>
        </w:rPr>
        <w:t xml:space="preserve">                          </w:t>
      </w:r>
    </w:p>
    <w:p>
      <w:pPr>
        <w:pStyle w:val="4"/>
        <w:numPr>
          <w:ilvl w:val="1"/>
          <w:numId w:val="0"/>
        </w:numPr>
        <w:jc w:val="center"/>
        <w:rPr>
          <w:rFonts w:ascii="宋体" w:hAnsi="宋体" w:cs="宋体"/>
          <w:color w:val="auto"/>
          <w:highlight w:val="none"/>
        </w:rPr>
      </w:pPr>
      <w:bookmarkStart w:id="91" w:name="_Toc8540"/>
      <w:bookmarkStart w:id="92" w:name="_Toc521014791"/>
      <w:bookmarkStart w:id="93" w:name="_Toc21035"/>
      <w:bookmarkStart w:id="94" w:name="_Toc4147"/>
      <w:bookmarkStart w:id="95" w:name="_Toc9272"/>
      <w:bookmarkStart w:id="96" w:name="_Toc2362"/>
      <w:bookmarkStart w:id="97" w:name="_Toc503212223"/>
      <w:r>
        <w:rPr>
          <w:rFonts w:hint="eastAsia" w:ascii="宋体" w:hAnsi="宋体" w:cs="宋体"/>
          <w:color w:val="auto"/>
          <w:highlight w:val="none"/>
          <w:lang w:val="en-US" w:eastAsia="zh-CN"/>
        </w:rPr>
        <w:t>六</w:t>
      </w:r>
      <w:r>
        <w:rPr>
          <w:rFonts w:hint="eastAsia" w:ascii="宋体" w:hAnsi="宋体" w:cs="宋体"/>
          <w:color w:val="auto"/>
          <w:highlight w:val="none"/>
        </w:rPr>
        <w:t>、合同签订</w:t>
      </w:r>
    </w:p>
    <w:p>
      <w:pPr>
        <w:spacing w:line="360" w:lineRule="auto"/>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一</w:t>
      </w:r>
      <w:r>
        <w:rPr>
          <w:rFonts w:hint="eastAsia" w:ascii="宋体" w:hAnsi="宋体" w:cs="宋体"/>
          <w:b/>
          <w:color w:val="auto"/>
          <w:highlight w:val="none"/>
          <w:lang w:eastAsia="zh-CN"/>
        </w:rPr>
        <w:t>）</w:t>
      </w:r>
      <w:r>
        <w:rPr>
          <w:rFonts w:hint="eastAsia" w:ascii="宋体" w:hAnsi="宋体" w:cs="宋体"/>
          <w:b/>
          <w:color w:val="auto"/>
          <w:highlight w:val="none"/>
        </w:rPr>
        <w:t>签订合同</w:t>
      </w:r>
    </w:p>
    <w:p>
      <w:pPr>
        <w:spacing w:line="360" w:lineRule="auto"/>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招标人和中标人在自中标通知书发出之日起30日内，依据《中华人民共和国经济合同法》等有关法律法规及招标、投标文件内容签订合同。</w:t>
      </w:r>
    </w:p>
    <w:p>
      <w:pPr>
        <w:spacing w:line="360" w:lineRule="auto"/>
        <w:rPr>
          <w:rFonts w:ascii="宋体" w:hAnsi="宋体" w:cs="宋体"/>
          <w:color w:val="auto"/>
          <w:highlight w:val="none"/>
        </w:rPr>
      </w:pPr>
      <w:r>
        <w:rPr>
          <w:rFonts w:hint="eastAsia" w:ascii="宋体" w:hAnsi="宋体" w:cs="宋体"/>
          <w:b/>
          <w:color w:val="auto"/>
          <w:highlight w:val="none"/>
        </w:rPr>
        <w:t>2</w:t>
      </w:r>
      <w:r>
        <w:rPr>
          <w:rFonts w:hint="eastAsia" w:ascii="宋体" w:hAnsi="宋体" w:cs="宋体"/>
          <w:color w:val="auto"/>
          <w:highlight w:val="none"/>
        </w:rPr>
        <w:t xml:space="preserve"> 中标合同不得转让，合同分包需在投标文件中予以说明，并须经招标人同意。否则，招标人有权取消招标人的中标资格，</w:t>
      </w:r>
      <w:r>
        <w:rPr>
          <w:rFonts w:hint="eastAsia" w:asciiTheme="minorEastAsia" w:hAnsiTheme="minorEastAsia" w:eastAsiaTheme="minorEastAsia" w:cstheme="minorEastAsia"/>
          <w:b/>
          <w:bCs/>
          <w:color w:val="auto"/>
          <w:highlight w:val="none"/>
        </w:rPr>
        <w:t>同时投标交易中心有权</w:t>
      </w:r>
      <w:r>
        <w:rPr>
          <w:rFonts w:hint="eastAsia" w:asciiTheme="minorEastAsia" w:hAnsiTheme="minorEastAsia" w:eastAsiaTheme="minorEastAsia" w:cstheme="minorEastAsia"/>
          <w:b/>
          <w:bCs/>
          <w:color w:val="auto"/>
          <w:highlight w:val="none"/>
          <w:lang w:val="en-US" w:eastAsia="zh-CN"/>
        </w:rPr>
        <w:t>不予退回</w:t>
      </w:r>
      <w:r>
        <w:rPr>
          <w:rFonts w:hint="eastAsia" w:asciiTheme="minorEastAsia" w:hAnsiTheme="minorEastAsia" w:eastAsiaTheme="minorEastAsia" w:cstheme="minorEastAsia"/>
          <w:b/>
          <w:bCs/>
          <w:color w:val="auto"/>
          <w:highlight w:val="none"/>
        </w:rPr>
        <w:t>其保证金</w:t>
      </w:r>
      <w:r>
        <w:rPr>
          <w:rFonts w:hint="eastAsia" w:ascii="宋体" w:hAnsi="宋体" w:cs="宋体"/>
          <w:color w:val="auto"/>
          <w:highlight w:val="none"/>
        </w:rPr>
        <w:t>。</w:t>
      </w:r>
    </w:p>
    <w:p>
      <w:pPr>
        <w:spacing w:line="360" w:lineRule="auto"/>
        <w:rPr>
          <w:rFonts w:ascii="宋体" w:hAnsi="宋体" w:cs="宋体"/>
          <w:color w:val="auto"/>
          <w:highlight w:val="none"/>
        </w:rPr>
      </w:pPr>
      <w:r>
        <w:rPr>
          <w:rFonts w:hint="eastAsia" w:ascii="宋体" w:hAnsi="宋体" w:cs="宋体"/>
          <w:b/>
          <w:color w:val="auto"/>
          <w:highlight w:val="none"/>
        </w:rPr>
        <w:t>3</w:t>
      </w:r>
      <w:r>
        <w:rPr>
          <w:rFonts w:hint="eastAsia" w:ascii="宋体" w:hAnsi="宋体" w:cs="宋体"/>
          <w:color w:val="auto"/>
          <w:highlight w:val="none"/>
        </w:rPr>
        <w:t xml:space="preserve"> 招标人如遇中标人违约，可从候选中标人中重新选定中标人，并签订经济合同。</w:t>
      </w:r>
    </w:p>
    <w:p>
      <w:pPr>
        <w:spacing w:line="360" w:lineRule="auto"/>
        <w:rPr>
          <w:rFonts w:ascii="宋体" w:hAnsi="宋体" w:cs="宋体"/>
          <w:color w:val="auto"/>
          <w:highlight w:val="none"/>
        </w:rPr>
      </w:pPr>
      <w:r>
        <w:rPr>
          <w:rFonts w:hint="eastAsia" w:ascii="宋体" w:hAnsi="宋体" w:cs="宋体"/>
          <w:b/>
          <w:color w:val="auto"/>
          <w:highlight w:val="none"/>
        </w:rPr>
        <w:t>4</w:t>
      </w:r>
      <w:r>
        <w:rPr>
          <w:rFonts w:hint="eastAsia" w:ascii="宋体" w:hAnsi="宋体" w:cs="宋体"/>
          <w:color w:val="auto"/>
          <w:highlight w:val="none"/>
        </w:rPr>
        <w:t xml:space="preserve"> 合同的定制由招标人、中标人、招标代理机构三方参加，为确保合同双方的利益公平均等，由招标代理机构在合同制订过程中进行协调。</w:t>
      </w:r>
    </w:p>
    <w:p>
      <w:pPr>
        <w:spacing w:line="360" w:lineRule="auto"/>
        <w:rPr>
          <w:rFonts w:ascii="宋体" w:hAnsi="宋体" w:cs="宋体"/>
          <w:color w:val="auto"/>
          <w:highlight w:val="none"/>
        </w:rPr>
      </w:pPr>
      <w:r>
        <w:rPr>
          <w:rFonts w:hint="eastAsia" w:ascii="宋体" w:hAnsi="宋体" w:cs="宋体"/>
          <w:b/>
          <w:color w:val="auto"/>
          <w:highlight w:val="none"/>
        </w:rPr>
        <w:t xml:space="preserve">5 </w:t>
      </w:r>
      <w:r>
        <w:rPr>
          <w:rFonts w:hint="eastAsia" w:ascii="宋体" w:hAnsi="宋体" w:cs="宋体"/>
          <w:color w:val="auto"/>
          <w:highlight w:val="none"/>
        </w:rPr>
        <w:t>合同经招、投标双方签字盖章后即生效。招、投标双方亦可自愿申请公证。</w:t>
      </w:r>
    </w:p>
    <w:p>
      <w:pPr>
        <w:spacing w:line="360" w:lineRule="auto"/>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二</w:t>
      </w:r>
      <w:r>
        <w:rPr>
          <w:rFonts w:hint="eastAsia" w:ascii="宋体" w:hAnsi="宋体" w:cs="宋体"/>
          <w:b/>
          <w:color w:val="auto"/>
          <w:highlight w:val="none"/>
          <w:lang w:eastAsia="zh-CN"/>
        </w:rPr>
        <w:t>）</w:t>
      </w:r>
      <w:r>
        <w:rPr>
          <w:rFonts w:hint="eastAsia" w:ascii="宋体" w:hAnsi="宋体" w:cs="宋体"/>
          <w:b/>
          <w:color w:val="auto"/>
          <w:highlight w:val="none"/>
        </w:rPr>
        <w:t>合同组成</w:t>
      </w:r>
    </w:p>
    <w:p>
      <w:pPr>
        <w:spacing w:line="360" w:lineRule="auto"/>
        <w:rPr>
          <w:rFonts w:ascii="宋体" w:hAnsi="宋体" w:cs="宋体"/>
          <w:color w:val="auto"/>
          <w:highlight w:val="none"/>
        </w:rPr>
      </w:pPr>
      <w:r>
        <w:rPr>
          <w:rFonts w:hint="eastAsia" w:ascii="宋体" w:hAnsi="宋体" w:cs="宋体"/>
          <w:b/>
          <w:color w:val="auto"/>
          <w:highlight w:val="none"/>
        </w:rPr>
        <w:t>1</w:t>
      </w:r>
      <w:r>
        <w:rPr>
          <w:rFonts w:hint="eastAsia" w:ascii="宋体" w:hAnsi="宋体" w:cs="宋体"/>
          <w:color w:val="auto"/>
          <w:highlight w:val="none"/>
        </w:rPr>
        <w:t xml:space="preserve"> 以下文件均为合同不可分割的部分：</w:t>
      </w:r>
    </w:p>
    <w:p>
      <w:pPr>
        <w:spacing w:line="360" w:lineRule="auto"/>
        <w:rPr>
          <w:rFonts w:ascii="宋体" w:hAnsi="宋体" w:cs="宋体"/>
          <w:color w:val="auto"/>
          <w:highlight w:val="none"/>
        </w:rPr>
      </w:pPr>
      <w:r>
        <w:rPr>
          <w:rFonts w:hint="eastAsia" w:ascii="宋体" w:hAnsi="宋体" w:cs="宋体"/>
          <w:color w:val="auto"/>
          <w:highlight w:val="none"/>
        </w:rPr>
        <w:t>1.1 专用合同</w:t>
      </w:r>
    </w:p>
    <w:p>
      <w:pPr>
        <w:spacing w:line="360" w:lineRule="auto"/>
        <w:rPr>
          <w:rFonts w:ascii="宋体" w:hAnsi="宋体" w:cs="宋体"/>
          <w:color w:val="auto"/>
          <w:highlight w:val="none"/>
        </w:rPr>
      </w:pPr>
      <w:r>
        <w:rPr>
          <w:rFonts w:hint="eastAsia" w:ascii="宋体" w:hAnsi="宋体" w:cs="宋体"/>
          <w:color w:val="auto"/>
          <w:highlight w:val="none"/>
        </w:rPr>
        <w:t>1.2 合同条款</w:t>
      </w:r>
    </w:p>
    <w:p>
      <w:pPr>
        <w:spacing w:line="360" w:lineRule="auto"/>
        <w:rPr>
          <w:rFonts w:ascii="宋体" w:hAnsi="宋体" w:cs="宋体"/>
          <w:color w:val="auto"/>
          <w:highlight w:val="none"/>
        </w:rPr>
      </w:pPr>
      <w:r>
        <w:rPr>
          <w:rFonts w:hint="eastAsia" w:ascii="宋体" w:hAnsi="宋体" w:cs="宋体"/>
          <w:color w:val="auto"/>
          <w:highlight w:val="none"/>
        </w:rPr>
        <w:t>1.3 中标通知书</w:t>
      </w:r>
    </w:p>
    <w:p>
      <w:pPr>
        <w:spacing w:line="360" w:lineRule="auto"/>
        <w:rPr>
          <w:rFonts w:ascii="宋体" w:hAnsi="宋体" w:cs="宋体"/>
          <w:color w:val="auto"/>
          <w:highlight w:val="none"/>
        </w:rPr>
      </w:pPr>
      <w:r>
        <w:rPr>
          <w:rFonts w:hint="eastAsia" w:ascii="宋体" w:hAnsi="宋体" w:cs="宋体"/>
          <w:color w:val="auto"/>
          <w:highlight w:val="none"/>
        </w:rPr>
        <w:t>1.4 投标人投标文件</w:t>
      </w:r>
    </w:p>
    <w:p>
      <w:pPr>
        <w:spacing w:line="360" w:lineRule="auto"/>
        <w:rPr>
          <w:rFonts w:ascii="宋体" w:hAnsi="宋体" w:cs="宋体"/>
          <w:color w:val="auto"/>
          <w:highlight w:val="none"/>
        </w:rPr>
      </w:pPr>
      <w:r>
        <w:rPr>
          <w:rFonts w:hint="eastAsia" w:ascii="宋体" w:hAnsi="宋体" w:cs="宋体"/>
          <w:color w:val="auto"/>
          <w:highlight w:val="none"/>
        </w:rPr>
        <w:t>1.5 招标文件</w:t>
      </w:r>
    </w:p>
    <w:p>
      <w:pPr>
        <w:spacing w:line="360" w:lineRule="auto"/>
        <w:rPr>
          <w:rFonts w:ascii="宋体" w:hAnsi="宋体" w:cs="宋体"/>
          <w:color w:val="auto"/>
          <w:highlight w:val="none"/>
        </w:rPr>
      </w:pPr>
      <w:r>
        <w:rPr>
          <w:rFonts w:hint="eastAsia" w:ascii="宋体" w:hAnsi="宋体" w:cs="宋体"/>
          <w:color w:val="auto"/>
          <w:highlight w:val="none"/>
        </w:rPr>
        <w:t>1.6 评标答疑记录</w:t>
      </w:r>
    </w:p>
    <w:p>
      <w:pPr>
        <w:pStyle w:val="4"/>
        <w:numPr>
          <w:ilvl w:val="1"/>
          <w:numId w:val="0"/>
        </w:numPr>
        <w:jc w:val="center"/>
        <w:rPr>
          <w:rFonts w:ascii="宋体" w:hAnsi="宋体" w:cs="宋体"/>
          <w:color w:val="auto"/>
          <w:sz w:val="28"/>
          <w:highlight w:val="none"/>
        </w:rPr>
      </w:pPr>
      <w:bookmarkStart w:id="98" w:name="_Toc21121"/>
      <w:bookmarkStart w:id="99" w:name="_Toc5784"/>
      <w:bookmarkStart w:id="100" w:name="_Toc23781"/>
      <w:r>
        <w:rPr>
          <w:rFonts w:hint="eastAsia" w:ascii="宋体" w:hAnsi="宋体" w:cs="宋体"/>
          <w:color w:val="auto"/>
          <w:sz w:val="28"/>
          <w:highlight w:val="none"/>
          <w:lang w:val="en-US" w:eastAsia="zh-CN"/>
        </w:rPr>
        <w:t>七、</w:t>
      </w:r>
      <w:r>
        <w:rPr>
          <w:rFonts w:hint="eastAsia" w:ascii="宋体" w:hAnsi="宋体" w:cs="宋体"/>
          <w:color w:val="auto"/>
          <w:sz w:val="28"/>
          <w:highlight w:val="none"/>
        </w:rPr>
        <w:t>特别提示</w:t>
      </w:r>
      <w:bookmarkEnd w:id="98"/>
      <w:bookmarkEnd w:id="99"/>
      <w:bookmarkEnd w:id="100"/>
    </w:p>
    <w:p>
      <w:pPr>
        <w:spacing w:line="360" w:lineRule="auto"/>
        <w:rPr>
          <w:rFonts w:ascii="宋体" w:hAnsi="宋体" w:cs="宋体"/>
          <w:color w:val="auto"/>
          <w:highlight w:val="none"/>
        </w:rPr>
      </w:pPr>
      <w:r>
        <w:rPr>
          <w:rFonts w:hint="eastAsia" w:ascii="宋体" w:hAnsi="宋体" w:cs="宋体"/>
          <w:b/>
          <w:color w:val="auto"/>
          <w:highlight w:val="none"/>
          <w:lang w:val="en-US" w:eastAsia="zh-CN"/>
        </w:rPr>
        <w:t>1</w:t>
      </w:r>
      <w:r>
        <w:rPr>
          <w:rFonts w:hint="eastAsia" w:ascii="宋体" w:hAnsi="宋体" w:cs="宋体"/>
          <w:b/>
          <w:color w:val="auto"/>
          <w:highlight w:val="none"/>
        </w:rPr>
        <w:t>、</w:t>
      </w:r>
      <w:r>
        <w:rPr>
          <w:rFonts w:hint="eastAsia" w:ascii="宋体" w:hAnsi="宋体" w:cs="宋体"/>
          <w:color w:val="auto"/>
          <w:highlight w:val="none"/>
        </w:rPr>
        <w:t>投标人应认真研读招标文件，充分考虑招标文件中的所有要求和合同条款后，编制投标文件。</w:t>
      </w:r>
    </w:p>
    <w:p>
      <w:pPr>
        <w:spacing w:line="360" w:lineRule="auto"/>
        <w:rPr>
          <w:rFonts w:ascii="宋体" w:hAnsi="宋体" w:cs="宋体"/>
          <w:color w:val="auto"/>
          <w:highlight w:val="none"/>
        </w:rPr>
      </w:pPr>
      <w:r>
        <w:rPr>
          <w:rFonts w:hint="eastAsia" w:ascii="宋体" w:hAnsi="宋体" w:cs="宋体"/>
          <w:b/>
          <w:color w:val="auto"/>
          <w:highlight w:val="none"/>
          <w:lang w:val="en-US" w:eastAsia="zh-CN"/>
        </w:rPr>
        <w:t>2</w:t>
      </w:r>
      <w:r>
        <w:rPr>
          <w:rFonts w:hint="eastAsia" w:ascii="宋体" w:hAnsi="宋体" w:cs="宋体"/>
          <w:b/>
          <w:color w:val="auto"/>
          <w:highlight w:val="none"/>
        </w:rPr>
        <w:t>、</w:t>
      </w:r>
      <w:r>
        <w:rPr>
          <w:rFonts w:hint="eastAsia" w:ascii="宋体" w:hAnsi="宋体" w:cs="宋体"/>
          <w:color w:val="auto"/>
          <w:highlight w:val="none"/>
        </w:rPr>
        <w:t>如招标文件中提供的各类表格样式不适用，投标人可另行设计表格样式，但力求内容完整，表达清晰、准确。</w:t>
      </w:r>
    </w:p>
    <w:p>
      <w:pPr>
        <w:pStyle w:val="4"/>
        <w:numPr>
          <w:ilvl w:val="1"/>
          <w:numId w:val="0"/>
        </w:numPr>
        <w:jc w:val="center"/>
        <w:rPr>
          <w:rFonts w:ascii="宋体" w:hAnsi="宋体" w:cs="宋体"/>
          <w:color w:val="auto"/>
          <w:sz w:val="28"/>
          <w:highlight w:val="none"/>
        </w:rPr>
      </w:pPr>
      <w:bookmarkStart w:id="101" w:name="_Toc13324"/>
      <w:bookmarkStart w:id="102" w:name="_Toc2052"/>
      <w:bookmarkStart w:id="103" w:name="_Toc21358"/>
      <w:r>
        <w:rPr>
          <w:rFonts w:hint="eastAsia" w:ascii="宋体" w:hAnsi="宋体" w:cs="宋体"/>
          <w:color w:val="auto"/>
          <w:sz w:val="28"/>
          <w:highlight w:val="none"/>
          <w:lang w:val="en-US" w:eastAsia="zh-CN"/>
        </w:rPr>
        <w:t>八、</w:t>
      </w:r>
      <w:r>
        <w:rPr>
          <w:rFonts w:hint="eastAsia" w:ascii="宋体" w:hAnsi="宋体" w:cs="宋体"/>
          <w:color w:val="auto"/>
          <w:sz w:val="28"/>
          <w:highlight w:val="none"/>
        </w:rPr>
        <w:t>其他事项</w:t>
      </w:r>
      <w:bookmarkEnd w:id="101"/>
      <w:bookmarkEnd w:id="102"/>
      <w:bookmarkEnd w:id="103"/>
    </w:p>
    <w:p>
      <w:pPr>
        <w:spacing w:line="360" w:lineRule="auto"/>
        <w:ind w:firstLine="422" w:firstLineChars="200"/>
        <w:rPr>
          <w:rFonts w:ascii="宋体" w:hAnsi="宋体" w:cs="宋体"/>
          <w:b/>
          <w:color w:val="auto"/>
          <w:highlight w:val="none"/>
        </w:rPr>
      </w:pPr>
      <w:r>
        <w:rPr>
          <w:rFonts w:hint="eastAsia" w:ascii="宋体" w:hAnsi="宋体" w:cs="宋体"/>
          <w:b/>
          <w:color w:val="auto"/>
          <w:highlight w:val="none"/>
          <w:lang w:eastAsia="zh-CN"/>
        </w:rPr>
        <w:t>（</w:t>
      </w:r>
      <w:r>
        <w:rPr>
          <w:rFonts w:hint="eastAsia" w:ascii="宋体" w:hAnsi="宋体" w:cs="宋体"/>
          <w:b/>
          <w:color w:val="auto"/>
          <w:highlight w:val="none"/>
          <w:lang w:val="en-US" w:eastAsia="zh-CN"/>
        </w:rPr>
        <w:t>一</w:t>
      </w:r>
      <w:r>
        <w:rPr>
          <w:rFonts w:hint="eastAsia" w:ascii="宋体" w:hAnsi="宋体" w:cs="宋体"/>
          <w:b/>
          <w:color w:val="auto"/>
          <w:highlight w:val="none"/>
          <w:lang w:eastAsia="zh-CN"/>
        </w:rPr>
        <w:t>）</w:t>
      </w:r>
      <w:r>
        <w:rPr>
          <w:rFonts w:hint="eastAsia" w:ascii="宋体" w:hAnsi="宋体" w:cs="宋体"/>
          <w:b/>
          <w:color w:val="auto"/>
          <w:highlight w:val="none"/>
        </w:rPr>
        <w:t>中标服务费</w:t>
      </w:r>
    </w:p>
    <w:p>
      <w:pPr>
        <w:spacing w:line="360" w:lineRule="auto"/>
        <w:ind w:firstLine="422" w:firstLineChars="200"/>
        <w:rPr>
          <w:rFonts w:hint="default" w:asciiTheme="minorEastAsia" w:hAnsiTheme="minorEastAsia" w:eastAsiaTheme="minorEastAsia" w:cstheme="minorEastAsia"/>
          <w:color w:val="auto"/>
          <w:highlight w:val="none"/>
          <w:lang w:val="en-US" w:eastAsia="zh-CN"/>
        </w:rPr>
      </w:pPr>
      <w:r>
        <w:rPr>
          <w:rFonts w:hint="eastAsia" w:asciiTheme="minorEastAsia" w:hAnsiTheme="minorEastAsia" w:eastAsiaTheme="minorEastAsia" w:cstheme="minorEastAsia"/>
          <w:b/>
          <w:color w:val="auto"/>
          <w:highlight w:val="none"/>
        </w:rPr>
        <w:t xml:space="preserve">1 </w:t>
      </w:r>
      <w:r>
        <w:rPr>
          <w:rFonts w:hint="eastAsia" w:asciiTheme="minorEastAsia" w:hAnsiTheme="minorEastAsia" w:eastAsiaTheme="minorEastAsia" w:cstheme="minorEastAsia"/>
          <w:b/>
          <w:color w:val="auto"/>
          <w:highlight w:val="none"/>
          <w:lang w:val="en-US" w:eastAsia="zh-CN"/>
        </w:rPr>
        <w:t>本次招标代理服务费由中标企业支付，根据市场收费标准收取，在领取中标通知书时向招标代理机构一次性付清。</w:t>
      </w:r>
    </w:p>
    <w:p>
      <w:pPr>
        <w:spacing w:line="360" w:lineRule="auto"/>
        <w:ind w:firstLine="422" w:firstLineChars="2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b/>
          <w:color w:val="auto"/>
          <w:highlight w:val="none"/>
        </w:rPr>
        <w:t>2</w:t>
      </w:r>
      <w:r>
        <w:rPr>
          <w:rFonts w:hint="eastAsia" w:asciiTheme="minorEastAsia" w:hAnsiTheme="minorEastAsia" w:eastAsiaTheme="minorEastAsia" w:cstheme="minorEastAsia"/>
          <w:color w:val="auto"/>
          <w:highlight w:val="none"/>
        </w:rPr>
        <w:t xml:space="preserve"> 中标服务费执行按照甲乙双方协商约定，参照原国家计委关于印发《中标代理服务收费管理暂行办法》的通知【计价格（2011）534号】和当地政府相关规定。</w:t>
      </w: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center"/>
        <w:outlineLvl w:val="0"/>
        <w:rPr>
          <w:rFonts w:hint="eastAsia" w:ascii="宋体" w:hAnsi="宋体" w:cs="宋体"/>
          <w:b/>
          <w:bCs/>
          <w:color w:val="000000"/>
          <w:sz w:val="36"/>
        </w:rPr>
      </w:pPr>
    </w:p>
    <w:p>
      <w:pPr>
        <w:pStyle w:val="8"/>
        <w:jc w:val="both"/>
        <w:outlineLvl w:val="0"/>
        <w:rPr>
          <w:rFonts w:hint="eastAsia" w:ascii="宋体" w:hAnsi="宋体" w:cs="宋体"/>
          <w:b/>
          <w:bCs/>
          <w:color w:val="000000"/>
          <w:sz w:val="36"/>
        </w:rPr>
      </w:pPr>
    </w:p>
    <w:p>
      <w:pPr>
        <w:pStyle w:val="8"/>
        <w:jc w:val="center"/>
        <w:outlineLvl w:val="0"/>
        <w:rPr>
          <w:rFonts w:hint="eastAsia" w:ascii="宋体" w:hAnsi="宋体" w:cs="宋体"/>
          <w:color w:val="000000"/>
          <w:kern w:val="0"/>
          <w:sz w:val="22"/>
          <w:szCs w:val="22"/>
          <w:shd w:val="clear" w:color="auto" w:fill="FFFFFF"/>
        </w:rPr>
      </w:pPr>
      <w:r>
        <w:rPr>
          <w:rFonts w:hint="eastAsia" w:ascii="宋体" w:hAnsi="宋体" w:cs="宋体"/>
          <w:b/>
          <w:bCs/>
          <w:color w:val="000000"/>
          <w:sz w:val="36"/>
        </w:rPr>
        <w:t xml:space="preserve">第三部分  </w:t>
      </w:r>
      <w:r>
        <w:rPr>
          <w:rFonts w:hint="eastAsia" w:ascii="宋体" w:hAnsi="宋体" w:cs="宋体"/>
          <w:b/>
          <w:bCs/>
          <w:color w:val="000000"/>
          <w:sz w:val="36"/>
          <w:lang w:val="en-US" w:eastAsia="zh-CN"/>
        </w:rPr>
        <w:t xml:space="preserve"> </w:t>
      </w:r>
      <w:r>
        <w:rPr>
          <w:rFonts w:hint="eastAsia" w:ascii="宋体" w:hAnsi="宋体" w:cs="宋体"/>
          <w:b/>
          <w:bCs/>
          <w:color w:val="000000"/>
          <w:sz w:val="36"/>
        </w:rPr>
        <w:t>评标办法及标准</w:t>
      </w:r>
      <w:bookmarkEnd w:id="91"/>
      <w:bookmarkEnd w:id="92"/>
      <w:bookmarkEnd w:id="93"/>
      <w:bookmarkEnd w:id="94"/>
      <w:bookmarkEnd w:id="95"/>
      <w:bookmarkEnd w:id="96"/>
      <w:bookmarkEnd w:id="97"/>
    </w:p>
    <w:p>
      <w:pPr>
        <w:pStyle w:val="8"/>
        <w:rPr>
          <w:rFonts w:hint="eastAsia" w:ascii="宋体" w:hAnsi="宋体" w:cs="宋体"/>
          <w:color w:val="000000"/>
          <w:kern w:val="0"/>
          <w:sz w:val="22"/>
          <w:szCs w:val="22"/>
          <w:shd w:val="clear" w:color="auto" w:fill="FFFFFF"/>
        </w:rPr>
      </w:pPr>
    </w:p>
    <w:p>
      <w:pPr>
        <w:spacing w:line="460" w:lineRule="exact"/>
        <w:ind w:firstLine="562" w:firstLineChars="200"/>
        <w:jc w:val="center"/>
        <w:rPr>
          <w:rFonts w:hint="eastAsia" w:ascii="宋体" w:hAnsi="宋体" w:cs="宋体"/>
          <w:b/>
          <w:bCs/>
          <w:color w:val="000000"/>
          <w:sz w:val="28"/>
          <w:szCs w:val="28"/>
          <w:highlight w:val="none"/>
          <w:lang w:val="en-US" w:eastAsia="zh-CN"/>
        </w:rPr>
      </w:pPr>
      <w:bookmarkStart w:id="104" w:name="_Toc21945"/>
      <w:bookmarkStart w:id="105" w:name="_Toc29628"/>
      <w:r>
        <w:rPr>
          <w:rFonts w:hint="eastAsia" w:ascii="宋体" w:hAnsi="宋体" w:cs="宋体"/>
          <w:b/>
          <w:bCs/>
          <w:color w:val="000000"/>
          <w:sz w:val="28"/>
          <w:szCs w:val="28"/>
          <w:highlight w:val="none"/>
          <w:lang w:val="en-US" w:eastAsia="zh-CN"/>
        </w:rPr>
        <w:t>资格审查标准</w:t>
      </w:r>
    </w:p>
    <w:tbl>
      <w:tblPr>
        <w:tblStyle w:val="23"/>
        <w:tblW w:w="97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706"/>
        <w:gridCol w:w="6593"/>
        <w:gridCol w:w="732"/>
        <w:gridCol w:w="99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8" w:hRule="atLeast"/>
          <w:jc w:val="center"/>
        </w:trPr>
        <w:tc>
          <w:tcPr>
            <w:tcW w:w="707" w:type="dxa"/>
            <w:vMerge w:val="restart"/>
            <w:noWrap w:val="0"/>
            <w:vAlign w:val="center"/>
          </w:tcPr>
          <w:p>
            <w:pPr>
              <w:spacing w:line="448" w:lineRule="atLeast"/>
              <w:jc w:val="both"/>
              <w:rPr>
                <w:rFonts w:hint="eastAsia" w:ascii="宋体" w:hAnsi="宋体"/>
                <w:color w:val="auto"/>
                <w:sz w:val="22"/>
                <w:szCs w:val="18"/>
                <w:highlight w:val="none"/>
              </w:rPr>
            </w:pPr>
            <w:r>
              <w:rPr>
                <w:rFonts w:hint="eastAsia" w:ascii="宋体" w:hAnsi="宋体"/>
                <w:color w:val="auto"/>
                <w:sz w:val="22"/>
                <w:szCs w:val="18"/>
                <w:highlight w:val="none"/>
                <w:lang w:eastAsia="zh-CN"/>
              </w:rPr>
              <w:t>项目</w:t>
            </w:r>
          </w:p>
        </w:tc>
        <w:tc>
          <w:tcPr>
            <w:tcW w:w="706" w:type="dxa"/>
            <w:vMerge w:val="restart"/>
            <w:noWrap w:val="0"/>
            <w:vAlign w:val="center"/>
          </w:tcPr>
          <w:p>
            <w:pPr>
              <w:spacing w:line="448" w:lineRule="atLeast"/>
              <w:jc w:val="both"/>
              <w:rPr>
                <w:rFonts w:hint="eastAsia" w:ascii="宋体" w:hAnsi="宋体"/>
                <w:color w:val="auto"/>
                <w:sz w:val="24"/>
                <w:szCs w:val="20"/>
                <w:highlight w:val="none"/>
              </w:rPr>
            </w:pPr>
            <w:r>
              <w:rPr>
                <w:rFonts w:hint="eastAsia" w:ascii="宋体" w:hAnsi="宋体"/>
                <w:color w:val="auto"/>
                <w:sz w:val="24"/>
                <w:szCs w:val="20"/>
                <w:highlight w:val="none"/>
                <w:lang w:eastAsia="zh-CN"/>
              </w:rPr>
              <w:t>序</w:t>
            </w:r>
            <w:r>
              <w:rPr>
                <w:rFonts w:hint="eastAsia" w:ascii="宋体" w:hAnsi="宋体"/>
                <w:color w:val="auto"/>
                <w:sz w:val="24"/>
                <w:szCs w:val="20"/>
                <w:highlight w:val="none"/>
              </w:rPr>
              <w:t>号</w:t>
            </w:r>
          </w:p>
        </w:tc>
        <w:tc>
          <w:tcPr>
            <w:tcW w:w="6593" w:type="dxa"/>
            <w:vMerge w:val="restart"/>
            <w:noWrap w:val="0"/>
            <w:vAlign w:val="center"/>
          </w:tcPr>
          <w:p>
            <w:pPr>
              <w:spacing w:line="448" w:lineRule="atLeast"/>
              <w:ind w:firstLine="480" w:firstLineChars="200"/>
              <w:jc w:val="center"/>
              <w:rPr>
                <w:rFonts w:hint="eastAsia" w:ascii="宋体" w:hAnsi="宋体"/>
                <w:color w:val="auto"/>
                <w:sz w:val="24"/>
                <w:szCs w:val="20"/>
                <w:highlight w:val="none"/>
              </w:rPr>
            </w:pPr>
            <w:r>
              <w:rPr>
                <w:rFonts w:hint="eastAsia" w:ascii="宋体" w:hAnsi="宋体"/>
                <w:color w:val="auto"/>
                <w:sz w:val="24"/>
                <w:szCs w:val="20"/>
                <w:highlight w:val="none"/>
              </w:rPr>
              <w:t>评审内容</w:t>
            </w:r>
          </w:p>
        </w:tc>
        <w:tc>
          <w:tcPr>
            <w:tcW w:w="1725" w:type="dxa"/>
            <w:gridSpan w:val="2"/>
            <w:noWrap w:val="0"/>
            <w:vAlign w:val="center"/>
          </w:tcPr>
          <w:p>
            <w:pPr>
              <w:spacing w:line="448" w:lineRule="atLeast"/>
              <w:jc w:val="both"/>
              <w:rPr>
                <w:rFonts w:hint="eastAsia" w:ascii="宋体" w:hAnsi="宋体"/>
                <w:color w:val="auto"/>
                <w:sz w:val="24"/>
                <w:szCs w:val="20"/>
                <w:highlight w:val="none"/>
              </w:rPr>
            </w:pPr>
            <w:r>
              <w:rPr>
                <w:rFonts w:hint="eastAsia" w:ascii="宋体" w:hAnsi="宋体"/>
                <w:color w:val="auto"/>
                <w:sz w:val="24"/>
                <w:szCs w:val="20"/>
                <w:highlight w:val="none"/>
              </w:rPr>
              <w:t>评审方法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707" w:type="dxa"/>
            <w:vMerge w:val="continue"/>
            <w:noWrap w:val="0"/>
            <w:vAlign w:val="center"/>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center"/>
          </w:tcPr>
          <w:p>
            <w:pPr>
              <w:spacing w:line="448" w:lineRule="atLeast"/>
              <w:ind w:firstLine="480" w:firstLineChars="200"/>
              <w:jc w:val="center"/>
              <w:rPr>
                <w:rFonts w:hint="eastAsia" w:ascii="宋体" w:hAnsi="宋体"/>
                <w:color w:val="auto"/>
                <w:sz w:val="24"/>
                <w:szCs w:val="20"/>
                <w:highlight w:val="none"/>
              </w:rPr>
            </w:pPr>
          </w:p>
        </w:tc>
        <w:tc>
          <w:tcPr>
            <w:tcW w:w="6593" w:type="dxa"/>
            <w:vMerge w:val="continue"/>
            <w:noWrap w:val="0"/>
            <w:vAlign w:val="center"/>
          </w:tcPr>
          <w:p>
            <w:pPr>
              <w:spacing w:line="448" w:lineRule="atLeast"/>
              <w:ind w:firstLine="480" w:firstLineChars="200"/>
              <w:jc w:val="center"/>
              <w:rPr>
                <w:rFonts w:hint="eastAsia" w:ascii="宋体" w:hAnsi="宋体"/>
                <w:color w:val="auto"/>
                <w:sz w:val="24"/>
                <w:szCs w:val="20"/>
                <w:highlight w:val="none"/>
              </w:rPr>
            </w:pPr>
          </w:p>
        </w:tc>
        <w:tc>
          <w:tcPr>
            <w:tcW w:w="732" w:type="dxa"/>
            <w:noWrap w:val="0"/>
            <w:vAlign w:val="center"/>
          </w:tcPr>
          <w:p>
            <w:pPr>
              <w:spacing w:line="448" w:lineRule="atLeast"/>
              <w:jc w:val="both"/>
              <w:rPr>
                <w:rFonts w:hint="eastAsia" w:ascii="宋体" w:hAnsi="宋体"/>
                <w:color w:val="auto"/>
                <w:sz w:val="24"/>
                <w:szCs w:val="20"/>
                <w:highlight w:val="none"/>
              </w:rPr>
            </w:pPr>
            <w:r>
              <w:rPr>
                <w:rFonts w:hint="eastAsia" w:ascii="宋体" w:hAnsi="宋体"/>
                <w:color w:val="auto"/>
                <w:sz w:val="24"/>
                <w:szCs w:val="20"/>
                <w:highlight w:val="none"/>
              </w:rPr>
              <w:t>通过</w:t>
            </w:r>
          </w:p>
        </w:tc>
        <w:tc>
          <w:tcPr>
            <w:tcW w:w="993" w:type="dxa"/>
            <w:noWrap w:val="0"/>
            <w:vAlign w:val="center"/>
          </w:tcPr>
          <w:p>
            <w:pPr>
              <w:spacing w:line="448" w:lineRule="atLeast"/>
              <w:jc w:val="both"/>
              <w:rPr>
                <w:rFonts w:hint="eastAsia" w:ascii="宋体" w:hAnsi="宋体"/>
                <w:color w:val="auto"/>
                <w:sz w:val="24"/>
                <w:szCs w:val="20"/>
                <w:highlight w:val="none"/>
              </w:rPr>
            </w:pPr>
            <w:r>
              <w:rPr>
                <w:rFonts w:hint="eastAsia" w:ascii="宋体" w:hAnsi="宋体"/>
                <w:color w:val="auto"/>
                <w:sz w:val="24"/>
                <w:szCs w:val="20"/>
                <w:highlight w:val="none"/>
              </w:rPr>
              <w:t>不通过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restart"/>
            <w:noWrap w:val="0"/>
            <w:vAlign w:val="center"/>
          </w:tcPr>
          <w:p>
            <w:pPr>
              <w:spacing w:line="448" w:lineRule="atLeast"/>
              <w:rPr>
                <w:rFonts w:hint="eastAsia" w:ascii="宋体" w:hAnsi="宋体" w:eastAsia="宋体" w:cs="Times New Roman"/>
                <w:color w:val="auto"/>
                <w:kern w:val="2"/>
                <w:sz w:val="22"/>
                <w:szCs w:val="18"/>
                <w:highlight w:val="none"/>
                <w:lang w:val="en-US" w:eastAsia="zh-CN" w:bidi="ar-SA"/>
              </w:rPr>
            </w:pPr>
            <w:r>
              <w:rPr>
                <w:rFonts w:hint="eastAsia" w:ascii="宋体" w:hAnsi="宋体" w:cs="宋体"/>
                <w:color w:val="auto"/>
                <w:kern w:val="0"/>
                <w:sz w:val="24"/>
                <w:szCs w:val="24"/>
                <w:highlight w:val="none"/>
                <w:lang w:bidi="ar"/>
              </w:rPr>
              <w:t>详细评审</w:t>
            </w:r>
          </w:p>
        </w:tc>
        <w:tc>
          <w:tcPr>
            <w:tcW w:w="706" w:type="dxa"/>
            <w:vMerge w:val="restart"/>
            <w:noWrap w:val="0"/>
            <w:vAlign w:val="center"/>
          </w:tcPr>
          <w:p>
            <w:pPr>
              <w:spacing w:line="448" w:lineRule="atLeas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1</w:t>
            </w:r>
          </w:p>
        </w:tc>
        <w:tc>
          <w:tcPr>
            <w:tcW w:w="6593" w:type="dxa"/>
            <w:noWrap w:val="0"/>
            <w:vAlign w:val="center"/>
          </w:tcPr>
          <w:p>
            <w:pPr>
              <w:spacing w:line="448" w:lineRule="atLeast"/>
              <w:jc w:val="left"/>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rPr>
              <w:t>符合《政府采购法》第二十二条规定的条件</w:t>
            </w:r>
            <w:r>
              <w:rPr>
                <w:rFonts w:hint="eastAsia" w:ascii="宋体" w:hAnsi="宋体" w:eastAsia="宋体" w:cs="宋体"/>
                <w:color w:val="auto"/>
                <w:sz w:val="21"/>
                <w:szCs w:val="21"/>
                <w:highlight w:val="none"/>
                <w:lang w:eastAsia="zh-CN"/>
              </w:rPr>
              <w:t>：</w:t>
            </w:r>
          </w:p>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（一）具有独立承担民事责任的能力；</w:t>
            </w:r>
          </w:p>
        </w:tc>
        <w:tc>
          <w:tcPr>
            <w:tcW w:w="732" w:type="dxa"/>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993" w:type="dxa"/>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top"/>
          </w:tcPr>
          <w:p>
            <w:pPr>
              <w:spacing w:line="448" w:lineRule="atLeast"/>
              <w:ind w:firstLine="480" w:firstLineChars="200"/>
              <w:jc w:val="center"/>
              <w:rPr>
                <w:rFonts w:hint="eastAsia" w:ascii="宋体" w:hAnsi="宋体"/>
                <w:color w:val="auto"/>
                <w:sz w:val="24"/>
                <w:szCs w:val="20"/>
                <w:highlight w:val="none"/>
              </w:rPr>
            </w:pP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（二）具有良好的商业信誉和健全的</w:t>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"https://www.baidu.com/s?wd=财务会计制度&amp;tn=SE_PcZhidaonwhc_ngpagmjz&amp;rsv_dl=gh_pc_zhidao"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财务会计制度</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t>；</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top"/>
          </w:tcPr>
          <w:p>
            <w:pPr>
              <w:spacing w:line="448" w:lineRule="atLeast"/>
              <w:ind w:firstLine="480" w:firstLineChars="200"/>
              <w:jc w:val="center"/>
              <w:rPr>
                <w:rFonts w:hint="eastAsia" w:ascii="宋体" w:hAnsi="宋体"/>
                <w:color w:val="auto"/>
                <w:sz w:val="24"/>
                <w:szCs w:val="20"/>
                <w:highlight w:val="none"/>
              </w:rPr>
            </w:pP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（三）具有履行合同所必需的设备和专业技术能力；</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top"/>
          </w:tcPr>
          <w:p>
            <w:pPr>
              <w:spacing w:line="448" w:lineRule="atLeast"/>
              <w:ind w:firstLine="480" w:firstLineChars="200"/>
              <w:jc w:val="center"/>
              <w:rPr>
                <w:rFonts w:hint="eastAsia" w:ascii="宋体" w:hAnsi="宋体"/>
                <w:color w:val="auto"/>
                <w:sz w:val="24"/>
                <w:szCs w:val="20"/>
                <w:highlight w:val="none"/>
              </w:rPr>
            </w:pP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rPr>
              <w:t>（四）有依法缴纳税收和</w:t>
            </w:r>
            <w:r>
              <w:rPr>
                <w:rFonts w:hint="eastAsia" w:ascii="宋体" w:hAnsi="宋体" w:eastAsia="宋体" w:cs="宋体"/>
                <w:color w:val="auto"/>
                <w:sz w:val="21"/>
                <w:szCs w:val="21"/>
                <w:highlight w:val="none"/>
              </w:rPr>
              <w:fldChar w:fldCharType="begin"/>
            </w:r>
            <w:r>
              <w:rPr>
                <w:rFonts w:hint="eastAsia" w:ascii="宋体" w:hAnsi="宋体" w:eastAsia="宋体" w:cs="宋体"/>
                <w:color w:val="auto"/>
                <w:sz w:val="21"/>
                <w:szCs w:val="21"/>
                <w:highlight w:val="none"/>
              </w:rPr>
              <w:instrText xml:space="preserve"> HYPERLINK "https://www.baidu.com/s?wd=社会保障资金&amp;tn=SE_PcZhidaonwhc_ngpagmjz&amp;rsv_dl=gh_pc_zhidao" </w:instrText>
            </w:r>
            <w:r>
              <w:rPr>
                <w:rFonts w:hint="eastAsia" w:ascii="宋体" w:hAnsi="宋体" w:eastAsia="宋体" w:cs="宋体"/>
                <w:color w:val="auto"/>
                <w:sz w:val="21"/>
                <w:szCs w:val="21"/>
                <w:highlight w:val="none"/>
              </w:rPr>
              <w:fldChar w:fldCharType="separate"/>
            </w:r>
            <w:r>
              <w:rPr>
                <w:rFonts w:hint="eastAsia" w:ascii="宋体" w:hAnsi="宋体" w:eastAsia="宋体" w:cs="宋体"/>
                <w:color w:val="auto"/>
                <w:sz w:val="21"/>
                <w:szCs w:val="21"/>
                <w:highlight w:val="none"/>
              </w:rPr>
              <w:t>社会保障资金</w:t>
            </w:r>
            <w:r>
              <w:rPr>
                <w:rFonts w:hint="eastAsia" w:ascii="宋体" w:hAnsi="宋体" w:eastAsia="宋体" w:cs="宋体"/>
                <w:color w:val="auto"/>
                <w:sz w:val="21"/>
                <w:szCs w:val="21"/>
                <w:highlight w:val="none"/>
              </w:rPr>
              <w:fldChar w:fldCharType="end"/>
            </w:r>
            <w:r>
              <w:rPr>
                <w:rFonts w:hint="eastAsia" w:ascii="宋体" w:hAnsi="宋体" w:eastAsia="宋体" w:cs="宋体"/>
                <w:color w:val="auto"/>
                <w:sz w:val="21"/>
                <w:szCs w:val="21"/>
                <w:highlight w:val="none"/>
              </w:rPr>
              <w:t>的良好记录；</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top"/>
          </w:tcPr>
          <w:p>
            <w:pPr>
              <w:spacing w:line="448" w:lineRule="atLeast"/>
              <w:ind w:firstLine="480" w:firstLineChars="200"/>
              <w:jc w:val="center"/>
              <w:rPr>
                <w:rFonts w:hint="eastAsia" w:ascii="宋体" w:hAnsi="宋体"/>
                <w:color w:val="auto"/>
                <w:sz w:val="24"/>
                <w:szCs w:val="20"/>
                <w:highlight w:val="none"/>
              </w:rPr>
            </w:pP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lang w:val="en-US" w:eastAsia="zh-CN"/>
              </w:rPr>
              <w:t>参加政府采购活动前三年内，在经营活动中没有重大违法记录；</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vMerge w:val="continue"/>
            <w:noWrap w:val="0"/>
            <w:vAlign w:val="top"/>
          </w:tcPr>
          <w:p>
            <w:pPr>
              <w:spacing w:line="448" w:lineRule="atLeast"/>
              <w:ind w:firstLine="480" w:firstLineChars="200"/>
              <w:jc w:val="center"/>
              <w:rPr>
                <w:rFonts w:hint="eastAsia" w:ascii="宋体" w:hAnsi="宋体"/>
                <w:color w:val="auto"/>
                <w:sz w:val="24"/>
                <w:szCs w:val="20"/>
                <w:highlight w:val="none"/>
              </w:rPr>
            </w:pP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eastAsia="zh-CN"/>
              </w:rPr>
              <w:t>（六）</w:t>
            </w:r>
            <w:r>
              <w:rPr>
                <w:rFonts w:hint="eastAsia" w:ascii="宋体" w:hAnsi="宋体" w:eastAsia="宋体" w:cs="宋体"/>
                <w:color w:val="auto"/>
                <w:sz w:val="21"/>
                <w:szCs w:val="21"/>
                <w:highlight w:val="none"/>
                <w:lang w:val="en-US" w:eastAsia="zh-CN"/>
              </w:rPr>
              <w:t>法律、行政法规规定的其他条件；</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noWrap w:val="0"/>
            <w:vAlign w:val="center"/>
          </w:tcPr>
          <w:p>
            <w:pPr>
              <w:spacing w:line="448" w:lineRule="atLeast"/>
              <w:jc w:val="center"/>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sz w:val="21"/>
                <w:szCs w:val="21"/>
                <w:highlight w:val="none"/>
                <w:lang w:val="en-US" w:eastAsia="zh-CN"/>
              </w:rPr>
              <w:t>2</w:t>
            </w:r>
          </w:p>
        </w:tc>
        <w:tc>
          <w:tcPr>
            <w:tcW w:w="6593" w:type="dxa"/>
            <w:noWrap w:val="0"/>
            <w:vAlign w:val="center"/>
          </w:tcPr>
          <w:p>
            <w:pPr>
              <w:spacing w:line="448" w:lineRule="atLeast"/>
              <w:jc w:val="left"/>
              <w:rPr>
                <w:rFonts w:hint="eastAsia" w:ascii="宋体" w:hAnsi="宋体" w:eastAsia="宋体" w:cs="宋体"/>
                <w:color w:val="auto"/>
                <w:kern w:val="2"/>
                <w:sz w:val="21"/>
                <w:szCs w:val="21"/>
                <w:highlight w:val="none"/>
                <w:lang w:val="en-US" w:eastAsia="zh-CN" w:bidi="ar-SA"/>
              </w:rPr>
            </w:pPr>
            <w:r>
              <w:rPr>
                <w:rFonts w:hint="eastAsia" w:ascii="宋体" w:hAnsi="宋体" w:eastAsia="宋体" w:cs="宋体"/>
                <w:color w:val="auto"/>
                <w:kern w:val="2"/>
                <w:sz w:val="21"/>
                <w:szCs w:val="21"/>
                <w:highlight w:val="none"/>
                <w:lang w:val="en-US" w:eastAsia="zh-CN" w:bidi="ar-SA"/>
              </w:rPr>
              <w:t>凡拟参加本次招标项目的供应商应具备经年审合格（三证合一）的企业营业执照。</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noWrap w:val="0"/>
            <w:vAlign w:val="center"/>
          </w:tcPr>
          <w:p>
            <w:pPr>
              <w:spacing w:line="448" w:lineRule="atLeast"/>
              <w:jc w:val="center"/>
              <w:rPr>
                <w:rFonts w:hint="default" w:ascii="宋体" w:hAnsi="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3</w:t>
            </w:r>
          </w:p>
        </w:tc>
        <w:tc>
          <w:tcPr>
            <w:tcW w:w="6593"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420" w:lineRule="exact"/>
              <w:jc w:val="left"/>
              <w:textAlignment w:val="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b/>
                <w:bCs/>
                <w:color w:val="auto"/>
                <w:sz w:val="24"/>
                <w:szCs w:val="24"/>
                <w:lang w:val="en-US" w:eastAsia="zh-CN"/>
              </w:rPr>
              <w:t>供应商为生产厂家时需具备质量技术监督局颁发的有效的《计量器具型式批准证书》，供应商为经销商时应提供生产厂家有效的《计量器具型式批准证书》的复印件加盖经销商公章。</w:t>
            </w:r>
            <w:r>
              <w:rPr>
                <w:rFonts w:hint="eastAsia" w:ascii="宋体" w:hAnsi="宋体" w:cs="宋体"/>
                <w:b/>
                <w:bCs/>
                <w:color w:val="auto"/>
                <w:sz w:val="24"/>
                <w:szCs w:val="24"/>
                <w:lang w:val="en-US" w:eastAsia="zh-CN"/>
              </w:rPr>
              <w:t>（</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上水表规格：根据市场监管总局关于发布实施强制管理的计量器具目录的公告2019年第48号要求“2020年1月1日后办理的</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只有列入《目录》且监管方式为P（型式批准）和P+V（型式批准+强制检定）的计量器具应办理型式批准水表DN15～DN50 P+V”2020年1月1日之前的</w:t>
            </w:r>
            <w:r>
              <w:rPr>
                <w:rFonts w:hint="eastAsia" w:ascii="宋体" w:hAnsi="宋体" w:eastAsia="宋体" w:cs="宋体"/>
                <w:b/>
                <w:bCs/>
                <w:color w:val="auto"/>
                <w:sz w:val="24"/>
                <w:szCs w:val="24"/>
                <w:lang w:val="en-US" w:eastAsia="zh-CN"/>
              </w:rPr>
              <w:t>计量器具型式批准证书</w:t>
            </w:r>
            <w:r>
              <w:rPr>
                <w:rFonts w:hint="eastAsia" w:ascii="宋体" w:hAnsi="宋体" w:cs="宋体"/>
                <w:b/>
                <w:bCs/>
                <w:color w:val="auto"/>
                <w:sz w:val="24"/>
                <w:szCs w:val="24"/>
                <w:lang w:val="en-US" w:eastAsia="zh-CN"/>
              </w:rPr>
              <w:t>上显示DN15～DN200水表类型）</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noWrap w:val="0"/>
            <w:vAlign w:val="center"/>
          </w:tcPr>
          <w:p>
            <w:pPr>
              <w:spacing w:line="448" w:lineRule="atLeast"/>
              <w:jc w:val="center"/>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4</w:t>
            </w:r>
          </w:p>
        </w:tc>
        <w:tc>
          <w:tcPr>
            <w:tcW w:w="6593" w:type="dxa"/>
            <w:noWrap w:val="0"/>
            <w:vAlign w:val="center"/>
          </w:tcPr>
          <w:p>
            <w:pPr>
              <w:autoSpaceDE w:val="0"/>
              <w:autoSpaceDN w:val="0"/>
              <w:spacing w:line="240" w:lineRule="auto"/>
              <w:rPr>
                <w:rFonts w:hint="eastAsia" w:ascii="宋体" w:hAnsi="宋体" w:eastAsia="宋体" w:cs="宋体"/>
                <w:color w:val="auto"/>
                <w:kern w:val="0"/>
                <w:sz w:val="21"/>
                <w:szCs w:val="21"/>
                <w:highlight w:val="none"/>
                <w:lang w:val="en-US" w:eastAsia="zh-CN" w:bidi="ar-SA"/>
              </w:rPr>
            </w:pPr>
            <w:r>
              <w:rPr>
                <w:rFonts w:hint="eastAsia" w:ascii="宋体" w:hAnsi="宋体" w:eastAsia="宋体" w:cs="宋体"/>
                <w:color w:val="auto"/>
                <w:kern w:val="0"/>
                <w:sz w:val="21"/>
                <w:szCs w:val="21"/>
                <w:highlight w:val="none"/>
                <w:lang w:val="en-US" w:eastAsia="zh-CN" w:bidi="ar-SA"/>
              </w:rPr>
              <w:t>凡拟参加本次招标项目的供应商须提供2021年度财务审计报告全册（2022年成立的公司不提供）</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top"/>
          </w:tcPr>
          <w:p>
            <w:pPr>
              <w:spacing w:line="448" w:lineRule="atLeast"/>
              <w:ind w:firstLine="440" w:firstLineChars="200"/>
              <w:jc w:val="center"/>
              <w:rPr>
                <w:rFonts w:hint="eastAsia" w:ascii="宋体" w:hAnsi="宋体"/>
                <w:color w:val="auto"/>
                <w:sz w:val="22"/>
                <w:szCs w:val="18"/>
                <w:highlight w:val="none"/>
              </w:rPr>
            </w:pPr>
          </w:p>
        </w:tc>
        <w:tc>
          <w:tcPr>
            <w:tcW w:w="706" w:type="dxa"/>
            <w:noWrap w:val="0"/>
            <w:vAlign w:val="center"/>
          </w:tcPr>
          <w:p>
            <w:pPr>
              <w:spacing w:line="448" w:lineRule="atLeast"/>
              <w:jc w:val="center"/>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5</w:t>
            </w:r>
          </w:p>
        </w:tc>
        <w:tc>
          <w:tcPr>
            <w:tcW w:w="6593" w:type="dxa"/>
            <w:noWrap w:val="0"/>
            <w:vAlign w:val="center"/>
          </w:tcPr>
          <w:p>
            <w:pPr>
              <w:spacing w:line="240" w:lineRule="auto"/>
              <w:rPr>
                <w:rFonts w:hint="eastAsia"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近三年内（2019年至今）（本项目投标截止期前）在“信用中国（www.creditchina.gov.cn）”被列入失信被执行人、企业经营异常名录、重大税收违法案件当事人名单、政府采购严重违法失信名单（尚在处罚期内的）；在“中国政府采购网（www.ccgp.gov.cn）”被列入政府采购严重违法失信行为记录名单的（尚在处罚期内的）；经营异常名录的取消投标资格。</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center"/>
          </w:tcPr>
          <w:p>
            <w:pPr>
              <w:spacing w:line="448" w:lineRule="atLeast"/>
              <w:ind w:firstLine="440" w:firstLineChars="200"/>
              <w:rPr>
                <w:rFonts w:hint="eastAsia" w:ascii="宋体" w:hAnsi="宋体" w:eastAsia="宋体" w:cs="Times New Roman"/>
                <w:color w:val="auto"/>
                <w:kern w:val="2"/>
                <w:sz w:val="22"/>
                <w:szCs w:val="18"/>
                <w:highlight w:val="none"/>
                <w:lang w:val="en-US" w:eastAsia="zh-CN" w:bidi="ar-SA"/>
              </w:rPr>
            </w:pPr>
          </w:p>
        </w:tc>
        <w:tc>
          <w:tcPr>
            <w:tcW w:w="706" w:type="dxa"/>
            <w:noWrap w:val="0"/>
            <w:vAlign w:val="center"/>
          </w:tcPr>
          <w:p>
            <w:pPr>
              <w:spacing w:line="448" w:lineRule="atLeast"/>
              <w:jc w:val="center"/>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6</w:t>
            </w:r>
          </w:p>
        </w:tc>
        <w:tc>
          <w:tcPr>
            <w:tcW w:w="6593" w:type="dxa"/>
            <w:noWrap w:val="0"/>
            <w:vAlign w:val="center"/>
          </w:tcPr>
          <w:p>
            <w:pPr>
              <w:spacing w:line="240" w:lineRule="auto"/>
              <w:rPr>
                <w:rFonts w:hint="eastAsia" w:ascii="宋体" w:hAnsi="宋体" w:eastAsia="宋体" w:cs="宋体"/>
                <w:kern w:val="2"/>
                <w:sz w:val="21"/>
                <w:szCs w:val="21"/>
                <w:highlight w:val="none"/>
                <w:lang w:val="en-US" w:eastAsia="zh-CN" w:bidi="ar-SA"/>
              </w:rPr>
            </w:pPr>
            <w:r>
              <w:rPr>
                <w:rFonts w:hint="eastAsia" w:ascii="宋体" w:hAnsi="宋体" w:eastAsia="宋体" w:cs="宋体"/>
                <w:kern w:val="2"/>
                <w:sz w:val="21"/>
                <w:szCs w:val="21"/>
                <w:highlight w:val="none"/>
                <w:lang w:val="en-US" w:eastAsia="zh-CN" w:bidi="ar-SA"/>
              </w:rPr>
              <w:t>企业负责人为同一人或者存在直接控股、管理关系的不同投标人，不得参加同一合同项下的政府采购活动。否则，皆取消投标资格。</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center"/>
          </w:tcPr>
          <w:p>
            <w:pPr>
              <w:spacing w:line="448" w:lineRule="atLeast"/>
              <w:ind w:firstLine="440" w:firstLineChars="200"/>
              <w:rPr>
                <w:rFonts w:hint="eastAsia" w:ascii="宋体" w:hAnsi="宋体" w:eastAsia="宋体" w:cs="Times New Roman"/>
                <w:color w:val="auto"/>
                <w:kern w:val="2"/>
                <w:sz w:val="22"/>
                <w:szCs w:val="18"/>
                <w:highlight w:val="none"/>
                <w:lang w:val="en-US" w:eastAsia="zh-CN" w:bidi="ar-SA"/>
              </w:rPr>
            </w:pPr>
          </w:p>
        </w:tc>
        <w:tc>
          <w:tcPr>
            <w:tcW w:w="706" w:type="dxa"/>
            <w:noWrap w:val="0"/>
            <w:vAlign w:val="center"/>
          </w:tcPr>
          <w:p>
            <w:pPr>
              <w:spacing w:line="448" w:lineRule="atLeast"/>
              <w:jc w:val="center"/>
              <w:rPr>
                <w:rFonts w:hint="default" w:ascii="宋体" w:hAnsi="宋体" w:eastAsia="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7</w:t>
            </w:r>
          </w:p>
        </w:tc>
        <w:tc>
          <w:tcPr>
            <w:tcW w:w="6593" w:type="dxa"/>
            <w:noWrap w:val="0"/>
            <w:vAlign w:val="center"/>
          </w:tcPr>
          <w:p>
            <w:pPr>
              <w:spacing w:line="240" w:lineRule="auto"/>
              <w:rPr>
                <w:rFonts w:hint="default" w:ascii="宋体" w:hAnsi="宋体" w:eastAsia="宋体" w:cs="宋体"/>
                <w:sz w:val="21"/>
                <w:szCs w:val="21"/>
                <w:highlight w:val="none"/>
                <w:lang w:val="en-US" w:eastAsia="zh-CN"/>
              </w:rPr>
            </w:pPr>
            <w:r>
              <w:rPr>
                <w:rFonts w:hint="eastAsia" w:ascii="宋体" w:hAnsi="宋体" w:eastAsia="宋体" w:cs="宋体"/>
                <w:sz w:val="21"/>
                <w:szCs w:val="21"/>
                <w:highlight w:val="none"/>
                <w:lang w:val="en-US" w:eastAsia="zh-CN"/>
              </w:rPr>
              <w:t>是否足额缴纳保证金</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vMerge w:val="continue"/>
            <w:noWrap w:val="0"/>
            <w:vAlign w:val="center"/>
          </w:tcPr>
          <w:p>
            <w:pPr>
              <w:spacing w:line="448" w:lineRule="atLeast"/>
              <w:ind w:firstLine="440" w:firstLineChars="200"/>
              <w:rPr>
                <w:rFonts w:hint="eastAsia" w:ascii="宋体" w:hAnsi="宋体" w:eastAsia="宋体" w:cs="Times New Roman"/>
                <w:color w:val="auto"/>
                <w:kern w:val="2"/>
                <w:sz w:val="22"/>
                <w:szCs w:val="18"/>
                <w:highlight w:val="none"/>
                <w:lang w:val="en-US" w:eastAsia="zh-CN" w:bidi="ar-SA"/>
              </w:rPr>
            </w:pPr>
          </w:p>
        </w:tc>
        <w:tc>
          <w:tcPr>
            <w:tcW w:w="706" w:type="dxa"/>
            <w:noWrap w:val="0"/>
            <w:vAlign w:val="center"/>
          </w:tcPr>
          <w:p>
            <w:pPr>
              <w:spacing w:line="448" w:lineRule="atLeast"/>
              <w:jc w:val="center"/>
              <w:rPr>
                <w:rFonts w:hint="default" w:ascii="宋体" w:hAnsi="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8</w:t>
            </w:r>
          </w:p>
        </w:tc>
        <w:tc>
          <w:tcPr>
            <w:tcW w:w="6593" w:type="dxa"/>
            <w:noWrap w:val="0"/>
            <w:vAlign w:val="center"/>
          </w:tcPr>
          <w:p>
            <w:pPr>
              <w:spacing w:line="240" w:lineRule="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落实政府采购政策需满足的资格要求：投标人须提供《中小企业声明函》</w:t>
            </w:r>
          </w:p>
          <w:p>
            <w:pPr>
              <w:spacing w:line="240" w:lineRule="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1、投标人单独投标的，应提供中小企业声明函；如为监狱企业或残疾人福利性单位，不必提供中小企业声明函，但须按注1或注2要求提供证明材料。</w:t>
            </w:r>
          </w:p>
          <w:p>
            <w:pPr>
              <w:spacing w:line="240" w:lineRule="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2、如招标文件要求以联合体形式参加或者要求合同分包的，且投标人为联合体或拟进行合同分包的，则联合体中的中小企业、签订分包意向协议的中小企业具体情况须在《中小企业声明函》中如实填报。上述中小企业如为监狱企业或残疾人福利性单位应在声明函中如实列明单位性质，并按注1或注2要求提供证明材料。</w:t>
            </w:r>
          </w:p>
          <w:p>
            <w:pPr>
              <w:spacing w:line="240" w:lineRule="auto"/>
              <w:rPr>
                <w:rFonts w:hint="eastAsia" w:ascii="宋体" w:hAnsi="宋体" w:cs="宋体"/>
                <w:sz w:val="21"/>
                <w:szCs w:val="21"/>
                <w:highlight w:val="none"/>
                <w:lang w:val="en-US" w:eastAsia="zh-CN"/>
              </w:rPr>
            </w:pPr>
            <w:r>
              <w:rPr>
                <w:rFonts w:hint="eastAsia" w:ascii="宋体" w:hAnsi="宋体" w:cs="宋体"/>
                <w:sz w:val="21"/>
                <w:szCs w:val="21"/>
                <w:highlight w:val="none"/>
                <w:lang w:val="en-US" w:eastAsia="zh-CN"/>
              </w:rPr>
              <w:t>注1：监狱企业须提供由省级以上监狱管理局、戒毒管理局（含新疆生产建设兵团）出具的属于监狱企业的证明文件。</w:t>
            </w:r>
          </w:p>
          <w:p>
            <w:pPr>
              <w:spacing w:line="240" w:lineRule="auto"/>
              <w:rPr>
                <w:rFonts w:hint="eastAsia"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注2：残疾人福利性单位须按招标文件要求提供《残疾人福利性单位声明函》。</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707" w:type="dxa"/>
            <w:noWrap w:val="0"/>
            <w:vAlign w:val="center"/>
          </w:tcPr>
          <w:p>
            <w:pPr>
              <w:spacing w:line="448" w:lineRule="atLeast"/>
              <w:ind w:firstLine="440" w:firstLineChars="200"/>
              <w:rPr>
                <w:rFonts w:hint="eastAsia" w:ascii="宋体" w:hAnsi="宋体" w:eastAsia="宋体" w:cs="Times New Roman"/>
                <w:color w:val="auto"/>
                <w:kern w:val="2"/>
                <w:sz w:val="22"/>
                <w:szCs w:val="18"/>
                <w:highlight w:val="none"/>
                <w:lang w:val="en-US" w:eastAsia="zh-CN" w:bidi="ar-SA"/>
              </w:rPr>
            </w:pPr>
          </w:p>
        </w:tc>
        <w:tc>
          <w:tcPr>
            <w:tcW w:w="706" w:type="dxa"/>
            <w:noWrap w:val="0"/>
            <w:vAlign w:val="center"/>
          </w:tcPr>
          <w:p>
            <w:pPr>
              <w:spacing w:line="448" w:lineRule="atLeast"/>
              <w:jc w:val="center"/>
              <w:rPr>
                <w:rFonts w:hint="default" w:ascii="宋体" w:hAnsi="宋体" w:cs="宋体"/>
                <w:color w:val="auto"/>
                <w:kern w:val="2"/>
                <w:sz w:val="21"/>
                <w:szCs w:val="21"/>
                <w:highlight w:val="none"/>
                <w:lang w:val="en-US" w:eastAsia="zh-CN" w:bidi="ar-SA"/>
              </w:rPr>
            </w:pPr>
            <w:r>
              <w:rPr>
                <w:rFonts w:hint="eastAsia" w:ascii="宋体" w:hAnsi="宋体" w:cs="宋体"/>
                <w:color w:val="auto"/>
                <w:kern w:val="2"/>
                <w:sz w:val="21"/>
                <w:szCs w:val="21"/>
                <w:highlight w:val="none"/>
                <w:lang w:val="en-US" w:eastAsia="zh-CN" w:bidi="ar-SA"/>
              </w:rPr>
              <w:t>9</w:t>
            </w:r>
          </w:p>
        </w:tc>
        <w:tc>
          <w:tcPr>
            <w:tcW w:w="6593" w:type="dxa"/>
            <w:noWrap w:val="0"/>
            <w:vAlign w:val="center"/>
          </w:tcPr>
          <w:p>
            <w:pPr>
              <w:spacing w:line="240" w:lineRule="auto"/>
              <w:rPr>
                <w:rFonts w:hint="default" w:ascii="宋体" w:hAnsi="宋体" w:eastAsia="宋体" w:cs="宋体"/>
                <w:sz w:val="21"/>
                <w:szCs w:val="21"/>
                <w:highlight w:val="none"/>
                <w:lang w:val="en-US" w:eastAsia="zh-CN"/>
              </w:rPr>
            </w:pPr>
            <w:r>
              <w:rPr>
                <w:rFonts w:hint="eastAsia" w:ascii="宋体" w:hAnsi="宋体" w:cs="宋体"/>
                <w:sz w:val="21"/>
                <w:szCs w:val="21"/>
                <w:highlight w:val="none"/>
                <w:lang w:val="en-US" w:eastAsia="zh-CN"/>
              </w:rPr>
              <w:t>本包项不接受联合体投标</w:t>
            </w: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c>
          <w:tcPr>
            <w:tcW w:w="0" w:type="auto"/>
            <w:noWrap w:val="0"/>
            <w:vAlign w:val="top"/>
          </w:tcPr>
          <w:p>
            <w:pPr>
              <w:spacing w:line="448" w:lineRule="atLeast"/>
              <w:ind w:firstLine="420" w:firstLineChars="200"/>
              <w:rPr>
                <w:rFonts w:hint="eastAsia" w:ascii="宋体" w:hAnsi="宋体" w:eastAsia="宋体" w:cs="Times New Roman"/>
                <w:color w:val="auto"/>
                <w:kern w:val="2"/>
                <w:sz w:val="21"/>
                <w:szCs w:val="21"/>
                <w:highlight w:val="no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5" w:hRule="atLeast"/>
          <w:jc w:val="center"/>
        </w:trPr>
        <w:tc>
          <w:tcPr>
            <w:tcW w:w="9731" w:type="dxa"/>
            <w:gridSpan w:val="5"/>
            <w:noWrap w:val="0"/>
            <w:vAlign w:val="center"/>
          </w:tcPr>
          <w:p>
            <w:pPr>
              <w:spacing w:line="240" w:lineRule="auto"/>
              <w:ind w:firstLine="480" w:firstLineChars="200"/>
              <w:rPr>
                <w:rFonts w:hint="eastAsia" w:ascii="宋体" w:hAnsi="宋体" w:cs="宋体"/>
                <w:color w:val="000000"/>
                <w:kern w:val="0"/>
                <w:sz w:val="24"/>
                <w:szCs w:val="24"/>
                <w:highlight w:val="none"/>
                <w:lang w:bidi="ar"/>
              </w:rPr>
            </w:pPr>
            <w:r>
              <w:rPr>
                <w:rFonts w:hint="eastAsia" w:ascii="宋体" w:hAnsi="宋体" w:cs="宋体"/>
                <w:color w:val="000000"/>
                <w:kern w:val="0"/>
                <w:sz w:val="24"/>
                <w:szCs w:val="24"/>
                <w:highlight w:val="none"/>
                <w:lang w:bidi="ar"/>
              </w:rPr>
              <w:t>注：1、评委在认真理解招标文件和有关情况后，按上述内容对投标书做出评审。</w:t>
            </w:r>
          </w:p>
          <w:p>
            <w:pPr>
              <w:spacing w:line="240" w:lineRule="auto"/>
              <w:jc w:val="both"/>
              <w:rPr>
                <w:rFonts w:hint="eastAsia" w:ascii="宋体" w:hAnsi="宋体"/>
                <w:color w:val="auto"/>
                <w:sz w:val="24"/>
                <w:szCs w:val="20"/>
                <w:highlight w:val="none"/>
              </w:rPr>
            </w:pPr>
            <w:r>
              <w:rPr>
                <w:rFonts w:hint="eastAsia" w:ascii="宋体" w:hAnsi="宋体" w:cs="宋体"/>
                <w:color w:val="000000"/>
                <w:kern w:val="0"/>
                <w:sz w:val="24"/>
                <w:szCs w:val="24"/>
                <w:highlight w:val="none"/>
                <w:lang w:bidi="ar"/>
              </w:rPr>
              <w:t xml:space="preserve">  </w:t>
            </w:r>
            <w:r>
              <w:rPr>
                <w:rFonts w:hint="eastAsia" w:ascii="宋体" w:hAnsi="宋体" w:cs="宋体"/>
                <w:color w:val="000000"/>
                <w:kern w:val="0"/>
                <w:sz w:val="24"/>
                <w:szCs w:val="24"/>
                <w:highlight w:val="none"/>
                <w:lang w:val="en-US" w:eastAsia="zh-CN" w:bidi="ar"/>
              </w:rPr>
              <w:t xml:space="preserve"> </w:t>
            </w:r>
            <w:r>
              <w:rPr>
                <w:rFonts w:hint="eastAsia" w:ascii="宋体" w:hAnsi="宋体" w:cs="宋体"/>
                <w:color w:val="000000"/>
                <w:kern w:val="0"/>
                <w:sz w:val="24"/>
                <w:szCs w:val="24"/>
                <w:highlight w:val="none"/>
                <w:lang w:bidi="ar"/>
              </w:rPr>
              <w:t xml:space="preserve"> 2、表中所述分项评审结果分两种：（1）通过用“√”表示；（2）不通过用“×”表示，评委对某一分项评审认为不通过时，必须要写明原因。3、评委通过上述评审后，再对投标文件进行总体评价，总体评价意见分两种：（1）通过用“√”表示；（2）不通过用“×”表示，评委对投标文件总体评价不通过时，必须要写明原因。</w:t>
            </w:r>
          </w:p>
        </w:tc>
      </w:tr>
    </w:tbl>
    <w:p>
      <w:pPr>
        <w:rPr>
          <w:highlight w:val="none"/>
        </w:rPr>
      </w:pPr>
    </w:p>
    <w:tbl>
      <w:tblPr>
        <w:tblStyle w:val="24"/>
        <w:tblpPr w:leftFromText="180" w:rightFromText="180" w:vertAnchor="text" w:tblpX="12270" w:tblpY="-15247"/>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 w:hRule="atLeast"/>
        </w:trPr>
        <w:tc>
          <w:tcPr>
            <w:tcW w:w="713" w:type="dxa"/>
            <w:noWrap w:val="0"/>
            <w:vAlign w:val="top"/>
          </w:tcPr>
          <w:p>
            <w:pPr>
              <w:pStyle w:val="7"/>
              <w:rPr>
                <w:rFonts w:hint="eastAsia" w:ascii="仿宋" w:hAnsi="仿宋" w:eastAsia="仿宋" w:cs="宋体"/>
                <w:b/>
                <w:bCs/>
                <w:color w:val="000000"/>
                <w:kern w:val="0"/>
                <w:sz w:val="28"/>
                <w:szCs w:val="28"/>
                <w:highlight w:val="none"/>
                <w:vertAlign w:val="baseline"/>
              </w:rPr>
            </w:pPr>
            <w:r>
              <w:rPr>
                <w:rFonts w:hint="eastAsia" w:ascii="仿宋" w:hAnsi="仿宋" w:eastAsia="仿宋" w:cs="宋体"/>
                <w:b/>
                <w:bCs/>
                <w:color w:val="000000"/>
                <w:kern w:val="0"/>
                <w:sz w:val="28"/>
                <w:szCs w:val="28"/>
                <w:highlight w:val="none"/>
              </w:rPr>
              <w:t>注：</w:t>
            </w:r>
            <w:r>
              <w:rPr>
                <w:rFonts w:hint="eastAsia" w:ascii="仿宋" w:hAnsi="仿宋" w:eastAsia="仿宋"/>
                <w:b/>
                <w:bCs/>
                <w:sz w:val="28"/>
                <w:szCs w:val="28"/>
                <w:highlight w:val="none"/>
              </w:rPr>
              <w:t>未通过资格审查的</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将拒绝进行下一阶段评审！请</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特别注意</w:t>
            </w:r>
            <w:r>
              <w:rPr>
                <w:rFonts w:hint="eastAsia" w:ascii="仿宋" w:hAnsi="仿宋" w:eastAsia="仿宋"/>
                <w:b/>
                <w:bCs/>
                <w:sz w:val="28"/>
                <w:szCs w:val="28"/>
                <w:highlight w:val="none"/>
                <w:lang w:eastAsia="zh-CN"/>
              </w:rPr>
              <w:t>！</w:t>
            </w:r>
          </w:p>
        </w:tc>
      </w:tr>
    </w:tbl>
    <w:p>
      <w:pPr>
        <w:pStyle w:val="7"/>
        <w:ind w:left="0" w:leftChars="0" w:firstLine="0" w:firstLineChars="0"/>
        <w:rPr>
          <w:rFonts w:hint="eastAsia" w:eastAsia="仿宋"/>
          <w:highlight w:val="none"/>
          <w:lang w:eastAsia="zh-CN"/>
        </w:rPr>
        <w:sectPr>
          <w:pgSz w:w="11906" w:h="16838"/>
          <w:pgMar w:top="1134" w:right="1134" w:bottom="782" w:left="1134" w:header="851" w:footer="992" w:gutter="0"/>
          <w:pgBorders>
            <w:top w:val="none" w:sz="0" w:space="0"/>
            <w:left w:val="none" w:sz="0" w:space="0"/>
            <w:bottom w:val="none" w:sz="0" w:space="0"/>
            <w:right w:val="none" w:sz="0" w:space="0"/>
          </w:pgBorders>
          <w:pgNumType w:fmt="decimal"/>
          <w:cols w:space="720" w:num="1"/>
          <w:docGrid w:type="lines" w:linePitch="375" w:charSpace="0"/>
        </w:sectPr>
      </w:pPr>
      <w:r>
        <w:rPr>
          <w:rFonts w:hint="eastAsia" w:ascii="仿宋" w:hAnsi="仿宋" w:eastAsia="仿宋" w:cs="宋体"/>
          <w:b/>
          <w:bCs/>
          <w:color w:val="000000"/>
          <w:kern w:val="0"/>
          <w:sz w:val="28"/>
          <w:szCs w:val="28"/>
          <w:highlight w:val="none"/>
        </w:rPr>
        <w:t>注：</w:t>
      </w:r>
      <w:r>
        <w:rPr>
          <w:rFonts w:hint="eastAsia" w:ascii="仿宋" w:hAnsi="仿宋" w:eastAsia="仿宋"/>
          <w:b/>
          <w:bCs/>
          <w:sz w:val="28"/>
          <w:szCs w:val="28"/>
          <w:highlight w:val="none"/>
        </w:rPr>
        <w:t>未通过资格审查的</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将拒绝进行下一阶段评审！请</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特别注意</w:t>
      </w:r>
      <w:r>
        <w:rPr>
          <w:rFonts w:hint="eastAsia" w:ascii="仿宋" w:hAnsi="仿宋" w:eastAsia="仿宋"/>
          <w:b/>
          <w:bCs/>
          <w:sz w:val="28"/>
          <w:szCs w:val="28"/>
          <w:highlight w:val="none"/>
          <w:lang w:eastAsia="zh-CN"/>
        </w:rPr>
        <w:t>！</w:t>
      </w:r>
    </w:p>
    <w:p>
      <w:pPr>
        <w:spacing w:line="360" w:lineRule="auto"/>
        <w:jc w:val="both"/>
        <w:rPr>
          <w:rFonts w:hint="eastAsia" w:ascii="宋体" w:hAnsi="宋体"/>
          <w:b/>
          <w:bCs/>
          <w:color w:val="000000"/>
          <w:spacing w:val="-2"/>
          <w:sz w:val="28"/>
          <w:szCs w:val="28"/>
          <w:highlight w:val="none"/>
          <w:lang w:val="en-US" w:eastAsia="zh-CN"/>
        </w:rPr>
      </w:pPr>
    </w:p>
    <w:p>
      <w:pPr>
        <w:spacing w:line="360" w:lineRule="auto"/>
        <w:jc w:val="center"/>
        <w:rPr>
          <w:rFonts w:hint="eastAsia" w:ascii="宋体" w:hAnsi="宋体"/>
          <w:b/>
          <w:bCs/>
          <w:color w:val="000000"/>
          <w:spacing w:val="-2"/>
          <w:sz w:val="28"/>
          <w:szCs w:val="28"/>
          <w:highlight w:val="none"/>
          <w:lang w:val="en-US" w:eastAsia="zh-CN"/>
        </w:rPr>
      </w:pPr>
      <w:r>
        <w:rPr>
          <w:rFonts w:hint="eastAsia" w:ascii="宋体" w:hAnsi="宋体"/>
          <w:b/>
          <w:bCs/>
          <w:color w:val="000000"/>
          <w:spacing w:val="-2"/>
          <w:sz w:val="28"/>
          <w:szCs w:val="28"/>
          <w:highlight w:val="none"/>
          <w:lang w:val="en-US" w:eastAsia="zh-CN"/>
        </w:rPr>
        <w:t>符合性评审标准</w:t>
      </w:r>
    </w:p>
    <w:tbl>
      <w:tblPr>
        <w:tblStyle w:val="23"/>
        <w:tblW w:w="983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23"/>
        <w:gridCol w:w="567"/>
        <w:gridCol w:w="5953"/>
        <w:gridCol w:w="709"/>
        <w:gridCol w:w="709"/>
        <w:gridCol w:w="709"/>
        <w:gridCol w:w="6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58" w:hRule="atLeast"/>
          <w:jc w:val="center"/>
        </w:trPr>
        <w:tc>
          <w:tcPr>
            <w:tcW w:w="523" w:type="dxa"/>
            <w:noWrap w:val="0"/>
            <w:vAlign w:val="center"/>
          </w:tcPr>
          <w:p>
            <w:pPr>
              <w:jc w:val="center"/>
              <w:rPr>
                <w:rFonts w:hint="eastAsia" w:ascii="仿宋" w:hAnsi="仿宋" w:eastAsia="仿宋" w:cs="仿宋"/>
                <w:b/>
                <w:color w:val="000000"/>
                <w:szCs w:val="21"/>
              </w:rPr>
            </w:pPr>
            <w:r>
              <w:rPr>
                <w:rFonts w:hint="eastAsia" w:ascii="仿宋" w:hAnsi="仿宋" w:eastAsia="仿宋" w:cs="仿宋"/>
                <w:b/>
                <w:color w:val="000000"/>
                <w:szCs w:val="21"/>
              </w:rPr>
              <w:t>项目</w:t>
            </w:r>
          </w:p>
        </w:tc>
        <w:tc>
          <w:tcPr>
            <w:tcW w:w="6520" w:type="dxa"/>
            <w:gridSpan w:val="2"/>
            <w:noWrap w:val="0"/>
            <w:vAlign w:val="center"/>
          </w:tcPr>
          <w:p>
            <w:pPr>
              <w:jc w:val="center"/>
              <w:rPr>
                <w:rFonts w:hint="eastAsia" w:ascii="仿宋" w:hAnsi="仿宋" w:eastAsia="仿宋" w:cs="仿宋"/>
                <w:b/>
                <w:color w:val="000000"/>
                <w:szCs w:val="21"/>
              </w:rPr>
            </w:pPr>
            <w:r>
              <w:rPr>
                <w:rFonts w:hint="eastAsia" w:ascii="仿宋" w:hAnsi="仿宋" w:eastAsia="仿宋" w:cs="仿宋"/>
                <w:b/>
                <w:color w:val="000000"/>
                <w:szCs w:val="21"/>
              </w:rPr>
              <w:t>评  审  内  容</w:t>
            </w:r>
          </w:p>
        </w:tc>
        <w:tc>
          <w:tcPr>
            <w:tcW w:w="709" w:type="dxa"/>
            <w:noWrap w:val="0"/>
            <w:vAlign w:val="center"/>
          </w:tcPr>
          <w:p>
            <w:pPr>
              <w:jc w:val="center"/>
              <w:rPr>
                <w:rFonts w:hint="eastAsia" w:ascii="仿宋" w:hAnsi="仿宋" w:eastAsia="仿宋" w:cs="仿宋"/>
                <w:color w:val="000000"/>
                <w:szCs w:val="21"/>
              </w:rPr>
            </w:pPr>
            <w:r>
              <w:rPr>
                <w:rFonts w:hint="eastAsia" w:ascii="仿宋" w:hAnsi="仿宋" w:eastAsia="仿宋" w:cs="仿宋"/>
                <w:color w:val="000000"/>
                <w:szCs w:val="21"/>
              </w:rPr>
              <w:t>投标人1</w:t>
            </w:r>
          </w:p>
        </w:tc>
        <w:tc>
          <w:tcPr>
            <w:tcW w:w="709" w:type="dxa"/>
            <w:noWrap w:val="0"/>
            <w:vAlign w:val="center"/>
          </w:tcPr>
          <w:p>
            <w:pPr>
              <w:jc w:val="center"/>
              <w:rPr>
                <w:rFonts w:hint="eastAsia" w:ascii="仿宋" w:hAnsi="仿宋" w:eastAsia="仿宋" w:cs="仿宋"/>
                <w:color w:val="000000"/>
                <w:szCs w:val="21"/>
              </w:rPr>
            </w:pPr>
            <w:r>
              <w:rPr>
                <w:rFonts w:hint="eastAsia" w:ascii="仿宋" w:hAnsi="仿宋" w:eastAsia="仿宋" w:cs="仿宋"/>
                <w:color w:val="000000"/>
                <w:szCs w:val="21"/>
              </w:rPr>
              <w:t>投标人2</w:t>
            </w:r>
          </w:p>
        </w:tc>
        <w:tc>
          <w:tcPr>
            <w:tcW w:w="709" w:type="dxa"/>
            <w:noWrap w:val="0"/>
            <w:vAlign w:val="center"/>
          </w:tcPr>
          <w:p>
            <w:pPr>
              <w:jc w:val="center"/>
              <w:rPr>
                <w:rFonts w:hint="eastAsia" w:ascii="仿宋" w:hAnsi="仿宋" w:eastAsia="仿宋" w:cs="仿宋"/>
                <w:color w:val="000000"/>
                <w:szCs w:val="21"/>
              </w:rPr>
            </w:pPr>
            <w:r>
              <w:rPr>
                <w:rFonts w:hint="eastAsia" w:ascii="仿宋" w:hAnsi="仿宋" w:eastAsia="仿宋" w:cs="仿宋"/>
                <w:color w:val="000000"/>
                <w:szCs w:val="21"/>
              </w:rPr>
              <w:t>投标人3</w:t>
            </w:r>
          </w:p>
        </w:tc>
        <w:tc>
          <w:tcPr>
            <w:tcW w:w="661" w:type="dxa"/>
            <w:noWrap w:val="0"/>
            <w:vAlign w:val="center"/>
          </w:tcPr>
          <w:p>
            <w:pPr>
              <w:jc w:val="center"/>
              <w:rPr>
                <w:rFonts w:hint="eastAsia" w:ascii="仿宋" w:hAnsi="仿宋" w:eastAsia="仿宋" w:cs="仿宋"/>
                <w:color w:val="000000"/>
                <w:szCs w:val="21"/>
              </w:rPr>
            </w:pPr>
            <w:r>
              <w:rPr>
                <w:rFonts w:hint="eastAsia" w:ascii="仿宋" w:hAnsi="仿宋" w:eastAsia="仿宋" w:cs="仿宋"/>
                <w:color w:val="000000"/>
                <w:szCs w:val="21"/>
              </w:rPr>
              <w:t>投标人N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5" w:hRule="atLeast"/>
          <w:jc w:val="center"/>
        </w:trPr>
        <w:tc>
          <w:tcPr>
            <w:tcW w:w="523" w:type="dxa"/>
            <w:vMerge w:val="restart"/>
            <w:noWrap w:val="0"/>
            <w:vAlign w:val="center"/>
          </w:tcPr>
          <w:p>
            <w:pPr>
              <w:rPr>
                <w:rFonts w:hint="eastAsia" w:ascii="仿宋" w:hAnsi="仿宋" w:eastAsia="仿宋" w:cs="仿宋"/>
                <w:color w:val="000000"/>
                <w:szCs w:val="21"/>
                <w:lang w:val="en-US" w:eastAsia="zh-CN"/>
              </w:rPr>
            </w:pPr>
            <w:r>
              <w:rPr>
                <w:rFonts w:hint="eastAsia" w:ascii="仿宋" w:hAnsi="仿宋" w:eastAsia="仿宋" w:cs="仿宋"/>
                <w:color w:val="000000"/>
                <w:szCs w:val="21"/>
                <w:lang w:val="en-US" w:eastAsia="zh-CN"/>
              </w:rPr>
              <w:t>符合性审查</w:t>
            </w:r>
          </w:p>
        </w:tc>
        <w:tc>
          <w:tcPr>
            <w:tcW w:w="567" w:type="dxa"/>
            <w:noWrap w:val="0"/>
            <w:vAlign w:val="center"/>
          </w:tcPr>
          <w:p>
            <w:pPr>
              <w:jc w:val="center"/>
              <w:rPr>
                <w:rFonts w:hint="eastAsia" w:ascii="仿宋" w:hAnsi="仿宋" w:eastAsia="仿宋" w:cs="仿宋"/>
                <w:color w:val="000000"/>
                <w:szCs w:val="21"/>
                <w:lang w:eastAsia="zh-CN"/>
              </w:rPr>
            </w:pPr>
            <w:r>
              <w:rPr>
                <w:rFonts w:hint="eastAsia" w:ascii="仿宋" w:hAnsi="仿宋" w:eastAsia="仿宋" w:cs="仿宋"/>
                <w:color w:val="000000"/>
                <w:szCs w:val="21"/>
                <w:lang w:val="en-US" w:eastAsia="zh-CN"/>
              </w:rPr>
              <w:t>1</w:t>
            </w:r>
          </w:p>
        </w:tc>
        <w:tc>
          <w:tcPr>
            <w:tcW w:w="5953" w:type="dxa"/>
            <w:noWrap w:val="0"/>
            <w:vAlign w:val="center"/>
          </w:tcPr>
          <w:p>
            <w:pPr>
              <w:spacing w:line="240" w:lineRule="auto"/>
              <w:rPr>
                <w:rFonts w:hint="eastAsia" w:ascii="仿宋" w:hAnsi="仿宋" w:eastAsia="仿宋" w:cs="仿宋"/>
                <w:color w:val="000000"/>
                <w:szCs w:val="21"/>
              </w:rPr>
            </w:pPr>
            <w:r>
              <w:rPr>
                <w:rFonts w:hint="eastAsia" w:ascii="仿宋" w:hAnsi="仿宋" w:eastAsia="仿宋" w:cs="仿宋"/>
                <w:color w:val="000000"/>
                <w:szCs w:val="21"/>
              </w:rPr>
              <w:t>投标文件无法定代表人签字,或未提供法定代表人授权委托书、投标声明书或者填写项目不齐全的；</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240" w:lineRule="auto"/>
              <w:jc w:val="center"/>
              <w:rPr>
                <w:rFonts w:hint="eastAsia" w:ascii="仿宋" w:hAnsi="仿宋" w:eastAsia="仿宋" w:cs="仿宋"/>
                <w:color w:val="000000"/>
                <w:szCs w:val="21"/>
                <w:lang w:eastAsia="zh-CN"/>
              </w:rPr>
            </w:pPr>
            <w:r>
              <w:rPr>
                <w:rFonts w:hint="eastAsia" w:ascii="仿宋" w:hAnsi="仿宋" w:eastAsia="仿宋" w:cs="仿宋"/>
                <w:color w:val="000000"/>
                <w:szCs w:val="21"/>
                <w:lang w:val="en-US" w:eastAsia="zh-CN"/>
              </w:rPr>
              <w:t>2</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lang w:val="en-US" w:eastAsia="zh-CN"/>
              </w:rPr>
              <w:t>投标报价是否高于最高限价；每个分项是否超过每项单价的限价；</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eastAsia" w:ascii="仿宋" w:hAnsi="仿宋" w:eastAsia="仿宋" w:cs="仿宋"/>
                <w:color w:val="000000"/>
                <w:szCs w:val="21"/>
                <w:lang w:val="en-US" w:eastAsia="zh-CN"/>
              </w:rPr>
            </w:pPr>
            <w:r>
              <w:rPr>
                <w:rFonts w:hint="eastAsia" w:ascii="仿宋" w:hAnsi="仿宋" w:eastAsia="仿宋" w:cs="仿宋"/>
                <w:color w:val="000000"/>
                <w:kern w:val="2"/>
                <w:sz w:val="21"/>
                <w:szCs w:val="21"/>
                <w:lang w:val="en-US" w:eastAsia="zh-CN" w:bidi="ar-SA"/>
              </w:rPr>
              <w:t>3</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rPr>
              <w:t>投标报价具有选择性，或者开标价格与投标文件承诺的优惠（折扣）价格不一致的；</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kern w:val="2"/>
                <w:sz w:val="21"/>
                <w:szCs w:val="21"/>
                <w:lang w:val="en-US" w:eastAsia="zh-CN" w:bidi="ar-SA"/>
              </w:rPr>
              <w:t>4</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rPr>
              <w:t>投标文件的实质性内容未使用中文表述、意思表述不明确、前后矛盾或者使用计量单位不符合招标文件要求的</w:t>
            </w:r>
            <w:r>
              <w:rPr>
                <w:rFonts w:hint="eastAsia" w:ascii="仿宋" w:hAnsi="仿宋" w:eastAsia="仿宋" w:cs="仿宋"/>
                <w:color w:val="000000"/>
                <w:szCs w:val="21"/>
                <w:lang w:eastAsia="zh-CN"/>
              </w:rPr>
              <w:t>；</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kern w:val="2"/>
                <w:sz w:val="21"/>
                <w:szCs w:val="21"/>
                <w:lang w:val="en-US" w:eastAsia="zh-CN" w:bidi="ar-SA"/>
              </w:rPr>
              <w:t>5</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rPr>
              <w:t>投标有效期、供货时间等相关条款不能满足招标文件要求的；</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7"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lang w:val="en-US" w:eastAsia="zh-CN"/>
              </w:rPr>
              <w:t>6</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rPr>
              <w:t>未实质性响应招标文件要求或者投标文件有招标方不能接受的</w:t>
            </w:r>
            <w:r>
              <w:rPr>
                <w:rFonts w:hint="eastAsia" w:ascii="仿宋" w:hAnsi="仿宋" w:eastAsia="仿宋" w:cs="仿宋"/>
                <w:color w:val="000000"/>
                <w:szCs w:val="21"/>
                <w:lang w:val="en-US" w:eastAsia="zh-CN"/>
              </w:rPr>
              <w:t>其他</w:t>
            </w:r>
            <w:r>
              <w:rPr>
                <w:rFonts w:hint="eastAsia" w:ascii="仿宋" w:hAnsi="仿宋" w:eastAsia="仿宋" w:cs="仿宋"/>
                <w:color w:val="000000"/>
                <w:szCs w:val="21"/>
              </w:rPr>
              <w:t>条件；</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1"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eastAsia" w:ascii="仿宋" w:hAnsi="仿宋" w:eastAsia="仿宋" w:cs="仿宋"/>
                <w:color w:val="000000"/>
                <w:szCs w:val="21"/>
                <w:lang w:val="en-US" w:eastAsia="zh-CN"/>
              </w:rPr>
            </w:pPr>
            <w:r>
              <w:rPr>
                <w:rFonts w:hint="eastAsia" w:ascii="仿宋" w:hAnsi="仿宋" w:eastAsia="仿宋" w:cs="仿宋"/>
                <w:color w:val="000000"/>
                <w:szCs w:val="21"/>
                <w:lang w:val="en-US" w:eastAsia="zh-CN"/>
              </w:rPr>
              <w:t>7</w:t>
            </w:r>
          </w:p>
        </w:tc>
        <w:tc>
          <w:tcPr>
            <w:tcW w:w="5953" w:type="dxa"/>
            <w:noWrap w:val="0"/>
            <w:vAlign w:val="center"/>
          </w:tcPr>
          <w:p>
            <w:pPr>
              <w:kinsoku w:val="0"/>
              <w:overflowPunct w:val="0"/>
              <w:autoSpaceDE w:val="0"/>
              <w:autoSpaceDN w:val="0"/>
              <w:snapToGrid w:val="0"/>
              <w:spacing w:line="240" w:lineRule="auto"/>
              <w:jc w:val="left"/>
              <w:rPr>
                <w:rFonts w:hint="eastAsia" w:ascii="仿宋" w:hAnsi="仿宋" w:eastAsia="仿宋" w:cs="仿宋"/>
                <w:color w:val="000000"/>
                <w:kern w:val="2"/>
                <w:sz w:val="21"/>
                <w:szCs w:val="21"/>
                <w:lang w:val="en-US" w:eastAsia="zh-CN" w:bidi="ar-SA"/>
              </w:rPr>
            </w:pPr>
            <w:r>
              <w:rPr>
                <w:rFonts w:hint="eastAsia" w:ascii="仿宋" w:hAnsi="仿宋" w:eastAsia="仿宋" w:cs="仿宋"/>
                <w:color w:val="000000"/>
                <w:szCs w:val="21"/>
              </w:rPr>
              <w:t>投标文件标明的响应或偏离与事实不符或伪造证明文件等虚假投标的</w:t>
            </w:r>
            <w:r>
              <w:rPr>
                <w:rFonts w:hint="eastAsia" w:ascii="仿宋" w:hAnsi="仿宋" w:eastAsia="仿宋" w:cs="仿宋"/>
                <w:color w:val="000000"/>
                <w:szCs w:val="21"/>
                <w:lang w:eastAsia="zh-CN"/>
              </w:rPr>
              <w:t>。</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9"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eastAsia" w:ascii="仿宋" w:hAnsi="仿宋" w:eastAsia="仿宋" w:cs="仿宋"/>
                <w:color w:val="000000"/>
                <w:szCs w:val="21"/>
                <w:lang w:val="en-US" w:eastAsia="zh-CN"/>
              </w:rPr>
            </w:pPr>
            <w:r>
              <w:rPr>
                <w:rFonts w:hint="eastAsia" w:ascii="仿宋" w:hAnsi="仿宋" w:eastAsia="仿宋" w:cs="仿宋"/>
                <w:color w:val="000000"/>
                <w:szCs w:val="21"/>
                <w:lang w:val="en-US" w:eastAsia="zh-CN"/>
              </w:rPr>
              <w:t>8</w:t>
            </w:r>
          </w:p>
        </w:tc>
        <w:tc>
          <w:tcPr>
            <w:tcW w:w="5953" w:type="dxa"/>
            <w:noWrap w:val="0"/>
            <w:vAlign w:val="center"/>
          </w:tcPr>
          <w:p>
            <w:pPr>
              <w:spacing w:line="240" w:lineRule="auto"/>
              <w:rPr>
                <w:rFonts w:hint="eastAsia" w:ascii="仿宋" w:hAnsi="仿宋" w:eastAsia="仿宋" w:cs="仿宋"/>
                <w:color w:val="000000"/>
                <w:kern w:val="2"/>
                <w:sz w:val="21"/>
                <w:szCs w:val="21"/>
                <w:lang w:val="en-US" w:eastAsia="zh-CN" w:bidi="ar-SA"/>
              </w:rPr>
            </w:pPr>
            <w:r>
              <w:rPr>
                <w:rFonts w:hint="eastAsia" w:ascii="仿宋" w:hAnsi="仿宋" w:eastAsia="仿宋" w:cs="仿宋"/>
                <w:sz w:val="21"/>
                <w:szCs w:val="21"/>
              </w:rPr>
              <w:t>投标人</w:t>
            </w:r>
            <w:r>
              <w:rPr>
                <w:rFonts w:hint="eastAsia" w:ascii="仿宋" w:hAnsi="仿宋" w:eastAsia="仿宋" w:cs="仿宋"/>
                <w:sz w:val="21"/>
                <w:szCs w:val="21"/>
                <w:lang w:eastAsia="zh-CN"/>
              </w:rPr>
              <w:t>是否</w:t>
            </w:r>
            <w:r>
              <w:rPr>
                <w:rFonts w:hint="eastAsia" w:ascii="仿宋" w:hAnsi="仿宋" w:eastAsia="仿宋" w:cs="仿宋"/>
                <w:sz w:val="21"/>
                <w:szCs w:val="21"/>
              </w:rPr>
              <w:t>提供售后服务方案，向用户提供满意的技术支持及服务</w:t>
            </w:r>
            <w:r>
              <w:rPr>
                <w:rFonts w:hint="eastAsia" w:ascii="仿宋" w:hAnsi="仿宋" w:eastAsia="仿宋" w:cs="仿宋"/>
                <w:sz w:val="21"/>
                <w:szCs w:val="21"/>
                <w:lang w:eastAsia="zh-CN"/>
              </w:rPr>
              <w:t>；</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9"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default" w:ascii="仿宋" w:hAnsi="仿宋" w:eastAsia="仿宋" w:cs="仿宋"/>
                <w:color w:val="000000"/>
                <w:szCs w:val="21"/>
                <w:lang w:val="en-US" w:eastAsia="zh-CN"/>
              </w:rPr>
            </w:pPr>
            <w:r>
              <w:rPr>
                <w:rFonts w:hint="eastAsia" w:ascii="仿宋" w:hAnsi="仿宋" w:eastAsia="仿宋" w:cs="仿宋"/>
                <w:color w:val="000000"/>
                <w:szCs w:val="21"/>
                <w:lang w:val="en-US" w:eastAsia="zh-CN"/>
              </w:rPr>
              <w:t>9</w:t>
            </w:r>
          </w:p>
        </w:tc>
        <w:tc>
          <w:tcPr>
            <w:tcW w:w="5953" w:type="dxa"/>
            <w:noWrap w:val="0"/>
            <w:vAlign w:val="center"/>
          </w:tcPr>
          <w:p>
            <w:pPr>
              <w:spacing w:line="240" w:lineRule="auto"/>
              <w:rPr>
                <w:rFonts w:hint="eastAsia" w:ascii="仿宋" w:hAnsi="仿宋" w:eastAsia="仿宋" w:cs="仿宋"/>
                <w:sz w:val="21"/>
                <w:szCs w:val="21"/>
              </w:rPr>
            </w:pPr>
            <w:r>
              <w:rPr>
                <w:rFonts w:hint="eastAsia" w:ascii="仿宋" w:hAnsi="仿宋" w:eastAsia="仿宋" w:cs="仿宋"/>
                <w:sz w:val="21"/>
                <w:szCs w:val="21"/>
                <w:lang w:val="en-US" w:eastAsia="zh-CN"/>
              </w:rPr>
              <w:t>投标文件中所提供的相关证明材料及文件是否清晰、具有较强辨识度</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9"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default" w:ascii="仿宋" w:hAnsi="仿宋" w:eastAsia="仿宋" w:cs="仿宋"/>
                <w:color w:val="000000"/>
                <w:szCs w:val="21"/>
                <w:lang w:val="en-US" w:eastAsia="zh-CN"/>
              </w:rPr>
            </w:pPr>
            <w:r>
              <w:rPr>
                <w:rFonts w:hint="eastAsia" w:ascii="仿宋" w:hAnsi="仿宋" w:eastAsia="仿宋" w:cs="仿宋"/>
                <w:color w:val="000000"/>
                <w:szCs w:val="21"/>
                <w:lang w:val="en-US" w:eastAsia="zh-CN"/>
              </w:rPr>
              <w:t>10</w:t>
            </w:r>
          </w:p>
        </w:tc>
        <w:tc>
          <w:tcPr>
            <w:tcW w:w="5953" w:type="dxa"/>
            <w:noWrap w:val="0"/>
            <w:vAlign w:val="center"/>
          </w:tcPr>
          <w:p>
            <w:pPr>
              <w:spacing w:line="240" w:lineRule="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是否满足智能模块部件防水等级：IP68，不进灰尘，满足长期浸水的要求（需提供省级或省级以上计量检定部门或技术监督部门证书）。</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9" w:hRule="atLeast"/>
          <w:jc w:val="center"/>
        </w:trPr>
        <w:tc>
          <w:tcPr>
            <w:tcW w:w="523" w:type="dxa"/>
            <w:vMerge w:val="continue"/>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default" w:ascii="仿宋" w:hAnsi="仿宋" w:eastAsia="仿宋" w:cs="仿宋"/>
                <w:color w:val="000000"/>
                <w:szCs w:val="21"/>
                <w:lang w:val="en-US" w:eastAsia="zh-CN"/>
              </w:rPr>
            </w:pPr>
            <w:r>
              <w:rPr>
                <w:rFonts w:hint="eastAsia" w:ascii="仿宋" w:hAnsi="仿宋" w:eastAsia="仿宋" w:cs="仿宋"/>
                <w:color w:val="000000"/>
                <w:szCs w:val="21"/>
                <w:lang w:val="en-US" w:eastAsia="zh-CN"/>
              </w:rPr>
              <w:t>11</w:t>
            </w:r>
          </w:p>
        </w:tc>
        <w:tc>
          <w:tcPr>
            <w:tcW w:w="5953" w:type="dxa"/>
            <w:noWrap w:val="0"/>
            <w:vAlign w:val="center"/>
          </w:tcPr>
          <w:p>
            <w:pPr>
              <w:spacing w:line="240" w:lineRule="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是否承诺中标后在和田地区成立售后服务网点（承诺书）</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19" w:hRule="atLeast"/>
          <w:jc w:val="center"/>
        </w:trPr>
        <w:tc>
          <w:tcPr>
            <w:tcW w:w="523" w:type="dxa"/>
            <w:noWrap w:val="0"/>
            <w:vAlign w:val="center"/>
          </w:tcPr>
          <w:p>
            <w:pPr>
              <w:rPr>
                <w:rFonts w:hint="eastAsia" w:ascii="仿宋" w:hAnsi="仿宋" w:eastAsia="仿宋" w:cs="仿宋"/>
                <w:color w:val="000000"/>
                <w:szCs w:val="21"/>
              </w:rPr>
            </w:pPr>
          </w:p>
        </w:tc>
        <w:tc>
          <w:tcPr>
            <w:tcW w:w="567" w:type="dxa"/>
            <w:noWrap w:val="0"/>
            <w:vAlign w:val="center"/>
          </w:tcPr>
          <w:p>
            <w:pPr>
              <w:spacing w:line="360" w:lineRule="auto"/>
              <w:jc w:val="center"/>
              <w:rPr>
                <w:rFonts w:hint="default" w:ascii="仿宋" w:hAnsi="仿宋" w:eastAsia="仿宋" w:cs="仿宋"/>
                <w:color w:val="000000"/>
                <w:szCs w:val="21"/>
                <w:lang w:val="en-US" w:eastAsia="zh-CN"/>
              </w:rPr>
            </w:pPr>
            <w:r>
              <w:rPr>
                <w:rFonts w:hint="eastAsia" w:ascii="仿宋" w:hAnsi="仿宋" w:eastAsia="仿宋" w:cs="仿宋"/>
                <w:color w:val="000000"/>
                <w:szCs w:val="21"/>
                <w:lang w:val="en-US" w:eastAsia="zh-CN"/>
              </w:rPr>
              <w:t>12</w:t>
            </w:r>
          </w:p>
        </w:tc>
        <w:tc>
          <w:tcPr>
            <w:tcW w:w="5953" w:type="dxa"/>
            <w:noWrap w:val="0"/>
            <w:vAlign w:val="center"/>
          </w:tcPr>
          <w:p>
            <w:pPr>
              <w:spacing w:line="240" w:lineRule="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投标人的报价明显低于其他投标报价或者在设有标底时明显低于标底，使得其投标报价可能低于其个别成本的，应当要求该投标人作出书面说明并提供相应证明材料。投标人不能合理或者不能提供相应证明材料的，由评标委员会认定该投标人以低于成本报价竞标，其投标视为无效标处理。</w:t>
            </w: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709" w:type="dxa"/>
            <w:noWrap w:val="0"/>
            <w:vAlign w:val="center"/>
          </w:tcPr>
          <w:p>
            <w:pPr>
              <w:spacing w:line="360" w:lineRule="auto"/>
              <w:rPr>
                <w:rFonts w:hint="eastAsia" w:ascii="仿宋" w:hAnsi="仿宋" w:eastAsia="仿宋" w:cs="仿宋"/>
                <w:color w:val="000000"/>
                <w:szCs w:val="21"/>
              </w:rPr>
            </w:pPr>
          </w:p>
        </w:tc>
        <w:tc>
          <w:tcPr>
            <w:tcW w:w="661" w:type="dxa"/>
            <w:noWrap w:val="0"/>
            <w:vAlign w:val="center"/>
          </w:tcPr>
          <w:p>
            <w:pPr>
              <w:spacing w:line="360" w:lineRule="auto"/>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5" w:hRule="atLeast"/>
          <w:jc w:val="center"/>
        </w:trPr>
        <w:tc>
          <w:tcPr>
            <w:tcW w:w="7043" w:type="dxa"/>
            <w:gridSpan w:val="3"/>
            <w:noWrap w:val="0"/>
            <w:vAlign w:val="center"/>
          </w:tcPr>
          <w:p>
            <w:pPr>
              <w:jc w:val="center"/>
              <w:rPr>
                <w:rFonts w:hint="eastAsia" w:ascii="仿宋" w:hAnsi="仿宋" w:eastAsia="仿宋" w:cs="仿宋"/>
                <w:color w:val="000000"/>
                <w:szCs w:val="21"/>
              </w:rPr>
            </w:pPr>
            <w:r>
              <w:rPr>
                <w:rFonts w:hint="eastAsia" w:ascii="仿宋" w:hAnsi="仿宋" w:eastAsia="仿宋" w:cs="仿宋"/>
                <w:color w:val="000000"/>
                <w:szCs w:val="21"/>
              </w:rPr>
              <w:t>结论：合格/不合格</w:t>
            </w: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709" w:type="dxa"/>
            <w:noWrap w:val="0"/>
            <w:vAlign w:val="center"/>
          </w:tcPr>
          <w:p>
            <w:pPr>
              <w:rPr>
                <w:rFonts w:hint="eastAsia" w:ascii="仿宋" w:hAnsi="仿宋" w:eastAsia="仿宋" w:cs="仿宋"/>
                <w:color w:val="000000"/>
                <w:szCs w:val="21"/>
              </w:rPr>
            </w:pPr>
          </w:p>
        </w:tc>
        <w:tc>
          <w:tcPr>
            <w:tcW w:w="661" w:type="dxa"/>
            <w:noWrap w:val="0"/>
            <w:vAlign w:val="center"/>
          </w:tcPr>
          <w:p>
            <w:pPr>
              <w:rPr>
                <w:rFonts w:hint="eastAsia" w:ascii="仿宋" w:hAnsi="仿宋" w:eastAsia="仿宋" w:cs="仿宋"/>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82" w:hRule="atLeast"/>
          <w:jc w:val="center"/>
        </w:trPr>
        <w:tc>
          <w:tcPr>
            <w:tcW w:w="9831" w:type="dxa"/>
            <w:gridSpan w:val="7"/>
            <w:noWrap w:val="0"/>
            <w:vAlign w:val="center"/>
          </w:tcPr>
          <w:p>
            <w:pPr>
              <w:spacing w:line="240" w:lineRule="auto"/>
              <w:rPr>
                <w:rFonts w:hint="eastAsia" w:ascii="仿宋" w:hAnsi="仿宋" w:eastAsia="仿宋" w:cs="仿宋"/>
                <w:b/>
                <w:color w:val="000000"/>
                <w:szCs w:val="21"/>
              </w:rPr>
            </w:pPr>
            <w:r>
              <w:rPr>
                <w:rFonts w:hint="eastAsia" w:ascii="仿宋" w:hAnsi="仿宋" w:eastAsia="仿宋" w:cs="仿宋"/>
                <w:color w:val="000000"/>
                <w:szCs w:val="21"/>
              </w:rPr>
              <w:t>备注：如果投标文件中有一项未通过上述审查标准，评标委员会将认定整个投标文件不响应招标文件而予以废标，并且不允许投标人通过修改或撤销其不符合要求的差异或保留，使之成为具有响应性的投标。</w:t>
            </w:r>
          </w:p>
        </w:tc>
      </w:tr>
    </w:tbl>
    <w:p>
      <w:pPr>
        <w:pStyle w:val="8"/>
        <w:rPr>
          <w:rFonts w:hint="eastAsia"/>
          <w:lang w:val="en-US" w:eastAsia="zh-CN"/>
        </w:rPr>
      </w:pPr>
    </w:p>
    <w:p>
      <w:pPr>
        <w:adjustRightInd w:val="0"/>
        <w:snapToGrid w:val="0"/>
        <w:spacing w:line="360" w:lineRule="auto"/>
        <w:jc w:val="both"/>
        <w:rPr>
          <w:rFonts w:hint="eastAsia" w:eastAsia="仿宋"/>
          <w:lang w:val="en-US" w:eastAsia="zh-CN"/>
        </w:rPr>
      </w:pPr>
      <w:r>
        <w:rPr>
          <w:rFonts w:hint="eastAsia" w:ascii="仿宋" w:hAnsi="仿宋" w:eastAsia="仿宋" w:cs="宋体"/>
          <w:b/>
          <w:bCs/>
          <w:color w:val="000000"/>
          <w:kern w:val="0"/>
          <w:sz w:val="28"/>
          <w:szCs w:val="28"/>
          <w:highlight w:val="none"/>
        </w:rPr>
        <w:t>注：</w:t>
      </w:r>
      <w:r>
        <w:rPr>
          <w:rFonts w:hint="eastAsia" w:ascii="仿宋" w:hAnsi="仿宋" w:eastAsia="仿宋"/>
          <w:b/>
          <w:bCs/>
          <w:sz w:val="28"/>
          <w:szCs w:val="28"/>
          <w:highlight w:val="none"/>
        </w:rPr>
        <w:t>未通过资格审查的</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将拒绝进行下一阶段评审！请</w:t>
      </w:r>
      <w:r>
        <w:rPr>
          <w:rFonts w:hint="eastAsia" w:ascii="仿宋" w:hAnsi="仿宋" w:eastAsia="仿宋"/>
          <w:b/>
          <w:bCs/>
          <w:sz w:val="28"/>
          <w:szCs w:val="28"/>
          <w:highlight w:val="none"/>
          <w:lang w:eastAsia="zh-CN"/>
        </w:rPr>
        <w:t>供应商</w:t>
      </w:r>
      <w:r>
        <w:rPr>
          <w:rFonts w:hint="eastAsia" w:ascii="仿宋" w:hAnsi="仿宋" w:eastAsia="仿宋"/>
          <w:b/>
          <w:bCs/>
          <w:sz w:val="28"/>
          <w:szCs w:val="28"/>
          <w:highlight w:val="none"/>
        </w:rPr>
        <w:t>特别</w:t>
      </w:r>
      <w:r>
        <w:rPr>
          <w:rFonts w:hint="eastAsia" w:ascii="仿宋" w:hAnsi="仿宋" w:eastAsia="仿宋"/>
          <w:b/>
          <w:bCs/>
          <w:sz w:val="28"/>
          <w:szCs w:val="28"/>
          <w:highlight w:val="none"/>
          <w:lang w:val="en-US" w:eastAsia="zh-CN"/>
        </w:rPr>
        <w:t>注意</w:t>
      </w:r>
    </w:p>
    <w:p>
      <w:pPr>
        <w:pStyle w:val="37"/>
        <w:rPr>
          <w:rFonts w:hint="eastAsia"/>
        </w:rPr>
      </w:pPr>
    </w:p>
    <w:p>
      <w:pPr>
        <w:pStyle w:val="37"/>
        <w:rPr>
          <w:rFonts w:hint="eastAsia"/>
        </w:rPr>
      </w:pPr>
    </w:p>
    <w:p>
      <w:pPr>
        <w:adjustRightInd w:val="0"/>
        <w:snapToGrid w:val="0"/>
        <w:spacing w:line="360" w:lineRule="auto"/>
        <w:jc w:val="center"/>
        <w:rPr>
          <w:rFonts w:hint="eastAsia" w:ascii="宋体" w:hAnsi="宋体" w:cs="宋体"/>
          <w:b/>
          <w:sz w:val="24"/>
        </w:rPr>
      </w:pPr>
      <w:r>
        <w:rPr>
          <w:rFonts w:hint="eastAsia" w:ascii="宋体" w:hAnsi="宋体" w:cs="宋体"/>
          <w:b/>
          <w:sz w:val="24"/>
        </w:rPr>
        <w:t>评审标准细则</w:t>
      </w:r>
    </w:p>
    <w:p>
      <w:pPr>
        <w:widowControl/>
        <w:adjustRightInd w:val="0"/>
        <w:snapToGrid w:val="0"/>
        <w:spacing w:line="360" w:lineRule="auto"/>
        <w:jc w:val="left"/>
        <w:rPr>
          <w:rFonts w:hint="eastAsia" w:ascii="宋体" w:hAnsi="宋体" w:cs="宋体"/>
          <w:sz w:val="24"/>
        </w:rPr>
      </w:pPr>
      <w:r>
        <w:rPr>
          <w:rFonts w:hint="eastAsia" w:ascii="宋体" w:hAnsi="宋体" w:cs="宋体"/>
          <w:sz w:val="24"/>
        </w:rPr>
        <w:t>评审采用百分制，满分为100分，由2个部分组成：1、商务技术得分（</w:t>
      </w:r>
      <w:r>
        <w:rPr>
          <w:rFonts w:hint="eastAsia" w:ascii="宋体" w:hAnsi="宋体" w:cs="宋体"/>
          <w:sz w:val="24"/>
          <w:lang w:val="en-US" w:eastAsia="zh-CN"/>
        </w:rPr>
        <w:t>60</w:t>
      </w:r>
      <w:r>
        <w:rPr>
          <w:rFonts w:hint="eastAsia" w:ascii="宋体" w:hAnsi="宋体" w:cs="宋体"/>
          <w:sz w:val="24"/>
        </w:rPr>
        <w:t>分），价格得分（</w:t>
      </w:r>
      <w:r>
        <w:rPr>
          <w:rFonts w:hint="eastAsia" w:ascii="宋体" w:hAnsi="宋体" w:cs="宋体"/>
          <w:sz w:val="24"/>
          <w:lang w:val="en-US" w:eastAsia="zh-CN"/>
        </w:rPr>
        <w:t>40</w:t>
      </w:r>
      <w:r>
        <w:rPr>
          <w:rFonts w:hint="eastAsia" w:ascii="宋体" w:hAnsi="宋体" w:cs="宋体"/>
          <w:sz w:val="24"/>
        </w:rPr>
        <w:t>分）。</w:t>
      </w:r>
    </w:p>
    <w:tbl>
      <w:tblPr>
        <w:tblStyle w:val="23"/>
        <w:tblW w:w="9439" w:type="dxa"/>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931"/>
        <w:gridCol w:w="1357"/>
        <w:gridCol w:w="7151"/>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931" w:type="dxa"/>
            <w:vMerge w:val="restart"/>
            <w:tcBorders>
              <w:top w:val="single" w:color="auto" w:sz="4" w:space="0"/>
              <w:right w:val="single" w:color="auto" w:sz="4" w:space="0"/>
            </w:tcBorders>
            <w:noWrap/>
            <w:vAlign w:val="center"/>
          </w:tcPr>
          <w:p>
            <w:pPr>
              <w:spacing w:line="360" w:lineRule="exact"/>
              <w:jc w:val="center"/>
              <w:rPr>
                <w:szCs w:val="21"/>
              </w:rPr>
            </w:pPr>
            <w:r>
              <w:rPr>
                <w:rFonts w:hint="eastAsia"/>
                <w:szCs w:val="21"/>
              </w:rPr>
              <w:t>商务技术评审</w:t>
            </w:r>
            <w:r>
              <w:rPr>
                <w:rFonts w:hint="eastAsia" w:ascii="宋体" w:hAnsi="宋体" w:cs="宋体"/>
                <w:szCs w:val="21"/>
              </w:rPr>
              <w:t>（</w:t>
            </w:r>
            <w:r>
              <w:rPr>
                <w:rFonts w:hint="eastAsia" w:ascii="宋体" w:hAnsi="宋体" w:cs="宋体"/>
                <w:szCs w:val="21"/>
                <w:lang w:val="en-US" w:eastAsia="zh-CN"/>
              </w:rPr>
              <w:t>60分</w:t>
            </w:r>
            <w:r>
              <w:rPr>
                <w:rFonts w:hint="eastAsia" w:ascii="宋体" w:hAnsi="宋体" w:cs="宋体"/>
                <w:szCs w:val="21"/>
              </w:rPr>
              <w:t>）</w:t>
            </w:r>
          </w:p>
        </w:tc>
        <w:tc>
          <w:tcPr>
            <w:tcW w:w="1357" w:type="dxa"/>
            <w:tcBorders>
              <w:top w:val="single" w:color="auto" w:sz="4" w:space="0"/>
              <w:left w:val="single" w:color="auto" w:sz="4" w:space="0"/>
              <w:right w:val="single" w:color="auto" w:sz="4" w:space="0"/>
            </w:tcBorders>
            <w:noWrap/>
            <w:vAlign w:val="center"/>
          </w:tcPr>
          <w:p>
            <w:pPr>
              <w:adjustRightInd w:val="0"/>
              <w:snapToGrid w:val="0"/>
              <w:spacing w:line="320" w:lineRule="exact"/>
              <w:jc w:val="center"/>
              <w:rPr>
                <w:rFonts w:hint="eastAsia" w:ascii="宋体" w:hAnsi="宋体" w:cs="宋体"/>
                <w:szCs w:val="21"/>
              </w:rPr>
            </w:pPr>
            <w:r>
              <w:rPr>
                <w:rFonts w:hint="eastAsia" w:ascii="宋体" w:hAnsi="宋体" w:cs="宋体"/>
                <w:szCs w:val="21"/>
              </w:rPr>
              <w:t>纳税证明</w:t>
            </w:r>
          </w:p>
          <w:p>
            <w:pPr>
              <w:adjustRightInd w:val="0"/>
              <w:snapToGrid w:val="0"/>
              <w:spacing w:line="320" w:lineRule="exact"/>
              <w:jc w:val="center"/>
              <w:rPr>
                <w:rFonts w:hint="eastAsia" w:ascii="宋体" w:hAnsi="宋体" w:cs="宋体"/>
                <w:szCs w:val="21"/>
                <w:lang w:val="en-US" w:eastAsia="zh-CN"/>
              </w:rPr>
            </w:pPr>
            <w:r>
              <w:rPr>
                <w:rFonts w:hint="eastAsia" w:ascii="宋体" w:hAnsi="宋体" w:cs="宋体"/>
                <w:szCs w:val="21"/>
              </w:rPr>
              <w:t>（3分）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rPr>
                <w:rFonts w:hint="eastAsia" w:ascii="宋体" w:hAnsi="宋体" w:cs="宋体"/>
                <w:szCs w:val="21"/>
              </w:rPr>
            </w:pPr>
            <w:r>
              <w:rPr>
                <w:rFonts w:hint="eastAsia" w:ascii="宋体" w:hAnsi="宋体" w:cs="宋体"/>
                <w:szCs w:val="21"/>
              </w:rPr>
              <w:t>投标人所投产品的制造商:</w:t>
            </w:r>
          </w:p>
          <w:p>
            <w:pPr>
              <w:adjustRightInd w:val="0"/>
              <w:snapToGrid w:val="0"/>
              <w:spacing w:line="320" w:lineRule="exact"/>
              <w:rPr>
                <w:rFonts w:hint="eastAsia" w:ascii="宋体" w:hAnsi="宋体" w:cs="宋体"/>
                <w:szCs w:val="21"/>
              </w:rPr>
            </w:pPr>
            <w:r>
              <w:rPr>
                <w:rFonts w:hint="eastAsia" w:ascii="宋体" w:hAnsi="宋体" w:cs="宋体"/>
                <w:szCs w:val="21"/>
              </w:rPr>
              <w:t>获得纳税等级A级得3分；</w:t>
            </w:r>
          </w:p>
          <w:p>
            <w:pPr>
              <w:adjustRightInd w:val="0"/>
              <w:snapToGrid w:val="0"/>
              <w:spacing w:line="320" w:lineRule="exact"/>
              <w:rPr>
                <w:rFonts w:hint="eastAsia" w:ascii="宋体" w:hAnsi="宋体" w:cs="宋体"/>
                <w:szCs w:val="21"/>
              </w:rPr>
            </w:pPr>
            <w:r>
              <w:rPr>
                <w:rFonts w:hint="eastAsia" w:ascii="宋体" w:hAnsi="宋体" w:cs="宋体"/>
                <w:szCs w:val="21"/>
              </w:rPr>
              <w:t>纳税等级B级得2分；</w:t>
            </w:r>
          </w:p>
          <w:p>
            <w:pPr>
              <w:adjustRightInd w:val="0"/>
              <w:snapToGrid w:val="0"/>
              <w:spacing w:line="320" w:lineRule="exact"/>
              <w:rPr>
                <w:rFonts w:hint="eastAsia" w:ascii="宋体" w:hAnsi="宋体" w:cs="宋体"/>
                <w:szCs w:val="21"/>
              </w:rPr>
            </w:pPr>
            <w:r>
              <w:rPr>
                <w:rFonts w:hint="eastAsia" w:ascii="宋体" w:hAnsi="宋体" w:cs="宋体"/>
                <w:szCs w:val="21"/>
              </w:rPr>
              <w:t>纳税等级C级得1分；其他不得分。</w:t>
            </w:r>
          </w:p>
          <w:p>
            <w:pPr>
              <w:adjustRightInd w:val="0"/>
              <w:snapToGrid w:val="0"/>
              <w:spacing w:line="320" w:lineRule="exact"/>
              <w:rPr>
                <w:rFonts w:hint="eastAsia" w:ascii="宋体" w:hAnsi="宋体" w:cs="宋体"/>
                <w:szCs w:val="21"/>
                <w:lang w:val="en-US" w:eastAsia="zh-CN"/>
              </w:rPr>
            </w:pPr>
            <w:r>
              <w:rPr>
                <w:rFonts w:hint="eastAsia" w:ascii="宋体" w:hAnsi="宋体" w:cs="宋体"/>
                <w:szCs w:val="21"/>
              </w:rPr>
              <w:t>注：复印件并加盖投标人公章作为证明材料，不提供不得分。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931" w:type="dxa"/>
            <w:vMerge w:val="continue"/>
            <w:tcBorders>
              <w:right w:val="single" w:color="auto" w:sz="4" w:space="0"/>
            </w:tcBorders>
            <w:noWrap/>
            <w:vAlign w:val="center"/>
          </w:tcPr>
          <w:p>
            <w:pPr>
              <w:spacing w:line="360" w:lineRule="exact"/>
              <w:jc w:val="center"/>
              <w:rPr>
                <w:rFonts w:hint="eastAsia"/>
                <w:szCs w:val="21"/>
              </w:rPr>
            </w:pPr>
          </w:p>
        </w:tc>
        <w:tc>
          <w:tcPr>
            <w:tcW w:w="1357" w:type="dxa"/>
            <w:tcBorders>
              <w:top w:val="single" w:color="auto" w:sz="4" w:space="0"/>
              <w:left w:val="single" w:color="auto" w:sz="4" w:space="0"/>
              <w:right w:val="single" w:color="auto" w:sz="4" w:space="0"/>
            </w:tcBorders>
            <w:noWrap/>
            <w:vAlign w:val="center"/>
          </w:tcPr>
          <w:p>
            <w:pPr>
              <w:spacing w:line="320" w:lineRule="exact"/>
              <w:rPr>
                <w:rFonts w:hint="eastAsia" w:ascii="宋体" w:hAnsi="宋体" w:eastAsia="宋体" w:cs="宋体"/>
                <w:kern w:val="2"/>
                <w:sz w:val="21"/>
                <w:szCs w:val="21"/>
                <w:lang w:val="en-US" w:eastAsia="zh-CN" w:bidi="ar-SA"/>
              </w:rPr>
            </w:pPr>
            <w:r>
              <w:rPr>
                <w:rFonts w:hint="eastAsia" w:ascii="宋体" w:hAnsi="宋体" w:cs="宋体"/>
                <w:szCs w:val="21"/>
              </w:rPr>
              <w:t>业绩（</w:t>
            </w:r>
            <w:r>
              <w:rPr>
                <w:rFonts w:hint="eastAsia" w:ascii="宋体" w:hAnsi="宋体" w:cs="宋体"/>
                <w:szCs w:val="21"/>
                <w:lang w:val="en-US" w:eastAsia="zh-CN"/>
              </w:rPr>
              <w:t>4</w:t>
            </w:r>
            <w:r>
              <w:rPr>
                <w:rFonts w:hint="eastAsia" w:ascii="宋体" w:hAnsi="宋体" w:cs="宋体"/>
                <w:szCs w:val="21"/>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rPr>
                <w:rFonts w:ascii="宋体" w:hAnsi="宋体" w:cs="宋体"/>
                <w:szCs w:val="21"/>
              </w:rPr>
            </w:pPr>
            <w:r>
              <w:rPr>
                <w:rFonts w:hint="eastAsia" w:ascii="宋体" w:hAnsi="宋体" w:cs="宋体"/>
                <w:szCs w:val="21"/>
              </w:rPr>
              <w:t>提供所投产品的制造商自201</w:t>
            </w:r>
            <w:r>
              <w:rPr>
                <w:rFonts w:ascii="宋体" w:hAnsi="宋体" w:cs="宋体"/>
                <w:szCs w:val="21"/>
              </w:rPr>
              <w:t>9</w:t>
            </w:r>
            <w:r>
              <w:rPr>
                <w:rFonts w:hint="eastAsia" w:ascii="宋体" w:hAnsi="宋体" w:cs="宋体"/>
                <w:szCs w:val="21"/>
              </w:rPr>
              <w:t>年</w:t>
            </w:r>
            <w:r>
              <w:rPr>
                <w:rFonts w:hint="eastAsia" w:ascii="宋体" w:hAnsi="宋体" w:cs="宋体"/>
                <w:szCs w:val="21"/>
                <w:lang w:val="en-US" w:eastAsia="zh-CN"/>
              </w:rPr>
              <w:t>6</w:t>
            </w:r>
            <w:r>
              <w:rPr>
                <w:rFonts w:hint="eastAsia" w:ascii="宋体" w:hAnsi="宋体" w:cs="宋体"/>
                <w:szCs w:val="21"/>
              </w:rPr>
              <w:t>月1日至投标截止日止，与中国境内公共供水项目（不包括自建设施供水）的</w:t>
            </w:r>
            <w:r>
              <w:rPr>
                <w:rFonts w:hint="eastAsia" w:ascii="宋体" w:hAnsi="宋体" w:cs="宋体"/>
                <w:szCs w:val="21"/>
                <w:lang w:val="en-US" w:eastAsia="zh-CN"/>
              </w:rPr>
              <w:t>投标产品同类产品</w:t>
            </w:r>
            <w:r>
              <w:rPr>
                <w:rFonts w:hint="eastAsia" w:ascii="宋体" w:hAnsi="宋体" w:cs="宋体"/>
                <w:szCs w:val="21"/>
              </w:rPr>
              <w:t>的供货业绩，</w:t>
            </w:r>
            <w:r>
              <w:rPr>
                <w:rFonts w:hint="eastAsia" w:ascii="宋体" w:hAnsi="宋体" w:cs="宋体"/>
                <w:szCs w:val="21"/>
                <w:lang w:val="en-US" w:eastAsia="zh-CN"/>
              </w:rPr>
              <w:t>每项业绩得2分</w:t>
            </w:r>
            <w:r>
              <w:rPr>
                <w:rFonts w:hint="eastAsia" w:ascii="宋体" w:hAnsi="宋体" w:cs="宋体"/>
                <w:szCs w:val="21"/>
              </w:rPr>
              <w:t>本项累计最高得</w:t>
            </w:r>
            <w:r>
              <w:rPr>
                <w:rFonts w:hint="eastAsia" w:ascii="宋体" w:hAnsi="宋体" w:cs="宋体"/>
                <w:szCs w:val="21"/>
                <w:lang w:val="en-US" w:eastAsia="zh-CN"/>
              </w:rPr>
              <w:t>4</w:t>
            </w:r>
            <w:r>
              <w:rPr>
                <w:rFonts w:ascii="宋体" w:hAnsi="宋体" w:cs="宋体"/>
                <w:szCs w:val="21"/>
              </w:rPr>
              <w:t>分</w:t>
            </w:r>
          </w:p>
          <w:p>
            <w:pPr>
              <w:spacing w:line="320" w:lineRule="exact"/>
              <w:rPr>
                <w:rFonts w:hint="eastAsia" w:ascii="宋体" w:hAnsi="宋体" w:eastAsia="宋体" w:cs="宋体"/>
                <w:kern w:val="2"/>
                <w:sz w:val="21"/>
                <w:szCs w:val="21"/>
                <w:lang w:val="en-US" w:eastAsia="zh-CN" w:bidi="ar-SA"/>
              </w:rPr>
            </w:pPr>
            <w:r>
              <w:rPr>
                <w:rFonts w:hint="eastAsia" w:ascii="宋体" w:hAnsi="宋体" w:cs="宋体"/>
                <w:szCs w:val="21"/>
              </w:rPr>
              <w:t>注：提供相应的单项合同关键页复印件（如合同无金额的必须提供中标通知书或自来水公司出具并加盖公章的用户使用证明），用户证明内容需包括实际采购金额、售后评价等作为业绩证明材料，以便招标人进行核对，若为虚假伪造的，招标人有权解除合同，提示同一供水企业的用户业绩只计算一次。</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931" w:type="dxa"/>
            <w:vMerge w:val="continue"/>
            <w:tcBorders>
              <w:right w:val="single" w:color="auto" w:sz="4" w:space="0"/>
            </w:tcBorders>
            <w:noWrap/>
            <w:vAlign w:val="center"/>
          </w:tcPr>
          <w:p>
            <w:pPr>
              <w:spacing w:line="360" w:lineRule="exact"/>
              <w:jc w:val="center"/>
              <w:rPr>
                <w:rFonts w:hint="eastAsia"/>
                <w:szCs w:val="21"/>
              </w:rPr>
            </w:pPr>
          </w:p>
        </w:tc>
        <w:tc>
          <w:tcPr>
            <w:tcW w:w="1357" w:type="dxa"/>
            <w:tcBorders>
              <w:top w:val="single" w:color="auto" w:sz="4" w:space="0"/>
              <w:left w:val="single" w:color="auto" w:sz="4" w:space="0"/>
              <w:right w:val="single" w:color="auto" w:sz="4" w:space="0"/>
            </w:tcBorders>
            <w:noWrap/>
            <w:vAlign w:val="center"/>
          </w:tcPr>
          <w:p>
            <w:pPr>
              <w:pStyle w:val="8"/>
              <w:jc w:val="center"/>
              <w:rPr>
                <w:rFonts w:hint="eastAsia" w:ascii="Times New Roman" w:hAnsi="Times New Roman" w:eastAsia="宋体" w:cs="Times New Roman"/>
                <w:kern w:val="2"/>
                <w:sz w:val="21"/>
                <w:lang w:val="en-US" w:eastAsia="zh-CN" w:bidi="ar-SA"/>
              </w:rPr>
            </w:pPr>
            <w:r>
              <w:rPr>
                <w:rFonts w:hint="eastAsia"/>
              </w:rPr>
              <w:t>投标人实力（</w:t>
            </w:r>
            <w:r>
              <w:rPr>
                <w:rFonts w:hint="eastAsia"/>
                <w:lang w:val="en-US" w:eastAsia="zh-CN"/>
              </w:rPr>
              <w:t>12</w:t>
            </w:r>
            <w:r>
              <w:rPr>
                <w:rFonts w:hint="eastAsia"/>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rPr>
                <w:rFonts w:hint="eastAsia" w:ascii="宋体" w:hAnsi="宋体" w:eastAsia="宋体" w:cs="宋体"/>
                <w:szCs w:val="21"/>
                <w:lang w:eastAsia="zh-CN"/>
              </w:rPr>
            </w:pPr>
            <w:r>
              <w:rPr>
                <w:rFonts w:hint="eastAsia" w:ascii="宋体" w:hAnsi="宋体" w:eastAsia="宋体" w:cs="宋体"/>
                <w:szCs w:val="21"/>
              </w:rPr>
              <w:t>（1）投标人具有NB-IOT（或者包含NB-IOT的窄带物联网技术，需提供证明文件）无线远传水表嵌入式系统计算机软件类相关著作权证书的</w:t>
            </w:r>
            <w:r>
              <w:rPr>
                <w:rFonts w:hint="eastAsia" w:ascii="宋体" w:hAnsi="宋体" w:eastAsia="宋体" w:cs="宋体"/>
                <w:szCs w:val="21"/>
                <w:lang w:val="en-US" w:eastAsia="zh-CN"/>
              </w:rPr>
              <w:t>2</w:t>
            </w:r>
            <w:r>
              <w:rPr>
                <w:rFonts w:hint="eastAsia" w:ascii="宋体" w:hAnsi="宋体" w:eastAsia="宋体" w:cs="宋体"/>
                <w:szCs w:val="21"/>
              </w:rPr>
              <w:t>分。</w:t>
            </w:r>
          </w:p>
          <w:p>
            <w:pPr>
              <w:adjustRightInd w:val="0"/>
              <w:snapToGrid w:val="0"/>
              <w:spacing w:line="320" w:lineRule="exact"/>
              <w:rPr>
                <w:rFonts w:hint="eastAsia" w:ascii="宋体" w:hAnsi="宋体" w:eastAsia="宋体" w:cs="宋体"/>
                <w:szCs w:val="21"/>
                <w:lang w:eastAsia="zh-CN"/>
              </w:rPr>
            </w:pPr>
            <w:r>
              <w:rPr>
                <w:rFonts w:hint="eastAsia" w:ascii="宋体" w:hAnsi="宋体" w:eastAsia="宋体" w:cs="宋体"/>
                <w:szCs w:val="21"/>
              </w:rPr>
              <w:t>（2）投标人具有智能水表相关国家发明专利证书的，每具有一份得</w:t>
            </w:r>
            <w:r>
              <w:rPr>
                <w:rFonts w:hint="eastAsia" w:ascii="宋体" w:hAnsi="宋体" w:eastAsia="宋体" w:cs="宋体"/>
                <w:szCs w:val="21"/>
                <w:lang w:val="en-US" w:eastAsia="zh-CN"/>
              </w:rPr>
              <w:t>2</w:t>
            </w:r>
            <w:r>
              <w:rPr>
                <w:rFonts w:hint="eastAsia" w:ascii="宋体" w:hAnsi="宋体" w:eastAsia="宋体" w:cs="宋体"/>
                <w:szCs w:val="21"/>
              </w:rPr>
              <w:t>分，最高得</w:t>
            </w:r>
            <w:r>
              <w:rPr>
                <w:rFonts w:hint="eastAsia" w:ascii="宋体" w:hAnsi="宋体" w:eastAsia="宋体" w:cs="宋体"/>
                <w:szCs w:val="21"/>
                <w:lang w:val="en-US" w:eastAsia="zh-CN"/>
              </w:rPr>
              <w:t>4</w:t>
            </w:r>
            <w:r>
              <w:rPr>
                <w:rFonts w:hint="eastAsia" w:ascii="宋体" w:hAnsi="宋体" w:eastAsia="宋体" w:cs="宋体"/>
                <w:szCs w:val="21"/>
              </w:rPr>
              <w:t>分。</w:t>
            </w:r>
          </w:p>
          <w:p>
            <w:pPr>
              <w:adjustRightInd w:val="0"/>
              <w:snapToGrid w:val="0"/>
              <w:spacing w:line="320" w:lineRule="exact"/>
              <w:rPr>
                <w:rFonts w:hint="eastAsia" w:ascii="宋体" w:hAnsi="宋体" w:eastAsia="宋体" w:cs="宋体"/>
                <w:szCs w:val="21"/>
                <w:lang w:eastAsia="zh-CN"/>
              </w:rPr>
            </w:pPr>
            <w:r>
              <w:rPr>
                <w:rFonts w:hint="eastAsia" w:ascii="宋体" w:hAnsi="宋体" w:eastAsia="宋体" w:cs="宋体"/>
                <w:szCs w:val="21"/>
              </w:rPr>
              <w:t>（3）投标人具有有效的质量管理体系认证证书的得1分，具有有效的环境管理体系认证证书的得1分，本项满分2分。</w:t>
            </w:r>
          </w:p>
          <w:p>
            <w:pPr>
              <w:adjustRightInd w:val="0"/>
              <w:snapToGrid w:val="0"/>
              <w:spacing w:line="320" w:lineRule="exact"/>
              <w:rPr>
                <w:rFonts w:hint="eastAsia" w:ascii="宋体" w:hAnsi="宋体" w:eastAsia="宋体" w:cs="宋体"/>
                <w:szCs w:val="21"/>
              </w:rPr>
            </w:pPr>
            <w:r>
              <w:rPr>
                <w:rFonts w:hint="eastAsia" w:ascii="宋体" w:hAnsi="宋体" w:eastAsia="宋体" w:cs="宋体"/>
                <w:szCs w:val="21"/>
              </w:rPr>
              <w:t>（4）</w:t>
            </w:r>
            <w:r>
              <w:rPr>
                <w:rFonts w:hint="eastAsia" w:ascii="宋体" w:hAnsi="宋体" w:eastAsia="宋体" w:cs="宋体"/>
                <w:szCs w:val="21"/>
                <w:lang w:val="en-US" w:eastAsia="zh-CN"/>
              </w:rPr>
              <w:t>其它实力：</w:t>
            </w:r>
            <w:r>
              <w:rPr>
                <w:rFonts w:hint="eastAsia" w:ascii="宋体" w:hAnsi="宋体" w:eastAsia="宋体" w:cs="宋体"/>
                <w:szCs w:val="21"/>
              </w:rPr>
              <w:t>根据生产经验、企业保证质量的生产设备、生产工艺流程的合理性与先进性，是否拥有关键的独特的技术和工艺等情况（如自动贴片机、生产流水线、检测设备等）进行综合评议（须文字加图片），本项满分</w:t>
            </w:r>
            <w:r>
              <w:rPr>
                <w:rFonts w:hint="eastAsia" w:ascii="宋体" w:hAnsi="宋体" w:cs="宋体"/>
                <w:szCs w:val="21"/>
                <w:lang w:val="en-US" w:eastAsia="zh-CN"/>
              </w:rPr>
              <w:t>4</w:t>
            </w:r>
            <w:r>
              <w:rPr>
                <w:rFonts w:hint="eastAsia" w:ascii="宋体" w:hAnsi="宋体" w:eastAsia="宋体" w:cs="宋体"/>
                <w:szCs w:val="21"/>
              </w:rPr>
              <w:t>分。</w:t>
            </w:r>
          </w:p>
          <w:p>
            <w:pPr>
              <w:adjustRightInd w:val="0"/>
              <w:snapToGrid w:val="0"/>
              <w:spacing w:line="320" w:lineRule="exact"/>
              <w:rPr>
                <w:rFonts w:hint="eastAsia" w:ascii="宋体" w:hAnsi="宋体" w:eastAsia="宋体" w:cs="宋体"/>
                <w:kern w:val="2"/>
                <w:sz w:val="21"/>
                <w:szCs w:val="21"/>
                <w:lang w:val="en-US" w:eastAsia="zh-CN" w:bidi="ar-SA"/>
              </w:rPr>
            </w:pPr>
            <w:r>
              <w:rPr>
                <w:rFonts w:hint="eastAsia" w:ascii="宋体" w:hAnsi="宋体" w:eastAsia="宋体" w:cs="宋体"/>
                <w:szCs w:val="21"/>
              </w:rPr>
              <w:t>注：投标文件中提供上述证书复印件并加盖公章，未提供或提供无效的不得分。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97" w:hRule="atLeast"/>
        </w:trPr>
        <w:tc>
          <w:tcPr>
            <w:tcW w:w="931" w:type="dxa"/>
            <w:vMerge w:val="continue"/>
            <w:tcBorders>
              <w:right w:val="single" w:color="auto" w:sz="4" w:space="0"/>
            </w:tcBorders>
            <w:noWrap/>
            <w:vAlign w:val="center"/>
          </w:tcPr>
          <w:p>
            <w:pPr>
              <w:spacing w:line="360" w:lineRule="exact"/>
              <w:jc w:val="center"/>
              <w:rPr>
                <w:szCs w:val="21"/>
              </w:rPr>
            </w:pPr>
          </w:p>
        </w:tc>
        <w:tc>
          <w:tcPr>
            <w:tcW w:w="1357" w:type="dxa"/>
            <w:tcBorders>
              <w:top w:val="single" w:color="auto" w:sz="4" w:space="0"/>
              <w:left w:val="single" w:color="auto" w:sz="4" w:space="0"/>
              <w:right w:val="single" w:color="auto" w:sz="4" w:space="0"/>
            </w:tcBorders>
            <w:noWrap/>
            <w:vAlign w:val="center"/>
          </w:tcPr>
          <w:p>
            <w:pPr>
              <w:spacing w:line="320" w:lineRule="exact"/>
              <w:rPr>
                <w:rFonts w:hint="eastAsia" w:ascii="宋体" w:hAnsi="宋体" w:cs="宋体"/>
                <w:b w:val="0"/>
                <w:bCs w:val="0"/>
                <w:szCs w:val="21"/>
              </w:rPr>
            </w:pPr>
            <w:r>
              <w:rPr>
                <w:rFonts w:hint="eastAsia" w:ascii="Arial" w:hAnsi="Arial" w:eastAsia="宋体"/>
                <w:b w:val="0"/>
                <w:bCs w:val="0"/>
                <w:color w:val="auto"/>
                <w:szCs w:val="21"/>
                <w:highlight w:val="none"/>
              </w:rPr>
              <w:t>商务条款响应</w:t>
            </w:r>
            <w:r>
              <w:rPr>
                <w:rFonts w:hint="eastAsia" w:ascii="Arial" w:hAnsi="Arial" w:eastAsia="宋体"/>
                <w:b w:val="0"/>
                <w:bCs w:val="0"/>
                <w:color w:val="auto"/>
                <w:szCs w:val="21"/>
                <w:highlight w:val="none"/>
                <w:lang w:val="en-US" w:eastAsia="zh-CN"/>
              </w:rPr>
              <w:t xml:space="preserve">       </w:t>
            </w:r>
            <w:r>
              <w:rPr>
                <w:rFonts w:hint="eastAsia" w:ascii="Arial" w:hAnsi="Arial" w:eastAsia="宋体"/>
                <w:b w:val="0"/>
                <w:bCs w:val="0"/>
                <w:color w:val="auto"/>
                <w:szCs w:val="21"/>
                <w:highlight w:val="none"/>
              </w:rPr>
              <w:t>（</w:t>
            </w:r>
            <w:r>
              <w:rPr>
                <w:rFonts w:hint="eastAsia" w:ascii="Arial" w:hAnsi="Arial"/>
                <w:b w:val="0"/>
                <w:bCs w:val="0"/>
                <w:color w:val="auto"/>
                <w:szCs w:val="21"/>
                <w:highlight w:val="none"/>
                <w:lang w:val="en-US" w:eastAsia="zh-CN"/>
              </w:rPr>
              <w:t>5</w:t>
            </w:r>
            <w:r>
              <w:rPr>
                <w:rFonts w:hint="eastAsia" w:ascii="Arial" w:hAnsi="Arial" w:eastAsia="宋体"/>
                <w:b w:val="0"/>
                <w:bCs w:val="0"/>
                <w:color w:val="auto"/>
                <w:szCs w:val="21"/>
                <w:highlight w:val="none"/>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jc w:val="left"/>
              <w:rPr>
                <w:rFonts w:hint="eastAsia" w:ascii="Arial" w:hAnsi="Arial" w:eastAsia="宋体" w:cs="Times New Roman"/>
                <w:color w:val="auto"/>
                <w:kern w:val="2"/>
                <w:sz w:val="21"/>
                <w:highlight w:val="none"/>
                <w:lang w:val="en-US" w:eastAsia="zh-CN" w:bidi="ar-SA"/>
              </w:rPr>
            </w:pPr>
            <w:r>
              <w:rPr>
                <w:rFonts w:hint="eastAsia" w:ascii="Arial" w:hAnsi="Arial" w:eastAsia="宋体"/>
                <w:color w:val="auto"/>
                <w:szCs w:val="21"/>
                <w:highlight w:val="none"/>
              </w:rPr>
              <w:t>投标人符合招标文件商务条款要求的得</w:t>
            </w:r>
            <w:r>
              <w:rPr>
                <w:rFonts w:hint="eastAsia" w:ascii="Arial" w:hAnsi="Arial"/>
                <w:color w:val="auto"/>
                <w:szCs w:val="21"/>
                <w:highlight w:val="none"/>
                <w:lang w:val="en-US" w:eastAsia="zh-CN"/>
              </w:rPr>
              <w:t>5</w:t>
            </w:r>
            <w:r>
              <w:rPr>
                <w:rFonts w:hint="eastAsia" w:ascii="Arial" w:hAnsi="Arial" w:eastAsia="宋体"/>
                <w:color w:val="auto"/>
                <w:szCs w:val="21"/>
                <w:highlight w:val="none"/>
              </w:rPr>
              <w:t>分，对招标文件的商务条款负偏离的不得分，满分</w:t>
            </w:r>
            <w:r>
              <w:rPr>
                <w:rFonts w:hint="eastAsia" w:ascii="Arial" w:hAnsi="Arial" w:eastAsia="宋体"/>
                <w:color w:val="auto"/>
                <w:szCs w:val="21"/>
                <w:highlight w:val="none"/>
                <w:lang w:val="en-US" w:eastAsia="zh-CN"/>
              </w:rPr>
              <w:t>5</w:t>
            </w:r>
            <w:r>
              <w:rPr>
                <w:rFonts w:hint="eastAsia" w:ascii="Arial" w:hAnsi="Arial" w:eastAsia="宋体"/>
                <w:color w:val="auto"/>
                <w:szCs w:val="21"/>
                <w:highlight w:val="none"/>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07" w:hRule="atLeast"/>
        </w:trPr>
        <w:tc>
          <w:tcPr>
            <w:tcW w:w="931" w:type="dxa"/>
            <w:vMerge w:val="continue"/>
            <w:tcBorders>
              <w:right w:val="single" w:color="auto" w:sz="4" w:space="0"/>
            </w:tcBorders>
            <w:noWrap/>
            <w:vAlign w:val="center"/>
          </w:tcPr>
          <w:p>
            <w:pPr>
              <w:spacing w:line="360" w:lineRule="exact"/>
              <w:jc w:val="center"/>
              <w:rPr>
                <w:rFonts w:hint="eastAsia"/>
                <w:szCs w:val="21"/>
              </w:rPr>
            </w:pPr>
          </w:p>
        </w:tc>
        <w:tc>
          <w:tcPr>
            <w:tcW w:w="1357" w:type="dxa"/>
            <w:tcBorders>
              <w:top w:val="single" w:color="auto" w:sz="4" w:space="0"/>
              <w:left w:val="single" w:color="auto" w:sz="4" w:space="0"/>
              <w:right w:val="single" w:color="auto" w:sz="4" w:space="0"/>
            </w:tcBorders>
            <w:noWrap/>
            <w:vAlign w:val="center"/>
          </w:tcPr>
          <w:p>
            <w:pPr>
              <w:spacing w:line="320" w:lineRule="exact"/>
              <w:rPr>
                <w:rFonts w:hint="eastAsia" w:ascii="宋体" w:hAnsi="宋体" w:cs="宋体"/>
                <w:b w:val="0"/>
                <w:bCs w:val="0"/>
                <w:szCs w:val="21"/>
              </w:rPr>
            </w:pPr>
            <w:r>
              <w:rPr>
                <w:rFonts w:hint="eastAsia" w:ascii="Arial" w:hAnsi="Arial" w:eastAsia="宋体" w:cs="宋体"/>
                <w:b w:val="0"/>
                <w:bCs w:val="0"/>
                <w:color w:val="auto"/>
                <w:kern w:val="0"/>
                <w:szCs w:val="15"/>
                <w:highlight w:val="none"/>
              </w:rPr>
              <w:t>技术响应（</w:t>
            </w:r>
            <w:r>
              <w:rPr>
                <w:rFonts w:hint="eastAsia" w:ascii="Arial" w:hAnsi="Arial" w:cs="宋体"/>
                <w:b w:val="0"/>
                <w:bCs w:val="0"/>
                <w:color w:val="auto"/>
                <w:kern w:val="0"/>
                <w:szCs w:val="15"/>
                <w:highlight w:val="none"/>
                <w:lang w:val="en-US" w:eastAsia="zh-CN"/>
              </w:rPr>
              <w:t>17</w:t>
            </w:r>
            <w:r>
              <w:rPr>
                <w:rFonts w:hint="eastAsia" w:ascii="Arial" w:hAnsi="Arial" w:eastAsia="宋体" w:cs="宋体"/>
                <w:b w:val="0"/>
                <w:bCs w:val="0"/>
                <w:color w:val="auto"/>
                <w:kern w:val="0"/>
                <w:szCs w:val="15"/>
                <w:highlight w:val="none"/>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jc w:val="left"/>
              <w:rPr>
                <w:rFonts w:hint="eastAsia" w:ascii="Arial" w:hAnsi="Arial" w:eastAsia="宋体" w:cs="Times New Roman"/>
                <w:b/>
                <w:bCs/>
                <w:color w:val="auto"/>
                <w:kern w:val="2"/>
                <w:sz w:val="21"/>
                <w:szCs w:val="21"/>
                <w:highlight w:val="none"/>
                <w:lang w:val="en-US" w:eastAsia="zh-CN" w:bidi="ar-SA"/>
              </w:rPr>
            </w:pPr>
            <w:r>
              <w:rPr>
                <w:rFonts w:hint="eastAsia" w:ascii="Arial" w:hAnsi="Arial" w:eastAsia="宋体" w:cs="宋体"/>
                <w:color w:val="auto"/>
                <w:kern w:val="0"/>
                <w:szCs w:val="15"/>
                <w:highlight w:val="none"/>
              </w:rPr>
              <w:t>由评委根据</w:t>
            </w:r>
            <w:r>
              <w:rPr>
                <w:rFonts w:hint="eastAsia" w:ascii="Arial" w:hAnsi="Arial" w:cs="宋体"/>
                <w:color w:val="auto"/>
                <w:kern w:val="0"/>
                <w:szCs w:val="15"/>
                <w:highlight w:val="none"/>
                <w:lang w:val="en-US" w:eastAsia="zh-CN"/>
              </w:rPr>
              <w:t>招标文件中参数要求</w:t>
            </w:r>
            <w:r>
              <w:rPr>
                <w:rFonts w:hint="eastAsia" w:ascii="Arial" w:hAnsi="Arial" w:eastAsia="宋体" w:cs="宋体"/>
                <w:color w:val="auto"/>
                <w:kern w:val="0"/>
                <w:szCs w:val="15"/>
                <w:highlight w:val="none"/>
              </w:rPr>
              <w:t>对</w:t>
            </w:r>
            <w:r>
              <w:rPr>
                <w:rFonts w:hint="eastAsia" w:ascii="Arial" w:hAnsi="Arial" w:cs="宋体"/>
                <w:color w:val="auto"/>
                <w:kern w:val="0"/>
                <w:szCs w:val="15"/>
                <w:highlight w:val="none"/>
                <w:lang w:val="en-US" w:eastAsia="zh-CN"/>
              </w:rPr>
              <w:t>投</w:t>
            </w:r>
            <w:r>
              <w:rPr>
                <w:rFonts w:hint="eastAsia" w:ascii="Arial" w:hAnsi="Arial" w:eastAsia="宋体" w:cs="宋体"/>
                <w:color w:val="auto"/>
                <w:kern w:val="0"/>
                <w:szCs w:val="15"/>
                <w:highlight w:val="none"/>
              </w:rPr>
              <w:t>标文件</w:t>
            </w:r>
            <w:r>
              <w:rPr>
                <w:rFonts w:hint="eastAsia" w:ascii="Arial" w:hAnsi="Arial" w:cs="宋体"/>
                <w:color w:val="auto"/>
                <w:kern w:val="0"/>
                <w:szCs w:val="15"/>
                <w:highlight w:val="none"/>
                <w:lang w:val="en-US" w:eastAsia="zh-CN"/>
              </w:rPr>
              <w:t>中投标产品（投标人描述、彩页等）</w:t>
            </w:r>
            <w:r>
              <w:rPr>
                <w:rFonts w:hint="eastAsia" w:ascii="Arial" w:hAnsi="Arial" w:eastAsia="宋体" w:cs="宋体"/>
                <w:color w:val="auto"/>
                <w:kern w:val="0"/>
                <w:szCs w:val="15"/>
                <w:highlight w:val="none"/>
              </w:rPr>
              <w:t>进行评审，一项负偏离扣1分，扣完17分为止</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07" w:hRule="atLeast"/>
        </w:trPr>
        <w:tc>
          <w:tcPr>
            <w:tcW w:w="931" w:type="dxa"/>
            <w:vMerge w:val="continue"/>
            <w:tcBorders>
              <w:right w:val="single" w:color="auto" w:sz="4" w:space="0"/>
            </w:tcBorders>
            <w:noWrap/>
            <w:vAlign w:val="center"/>
          </w:tcPr>
          <w:p>
            <w:pPr>
              <w:spacing w:line="360" w:lineRule="exact"/>
              <w:jc w:val="center"/>
              <w:rPr>
                <w:szCs w:val="21"/>
              </w:rPr>
            </w:pPr>
          </w:p>
        </w:tc>
        <w:tc>
          <w:tcPr>
            <w:tcW w:w="1357" w:type="dxa"/>
            <w:tcBorders>
              <w:top w:val="single" w:color="auto" w:sz="4" w:space="0"/>
              <w:left w:val="single" w:color="auto" w:sz="4" w:space="0"/>
              <w:right w:val="single" w:color="auto" w:sz="4" w:space="0"/>
            </w:tcBorders>
            <w:noWrap/>
            <w:vAlign w:val="center"/>
          </w:tcPr>
          <w:p>
            <w:pPr>
              <w:spacing w:line="320" w:lineRule="exact"/>
              <w:rPr>
                <w:rFonts w:ascii="宋体" w:hAnsi="宋体" w:cs="宋体"/>
                <w:szCs w:val="21"/>
              </w:rPr>
            </w:pPr>
            <w:r>
              <w:rPr>
                <w:rFonts w:hint="eastAsia" w:ascii="宋体" w:hAnsi="宋体" w:cs="宋体"/>
                <w:szCs w:val="21"/>
              </w:rPr>
              <w:t>综合生产与远传水表计量水平</w:t>
            </w:r>
          </w:p>
          <w:p>
            <w:pPr>
              <w:spacing w:line="320" w:lineRule="exact"/>
            </w:pPr>
            <w:r>
              <w:rPr>
                <w:rFonts w:hint="eastAsia" w:ascii="宋体" w:hAnsi="宋体" w:cs="宋体"/>
                <w:szCs w:val="21"/>
              </w:rPr>
              <w:t>（</w:t>
            </w:r>
            <w:r>
              <w:rPr>
                <w:rFonts w:hint="eastAsia" w:ascii="宋体" w:hAnsi="宋体" w:cs="宋体"/>
                <w:szCs w:val="21"/>
                <w:lang w:val="en-US" w:eastAsia="zh-CN"/>
              </w:rPr>
              <w:t>3</w:t>
            </w:r>
            <w:r>
              <w:rPr>
                <w:rFonts w:hint="eastAsia" w:ascii="宋体" w:hAnsi="宋体" w:cs="宋体"/>
                <w:szCs w:val="21"/>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rPr>
                <w:rFonts w:ascii="宋体" w:hAnsi="宋体" w:cs="宋体"/>
                <w:szCs w:val="21"/>
              </w:rPr>
            </w:pPr>
            <w:r>
              <w:rPr>
                <w:rFonts w:hint="eastAsia" w:ascii="宋体" w:hAnsi="宋体" w:cs="宋体"/>
                <w:szCs w:val="21"/>
              </w:rPr>
              <w:t>投标人或所投产品制造商：</w:t>
            </w:r>
          </w:p>
          <w:p>
            <w:pPr>
              <w:adjustRightInd w:val="0"/>
              <w:snapToGrid w:val="0"/>
              <w:spacing w:line="320" w:lineRule="exact"/>
              <w:rPr>
                <w:rFonts w:ascii="宋体" w:hAnsi="宋体" w:cs="宋体"/>
                <w:szCs w:val="21"/>
              </w:rPr>
            </w:pPr>
            <w:r>
              <w:rPr>
                <w:rFonts w:hint="eastAsia" w:ascii="宋体" w:hAnsi="宋体" w:cs="宋体"/>
                <w:szCs w:val="21"/>
              </w:rPr>
              <w:t>1）获得有效期内国家级计量技术机构对本次所投产品在计量技术的评价证书，得</w:t>
            </w:r>
            <w:r>
              <w:rPr>
                <w:rFonts w:hint="eastAsia" w:ascii="宋体" w:hAnsi="宋体" w:cs="宋体"/>
                <w:szCs w:val="21"/>
                <w:lang w:val="en-US" w:eastAsia="zh-CN"/>
              </w:rPr>
              <w:t>3</w:t>
            </w:r>
            <w:r>
              <w:rPr>
                <w:rFonts w:hint="eastAsia" w:ascii="宋体" w:hAnsi="宋体" w:cs="宋体"/>
                <w:szCs w:val="21"/>
              </w:rPr>
              <w:t>分；</w:t>
            </w:r>
          </w:p>
          <w:p>
            <w:pPr>
              <w:adjustRightInd w:val="0"/>
              <w:snapToGrid w:val="0"/>
              <w:spacing w:line="320" w:lineRule="exact"/>
              <w:rPr>
                <w:rFonts w:ascii="宋体" w:hAnsi="宋体" w:cs="宋体"/>
                <w:szCs w:val="21"/>
              </w:rPr>
            </w:pPr>
            <w:r>
              <w:rPr>
                <w:rFonts w:hint="eastAsia" w:ascii="宋体" w:hAnsi="宋体" w:cs="宋体"/>
                <w:szCs w:val="21"/>
              </w:rPr>
              <w:t>2）获得省级计量技术机构评价证书的，得</w:t>
            </w:r>
            <w:r>
              <w:rPr>
                <w:rFonts w:hint="eastAsia" w:ascii="宋体" w:hAnsi="宋体" w:cs="宋体"/>
                <w:szCs w:val="21"/>
                <w:lang w:val="en-US" w:eastAsia="zh-CN"/>
              </w:rPr>
              <w:t>2</w:t>
            </w:r>
            <w:r>
              <w:rPr>
                <w:rFonts w:hint="eastAsia" w:ascii="宋体" w:hAnsi="宋体" w:cs="宋体"/>
                <w:szCs w:val="21"/>
              </w:rPr>
              <w:t>分；</w:t>
            </w:r>
          </w:p>
          <w:p>
            <w:pPr>
              <w:adjustRightInd w:val="0"/>
              <w:snapToGrid w:val="0"/>
              <w:spacing w:line="320" w:lineRule="exact"/>
              <w:rPr>
                <w:rFonts w:ascii="宋体" w:hAnsi="宋体" w:cs="宋体"/>
                <w:szCs w:val="21"/>
              </w:rPr>
            </w:pPr>
            <w:r>
              <w:rPr>
                <w:rFonts w:hint="eastAsia" w:ascii="宋体" w:hAnsi="宋体" w:cs="宋体"/>
                <w:szCs w:val="21"/>
              </w:rPr>
              <w:t>3）获得市级计量技术机构评价证书的，得</w:t>
            </w:r>
            <w:r>
              <w:rPr>
                <w:rFonts w:hint="eastAsia" w:ascii="宋体" w:hAnsi="宋体" w:cs="宋体"/>
                <w:szCs w:val="21"/>
                <w:lang w:val="en-US" w:eastAsia="zh-CN"/>
              </w:rPr>
              <w:t>1</w:t>
            </w:r>
            <w:r>
              <w:rPr>
                <w:rFonts w:hint="eastAsia" w:ascii="宋体" w:hAnsi="宋体" w:cs="宋体"/>
                <w:szCs w:val="21"/>
              </w:rPr>
              <w:t>分；</w:t>
            </w:r>
          </w:p>
          <w:p>
            <w:pPr>
              <w:adjustRightInd w:val="0"/>
              <w:snapToGrid w:val="0"/>
              <w:spacing w:line="320" w:lineRule="exact"/>
              <w:rPr>
                <w:rFonts w:ascii="宋体" w:hAnsi="宋体" w:cs="宋体"/>
                <w:szCs w:val="21"/>
              </w:rPr>
            </w:pPr>
            <w:r>
              <w:rPr>
                <w:rFonts w:hint="eastAsia" w:ascii="宋体" w:hAnsi="宋体" w:cs="宋体"/>
                <w:szCs w:val="21"/>
              </w:rPr>
              <w:t>注：以上证书需加盖投标人公章，其他不得分，本项最高得</w:t>
            </w:r>
            <w:r>
              <w:rPr>
                <w:rFonts w:hint="eastAsia" w:ascii="宋体" w:hAnsi="宋体" w:cs="宋体"/>
                <w:szCs w:val="21"/>
                <w:lang w:val="en-US" w:eastAsia="zh-CN"/>
              </w:rPr>
              <w:t>3</w:t>
            </w:r>
            <w:r>
              <w:rPr>
                <w:rFonts w:hint="eastAsia" w:ascii="宋体" w:hAnsi="宋体" w:cs="宋体"/>
                <w:szCs w:val="21"/>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87" w:hRule="atLeast"/>
        </w:trPr>
        <w:tc>
          <w:tcPr>
            <w:tcW w:w="931" w:type="dxa"/>
            <w:vMerge w:val="continue"/>
            <w:tcBorders>
              <w:right w:val="single" w:color="auto" w:sz="4" w:space="0"/>
            </w:tcBorders>
            <w:noWrap/>
            <w:vAlign w:val="center"/>
          </w:tcPr>
          <w:p>
            <w:pPr>
              <w:spacing w:line="360" w:lineRule="exact"/>
              <w:jc w:val="center"/>
              <w:rPr>
                <w:rFonts w:hint="eastAsia"/>
                <w:szCs w:val="21"/>
              </w:rPr>
            </w:pPr>
          </w:p>
        </w:tc>
        <w:tc>
          <w:tcPr>
            <w:tcW w:w="1357" w:type="dxa"/>
            <w:tcBorders>
              <w:top w:val="single" w:color="auto" w:sz="4" w:space="0"/>
              <w:left w:val="single" w:color="auto" w:sz="4" w:space="0"/>
              <w:right w:val="single" w:color="auto" w:sz="4" w:space="0"/>
            </w:tcBorders>
            <w:noWrap/>
            <w:vAlign w:val="center"/>
          </w:tcPr>
          <w:p>
            <w:pPr>
              <w:snapToGrid w:val="0"/>
              <w:spacing w:line="400" w:lineRule="exact"/>
              <w:jc w:val="center"/>
              <w:rPr>
                <w:rFonts w:hint="eastAsia" w:ascii="Arial" w:hAnsi="Arial" w:eastAsia="宋体"/>
                <w:color w:val="auto"/>
                <w:szCs w:val="21"/>
                <w:highlight w:val="none"/>
                <w:lang w:val="en-US" w:eastAsia="zh-CN"/>
              </w:rPr>
            </w:pPr>
            <w:r>
              <w:rPr>
                <w:rFonts w:hint="eastAsia" w:ascii="Arial" w:hAnsi="Arial" w:eastAsia="宋体"/>
                <w:color w:val="auto"/>
                <w:szCs w:val="21"/>
                <w:highlight w:val="none"/>
              </w:rPr>
              <w:t>电子装置 （2分）</w:t>
            </w:r>
          </w:p>
        </w:tc>
        <w:tc>
          <w:tcPr>
            <w:tcW w:w="7151" w:type="dxa"/>
            <w:tcBorders>
              <w:top w:val="single" w:color="auto" w:sz="4" w:space="0"/>
              <w:left w:val="single" w:color="auto" w:sz="4" w:space="0"/>
              <w:bottom w:val="single" w:color="auto" w:sz="4" w:space="0"/>
              <w:right w:val="single" w:color="auto" w:sz="4" w:space="0"/>
            </w:tcBorders>
            <w:noWrap/>
            <w:vAlign w:val="center"/>
          </w:tcPr>
          <w:p>
            <w:pPr>
              <w:snapToGrid w:val="0"/>
              <w:spacing w:line="400" w:lineRule="exact"/>
              <w:jc w:val="left"/>
              <w:rPr>
                <w:rFonts w:hint="eastAsia" w:ascii="Arial" w:hAnsi="Arial" w:eastAsia="宋体"/>
                <w:color w:val="auto"/>
                <w:szCs w:val="21"/>
                <w:highlight w:val="none"/>
              </w:rPr>
            </w:pPr>
            <w:r>
              <w:rPr>
                <w:rFonts w:hint="eastAsia" w:ascii="Arial" w:hAnsi="Arial" w:eastAsia="宋体"/>
                <w:color w:val="auto"/>
                <w:szCs w:val="21"/>
                <w:highlight w:val="none"/>
              </w:rPr>
              <w:t>投标人所投的电子装置采用全灌胶并达到IP68防护等级得2分。</w:t>
            </w:r>
          </w:p>
          <w:p>
            <w:pPr>
              <w:snapToGrid w:val="0"/>
              <w:spacing w:line="400" w:lineRule="exact"/>
              <w:jc w:val="left"/>
              <w:rPr>
                <w:rFonts w:hint="eastAsia" w:ascii="Arial" w:hAnsi="Arial" w:eastAsia="宋体"/>
                <w:color w:val="auto"/>
                <w:szCs w:val="21"/>
                <w:highlight w:val="none"/>
                <w:lang w:val="en-US" w:eastAsia="zh-CN"/>
              </w:rPr>
            </w:pPr>
            <w:r>
              <w:rPr>
                <w:rFonts w:hint="eastAsia" w:ascii="Arial" w:hAnsi="Arial" w:eastAsia="宋体"/>
                <w:color w:val="auto"/>
                <w:szCs w:val="21"/>
                <w:highlight w:val="none"/>
              </w:rPr>
              <w:t>注：投标文件中提供有资质认证的计量测试部门的检测报告复印件并加盖公章，未提供或提供无效的不得分。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59" w:hRule="atLeast"/>
        </w:trPr>
        <w:tc>
          <w:tcPr>
            <w:tcW w:w="931" w:type="dxa"/>
            <w:vMerge w:val="continue"/>
            <w:tcBorders>
              <w:right w:val="single" w:color="auto" w:sz="4" w:space="0"/>
            </w:tcBorders>
            <w:noWrap/>
            <w:vAlign w:val="center"/>
          </w:tcPr>
          <w:p>
            <w:pPr>
              <w:spacing w:line="360" w:lineRule="exact"/>
              <w:jc w:val="center"/>
              <w:rPr>
                <w:szCs w:val="21"/>
              </w:rPr>
            </w:pPr>
          </w:p>
        </w:tc>
        <w:tc>
          <w:tcPr>
            <w:tcW w:w="1357" w:type="dxa"/>
            <w:tcBorders>
              <w:top w:val="single" w:color="auto" w:sz="4" w:space="0"/>
              <w:left w:val="single" w:color="auto" w:sz="4" w:space="0"/>
              <w:bottom w:val="single" w:color="auto" w:sz="4" w:space="0"/>
              <w:right w:val="single" w:color="auto" w:sz="4" w:space="0"/>
            </w:tcBorders>
            <w:noWrap/>
            <w:vAlign w:val="center"/>
          </w:tcPr>
          <w:p>
            <w:pPr>
              <w:spacing w:line="320" w:lineRule="exact"/>
              <w:jc w:val="center"/>
              <w:rPr>
                <w:rFonts w:ascii="宋体" w:hAnsi="宋体" w:cs="宋体"/>
                <w:szCs w:val="21"/>
              </w:rPr>
            </w:pPr>
            <w:r>
              <w:rPr>
                <w:rFonts w:hint="eastAsia" w:ascii="宋体" w:hAnsi="宋体" w:cs="宋体"/>
                <w:szCs w:val="21"/>
              </w:rPr>
              <w:t>售后服务（</w:t>
            </w:r>
            <w:r>
              <w:rPr>
                <w:rFonts w:hint="eastAsia" w:ascii="宋体" w:hAnsi="宋体" w:cs="宋体"/>
                <w:szCs w:val="21"/>
                <w:lang w:val="en-US" w:eastAsia="zh-CN"/>
              </w:rPr>
              <w:t>12</w:t>
            </w:r>
            <w:r>
              <w:rPr>
                <w:rFonts w:hint="eastAsia" w:ascii="宋体" w:hAnsi="宋体" w:cs="宋体"/>
                <w:szCs w:val="21"/>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rPr>
                <w:rFonts w:ascii="宋体" w:hAnsi="宋体" w:cs="宋体"/>
                <w:szCs w:val="21"/>
              </w:rPr>
            </w:pPr>
            <w:r>
              <w:rPr>
                <w:rFonts w:hint="eastAsia" w:ascii="宋体" w:hAnsi="宋体" w:cs="宋体"/>
                <w:szCs w:val="21"/>
              </w:rPr>
              <w:t>一、根据投标人提供的售后服务方案进行评分：</w:t>
            </w:r>
          </w:p>
          <w:p>
            <w:pPr>
              <w:adjustRightInd w:val="0"/>
              <w:snapToGrid w:val="0"/>
              <w:spacing w:line="320" w:lineRule="exact"/>
              <w:rPr>
                <w:rFonts w:ascii="宋体" w:hAnsi="宋体" w:cs="宋体"/>
                <w:szCs w:val="21"/>
              </w:rPr>
            </w:pPr>
            <w:r>
              <w:rPr>
                <w:rFonts w:hint="eastAsia" w:ascii="宋体" w:hAnsi="宋体" w:cs="宋体"/>
                <w:szCs w:val="21"/>
              </w:rPr>
              <w:t>1、售后服务方案完善，能够提供故障处理流程、维护保障流程及组织架构，有详细的售后服务方案、售后服务流程、应急预案、质量保障，总体方案优秀的，得</w:t>
            </w:r>
            <w:r>
              <w:rPr>
                <w:rFonts w:hint="eastAsia" w:ascii="宋体" w:hAnsi="宋体" w:cs="宋体"/>
                <w:szCs w:val="21"/>
                <w:lang w:val="en-US" w:eastAsia="zh-CN"/>
              </w:rPr>
              <w:t>9</w:t>
            </w:r>
            <w:r>
              <w:rPr>
                <w:rFonts w:hint="eastAsia" w:ascii="宋体" w:hAnsi="宋体" w:cs="宋体"/>
                <w:szCs w:val="21"/>
              </w:rPr>
              <w:t>分；</w:t>
            </w:r>
          </w:p>
          <w:p>
            <w:pPr>
              <w:adjustRightInd w:val="0"/>
              <w:snapToGrid w:val="0"/>
              <w:spacing w:line="320" w:lineRule="exact"/>
              <w:rPr>
                <w:rFonts w:ascii="宋体" w:hAnsi="宋体" w:cs="宋体"/>
                <w:szCs w:val="21"/>
              </w:rPr>
            </w:pPr>
            <w:r>
              <w:rPr>
                <w:rFonts w:hint="eastAsia" w:ascii="宋体" w:hAnsi="宋体" w:cs="宋体"/>
                <w:szCs w:val="21"/>
              </w:rPr>
              <w:t>2、售后服务方案能够提供故障处理流程、维护保障流程及组织架构，有较为详细的售后服务方案、售后服务流程、应急预案、质量保障，总体方案良好的，得</w:t>
            </w:r>
            <w:r>
              <w:rPr>
                <w:rFonts w:hint="eastAsia" w:ascii="宋体" w:hAnsi="宋体" w:cs="宋体"/>
                <w:szCs w:val="21"/>
                <w:lang w:val="en-US" w:eastAsia="zh-CN"/>
              </w:rPr>
              <w:t>6</w:t>
            </w:r>
            <w:r>
              <w:rPr>
                <w:rFonts w:hint="eastAsia" w:ascii="宋体" w:hAnsi="宋体" w:cs="宋体"/>
                <w:szCs w:val="21"/>
              </w:rPr>
              <w:t>分；</w:t>
            </w:r>
          </w:p>
          <w:p>
            <w:pPr>
              <w:adjustRightInd w:val="0"/>
              <w:snapToGrid w:val="0"/>
              <w:spacing w:line="320" w:lineRule="exact"/>
              <w:rPr>
                <w:rFonts w:ascii="宋体" w:hAnsi="宋体" w:cs="宋体"/>
                <w:szCs w:val="21"/>
              </w:rPr>
            </w:pPr>
            <w:r>
              <w:rPr>
                <w:rFonts w:hint="eastAsia" w:ascii="宋体" w:hAnsi="宋体" w:cs="宋体"/>
                <w:szCs w:val="21"/>
              </w:rPr>
              <w:t>3、基本满足售后服务方案要求，售后维护服务不够详细，总体方案一般的，得</w:t>
            </w:r>
            <w:r>
              <w:rPr>
                <w:rFonts w:hint="eastAsia" w:ascii="宋体" w:hAnsi="宋体" w:cs="宋体"/>
                <w:szCs w:val="21"/>
                <w:lang w:val="en-US" w:eastAsia="zh-CN"/>
              </w:rPr>
              <w:t>3</w:t>
            </w:r>
            <w:r>
              <w:rPr>
                <w:rFonts w:hint="eastAsia" w:ascii="宋体" w:hAnsi="宋体" w:cs="宋体"/>
                <w:szCs w:val="21"/>
              </w:rPr>
              <w:t>分；</w:t>
            </w:r>
          </w:p>
          <w:p>
            <w:pPr>
              <w:spacing w:line="320" w:lineRule="exact"/>
              <w:rPr>
                <w:rFonts w:ascii="宋体" w:hAnsi="宋体" w:cs="宋体"/>
                <w:szCs w:val="21"/>
              </w:rPr>
            </w:pPr>
            <w:r>
              <w:rPr>
                <w:rFonts w:hint="eastAsia" w:ascii="宋体" w:hAnsi="宋体" w:cs="宋体"/>
                <w:szCs w:val="21"/>
              </w:rPr>
              <w:t>二、服务评级认证：</w:t>
            </w:r>
          </w:p>
          <w:p>
            <w:pPr>
              <w:adjustRightInd w:val="0"/>
              <w:snapToGrid w:val="0"/>
              <w:spacing w:line="320" w:lineRule="exact"/>
              <w:jc w:val="left"/>
              <w:rPr>
                <w:rFonts w:ascii="宋体" w:hAnsi="宋体" w:cs="宋体"/>
                <w:szCs w:val="21"/>
              </w:rPr>
            </w:pPr>
            <w:r>
              <w:rPr>
                <w:rFonts w:hint="eastAsia" w:ascii="宋体" w:hAnsi="宋体" w:cs="宋体"/>
                <w:szCs w:val="21"/>
              </w:rPr>
              <w:t>制造商获得5星级商品服务认证证书（需涵盖本次拟投的水表规格）得</w:t>
            </w:r>
            <w:r>
              <w:rPr>
                <w:rFonts w:hint="eastAsia" w:ascii="宋体" w:hAnsi="宋体" w:cs="宋体"/>
                <w:szCs w:val="21"/>
                <w:lang w:val="en-US" w:eastAsia="zh-CN"/>
              </w:rPr>
              <w:t>3</w:t>
            </w:r>
            <w:r>
              <w:rPr>
                <w:rFonts w:hint="eastAsia" w:ascii="宋体" w:hAnsi="宋体" w:cs="宋体"/>
                <w:szCs w:val="21"/>
              </w:rPr>
              <w:t>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90" w:hRule="atLeast"/>
        </w:trPr>
        <w:tc>
          <w:tcPr>
            <w:tcW w:w="931" w:type="dxa"/>
            <w:vMerge w:val="continue"/>
            <w:tcBorders>
              <w:right w:val="single" w:color="auto" w:sz="4" w:space="0"/>
            </w:tcBorders>
            <w:noWrap/>
            <w:vAlign w:val="center"/>
          </w:tcPr>
          <w:p>
            <w:pPr>
              <w:spacing w:line="360" w:lineRule="exact"/>
              <w:jc w:val="center"/>
              <w:rPr>
                <w:szCs w:val="21"/>
              </w:rPr>
            </w:pPr>
          </w:p>
        </w:tc>
        <w:tc>
          <w:tcPr>
            <w:tcW w:w="1357" w:type="dxa"/>
            <w:tcBorders>
              <w:top w:val="single" w:color="auto" w:sz="4" w:space="0"/>
              <w:left w:val="single" w:color="auto" w:sz="4" w:space="0"/>
              <w:bottom w:val="single" w:color="auto" w:sz="4" w:space="0"/>
              <w:right w:val="single" w:color="auto" w:sz="4" w:space="0"/>
            </w:tcBorders>
            <w:noWrap/>
            <w:vAlign w:val="center"/>
          </w:tcPr>
          <w:p>
            <w:pPr>
              <w:spacing w:line="320" w:lineRule="exact"/>
              <w:jc w:val="center"/>
              <w:rPr>
                <w:rFonts w:ascii="宋体" w:hAnsi="宋体" w:cs="宋体"/>
                <w:szCs w:val="21"/>
              </w:rPr>
            </w:pPr>
            <w:r>
              <w:rPr>
                <w:rFonts w:hint="eastAsia" w:ascii="宋体" w:hAnsi="宋体" w:cs="宋体"/>
                <w:szCs w:val="21"/>
              </w:rPr>
              <w:t>服务便捷性（</w:t>
            </w:r>
            <w:r>
              <w:rPr>
                <w:rFonts w:hint="eastAsia" w:ascii="宋体" w:hAnsi="宋体" w:cs="宋体"/>
                <w:szCs w:val="21"/>
                <w:lang w:val="en-US" w:eastAsia="zh-CN"/>
              </w:rPr>
              <w:t>2</w:t>
            </w:r>
            <w:r>
              <w:rPr>
                <w:rFonts w:hint="eastAsia" w:ascii="宋体" w:hAnsi="宋体" w:cs="宋体"/>
                <w:szCs w:val="21"/>
              </w:rPr>
              <w:t>分）</w:t>
            </w:r>
          </w:p>
        </w:tc>
        <w:tc>
          <w:tcPr>
            <w:tcW w:w="7151" w:type="dxa"/>
            <w:tcBorders>
              <w:top w:val="single" w:color="auto" w:sz="4" w:space="0"/>
              <w:left w:val="single" w:color="auto" w:sz="4" w:space="0"/>
              <w:bottom w:val="single" w:color="auto" w:sz="4" w:space="0"/>
              <w:right w:val="single" w:color="auto" w:sz="4" w:space="0"/>
            </w:tcBorders>
            <w:noWrap/>
            <w:vAlign w:val="center"/>
          </w:tcPr>
          <w:p>
            <w:pPr>
              <w:adjustRightInd w:val="0"/>
              <w:snapToGrid w:val="0"/>
              <w:spacing w:line="320" w:lineRule="exact"/>
              <w:jc w:val="left"/>
              <w:rPr>
                <w:rFonts w:ascii="宋体" w:hAnsi="宋体" w:cs="宋体"/>
                <w:szCs w:val="21"/>
              </w:rPr>
            </w:pPr>
            <w:r>
              <w:rPr>
                <w:rFonts w:hint="eastAsia" w:ascii="宋体" w:hAnsi="宋体" w:cs="宋体"/>
                <w:szCs w:val="21"/>
              </w:rPr>
              <w:t>由评委对投标人</w:t>
            </w:r>
            <w:r>
              <w:rPr>
                <w:rFonts w:hint="eastAsia" w:ascii="宋体" w:hAnsi="宋体" w:cs="宋体"/>
                <w:szCs w:val="21"/>
                <w:lang w:val="zh-CN"/>
              </w:rPr>
              <w:t>提供的服务</w:t>
            </w:r>
            <w:r>
              <w:rPr>
                <w:rFonts w:hint="eastAsia" w:ascii="宋体" w:hAnsi="宋体" w:cs="宋体"/>
                <w:szCs w:val="21"/>
              </w:rPr>
              <w:t>响应速度、时间的可行性</w:t>
            </w:r>
            <w:r>
              <w:rPr>
                <w:rFonts w:hint="eastAsia" w:ascii="宋体" w:hAnsi="宋体" w:cs="宋体"/>
                <w:szCs w:val="21"/>
                <w:lang w:val="zh-CN"/>
              </w:rPr>
              <w:t>进行综合评议，</w:t>
            </w:r>
            <w:r>
              <w:rPr>
                <w:rFonts w:hint="eastAsia" w:ascii="宋体" w:hAnsi="宋体" w:cs="宋体"/>
                <w:szCs w:val="21"/>
              </w:rPr>
              <w:t>满分</w:t>
            </w:r>
            <w:r>
              <w:rPr>
                <w:rFonts w:hint="eastAsia" w:ascii="宋体" w:hAnsi="宋体" w:cs="宋体"/>
                <w:szCs w:val="21"/>
                <w:lang w:val="en-US" w:eastAsia="zh-CN"/>
              </w:rPr>
              <w:t>2</w:t>
            </w:r>
            <w:r>
              <w:rPr>
                <w:rFonts w:hint="eastAsia" w:ascii="宋体" w:hAnsi="宋体" w:cs="宋体"/>
                <w:szCs w:val="21"/>
              </w:rPr>
              <w:t>分。</w:t>
            </w:r>
          </w:p>
        </w:tc>
      </w:tr>
    </w:tbl>
    <w:p>
      <w:pPr>
        <w:pStyle w:val="35"/>
        <w:rPr>
          <w:rFonts w:hint="eastAsia"/>
        </w:rPr>
      </w:pPr>
    </w:p>
    <w:p>
      <w:pPr>
        <w:pStyle w:val="7"/>
        <w:ind w:firstLine="0" w:firstLineChars="0"/>
        <w:rPr>
          <w:rFonts w:hint="eastAsia" w:ascii="仿宋" w:hAnsi="仿宋" w:eastAsia="仿宋" w:cs="仿宋"/>
          <w:sz w:val="24"/>
        </w:rPr>
      </w:pPr>
      <w:r>
        <w:rPr>
          <w:rFonts w:hint="eastAsia" w:ascii="仿宋" w:hAnsi="仿宋" w:eastAsia="仿宋" w:cs="仿宋"/>
          <w:bCs/>
          <w:kern w:val="0"/>
          <w:sz w:val="24"/>
        </w:rPr>
        <w:t>注：在对评标专家的评分进行计算时，最后得分为各专家打分平均值。</w:t>
      </w:r>
    </w:p>
    <w:p>
      <w:pPr>
        <w:rPr>
          <w:rFonts w:hint="eastAsia" w:ascii="仿宋" w:hAnsi="仿宋" w:eastAsia="仿宋" w:cs="仿宋"/>
          <w:b/>
          <w:sz w:val="24"/>
          <w:lang w:bidi="ar"/>
        </w:rPr>
      </w:pPr>
    </w:p>
    <w:p>
      <w:pPr>
        <w:rPr>
          <w:rFonts w:hint="eastAsia" w:ascii="仿宋" w:hAnsi="仿宋" w:eastAsia="仿宋" w:cs="仿宋"/>
          <w:b/>
          <w:sz w:val="24"/>
          <w:lang w:bidi="ar"/>
        </w:rPr>
      </w:pPr>
    </w:p>
    <w:p>
      <w:pPr>
        <w:rPr>
          <w:rFonts w:hint="eastAsia" w:ascii="仿宋" w:hAnsi="仿宋" w:eastAsia="仿宋" w:cs="仿宋"/>
          <w:b/>
          <w:sz w:val="24"/>
        </w:rPr>
      </w:pPr>
      <w:r>
        <w:rPr>
          <w:rFonts w:hint="eastAsia" w:ascii="仿宋" w:hAnsi="仿宋" w:eastAsia="仿宋" w:cs="仿宋"/>
          <w:b/>
          <w:sz w:val="24"/>
          <w:lang w:bidi="ar"/>
        </w:rPr>
        <w:t>价格得分</w:t>
      </w:r>
      <w:r>
        <w:rPr>
          <w:rFonts w:hint="eastAsia" w:ascii="仿宋" w:hAnsi="仿宋" w:eastAsia="仿宋" w:cs="仿宋"/>
          <w:b/>
          <w:sz w:val="24"/>
          <w:lang w:val="en-US" w:eastAsia="zh-CN" w:bidi="ar"/>
        </w:rPr>
        <w:t>40</w:t>
      </w:r>
      <w:r>
        <w:rPr>
          <w:rFonts w:hint="eastAsia" w:ascii="仿宋" w:hAnsi="仿宋" w:eastAsia="仿宋" w:cs="仿宋"/>
          <w:b/>
          <w:sz w:val="24"/>
          <w:lang w:bidi="ar"/>
        </w:rPr>
        <w:t>分</w:t>
      </w:r>
    </w:p>
    <w:tbl>
      <w:tblPr>
        <w:tblStyle w:val="23"/>
        <w:tblW w:w="98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108" w:type="dxa"/>
          <w:bottom w:w="0" w:type="dxa"/>
          <w:right w:w="108" w:type="dxa"/>
        </w:tblCellMar>
      </w:tblPr>
      <w:tblGrid>
        <w:gridCol w:w="1458"/>
        <w:gridCol w:w="1214"/>
        <w:gridCol w:w="72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90" w:hRule="atLeast"/>
          <w:tblHeader/>
          <w:jc w:val="center"/>
        </w:trPr>
        <w:tc>
          <w:tcPr>
            <w:tcW w:w="1458"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widowControl/>
              <w:jc w:val="center"/>
              <w:rPr>
                <w:rFonts w:hint="eastAsia" w:ascii="仿宋" w:hAnsi="仿宋" w:eastAsia="仿宋" w:cs="仿宋"/>
                <w:kern w:val="0"/>
                <w:sz w:val="22"/>
                <w:szCs w:val="18"/>
              </w:rPr>
            </w:pPr>
            <w:r>
              <w:rPr>
                <w:rFonts w:hint="eastAsia" w:ascii="仿宋" w:hAnsi="仿宋" w:eastAsia="仿宋" w:cs="仿宋"/>
                <w:b/>
                <w:sz w:val="22"/>
                <w:szCs w:val="18"/>
                <w:lang w:bidi="ar"/>
              </w:rPr>
              <w:t>评审内容</w:t>
            </w:r>
          </w:p>
        </w:tc>
        <w:tc>
          <w:tcPr>
            <w:tcW w:w="1214"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widowControl/>
              <w:jc w:val="center"/>
              <w:rPr>
                <w:rFonts w:hint="eastAsia" w:ascii="仿宋" w:hAnsi="仿宋" w:eastAsia="仿宋" w:cs="仿宋"/>
                <w:b/>
                <w:sz w:val="22"/>
                <w:szCs w:val="18"/>
              </w:rPr>
            </w:pPr>
            <w:r>
              <w:rPr>
                <w:rFonts w:hint="eastAsia" w:ascii="仿宋" w:hAnsi="仿宋" w:eastAsia="仿宋" w:cs="仿宋"/>
                <w:b/>
                <w:sz w:val="22"/>
                <w:szCs w:val="18"/>
                <w:lang w:bidi="ar"/>
              </w:rPr>
              <w:t>最高分值</w:t>
            </w:r>
          </w:p>
        </w:tc>
        <w:tc>
          <w:tcPr>
            <w:tcW w:w="7217"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spacing w:after="50" w:line="340" w:lineRule="exact"/>
              <w:jc w:val="center"/>
              <w:rPr>
                <w:rFonts w:hint="eastAsia" w:ascii="仿宋" w:hAnsi="仿宋" w:eastAsia="仿宋" w:cs="仿宋"/>
                <w:kern w:val="0"/>
                <w:sz w:val="22"/>
                <w:szCs w:val="18"/>
              </w:rPr>
            </w:pPr>
            <w:r>
              <w:rPr>
                <w:rFonts w:hint="eastAsia" w:ascii="仿宋" w:hAnsi="仿宋" w:eastAsia="仿宋" w:cs="仿宋"/>
                <w:b/>
                <w:sz w:val="22"/>
                <w:szCs w:val="18"/>
                <w:lang w:bidi="ar"/>
              </w:rPr>
              <w:t>评分依据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108" w:type="dxa"/>
            <w:bottom w:w="0" w:type="dxa"/>
            <w:right w:w="108" w:type="dxa"/>
          </w:tblCellMar>
        </w:tblPrEx>
        <w:trPr>
          <w:trHeight w:val="2520" w:hRule="atLeast"/>
          <w:jc w:val="center"/>
        </w:trPr>
        <w:tc>
          <w:tcPr>
            <w:tcW w:w="1458"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7"/>
              <w:ind w:firstLine="0" w:firstLineChars="0"/>
              <w:jc w:val="left"/>
              <w:rPr>
                <w:rFonts w:hint="eastAsia" w:ascii="仿宋" w:hAnsi="仿宋" w:eastAsia="仿宋" w:cs="仿宋"/>
              </w:rPr>
            </w:pPr>
            <w:r>
              <w:rPr>
                <w:rFonts w:hint="eastAsia" w:ascii="仿宋" w:hAnsi="仿宋" w:eastAsia="仿宋" w:cs="仿宋"/>
              </w:rPr>
              <w:t>价格部分</w:t>
            </w:r>
          </w:p>
          <w:p>
            <w:pPr>
              <w:pStyle w:val="7"/>
              <w:ind w:firstLine="0" w:firstLineChars="0"/>
              <w:jc w:val="left"/>
              <w:rPr>
                <w:rFonts w:hint="default" w:ascii="仿宋" w:hAnsi="仿宋" w:eastAsia="仿宋" w:cs="仿宋"/>
                <w:lang w:val="en-US" w:eastAsia="zh-CN"/>
              </w:rPr>
            </w:pPr>
            <w:r>
              <w:rPr>
                <w:rFonts w:hint="eastAsia" w:ascii="仿宋" w:hAnsi="仿宋" w:eastAsia="仿宋" w:cs="仿宋"/>
                <w:lang w:val="en-US" w:eastAsia="zh-CN"/>
              </w:rPr>
              <w:t>（40分）</w:t>
            </w:r>
          </w:p>
        </w:tc>
        <w:tc>
          <w:tcPr>
            <w:tcW w:w="1214"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7"/>
              <w:ind w:firstLine="0" w:firstLineChars="0"/>
              <w:jc w:val="left"/>
              <w:rPr>
                <w:rFonts w:hint="default" w:ascii="仿宋" w:hAnsi="仿宋" w:eastAsia="仿宋" w:cs="仿宋"/>
                <w:lang w:val="en-US" w:eastAsia="zh-CN"/>
              </w:rPr>
            </w:pPr>
            <w:r>
              <w:rPr>
                <w:rFonts w:hint="eastAsia" w:ascii="仿宋" w:hAnsi="仿宋" w:eastAsia="仿宋" w:cs="仿宋"/>
                <w:lang w:val="en-US" w:eastAsia="zh-CN"/>
              </w:rPr>
              <w:t>40</w:t>
            </w:r>
          </w:p>
        </w:tc>
        <w:tc>
          <w:tcPr>
            <w:tcW w:w="7217" w:type="dxa"/>
            <w:tcBorders>
              <w:top w:val="single" w:color="auto" w:sz="4" w:space="0"/>
              <w:left w:val="single" w:color="auto" w:sz="4" w:space="0"/>
              <w:bottom w:val="single" w:color="auto" w:sz="4" w:space="0"/>
              <w:right w:val="single" w:color="auto" w:sz="4" w:space="0"/>
            </w:tcBorders>
            <w:shd w:val="clear" w:color="auto" w:fill="FFFFFF"/>
            <w:noWrap w:val="0"/>
            <w:vAlign w:val="center"/>
          </w:tcPr>
          <w:p>
            <w:pPr>
              <w:pStyle w:val="7"/>
              <w:ind w:firstLine="0" w:firstLineChars="0"/>
              <w:jc w:val="left"/>
              <w:rPr>
                <w:rFonts w:hint="eastAsia"/>
              </w:rPr>
            </w:pPr>
            <w:r>
              <w:rPr>
                <w:rFonts w:hint="eastAsia"/>
              </w:rPr>
              <w:t>满足采购文件要求且最终报价最低的报价为评标基准价，其价格分为满分</w:t>
            </w:r>
            <w:r>
              <w:rPr>
                <w:rFonts w:hint="eastAsia"/>
                <w:lang w:val="en-US" w:eastAsia="zh-CN"/>
              </w:rPr>
              <w:t>40</w:t>
            </w:r>
            <w:r>
              <w:rPr>
                <w:rFonts w:hint="eastAsia"/>
              </w:rPr>
              <w:t>分，其他供应商的价格得分按照下列公式计算：报价得分=（评标基准价/最终报价）×</w:t>
            </w:r>
            <w:r>
              <w:rPr>
                <w:rFonts w:hint="eastAsia"/>
                <w:lang w:val="en-US" w:eastAsia="zh-CN"/>
              </w:rPr>
              <w:t>40</w:t>
            </w:r>
            <w:r>
              <w:rPr>
                <w:rFonts w:hint="eastAsia"/>
              </w:rPr>
              <w:t>%×100，报价高于</w:t>
            </w:r>
            <w:r>
              <w:rPr>
                <w:rFonts w:hint="eastAsia"/>
                <w:lang w:eastAsia="zh-CN"/>
              </w:rPr>
              <w:t>最高限</w:t>
            </w:r>
            <w:r>
              <w:rPr>
                <w:rFonts w:hint="eastAsia"/>
              </w:rPr>
              <w:t>价的，按无效报价处理。计算分值时，百分比按四舍五入原则，保留小数点后二位数）</w:t>
            </w:r>
          </w:p>
          <w:p>
            <w:pPr>
              <w:rPr>
                <w:rFonts w:hint="eastAsia"/>
                <w:lang w:val="en-US" w:eastAsia="zh-CN"/>
              </w:rPr>
            </w:pPr>
            <w:r>
              <w:rPr>
                <w:rFonts w:hint="eastAsia"/>
                <w:lang w:val="en-US" w:eastAsia="zh-CN"/>
              </w:rPr>
              <w:t>本项目为专门面向中小企业采购项目。</w:t>
            </w:r>
          </w:p>
          <w:p>
            <w:pPr>
              <w:rPr>
                <w:rFonts w:hint="eastAsia"/>
              </w:rPr>
            </w:pPr>
            <w:r>
              <w:rPr>
                <w:rFonts w:hint="eastAsia"/>
                <w:lang w:val="en-US" w:eastAsia="zh-CN"/>
              </w:rPr>
              <w:t>①</w:t>
            </w:r>
            <w:r>
              <w:rPr>
                <w:rFonts w:hint="eastAsia"/>
              </w:rPr>
              <w:t>对小型和微型企业产品的价格给予10%的扣除，用扣除后的价格参与评审。参加投标的中小企业，应当按照《政府采购促进中小企业发展管理办法》（财库﹝2020﹞46 号）的规定提供《中小企业声明函》（货物/服务）（中小企业划型标准详见《关于印发中小企业划型标准规定的通知》工信部联企业〔2011〕300号）</w:t>
            </w:r>
            <w:r>
              <w:rPr>
                <w:rFonts w:hint="eastAsia"/>
                <w:lang w:val="en-US" w:eastAsia="zh-CN"/>
              </w:rPr>
              <w:t>和国家统计局关于印发《统计上大中小微型企业划分办法 (2017) 》</w:t>
            </w:r>
            <w:r>
              <w:rPr>
                <w:rFonts w:hint="eastAsia"/>
              </w:rPr>
              <w:t>。</w:t>
            </w:r>
          </w:p>
          <w:p>
            <w:pPr>
              <w:rPr>
                <w:rFonts w:hint="eastAsia"/>
              </w:rPr>
            </w:pPr>
            <w:r>
              <w:rPr>
                <w:rFonts w:hint="eastAsia"/>
              </w:rPr>
              <w:t>②监狱企业视同小型、微型企业，对其产品价格给予10%的扣除，用扣除后的价格参与评审。参加投标的监狱企业，应当按照《关于政府采购支持监狱企业发展有关问题的通知》（财库[2014]68号）的规定提供由省级以上监狱管理局、戒毒管理局(含新疆生产建设兵团)出具的属于监狱企业的证明文件复印件。</w:t>
            </w:r>
          </w:p>
          <w:p>
            <w:pPr>
              <w:rPr>
                <w:rFonts w:hint="eastAsia"/>
              </w:rPr>
            </w:pPr>
            <w:r>
              <w:rPr>
                <w:rFonts w:hint="eastAsia"/>
              </w:rPr>
              <w:t>③残疾人福利性单位视同小型、微型企业，对其产品价格给予10%的扣除，用扣除后的价格参与评审。参加投标的残疾人福利性单位，应当按照《财政部、民政部、中国残疾人联合会关于促进残疾人就业政府采购政策的通知》（财库〔2017〕141号）的规定提供《残疾人福利性单位声明函》。</w:t>
            </w:r>
          </w:p>
          <w:p>
            <w:pPr>
              <w:rPr>
                <w:rFonts w:hint="default"/>
                <w:lang w:val="en-US" w:eastAsia="zh-CN"/>
              </w:rPr>
            </w:pPr>
            <w:r>
              <w:rPr>
                <w:rFonts w:hint="eastAsia"/>
              </w:rPr>
              <w:t>同一投标人，上述三项价格扣除优惠不得重复享受。</w:t>
            </w:r>
          </w:p>
        </w:tc>
      </w:tr>
    </w:tbl>
    <w:p>
      <w:pPr>
        <w:numPr>
          <w:ilvl w:val="0"/>
          <w:numId w:val="7"/>
        </w:numPr>
        <w:jc w:val="center"/>
        <w:rPr>
          <w:rFonts w:hint="eastAsia"/>
          <w:b/>
          <w:bCs/>
          <w:color w:val="auto"/>
          <w:sz w:val="36"/>
          <w:szCs w:val="36"/>
          <w:lang w:eastAsia="zh-CN"/>
        </w:rPr>
        <w:sectPr>
          <w:headerReference r:id="rId8" w:type="default"/>
          <w:footerReference r:id="rId9" w:type="default"/>
          <w:pgSz w:w="11907" w:h="16840"/>
          <w:pgMar w:top="1440" w:right="1247" w:bottom="1361" w:left="1247" w:header="851" w:footer="850" w:gutter="0"/>
          <w:pgBorders>
            <w:top w:val="none" w:sz="0" w:space="0"/>
            <w:left w:val="none" w:sz="0" w:space="0"/>
            <w:bottom w:val="none" w:sz="0" w:space="0"/>
            <w:right w:val="none" w:sz="0" w:space="0"/>
          </w:pgBorders>
          <w:pgNumType w:fmt="decimal"/>
          <w:cols w:space="720" w:num="1"/>
          <w:rtlGutter w:val="0"/>
          <w:docGrid w:linePitch="462" w:charSpace="0"/>
        </w:sectPr>
      </w:pPr>
    </w:p>
    <w:p>
      <w:pPr>
        <w:numPr>
          <w:ilvl w:val="0"/>
          <w:numId w:val="7"/>
        </w:numPr>
        <w:jc w:val="center"/>
        <w:rPr>
          <w:rFonts w:hint="eastAsia"/>
          <w:b/>
          <w:bCs/>
          <w:color w:val="auto"/>
          <w:sz w:val="36"/>
          <w:szCs w:val="36"/>
          <w:lang w:eastAsia="zh-CN"/>
        </w:rPr>
      </w:pPr>
      <w:r>
        <w:rPr>
          <w:rFonts w:hint="eastAsia" w:ascii="宋体" w:hAnsi="宋体" w:cs="宋体"/>
          <w:b/>
          <w:bCs/>
          <w:color w:val="auto"/>
          <w:sz w:val="36"/>
        </w:rPr>
        <w:t xml:space="preserve"> </w:t>
      </w:r>
      <w:r>
        <w:rPr>
          <w:rFonts w:hint="eastAsia" w:ascii="宋体" w:hAnsi="宋体" w:cs="宋体"/>
          <w:b/>
          <w:bCs/>
          <w:color w:val="auto"/>
          <w:sz w:val="36"/>
          <w:lang w:val="en-US" w:eastAsia="zh-CN"/>
        </w:rPr>
        <w:t xml:space="preserve"> </w:t>
      </w:r>
      <w:r>
        <w:rPr>
          <w:rFonts w:hint="eastAsia"/>
          <w:b/>
          <w:bCs/>
          <w:color w:val="auto"/>
          <w:sz w:val="36"/>
          <w:szCs w:val="36"/>
          <w:lang w:eastAsia="zh-CN"/>
        </w:rPr>
        <w:t>招标产品名称、数量、规格参数</w:t>
      </w:r>
      <w:bookmarkEnd w:id="104"/>
      <w:bookmarkEnd w:id="105"/>
    </w:p>
    <w:p>
      <w:pPr>
        <w:pStyle w:val="67"/>
        <w:spacing w:line="360" w:lineRule="auto"/>
        <w:ind w:firstLine="643"/>
        <w:jc w:val="center"/>
        <w:rPr>
          <w:rFonts w:ascii="Times New Roman" w:hAnsi="Times New Roman" w:cs="Times New Roman"/>
          <w:b/>
          <w:sz w:val="32"/>
          <w:szCs w:val="32"/>
        </w:rPr>
      </w:pPr>
      <w:bookmarkStart w:id="106" w:name="_Toc17427"/>
      <w:bookmarkStart w:id="107" w:name="_Toc16750"/>
      <w:bookmarkStart w:id="108" w:name="_Toc28003"/>
      <w:bookmarkStart w:id="109" w:name="_Toc6212"/>
    </w:p>
    <w:p>
      <w:pPr>
        <w:numPr>
          <w:ilvl w:val="0"/>
          <w:numId w:val="8"/>
        </w:numPr>
        <w:snapToGrid w:val="0"/>
        <w:spacing w:line="360" w:lineRule="auto"/>
        <w:contextualSpacing/>
        <w:rPr>
          <w:rFonts w:ascii="Arial" w:hAnsi="Arial" w:eastAsia="宋体"/>
          <w:b/>
          <w:color w:val="auto"/>
          <w:szCs w:val="28"/>
          <w:highlight w:val="none"/>
        </w:rPr>
      </w:pPr>
      <w:r>
        <w:rPr>
          <w:rFonts w:ascii="Arial" w:hAnsi="Arial" w:eastAsia="宋体"/>
          <w:b/>
          <w:color w:val="auto"/>
          <w:szCs w:val="28"/>
          <w:highlight w:val="none"/>
        </w:rPr>
        <w:t>采购标的需实现的功能或者目标</w:t>
      </w:r>
    </w:p>
    <w:p>
      <w:pPr>
        <w:snapToGrid w:val="0"/>
        <w:spacing w:line="360" w:lineRule="auto"/>
        <w:ind w:firstLine="420" w:firstLineChars="0"/>
        <w:contextualSpacing/>
        <w:rPr>
          <w:rFonts w:hint="eastAsia" w:ascii="Arial" w:hAnsi="Arial" w:eastAsia="宋体"/>
          <w:b/>
          <w:color w:val="auto"/>
          <w:szCs w:val="28"/>
          <w:highlight w:val="none"/>
        </w:rPr>
      </w:pPr>
      <w:r>
        <w:rPr>
          <w:rFonts w:ascii="Arial" w:hAnsi="Arial" w:eastAsia="宋体"/>
          <w:color w:val="auto"/>
          <w:szCs w:val="21"/>
          <w:highlight w:val="none"/>
        </w:rPr>
        <w:t>供</w:t>
      </w:r>
      <w:r>
        <w:rPr>
          <w:rFonts w:hint="eastAsia" w:ascii="Arial" w:hAnsi="Arial" w:eastAsia="宋体"/>
          <w:color w:val="auto"/>
          <w:szCs w:val="21"/>
          <w:highlight w:val="none"/>
          <w:lang w:val="en-US" w:eastAsia="zh-CN"/>
        </w:rPr>
        <w:t>洛浦县</w:t>
      </w:r>
      <w:r>
        <w:rPr>
          <w:rFonts w:ascii="Arial" w:hAnsi="Arial" w:eastAsia="宋体"/>
          <w:color w:val="auto"/>
          <w:szCs w:val="21"/>
          <w:highlight w:val="none"/>
        </w:rPr>
        <w:t>用</w:t>
      </w:r>
      <w:r>
        <w:rPr>
          <w:rFonts w:hint="eastAsia" w:ascii="Arial" w:hAnsi="Arial" w:eastAsia="宋体"/>
          <w:color w:val="auto"/>
          <w:szCs w:val="21"/>
          <w:highlight w:val="none"/>
        </w:rPr>
        <w:t>。</w:t>
      </w:r>
    </w:p>
    <w:p>
      <w:pPr>
        <w:numPr>
          <w:ilvl w:val="0"/>
          <w:numId w:val="8"/>
        </w:numPr>
        <w:snapToGrid w:val="0"/>
        <w:spacing w:line="360" w:lineRule="auto"/>
        <w:contextualSpacing/>
        <w:rPr>
          <w:rFonts w:ascii="Arial" w:hAnsi="Arial" w:eastAsia="宋体"/>
          <w:b/>
          <w:color w:val="auto"/>
          <w:szCs w:val="28"/>
          <w:highlight w:val="none"/>
        </w:rPr>
      </w:pPr>
      <w:r>
        <w:rPr>
          <w:rFonts w:ascii="Arial" w:hAnsi="Arial" w:eastAsia="宋体"/>
          <w:b/>
          <w:color w:val="auto"/>
          <w:szCs w:val="28"/>
          <w:highlight w:val="none"/>
        </w:rPr>
        <w:t>采购标的需执行的国家相关标准、行业标准、地方标准或者其他标准规范</w:t>
      </w:r>
    </w:p>
    <w:p>
      <w:pPr>
        <w:snapToGrid w:val="0"/>
        <w:spacing w:line="360" w:lineRule="auto"/>
        <w:ind w:firstLine="420" w:firstLineChars="0"/>
        <w:contextualSpacing/>
        <w:rPr>
          <w:rFonts w:hint="eastAsia" w:ascii="Arial" w:hAnsi="Arial" w:eastAsia="宋体"/>
          <w:color w:val="auto"/>
          <w:szCs w:val="21"/>
          <w:highlight w:val="none"/>
        </w:rPr>
      </w:pPr>
      <w:r>
        <w:rPr>
          <w:rFonts w:ascii="Arial" w:hAnsi="Arial" w:eastAsia="宋体"/>
          <w:color w:val="auto"/>
          <w:szCs w:val="21"/>
          <w:highlight w:val="none"/>
        </w:rPr>
        <w:t>符合采购人认可的国家相关标准、行业标准、地方标准或者其他标准规范</w:t>
      </w:r>
      <w:r>
        <w:rPr>
          <w:rFonts w:hint="eastAsia" w:ascii="Arial" w:hAnsi="Arial" w:eastAsia="宋体"/>
          <w:color w:val="auto"/>
          <w:szCs w:val="21"/>
          <w:highlight w:val="none"/>
        </w:rPr>
        <w:t>。</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货物所有指标应符合以下国家或行业相关标准的最新版本：</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(1) GB/T778《饮用冷水水表和热水水表》</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(2) JJG162《冷水水表》</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(3) CJ/T224《电子远传水表》</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(4) CMA/WM778《小口径饮用水冷水表表壳技术规范》</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(5) JG/T162《住宅远传抄表系统》</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(6) JJG 162-2009《冷水水表检定规程》</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(7) CJ266-2008《饮用水冷水水表安全规则》</w:t>
      </w:r>
    </w:p>
    <w:p>
      <w:pPr>
        <w:pStyle w:val="5"/>
        <w:keepNext/>
        <w:keepLines/>
        <w:pageBreakBefore w:val="0"/>
        <w:widowControl w:val="0"/>
        <w:kinsoku/>
        <w:wordWrap/>
        <w:overflowPunct/>
        <w:topLinePunct w:val="0"/>
        <w:autoSpaceDE/>
        <w:autoSpaceDN/>
        <w:bidi w:val="0"/>
        <w:adjustRightInd w:val="0"/>
        <w:snapToGrid w:val="0"/>
        <w:spacing w:before="0" w:after="0" w:line="360" w:lineRule="auto"/>
        <w:ind w:firstLine="420" w:firstLineChars="0"/>
        <w:textAlignment w:val="baseline"/>
        <w:rPr>
          <w:rFonts w:hint="eastAsia" w:ascii="Arial" w:hAnsi="Arial" w:eastAsia="宋体"/>
          <w:color w:val="auto"/>
          <w:sz w:val="21"/>
          <w:szCs w:val="21"/>
          <w:highlight w:val="none"/>
        </w:rPr>
      </w:pPr>
      <w:r>
        <w:rPr>
          <w:rFonts w:hint="eastAsia" w:ascii="Arial" w:hAnsi="Arial" w:eastAsia="宋体"/>
          <w:color w:val="auto"/>
          <w:sz w:val="21"/>
          <w:szCs w:val="21"/>
          <w:highlight w:val="none"/>
        </w:rPr>
        <w:t>(8) GB/T 17219《生活饮用水输配水设备及防护材料的安全性评价标准》</w:t>
      </w:r>
    </w:p>
    <w:p>
      <w:pPr>
        <w:numPr>
          <w:ilvl w:val="0"/>
          <w:numId w:val="8"/>
        </w:numPr>
        <w:snapToGrid w:val="0"/>
        <w:spacing w:line="360" w:lineRule="auto"/>
        <w:contextualSpacing/>
        <w:rPr>
          <w:rFonts w:hint="eastAsia" w:ascii="Arial" w:hAnsi="Arial" w:eastAsia="宋体"/>
          <w:b/>
          <w:color w:val="auto"/>
          <w:szCs w:val="28"/>
          <w:highlight w:val="none"/>
        </w:rPr>
      </w:pPr>
      <w:r>
        <w:rPr>
          <w:rFonts w:hint="eastAsia" w:ascii="Arial" w:hAnsi="Arial" w:eastAsia="宋体"/>
          <w:b/>
          <w:color w:val="auto"/>
          <w:szCs w:val="28"/>
          <w:highlight w:val="none"/>
        </w:rPr>
        <w:t>采购标的需满足的质量、安全、技术规格、物理特性等要求及采购标的需满足的服务标准、期限、效率等要求</w:t>
      </w: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pPr>
    </w:p>
    <w:p>
      <w:pPr>
        <w:numPr>
          <w:ilvl w:val="0"/>
          <w:numId w:val="0"/>
        </w:numPr>
        <w:tabs>
          <w:tab w:val="left" w:pos="0"/>
        </w:tabs>
        <w:spacing w:line="360" w:lineRule="auto"/>
        <w:ind w:left="400" w:leftChars="0"/>
        <w:rPr>
          <w:rFonts w:hint="eastAsia" w:ascii="Arial" w:hAnsi="Arial" w:eastAsia="宋体"/>
          <w:b/>
          <w:bCs/>
          <w:color w:val="auto"/>
          <w:highlight w:val="none"/>
          <w:lang w:val="en-US" w:eastAsia="zh-CN"/>
        </w:rPr>
        <w:sectPr>
          <w:pgSz w:w="16840" w:h="11907" w:orient="landscape"/>
          <w:pgMar w:top="1247" w:right="1440" w:bottom="1247" w:left="1361" w:header="851" w:footer="850" w:gutter="0"/>
          <w:pgBorders>
            <w:top w:val="none" w:sz="0" w:space="0"/>
            <w:left w:val="none" w:sz="0" w:space="0"/>
            <w:bottom w:val="none" w:sz="0" w:space="0"/>
            <w:right w:val="none" w:sz="0" w:space="0"/>
          </w:pgBorders>
          <w:pgNumType w:fmt="decimal"/>
          <w:cols w:space="720" w:num="1"/>
          <w:rtlGutter w:val="0"/>
          <w:docGrid w:linePitch="462" w:charSpace="0"/>
        </w:sectPr>
      </w:pPr>
    </w:p>
    <w:p>
      <w:pPr>
        <w:numPr>
          <w:ilvl w:val="0"/>
          <w:numId w:val="0"/>
        </w:numPr>
        <w:tabs>
          <w:tab w:val="left" w:pos="0"/>
        </w:tabs>
        <w:spacing w:line="360" w:lineRule="auto"/>
        <w:ind w:left="400" w:leftChars="0"/>
        <w:rPr>
          <w:rFonts w:ascii="Arial" w:hAnsi="Arial" w:eastAsia="宋体"/>
          <w:b/>
          <w:bCs/>
          <w:color w:val="auto"/>
          <w:highlight w:val="none"/>
        </w:rPr>
      </w:pPr>
      <w:r>
        <w:rPr>
          <w:rFonts w:hint="eastAsia" w:ascii="Arial" w:hAnsi="Arial" w:eastAsia="宋体"/>
          <w:b/>
          <w:bCs/>
          <w:color w:val="auto"/>
          <w:highlight w:val="none"/>
          <w:lang w:val="en-US" w:eastAsia="zh-CN"/>
        </w:rPr>
        <w:t>3.1、</w:t>
      </w:r>
      <w:r>
        <w:rPr>
          <w:rFonts w:ascii="Arial" w:hAnsi="Arial" w:eastAsia="宋体"/>
          <w:b/>
          <w:bCs/>
          <w:color w:val="auto"/>
          <w:highlight w:val="none"/>
        </w:rPr>
        <w:t>货物清单</w:t>
      </w:r>
    </w:p>
    <w:p>
      <w:pPr>
        <w:pStyle w:val="21"/>
        <w:rPr>
          <w:rFonts w:hint="eastAsia"/>
          <w:lang w:eastAsia="zh-CN"/>
        </w:rPr>
      </w:pPr>
    </w:p>
    <w:bookmarkEnd w:id="106"/>
    <w:bookmarkEnd w:id="107"/>
    <w:bookmarkEnd w:id="108"/>
    <w:bookmarkEnd w:id="109"/>
    <w:p>
      <w:pPr>
        <w:numPr>
          <w:ilvl w:val="0"/>
          <w:numId w:val="0"/>
        </w:numPr>
        <w:snapToGrid w:val="0"/>
        <w:spacing w:line="360" w:lineRule="auto"/>
        <w:ind w:left="210" w:leftChars="0"/>
        <w:contextualSpacing/>
        <w:jc w:val="center"/>
        <w:rPr>
          <w:rFonts w:hint="eastAsia" w:ascii="宋体" w:hAnsi="宋体" w:eastAsia="宋体" w:cs="宋体"/>
          <w:b/>
          <w:sz w:val="30"/>
          <w:szCs w:val="30"/>
          <w:lang w:val="en-US" w:eastAsia="zh-CN"/>
        </w:rPr>
      </w:pPr>
      <w:r>
        <w:rPr>
          <w:rFonts w:hint="eastAsia" w:ascii="宋体" w:hAnsi="宋体" w:eastAsia="宋体" w:cs="宋体"/>
          <w:b/>
          <w:bCs/>
          <w:sz w:val="30"/>
          <w:szCs w:val="30"/>
          <w:lang w:val="en-US" w:eastAsia="zh-CN"/>
        </w:rPr>
        <w:t>和田地区洛浦县新城区供排水管网及附属配套建设项目 （智慧水务-计量设施）</w:t>
      </w:r>
      <w:r>
        <w:rPr>
          <w:rFonts w:hint="eastAsia" w:ascii="宋体" w:hAnsi="宋体" w:eastAsia="宋体" w:cs="宋体"/>
          <w:b/>
          <w:sz w:val="30"/>
          <w:szCs w:val="30"/>
          <w:lang w:val="en-US" w:eastAsia="zh-CN"/>
        </w:rPr>
        <w:t>采购清单</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257"/>
        <w:gridCol w:w="1535"/>
        <w:gridCol w:w="7650"/>
        <w:gridCol w:w="848"/>
        <w:gridCol w:w="841"/>
        <w:gridCol w:w="10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序号</w:t>
            </w:r>
          </w:p>
        </w:tc>
        <w:tc>
          <w:tcPr>
            <w:tcW w:w="1265"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设备名称</w:t>
            </w:r>
          </w:p>
        </w:tc>
        <w:tc>
          <w:tcPr>
            <w:tcW w:w="1536"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规格</w:t>
            </w:r>
          </w:p>
        </w:tc>
        <w:tc>
          <w:tcPr>
            <w:tcW w:w="7709"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技术参数</w:t>
            </w:r>
          </w:p>
        </w:tc>
        <w:tc>
          <w:tcPr>
            <w:tcW w:w="849"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数量</w:t>
            </w:r>
          </w:p>
        </w:tc>
        <w:tc>
          <w:tcPr>
            <w:tcW w:w="845"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单位</w:t>
            </w:r>
          </w:p>
        </w:tc>
        <w:tc>
          <w:tcPr>
            <w:tcW w:w="1100" w:type="dxa"/>
            <w:tcBorders>
              <w:bottom w:val="single" w:color="auto" w:sz="4" w:space="0"/>
            </w:tcBorders>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单价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255" w:type="dxa"/>
            <w:gridSpan w:val="7"/>
            <w:shd w:val="clear" w:color="auto" w:fill="FFCCCC"/>
            <w:vAlign w:val="center"/>
          </w:tcPr>
          <w:p>
            <w:pPr>
              <w:rPr>
                <w:rFonts w:ascii="仿宋" w:hAnsi="仿宋" w:eastAsia="仿宋"/>
                <w:kern w:val="0"/>
                <w:sz w:val="20"/>
              </w:rPr>
            </w:pPr>
            <w:r>
              <w:rPr>
                <w:rFonts w:hint="eastAsia" w:ascii="仿宋" w:hAnsi="仿宋" w:eastAsia="仿宋"/>
                <w:kern w:val="44"/>
                <w:sz w:val="21"/>
                <w:szCs w:val="21"/>
              </w:rPr>
              <w:t>一、计量设备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1</w:t>
            </w:r>
          </w:p>
        </w:tc>
        <w:tc>
          <w:tcPr>
            <w:tcW w:w="1265"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智能计量设备</w:t>
            </w:r>
          </w:p>
        </w:tc>
        <w:tc>
          <w:tcPr>
            <w:tcW w:w="1536"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DN15-DN25</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1、采用机电一体式设计，机械和电子双计量。采用稳定的双干簧管脉冲采样且不得影响机械指针读数，采用无线传输方式为NB-IoT传输。</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2、设备带有防尘盖，防止异物落入表盘影响人工抄读。电池仓、线路板仓均应为独立密封设计，线路板采用灌胶密封、舱体密封双重密封,确保防水性能。电池仓独立密封，位于侧面，更换电池方便，具有掉电关阀功能。按照每天上报一次的频率，应确保电池的工作寿命≥6年的要求。</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3、设备机芯材质为耐磨工程塑料材料。设备内所有涉水部件应符合国家规定，采用无毒、无污染、无生物活性的材料制造。设备表壳材料应为铜壳，接螺母和管接头材料应为铸造铅黄铜或不锈钢。设备具有应急开关阀按钮。</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4、使用工业级贴片SIM卡，保证产品在恶劣工况下可靠运行，禁止使用带触点的普通SIM卡。</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5、为保证阀门动作的可靠性，执行器须采用金属材质齿轮，禁止使用全塑料齿轮。产品应达到IP68的防护等级。</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7、温度等级为T30，准确度等级为2级最大允许工作压力1.0MPa，压力损失≤0.063MPa。示值误差：低区的最大允许误差为±5%，高区的最大允许误差为±2%（水温小于等于30℃时）。</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1、具备每天定时自动上传数据，自动冻结最近7天的整点用水量，并在每次自动上传时将数据发送给服务器。本次数据上报不成功时，可在下次数据上报时自动补齐本次数据，保证设备用水数据的连续性。</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2、具备设备表阀锈死检测功能，且可将故障状态上报给服务器。</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3、具有拔电池关阀功能，防止用户偷水。</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4、具备磁攻击关阀报警功能，当强磁铁靠近设备时，设备将自动关闭阀门。</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5、具备抗静电放电、电磁场辐射能力。</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6、具备多种报警，如磁攻击报警、阀门故障报警等。</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7、具备将电池电压、信号强度等信息上报给服务器，可在管理软件中查看到这些数据。</w:t>
            </w:r>
          </w:p>
        </w:tc>
        <w:tc>
          <w:tcPr>
            <w:tcW w:w="849" w:type="dxa"/>
            <w:vAlign w:val="center"/>
          </w:tcPr>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6100</w:t>
            </w:r>
          </w:p>
        </w:tc>
        <w:tc>
          <w:tcPr>
            <w:tcW w:w="845"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台</w:t>
            </w:r>
          </w:p>
        </w:tc>
        <w:tc>
          <w:tcPr>
            <w:tcW w:w="1100"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2</w:t>
            </w:r>
          </w:p>
        </w:tc>
        <w:tc>
          <w:tcPr>
            <w:tcW w:w="1265"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大用户智能计量设备</w:t>
            </w:r>
          </w:p>
        </w:tc>
        <w:tc>
          <w:tcPr>
            <w:tcW w:w="1536"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DN</w:t>
            </w:r>
            <w:r>
              <w:rPr>
                <w:rFonts w:ascii="仿宋" w:hAnsi="仿宋" w:eastAsia="仿宋"/>
                <w:kern w:val="44"/>
                <w:sz w:val="21"/>
                <w:szCs w:val="21"/>
              </w:rPr>
              <w:t>100</w:t>
            </w:r>
            <w:r>
              <w:rPr>
                <w:rFonts w:hint="eastAsia" w:ascii="仿宋" w:hAnsi="仿宋" w:eastAsia="仿宋"/>
                <w:kern w:val="44"/>
                <w:sz w:val="21"/>
                <w:szCs w:val="21"/>
              </w:rPr>
              <w:t>-DN200</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1．</w:t>
            </w:r>
            <w:r>
              <w:rPr>
                <w:rFonts w:ascii="仿宋" w:hAnsi="仿宋" w:eastAsia="仿宋"/>
                <w:kern w:val="44"/>
                <w:sz w:val="21"/>
                <w:szCs w:val="21"/>
              </w:rPr>
              <w:t>设备内所有接触水的零部件必须采用无毒、无污染、无生物活性的材料，符合GB/T 17219的要求。</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2．外壳不应有凹痕、划伤、裂纹、螺纹损伤等现象；</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3．设备表面涂镀层应均匀，不应有皱纹、留痕、针孔、起泡等缺陷；</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4．设备表示功能的文字符号和标志应清晰端正，接插件必须牢固可靠；</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5．设备必须有防护装置，封印后，在正确安装好之前和之后，如不破坏防护装置就不能拆开设备及调整装置。</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6．设备至数据采集器之间的连接电缆必须有钢制防护套。</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7．设备基表具备防盗功能，具体功能描述为在不破换防盗装置的情况下，无法打开设备外壳，防盗装置必须为一次性使用产品，无法重复使用。</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10．设备机芯为进口机芯（叶轮或数据显示盘），需提供进口机芯报关单验证。</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11．标记和铭牌</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应清楚、永久地在设备外壳、指示装置的度盘或铭牌、不可分离的设备表盖上，集中或分散标明以下信息：</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1）计量单位：立方米或m3</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2）准确度等级</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3）Q3,Q3/Q1，Q2/Q1的比值</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4）制造年月及编号</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5）流向</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1）数据采集器必须能采集当前设备的水量及状态信息，并进行储存，同时通过信道将数据传送到服务器。</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2）通过上位机系统软件，可对设备采样及传输次数进行设置，设备支持每小时采样水量次数（1-4）、每天传输次数（2-24）。</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电池使用寿命不低于6年（每天上传2次），期间因电池寿命原因造成的成本由投标人承担；数据采集器（电池供电）电量耗尽前1个月必须上报电量即将耗尽的报警信息，停电后能至少能维持2次上报停电信息的数据通讯。</w:t>
            </w:r>
          </w:p>
        </w:tc>
        <w:tc>
          <w:tcPr>
            <w:tcW w:w="849" w:type="dxa"/>
            <w:vAlign w:val="center"/>
          </w:tcPr>
          <w:p>
            <w:pPr>
              <w:rPr>
                <w:rFonts w:ascii="仿宋" w:hAnsi="仿宋" w:eastAsia="仿宋"/>
                <w:kern w:val="0"/>
                <w:sz w:val="20"/>
              </w:rPr>
            </w:pPr>
            <w:r>
              <w:rPr>
                <w:rFonts w:ascii="仿宋" w:hAnsi="仿宋" w:eastAsia="仿宋" w:cs="仿宋"/>
                <w:color w:val="000000"/>
                <w:kern w:val="0"/>
                <w:sz w:val="24"/>
                <w:szCs w:val="24"/>
                <w:lang w:bidi="ar"/>
              </w:rPr>
              <w:t>200</w:t>
            </w:r>
          </w:p>
        </w:tc>
        <w:tc>
          <w:tcPr>
            <w:tcW w:w="845" w:type="dxa"/>
            <w:vAlign w:val="center"/>
          </w:tcPr>
          <w:p>
            <w:pPr>
              <w:rPr>
                <w:rFonts w:ascii="仿宋" w:hAnsi="仿宋" w:eastAsia="仿宋"/>
                <w:kern w:val="0"/>
                <w:sz w:val="20"/>
              </w:rPr>
            </w:pPr>
            <w:r>
              <w:rPr>
                <w:rFonts w:hint="eastAsia" w:ascii="仿宋" w:hAnsi="仿宋" w:eastAsia="仿宋" w:cs="仿宋"/>
                <w:color w:val="000000"/>
                <w:kern w:val="0"/>
                <w:sz w:val="24"/>
                <w:szCs w:val="24"/>
                <w:lang w:bidi="ar"/>
              </w:rPr>
              <w:t>台</w:t>
            </w:r>
          </w:p>
        </w:tc>
        <w:tc>
          <w:tcPr>
            <w:tcW w:w="1100" w:type="dxa"/>
            <w:vAlign w:val="center"/>
          </w:tcPr>
          <w:p>
            <w:pPr>
              <w:rPr>
                <w:rFonts w:ascii="仿宋" w:hAnsi="仿宋" w:eastAsia="仿宋"/>
                <w:kern w:val="0"/>
                <w:sz w:val="20"/>
              </w:rPr>
            </w:pPr>
            <w:r>
              <w:rPr>
                <w:rFonts w:ascii="仿宋" w:hAnsi="仿宋" w:eastAsia="仿宋" w:cs="仿宋"/>
                <w:color w:val="000000"/>
                <w:kern w:val="0"/>
                <w:sz w:val="22"/>
                <w:szCs w:val="22"/>
                <w:lang w:bidi="ar"/>
              </w:rPr>
              <w:t>6500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rPr>
                <w:rFonts w:ascii="仿宋" w:hAnsi="仿宋" w:eastAsia="仿宋"/>
                <w:kern w:val="44"/>
                <w:sz w:val="21"/>
                <w:szCs w:val="21"/>
              </w:rPr>
            </w:pPr>
            <w:r>
              <w:rPr>
                <w:rFonts w:hint="eastAsia" w:ascii="仿宋" w:hAnsi="仿宋" w:eastAsia="仿宋"/>
                <w:kern w:val="44"/>
                <w:sz w:val="21"/>
                <w:szCs w:val="21"/>
              </w:rPr>
              <w:t>3</w:t>
            </w:r>
          </w:p>
        </w:tc>
        <w:tc>
          <w:tcPr>
            <w:tcW w:w="1265" w:type="dxa"/>
            <w:vAlign w:val="center"/>
          </w:tcPr>
          <w:p>
            <w:pPr>
              <w:rPr>
                <w:rFonts w:ascii="仿宋" w:hAnsi="仿宋" w:eastAsia="仿宋"/>
                <w:kern w:val="44"/>
                <w:sz w:val="21"/>
                <w:szCs w:val="21"/>
              </w:rPr>
            </w:pPr>
            <w:r>
              <w:rPr>
                <w:rFonts w:hint="eastAsia" w:ascii="仿宋" w:hAnsi="仿宋" w:eastAsia="仿宋"/>
                <w:kern w:val="44"/>
                <w:sz w:val="21"/>
                <w:szCs w:val="21"/>
              </w:rPr>
              <w:t>磁性锁闭球阀</w:t>
            </w:r>
          </w:p>
        </w:tc>
        <w:tc>
          <w:tcPr>
            <w:tcW w:w="1536" w:type="dxa"/>
            <w:vAlign w:val="center"/>
          </w:tcPr>
          <w:p>
            <w:pPr>
              <w:rPr>
                <w:rFonts w:ascii="仿宋" w:hAnsi="仿宋" w:eastAsia="仿宋"/>
                <w:kern w:val="44"/>
                <w:sz w:val="21"/>
                <w:szCs w:val="21"/>
              </w:rPr>
            </w:pPr>
            <w:r>
              <w:rPr>
                <w:rFonts w:hint="eastAsia" w:ascii="仿宋" w:hAnsi="仿宋" w:eastAsia="仿宋"/>
                <w:kern w:val="44"/>
                <w:sz w:val="21"/>
                <w:szCs w:val="21"/>
              </w:rPr>
              <w:t>DN15-DN25</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w:t>
            </w:r>
            <w:r>
              <w:rPr>
                <w:rFonts w:hint="eastAsia" w:ascii="仿宋" w:hAnsi="仿宋" w:eastAsia="仿宋"/>
                <w:kern w:val="44"/>
                <w:sz w:val="21"/>
                <w:szCs w:val="21"/>
              </w:rPr>
              <w:t>公称压力≤1</w:t>
            </w:r>
            <w:r>
              <w:rPr>
                <w:rFonts w:ascii="仿宋" w:hAnsi="仿宋" w:eastAsia="仿宋"/>
                <w:kern w:val="44"/>
                <w:sz w:val="21"/>
                <w:szCs w:val="21"/>
              </w:rPr>
              <w:t>.6MP</w:t>
            </w:r>
            <w:r>
              <w:rPr>
                <w:rFonts w:hint="eastAsia" w:ascii="仿宋" w:hAnsi="仿宋" w:eastAsia="仿宋"/>
                <w:kern w:val="44"/>
                <w:sz w:val="21"/>
                <w:szCs w:val="21"/>
              </w:rPr>
              <w:t>a</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w:t>
            </w:r>
            <w:r>
              <w:rPr>
                <w:rFonts w:hint="eastAsia" w:ascii="仿宋" w:hAnsi="仿宋" w:eastAsia="仿宋"/>
                <w:kern w:val="44"/>
                <w:sz w:val="21"/>
                <w:szCs w:val="21"/>
              </w:rPr>
              <w:t>黄铜材质</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w:t>
            </w:r>
            <w:r>
              <w:rPr>
                <w:rFonts w:hint="eastAsia" w:ascii="仿宋" w:hAnsi="仿宋" w:eastAsia="仿宋"/>
                <w:kern w:val="44"/>
                <w:sz w:val="21"/>
                <w:szCs w:val="21"/>
              </w:rPr>
              <w:t>螺纹标准符合I</w:t>
            </w:r>
            <w:r>
              <w:rPr>
                <w:rFonts w:ascii="仿宋" w:hAnsi="仿宋" w:eastAsia="仿宋"/>
                <w:kern w:val="44"/>
                <w:sz w:val="21"/>
                <w:szCs w:val="21"/>
              </w:rPr>
              <w:t>SO228</w:t>
            </w:r>
            <w:r>
              <w:rPr>
                <w:rFonts w:hint="eastAsia" w:ascii="仿宋" w:hAnsi="仿宋" w:eastAsia="仿宋"/>
                <w:kern w:val="44"/>
                <w:sz w:val="21"/>
                <w:szCs w:val="21"/>
              </w:rPr>
              <w:t>标准</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4.</w:t>
            </w:r>
            <w:r>
              <w:rPr>
                <w:rFonts w:hint="eastAsia" w:ascii="仿宋" w:hAnsi="仿宋" w:eastAsia="仿宋"/>
                <w:kern w:val="44"/>
                <w:sz w:val="21"/>
                <w:szCs w:val="21"/>
              </w:rPr>
              <w:t>工作温度：-</w:t>
            </w:r>
            <w:r>
              <w:rPr>
                <w:rFonts w:ascii="仿宋" w:hAnsi="仿宋" w:eastAsia="仿宋"/>
                <w:kern w:val="44"/>
                <w:sz w:val="21"/>
                <w:szCs w:val="21"/>
              </w:rPr>
              <w:t>20</w:t>
            </w:r>
            <w:r>
              <w:rPr>
                <w:rFonts w:hint="eastAsia" w:ascii="仿宋" w:hAnsi="仿宋" w:eastAsia="仿宋"/>
                <w:kern w:val="44"/>
                <w:sz w:val="21"/>
                <w:szCs w:val="21"/>
              </w:rPr>
              <w:t>℃≤T≤</w:t>
            </w:r>
            <w:r>
              <w:rPr>
                <w:rFonts w:ascii="仿宋" w:hAnsi="仿宋" w:eastAsia="仿宋"/>
                <w:kern w:val="44"/>
                <w:sz w:val="21"/>
                <w:szCs w:val="21"/>
              </w:rPr>
              <w:t>150</w:t>
            </w:r>
            <w:r>
              <w:rPr>
                <w:rFonts w:hint="eastAsia" w:ascii="仿宋" w:hAnsi="仿宋" w:eastAsia="仿宋"/>
                <w:kern w:val="44"/>
                <w:sz w:val="21"/>
                <w:szCs w:val="21"/>
              </w:rPr>
              <w:t>℃</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5.</w:t>
            </w:r>
            <w:r>
              <w:rPr>
                <w:rFonts w:hint="eastAsia" w:ascii="仿宋" w:hAnsi="仿宋" w:eastAsia="仿宋"/>
                <w:kern w:val="44"/>
                <w:sz w:val="21"/>
                <w:szCs w:val="21"/>
              </w:rPr>
              <w:t>钥匙配比最少1</w:t>
            </w:r>
            <w:r>
              <w:rPr>
                <w:rFonts w:ascii="仿宋" w:hAnsi="仿宋" w:eastAsia="仿宋"/>
                <w:kern w:val="44"/>
                <w:sz w:val="21"/>
                <w:szCs w:val="21"/>
              </w:rPr>
              <w:t>0</w:t>
            </w:r>
            <w:r>
              <w:rPr>
                <w:rFonts w:hint="eastAsia" w:ascii="仿宋" w:hAnsi="仿宋" w:eastAsia="仿宋"/>
                <w:kern w:val="44"/>
                <w:sz w:val="21"/>
                <w:szCs w:val="21"/>
              </w:rPr>
              <w:t>%</w:t>
            </w:r>
          </w:p>
        </w:tc>
        <w:tc>
          <w:tcPr>
            <w:tcW w:w="849" w:type="dxa"/>
            <w:vAlign w:val="center"/>
          </w:tcPr>
          <w:p>
            <w:pPr>
              <w:rPr>
                <w:rFonts w:ascii="仿宋" w:hAnsi="仿宋" w:eastAsia="仿宋"/>
                <w:kern w:val="44"/>
                <w:sz w:val="21"/>
                <w:szCs w:val="21"/>
              </w:rPr>
            </w:pPr>
            <w:r>
              <w:rPr>
                <w:rFonts w:hint="eastAsia" w:ascii="仿宋" w:hAnsi="仿宋" w:eastAsia="仿宋"/>
                <w:kern w:val="44"/>
                <w:sz w:val="21"/>
                <w:szCs w:val="21"/>
              </w:rPr>
              <w:t>2</w:t>
            </w:r>
            <w:r>
              <w:rPr>
                <w:rFonts w:ascii="仿宋" w:hAnsi="仿宋" w:eastAsia="仿宋"/>
                <w:kern w:val="44"/>
                <w:sz w:val="21"/>
                <w:szCs w:val="21"/>
              </w:rPr>
              <w:t>2100</w:t>
            </w:r>
          </w:p>
        </w:tc>
        <w:tc>
          <w:tcPr>
            <w:tcW w:w="845" w:type="dxa"/>
            <w:vAlign w:val="center"/>
          </w:tcPr>
          <w:p>
            <w:pPr>
              <w:rPr>
                <w:rFonts w:ascii="仿宋" w:hAnsi="仿宋" w:eastAsia="仿宋"/>
                <w:kern w:val="44"/>
                <w:sz w:val="21"/>
                <w:szCs w:val="21"/>
              </w:rPr>
            </w:pPr>
            <w:r>
              <w:rPr>
                <w:rFonts w:hint="eastAsia" w:ascii="仿宋" w:hAnsi="仿宋" w:eastAsia="仿宋"/>
                <w:kern w:val="44"/>
                <w:sz w:val="21"/>
                <w:szCs w:val="21"/>
              </w:rPr>
              <w:t>个</w:t>
            </w:r>
          </w:p>
        </w:tc>
        <w:tc>
          <w:tcPr>
            <w:tcW w:w="1100" w:type="dxa"/>
            <w:vAlign w:val="center"/>
          </w:tcPr>
          <w:p>
            <w:pPr>
              <w:rPr>
                <w:rFonts w:ascii="仿宋" w:hAnsi="仿宋" w:eastAsia="仿宋"/>
                <w:kern w:val="44"/>
                <w:sz w:val="21"/>
                <w:szCs w:val="21"/>
              </w:rPr>
            </w:pPr>
            <w:r>
              <w:rPr>
                <w:rFonts w:hint="eastAsia" w:ascii="仿宋" w:hAnsi="仿宋" w:eastAsia="仿宋"/>
                <w:kern w:val="44"/>
                <w:sz w:val="21"/>
                <w:szCs w:val="21"/>
              </w:rPr>
              <w:t>4</w:t>
            </w:r>
            <w:r>
              <w:rPr>
                <w:rFonts w:ascii="仿宋" w:hAnsi="仿宋" w:eastAsia="仿宋"/>
                <w:kern w:val="44"/>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rPr>
                <w:rFonts w:ascii="仿宋" w:hAnsi="仿宋" w:eastAsia="仿宋"/>
                <w:kern w:val="44"/>
                <w:sz w:val="21"/>
                <w:szCs w:val="21"/>
              </w:rPr>
            </w:pPr>
            <w:r>
              <w:rPr>
                <w:rFonts w:hint="eastAsia" w:ascii="仿宋" w:hAnsi="仿宋" w:eastAsia="仿宋"/>
                <w:kern w:val="44"/>
                <w:sz w:val="21"/>
                <w:szCs w:val="21"/>
              </w:rPr>
              <w:t>4</w:t>
            </w:r>
          </w:p>
        </w:tc>
        <w:tc>
          <w:tcPr>
            <w:tcW w:w="1265" w:type="dxa"/>
            <w:vAlign w:val="center"/>
          </w:tcPr>
          <w:p>
            <w:pPr>
              <w:rPr>
                <w:rFonts w:ascii="仿宋" w:hAnsi="仿宋" w:eastAsia="仿宋"/>
                <w:kern w:val="44"/>
                <w:sz w:val="21"/>
                <w:szCs w:val="21"/>
              </w:rPr>
            </w:pPr>
            <w:bookmarkStart w:id="110" w:name="_Hlk112625361"/>
            <w:r>
              <w:rPr>
                <w:rFonts w:hint="eastAsia" w:ascii="仿宋" w:hAnsi="仿宋" w:eastAsia="仿宋"/>
                <w:kern w:val="44"/>
                <w:sz w:val="21"/>
                <w:szCs w:val="21"/>
              </w:rPr>
              <w:t>水表防盗卡扣</w:t>
            </w:r>
            <w:bookmarkEnd w:id="110"/>
          </w:p>
        </w:tc>
        <w:tc>
          <w:tcPr>
            <w:tcW w:w="1536" w:type="dxa"/>
            <w:vAlign w:val="center"/>
          </w:tcPr>
          <w:p>
            <w:pPr>
              <w:rPr>
                <w:rFonts w:ascii="仿宋" w:hAnsi="仿宋" w:eastAsia="仿宋"/>
                <w:kern w:val="44"/>
                <w:sz w:val="21"/>
                <w:szCs w:val="21"/>
              </w:rPr>
            </w:pPr>
            <w:r>
              <w:rPr>
                <w:rFonts w:hint="eastAsia" w:ascii="仿宋" w:hAnsi="仿宋" w:eastAsia="仿宋"/>
                <w:kern w:val="44"/>
                <w:sz w:val="21"/>
                <w:szCs w:val="21"/>
              </w:rPr>
              <w:t>DN15-DN25</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w:t>
            </w:r>
            <w:r>
              <w:rPr>
                <w:rFonts w:hint="eastAsia" w:ascii="仿宋" w:hAnsi="仿宋" w:eastAsia="仿宋"/>
                <w:kern w:val="44"/>
                <w:sz w:val="21"/>
                <w:szCs w:val="21"/>
              </w:rPr>
              <w:t>一次性ABS塑料</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w:t>
            </w:r>
            <w:r>
              <w:rPr>
                <w:rFonts w:hint="eastAsia" w:ascii="仿宋" w:hAnsi="仿宋" w:eastAsia="仿宋"/>
                <w:kern w:val="44"/>
                <w:sz w:val="21"/>
                <w:szCs w:val="21"/>
              </w:rPr>
              <w:t>水表前后均配备</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w:t>
            </w:r>
            <w:r>
              <w:rPr>
                <w:rFonts w:hint="eastAsia" w:ascii="仿宋" w:hAnsi="仿宋" w:eastAsia="仿宋"/>
                <w:kern w:val="44"/>
                <w:sz w:val="21"/>
                <w:szCs w:val="21"/>
              </w:rPr>
              <w:t>定制logo</w:t>
            </w:r>
          </w:p>
        </w:tc>
        <w:tc>
          <w:tcPr>
            <w:tcW w:w="849" w:type="dxa"/>
            <w:vAlign w:val="center"/>
          </w:tcPr>
          <w:p>
            <w:pPr>
              <w:rPr>
                <w:rFonts w:ascii="仿宋" w:hAnsi="仿宋" w:eastAsia="仿宋"/>
                <w:kern w:val="44"/>
                <w:sz w:val="21"/>
                <w:szCs w:val="21"/>
              </w:rPr>
            </w:pPr>
            <w:r>
              <w:rPr>
                <w:rFonts w:hint="eastAsia" w:ascii="仿宋" w:hAnsi="仿宋" w:eastAsia="仿宋"/>
                <w:kern w:val="44"/>
                <w:sz w:val="21"/>
                <w:szCs w:val="21"/>
              </w:rPr>
              <w:t>2</w:t>
            </w:r>
            <w:r>
              <w:rPr>
                <w:rFonts w:ascii="仿宋" w:hAnsi="仿宋" w:eastAsia="仿宋"/>
                <w:kern w:val="44"/>
                <w:sz w:val="21"/>
                <w:szCs w:val="21"/>
              </w:rPr>
              <w:t>2100</w:t>
            </w:r>
          </w:p>
        </w:tc>
        <w:tc>
          <w:tcPr>
            <w:tcW w:w="845" w:type="dxa"/>
            <w:vAlign w:val="center"/>
          </w:tcPr>
          <w:p>
            <w:pPr>
              <w:rPr>
                <w:rFonts w:ascii="仿宋" w:hAnsi="仿宋" w:eastAsia="仿宋"/>
                <w:kern w:val="44"/>
                <w:sz w:val="21"/>
                <w:szCs w:val="21"/>
              </w:rPr>
            </w:pPr>
            <w:r>
              <w:rPr>
                <w:rFonts w:hint="eastAsia" w:ascii="仿宋" w:hAnsi="仿宋" w:eastAsia="仿宋"/>
                <w:kern w:val="44"/>
                <w:sz w:val="21"/>
                <w:szCs w:val="21"/>
              </w:rPr>
              <w:t>套</w:t>
            </w:r>
          </w:p>
        </w:tc>
        <w:tc>
          <w:tcPr>
            <w:tcW w:w="1100" w:type="dxa"/>
            <w:vAlign w:val="center"/>
          </w:tcPr>
          <w:p>
            <w:pPr>
              <w:rPr>
                <w:rFonts w:ascii="仿宋" w:hAnsi="仿宋" w:eastAsia="仿宋"/>
                <w:kern w:val="44"/>
                <w:sz w:val="21"/>
                <w:szCs w:val="21"/>
              </w:rPr>
            </w:pPr>
            <w:r>
              <w:rPr>
                <w:rFonts w:hint="eastAsia" w:ascii="仿宋" w:hAnsi="仿宋" w:eastAsia="仿宋"/>
                <w:kern w:val="44"/>
                <w:sz w:val="21"/>
                <w:szCs w:val="21"/>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rPr>
                <w:rFonts w:ascii="仿宋" w:hAnsi="仿宋" w:eastAsia="仿宋"/>
                <w:kern w:val="44"/>
                <w:sz w:val="21"/>
                <w:szCs w:val="21"/>
              </w:rPr>
            </w:pPr>
            <w:r>
              <w:rPr>
                <w:rFonts w:hint="eastAsia" w:ascii="仿宋" w:hAnsi="仿宋" w:eastAsia="仿宋"/>
                <w:kern w:val="44"/>
                <w:sz w:val="21"/>
                <w:szCs w:val="21"/>
              </w:rPr>
              <w:t>5</w:t>
            </w:r>
          </w:p>
        </w:tc>
        <w:tc>
          <w:tcPr>
            <w:tcW w:w="1265" w:type="dxa"/>
            <w:vAlign w:val="center"/>
          </w:tcPr>
          <w:p>
            <w:pPr>
              <w:rPr>
                <w:rFonts w:ascii="仿宋" w:hAnsi="仿宋" w:eastAsia="仿宋"/>
                <w:kern w:val="44"/>
                <w:sz w:val="21"/>
                <w:szCs w:val="21"/>
              </w:rPr>
            </w:pPr>
            <w:bookmarkStart w:id="111" w:name="_Hlk112625478"/>
            <w:r>
              <w:rPr>
                <w:rFonts w:hint="eastAsia" w:ascii="仿宋" w:hAnsi="仿宋" w:eastAsia="仿宋"/>
                <w:kern w:val="44"/>
                <w:sz w:val="21"/>
                <w:szCs w:val="21"/>
              </w:rPr>
              <w:t>磁性加密法兰闸阀</w:t>
            </w:r>
            <w:bookmarkEnd w:id="111"/>
          </w:p>
        </w:tc>
        <w:tc>
          <w:tcPr>
            <w:tcW w:w="1536" w:type="dxa"/>
            <w:vAlign w:val="center"/>
          </w:tcPr>
          <w:p>
            <w:pPr>
              <w:rPr>
                <w:rFonts w:ascii="仿宋" w:hAnsi="仿宋" w:eastAsia="仿宋"/>
                <w:kern w:val="44"/>
                <w:sz w:val="21"/>
                <w:szCs w:val="21"/>
              </w:rPr>
            </w:pPr>
            <w:r>
              <w:rPr>
                <w:rFonts w:hint="eastAsia" w:ascii="仿宋" w:hAnsi="仿宋" w:eastAsia="仿宋"/>
                <w:kern w:val="44"/>
                <w:sz w:val="21"/>
                <w:szCs w:val="21"/>
              </w:rPr>
              <w:t>DN</w:t>
            </w:r>
            <w:r>
              <w:rPr>
                <w:rFonts w:ascii="仿宋" w:hAnsi="仿宋" w:eastAsia="仿宋"/>
                <w:kern w:val="44"/>
                <w:sz w:val="21"/>
                <w:szCs w:val="21"/>
              </w:rPr>
              <w:t>40</w:t>
            </w:r>
            <w:r>
              <w:rPr>
                <w:rFonts w:hint="eastAsia" w:ascii="仿宋" w:hAnsi="仿宋" w:eastAsia="仿宋"/>
                <w:kern w:val="44"/>
                <w:sz w:val="21"/>
                <w:szCs w:val="21"/>
              </w:rPr>
              <w:t>-DN</w:t>
            </w:r>
            <w:r>
              <w:rPr>
                <w:rFonts w:ascii="仿宋" w:hAnsi="仿宋" w:eastAsia="仿宋"/>
                <w:kern w:val="44"/>
                <w:sz w:val="21"/>
                <w:szCs w:val="21"/>
              </w:rPr>
              <w:t>200</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1</w:t>
            </w:r>
            <w:r>
              <w:rPr>
                <w:rFonts w:ascii="仿宋" w:hAnsi="仿宋" w:eastAsia="仿宋"/>
                <w:kern w:val="44"/>
                <w:sz w:val="21"/>
                <w:szCs w:val="21"/>
              </w:rPr>
              <w:t>.</w:t>
            </w:r>
            <w:r>
              <w:rPr>
                <w:rFonts w:hint="eastAsia" w:ascii="仿宋" w:hAnsi="仿宋" w:eastAsia="仿宋"/>
                <w:kern w:val="44"/>
                <w:sz w:val="21"/>
                <w:szCs w:val="21"/>
              </w:rPr>
              <w:t>公称压力≤1.6MPa</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2.</w:t>
            </w:r>
            <w:r>
              <w:rPr>
                <w:rFonts w:hint="eastAsia" w:ascii="仿宋" w:hAnsi="仿宋" w:eastAsia="仿宋"/>
                <w:kern w:val="44"/>
                <w:sz w:val="21"/>
                <w:szCs w:val="21"/>
              </w:rPr>
              <w:t>包胶阀芯</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3.</w:t>
            </w:r>
            <w:r>
              <w:rPr>
                <w:rFonts w:hint="eastAsia" w:ascii="仿宋" w:hAnsi="仿宋" w:eastAsia="仿宋"/>
                <w:kern w:val="44"/>
                <w:sz w:val="21"/>
                <w:szCs w:val="21"/>
              </w:rPr>
              <w:t>一体式铜螺母</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4.</w:t>
            </w:r>
            <w:r>
              <w:rPr>
                <w:rFonts w:hint="eastAsia" w:ascii="仿宋" w:hAnsi="仿宋" w:eastAsia="仿宋"/>
                <w:kern w:val="44"/>
                <w:sz w:val="21"/>
                <w:szCs w:val="21"/>
              </w:rPr>
              <w:t>自密封阀盖，阀盖于阀体间采用自密封结构设计，在许用压力发尾内。流体压力越高，密封越紧密</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5.</w:t>
            </w:r>
            <w:r>
              <w:rPr>
                <w:rFonts w:hint="eastAsia" w:ascii="仿宋" w:hAnsi="仿宋" w:eastAsia="仿宋"/>
                <w:kern w:val="44"/>
                <w:sz w:val="21"/>
                <w:szCs w:val="21"/>
              </w:rPr>
              <w:t>阀体内部以无毒环氧树脂涂装，阀芯内外表面以橡胶完全包覆，不会出现锈水或腐蚀现象。</w:t>
            </w:r>
          </w:p>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6.</w:t>
            </w:r>
            <w:r>
              <w:rPr>
                <w:rFonts w:hint="eastAsia" w:ascii="仿宋" w:hAnsi="仿宋" w:eastAsia="仿宋"/>
                <w:kern w:val="44"/>
                <w:sz w:val="21"/>
                <w:szCs w:val="21"/>
              </w:rPr>
              <w:t>阀体采用粉末环氧树脂涂装，可防止阀体的腐蚀与生锈。</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磁性钥匙配比最少1</w:t>
            </w:r>
            <w:r>
              <w:rPr>
                <w:rFonts w:ascii="仿宋" w:hAnsi="仿宋" w:eastAsia="仿宋"/>
                <w:kern w:val="44"/>
                <w:sz w:val="21"/>
                <w:szCs w:val="21"/>
              </w:rPr>
              <w:t>0</w:t>
            </w:r>
            <w:r>
              <w:rPr>
                <w:rFonts w:hint="eastAsia" w:ascii="仿宋" w:hAnsi="仿宋" w:eastAsia="仿宋"/>
                <w:kern w:val="44"/>
                <w:sz w:val="21"/>
                <w:szCs w:val="21"/>
              </w:rPr>
              <w:t>%</w:t>
            </w:r>
          </w:p>
        </w:tc>
        <w:tc>
          <w:tcPr>
            <w:tcW w:w="849" w:type="dxa"/>
            <w:vAlign w:val="center"/>
          </w:tcPr>
          <w:p>
            <w:pPr>
              <w:rPr>
                <w:rFonts w:ascii="仿宋" w:hAnsi="仿宋" w:eastAsia="仿宋"/>
                <w:kern w:val="44"/>
                <w:sz w:val="21"/>
                <w:szCs w:val="21"/>
              </w:rPr>
            </w:pPr>
            <w:r>
              <w:rPr>
                <w:rFonts w:hint="eastAsia" w:ascii="仿宋" w:hAnsi="仿宋" w:eastAsia="仿宋"/>
                <w:kern w:val="44"/>
                <w:sz w:val="21"/>
                <w:szCs w:val="21"/>
              </w:rPr>
              <w:t>6</w:t>
            </w:r>
            <w:r>
              <w:rPr>
                <w:rFonts w:ascii="仿宋" w:hAnsi="仿宋" w:eastAsia="仿宋"/>
                <w:kern w:val="44"/>
                <w:sz w:val="21"/>
                <w:szCs w:val="21"/>
              </w:rPr>
              <w:t>36</w:t>
            </w:r>
          </w:p>
        </w:tc>
        <w:tc>
          <w:tcPr>
            <w:tcW w:w="845" w:type="dxa"/>
            <w:vAlign w:val="center"/>
          </w:tcPr>
          <w:p>
            <w:pPr>
              <w:rPr>
                <w:rFonts w:ascii="仿宋" w:hAnsi="仿宋" w:eastAsia="仿宋"/>
                <w:kern w:val="44"/>
                <w:sz w:val="21"/>
                <w:szCs w:val="21"/>
              </w:rPr>
            </w:pPr>
            <w:r>
              <w:rPr>
                <w:rFonts w:hint="eastAsia" w:ascii="仿宋" w:hAnsi="仿宋" w:eastAsia="仿宋"/>
                <w:kern w:val="44"/>
                <w:sz w:val="21"/>
                <w:szCs w:val="21"/>
              </w:rPr>
              <w:t>台</w:t>
            </w:r>
          </w:p>
        </w:tc>
        <w:tc>
          <w:tcPr>
            <w:tcW w:w="1100" w:type="dxa"/>
            <w:vAlign w:val="center"/>
          </w:tcPr>
          <w:p>
            <w:pPr>
              <w:rPr>
                <w:rFonts w:ascii="仿宋" w:hAnsi="仿宋" w:eastAsia="仿宋"/>
                <w:kern w:val="44"/>
                <w:sz w:val="21"/>
                <w:szCs w:val="21"/>
              </w:rPr>
            </w:pPr>
            <w:r>
              <w:rPr>
                <w:rFonts w:hint="eastAsia" w:ascii="仿宋" w:hAnsi="仿宋" w:eastAsia="仿宋"/>
                <w:kern w:val="44"/>
                <w:sz w:val="21"/>
                <w:szCs w:val="21"/>
              </w:rPr>
              <w:t>1</w:t>
            </w:r>
            <w:r>
              <w:rPr>
                <w:rFonts w:ascii="仿宋" w:hAnsi="仿宋" w:eastAsia="仿宋"/>
                <w:kern w:val="44"/>
                <w:sz w:val="21"/>
                <w:szCs w:val="21"/>
              </w:rPr>
              <w:t>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rPr>
                <w:rFonts w:ascii="仿宋" w:hAnsi="仿宋" w:eastAsia="仿宋"/>
                <w:kern w:val="44"/>
                <w:sz w:val="21"/>
                <w:szCs w:val="21"/>
              </w:rPr>
            </w:pPr>
            <w:r>
              <w:rPr>
                <w:rFonts w:hint="eastAsia" w:ascii="仿宋" w:hAnsi="仿宋" w:eastAsia="仿宋"/>
                <w:kern w:val="44"/>
                <w:sz w:val="21"/>
                <w:szCs w:val="21"/>
              </w:rPr>
              <w:t>6</w:t>
            </w:r>
          </w:p>
        </w:tc>
        <w:tc>
          <w:tcPr>
            <w:tcW w:w="1265" w:type="dxa"/>
            <w:vAlign w:val="center"/>
          </w:tcPr>
          <w:p>
            <w:pPr>
              <w:rPr>
                <w:rFonts w:ascii="仿宋" w:hAnsi="仿宋" w:eastAsia="仿宋"/>
                <w:kern w:val="44"/>
                <w:sz w:val="21"/>
                <w:szCs w:val="21"/>
              </w:rPr>
            </w:pPr>
            <w:r>
              <w:rPr>
                <w:rFonts w:hint="eastAsia" w:ascii="仿宋" w:hAnsi="仿宋" w:eastAsia="仿宋"/>
                <w:kern w:val="44"/>
                <w:sz w:val="21"/>
                <w:szCs w:val="21"/>
              </w:rPr>
              <w:t>暗杆法兰闸阀</w:t>
            </w:r>
          </w:p>
        </w:tc>
        <w:tc>
          <w:tcPr>
            <w:tcW w:w="1536" w:type="dxa"/>
            <w:vAlign w:val="center"/>
          </w:tcPr>
          <w:p>
            <w:pPr>
              <w:rPr>
                <w:rFonts w:ascii="仿宋" w:hAnsi="仿宋" w:eastAsia="仿宋"/>
                <w:kern w:val="44"/>
                <w:sz w:val="21"/>
                <w:szCs w:val="21"/>
              </w:rPr>
            </w:pPr>
            <w:r>
              <w:rPr>
                <w:rFonts w:hint="eastAsia" w:ascii="仿宋" w:hAnsi="仿宋" w:eastAsia="仿宋"/>
                <w:kern w:val="44"/>
                <w:sz w:val="21"/>
                <w:szCs w:val="21"/>
              </w:rPr>
              <w:t>DN</w:t>
            </w:r>
            <w:r>
              <w:rPr>
                <w:rFonts w:ascii="仿宋" w:hAnsi="仿宋" w:eastAsia="仿宋"/>
                <w:kern w:val="44"/>
                <w:sz w:val="21"/>
                <w:szCs w:val="21"/>
              </w:rPr>
              <w:t>40</w:t>
            </w:r>
            <w:r>
              <w:rPr>
                <w:rFonts w:hint="eastAsia" w:ascii="仿宋" w:hAnsi="仿宋" w:eastAsia="仿宋"/>
                <w:kern w:val="44"/>
                <w:sz w:val="21"/>
                <w:szCs w:val="21"/>
              </w:rPr>
              <w:t>-DN</w:t>
            </w:r>
            <w:r>
              <w:rPr>
                <w:rFonts w:ascii="仿宋" w:hAnsi="仿宋" w:eastAsia="仿宋"/>
                <w:kern w:val="44"/>
                <w:sz w:val="21"/>
                <w:szCs w:val="21"/>
              </w:rPr>
              <w:t>200</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ascii="仿宋" w:hAnsi="仿宋" w:eastAsia="仿宋"/>
                <w:kern w:val="44"/>
                <w:sz w:val="21"/>
                <w:szCs w:val="21"/>
              </w:rPr>
              <w:t>1.</w:t>
            </w:r>
            <w:r>
              <w:rPr>
                <w:rFonts w:hint="eastAsia" w:ascii="仿宋" w:hAnsi="仿宋" w:eastAsia="仿宋"/>
                <w:kern w:val="44"/>
                <w:sz w:val="21"/>
                <w:szCs w:val="21"/>
              </w:rPr>
              <w:t>公称压力≤1.6MPa</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2</w:t>
            </w:r>
            <w:r>
              <w:rPr>
                <w:rFonts w:ascii="仿宋" w:hAnsi="仿宋" w:eastAsia="仿宋"/>
                <w:kern w:val="44"/>
                <w:sz w:val="21"/>
                <w:szCs w:val="21"/>
              </w:rPr>
              <w:t>.</w:t>
            </w:r>
            <w:r>
              <w:rPr>
                <w:rFonts w:hint="eastAsia" w:ascii="仿宋" w:hAnsi="仿宋" w:eastAsia="仿宋"/>
                <w:kern w:val="44"/>
                <w:sz w:val="21"/>
                <w:szCs w:val="21"/>
              </w:rPr>
              <w:t>包胶阀芯</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3</w:t>
            </w:r>
            <w:r>
              <w:rPr>
                <w:rFonts w:ascii="仿宋" w:hAnsi="仿宋" w:eastAsia="仿宋"/>
                <w:kern w:val="44"/>
                <w:sz w:val="21"/>
                <w:szCs w:val="21"/>
              </w:rPr>
              <w:t>.</w:t>
            </w:r>
            <w:r>
              <w:rPr>
                <w:rFonts w:hint="eastAsia" w:ascii="仿宋" w:hAnsi="仿宋" w:eastAsia="仿宋"/>
                <w:kern w:val="44"/>
                <w:sz w:val="21"/>
                <w:szCs w:val="21"/>
              </w:rPr>
              <w:t>一体式铜螺母</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4</w:t>
            </w:r>
            <w:r>
              <w:rPr>
                <w:rFonts w:ascii="仿宋" w:hAnsi="仿宋" w:eastAsia="仿宋"/>
                <w:kern w:val="44"/>
                <w:sz w:val="21"/>
                <w:szCs w:val="21"/>
              </w:rPr>
              <w:t>.</w:t>
            </w:r>
            <w:r>
              <w:rPr>
                <w:rFonts w:hint="eastAsia" w:ascii="仿宋" w:hAnsi="仿宋" w:eastAsia="仿宋"/>
                <w:kern w:val="44"/>
                <w:sz w:val="21"/>
                <w:szCs w:val="21"/>
              </w:rPr>
              <w:t>自密封阀盖，阀盖于阀体间采用自密封结构设计，在许用压力发尾内。流体压力越高，密封越紧密</w:t>
            </w:r>
          </w:p>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5</w:t>
            </w:r>
            <w:r>
              <w:rPr>
                <w:rFonts w:ascii="仿宋" w:hAnsi="仿宋" w:eastAsia="仿宋"/>
                <w:kern w:val="44"/>
                <w:sz w:val="21"/>
                <w:szCs w:val="21"/>
              </w:rPr>
              <w:t>.</w:t>
            </w:r>
            <w:r>
              <w:rPr>
                <w:rFonts w:hint="eastAsia" w:ascii="仿宋" w:hAnsi="仿宋" w:eastAsia="仿宋"/>
                <w:kern w:val="44"/>
                <w:sz w:val="21"/>
                <w:szCs w:val="21"/>
              </w:rPr>
              <w:t>阀体内部以无毒环氧树脂涂装，阀芯内外表面以橡胶完全包覆，不会出现锈水或腐蚀现象。</w:t>
            </w:r>
          </w:p>
          <w:p>
            <w:pPr>
              <w:rPr>
                <w:rFonts w:ascii="仿宋" w:hAnsi="仿宋" w:eastAsia="仿宋"/>
                <w:kern w:val="44"/>
                <w:sz w:val="21"/>
                <w:szCs w:val="21"/>
              </w:rPr>
            </w:pPr>
            <w:r>
              <w:rPr>
                <w:rFonts w:hint="eastAsia" w:ascii="仿宋" w:hAnsi="仿宋" w:eastAsia="仿宋"/>
                <w:kern w:val="44"/>
                <w:sz w:val="21"/>
                <w:szCs w:val="21"/>
              </w:rPr>
              <w:t>6</w:t>
            </w:r>
            <w:r>
              <w:rPr>
                <w:rFonts w:ascii="仿宋" w:hAnsi="仿宋" w:eastAsia="仿宋"/>
                <w:kern w:val="44"/>
                <w:sz w:val="21"/>
                <w:szCs w:val="21"/>
              </w:rPr>
              <w:t>.</w:t>
            </w:r>
            <w:r>
              <w:rPr>
                <w:rFonts w:hint="eastAsia" w:ascii="仿宋" w:hAnsi="仿宋" w:eastAsia="仿宋"/>
                <w:kern w:val="44"/>
                <w:sz w:val="21"/>
                <w:szCs w:val="21"/>
              </w:rPr>
              <w:t>阀体采用粉末环氧树脂涂装，可防止阀体的腐蚀与生锈。</w:t>
            </w:r>
          </w:p>
        </w:tc>
        <w:tc>
          <w:tcPr>
            <w:tcW w:w="849" w:type="dxa"/>
            <w:vAlign w:val="center"/>
          </w:tcPr>
          <w:p>
            <w:pPr>
              <w:rPr>
                <w:rFonts w:ascii="仿宋" w:hAnsi="仿宋" w:eastAsia="仿宋"/>
                <w:kern w:val="44"/>
                <w:sz w:val="21"/>
                <w:szCs w:val="21"/>
              </w:rPr>
            </w:pPr>
            <w:r>
              <w:rPr>
                <w:rFonts w:hint="eastAsia" w:ascii="仿宋" w:hAnsi="仿宋" w:eastAsia="仿宋"/>
                <w:kern w:val="44"/>
                <w:sz w:val="21"/>
                <w:szCs w:val="21"/>
              </w:rPr>
              <w:t>6</w:t>
            </w:r>
            <w:r>
              <w:rPr>
                <w:rFonts w:ascii="仿宋" w:hAnsi="仿宋" w:eastAsia="仿宋"/>
                <w:kern w:val="44"/>
                <w:sz w:val="21"/>
                <w:szCs w:val="21"/>
              </w:rPr>
              <w:t>36</w:t>
            </w:r>
          </w:p>
        </w:tc>
        <w:tc>
          <w:tcPr>
            <w:tcW w:w="845" w:type="dxa"/>
            <w:vAlign w:val="center"/>
          </w:tcPr>
          <w:p>
            <w:pPr>
              <w:rPr>
                <w:rFonts w:ascii="仿宋" w:hAnsi="仿宋" w:eastAsia="仿宋"/>
                <w:kern w:val="44"/>
                <w:sz w:val="21"/>
                <w:szCs w:val="21"/>
              </w:rPr>
            </w:pPr>
            <w:r>
              <w:rPr>
                <w:rFonts w:hint="eastAsia" w:ascii="仿宋" w:hAnsi="仿宋" w:eastAsia="仿宋"/>
                <w:kern w:val="44"/>
                <w:sz w:val="21"/>
                <w:szCs w:val="21"/>
              </w:rPr>
              <w:t>台</w:t>
            </w:r>
          </w:p>
        </w:tc>
        <w:tc>
          <w:tcPr>
            <w:tcW w:w="1100" w:type="dxa"/>
            <w:vAlign w:val="center"/>
          </w:tcPr>
          <w:p>
            <w:pPr>
              <w:rPr>
                <w:rFonts w:ascii="仿宋" w:hAnsi="仿宋" w:eastAsia="仿宋"/>
                <w:kern w:val="44"/>
                <w:sz w:val="21"/>
                <w:szCs w:val="21"/>
              </w:rPr>
            </w:pPr>
            <w:r>
              <w:rPr>
                <w:rFonts w:hint="eastAsia" w:ascii="仿宋" w:hAnsi="仿宋" w:eastAsia="仿宋"/>
                <w:kern w:val="44"/>
                <w:sz w:val="21"/>
                <w:szCs w:val="21"/>
              </w:rPr>
              <w:t>1</w:t>
            </w:r>
            <w:r>
              <w:rPr>
                <w:rFonts w:ascii="仿宋" w:hAnsi="仿宋" w:eastAsia="仿宋"/>
                <w:kern w:val="44"/>
                <w:sz w:val="21"/>
                <w:szCs w:val="21"/>
              </w:rPr>
              <w:t>200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1" w:type="dxa"/>
            <w:vAlign w:val="center"/>
          </w:tcPr>
          <w:p>
            <w:pPr>
              <w:rPr>
                <w:rFonts w:ascii="仿宋" w:hAnsi="仿宋" w:eastAsia="仿宋"/>
                <w:kern w:val="44"/>
                <w:sz w:val="21"/>
                <w:szCs w:val="21"/>
              </w:rPr>
            </w:pPr>
            <w:r>
              <w:rPr>
                <w:rFonts w:hint="eastAsia" w:ascii="仿宋" w:hAnsi="仿宋" w:eastAsia="仿宋"/>
                <w:kern w:val="44"/>
                <w:sz w:val="21"/>
                <w:szCs w:val="21"/>
              </w:rPr>
              <w:t>7</w:t>
            </w:r>
          </w:p>
        </w:tc>
        <w:tc>
          <w:tcPr>
            <w:tcW w:w="1265" w:type="dxa"/>
            <w:vAlign w:val="center"/>
          </w:tcPr>
          <w:p>
            <w:pPr>
              <w:rPr>
                <w:rFonts w:ascii="仿宋" w:hAnsi="仿宋" w:eastAsia="仿宋"/>
                <w:kern w:val="44"/>
                <w:sz w:val="21"/>
                <w:szCs w:val="21"/>
              </w:rPr>
            </w:pPr>
            <w:bookmarkStart w:id="112" w:name="_Hlk112625512"/>
            <w:r>
              <w:rPr>
                <w:rFonts w:hint="eastAsia" w:ascii="仿宋" w:hAnsi="仿宋" w:eastAsia="仿宋"/>
                <w:kern w:val="44"/>
                <w:sz w:val="21"/>
                <w:szCs w:val="21"/>
              </w:rPr>
              <w:t>T型滤水器/过滤器</w:t>
            </w:r>
            <w:bookmarkEnd w:id="112"/>
          </w:p>
        </w:tc>
        <w:tc>
          <w:tcPr>
            <w:tcW w:w="1536" w:type="dxa"/>
            <w:vAlign w:val="center"/>
          </w:tcPr>
          <w:p>
            <w:pPr>
              <w:rPr>
                <w:rFonts w:ascii="仿宋" w:hAnsi="仿宋" w:eastAsia="仿宋"/>
                <w:kern w:val="44"/>
                <w:sz w:val="21"/>
                <w:szCs w:val="21"/>
              </w:rPr>
            </w:pPr>
            <w:r>
              <w:rPr>
                <w:rFonts w:hint="eastAsia" w:ascii="仿宋" w:hAnsi="仿宋" w:eastAsia="仿宋"/>
                <w:kern w:val="44"/>
                <w:sz w:val="21"/>
                <w:szCs w:val="21"/>
              </w:rPr>
              <w:t>DN</w:t>
            </w:r>
            <w:r>
              <w:rPr>
                <w:rFonts w:ascii="仿宋" w:hAnsi="仿宋" w:eastAsia="仿宋"/>
                <w:kern w:val="44"/>
                <w:sz w:val="21"/>
                <w:szCs w:val="21"/>
              </w:rPr>
              <w:t>40</w:t>
            </w:r>
            <w:r>
              <w:rPr>
                <w:rFonts w:hint="eastAsia" w:ascii="仿宋" w:hAnsi="仿宋" w:eastAsia="仿宋"/>
                <w:kern w:val="44"/>
                <w:sz w:val="21"/>
                <w:szCs w:val="21"/>
              </w:rPr>
              <w:t>-DN</w:t>
            </w:r>
            <w:r>
              <w:rPr>
                <w:rFonts w:ascii="仿宋" w:hAnsi="仿宋" w:eastAsia="仿宋"/>
                <w:kern w:val="44"/>
                <w:sz w:val="21"/>
                <w:szCs w:val="21"/>
              </w:rPr>
              <w:t>200</w:t>
            </w:r>
          </w:p>
        </w:tc>
        <w:tc>
          <w:tcPr>
            <w:tcW w:w="7709" w:type="dxa"/>
            <w:vAlign w:val="center"/>
          </w:tcPr>
          <w:p>
            <w:pPr>
              <w:widowControl/>
              <w:spacing w:line="240" w:lineRule="auto"/>
              <w:jc w:val="left"/>
              <w:textAlignment w:val="center"/>
              <w:rPr>
                <w:rFonts w:ascii="仿宋" w:hAnsi="仿宋" w:eastAsia="仿宋"/>
                <w:kern w:val="44"/>
                <w:sz w:val="21"/>
                <w:szCs w:val="21"/>
              </w:rPr>
            </w:pPr>
            <w:r>
              <w:rPr>
                <w:rFonts w:hint="eastAsia" w:ascii="仿宋" w:hAnsi="仿宋" w:eastAsia="仿宋"/>
                <w:kern w:val="44"/>
                <w:sz w:val="21"/>
                <w:szCs w:val="21"/>
              </w:rPr>
              <w:t>公称压力≤1.6MPa</w:t>
            </w:r>
          </w:p>
        </w:tc>
        <w:tc>
          <w:tcPr>
            <w:tcW w:w="849" w:type="dxa"/>
            <w:vAlign w:val="center"/>
          </w:tcPr>
          <w:p>
            <w:pPr>
              <w:rPr>
                <w:rFonts w:ascii="仿宋" w:hAnsi="仿宋" w:eastAsia="仿宋"/>
                <w:kern w:val="44"/>
                <w:sz w:val="21"/>
                <w:szCs w:val="21"/>
              </w:rPr>
            </w:pPr>
            <w:r>
              <w:rPr>
                <w:rFonts w:hint="eastAsia" w:ascii="仿宋" w:hAnsi="仿宋" w:eastAsia="仿宋"/>
                <w:kern w:val="44"/>
                <w:sz w:val="21"/>
                <w:szCs w:val="21"/>
              </w:rPr>
              <w:t>6</w:t>
            </w:r>
            <w:r>
              <w:rPr>
                <w:rFonts w:ascii="仿宋" w:hAnsi="仿宋" w:eastAsia="仿宋"/>
                <w:kern w:val="44"/>
                <w:sz w:val="21"/>
                <w:szCs w:val="21"/>
              </w:rPr>
              <w:t>36</w:t>
            </w:r>
          </w:p>
        </w:tc>
        <w:tc>
          <w:tcPr>
            <w:tcW w:w="845" w:type="dxa"/>
            <w:vAlign w:val="center"/>
          </w:tcPr>
          <w:p>
            <w:pPr>
              <w:rPr>
                <w:rFonts w:ascii="仿宋" w:hAnsi="仿宋" w:eastAsia="仿宋"/>
                <w:kern w:val="44"/>
                <w:sz w:val="21"/>
                <w:szCs w:val="21"/>
              </w:rPr>
            </w:pPr>
            <w:r>
              <w:rPr>
                <w:rFonts w:hint="eastAsia" w:ascii="仿宋" w:hAnsi="仿宋" w:eastAsia="仿宋"/>
                <w:kern w:val="44"/>
                <w:sz w:val="21"/>
                <w:szCs w:val="21"/>
              </w:rPr>
              <w:t>台</w:t>
            </w:r>
          </w:p>
        </w:tc>
        <w:tc>
          <w:tcPr>
            <w:tcW w:w="1100" w:type="dxa"/>
            <w:vAlign w:val="center"/>
          </w:tcPr>
          <w:p>
            <w:pPr>
              <w:rPr>
                <w:rFonts w:ascii="仿宋" w:hAnsi="仿宋" w:eastAsia="仿宋"/>
                <w:kern w:val="44"/>
                <w:sz w:val="21"/>
                <w:szCs w:val="21"/>
              </w:rPr>
            </w:pPr>
            <w:r>
              <w:rPr>
                <w:rFonts w:ascii="仿宋" w:hAnsi="仿宋" w:eastAsia="仿宋"/>
                <w:kern w:val="44"/>
                <w:sz w:val="21"/>
                <w:szCs w:val="21"/>
              </w:rPr>
              <w:t>850</w:t>
            </w:r>
          </w:p>
        </w:tc>
      </w:tr>
    </w:tbl>
    <w:p>
      <w:pPr>
        <w:rPr>
          <w:rFonts w:ascii="仿宋" w:hAnsi="仿宋" w:eastAsia="仿宋"/>
        </w:rPr>
        <w:sectPr>
          <w:pgSz w:w="16838" w:h="11906" w:orient="landscape"/>
          <w:pgMar w:top="1800" w:right="1440" w:bottom="1800" w:left="1440" w:header="851" w:footer="992" w:gutter="0"/>
          <w:pgNumType w:fmt="decimal"/>
          <w:cols w:space="425" w:num="1"/>
          <w:docGrid w:type="lines" w:linePitch="312" w:charSpace="0"/>
        </w:sectPr>
      </w:pPr>
    </w:p>
    <w:p>
      <w:pPr>
        <w:tabs>
          <w:tab w:val="left" w:pos="9977"/>
        </w:tabs>
        <w:spacing w:line="240" w:lineRule="auto"/>
        <w:rPr>
          <w:rFonts w:ascii="仿宋" w:hAnsi="仿宋" w:eastAsia="仿宋"/>
          <w:b/>
          <w:bCs/>
        </w:rPr>
      </w:pPr>
      <w:bookmarkStart w:id="113" w:name="_Toc436330193"/>
      <w:bookmarkStart w:id="114" w:name="_Toc19047"/>
      <w:r>
        <w:rPr>
          <w:rFonts w:hint="eastAsia" w:ascii="仿宋" w:hAnsi="仿宋" w:eastAsia="仿宋"/>
          <w:b/>
          <w:bCs/>
        </w:rPr>
        <w:t>3.2、NB-IOT物联网水表</w:t>
      </w:r>
      <w:r>
        <w:rPr>
          <w:rFonts w:ascii="仿宋" w:hAnsi="仿宋" w:eastAsia="仿宋"/>
          <w:b/>
          <w:bCs/>
        </w:rPr>
        <w:t>技术要求</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、水表要求</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DN</w:t>
      </w:r>
      <w:r>
        <w:rPr>
          <w:rFonts w:ascii="仿宋" w:hAnsi="仿宋" w:eastAsia="仿宋"/>
          <w:kern w:val="44"/>
          <w:szCs w:val="21"/>
        </w:rPr>
        <w:t>15</w:t>
      </w:r>
      <w:r>
        <w:rPr>
          <w:rFonts w:hint="eastAsia" w:ascii="仿宋" w:hAnsi="仿宋" w:eastAsia="仿宋"/>
          <w:kern w:val="44"/>
          <w:szCs w:val="21"/>
        </w:rPr>
        <w:t>-DN</w:t>
      </w:r>
      <w:r>
        <w:rPr>
          <w:rFonts w:ascii="仿宋" w:hAnsi="仿宋" w:eastAsia="仿宋"/>
          <w:kern w:val="44"/>
          <w:szCs w:val="21"/>
        </w:rPr>
        <w:t>20</w:t>
      </w:r>
      <w:r>
        <w:rPr>
          <w:rFonts w:hint="eastAsia" w:ascii="仿宋" w:hAnsi="仿宋" w:eastAsia="仿宋"/>
          <w:kern w:val="44"/>
          <w:szCs w:val="21"/>
        </w:rPr>
        <w:t>口径为NB-IOT物联网阀控水表，DN</w:t>
      </w:r>
      <w:r>
        <w:rPr>
          <w:rFonts w:ascii="仿宋" w:hAnsi="仿宋" w:eastAsia="仿宋"/>
          <w:kern w:val="44"/>
          <w:szCs w:val="21"/>
        </w:rPr>
        <w:t>40</w:t>
      </w:r>
      <w:r>
        <w:rPr>
          <w:rFonts w:hint="eastAsia" w:ascii="仿宋" w:hAnsi="仿宋" w:eastAsia="仿宋"/>
          <w:kern w:val="44"/>
          <w:szCs w:val="21"/>
        </w:rPr>
        <w:t>-DN</w:t>
      </w:r>
      <w:r>
        <w:rPr>
          <w:rFonts w:ascii="仿宋" w:hAnsi="仿宋" w:eastAsia="仿宋"/>
          <w:kern w:val="44"/>
          <w:szCs w:val="21"/>
        </w:rPr>
        <w:t>200</w:t>
      </w:r>
      <w:r>
        <w:rPr>
          <w:rFonts w:hint="eastAsia" w:ascii="仿宋" w:hAnsi="仿宋" w:eastAsia="仿宋"/>
          <w:kern w:val="44"/>
          <w:szCs w:val="21"/>
        </w:rPr>
        <w:t>口径为NB-IoT物联网大口径水表（无阀）</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 xml:space="preserve">.1 </w:t>
      </w:r>
      <w:r>
        <w:rPr>
          <w:rFonts w:hint="eastAsia" w:ascii="仿宋" w:hAnsi="仿宋" w:eastAsia="仿宋"/>
          <w:kern w:val="44"/>
          <w:szCs w:val="21"/>
        </w:rPr>
        <w:t>计量参数</w:t>
      </w:r>
    </w:p>
    <w:tbl>
      <w:tblPr>
        <w:tblStyle w:val="24"/>
        <w:tblW w:w="94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0"/>
        <w:gridCol w:w="1880"/>
        <w:gridCol w:w="1880"/>
        <w:gridCol w:w="1880"/>
        <w:gridCol w:w="18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口径（mm）</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常用流量Q3(m3/h)</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Q3/Q1</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Q4/Q3</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Q2/Q1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DN20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4</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6.3</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DN40</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2</w:t>
            </w:r>
            <w:r>
              <w:rPr>
                <w:rFonts w:ascii="仿宋" w:hAnsi="仿宋" w:eastAsia="仿宋"/>
                <w:kern w:val="2"/>
                <w:sz w:val="21"/>
                <w:szCs w:val="21"/>
              </w:rPr>
              <w:t>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1</w:t>
            </w:r>
            <w:r>
              <w:rPr>
                <w:rFonts w:ascii="仿宋" w:hAnsi="仿宋" w:eastAsia="仿宋"/>
                <w:kern w:val="2"/>
                <w:sz w:val="21"/>
                <w:szCs w:val="21"/>
              </w:rPr>
              <w:t>.25</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1</w:t>
            </w:r>
            <w:r>
              <w:rPr>
                <w:rFonts w:ascii="仿宋" w:hAnsi="仿宋" w:eastAsia="仿宋"/>
                <w:kern w:val="2"/>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DN50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40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D</w:t>
            </w:r>
            <w:r>
              <w:rPr>
                <w:rFonts w:ascii="仿宋" w:hAnsi="仿宋" w:eastAsia="仿宋"/>
                <w:kern w:val="2"/>
                <w:sz w:val="21"/>
                <w:szCs w:val="21"/>
              </w:rPr>
              <w:t>N80</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6</w:t>
            </w:r>
            <w:r>
              <w:rPr>
                <w:rFonts w:ascii="仿宋" w:hAnsi="仿宋" w:eastAsia="仿宋"/>
                <w:kern w:val="2"/>
                <w:sz w:val="21"/>
                <w:szCs w:val="21"/>
              </w:rPr>
              <w:t>3</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1</w:t>
            </w:r>
            <w:r>
              <w:rPr>
                <w:rFonts w:ascii="仿宋" w:hAnsi="仿宋" w:eastAsia="仿宋"/>
                <w:kern w:val="2"/>
                <w:sz w:val="21"/>
                <w:szCs w:val="21"/>
              </w:rPr>
              <w:t>.25</w:t>
            </w:r>
          </w:p>
        </w:tc>
        <w:tc>
          <w:tcPr>
            <w:tcW w:w="188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1</w:t>
            </w:r>
            <w:r>
              <w:rPr>
                <w:rFonts w:ascii="仿宋" w:hAnsi="仿宋" w:eastAsia="仿宋"/>
                <w:kern w:val="2"/>
                <w:sz w:val="21"/>
                <w:szCs w:val="21"/>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DN150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250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DN200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400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≥160</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1.25</w:t>
            </w:r>
          </w:p>
        </w:tc>
        <w:tc>
          <w:tcPr>
            <w:tcW w:w="188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1.6</w:t>
            </w:r>
          </w:p>
        </w:tc>
      </w:tr>
    </w:tbl>
    <w:p>
      <w:pPr>
        <w:spacing w:line="240" w:lineRule="auto"/>
        <w:ind w:firstLine="420" w:firstLineChars="200"/>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 xml:space="preserve">.1.2 </w:t>
      </w:r>
      <w:r>
        <w:rPr>
          <w:rFonts w:hint="eastAsia" w:ascii="仿宋" w:hAnsi="仿宋" w:eastAsia="仿宋"/>
          <w:kern w:val="44"/>
          <w:szCs w:val="21"/>
        </w:rPr>
        <w:t>压力损失等级</w:t>
      </w:r>
      <w:r>
        <w:rPr>
          <w:rFonts w:ascii="仿宋" w:hAnsi="仿宋" w:eastAsia="仿宋"/>
          <w:kern w:val="44"/>
          <w:szCs w:val="21"/>
        </w:rPr>
        <w:t xml:space="preserve">  </w:t>
      </w:r>
      <w:r>
        <w:rPr>
          <w:rFonts w:hint="eastAsia" w:ascii="仿宋" w:hAnsi="仿宋" w:eastAsia="仿宋"/>
          <w:kern w:val="44"/>
          <w:szCs w:val="21"/>
        </w:rPr>
        <w:t>△p63（≤0.063MPa）</w:t>
      </w:r>
    </w:p>
    <w:p>
      <w:pPr>
        <w:tabs>
          <w:tab w:val="left" w:pos="928"/>
        </w:tabs>
        <w:spacing w:line="240" w:lineRule="auto"/>
        <w:ind w:firstLine="420" w:firstLineChars="200"/>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.1.3 准确度等级：2 级</w:t>
      </w:r>
    </w:p>
    <w:p>
      <w:pPr>
        <w:pStyle w:val="87"/>
        <w:tabs>
          <w:tab w:val="left" w:pos="928"/>
        </w:tabs>
        <w:spacing w:line="240" w:lineRule="auto"/>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.1.4 压力等级：≥1.0MPa</w:t>
      </w:r>
    </w:p>
    <w:p>
      <w:pPr>
        <w:pStyle w:val="87"/>
        <w:tabs>
          <w:tab w:val="left" w:pos="928"/>
        </w:tabs>
        <w:spacing w:line="240" w:lineRule="auto"/>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.1.5 智能模块部件防水等级：IP68，不进灰尘，满足长期浸水的要求（需提供省级或省级以上计量检定部门或技术监督部门证书）。</w:t>
      </w:r>
    </w:p>
    <w:p>
      <w:pPr>
        <w:pStyle w:val="87"/>
        <w:tabs>
          <w:tab w:val="left" w:pos="928"/>
        </w:tabs>
        <w:spacing w:line="240" w:lineRule="auto"/>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.1.6水表尺寸（含电子设备）：</w:t>
      </w:r>
    </w:p>
    <w:tbl>
      <w:tblPr>
        <w:tblStyle w:val="24"/>
        <w:tblW w:w="940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0"/>
        <w:gridCol w:w="2350"/>
        <w:gridCol w:w="2350"/>
        <w:gridCol w:w="23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pStyle w:val="49"/>
              <w:spacing w:line="240" w:lineRule="auto"/>
              <w:ind w:right="722"/>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口径</w:t>
            </w:r>
            <w:r>
              <w:rPr>
                <w:rFonts w:hint="eastAsia" w:ascii="仿宋" w:hAnsi="仿宋" w:eastAsia="仿宋" w:cs="Times New Roman"/>
                <w:kern w:val="2"/>
                <w:sz w:val="21"/>
                <w:szCs w:val="21"/>
                <w:lang w:val="en-US" w:bidi="ar-SA"/>
              </w:rPr>
              <w:t>（</w:t>
            </w:r>
            <w:r>
              <w:rPr>
                <w:rFonts w:ascii="仿宋" w:hAnsi="仿宋" w:eastAsia="仿宋" w:cs="Times New Roman"/>
                <w:kern w:val="2"/>
                <w:sz w:val="21"/>
                <w:szCs w:val="21"/>
                <w:lang w:val="en-US" w:bidi="ar-SA"/>
              </w:rPr>
              <w:t>mm）</w:t>
            </w:r>
          </w:p>
        </w:tc>
        <w:tc>
          <w:tcPr>
            <w:tcW w:w="2350" w:type="dxa"/>
            <w:vAlign w:val="center"/>
          </w:tcPr>
          <w:p>
            <w:pPr>
              <w:pStyle w:val="49"/>
              <w:spacing w:line="240" w:lineRule="auto"/>
              <w:ind w:left="432" w:right="414"/>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长（mm）</w:t>
            </w:r>
          </w:p>
        </w:tc>
        <w:tc>
          <w:tcPr>
            <w:tcW w:w="2350" w:type="dxa"/>
            <w:vAlign w:val="center"/>
          </w:tcPr>
          <w:p>
            <w:pPr>
              <w:pStyle w:val="49"/>
              <w:spacing w:line="240" w:lineRule="auto"/>
              <w:ind w:left="457" w:right="440"/>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宽（mm）</w:t>
            </w:r>
          </w:p>
        </w:tc>
        <w:tc>
          <w:tcPr>
            <w:tcW w:w="2350" w:type="dxa"/>
            <w:vAlign w:val="center"/>
          </w:tcPr>
          <w:p>
            <w:pPr>
              <w:pStyle w:val="49"/>
              <w:spacing w:line="240" w:lineRule="auto"/>
              <w:ind w:left="455" w:right="431"/>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高（mm）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165/190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≤99</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160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pStyle w:val="49"/>
              <w:spacing w:line="240" w:lineRule="auto"/>
              <w:ind w:left="748" w:right="721"/>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DN20</w:t>
            </w:r>
          </w:p>
        </w:tc>
        <w:tc>
          <w:tcPr>
            <w:tcW w:w="2350" w:type="dxa"/>
            <w:vAlign w:val="center"/>
          </w:tcPr>
          <w:p>
            <w:pPr>
              <w:pStyle w:val="49"/>
              <w:spacing w:line="240" w:lineRule="auto"/>
              <w:ind w:left="430" w:right="414"/>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195</w:t>
            </w:r>
          </w:p>
        </w:tc>
        <w:tc>
          <w:tcPr>
            <w:tcW w:w="2350" w:type="dxa"/>
            <w:vAlign w:val="center"/>
          </w:tcPr>
          <w:p>
            <w:pPr>
              <w:pStyle w:val="49"/>
              <w:spacing w:line="240" w:lineRule="auto"/>
              <w:ind w:left="457" w:right="436"/>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≤99</w:t>
            </w:r>
          </w:p>
        </w:tc>
        <w:tc>
          <w:tcPr>
            <w:tcW w:w="2350" w:type="dxa"/>
            <w:vAlign w:val="center"/>
          </w:tcPr>
          <w:p>
            <w:pPr>
              <w:pStyle w:val="49"/>
              <w:spacing w:line="240" w:lineRule="auto"/>
              <w:ind w:left="455" w:right="430"/>
              <w:jc w:val="center"/>
              <w:rPr>
                <w:rFonts w:ascii="仿宋" w:hAnsi="仿宋" w:eastAsia="仿宋" w:cs="Times New Roman"/>
                <w:kern w:val="2"/>
                <w:sz w:val="21"/>
                <w:szCs w:val="21"/>
                <w:lang w:val="en-US" w:bidi="ar-SA"/>
              </w:rPr>
            </w:pPr>
            <w:r>
              <w:rPr>
                <w:rFonts w:ascii="仿宋" w:hAnsi="仿宋" w:eastAsia="仿宋" w:cs="Times New Roman"/>
                <w:kern w:val="2"/>
                <w:sz w:val="21"/>
                <w:szCs w:val="21"/>
                <w:lang w:val="en-US" w:bidi="ar-SA"/>
              </w:rPr>
              <w:t>≤180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DN25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225/260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≤104</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D</w:t>
            </w:r>
            <w:r>
              <w:rPr>
                <w:rFonts w:ascii="仿宋" w:hAnsi="仿宋" w:eastAsia="仿宋"/>
                <w:kern w:val="2"/>
                <w:sz w:val="21"/>
                <w:szCs w:val="21"/>
              </w:rPr>
              <w:t>N40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2</w:t>
            </w:r>
            <w:r>
              <w:rPr>
                <w:rFonts w:ascii="仿宋" w:hAnsi="仿宋" w:eastAsia="仿宋"/>
                <w:kern w:val="2"/>
                <w:sz w:val="21"/>
                <w:szCs w:val="21"/>
              </w:rPr>
              <w:t>80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1</w:t>
            </w:r>
            <w:r>
              <w:rPr>
                <w:rFonts w:ascii="仿宋" w:hAnsi="仿宋" w:eastAsia="仿宋"/>
                <w:kern w:val="2"/>
                <w:sz w:val="21"/>
                <w:szCs w:val="21"/>
              </w:rPr>
              <w:t>65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4</w:t>
            </w:r>
            <w:r>
              <w:rPr>
                <w:rFonts w:ascii="仿宋" w:hAnsi="仿宋" w:eastAsia="仿宋"/>
                <w:kern w:val="2"/>
                <w:sz w:val="21"/>
                <w:szCs w:val="21"/>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DN50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≤280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≤165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≤415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hint="eastAsia" w:ascii="仿宋" w:hAnsi="仿宋" w:eastAsia="仿宋"/>
                <w:kern w:val="2"/>
                <w:sz w:val="21"/>
                <w:szCs w:val="21"/>
              </w:rPr>
              <w:t>D</w:t>
            </w:r>
            <w:r>
              <w:rPr>
                <w:rFonts w:ascii="仿宋" w:hAnsi="仿宋" w:eastAsia="仿宋"/>
                <w:kern w:val="2"/>
                <w:sz w:val="21"/>
                <w:szCs w:val="21"/>
              </w:rPr>
              <w:t>N80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2</w:t>
            </w:r>
            <w:r>
              <w:rPr>
                <w:rFonts w:ascii="仿宋" w:hAnsi="仿宋" w:eastAsia="仿宋"/>
                <w:kern w:val="2"/>
                <w:sz w:val="21"/>
                <w:szCs w:val="21"/>
              </w:rPr>
              <w:t>25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w:t>
            </w:r>
            <w:r>
              <w:rPr>
                <w:rFonts w:hint="eastAsia" w:ascii="仿宋" w:hAnsi="仿宋" w:eastAsia="仿宋"/>
                <w:kern w:val="2"/>
                <w:sz w:val="21"/>
                <w:szCs w:val="21"/>
              </w:rPr>
              <w:t>2</w:t>
            </w:r>
            <w:r>
              <w:rPr>
                <w:rFonts w:ascii="仿宋" w:hAnsi="仿宋" w:eastAsia="仿宋"/>
                <w:kern w:val="2"/>
                <w:sz w:val="21"/>
                <w:szCs w:val="21"/>
              </w:rPr>
              <w:t>15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DN100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≤250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≤220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≤485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DN150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≤500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≤285</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≤550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0" w:type="dxa"/>
            <w:vAlign w:val="center"/>
          </w:tcPr>
          <w:p>
            <w:pPr>
              <w:widowControl/>
              <w:spacing w:line="240" w:lineRule="auto"/>
              <w:jc w:val="center"/>
              <w:rPr>
                <w:rFonts w:ascii="仿宋" w:hAnsi="仿宋" w:eastAsia="仿宋"/>
                <w:kern w:val="2"/>
                <w:sz w:val="21"/>
                <w:szCs w:val="21"/>
              </w:rPr>
            </w:pPr>
            <w:r>
              <w:rPr>
                <w:rFonts w:ascii="仿宋" w:hAnsi="仿宋" w:eastAsia="仿宋"/>
                <w:kern w:val="2"/>
                <w:sz w:val="21"/>
                <w:szCs w:val="21"/>
              </w:rPr>
              <w:t>DN200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≤500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≤340</w:t>
            </w:r>
          </w:p>
        </w:tc>
        <w:tc>
          <w:tcPr>
            <w:tcW w:w="2350" w:type="dxa"/>
            <w:vAlign w:val="center"/>
          </w:tcPr>
          <w:p>
            <w:pPr>
              <w:adjustRightInd w:val="0"/>
              <w:snapToGrid w:val="0"/>
              <w:spacing w:line="240" w:lineRule="auto"/>
              <w:jc w:val="center"/>
              <w:rPr>
                <w:rFonts w:ascii="仿宋" w:hAnsi="仿宋" w:eastAsia="仿宋"/>
                <w:kern w:val="2"/>
                <w:sz w:val="21"/>
                <w:szCs w:val="21"/>
              </w:rPr>
            </w:pPr>
            <w:r>
              <w:rPr>
                <w:rFonts w:ascii="仿宋" w:hAnsi="仿宋" w:eastAsia="仿宋"/>
                <w:kern w:val="2"/>
                <w:sz w:val="21"/>
                <w:szCs w:val="21"/>
              </w:rPr>
              <w:t>≤615</w:t>
            </w:r>
          </w:p>
        </w:tc>
      </w:tr>
    </w:tbl>
    <w:p>
      <w:pPr>
        <w:spacing w:line="240" w:lineRule="auto"/>
        <w:ind w:firstLine="420" w:firstLineChars="200"/>
        <w:rPr>
          <w:rFonts w:ascii="仿宋" w:hAnsi="仿宋" w:eastAsia="仿宋"/>
          <w:kern w:val="44"/>
          <w:szCs w:val="21"/>
        </w:rPr>
      </w:pPr>
      <w:r>
        <w:rPr>
          <w:rFonts w:ascii="仿宋" w:hAnsi="仿宋" w:eastAsia="仿宋"/>
          <w:kern w:val="44"/>
          <w:szCs w:val="21"/>
        </w:rPr>
        <w:t>注：高度是指表盖掀起时水表整体的最高高度。</w:t>
      </w:r>
    </w:p>
    <w:p>
      <w:pPr>
        <w:spacing w:line="240" w:lineRule="auto"/>
        <w:ind w:firstLine="420" w:firstLineChars="200"/>
        <w:rPr>
          <w:rFonts w:ascii="仿宋" w:hAnsi="仿宋" w:eastAsia="仿宋"/>
          <w:szCs w:val="21"/>
        </w:rPr>
      </w:pPr>
      <w:r>
        <w:rPr>
          <w:rFonts w:hint="eastAsia" w:ascii="仿宋" w:hAnsi="仿宋" w:eastAsia="仿宋"/>
          <w:kern w:val="44"/>
          <w:szCs w:val="21"/>
        </w:rPr>
        <w:t>1</w:t>
      </w:r>
      <w:r>
        <w:rPr>
          <w:rFonts w:ascii="仿宋" w:hAnsi="仿宋" w:eastAsia="仿宋"/>
          <w:kern w:val="44"/>
          <w:szCs w:val="21"/>
        </w:rPr>
        <w:t>.1.7 DN15—</w:t>
      </w:r>
      <w:r>
        <w:rPr>
          <w:rFonts w:ascii="仿宋" w:hAnsi="仿宋" w:eastAsia="仿宋"/>
          <w:szCs w:val="21"/>
        </w:rPr>
        <w:t>DN25采用机电</w:t>
      </w:r>
      <w:r>
        <w:rPr>
          <w:rFonts w:hint="eastAsia" w:ascii="仿宋" w:hAnsi="仿宋" w:eastAsia="仿宋"/>
          <w:szCs w:val="21"/>
        </w:rPr>
        <w:t>一体式</w:t>
      </w:r>
      <w:r>
        <w:rPr>
          <w:rFonts w:ascii="仿宋" w:hAnsi="仿宋" w:eastAsia="仿宋"/>
          <w:szCs w:val="21"/>
        </w:rPr>
        <w:t>设计</w:t>
      </w:r>
      <w:r>
        <w:rPr>
          <w:rFonts w:hint="eastAsia" w:ascii="仿宋" w:hAnsi="仿宋" w:eastAsia="仿宋"/>
          <w:szCs w:val="21"/>
        </w:rPr>
        <w:t>，机械和电子双计量。采用稳定的双干簧管脉冲采样且不得影响机械指针读数，采用</w:t>
      </w:r>
      <w:r>
        <w:rPr>
          <w:rFonts w:ascii="仿宋" w:hAnsi="仿宋" w:eastAsia="仿宋"/>
          <w:szCs w:val="21"/>
        </w:rPr>
        <w:t>无线传输方式为NB-IoT传输。</w:t>
      </w:r>
      <w:r>
        <w:rPr>
          <w:rFonts w:ascii="仿宋" w:hAnsi="仿宋" w:eastAsia="仿宋"/>
          <w:kern w:val="44"/>
          <w:szCs w:val="21"/>
        </w:rPr>
        <w:t>必须符合 CMA/WM778《小口径饮用水冷水表表壳技术规范》相关要求。</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1）计数器：数字外观高度≥4mm，宽度≥2mm，度盘长期清晰。</w:t>
      </w:r>
    </w:p>
    <w:p>
      <w:pPr>
        <w:pStyle w:val="87"/>
        <w:tabs>
          <w:tab w:val="left" w:pos="980"/>
        </w:tabs>
        <w:spacing w:line="240" w:lineRule="auto"/>
        <w:rPr>
          <w:rFonts w:ascii="仿宋" w:hAnsi="仿宋" w:eastAsia="仿宋"/>
          <w:kern w:val="44"/>
          <w:szCs w:val="21"/>
        </w:rPr>
      </w:pPr>
      <w:r>
        <w:rPr>
          <w:rFonts w:ascii="仿宋" w:hAnsi="仿宋" w:eastAsia="仿宋"/>
          <w:kern w:val="44"/>
          <w:szCs w:val="21"/>
        </w:rPr>
        <w:t>2）机械字轮位数：指示到 m</w:t>
      </w:r>
      <w:r>
        <w:rPr>
          <w:rFonts w:ascii="Calibri" w:hAnsi="Calibri" w:eastAsia="仿宋" w:cs="Calibri"/>
          <w:kern w:val="44"/>
          <w:szCs w:val="21"/>
        </w:rPr>
        <w:t>³</w:t>
      </w:r>
      <w:r>
        <w:rPr>
          <w:rFonts w:ascii="仿宋" w:hAnsi="仿宋" w:eastAsia="仿宋"/>
          <w:kern w:val="44"/>
          <w:szCs w:val="21"/>
        </w:rPr>
        <w:t>的位数为≥4位，即满行度9999m</w:t>
      </w:r>
      <w:r>
        <w:rPr>
          <w:rFonts w:ascii="Calibri" w:hAnsi="Calibri" w:eastAsia="仿宋" w:cs="Calibri"/>
          <w:kern w:val="44"/>
          <w:szCs w:val="21"/>
        </w:rPr>
        <w:t>³</w:t>
      </w:r>
      <w:r>
        <w:rPr>
          <w:rFonts w:ascii="仿宋" w:hAnsi="仿宋" w:eastAsia="仿宋"/>
          <w:kern w:val="44"/>
          <w:szCs w:val="21"/>
        </w:rPr>
        <w:t>。</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w:t>
      </w:r>
      <w:r>
        <w:rPr>
          <w:rFonts w:hint="eastAsia" w:ascii="仿宋" w:hAnsi="仿宋" w:eastAsia="仿宋"/>
        </w:rPr>
        <w:t xml:space="preserve"> </w:t>
      </w:r>
      <w:r>
        <w:rPr>
          <w:rFonts w:hint="eastAsia" w:ascii="仿宋" w:hAnsi="仿宋" w:eastAsia="仿宋"/>
          <w:kern w:val="44"/>
          <w:szCs w:val="21"/>
        </w:rPr>
        <w:t>水表带有防尘盖，防止异物落入表盘影响人工抄读。电池仓、线路板仓均应为独立密封设计，线路板采用灌胶密封、舱体密封双重密封,确保防水性能。电池仓独立密封，位于侧面，更换电池方便，具有掉电关阀功能。按照每天上报一次的频率，应确保电池的工作寿命≥6年的要求。</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4</w:t>
      </w:r>
      <w:r>
        <w:rPr>
          <w:rFonts w:ascii="仿宋" w:hAnsi="仿宋" w:eastAsia="仿宋"/>
          <w:kern w:val="44"/>
          <w:szCs w:val="21"/>
        </w:rPr>
        <w:t>)</w:t>
      </w:r>
      <w:r>
        <w:rPr>
          <w:rFonts w:hint="eastAsia" w:ascii="仿宋" w:hAnsi="仿宋" w:eastAsia="仿宋"/>
        </w:rPr>
        <w:t xml:space="preserve"> </w:t>
      </w:r>
      <w:r>
        <w:rPr>
          <w:rFonts w:hint="eastAsia" w:ascii="仿宋" w:hAnsi="仿宋" w:eastAsia="仿宋"/>
          <w:kern w:val="44"/>
          <w:szCs w:val="21"/>
        </w:rPr>
        <w:t>为保证阀门动作的可靠性，执行器须采用金属材质齿轮，禁止使用全塑料齿轮。产品应达到IP68的防护等级。</w:t>
      </w:r>
    </w:p>
    <w:p>
      <w:pPr>
        <w:pStyle w:val="87"/>
        <w:tabs>
          <w:tab w:val="left" w:pos="1033"/>
        </w:tabs>
        <w:spacing w:line="240" w:lineRule="auto"/>
        <w:rPr>
          <w:rFonts w:ascii="仿宋" w:hAnsi="仿宋" w:eastAsia="仿宋"/>
          <w:szCs w:val="21"/>
        </w:rPr>
      </w:pPr>
      <w:r>
        <w:rPr>
          <w:rFonts w:hint="eastAsia" w:ascii="仿宋" w:hAnsi="仿宋" w:eastAsia="仿宋"/>
          <w:kern w:val="44"/>
          <w:szCs w:val="21"/>
        </w:rPr>
        <w:t>1</w:t>
      </w:r>
      <w:r>
        <w:rPr>
          <w:rFonts w:ascii="仿宋" w:hAnsi="仿宋" w:eastAsia="仿宋"/>
          <w:kern w:val="44"/>
          <w:szCs w:val="21"/>
        </w:rPr>
        <w:t xml:space="preserve">.1.8 </w:t>
      </w:r>
      <w:r>
        <w:rPr>
          <w:rFonts w:ascii="仿宋" w:hAnsi="仿宋" w:eastAsia="仿宋"/>
          <w:szCs w:val="21"/>
        </w:rPr>
        <w:t>DN100及以上水表采用垂直螺翼式湿式冷水水表，</w:t>
      </w:r>
      <w:r>
        <w:rPr>
          <w:rFonts w:ascii="仿宋" w:hAnsi="仿宋" w:eastAsia="仿宋"/>
          <w:kern w:val="44"/>
          <w:szCs w:val="21"/>
        </w:rPr>
        <w:t>表壳为球墨铸铁，必须符合 CMA/WM778《小口径饮用水冷水表表壳技术规范》相关要求。</w:t>
      </w:r>
    </w:p>
    <w:p>
      <w:pPr>
        <w:spacing w:line="240" w:lineRule="auto"/>
        <w:ind w:firstLine="420" w:firstLineChars="200"/>
        <w:rPr>
          <w:rFonts w:ascii="仿宋" w:hAnsi="仿宋" w:eastAsia="仿宋"/>
          <w:szCs w:val="21"/>
        </w:rPr>
      </w:pPr>
      <w:r>
        <w:rPr>
          <w:rFonts w:hint="eastAsia" w:ascii="仿宋" w:hAnsi="仿宋" w:eastAsia="仿宋"/>
          <w:szCs w:val="21"/>
        </w:rPr>
        <w:t>1</w:t>
      </w:r>
      <w:r>
        <w:rPr>
          <w:rFonts w:ascii="仿宋" w:hAnsi="仿宋" w:eastAsia="仿宋"/>
          <w:szCs w:val="21"/>
        </w:rPr>
        <w:t>.1.9 基表机芯</w:t>
      </w:r>
      <w:r>
        <w:rPr>
          <w:rFonts w:ascii="仿宋" w:hAnsi="仿宋" w:eastAsia="仿宋"/>
          <w:kern w:val="44"/>
          <w:szCs w:val="21"/>
        </w:rPr>
        <w:t>零部件</w:t>
      </w:r>
      <w:r>
        <w:rPr>
          <w:rFonts w:ascii="仿宋" w:hAnsi="仿宋" w:eastAsia="仿宋"/>
          <w:szCs w:val="21"/>
        </w:rPr>
        <w:t>材料要求：</w:t>
      </w:r>
      <w:r>
        <w:rPr>
          <w:rFonts w:ascii="仿宋" w:hAnsi="仿宋" w:eastAsia="仿宋"/>
          <w:kern w:val="44"/>
          <w:szCs w:val="21"/>
        </w:rPr>
        <w:t>应采用无毒、无污染、无生物活性的材料</w:t>
      </w:r>
    </w:p>
    <w:p>
      <w:pPr>
        <w:spacing w:line="240" w:lineRule="auto"/>
        <w:ind w:firstLine="420" w:firstLineChars="200"/>
        <w:rPr>
          <w:rFonts w:ascii="仿宋" w:hAnsi="仿宋" w:eastAsia="仿宋"/>
          <w:szCs w:val="21"/>
        </w:rPr>
      </w:pPr>
      <w:r>
        <w:rPr>
          <w:rFonts w:ascii="仿宋" w:hAnsi="仿宋" w:eastAsia="仿宋"/>
          <w:szCs w:val="21"/>
        </w:rPr>
        <w:t>1）机芯外观：水表机芯光洁度高，无毛刺，机件间配合紧凑、表盘标志必须符合国家相关要求，表盘标志清晰度高。</w:t>
      </w:r>
    </w:p>
    <w:p>
      <w:pPr>
        <w:spacing w:line="240" w:lineRule="auto"/>
        <w:ind w:firstLine="420" w:firstLineChars="200"/>
        <w:rPr>
          <w:rFonts w:ascii="仿宋" w:hAnsi="仿宋" w:eastAsia="仿宋"/>
          <w:szCs w:val="21"/>
        </w:rPr>
      </w:pPr>
      <w:r>
        <w:rPr>
          <w:rFonts w:ascii="仿宋" w:hAnsi="仿宋" w:eastAsia="仿宋"/>
          <w:szCs w:val="21"/>
        </w:rPr>
        <w:t>2）机芯结构：水表字轮读数部分应由特殊液体密封，保证与水隔绝，读数保证长期清晰。标度盘内气泡直径不得大于3毫米。</w:t>
      </w:r>
    </w:p>
    <w:p>
      <w:pPr>
        <w:spacing w:line="240" w:lineRule="auto"/>
        <w:ind w:firstLine="420" w:firstLineChars="200"/>
        <w:rPr>
          <w:rFonts w:ascii="仿宋" w:hAnsi="仿宋" w:eastAsia="仿宋"/>
          <w:szCs w:val="21"/>
        </w:rPr>
      </w:pPr>
      <w:r>
        <w:rPr>
          <w:rFonts w:ascii="仿宋" w:hAnsi="仿宋" w:eastAsia="仿宋"/>
          <w:szCs w:val="21"/>
        </w:rPr>
        <w:t>3）水表机芯（叶轮盒、齿轮盒、叶轮等）：ABS塑料或更好材质。</w:t>
      </w:r>
    </w:p>
    <w:p>
      <w:pPr>
        <w:spacing w:line="240" w:lineRule="auto"/>
        <w:ind w:firstLine="420" w:firstLineChars="200"/>
        <w:rPr>
          <w:rFonts w:ascii="仿宋" w:hAnsi="仿宋" w:eastAsia="仿宋"/>
          <w:szCs w:val="21"/>
        </w:rPr>
      </w:pPr>
      <w:r>
        <w:rPr>
          <w:rFonts w:ascii="仿宋" w:hAnsi="仿宋" w:eastAsia="仿宋"/>
          <w:szCs w:val="21"/>
        </w:rPr>
        <w:t>4）字轮、度盘：ABS白塑料或更好材质。</w:t>
      </w:r>
    </w:p>
    <w:p>
      <w:pPr>
        <w:spacing w:line="240" w:lineRule="auto"/>
        <w:ind w:firstLine="420" w:firstLineChars="200"/>
        <w:rPr>
          <w:rFonts w:ascii="仿宋" w:hAnsi="仿宋" w:eastAsia="仿宋"/>
          <w:szCs w:val="21"/>
        </w:rPr>
      </w:pPr>
      <w:r>
        <w:rPr>
          <w:rFonts w:ascii="仿宋" w:hAnsi="仿宋" w:eastAsia="仿宋"/>
          <w:szCs w:val="21"/>
        </w:rPr>
        <w:t>5）齿轮：POM塑料或更好。</w:t>
      </w:r>
    </w:p>
    <w:p>
      <w:pPr>
        <w:spacing w:line="240" w:lineRule="auto"/>
        <w:ind w:firstLine="420" w:firstLineChars="200"/>
        <w:rPr>
          <w:rFonts w:ascii="仿宋" w:hAnsi="仿宋" w:eastAsia="仿宋"/>
          <w:szCs w:val="21"/>
        </w:rPr>
      </w:pPr>
      <w:r>
        <w:rPr>
          <w:rFonts w:ascii="仿宋" w:hAnsi="仿宋" w:eastAsia="仿宋"/>
          <w:szCs w:val="21"/>
        </w:rPr>
        <w:t>6）叶轮衬套：尼龙加二硫化钼自润滑剂合成塑料。</w:t>
      </w:r>
    </w:p>
    <w:p>
      <w:pPr>
        <w:spacing w:line="240" w:lineRule="auto"/>
        <w:ind w:firstLine="420" w:firstLineChars="200"/>
        <w:rPr>
          <w:rFonts w:ascii="仿宋" w:hAnsi="仿宋" w:eastAsia="仿宋"/>
          <w:szCs w:val="21"/>
        </w:rPr>
      </w:pPr>
      <w:r>
        <w:rPr>
          <w:rFonts w:ascii="仿宋" w:hAnsi="仿宋" w:eastAsia="仿宋"/>
          <w:szCs w:val="21"/>
        </w:rPr>
        <w:t>7）罩子、接管、螺母：铸造铅黄铜(ZcuZn40Pb2)或更好材质。</w:t>
      </w:r>
    </w:p>
    <w:p>
      <w:pPr>
        <w:spacing w:line="240" w:lineRule="auto"/>
        <w:ind w:firstLine="420" w:firstLineChars="200"/>
        <w:rPr>
          <w:rFonts w:ascii="仿宋" w:hAnsi="仿宋" w:eastAsia="仿宋"/>
          <w:szCs w:val="21"/>
        </w:rPr>
      </w:pPr>
      <w:r>
        <w:rPr>
          <w:rFonts w:ascii="仿宋" w:hAnsi="仿宋" w:eastAsia="仿宋"/>
          <w:szCs w:val="21"/>
        </w:rPr>
        <w:t>8）铜件规格（厚度）应符合CJ 266-2008 《饮用水冷水水表安全规则》。</w:t>
      </w:r>
    </w:p>
    <w:p>
      <w:pPr>
        <w:spacing w:line="240" w:lineRule="auto"/>
        <w:ind w:firstLine="420" w:firstLineChars="200"/>
        <w:rPr>
          <w:rFonts w:ascii="仿宋" w:hAnsi="仿宋" w:eastAsia="仿宋"/>
          <w:szCs w:val="21"/>
        </w:rPr>
      </w:pPr>
      <w:r>
        <w:rPr>
          <w:rFonts w:ascii="仿宋" w:hAnsi="仿宋" w:eastAsia="仿宋"/>
          <w:szCs w:val="21"/>
        </w:rPr>
        <w:t>9）表壳：球墨铸铁，内外喷塑。</w:t>
      </w:r>
    </w:p>
    <w:p>
      <w:pPr>
        <w:spacing w:line="240" w:lineRule="auto"/>
        <w:ind w:firstLine="420" w:firstLineChars="200"/>
        <w:rPr>
          <w:rFonts w:ascii="仿宋" w:hAnsi="仿宋" w:eastAsia="仿宋"/>
          <w:szCs w:val="21"/>
        </w:rPr>
      </w:pPr>
      <w:r>
        <w:rPr>
          <w:rFonts w:ascii="仿宋" w:hAnsi="仿宋" w:eastAsia="仿宋"/>
          <w:szCs w:val="21"/>
        </w:rPr>
        <w:t>10）DN15-DN25水表须配铸造铅黄铜(ZcuZn40Pb2)或更好材质的接管和螺母。</w:t>
      </w:r>
    </w:p>
    <w:p>
      <w:pPr>
        <w:pStyle w:val="87"/>
        <w:tabs>
          <w:tab w:val="left" w:pos="928"/>
        </w:tabs>
        <w:spacing w:line="240" w:lineRule="auto"/>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.1.10 水表以及电子部分各自预留铅封口。</w:t>
      </w:r>
    </w:p>
    <w:p>
      <w:pPr>
        <w:pStyle w:val="87"/>
        <w:tabs>
          <w:tab w:val="left" w:pos="1033"/>
        </w:tabs>
        <w:spacing w:line="240" w:lineRule="auto"/>
        <w:rPr>
          <w:rFonts w:ascii="仿宋" w:hAnsi="仿宋" w:eastAsia="仿宋"/>
          <w:kern w:val="44"/>
          <w:szCs w:val="21"/>
        </w:rPr>
      </w:pPr>
      <w:r>
        <w:rPr>
          <w:rFonts w:hint="eastAsia" w:ascii="仿宋" w:hAnsi="仿宋" w:eastAsia="仿宋"/>
          <w:kern w:val="44"/>
          <w:szCs w:val="21"/>
        </w:rPr>
        <w:t>1</w:t>
      </w:r>
      <w:r>
        <w:rPr>
          <w:rFonts w:ascii="仿宋" w:hAnsi="仿宋" w:eastAsia="仿宋"/>
          <w:kern w:val="44"/>
          <w:szCs w:val="21"/>
        </w:rPr>
        <w:t>.1.11 标志：应清楚、永久地在水表外壳、指示装置的度盘或铭牌、不可分离的水表表盖上，集中或分散标明以下信息：</w:t>
      </w:r>
    </w:p>
    <w:p>
      <w:pPr>
        <w:spacing w:line="240" w:lineRule="auto"/>
        <w:ind w:firstLine="420" w:firstLineChars="200"/>
        <w:rPr>
          <w:rFonts w:ascii="仿宋" w:hAnsi="仿宋" w:eastAsia="仿宋"/>
          <w:kern w:val="44"/>
          <w:szCs w:val="21"/>
        </w:rPr>
      </w:pPr>
      <w:r>
        <w:rPr>
          <w:rFonts w:ascii="仿宋" w:hAnsi="仿宋" w:eastAsia="仿宋"/>
          <w:kern w:val="44"/>
          <w:szCs w:val="21"/>
        </w:rPr>
        <w:t>（1）计量器具型式批准标志和编号；</w:t>
      </w:r>
    </w:p>
    <w:p>
      <w:pPr>
        <w:spacing w:line="240" w:lineRule="auto"/>
        <w:ind w:firstLine="420" w:firstLineChars="200"/>
        <w:rPr>
          <w:rFonts w:ascii="仿宋" w:hAnsi="仿宋" w:eastAsia="仿宋"/>
          <w:kern w:val="44"/>
          <w:szCs w:val="21"/>
        </w:rPr>
      </w:pPr>
      <w:r>
        <w:rPr>
          <w:rFonts w:ascii="仿宋" w:hAnsi="仿宋" w:eastAsia="仿宋"/>
          <w:kern w:val="44"/>
          <w:szCs w:val="21"/>
        </w:rPr>
        <w:t>（2）制造商名称或商标；</w:t>
      </w:r>
    </w:p>
    <w:p>
      <w:pPr>
        <w:spacing w:line="240" w:lineRule="auto"/>
        <w:ind w:firstLine="420" w:firstLineChars="200"/>
        <w:rPr>
          <w:rFonts w:ascii="仿宋" w:hAnsi="仿宋" w:eastAsia="仿宋"/>
          <w:kern w:val="44"/>
          <w:szCs w:val="21"/>
        </w:rPr>
      </w:pPr>
      <w:r>
        <w:rPr>
          <w:rFonts w:ascii="仿宋" w:hAnsi="仿宋" w:eastAsia="仿宋"/>
          <w:kern w:val="44"/>
          <w:szCs w:val="21"/>
        </w:rPr>
        <w:t>（3）制造年月和编号（尽可能靠近指标装置）；</w:t>
      </w:r>
    </w:p>
    <w:p>
      <w:pPr>
        <w:spacing w:line="240" w:lineRule="auto"/>
        <w:ind w:firstLine="420" w:firstLineChars="200"/>
        <w:rPr>
          <w:rFonts w:ascii="仿宋" w:hAnsi="仿宋" w:eastAsia="仿宋"/>
          <w:kern w:val="44"/>
          <w:szCs w:val="21"/>
        </w:rPr>
      </w:pPr>
      <w:r>
        <w:rPr>
          <w:rFonts w:ascii="仿宋" w:hAnsi="仿宋" w:eastAsia="仿宋"/>
          <w:kern w:val="44"/>
          <w:szCs w:val="21"/>
        </w:rPr>
        <w:t>（4）流向（在水表壳体两侧标志，或者如果在任何情况下都能很容易看到流动方向指示箭头，也可只标志在一侧）；</w:t>
      </w:r>
    </w:p>
    <w:p>
      <w:pPr>
        <w:spacing w:line="240" w:lineRule="auto"/>
        <w:ind w:firstLine="420" w:firstLineChars="200"/>
        <w:rPr>
          <w:rFonts w:ascii="仿宋" w:hAnsi="仿宋" w:eastAsia="仿宋"/>
          <w:kern w:val="44"/>
          <w:szCs w:val="21"/>
        </w:rPr>
      </w:pPr>
      <w:r>
        <w:rPr>
          <w:rFonts w:ascii="仿宋" w:hAnsi="仿宋" w:eastAsia="仿宋"/>
          <w:kern w:val="44"/>
          <w:szCs w:val="21"/>
        </w:rPr>
        <w:t>（5）应附有产品使用说明书。</w:t>
      </w:r>
    </w:p>
    <w:p>
      <w:pPr>
        <w:spacing w:line="240" w:lineRule="auto"/>
        <w:ind w:firstLine="422" w:firstLineChars="200"/>
        <w:rPr>
          <w:rFonts w:ascii="仿宋" w:hAnsi="仿宋" w:eastAsia="仿宋"/>
          <w:b/>
          <w:bCs/>
          <w:kern w:val="44"/>
          <w:szCs w:val="21"/>
        </w:rPr>
      </w:pPr>
      <w:r>
        <w:rPr>
          <w:rFonts w:hint="eastAsia" w:ascii="仿宋" w:hAnsi="仿宋" w:eastAsia="仿宋"/>
          <w:b/>
          <w:bCs/>
          <w:kern w:val="44"/>
          <w:szCs w:val="21"/>
        </w:rPr>
        <w:t>2</w:t>
      </w:r>
      <w:r>
        <w:rPr>
          <w:rFonts w:ascii="仿宋" w:hAnsi="仿宋" w:eastAsia="仿宋"/>
          <w:b/>
          <w:bCs/>
          <w:kern w:val="44"/>
          <w:szCs w:val="21"/>
        </w:rPr>
        <w:t>、水表电子设备要求</w:t>
      </w:r>
    </w:p>
    <w:p>
      <w:pPr>
        <w:pStyle w:val="36"/>
        <w:spacing w:line="240" w:lineRule="auto"/>
        <w:ind w:firstLine="420" w:firstLineChars="200"/>
        <w:rPr>
          <w:rFonts w:ascii="仿宋" w:hAnsi="仿宋" w:eastAsia="仿宋"/>
        </w:rPr>
      </w:pPr>
      <w:r>
        <w:rPr>
          <w:rFonts w:ascii="仿宋" w:hAnsi="仿宋" w:eastAsia="仿宋"/>
        </w:rPr>
        <w:t>2.1</w:t>
      </w:r>
      <w:r>
        <w:rPr>
          <w:rFonts w:hint="eastAsia" w:ascii="仿宋" w:hAnsi="仿宋" w:eastAsia="仿宋"/>
        </w:rPr>
        <w:t>具备每天定时自动上传数据，自动冻结最近7天的整点用水量，并在每次自动上传时将数据发送给服务器。本次数据上报不成功时，可在下次数据上报时自动补齐本次数据，保证水表用水数据连续性。</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2.2</w:t>
      </w:r>
      <w:r>
        <w:rPr>
          <w:rFonts w:hint="eastAsia" w:ascii="仿宋" w:hAnsi="仿宋" w:eastAsia="仿宋"/>
          <w:kern w:val="44"/>
          <w:szCs w:val="21"/>
        </w:rPr>
        <w:t>具备多种报警，如磁攻击报警、阀门故障报警等。</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2.3</w:t>
      </w:r>
      <w:r>
        <w:rPr>
          <w:rFonts w:hint="eastAsia" w:ascii="仿宋" w:hAnsi="仿宋" w:eastAsia="仿宋"/>
          <w:kern w:val="44"/>
          <w:szCs w:val="21"/>
        </w:rPr>
        <w:t>具备将电池电压、信号强度等信息上报给服务器。</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2.4</w:t>
      </w:r>
      <w:r>
        <w:rPr>
          <w:rFonts w:hint="eastAsia" w:ascii="仿宋" w:hAnsi="仿宋" w:eastAsia="仿宋"/>
          <w:kern w:val="44"/>
          <w:szCs w:val="21"/>
        </w:rPr>
        <w:t>具备表阀锈死检测功能，且可将故障状态上报给服务器。</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2.5</w:t>
      </w:r>
      <w:r>
        <w:rPr>
          <w:rFonts w:hint="eastAsia" w:ascii="仿宋" w:hAnsi="仿宋" w:eastAsia="仿宋"/>
          <w:kern w:val="44"/>
          <w:szCs w:val="21"/>
        </w:rPr>
        <w:t>具有拔电池关阀功能，防止用户偷水。</w:t>
      </w:r>
    </w:p>
    <w:p>
      <w:pPr>
        <w:pStyle w:val="87"/>
        <w:tabs>
          <w:tab w:val="left" w:pos="928"/>
        </w:tabs>
        <w:spacing w:line="240" w:lineRule="auto"/>
        <w:rPr>
          <w:rFonts w:ascii="仿宋" w:hAnsi="仿宋" w:eastAsia="仿宋"/>
          <w:kern w:val="44"/>
          <w:szCs w:val="21"/>
        </w:rPr>
      </w:pPr>
      <w:r>
        <w:rPr>
          <w:rFonts w:ascii="仿宋" w:hAnsi="仿宋" w:eastAsia="仿宋"/>
          <w:kern w:val="44"/>
          <w:szCs w:val="21"/>
        </w:rPr>
        <w:t>2.6</w:t>
      </w:r>
      <w:r>
        <w:rPr>
          <w:rFonts w:hint="eastAsia" w:ascii="仿宋" w:hAnsi="仿宋" w:eastAsia="仿宋"/>
          <w:kern w:val="44"/>
          <w:szCs w:val="21"/>
        </w:rPr>
        <w:t>具备磁攻击关阀报警功能，当强磁铁靠近水表时，水表将自动关闭阀门。</w:t>
      </w:r>
    </w:p>
    <w:p>
      <w:pPr>
        <w:pStyle w:val="87"/>
        <w:tabs>
          <w:tab w:val="left" w:pos="928"/>
        </w:tabs>
        <w:spacing w:line="240" w:lineRule="auto"/>
        <w:rPr>
          <w:rFonts w:ascii="仿宋" w:hAnsi="仿宋" w:eastAsia="仿宋"/>
          <w:kern w:val="44"/>
          <w:szCs w:val="21"/>
        </w:rPr>
      </w:pPr>
      <w:r>
        <w:rPr>
          <w:rFonts w:hint="eastAsia" w:ascii="仿宋" w:hAnsi="仿宋" w:eastAsia="仿宋"/>
          <w:kern w:val="44"/>
          <w:szCs w:val="21"/>
        </w:rPr>
        <w:t>2</w:t>
      </w:r>
      <w:r>
        <w:rPr>
          <w:rFonts w:ascii="仿宋" w:hAnsi="仿宋" w:eastAsia="仿宋"/>
          <w:kern w:val="44"/>
          <w:szCs w:val="21"/>
        </w:rPr>
        <w:t>.7防水等级：IP68</w:t>
      </w:r>
      <w:r>
        <w:rPr>
          <w:rFonts w:hint="eastAsia" w:ascii="仿宋" w:hAnsi="仿宋" w:eastAsia="仿宋"/>
          <w:kern w:val="44"/>
          <w:szCs w:val="21"/>
        </w:rPr>
        <w:t>，</w:t>
      </w:r>
      <w:r>
        <w:rPr>
          <w:rFonts w:ascii="仿宋" w:hAnsi="仿宋" w:eastAsia="仿宋"/>
          <w:kern w:val="44"/>
          <w:szCs w:val="21"/>
        </w:rPr>
        <w:t>不进灰尘，满足长期浸水的要求（需提供省级或省级以上计量检定部门或技术监督部门证书）</w:t>
      </w:r>
      <w:r>
        <w:rPr>
          <w:rFonts w:hint="eastAsia" w:ascii="仿宋" w:hAnsi="仿宋" w:eastAsia="仿宋"/>
          <w:kern w:val="44"/>
          <w:szCs w:val="21"/>
        </w:rPr>
        <w:t>。</w:t>
      </w:r>
    </w:p>
    <w:p>
      <w:pPr>
        <w:spacing w:line="240" w:lineRule="auto"/>
        <w:ind w:firstLine="422" w:firstLineChars="200"/>
        <w:rPr>
          <w:rFonts w:ascii="仿宋" w:hAnsi="仿宋" w:eastAsia="仿宋"/>
          <w:b/>
          <w:bCs/>
          <w:kern w:val="44"/>
          <w:szCs w:val="21"/>
        </w:rPr>
      </w:pPr>
      <w:r>
        <w:rPr>
          <w:rFonts w:hint="eastAsia" w:ascii="仿宋" w:hAnsi="仿宋" w:eastAsia="仿宋"/>
          <w:b/>
          <w:bCs/>
          <w:kern w:val="44"/>
          <w:szCs w:val="21"/>
        </w:rPr>
        <w:t>3</w:t>
      </w:r>
      <w:r>
        <w:rPr>
          <w:rFonts w:ascii="仿宋" w:hAnsi="仿宋" w:eastAsia="仿宋"/>
          <w:b/>
          <w:bCs/>
          <w:kern w:val="44"/>
          <w:szCs w:val="21"/>
        </w:rPr>
        <w:t>、NB-IOT远传水表电子设备功能要求</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 日上报成功率：＞99.5%，抄读准确率：＞99.5%（投标方提供相关的证明材料）。</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.2 年故障率＜0.5%（投标方提供相关的证明材料）</w:t>
      </w:r>
      <w:r>
        <w:rPr>
          <w:rFonts w:hint="eastAsia" w:ascii="仿宋" w:hAnsi="仿宋" w:eastAsia="仿宋"/>
          <w:kern w:val="44"/>
          <w:szCs w:val="21"/>
        </w:rPr>
        <w:t>。</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.3 内置电池：采用可更换电池，在每天一次数据上报的频率时，应确保电池的额定工作寿命≥6年。</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.4 数据存储：可存储数据≥30 天，当存满存储介质时，新采集的数据自动覆盖最早数据。</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.5 远传水表应能人工抄读，水表电子设备不得破坏基表结构，不得影响人工抄读到m3位。</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.6 通讯方式：采用本地通信运营商的 NB-IoT 网络实现数据传输，并提供属地化日常通信运维服务；必须可无缝接入</w:t>
      </w:r>
      <w:r>
        <w:rPr>
          <w:rFonts w:hint="eastAsia" w:ascii="仿宋" w:hAnsi="仿宋" w:eastAsia="仿宋"/>
          <w:kern w:val="44"/>
          <w:szCs w:val="21"/>
        </w:rPr>
        <w:t>采购人指定水务营收</w:t>
      </w:r>
      <w:r>
        <w:rPr>
          <w:rFonts w:ascii="仿宋" w:hAnsi="仿宋" w:eastAsia="仿宋"/>
          <w:kern w:val="44"/>
          <w:szCs w:val="21"/>
        </w:rPr>
        <w:t>平台，按采购方制定的通讯协议标准生产。</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.7 周期上报：</w:t>
      </w:r>
    </w:p>
    <w:p>
      <w:pPr>
        <w:spacing w:line="240" w:lineRule="auto"/>
        <w:ind w:firstLine="420" w:firstLineChars="200"/>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.7.1 每日周期上报：上报前一天 24 小时数据，数据包含不低于每 60 分钟记录一次的数据，不低于 24 个记录信息等。</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.7.2 高频周期上报：可通过平台设置或更改发送频率，最小做到每小时周期上报，数据包含上报周期内的每 30 分钟记录一次的数据信息等。</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.8 补包功能：当本次数据上报不成功时，下个上报周期数据自动补包，在数据有效保存期内的数据都可以补包。</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.9 数据上报消息：数据上报消息要求在一个完整的消息报文中上送。</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 设置功能：可通过应用平台或手持设备进行设置。</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.10.1 周期上报离散设置：通过随机离散，把上报的时间点离散，最小估长 10S， 默认 0 点到 8 点内离散。</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.10.2 上报重发机制设置：上报不成功，水表数据进行重发，重发次数可设。</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.10.3 水表底数设置：可通过近端手持设备，设置水表初始行度。</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.10.4 水表编号设置：可通过近端手持设备和应用平台，设置水表内电子编号。</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.10.5 IP、端口设置：可通过近端手持设备和应用平台，设置 IP、端口。</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.11 报警功能：当用水</w:t>
      </w:r>
      <w:r>
        <w:rPr>
          <w:rFonts w:hint="eastAsia" w:ascii="仿宋" w:hAnsi="仿宋" w:eastAsia="仿宋"/>
          <w:kern w:val="44"/>
          <w:szCs w:val="21"/>
        </w:rPr>
        <w:t>欠费</w:t>
      </w:r>
      <w:r>
        <w:rPr>
          <w:rFonts w:ascii="仿宋" w:hAnsi="仿宋" w:eastAsia="仿宋"/>
          <w:kern w:val="44"/>
          <w:szCs w:val="21"/>
        </w:rPr>
        <w:t>或电池欠压时进行报警。</w:t>
      </w:r>
    </w:p>
    <w:p>
      <w:pPr>
        <w:pStyle w:val="87"/>
        <w:tabs>
          <w:tab w:val="left" w:pos="980"/>
        </w:tabs>
        <w:spacing w:line="240" w:lineRule="auto"/>
        <w:rPr>
          <w:rFonts w:ascii="仿宋" w:hAnsi="仿宋" w:eastAsia="仿宋"/>
          <w:kern w:val="44"/>
          <w:szCs w:val="21"/>
        </w:rPr>
      </w:pPr>
      <w:r>
        <w:rPr>
          <w:rFonts w:hint="eastAsia" w:ascii="仿宋" w:hAnsi="仿宋" w:eastAsia="仿宋"/>
          <w:kern w:val="44"/>
          <w:szCs w:val="21"/>
        </w:rPr>
        <w:t>3</w:t>
      </w:r>
      <w:r>
        <w:rPr>
          <w:rFonts w:ascii="仿宋" w:hAnsi="仿宋" w:eastAsia="仿宋"/>
          <w:kern w:val="44"/>
          <w:szCs w:val="21"/>
        </w:rPr>
        <w:t>.12 时间校对：数据周期上报时，可通过 NB-IoT 芯片进行校对。</w:t>
      </w:r>
    </w:p>
    <w:p>
      <w:pPr>
        <w:spacing w:line="240" w:lineRule="auto"/>
        <w:ind w:firstLine="422" w:firstLineChars="200"/>
        <w:rPr>
          <w:rFonts w:ascii="仿宋" w:hAnsi="仿宋" w:eastAsia="仿宋"/>
          <w:b/>
          <w:bCs/>
          <w:kern w:val="44"/>
          <w:szCs w:val="21"/>
        </w:rPr>
      </w:pPr>
      <w:r>
        <w:rPr>
          <w:rFonts w:ascii="仿宋" w:hAnsi="仿宋" w:eastAsia="仿宋"/>
          <w:b/>
          <w:bCs/>
          <w:kern w:val="44"/>
          <w:szCs w:val="21"/>
        </w:rPr>
        <w:t>4、</w:t>
      </w:r>
      <w:r>
        <w:rPr>
          <w:rFonts w:hint="eastAsia" w:ascii="仿宋" w:hAnsi="仿宋" w:eastAsia="仿宋"/>
          <w:b/>
          <w:bCs/>
          <w:kern w:val="44"/>
          <w:szCs w:val="21"/>
        </w:rPr>
        <w:t>磁性锁闭球阀DN</w:t>
      </w:r>
      <w:r>
        <w:rPr>
          <w:rFonts w:ascii="仿宋" w:hAnsi="仿宋" w:eastAsia="仿宋"/>
          <w:b/>
          <w:bCs/>
          <w:kern w:val="44"/>
          <w:szCs w:val="21"/>
        </w:rPr>
        <w:t>15</w:t>
      </w:r>
      <w:r>
        <w:rPr>
          <w:rFonts w:hint="eastAsia" w:ascii="仿宋" w:hAnsi="仿宋" w:eastAsia="仿宋"/>
          <w:b/>
          <w:bCs/>
          <w:kern w:val="44"/>
          <w:szCs w:val="21"/>
        </w:rPr>
        <w:t>-DN</w:t>
      </w:r>
      <w:r>
        <w:rPr>
          <w:rFonts w:ascii="仿宋" w:hAnsi="仿宋" w:eastAsia="仿宋"/>
          <w:b/>
          <w:bCs/>
          <w:kern w:val="44"/>
          <w:szCs w:val="21"/>
        </w:rPr>
        <w:t>25</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4.1</w:t>
      </w:r>
      <w:r>
        <w:rPr>
          <w:rFonts w:hint="eastAsia" w:ascii="仿宋" w:hAnsi="仿宋" w:eastAsia="仿宋"/>
          <w:kern w:val="44"/>
          <w:szCs w:val="21"/>
        </w:rPr>
        <w:t>公称压力≤1.6MPa</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4.2</w:t>
      </w:r>
      <w:r>
        <w:rPr>
          <w:rFonts w:hint="eastAsia" w:ascii="仿宋" w:hAnsi="仿宋" w:eastAsia="仿宋"/>
          <w:kern w:val="44"/>
          <w:szCs w:val="21"/>
        </w:rPr>
        <w:t>黄铜材质</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4.3</w:t>
      </w:r>
      <w:r>
        <w:rPr>
          <w:rFonts w:hint="eastAsia" w:ascii="仿宋" w:hAnsi="仿宋" w:eastAsia="仿宋"/>
          <w:kern w:val="44"/>
          <w:szCs w:val="21"/>
        </w:rPr>
        <w:t>螺纹标准符合ISO228标准</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4.4</w:t>
      </w:r>
      <w:r>
        <w:rPr>
          <w:rFonts w:hint="eastAsia" w:ascii="仿宋" w:hAnsi="仿宋" w:eastAsia="仿宋"/>
          <w:kern w:val="44"/>
          <w:szCs w:val="21"/>
        </w:rPr>
        <w:t>工作温度：-20℃≤T≤150℃</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4.5</w:t>
      </w:r>
      <w:r>
        <w:rPr>
          <w:rFonts w:hint="eastAsia" w:ascii="仿宋" w:hAnsi="仿宋" w:eastAsia="仿宋"/>
          <w:kern w:val="44"/>
          <w:szCs w:val="21"/>
        </w:rPr>
        <w:t>磁性钥匙配比最少10%</w:t>
      </w:r>
    </w:p>
    <w:p>
      <w:pPr>
        <w:spacing w:line="240" w:lineRule="auto"/>
        <w:ind w:firstLine="422" w:firstLineChars="200"/>
        <w:rPr>
          <w:rFonts w:ascii="仿宋" w:hAnsi="仿宋" w:eastAsia="仿宋"/>
          <w:b/>
          <w:bCs/>
          <w:kern w:val="44"/>
          <w:szCs w:val="21"/>
        </w:rPr>
      </w:pPr>
      <w:r>
        <w:rPr>
          <w:rFonts w:ascii="仿宋" w:hAnsi="仿宋" w:eastAsia="仿宋"/>
          <w:b/>
          <w:bCs/>
          <w:kern w:val="44"/>
          <w:szCs w:val="21"/>
        </w:rPr>
        <w:t>5、</w:t>
      </w:r>
      <w:r>
        <w:rPr>
          <w:rFonts w:hint="eastAsia" w:ascii="仿宋" w:hAnsi="仿宋" w:eastAsia="仿宋"/>
          <w:b/>
          <w:bCs/>
          <w:kern w:val="44"/>
          <w:szCs w:val="21"/>
        </w:rPr>
        <w:t>水表防盗卡扣</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一次性ABS塑料，水表前后均配备，可根据甲方要求定制logo</w:t>
      </w:r>
    </w:p>
    <w:p>
      <w:pPr>
        <w:spacing w:line="240" w:lineRule="auto"/>
        <w:ind w:firstLine="422" w:firstLineChars="200"/>
        <w:rPr>
          <w:rFonts w:ascii="仿宋" w:hAnsi="仿宋" w:eastAsia="仿宋"/>
          <w:b/>
          <w:bCs/>
          <w:kern w:val="44"/>
          <w:szCs w:val="21"/>
        </w:rPr>
      </w:pPr>
      <w:r>
        <w:rPr>
          <w:rFonts w:ascii="仿宋" w:hAnsi="仿宋" w:eastAsia="仿宋"/>
          <w:b/>
          <w:bCs/>
          <w:kern w:val="44"/>
          <w:szCs w:val="21"/>
        </w:rPr>
        <w:t>6、</w:t>
      </w:r>
      <w:r>
        <w:rPr>
          <w:rFonts w:hint="eastAsia" w:ascii="仿宋" w:hAnsi="仿宋" w:eastAsia="仿宋"/>
          <w:b/>
          <w:bCs/>
          <w:kern w:val="44"/>
          <w:szCs w:val="21"/>
        </w:rPr>
        <w:t>磁性加密法兰闸阀DN</w:t>
      </w:r>
      <w:r>
        <w:rPr>
          <w:rFonts w:ascii="仿宋" w:hAnsi="仿宋" w:eastAsia="仿宋"/>
          <w:b/>
          <w:bCs/>
          <w:kern w:val="44"/>
          <w:szCs w:val="21"/>
        </w:rPr>
        <w:t>40</w:t>
      </w:r>
      <w:r>
        <w:rPr>
          <w:rFonts w:hint="eastAsia" w:ascii="仿宋" w:hAnsi="仿宋" w:eastAsia="仿宋"/>
          <w:b/>
          <w:bCs/>
          <w:kern w:val="44"/>
          <w:szCs w:val="21"/>
        </w:rPr>
        <w:t>-DN</w:t>
      </w:r>
      <w:r>
        <w:rPr>
          <w:rFonts w:ascii="仿宋" w:hAnsi="仿宋" w:eastAsia="仿宋"/>
          <w:b/>
          <w:bCs/>
          <w:kern w:val="44"/>
          <w:szCs w:val="21"/>
        </w:rPr>
        <w:t>200</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6.1</w:t>
      </w:r>
      <w:r>
        <w:rPr>
          <w:rFonts w:hint="eastAsia" w:ascii="仿宋" w:hAnsi="仿宋" w:eastAsia="仿宋"/>
          <w:kern w:val="44"/>
          <w:szCs w:val="21"/>
        </w:rPr>
        <w:t>公称压力≤1.6MPa</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6.2</w:t>
      </w:r>
      <w:r>
        <w:rPr>
          <w:rFonts w:hint="eastAsia" w:ascii="仿宋" w:hAnsi="仿宋" w:eastAsia="仿宋"/>
          <w:kern w:val="44"/>
          <w:szCs w:val="21"/>
        </w:rPr>
        <w:t>包胶阀芯</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6.3</w:t>
      </w:r>
      <w:r>
        <w:rPr>
          <w:rFonts w:hint="eastAsia" w:ascii="仿宋" w:hAnsi="仿宋" w:eastAsia="仿宋"/>
          <w:kern w:val="44"/>
          <w:szCs w:val="21"/>
        </w:rPr>
        <w:t>一体式铜螺母</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6.4</w:t>
      </w:r>
      <w:r>
        <w:rPr>
          <w:rFonts w:hint="eastAsia" w:ascii="仿宋" w:hAnsi="仿宋" w:eastAsia="仿宋"/>
          <w:kern w:val="44"/>
          <w:szCs w:val="21"/>
        </w:rPr>
        <w:t>自密封阀盖，阀盖于阀体间采用自密封结构设计，在许用压力发尾内。流体压力越高，密封越紧密</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6.5</w:t>
      </w:r>
      <w:r>
        <w:rPr>
          <w:rFonts w:hint="eastAsia" w:ascii="仿宋" w:hAnsi="仿宋" w:eastAsia="仿宋"/>
          <w:kern w:val="44"/>
          <w:szCs w:val="21"/>
        </w:rPr>
        <w:t>阀体内部以无毒环氧树脂涂装，阀芯内外表面以橡胶完全包覆，不会出现锈水或腐蚀现象。</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6.6</w:t>
      </w:r>
      <w:r>
        <w:rPr>
          <w:rFonts w:hint="eastAsia" w:ascii="仿宋" w:hAnsi="仿宋" w:eastAsia="仿宋"/>
          <w:kern w:val="44"/>
          <w:szCs w:val="21"/>
        </w:rPr>
        <w:t>阀体采用粉末环氧树脂涂装，可防止阀体的腐蚀与生锈。</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6.7</w:t>
      </w:r>
      <w:r>
        <w:rPr>
          <w:rFonts w:hint="eastAsia" w:ascii="仿宋" w:hAnsi="仿宋" w:eastAsia="仿宋"/>
          <w:kern w:val="44"/>
          <w:szCs w:val="21"/>
        </w:rPr>
        <w:t>磁性钥匙配比最少10%</w:t>
      </w:r>
    </w:p>
    <w:p>
      <w:pPr>
        <w:spacing w:line="240" w:lineRule="auto"/>
        <w:rPr>
          <w:rFonts w:ascii="仿宋" w:hAnsi="仿宋" w:eastAsia="仿宋"/>
        </w:rPr>
      </w:pPr>
    </w:p>
    <w:p>
      <w:pPr>
        <w:spacing w:line="240" w:lineRule="auto"/>
        <w:rPr>
          <w:rFonts w:ascii="仿宋" w:hAnsi="仿宋" w:eastAsia="仿宋"/>
          <w:b/>
          <w:bCs/>
          <w:kern w:val="44"/>
          <w:szCs w:val="21"/>
        </w:rPr>
      </w:pPr>
      <w:r>
        <w:rPr>
          <w:rFonts w:ascii="仿宋" w:hAnsi="仿宋" w:eastAsia="仿宋"/>
          <w:b/>
          <w:bCs/>
          <w:kern w:val="44"/>
          <w:szCs w:val="21"/>
        </w:rPr>
        <w:t>7、</w:t>
      </w:r>
      <w:r>
        <w:rPr>
          <w:rFonts w:hint="eastAsia" w:ascii="仿宋" w:hAnsi="仿宋" w:eastAsia="仿宋"/>
          <w:b/>
          <w:bCs/>
          <w:kern w:val="44"/>
          <w:szCs w:val="21"/>
        </w:rPr>
        <w:t>暗杆法兰闸阀DN</w:t>
      </w:r>
      <w:r>
        <w:rPr>
          <w:rFonts w:ascii="仿宋" w:hAnsi="仿宋" w:eastAsia="仿宋"/>
          <w:b/>
          <w:bCs/>
          <w:kern w:val="44"/>
          <w:szCs w:val="21"/>
        </w:rPr>
        <w:t>40</w:t>
      </w:r>
      <w:r>
        <w:rPr>
          <w:rFonts w:hint="eastAsia" w:ascii="仿宋" w:hAnsi="仿宋" w:eastAsia="仿宋"/>
          <w:b/>
          <w:bCs/>
          <w:kern w:val="44"/>
          <w:szCs w:val="21"/>
        </w:rPr>
        <w:t>-DN</w:t>
      </w:r>
      <w:r>
        <w:rPr>
          <w:rFonts w:ascii="仿宋" w:hAnsi="仿宋" w:eastAsia="仿宋"/>
          <w:b/>
          <w:bCs/>
          <w:kern w:val="44"/>
          <w:szCs w:val="21"/>
        </w:rPr>
        <w:t>200</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7.1</w:t>
      </w:r>
      <w:r>
        <w:rPr>
          <w:rFonts w:hint="eastAsia" w:ascii="仿宋" w:hAnsi="仿宋" w:eastAsia="仿宋"/>
          <w:kern w:val="44"/>
          <w:szCs w:val="21"/>
        </w:rPr>
        <w:t>公称压力≤1.6MPa</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7.2</w:t>
      </w:r>
      <w:r>
        <w:rPr>
          <w:rFonts w:hint="eastAsia" w:ascii="仿宋" w:hAnsi="仿宋" w:eastAsia="仿宋"/>
          <w:kern w:val="44"/>
          <w:szCs w:val="21"/>
        </w:rPr>
        <w:t>包胶阀芯</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7.3</w:t>
      </w:r>
      <w:r>
        <w:rPr>
          <w:rFonts w:hint="eastAsia" w:ascii="仿宋" w:hAnsi="仿宋" w:eastAsia="仿宋"/>
          <w:kern w:val="44"/>
          <w:szCs w:val="21"/>
        </w:rPr>
        <w:t>一体式铜螺母</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7.4</w:t>
      </w:r>
      <w:r>
        <w:rPr>
          <w:rFonts w:hint="eastAsia" w:ascii="仿宋" w:hAnsi="仿宋" w:eastAsia="仿宋"/>
          <w:kern w:val="44"/>
          <w:szCs w:val="21"/>
        </w:rPr>
        <w:t>自密封阀盖，阀盖于阀体间采用自密封结构设计，在许用压力发尾内。流体压力越高，密封越紧密</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7.5</w:t>
      </w:r>
      <w:r>
        <w:rPr>
          <w:rFonts w:hint="eastAsia" w:ascii="仿宋" w:hAnsi="仿宋" w:eastAsia="仿宋"/>
          <w:kern w:val="44"/>
          <w:szCs w:val="21"/>
        </w:rPr>
        <w:t>阀体内部以无毒环氧树脂涂装，阀芯内外表面以橡胶完全包覆，不会出现锈水或腐蚀现象。</w:t>
      </w:r>
    </w:p>
    <w:p>
      <w:pPr>
        <w:pStyle w:val="87"/>
        <w:tabs>
          <w:tab w:val="left" w:pos="1189"/>
        </w:tabs>
        <w:spacing w:line="240" w:lineRule="auto"/>
        <w:rPr>
          <w:rFonts w:ascii="仿宋" w:hAnsi="仿宋" w:eastAsia="仿宋"/>
          <w:kern w:val="44"/>
          <w:szCs w:val="21"/>
        </w:rPr>
      </w:pPr>
      <w:r>
        <w:rPr>
          <w:rFonts w:ascii="仿宋" w:hAnsi="仿宋" w:eastAsia="仿宋"/>
          <w:kern w:val="44"/>
          <w:szCs w:val="21"/>
        </w:rPr>
        <w:t>7.6</w:t>
      </w:r>
      <w:r>
        <w:rPr>
          <w:rFonts w:hint="eastAsia" w:ascii="仿宋" w:hAnsi="仿宋" w:eastAsia="仿宋"/>
          <w:kern w:val="44"/>
          <w:szCs w:val="21"/>
        </w:rPr>
        <w:t>阀体采用粉末环氧树脂涂装，可防止阀体的腐蚀与生锈。</w:t>
      </w:r>
    </w:p>
    <w:p>
      <w:pPr>
        <w:spacing w:line="240" w:lineRule="auto"/>
        <w:rPr>
          <w:rFonts w:ascii="仿宋" w:hAnsi="仿宋" w:eastAsia="仿宋"/>
        </w:rPr>
      </w:pPr>
    </w:p>
    <w:p>
      <w:pPr>
        <w:spacing w:line="240" w:lineRule="auto"/>
        <w:ind w:firstLine="422" w:firstLineChars="200"/>
        <w:rPr>
          <w:rFonts w:ascii="仿宋" w:hAnsi="仿宋" w:eastAsia="仿宋"/>
          <w:b/>
          <w:bCs/>
          <w:kern w:val="44"/>
          <w:szCs w:val="21"/>
        </w:rPr>
      </w:pPr>
      <w:r>
        <w:rPr>
          <w:rFonts w:ascii="仿宋" w:hAnsi="仿宋" w:eastAsia="仿宋"/>
          <w:b/>
          <w:bCs/>
          <w:kern w:val="44"/>
          <w:szCs w:val="21"/>
        </w:rPr>
        <w:t>8、</w:t>
      </w:r>
      <w:r>
        <w:rPr>
          <w:rFonts w:hint="eastAsia" w:ascii="仿宋" w:hAnsi="仿宋" w:eastAsia="仿宋"/>
          <w:b/>
          <w:bCs/>
          <w:kern w:val="44"/>
          <w:szCs w:val="21"/>
        </w:rPr>
        <w:t>T型滤水器/过滤器DN</w:t>
      </w:r>
      <w:r>
        <w:rPr>
          <w:rFonts w:ascii="仿宋" w:hAnsi="仿宋" w:eastAsia="仿宋"/>
          <w:b/>
          <w:bCs/>
          <w:kern w:val="44"/>
          <w:szCs w:val="21"/>
        </w:rPr>
        <w:t>40</w:t>
      </w:r>
      <w:r>
        <w:rPr>
          <w:rFonts w:hint="eastAsia" w:ascii="仿宋" w:hAnsi="仿宋" w:eastAsia="仿宋"/>
          <w:b/>
          <w:bCs/>
          <w:kern w:val="44"/>
          <w:szCs w:val="21"/>
        </w:rPr>
        <w:t>-DN</w:t>
      </w:r>
      <w:r>
        <w:rPr>
          <w:rFonts w:ascii="仿宋" w:hAnsi="仿宋" w:eastAsia="仿宋"/>
          <w:b/>
          <w:bCs/>
          <w:kern w:val="44"/>
          <w:szCs w:val="21"/>
        </w:rPr>
        <w:t>200</w:t>
      </w:r>
    </w:p>
    <w:p>
      <w:pPr>
        <w:pStyle w:val="87"/>
        <w:tabs>
          <w:tab w:val="left" w:pos="1189"/>
        </w:tabs>
        <w:spacing w:line="240" w:lineRule="auto"/>
        <w:rPr>
          <w:rFonts w:ascii="仿宋" w:hAnsi="仿宋" w:eastAsia="仿宋"/>
          <w:kern w:val="44"/>
          <w:szCs w:val="21"/>
        </w:rPr>
      </w:pPr>
      <w:r>
        <w:rPr>
          <w:rFonts w:hint="eastAsia" w:ascii="仿宋" w:hAnsi="仿宋" w:eastAsia="仿宋"/>
          <w:kern w:val="44"/>
          <w:szCs w:val="21"/>
        </w:rPr>
        <w:t>公称压力≤1.6MPa</w:t>
      </w:r>
    </w:p>
    <w:p>
      <w:pPr>
        <w:spacing w:line="240" w:lineRule="auto"/>
        <w:rPr>
          <w:rFonts w:ascii="仿宋" w:hAnsi="仿宋" w:eastAsia="仿宋"/>
        </w:rPr>
      </w:pPr>
      <w:r>
        <w:rPr>
          <w:rFonts w:hint="eastAsia" w:ascii="仿宋" w:hAnsi="仿宋" w:eastAsia="仿宋"/>
        </w:rPr>
        <w:t xml:space="preserve"> </w:t>
      </w:r>
    </w:p>
    <w:p>
      <w:pPr>
        <w:spacing w:line="240" w:lineRule="auto"/>
        <w:rPr>
          <w:rFonts w:ascii="仿宋" w:hAnsi="仿宋" w:eastAsia="仿宋"/>
          <w:b/>
          <w:szCs w:val="28"/>
        </w:rPr>
      </w:pPr>
    </w:p>
    <w:p>
      <w:pPr>
        <w:pageBreakBefore/>
        <w:spacing w:line="240" w:lineRule="auto"/>
        <w:rPr>
          <w:rFonts w:ascii="仿宋" w:hAnsi="仿宋" w:eastAsia="仿宋"/>
          <w:b/>
          <w:szCs w:val="28"/>
        </w:rPr>
      </w:pPr>
      <w:r>
        <w:rPr>
          <w:rFonts w:hint="eastAsia" w:ascii="仿宋" w:hAnsi="仿宋" w:eastAsia="仿宋"/>
          <w:b/>
          <w:szCs w:val="28"/>
        </w:rPr>
        <w:t>四、采购标的的其他技术、服务等要求（即商务要求条款）</w:t>
      </w:r>
    </w:p>
    <w:tbl>
      <w:tblPr>
        <w:tblStyle w:val="23"/>
        <w:tblW w:w="8970" w:type="dxa"/>
        <w:tblInd w:w="-222"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1157"/>
        <w:gridCol w:w="71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620" w:hRule="atLeast"/>
        </w:trPr>
        <w:tc>
          <w:tcPr>
            <w:tcW w:w="703" w:type="dxa"/>
            <w:vAlign w:val="center"/>
          </w:tcPr>
          <w:p>
            <w:pPr>
              <w:snapToGrid w:val="0"/>
              <w:spacing w:line="240" w:lineRule="auto"/>
              <w:contextualSpacing/>
              <w:jc w:val="center"/>
              <w:rPr>
                <w:rFonts w:ascii="仿宋" w:hAnsi="仿宋" w:eastAsia="仿宋" w:cs="Arial"/>
                <w:b/>
                <w:szCs w:val="21"/>
              </w:rPr>
            </w:pPr>
            <w:r>
              <w:rPr>
                <w:rFonts w:ascii="仿宋" w:hAnsi="仿宋" w:eastAsia="仿宋" w:cs="Arial"/>
                <w:b/>
                <w:szCs w:val="21"/>
              </w:rPr>
              <w:t>序号</w:t>
            </w:r>
          </w:p>
        </w:tc>
        <w:tc>
          <w:tcPr>
            <w:tcW w:w="8267" w:type="dxa"/>
            <w:gridSpan w:val="2"/>
            <w:vAlign w:val="center"/>
          </w:tcPr>
          <w:p>
            <w:pPr>
              <w:pStyle w:val="22"/>
              <w:snapToGrid w:val="0"/>
              <w:spacing w:after="0" w:line="240" w:lineRule="auto"/>
              <w:ind w:firstLine="422"/>
              <w:jc w:val="center"/>
              <w:rPr>
                <w:rFonts w:ascii="仿宋" w:hAnsi="仿宋" w:eastAsia="仿宋"/>
                <w:b/>
                <w:szCs w:val="21"/>
              </w:rPr>
            </w:pPr>
            <w:r>
              <w:rPr>
                <w:rFonts w:ascii="仿宋" w:hAnsi="仿宋" w:eastAsia="仿宋" w:cs="Arial"/>
                <w:b/>
                <w:szCs w:val="21"/>
              </w:rPr>
              <w:t>商务要求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1</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履约保证金</w:t>
            </w:r>
          </w:p>
        </w:tc>
        <w:tc>
          <w:tcPr>
            <w:tcW w:w="7110" w:type="dxa"/>
            <w:vAlign w:val="center"/>
          </w:tcPr>
          <w:p>
            <w:pPr>
              <w:snapToGrid w:val="0"/>
              <w:spacing w:line="240" w:lineRule="auto"/>
              <w:contextualSpacing/>
              <w:rPr>
                <w:rFonts w:ascii="仿宋" w:hAnsi="仿宋" w:eastAsia="仿宋" w:cs="Arial"/>
                <w:szCs w:val="21"/>
              </w:rPr>
            </w:pPr>
            <w:r>
              <w:rPr>
                <w:rFonts w:hint="eastAsia" w:ascii="仿宋" w:hAnsi="仿宋" w:eastAsia="仿宋" w:cs="Arial"/>
                <w:szCs w:val="21"/>
              </w:rPr>
              <w:t>履约保证金金额：合同总价的</w:t>
            </w:r>
            <w:r>
              <w:rPr>
                <w:rFonts w:ascii="仿宋" w:hAnsi="仿宋" w:eastAsia="仿宋" w:cs="Arial"/>
                <w:szCs w:val="21"/>
              </w:rPr>
              <w:t>10</w:t>
            </w:r>
            <w:r>
              <w:rPr>
                <w:rFonts w:hint="eastAsia" w:ascii="仿宋" w:hAnsi="仿宋" w:eastAsia="仿宋" w:cs="Arial"/>
                <w:szCs w:val="21"/>
              </w:rPr>
              <w:t>%</w:t>
            </w:r>
          </w:p>
          <w:p>
            <w:pPr>
              <w:snapToGrid w:val="0"/>
              <w:spacing w:line="240" w:lineRule="auto"/>
              <w:contextualSpacing/>
              <w:rPr>
                <w:rFonts w:ascii="仿宋" w:hAnsi="仿宋" w:eastAsia="仿宋" w:cs="Arial"/>
                <w:szCs w:val="21"/>
              </w:rPr>
            </w:pPr>
            <w:r>
              <w:rPr>
                <w:rFonts w:hint="eastAsia" w:ascii="仿宋" w:hAnsi="仿宋" w:eastAsia="仿宋" w:cs="Arial"/>
                <w:szCs w:val="21"/>
              </w:rPr>
              <w:t>履约保证金形式：转账或银行、保险公司出具的保函形式。</w:t>
            </w:r>
          </w:p>
          <w:p>
            <w:pPr>
              <w:snapToGrid w:val="0"/>
              <w:spacing w:line="240" w:lineRule="auto"/>
              <w:contextualSpacing/>
              <w:rPr>
                <w:rFonts w:ascii="仿宋" w:hAnsi="仿宋" w:eastAsia="仿宋" w:cs="Arial"/>
                <w:szCs w:val="21"/>
              </w:rPr>
            </w:pPr>
            <w:r>
              <w:rPr>
                <w:rFonts w:hint="eastAsia" w:ascii="仿宋" w:hAnsi="仿宋" w:eastAsia="仿宋" w:cs="Arial"/>
                <w:szCs w:val="21"/>
              </w:rPr>
              <w:t>履约保证金递交时间：签订合同时支付给采购人。</w:t>
            </w:r>
          </w:p>
          <w:p>
            <w:pPr>
              <w:snapToGrid w:val="0"/>
              <w:spacing w:line="240" w:lineRule="auto"/>
              <w:contextualSpacing/>
              <w:rPr>
                <w:rFonts w:ascii="仿宋" w:hAnsi="仿宋" w:eastAsia="仿宋" w:cs="Arial"/>
                <w:szCs w:val="21"/>
              </w:rPr>
            </w:pPr>
            <w:r>
              <w:rPr>
                <w:rFonts w:hint="eastAsia" w:ascii="仿宋" w:hAnsi="仿宋" w:eastAsia="仿宋" w:cs="Arial"/>
                <w:szCs w:val="21"/>
              </w:rPr>
              <w:t>履约保证金退还时间：由采购人和中标人在合同中自行约定退回的时间。</w:t>
            </w:r>
          </w:p>
          <w:p>
            <w:pPr>
              <w:snapToGrid w:val="0"/>
              <w:spacing w:line="240" w:lineRule="auto"/>
              <w:contextualSpacing/>
              <w:rPr>
                <w:rFonts w:ascii="仿宋" w:hAnsi="仿宋" w:eastAsia="仿宋" w:cs="Arial"/>
                <w:szCs w:val="21"/>
              </w:rPr>
            </w:pPr>
            <w:r>
              <w:rPr>
                <w:rFonts w:hint="eastAsia" w:ascii="仿宋" w:hAnsi="仿宋" w:eastAsia="仿宋" w:cs="Arial"/>
                <w:szCs w:val="21"/>
              </w:rPr>
              <w:t>（如在合同履约期间未完全履行投标文件的承诺内容的，采购人将视其情节严重程度给予相应处罚，直至没收其履约保证金，采购人保留终止合同的权利。）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219" w:hRule="atLeast"/>
        </w:trPr>
        <w:tc>
          <w:tcPr>
            <w:tcW w:w="703"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2</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付款方式</w:t>
            </w:r>
          </w:p>
        </w:tc>
        <w:tc>
          <w:tcPr>
            <w:tcW w:w="7110" w:type="dxa"/>
            <w:vAlign w:val="center"/>
          </w:tcPr>
          <w:p>
            <w:pPr>
              <w:snapToGrid w:val="0"/>
              <w:spacing w:line="240" w:lineRule="auto"/>
              <w:contextualSpacing/>
              <w:rPr>
                <w:rFonts w:ascii="仿宋" w:hAnsi="仿宋" w:eastAsia="仿宋" w:cs="Arial"/>
                <w:szCs w:val="21"/>
              </w:rPr>
            </w:pPr>
            <w:r>
              <w:rPr>
                <w:rFonts w:hint="eastAsia" w:ascii="仿宋" w:hAnsi="仿宋" w:eastAsia="仿宋"/>
                <w:bCs/>
                <w:szCs w:val="21"/>
              </w:rPr>
              <w:t>分批次供货，采购人发出订单15日内支付给中标人该批货款的30%作为预付款；自产品初验合格后30天内，采购人支付至该批次货款的60%；剩余款项待产品安装调试完成且验收合格后30天内一次性无息付清</w:t>
            </w:r>
            <w:r>
              <w:rPr>
                <w:rFonts w:hint="eastAsia" w:ascii="仿宋" w:hAnsi="仿宋" w:eastAsia="仿宋" w:cs="Arial"/>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3</w:t>
            </w:r>
          </w:p>
        </w:tc>
        <w:tc>
          <w:tcPr>
            <w:tcW w:w="1157"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实施地点、时间</w:t>
            </w:r>
          </w:p>
        </w:tc>
        <w:tc>
          <w:tcPr>
            <w:tcW w:w="7110" w:type="dxa"/>
            <w:vAlign w:val="center"/>
          </w:tcPr>
          <w:p>
            <w:pPr>
              <w:snapToGrid w:val="0"/>
              <w:spacing w:line="240" w:lineRule="auto"/>
              <w:contextualSpacing/>
              <w:rPr>
                <w:rFonts w:ascii="仿宋" w:hAnsi="仿宋" w:eastAsia="仿宋" w:cs="Arial"/>
                <w:szCs w:val="21"/>
              </w:rPr>
            </w:pPr>
            <w:r>
              <w:rPr>
                <w:rFonts w:ascii="仿宋" w:hAnsi="仿宋" w:eastAsia="仿宋" w:cs="Arial"/>
                <w:szCs w:val="21"/>
              </w:rPr>
              <w:t>1、</w:t>
            </w:r>
            <w:r>
              <w:rPr>
                <w:rFonts w:hint="eastAsia" w:ascii="仿宋" w:hAnsi="仿宋" w:eastAsia="仿宋" w:cs="Arial"/>
                <w:szCs w:val="21"/>
              </w:rPr>
              <w:t>实施的</w:t>
            </w:r>
            <w:r>
              <w:rPr>
                <w:rFonts w:ascii="仿宋" w:hAnsi="仿宋" w:eastAsia="仿宋" w:cs="Arial"/>
                <w:szCs w:val="21"/>
              </w:rPr>
              <w:t>地点：采购人指定</w:t>
            </w:r>
            <w:r>
              <w:rPr>
                <w:rFonts w:hint="eastAsia" w:ascii="仿宋" w:hAnsi="仿宋" w:eastAsia="仿宋" w:cs="Arial"/>
                <w:szCs w:val="21"/>
              </w:rPr>
              <w:t>地点</w:t>
            </w:r>
            <w:r>
              <w:rPr>
                <w:rFonts w:ascii="仿宋" w:hAnsi="仿宋" w:eastAsia="仿宋" w:cs="Arial"/>
                <w:szCs w:val="21"/>
              </w:rPr>
              <w:t>。</w:t>
            </w:r>
          </w:p>
          <w:p>
            <w:pPr>
              <w:snapToGrid w:val="0"/>
              <w:spacing w:line="240" w:lineRule="auto"/>
              <w:contextualSpacing/>
              <w:rPr>
                <w:rFonts w:ascii="仿宋" w:hAnsi="仿宋" w:eastAsia="仿宋" w:cs="Arial"/>
                <w:szCs w:val="21"/>
              </w:rPr>
            </w:pPr>
            <w:r>
              <w:rPr>
                <w:rFonts w:ascii="仿宋" w:hAnsi="仿宋" w:eastAsia="仿宋" w:cs="Arial"/>
                <w:szCs w:val="21"/>
              </w:rPr>
              <w:t>2、</w:t>
            </w:r>
            <w:r>
              <w:rPr>
                <w:rFonts w:hint="eastAsia" w:ascii="仿宋" w:hAnsi="仿宋" w:eastAsia="仿宋" w:cs="宋体"/>
                <w:snapToGrid w:val="0"/>
                <w:kern w:val="0"/>
                <w:szCs w:val="21"/>
              </w:rPr>
              <w:t>合同履行期限（</w:t>
            </w:r>
            <w:r>
              <w:rPr>
                <w:rFonts w:hint="eastAsia" w:ascii="仿宋" w:hAnsi="仿宋" w:eastAsia="仿宋" w:cs="Arial"/>
                <w:szCs w:val="21"/>
              </w:rPr>
              <w:t>实施的时间</w:t>
            </w:r>
            <w:r>
              <w:rPr>
                <w:rFonts w:hint="eastAsia" w:ascii="仿宋" w:hAnsi="仿宋" w:eastAsia="仿宋" w:cs="宋体"/>
                <w:snapToGrid w:val="0"/>
                <w:kern w:val="0"/>
                <w:szCs w:val="21"/>
              </w:rPr>
              <w:t>）</w:t>
            </w:r>
            <w:r>
              <w:rPr>
                <w:rFonts w:ascii="仿宋" w:hAnsi="仿宋" w:eastAsia="仿宋" w:cs="Arial"/>
                <w:szCs w:val="21"/>
              </w:rPr>
              <w:t>：</w:t>
            </w:r>
            <w:r>
              <w:rPr>
                <w:rFonts w:hint="eastAsia" w:ascii="仿宋" w:hAnsi="仿宋" w:eastAsia="仿宋" w:cs="Arial"/>
                <w:szCs w:val="21"/>
              </w:rPr>
              <w:t>详见第一章 招标公告</w:t>
            </w:r>
            <w:r>
              <w:rPr>
                <w:rFonts w:ascii="仿宋" w:hAnsi="仿宋" w:eastAsia="仿宋" w:cs="Arial"/>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4</w:t>
            </w:r>
          </w:p>
        </w:tc>
        <w:tc>
          <w:tcPr>
            <w:tcW w:w="1157"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交货时间</w:t>
            </w:r>
          </w:p>
        </w:tc>
        <w:tc>
          <w:tcPr>
            <w:tcW w:w="7110" w:type="dxa"/>
            <w:vAlign w:val="center"/>
          </w:tcPr>
          <w:p>
            <w:pPr>
              <w:snapToGrid w:val="0"/>
              <w:spacing w:line="240" w:lineRule="auto"/>
              <w:contextualSpacing/>
              <w:rPr>
                <w:rFonts w:ascii="仿宋" w:hAnsi="仿宋" w:eastAsia="仿宋" w:cs="Arial"/>
                <w:szCs w:val="21"/>
              </w:rPr>
            </w:pPr>
            <w:r>
              <w:rPr>
                <w:rFonts w:ascii="仿宋" w:hAnsi="仿宋" w:eastAsia="仿宋"/>
                <w:bCs/>
                <w:szCs w:val="21"/>
              </w:rPr>
              <w:t>中标人在收到中标通知书后10天内签订合同，合同签订后根据</w:t>
            </w:r>
            <w:r>
              <w:rPr>
                <w:rFonts w:hint="eastAsia" w:ascii="仿宋" w:hAnsi="仿宋" w:eastAsia="仿宋"/>
                <w:bCs/>
                <w:szCs w:val="21"/>
              </w:rPr>
              <w:t>采购人</w:t>
            </w:r>
            <w:r>
              <w:rPr>
                <w:rFonts w:ascii="仿宋" w:hAnsi="仿宋" w:eastAsia="仿宋"/>
                <w:bCs/>
                <w:szCs w:val="21"/>
              </w:rPr>
              <w:t>要求分批供货且收到</w:t>
            </w:r>
            <w:r>
              <w:rPr>
                <w:rFonts w:hint="eastAsia" w:ascii="仿宋" w:hAnsi="仿宋" w:eastAsia="仿宋"/>
                <w:bCs/>
                <w:szCs w:val="21"/>
              </w:rPr>
              <w:t>采购人</w:t>
            </w:r>
            <w:r>
              <w:rPr>
                <w:rFonts w:ascii="仿宋" w:hAnsi="仿宋" w:eastAsia="仿宋"/>
                <w:bCs/>
                <w:szCs w:val="21"/>
              </w:rPr>
              <w:t>书面传真后15天内到货，超过3天即罚没本批次供货货款的3%。第一次供货在收到</w:t>
            </w:r>
            <w:r>
              <w:rPr>
                <w:rFonts w:hint="eastAsia" w:ascii="仿宋" w:hAnsi="仿宋" w:eastAsia="仿宋"/>
                <w:bCs/>
                <w:szCs w:val="21"/>
              </w:rPr>
              <w:t>采购人</w:t>
            </w:r>
            <w:r>
              <w:rPr>
                <w:rFonts w:ascii="仿宋" w:hAnsi="仿宋" w:eastAsia="仿宋"/>
                <w:bCs/>
                <w:szCs w:val="21"/>
              </w:rPr>
              <w:t>通知的15天内。后续批次供货为收到</w:t>
            </w:r>
            <w:r>
              <w:rPr>
                <w:rFonts w:hint="eastAsia" w:ascii="仿宋" w:hAnsi="仿宋" w:eastAsia="仿宋"/>
                <w:bCs/>
                <w:szCs w:val="21"/>
              </w:rPr>
              <w:t>采购人</w:t>
            </w:r>
            <w:r>
              <w:rPr>
                <w:rFonts w:ascii="仿宋" w:hAnsi="仿宋" w:eastAsia="仿宋"/>
                <w:bCs/>
                <w:szCs w:val="21"/>
              </w:rPr>
              <w:t>书面通知的15天内到货</w:t>
            </w:r>
            <w:r>
              <w:rPr>
                <w:rFonts w:hint="eastAsia" w:ascii="仿宋" w:hAnsi="仿宋" w:eastAsia="仿宋"/>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5</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质保期</w:t>
            </w:r>
          </w:p>
        </w:tc>
        <w:tc>
          <w:tcPr>
            <w:tcW w:w="7110" w:type="dxa"/>
            <w:vAlign w:val="center"/>
          </w:tcPr>
          <w:p>
            <w:pPr>
              <w:snapToGrid w:val="0"/>
              <w:spacing w:line="240" w:lineRule="auto"/>
              <w:rPr>
                <w:rFonts w:ascii="仿宋" w:hAnsi="仿宋" w:eastAsia="仿宋" w:cs="Arial"/>
                <w:bCs/>
                <w:szCs w:val="21"/>
              </w:rPr>
            </w:pPr>
            <w:r>
              <w:rPr>
                <w:rFonts w:hint="eastAsia" w:ascii="仿宋" w:hAnsi="仿宋" w:eastAsia="仿宋"/>
                <w:bCs/>
                <w:kern w:val="44"/>
                <w:szCs w:val="21"/>
              </w:rPr>
              <w:t>基表质保期6年，电子部分质保</w:t>
            </w:r>
            <w:r>
              <w:rPr>
                <w:rFonts w:ascii="仿宋" w:hAnsi="仿宋" w:eastAsia="仿宋"/>
                <w:bCs/>
                <w:kern w:val="44"/>
                <w:szCs w:val="21"/>
              </w:rPr>
              <w:t>8</w:t>
            </w:r>
            <w:r>
              <w:rPr>
                <w:rFonts w:hint="eastAsia" w:ascii="仿宋" w:hAnsi="仿宋" w:eastAsia="仿宋"/>
                <w:bCs/>
                <w:kern w:val="44"/>
                <w:szCs w:val="21"/>
              </w:rPr>
              <w:t>年</w:t>
            </w:r>
            <w:r>
              <w:rPr>
                <w:rFonts w:hint="eastAsia" w:ascii="仿宋" w:hAnsi="仿宋" w:eastAsia="仿宋" w:cs="Arial"/>
                <w:bCs/>
                <w:szCs w:val="21"/>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6</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验收</w:t>
            </w:r>
          </w:p>
        </w:tc>
        <w:tc>
          <w:tcPr>
            <w:tcW w:w="7110" w:type="dxa"/>
            <w:vAlign w:val="center"/>
          </w:tcPr>
          <w:p>
            <w:pPr>
              <w:snapToGrid w:val="0"/>
              <w:spacing w:line="240" w:lineRule="auto"/>
              <w:rPr>
                <w:rFonts w:ascii="仿宋" w:hAnsi="仿宋" w:eastAsia="仿宋" w:cs="Arial"/>
                <w:bCs/>
                <w:szCs w:val="21"/>
              </w:rPr>
            </w:pPr>
            <w:r>
              <w:rPr>
                <w:rFonts w:hint="eastAsia" w:ascii="仿宋" w:hAnsi="仿宋" w:eastAsia="仿宋" w:cs="Arial"/>
                <w:bCs/>
                <w:szCs w:val="21"/>
              </w:rPr>
              <w:t>1、安装及验收标准：验收依据参照和引用的相关国家和行业标准。</w:t>
            </w:r>
          </w:p>
          <w:p>
            <w:pPr>
              <w:snapToGrid w:val="0"/>
              <w:spacing w:line="240" w:lineRule="auto"/>
              <w:rPr>
                <w:rFonts w:ascii="仿宋" w:hAnsi="仿宋" w:eastAsia="仿宋" w:cs="Arial"/>
                <w:bCs/>
                <w:szCs w:val="21"/>
              </w:rPr>
            </w:pPr>
            <w:r>
              <w:rPr>
                <w:rFonts w:hint="eastAsia" w:ascii="仿宋" w:hAnsi="仿宋" w:eastAsia="仿宋" w:cs="Arial"/>
                <w:bCs/>
                <w:szCs w:val="21"/>
              </w:rPr>
              <w:t>1）《住宅远传抄表系统数据专线传输》（JG/T162-2004）</w:t>
            </w:r>
          </w:p>
          <w:p>
            <w:pPr>
              <w:snapToGrid w:val="0"/>
              <w:spacing w:line="240" w:lineRule="auto"/>
              <w:rPr>
                <w:rFonts w:ascii="仿宋" w:hAnsi="仿宋" w:eastAsia="仿宋" w:cs="Arial"/>
                <w:bCs/>
                <w:szCs w:val="21"/>
              </w:rPr>
            </w:pPr>
            <w:r>
              <w:rPr>
                <w:rFonts w:hint="eastAsia" w:ascii="仿宋" w:hAnsi="仿宋" w:eastAsia="仿宋" w:cs="Arial"/>
                <w:bCs/>
                <w:szCs w:val="21"/>
              </w:rPr>
              <w:t>2）《饮用冷水水表和热水水表》（GB/T778.1.2.3-2007）</w:t>
            </w:r>
          </w:p>
          <w:p>
            <w:pPr>
              <w:snapToGrid w:val="0"/>
              <w:spacing w:line="240" w:lineRule="auto"/>
              <w:rPr>
                <w:rFonts w:ascii="仿宋" w:hAnsi="仿宋" w:eastAsia="仿宋" w:cs="Arial"/>
                <w:bCs/>
                <w:szCs w:val="21"/>
              </w:rPr>
            </w:pPr>
            <w:r>
              <w:rPr>
                <w:rFonts w:hint="eastAsia" w:ascii="仿宋" w:hAnsi="仿宋" w:eastAsia="仿宋" w:cs="Arial"/>
                <w:bCs/>
                <w:szCs w:val="21"/>
              </w:rPr>
              <w:t>3）《电子远传水表》（CJ/T224）</w:t>
            </w:r>
          </w:p>
          <w:p>
            <w:pPr>
              <w:snapToGrid w:val="0"/>
              <w:spacing w:line="240" w:lineRule="auto"/>
              <w:rPr>
                <w:rFonts w:ascii="仿宋" w:hAnsi="仿宋" w:eastAsia="仿宋" w:cs="Arial"/>
                <w:bCs/>
                <w:szCs w:val="21"/>
              </w:rPr>
            </w:pPr>
            <w:r>
              <w:rPr>
                <w:rFonts w:hint="eastAsia" w:ascii="仿宋" w:hAnsi="仿宋" w:eastAsia="仿宋" w:cs="Arial"/>
                <w:bCs/>
                <w:szCs w:val="21"/>
              </w:rPr>
              <w:t>4）《电气装置安装工程施工及验收规范》（GB50254-50259-2006）</w:t>
            </w:r>
          </w:p>
          <w:p>
            <w:pPr>
              <w:snapToGrid w:val="0"/>
              <w:spacing w:line="240" w:lineRule="auto"/>
              <w:rPr>
                <w:rFonts w:ascii="仿宋" w:hAnsi="仿宋" w:eastAsia="仿宋" w:cs="Arial"/>
                <w:bCs/>
                <w:szCs w:val="21"/>
              </w:rPr>
            </w:pPr>
            <w:r>
              <w:rPr>
                <w:rFonts w:hint="eastAsia" w:ascii="仿宋" w:hAnsi="仿宋" w:eastAsia="仿宋" w:cs="Arial"/>
                <w:bCs/>
                <w:szCs w:val="21"/>
              </w:rPr>
              <w:t>5）《低压配电设计规范》（GB50054-2009）</w:t>
            </w:r>
          </w:p>
          <w:p>
            <w:pPr>
              <w:snapToGrid w:val="0"/>
              <w:spacing w:line="240" w:lineRule="auto"/>
              <w:rPr>
                <w:rFonts w:ascii="仿宋" w:hAnsi="仿宋" w:eastAsia="仿宋" w:cs="Arial"/>
                <w:bCs/>
                <w:szCs w:val="21"/>
              </w:rPr>
            </w:pPr>
            <w:r>
              <w:rPr>
                <w:rFonts w:hint="eastAsia" w:ascii="仿宋" w:hAnsi="仿宋" w:eastAsia="仿宋" w:cs="Arial"/>
                <w:bCs/>
                <w:szCs w:val="21"/>
              </w:rPr>
              <w:t>6）《建筑工程施工质量验收统一标准》（GB50300-2001）</w:t>
            </w:r>
          </w:p>
          <w:p>
            <w:pPr>
              <w:snapToGrid w:val="0"/>
              <w:spacing w:line="240" w:lineRule="auto"/>
              <w:rPr>
                <w:rFonts w:ascii="仿宋" w:hAnsi="仿宋" w:eastAsia="仿宋" w:cs="Arial"/>
                <w:bCs/>
                <w:szCs w:val="21"/>
              </w:rPr>
            </w:pPr>
            <w:r>
              <w:rPr>
                <w:rFonts w:hint="eastAsia" w:ascii="仿宋" w:hAnsi="仿宋" w:eastAsia="仿宋" w:cs="Arial"/>
                <w:bCs/>
                <w:szCs w:val="21"/>
              </w:rPr>
              <w:t>7）《施工现场临时用电安全技术规范》（JGJ46-2005）</w:t>
            </w:r>
          </w:p>
          <w:p>
            <w:pPr>
              <w:snapToGrid w:val="0"/>
              <w:spacing w:line="240" w:lineRule="auto"/>
              <w:rPr>
                <w:rFonts w:ascii="仿宋" w:hAnsi="仿宋" w:eastAsia="仿宋" w:cs="Arial"/>
                <w:bCs/>
                <w:szCs w:val="21"/>
              </w:rPr>
            </w:pPr>
            <w:r>
              <w:rPr>
                <w:rFonts w:hint="eastAsia" w:ascii="仿宋" w:hAnsi="仿宋" w:eastAsia="仿宋" w:cs="Arial"/>
                <w:bCs/>
                <w:szCs w:val="21"/>
              </w:rPr>
              <w:t>8）《安全防范工程程序与要求》（GB50348-2004）</w:t>
            </w:r>
          </w:p>
          <w:p>
            <w:pPr>
              <w:snapToGrid w:val="0"/>
              <w:spacing w:line="240" w:lineRule="auto"/>
              <w:rPr>
                <w:rFonts w:ascii="仿宋" w:hAnsi="仿宋" w:eastAsia="仿宋" w:cs="Arial"/>
                <w:bCs/>
                <w:szCs w:val="21"/>
              </w:rPr>
            </w:pPr>
            <w:r>
              <w:rPr>
                <w:rFonts w:hint="eastAsia" w:ascii="仿宋" w:hAnsi="仿宋" w:eastAsia="仿宋" w:cs="Arial"/>
                <w:bCs/>
                <w:szCs w:val="21"/>
              </w:rPr>
              <w:t>2、水表安装验收：水表安装质量应满足相关规范、标准规定。</w:t>
            </w:r>
          </w:p>
          <w:p>
            <w:pPr>
              <w:snapToGrid w:val="0"/>
              <w:spacing w:line="240" w:lineRule="auto"/>
              <w:rPr>
                <w:rFonts w:ascii="仿宋" w:hAnsi="仿宋" w:eastAsia="仿宋" w:cs="Arial"/>
                <w:bCs/>
                <w:szCs w:val="21"/>
              </w:rPr>
            </w:pPr>
            <w:r>
              <w:rPr>
                <w:rFonts w:hint="eastAsia" w:ascii="仿宋" w:hAnsi="仿宋" w:eastAsia="仿宋" w:cs="Arial"/>
                <w:bCs/>
                <w:szCs w:val="21"/>
              </w:rPr>
              <w:t>1）水表安装必须水平、无倾斜、无倒装。</w:t>
            </w:r>
          </w:p>
          <w:p>
            <w:pPr>
              <w:snapToGrid w:val="0"/>
              <w:spacing w:line="240" w:lineRule="auto"/>
              <w:rPr>
                <w:rFonts w:ascii="仿宋" w:hAnsi="仿宋" w:eastAsia="仿宋" w:cs="Arial"/>
                <w:bCs/>
                <w:szCs w:val="21"/>
              </w:rPr>
            </w:pPr>
            <w:r>
              <w:rPr>
                <w:rFonts w:hint="eastAsia" w:ascii="仿宋" w:hAnsi="仿宋" w:eastAsia="仿宋" w:cs="Arial"/>
                <w:bCs/>
                <w:szCs w:val="21"/>
              </w:rPr>
              <w:t>2）电子装置（数据采集和数据传输）必须与基表结合牢固且不影响基表抄读。</w:t>
            </w:r>
          </w:p>
          <w:p>
            <w:pPr>
              <w:snapToGrid w:val="0"/>
              <w:spacing w:line="240" w:lineRule="auto"/>
              <w:rPr>
                <w:rFonts w:ascii="仿宋" w:hAnsi="仿宋" w:eastAsia="仿宋" w:cs="Arial"/>
                <w:bCs/>
                <w:szCs w:val="21"/>
              </w:rPr>
            </w:pPr>
            <w:r>
              <w:rPr>
                <w:rFonts w:hint="eastAsia" w:ascii="仿宋" w:hAnsi="仿宋" w:eastAsia="仿宋" w:cs="Arial"/>
                <w:bCs/>
                <w:szCs w:val="21"/>
              </w:rPr>
              <w:t>3）电子装置初始底度与基表行度一致，并且入网成功可进行数据传输。</w:t>
            </w:r>
          </w:p>
          <w:p>
            <w:pPr>
              <w:snapToGrid w:val="0"/>
              <w:spacing w:line="240" w:lineRule="auto"/>
              <w:rPr>
                <w:rFonts w:ascii="仿宋" w:hAnsi="仿宋" w:eastAsia="仿宋" w:cs="Arial"/>
                <w:bCs/>
                <w:szCs w:val="21"/>
              </w:rPr>
            </w:pPr>
            <w:r>
              <w:rPr>
                <w:rFonts w:hint="eastAsia" w:ascii="仿宋" w:hAnsi="仿宋" w:eastAsia="仿宋" w:cs="Arial"/>
                <w:bCs/>
                <w:szCs w:val="21"/>
              </w:rPr>
              <w:t>3、工程资料验收：工程资料验收前，应保证验收人员持有以下工程资料安装施工验收记录、水表安装清单。</w:t>
            </w:r>
          </w:p>
          <w:p>
            <w:pPr>
              <w:snapToGrid w:val="0"/>
              <w:spacing w:line="240" w:lineRule="auto"/>
              <w:rPr>
                <w:rFonts w:ascii="仿宋" w:hAnsi="仿宋" w:eastAsia="仿宋" w:cs="Arial"/>
                <w:bCs/>
                <w:szCs w:val="21"/>
              </w:rPr>
            </w:pPr>
            <w:r>
              <w:rPr>
                <w:rFonts w:hint="eastAsia" w:ascii="仿宋" w:hAnsi="仿宋" w:eastAsia="仿宋" w:cs="Arial"/>
                <w:bCs/>
                <w:szCs w:val="21"/>
              </w:rPr>
              <w:t>1）验收人员应核对现场安装的水表与水表安装清单一致。</w:t>
            </w:r>
          </w:p>
          <w:p>
            <w:pPr>
              <w:snapToGrid w:val="0"/>
              <w:spacing w:line="240" w:lineRule="auto"/>
              <w:rPr>
                <w:rFonts w:ascii="仿宋" w:hAnsi="仿宋" w:eastAsia="仿宋" w:cs="Arial"/>
                <w:bCs/>
                <w:szCs w:val="21"/>
              </w:rPr>
            </w:pPr>
            <w:r>
              <w:rPr>
                <w:rFonts w:hint="eastAsia" w:ascii="仿宋" w:hAnsi="仿宋" w:eastAsia="仿宋" w:cs="Arial"/>
                <w:bCs/>
                <w:szCs w:val="21"/>
              </w:rPr>
              <w:t>2）如发现有不吻合的地方，验收人员应查明情况，如施工上出现错漏，可要求施工方整改。</w:t>
            </w:r>
          </w:p>
          <w:p>
            <w:pPr>
              <w:snapToGrid w:val="0"/>
              <w:spacing w:line="240" w:lineRule="auto"/>
              <w:rPr>
                <w:rFonts w:ascii="仿宋" w:hAnsi="仿宋" w:eastAsia="仿宋" w:cs="Arial"/>
                <w:bCs/>
                <w:szCs w:val="21"/>
              </w:rPr>
            </w:pPr>
            <w:r>
              <w:rPr>
                <w:rFonts w:hint="eastAsia" w:ascii="仿宋" w:hAnsi="仿宋" w:eastAsia="仿宋" w:cs="Arial"/>
                <w:bCs/>
                <w:szCs w:val="21"/>
              </w:rPr>
              <w:t>4、智慧水表运行验收</w:t>
            </w:r>
          </w:p>
          <w:p>
            <w:pPr>
              <w:snapToGrid w:val="0"/>
              <w:spacing w:line="240" w:lineRule="auto"/>
              <w:rPr>
                <w:rFonts w:ascii="仿宋" w:hAnsi="仿宋" w:eastAsia="仿宋" w:cs="Arial"/>
                <w:bCs/>
                <w:szCs w:val="21"/>
              </w:rPr>
            </w:pPr>
            <w:r>
              <w:rPr>
                <w:rFonts w:hint="eastAsia" w:ascii="仿宋" w:hAnsi="仿宋" w:eastAsia="仿宋" w:cs="Arial"/>
                <w:bCs/>
                <w:szCs w:val="21"/>
              </w:rPr>
              <w:t>智慧水表运行验收旨在测试智慧水表自动上报的运行稳定性以及可靠性。测试时，验收人员将抄表系统收集的智慧水表上报数据与现场人工抄表数据（累计流量、水表 ID 码、电子装置 ID 码、状态信息）进行核对，并按 JG/T162-2009 计算出抄表成功率以及抄表正确率。基于现场环境影响，应保证抄表成功率 99.5％以上，抄表正确率 99.5％以上。</w:t>
            </w:r>
          </w:p>
          <w:p>
            <w:pPr>
              <w:snapToGrid w:val="0"/>
              <w:spacing w:line="240" w:lineRule="auto"/>
              <w:rPr>
                <w:rFonts w:ascii="仿宋" w:hAnsi="仿宋" w:eastAsia="仿宋" w:cs="Arial"/>
                <w:bCs/>
                <w:szCs w:val="21"/>
              </w:rPr>
            </w:pPr>
            <w:r>
              <w:rPr>
                <w:rFonts w:hint="eastAsia" w:ascii="仿宋" w:hAnsi="仿宋" w:eastAsia="仿宋" w:cs="Arial"/>
                <w:bCs/>
                <w:szCs w:val="21"/>
              </w:rPr>
              <w:t>5、验收记录</w:t>
            </w:r>
          </w:p>
          <w:p>
            <w:pPr>
              <w:snapToGrid w:val="0"/>
              <w:spacing w:line="240" w:lineRule="auto"/>
              <w:rPr>
                <w:rFonts w:ascii="仿宋" w:hAnsi="仿宋" w:eastAsia="仿宋" w:cs="Arial"/>
                <w:bCs/>
                <w:szCs w:val="21"/>
              </w:rPr>
            </w:pPr>
            <w:r>
              <w:rPr>
                <w:rFonts w:hint="eastAsia" w:ascii="仿宋" w:hAnsi="仿宋" w:eastAsia="仿宋" w:cs="Arial"/>
                <w:bCs/>
                <w:szCs w:val="21"/>
              </w:rPr>
              <w:t>所有验收结束后，验收人员应如实填写智慧水表安装施工验收记录。</w:t>
            </w:r>
          </w:p>
          <w:p>
            <w:pPr>
              <w:snapToGrid w:val="0"/>
              <w:spacing w:line="240" w:lineRule="auto"/>
              <w:rPr>
                <w:rFonts w:ascii="仿宋" w:hAnsi="仿宋" w:eastAsia="仿宋" w:cs="Arial"/>
                <w:bCs/>
                <w:szCs w:val="21"/>
              </w:rPr>
            </w:pPr>
            <w:r>
              <w:rPr>
                <w:rFonts w:hint="eastAsia" w:ascii="仿宋" w:hAnsi="仿宋" w:eastAsia="仿宋" w:cs="Arial"/>
                <w:bCs/>
                <w:szCs w:val="21"/>
              </w:rPr>
              <w:t>1）验收人员首先应填写详细工程信息，包括：项目名称、工程地址、项目性质、水表安装单位、联系人、开工日期、联系电话、竣工日期。</w:t>
            </w:r>
          </w:p>
          <w:p>
            <w:pPr>
              <w:snapToGrid w:val="0"/>
              <w:spacing w:line="240" w:lineRule="auto"/>
              <w:rPr>
                <w:rFonts w:ascii="仿宋" w:hAnsi="仿宋" w:eastAsia="仿宋" w:cs="Arial"/>
                <w:bCs/>
                <w:szCs w:val="21"/>
              </w:rPr>
            </w:pPr>
            <w:r>
              <w:rPr>
                <w:rFonts w:hint="eastAsia" w:ascii="仿宋" w:hAnsi="仿宋" w:eastAsia="仿宋" w:cs="Arial"/>
                <w:bCs/>
                <w:szCs w:val="21"/>
              </w:rPr>
              <w:t>2）验收人员应填写各个验收项目的验收结果，验收项目包括：水表安装、上报成功率、抄表准确性。并在每个项目后面合格与不合格选项上作相应标示。</w:t>
            </w:r>
          </w:p>
          <w:p>
            <w:pPr>
              <w:snapToGrid w:val="0"/>
              <w:spacing w:line="240" w:lineRule="auto"/>
              <w:rPr>
                <w:rFonts w:ascii="仿宋" w:hAnsi="仿宋" w:eastAsia="仿宋" w:cs="Arial"/>
                <w:szCs w:val="21"/>
              </w:rPr>
            </w:pPr>
            <w:r>
              <w:rPr>
                <w:rFonts w:hint="eastAsia" w:ascii="仿宋" w:hAnsi="仿宋" w:eastAsia="仿宋" w:cs="Arial"/>
                <w:bCs/>
                <w:szCs w:val="21"/>
              </w:rPr>
              <w:t>3）如验收合格，可在验收意见栏填写相应信息，同时签名，并填上验收日期，反之亦然。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7</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bCs/>
              </w:rPr>
              <w:t>违约责任</w:t>
            </w:r>
          </w:p>
        </w:tc>
        <w:tc>
          <w:tcPr>
            <w:tcW w:w="7110" w:type="dxa"/>
            <w:vAlign w:val="center"/>
          </w:tcPr>
          <w:p>
            <w:pPr>
              <w:snapToGrid w:val="0"/>
              <w:spacing w:line="240" w:lineRule="auto"/>
              <w:rPr>
                <w:rFonts w:ascii="仿宋" w:hAnsi="仿宋" w:eastAsia="仿宋" w:cs="Arial"/>
                <w:bCs/>
                <w:szCs w:val="21"/>
              </w:rPr>
            </w:pPr>
            <w:r>
              <w:rPr>
                <w:rFonts w:hint="eastAsia" w:ascii="仿宋" w:hAnsi="仿宋" w:eastAsia="仿宋" w:cs="Arial"/>
                <w:bCs/>
                <w:szCs w:val="21"/>
              </w:rPr>
              <w:t>1、质保期内准确抄见率必须达到99.5%以上，否则当月扣除1000元；</w:t>
            </w:r>
          </w:p>
          <w:p>
            <w:pPr>
              <w:snapToGrid w:val="0"/>
              <w:spacing w:line="240" w:lineRule="auto"/>
              <w:rPr>
                <w:rFonts w:ascii="仿宋" w:hAnsi="仿宋" w:eastAsia="仿宋" w:cs="Arial"/>
                <w:bCs/>
                <w:szCs w:val="21"/>
              </w:rPr>
            </w:pPr>
            <w:r>
              <w:rPr>
                <w:rFonts w:hint="eastAsia" w:ascii="仿宋" w:hAnsi="仿宋" w:eastAsia="仿宋" w:cs="Arial"/>
                <w:bCs/>
                <w:szCs w:val="21"/>
              </w:rPr>
              <w:t>2、除不可抗力因素外，如中标人发生不能按期交货或提供服务，支付该批货款3%的违约金。累计延迟供货3次及以上的或单次延迟供货5天及以上的，采购人有权终止合同，并要求中标人退还已支付货款，但若发生产品质量问题，或偷工减料、以次充好，采购人有权采取一切措施，包括赔偿损失、退还已支付货款、罚没履约保证金、终止履行合同等。</w:t>
            </w:r>
          </w:p>
          <w:p>
            <w:pPr>
              <w:snapToGrid w:val="0"/>
              <w:spacing w:line="240" w:lineRule="auto"/>
              <w:rPr>
                <w:rFonts w:ascii="仿宋" w:hAnsi="仿宋" w:eastAsia="仿宋" w:cs="Arial"/>
                <w:bCs/>
                <w:szCs w:val="21"/>
              </w:rPr>
            </w:pPr>
            <w:r>
              <w:rPr>
                <w:rFonts w:hint="eastAsia" w:ascii="仿宋" w:hAnsi="仿宋" w:eastAsia="仿宋" w:cs="Arial"/>
                <w:bCs/>
                <w:szCs w:val="21"/>
              </w:rPr>
              <w:t>3、在质保期内，中标人应在规定期限内，免费维修或更换有缺陷的产品或部件。如果中标人未在规定期限内没有弥补缺陷，采购人可采取必要的补救措施，但风险和费用将由中标人承担。中标人连续二次未及时到场维护的，须赔付采购人出现缺陷的该批货款3%的违约金。</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8</w:t>
            </w:r>
          </w:p>
        </w:tc>
        <w:tc>
          <w:tcPr>
            <w:tcW w:w="1157"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报价</w:t>
            </w:r>
          </w:p>
        </w:tc>
        <w:tc>
          <w:tcPr>
            <w:tcW w:w="7110" w:type="dxa"/>
            <w:vAlign w:val="center"/>
          </w:tcPr>
          <w:p>
            <w:pPr>
              <w:snapToGrid w:val="0"/>
              <w:spacing w:line="240" w:lineRule="auto"/>
              <w:rPr>
                <w:rFonts w:ascii="仿宋" w:hAnsi="仿宋" w:eastAsia="仿宋"/>
                <w:szCs w:val="21"/>
              </w:rPr>
            </w:pPr>
            <w:r>
              <w:rPr>
                <w:rFonts w:hint="eastAsia" w:ascii="仿宋" w:hAnsi="仿宋" w:eastAsia="仿宋"/>
                <w:szCs w:val="21"/>
              </w:rPr>
              <w:t>1、投标人的投标报价应以人民币进行报价。</w:t>
            </w:r>
          </w:p>
          <w:p>
            <w:pPr>
              <w:snapToGrid w:val="0"/>
              <w:spacing w:line="240" w:lineRule="auto"/>
              <w:rPr>
                <w:rFonts w:ascii="仿宋" w:hAnsi="仿宋" w:eastAsia="仿宋"/>
              </w:rPr>
            </w:pPr>
            <w:r>
              <w:rPr>
                <w:rFonts w:hint="eastAsia" w:ascii="仿宋" w:hAnsi="仿宋" w:eastAsia="仿宋"/>
                <w:szCs w:val="21"/>
              </w:rPr>
              <w:t>2、投标报价为货到工地价，包括但不限于所有产品费、运输费、装卸费、现场水表拆装、接线调试组网服务、售后服务及培训费、质保期的维修服务、保险、</w:t>
            </w:r>
            <w:r>
              <w:rPr>
                <w:rFonts w:hint="eastAsia" w:ascii="仿宋" w:hAnsi="仿宋" w:eastAsia="仿宋"/>
              </w:rPr>
              <w:t>税费</w:t>
            </w:r>
            <w:r>
              <w:rPr>
                <w:rFonts w:hint="eastAsia" w:ascii="仿宋" w:hAnsi="仿宋" w:eastAsia="仿宋"/>
                <w:szCs w:val="21"/>
              </w:rPr>
              <w:t>等涉及本项目完成的一切费用。</w:t>
            </w:r>
          </w:p>
          <w:p>
            <w:pPr>
              <w:widowControl/>
              <w:snapToGrid w:val="0"/>
              <w:spacing w:line="240" w:lineRule="auto"/>
              <w:rPr>
                <w:rFonts w:ascii="仿宋" w:hAnsi="仿宋" w:eastAsia="仿宋"/>
                <w:b/>
                <w:bCs/>
                <w:szCs w:val="21"/>
              </w:rPr>
            </w:pPr>
            <w:r>
              <w:rPr>
                <w:rFonts w:hint="eastAsia" w:ascii="仿宋" w:hAnsi="仿宋" w:eastAsia="仿宋"/>
                <w:b/>
                <w:bCs/>
                <w:szCs w:val="21"/>
              </w:rPr>
              <w:t>3、本次招标的最高限价详见招标文件第一章 公开招标采购公告。投标报价超过最高限价的作无效标处理。</w:t>
            </w:r>
          </w:p>
          <w:p>
            <w:pPr>
              <w:overflowPunct w:val="0"/>
              <w:snapToGrid w:val="0"/>
              <w:spacing w:line="240" w:lineRule="auto"/>
              <w:contextualSpacing/>
              <w:rPr>
                <w:rFonts w:ascii="仿宋" w:hAnsi="仿宋" w:eastAsia="仿宋" w:cs="Arial"/>
                <w:szCs w:val="21"/>
              </w:rPr>
            </w:pPr>
            <w:r>
              <w:rPr>
                <w:rFonts w:hint="eastAsia" w:ascii="仿宋" w:hAnsi="仿宋" w:eastAsia="仿宋"/>
                <w:szCs w:val="21"/>
              </w:rPr>
              <w:t>4、不论投标结果如何，投标人均应自行承担所有与投标有关的全部费用。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703" w:type="dxa"/>
            <w:vAlign w:val="center"/>
          </w:tcPr>
          <w:p>
            <w:pPr>
              <w:snapToGrid w:val="0"/>
              <w:spacing w:line="240" w:lineRule="auto"/>
              <w:contextualSpacing/>
              <w:jc w:val="center"/>
              <w:rPr>
                <w:rFonts w:ascii="仿宋" w:hAnsi="仿宋" w:eastAsia="仿宋" w:cs="Arial"/>
                <w:szCs w:val="21"/>
              </w:rPr>
            </w:pPr>
            <w:r>
              <w:rPr>
                <w:rFonts w:hint="eastAsia" w:ascii="仿宋" w:hAnsi="仿宋" w:eastAsia="仿宋" w:cs="Arial"/>
                <w:szCs w:val="21"/>
              </w:rPr>
              <w:t>9</w:t>
            </w:r>
          </w:p>
        </w:tc>
        <w:tc>
          <w:tcPr>
            <w:tcW w:w="1157" w:type="dxa"/>
            <w:vAlign w:val="center"/>
          </w:tcPr>
          <w:p>
            <w:pPr>
              <w:snapToGrid w:val="0"/>
              <w:spacing w:line="240" w:lineRule="auto"/>
              <w:contextualSpacing/>
              <w:jc w:val="center"/>
              <w:rPr>
                <w:rFonts w:ascii="仿宋" w:hAnsi="仿宋" w:eastAsia="仿宋" w:cs="Arial"/>
                <w:szCs w:val="21"/>
              </w:rPr>
            </w:pPr>
            <w:r>
              <w:rPr>
                <w:rFonts w:ascii="仿宋" w:hAnsi="仿宋" w:eastAsia="仿宋" w:cs="Arial"/>
                <w:szCs w:val="21"/>
              </w:rPr>
              <w:t>其他要求</w:t>
            </w:r>
          </w:p>
        </w:tc>
        <w:tc>
          <w:tcPr>
            <w:tcW w:w="7110" w:type="dxa"/>
            <w:vAlign w:val="center"/>
          </w:tcPr>
          <w:p>
            <w:pPr>
              <w:snapToGrid w:val="0"/>
              <w:spacing w:line="240" w:lineRule="auto"/>
              <w:contextualSpacing/>
              <w:rPr>
                <w:rFonts w:ascii="仿宋" w:hAnsi="仿宋" w:eastAsia="仿宋" w:cs="Arial"/>
                <w:szCs w:val="21"/>
              </w:rPr>
            </w:pPr>
            <w:r>
              <w:rPr>
                <w:rFonts w:hint="eastAsia" w:ascii="仿宋" w:hAnsi="仿宋" w:eastAsia="仿宋" w:cs="Arial"/>
                <w:szCs w:val="21"/>
              </w:rPr>
              <w:t>1、在合同期限内，采购人有权根据实际需求确定具体的规格、型号和数量，供货期间价格不调整，投标人应充分考虑其间的风险；并且投标人应充分考虑在合同期内的材料费浮动风险。投标人须在投标文件中提供针对本项的承诺函，否则为无效投标。</w:t>
            </w:r>
          </w:p>
          <w:p>
            <w:pPr>
              <w:snapToGrid w:val="0"/>
              <w:spacing w:line="240" w:lineRule="auto"/>
              <w:contextualSpacing/>
              <w:rPr>
                <w:rFonts w:ascii="仿宋" w:hAnsi="仿宋" w:eastAsia="仿宋" w:cs="Arial"/>
                <w:szCs w:val="21"/>
              </w:rPr>
            </w:pPr>
            <w:r>
              <w:rPr>
                <w:rFonts w:hint="eastAsia" w:ascii="仿宋" w:hAnsi="仿宋" w:eastAsia="仿宋" w:cs="Arial"/>
                <w:szCs w:val="21"/>
              </w:rPr>
              <w:t>2、采购人有权委托第三方机构对供货产品进行抽测，测试结果合格的由采购人支付检测费用，结果不合格由中标人支付检测费用并重新供货组织第二次测试，测试费用由中标人支付。</w:t>
            </w:r>
          </w:p>
          <w:p>
            <w:pPr>
              <w:snapToGrid w:val="0"/>
              <w:spacing w:line="240" w:lineRule="auto"/>
              <w:contextualSpacing/>
              <w:rPr>
                <w:rFonts w:ascii="仿宋" w:hAnsi="仿宋" w:eastAsia="仿宋" w:cs="Arial"/>
                <w:szCs w:val="21"/>
              </w:rPr>
            </w:pPr>
            <w:r>
              <w:rPr>
                <w:rFonts w:hint="eastAsia" w:ascii="仿宋" w:hAnsi="仿宋" w:eastAsia="仿宋" w:cs="Arial"/>
                <w:szCs w:val="21"/>
              </w:rPr>
              <w:t>3、</w:t>
            </w:r>
            <w:r>
              <w:rPr>
                <w:rFonts w:hint="eastAsia" w:ascii="仿宋" w:hAnsi="仿宋" w:eastAsia="仿宋"/>
                <w:szCs w:val="21"/>
              </w:rPr>
              <w:t>本项目内货物由中标人负责指导安装和数据上传。</w:t>
            </w:r>
          </w:p>
          <w:p>
            <w:pPr>
              <w:snapToGrid w:val="0"/>
              <w:spacing w:line="240" w:lineRule="auto"/>
              <w:contextualSpacing/>
              <w:rPr>
                <w:rFonts w:ascii="仿宋" w:hAnsi="仿宋" w:eastAsia="仿宋" w:cs="Arial"/>
                <w:szCs w:val="21"/>
              </w:rPr>
            </w:pPr>
            <w:r>
              <w:rPr>
                <w:rFonts w:hint="eastAsia" w:ascii="仿宋" w:hAnsi="仿宋" w:eastAsia="仿宋" w:cs="Arial"/>
                <w:szCs w:val="21"/>
              </w:rPr>
              <w:t>4、通讯方式由采购人指定。</w:t>
            </w:r>
          </w:p>
        </w:tc>
      </w:tr>
      <w:bookmarkEnd w:id="113"/>
      <w:bookmarkEnd w:id="114"/>
    </w:tbl>
    <w:p>
      <w:pPr>
        <w:spacing w:line="240" w:lineRule="auto"/>
        <w:rPr>
          <w:rFonts w:ascii="仿宋" w:hAnsi="仿宋" w:eastAsia="仿宋"/>
        </w:rPr>
      </w:pPr>
    </w:p>
    <w:p>
      <w:pPr>
        <w:pStyle w:val="21"/>
        <w:snapToGrid w:val="0"/>
        <w:spacing w:after="0" w:line="360" w:lineRule="auto"/>
        <w:ind w:firstLineChars="200"/>
        <w:rPr>
          <w:rFonts w:hint="eastAsia" w:ascii="宋体" w:hAnsi="宋体"/>
          <w:color w:val="auto"/>
          <w:szCs w:val="21"/>
          <w:lang w:eastAsia="zh-Hans"/>
        </w:rPr>
      </w:pPr>
    </w:p>
    <w:p>
      <w:pPr>
        <w:spacing w:line="240" w:lineRule="auto"/>
        <w:jc w:val="center"/>
        <w:rPr>
          <w:rFonts w:hint="default" w:eastAsia="宋体"/>
          <w:b/>
          <w:spacing w:val="-4"/>
          <w:sz w:val="36"/>
          <w:szCs w:val="36"/>
          <w:lang w:eastAsia="zh-CN"/>
        </w:rPr>
      </w:pPr>
      <w:r>
        <w:rPr>
          <w:rFonts w:hint="eastAsia" w:eastAsia="宋体"/>
          <w:b/>
          <w:spacing w:val="-4"/>
          <w:sz w:val="36"/>
          <w:szCs w:val="36"/>
          <w:lang w:eastAsia="zh-CN"/>
        </w:rPr>
        <w:drawing>
          <wp:inline distT="0" distB="0" distL="114300" distR="114300">
            <wp:extent cx="5972175" cy="8385175"/>
            <wp:effectExtent l="0" t="0" r="9525" b="15875"/>
            <wp:docPr id="29" name="图片 29" descr="GB_T 778.1-2018 饮用冷水水表和热水水表 第1部分：计量要求和技术要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GB_T 778.1-2018 饮用冷水水表和热水水表 第1部分：计量要求和技术要求_00"/>
                    <pic:cNvPicPr>
                      <a:picLocks noChangeAspect="1"/>
                    </pic:cNvPicPr>
                  </pic:nvPicPr>
                  <pic:blipFill>
                    <a:blip r:embed="rId16"/>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8" name="图片 28" descr="GB_T 778.1-2018 饮用冷水水表和热水水表 第1部分：计量要求和技术要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GB_T 778.1-2018 饮用冷水水表和热水水表 第1部分：计量要求和技术要求_01"/>
                    <pic:cNvPicPr>
                      <a:picLocks noChangeAspect="1"/>
                    </pic:cNvPicPr>
                  </pic:nvPicPr>
                  <pic:blipFill>
                    <a:blip r:embed="rId17"/>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7" name="图片 27" descr="GB_T 778.1-2018 饮用冷水水表和热水水表 第1部分：计量要求和技术要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GB_T 778.1-2018 饮用冷水水表和热水水表 第1部分：计量要求和技术要求_02"/>
                    <pic:cNvPicPr>
                      <a:picLocks noChangeAspect="1"/>
                    </pic:cNvPicPr>
                  </pic:nvPicPr>
                  <pic:blipFill>
                    <a:blip r:embed="rId18"/>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6" name="图片 26" descr="GB_T 778.1-2018 饮用冷水水表和热水水表 第1部分：计量要求和技术要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GB_T 778.1-2018 饮用冷水水表和热水水表 第1部分：计量要求和技术要求_03"/>
                    <pic:cNvPicPr>
                      <a:picLocks noChangeAspect="1"/>
                    </pic:cNvPicPr>
                  </pic:nvPicPr>
                  <pic:blipFill>
                    <a:blip r:embed="rId19"/>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5" name="图片 25" descr="GB_T 778.1-2018 饮用冷水水表和热水水表 第1部分：计量要求和技术要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GB_T 778.1-2018 饮用冷水水表和热水水表 第1部分：计量要求和技术要求_04"/>
                    <pic:cNvPicPr>
                      <a:picLocks noChangeAspect="1"/>
                    </pic:cNvPicPr>
                  </pic:nvPicPr>
                  <pic:blipFill>
                    <a:blip r:embed="rId20"/>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4" name="图片 24" descr="GB_T 778.1-2018 饮用冷水水表和热水水表 第1部分：计量要求和技术要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GB_T 778.1-2018 饮用冷水水表和热水水表 第1部分：计量要求和技术要求_05"/>
                    <pic:cNvPicPr>
                      <a:picLocks noChangeAspect="1"/>
                    </pic:cNvPicPr>
                  </pic:nvPicPr>
                  <pic:blipFill>
                    <a:blip r:embed="rId21"/>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3" name="图片 23" descr="GB_T 778.1-2018 饮用冷水水表和热水水表 第1部分：计量要求和技术要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GB_T 778.1-2018 饮用冷水水表和热水水表 第1部分：计量要求和技术要求_06"/>
                    <pic:cNvPicPr>
                      <a:picLocks noChangeAspect="1"/>
                    </pic:cNvPicPr>
                  </pic:nvPicPr>
                  <pic:blipFill>
                    <a:blip r:embed="rId22"/>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2" name="图片 22" descr="GB_T 778.1-2018 饮用冷水水表和热水水表 第1部分：计量要求和技术要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GB_T 778.1-2018 饮用冷水水表和热水水表 第1部分：计量要求和技术要求_07"/>
                    <pic:cNvPicPr>
                      <a:picLocks noChangeAspect="1"/>
                    </pic:cNvPicPr>
                  </pic:nvPicPr>
                  <pic:blipFill>
                    <a:blip r:embed="rId23"/>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1" name="图片 21" descr="GB_T 778.1-2018 饮用冷水水表和热水水表 第1部分：计量要求和技术要求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GB_T 778.1-2018 饮用冷水水表和热水水表 第1部分：计量要求和技术要求_08"/>
                    <pic:cNvPicPr>
                      <a:picLocks noChangeAspect="1"/>
                    </pic:cNvPicPr>
                  </pic:nvPicPr>
                  <pic:blipFill>
                    <a:blip r:embed="rId24"/>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20" name="图片 20" descr="GB_T 778.1-2018 饮用冷水水表和热水水表 第1部分：计量要求和技术要求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GB_T 778.1-2018 饮用冷水水表和热水水表 第1部分：计量要求和技术要求_09"/>
                    <pic:cNvPicPr>
                      <a:picLocks noChangeAspect="1"/>
                    </pic:cNvPicPr>
                  </pic:nvPicPr>
                  <pic:blipFill>
                    <a:blip r:embed="rId25"/>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9" name="图片 19" descr="GB_T 778.1-2018 饮用冷水水表和热水水表 第1部分：计量要求和技术要求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GB_T 778.1-2018 饮用冷水水表和热水水表 第1部分：计量要求和技术要求_10"/>
                    <pic:cNvPicPr>
                      <a:picLocks noChangeAspect="1"/>
                    </pic:cNvPicPr>
                  </pic:nvPicPr>
                  <pic:blipFill>
                    <a:blip r:embed="rId26"/>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8" name="图片 18" descr="GB_T 778.1-2018 饮用冷水水表和热水水表 第1部分：计量要求和技术要求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GB_T 778.1-2018 饮用冷水水表和热水水表 第1部分：计量要求和技术要求_11"/>
                    <pic:cNvPicPr>
                      <a:picLocks noChangeAspect="1"/>
                    </pic:cNvPicPr>
                  </pic:nvPicPr>
                  <pic:blipFill>
                    <a:blip r:embed="rId27"/>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7" name="图片 17" descr="GB_T 778.1-2018 饮用冷水水表和热水水表 第1部分：计量要求和技术要求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GB_T 778.1-2018 饮用冷水水表和热水水表 第1部分：计量要求和技术要求_12"/>
                    <pic:cNvPicPr>
                      <a:picLocks noChangeAspect="1"/>
                    </pic:cNvPicPr>
                  </pic:nvPicPr>
                  <pic:blipFill>
                    <a:blip r:embed="rId28"/>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6" name="图片 16" descr="GB_T 778.1-2018 饮用冷水水表和热水水表 第1部分：计量要求和技术要求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GB_T 778.1-2018 饮用冷水水表和热水水表 第1部分：计量要求和技术要求_13"/>
                    <pic:cNvPicPr>
                      <a:picLocks noChangeAspect="1"/>
                    </pic:cNvPicPr>
                  </pic:nvPicPr>
                  <pic:blipFill>
                    <a:blip r:embed="rId29"/>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5" name="图片 15" descr="GB_T 778.1-2018 饮用冷水水表和热水水表 第1部分：计量要求和技术要求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GB_T 778.1-2018 饮用冷水水表和热水水表 第1部分：计量要求和技术要求_14"/>
                    <pic:cNvPicPr>
                      <a:picLocks noChangeAspect="1"/>
                    </pic:cNvPicPr>
                  </pic:nvPicPr>
                  <pic:blipFill>
                    <a:blip r:embed="rId30"/>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4" name="图片 14" descr="GB_T 778.1-2018 饮用冷水水表和热水水表 第1部分：计量要求和技术要求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GB_T 778.1-2018 饮用冷水水表和热水水表 第1部分：计量要求和技术要求_15"/>
                    <pic:cNvPicPr>
                      <a:picLocks noChangeAspect="1"/>
                    </pic:cNvPicPr>
                  </pic:nvPicPr>
                  <pic:blipFill>
                    <a:blip r:embed="rId31"/>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3" name="图片 13" descr="GB_T 778.1-2018 饮用冷水水表和热水水表 第1部分：计量要求和技术要求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GB_T 778.1-2018 饮用冷水水表和热水水表 第1部分：计量要求和技术要求_16"/>
                    <pic:cNvPicPr>
                      <a:picLocks noChangeAspect="1"/>
                    </pic:cNvPicPr>
                  </pic:nvPicPr>
                  <pic:blipFill>
                    <a:blip r:embed="rId32"/>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2" name="图片 12" descr="GB_T 778.1-2018 饮用冷水水表和热水水表 第1部分：计量要求和技术要求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GB_T 778.1-2018 饮用冷水水表和热水水表 第1部分：计量要求和技术要求_17"/>
                    <pic:cNvPicPr>
                      <a:picLocks noChangeAspect="1"/>
                    </pic:cNvPicPr>
                  </pic:nvPicPr>
                  <pic:blipFill>
                    <a:blip r:embed="rId33"/>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1" name="图片 11" descr="GB_T 778.1-2018 饮用冷水水表和热水水表 第1部分：计量要求和技术要求_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GB_T 778.1-2018 饮用冷水水表和热水水表 第1部分：计量要求和技术要求_18"/>
                    <pic:cNvPicPr>
                      <a:picLocks noChangeAspect="1"/>
                    </pic:cNvPicPr>
                  </pic:nvPicPr>
                  <pic:blipFill>
                    <a:blip r:embed="rId34"/>
                    <a:stretch>
                      <a:fillRect/>
                    </a:stretch>
                  </pic:blipFill>
                  <pic:spPr>
                    <a:xfrm>
                      <a:off x="0" y="0"/>
                      <a:ext cx="5972175" cy="838517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2175" cy="8385175"/>
            <wp:effectExtent l="0" t="0" r="9525" b="15875"/>
            <wp:docPr id="10" name="图片 10" descr="GB_T 778.1-2018 饮用冷水水表和热水水表 第1部分：计量要求和技术要求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GB_T 778.1-2018 饮用冷水水表和热水水表 第1部分：计量要求和技术要求_19"/>
                    <pic:cNvPicPr>
                      <a:picLocks noChangeAspect="1"/>
                    </pic:cNvPicPr>
                  </pic:nvPicPr>
                  <pic:blipFill>
                    <a:blip r:embed="rId35"/>
                    <a:stretch>
                      <a:fillRect/>
                    </a:stretch>
                  </pic:blipFill>
                  <pic:spPr>
                    <a:xfrm>
                      <a:off x="0" y="0"/>
                      <a:ext cx="5972175" cy="8385175"/>
                    </a:xfrm>
                    <a:prstGeom prst="rect">
                      <a:avLst/>
                    </a:prstGeom>
                  </pic:spPr>
                </pic:pic>
              </a:graphicData>
            </a:graphic>
          </wp:inline>
        </w:drawing>
      </w:r>
    </w:p>
    <w:p>
      <w:pPr>
        <w:spacing w:line="240" w:lineRule="auto"/>
        <w:jc w:val="center"/>
        <w:rPr>
          <w:rFonts w:hint="eastAsia"/>
          <w:lang w:eastAsia="zh-CN"/>
        </w:rPr>
        <w:sectPr>
          <w:pgSz w:w="11907" w:h="16840"/>
          <w:pgMar w:top="1440" w:right="1247" w:bottom="1361" w:left="1247" w:header="851" w:footer="850" w:gutter="0"/>
          <w:pgBorders>
            <w:top w:val="none" w:sz="0" w:space="0"/>
            <w:left w:val="none" w:sz="0" w:space="0"/>
            <w:bottom w:val="none" w:sz="0" w:space="0"/>
            <w:right w:val="none" w:sz="0" w:space="0"/>
          </w:pgBorders>
          <w:pgNumType w:fmt="decimal"/>
          <w:cols w:space="720" w:num="1"/>
          <w:rtlGutter w:val="0"/>
          <w:docGrid w:linePitch="462" w:charSpace="0"/>
        </w:sectPr>
      </w:pPr>
      <w:r>
        <w:rPr>
          <w:rFonts w:hint="eastAsia"/>
          <w:lang w:eastAsia="zh-CN"/>
        </w:rPr>
        <w:drawing>
          <wp:inline distT="0" distB="0" distL="114300" distR="114300">
            <wp:extent cx="5972175" cy="8385175"/>
            <wp:effectExtent l="0" t="0" r="9525" b="15875"/>
            <wp:docPr id="43" name="图片 43" descr="GB_T 778.1-2018 饮用冷水水表和热水水表 第1部分：计量要求和技术要求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GB_T 778.1-2018 饮用冷水水表和热水水表 第1部分：计量要求和技术要求_21"/>
                    <pic:cNvPicPr>
                      <a:picLocks noChangeAspect="1"/>
                    </pic:cNvPicPr>
                  </pic:nvPicPr>
                  <pic:blipFill>
                    <a:blip r:embed="rId36"/>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42" name="图片 42" descr="GB_T 778.1-2018 饮用冷水水表和热水水表 第1部分：计量要求和技术要求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GB_T 778.1-2018 饮用冷水水表和热水水表 第1部分：计量要求和技术要求_22"/>
                    <pic:cNvPicPr>
                      <a:picLocks noChangeAspect="1"/>
                    </pic:cNvPicPr>
                  </pic:nvPicPr>
                  <pic:blipFill>
                    <a:blip r:embed="rId37"/>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41" name="图片 41" descr="GB_T 778.1-2018 饮用冷水水表和热水水表 第1部分：计量要求和技术要求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GB_T 778.1-2018 饮用冷水水表和热水水表 第1部分：计量要求和技术要求_23"/>
                    <pic:cNvPicPr>
                      <a:picLocks noChangeAspect="1"/>
                    </pic:cNvPicPr>
                  </pic:nvPicPr>
                  <pic:blipFill>
                    <a:blip r:embed="rId38"/>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40" name="图片 40" descr="GB_T 778.1-2018 饮用冷水水表和热水水表 第1部分：计量要求和技术要求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GB_T 778.1-2018 饮用冷水水表和热水水表 第1部分：计量要求和技术要求_24"/>
                    <pic:cNvPicPr>
                      <a:picLocks noChangeAspect="1"/>
                    </pic:cNvPicPr>
                  </pic:nvPicPr>
                  <pic:blipFill>
                    <a:blip r:embed="rId39"/>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9" name="图片 39" descr="GB_T 778.1-2018 饮用冷水水表和热水水表 第1部分：计量要求和技术要求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GB_T 778.1-2018 饮用冷水水表和热水水表 第1部分：计量要求和技术要求_25"/>
                    <pic:cNvPicPr>
                      <a:picLocks noChangeAspect="1"/>
                    </pic:cNvPicPr>
                  </pic:nvPicPr>
                  <pic:blipFill>
                    <a:blip r:embed="rId40"/>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8" name="图片 38" descr="GB_T 778.1-2018 饮用冷水水表和热水水表 第1部分：计量要求和技术要求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GB_T 778.1-2018 饮用冷水水表和热水水表 第1部分：计量要求和技术要求_26"/>
                    <pic:cNvPicPr>
                      <a:picLocks noChangeAspect="1"/>
                    </pic:cNvPicPr>
                  </pic:nvPicPr>
                  <pic:blipFill>
                    <a:blip r:embed="rId41"/>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7" name="图片 37" descr="GB_T 778.1-2018 饮用冷水水表和热水水表 第1部分：计量要求和技术要求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GB_T 778.1-2018 饮用冷水水表和热水水表 第1部分：计量要求和技术要求_27"/>
                    <pic:cNvPicPr>
                      <a:picLocks noChangeAspect="1"/>
                    </pic:cNvPicPr>
                  </pic:nvPicPr>
                  <pic:blipFill>
                    <a:blip r:embed="rId42"/>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6" name="图片 36" descr="GB_T 778.1-2018 饮用冷水水表和热水水表 第1部分：计量要求和技术要求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GB_T 778.1-2018 饮用冷水水表和热水水表 第1部分：计量要求和技术要求_28"/>
                    <pic:cNvPicPr>
                      <a:picLocks noChangeAspect="1"/>
                    </pic:cNvPicPr>
                  </pic:nvPicPr>
                  <pic:blipFill>
                    <a:blip r:embed="rId43"/>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5" name="图片 35" descr="GB_T 778.1-2018 饮用冷水水表和热水水表 第1部分：计量要求和技术要求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GB_T 778.1-2018 饮用冷水水表和热水水表 第1部分：计量要求和技术要求_29"/>
                    <pic:cNvPicPr>
                      <a:picLocks noChangeAspect="1"/>
                    </pic:cNvPicPr>
                  </pic:nvPicPr>
                  <pic:blipFill>
                    <a:blip r:embed="rId44"/>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4" name="图片 34" descr="GB_T 778.1-2018 饮用冷水水表和热水水表 第1部分：计量要求和技术要求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GB_T 778.1-2018 饮用冷水水表和热水水表 第1部分：计量要求和技术要求_30"/>
                    <pic:cNvPicPr>
                      <a:picLocks noChangeAspect="1"/>
                    </pic:cNvPicPr>
                  </pic:nvPicPr>
                  <pic:blipFill>
                    <a:blip r:embed="rId45"/>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497830" cy="7719695"/>
            <wp:effectExtent l="0" t="0" r="7620" b="14605"/>
            <wp:docPr id="33" name="图片 33" descr="GB_T 778.1-2018 饮用冷水水表和热水水表 第1部分：计量要求和技术要求_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GB_T 778.1-2018 饮用冷水水表和热水水表 第1部分：计量要求和技术要求_31"/>
                    <pic:cNvPicPr>
                      <a:picLocks noChangeAspect="1"/>
                    </pic:cNvPicPr>
                  </pic:nvPicPr>
                  <pic:blipFill>
                    <a:blip r:embed="rId46"/>
                    <a:stretch>
                      <a:fillRect/>
                    </a:stretch>
                  </pic:blipFill>
                  <pic:spPr>
                    <a:xfrm>
                      <a:off x="0" y="0"/>
                      <a:ext cx="5497830" cy="771969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2" name="图片 32" descr="GB_T 778.1-2018 饮用冷水水表和热水水表 第1部分：计量要求和技术要求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GB_T 778.1-2018 饮用冷水水表和热水水表 第1部分：计量要求和技术要求_32"/>
                    <pic:cNvPicPr>
                      <a:picLocks noChangeAspect="1"/>
                    </pic:cNvPicPr>
                  </pic:nvPicPr>
                  <pic:blipFill>
                    <a:blip r:embed="rId47"/>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5972175" cy="8385175"/>
            <wp:effectExtent l="0" t="0" r="9525" b="15875"/>
            <wp:docPr id="31" name="图片 31" descr="GB_T 778.1-2018 饮用冷水水表和热水水表 第1部分：计量要求和技术要求_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GB_T 778.1-2018 饮用冷水水表和热水水表 第1部分：计量要求和技术要求_33"/>
                    <pic:cNvPicPr>
                      <a:picLocks noChangeAspect="1"/>
                    </pic:cNvPicPr>
                  </pic:nvPicPr>
                  <pic:blipFill>
                    <a:blip r:embed="rId48"/>
                    <a:stretch>
                      <a:fillRect/>
                    </a:stretch>
                  </pic:blipFill>
                  <pic:spPr>
                    <a:xfrm>
                      <a:off x="0" y="0"/>
                      <a:ext cx="5972175" cy="8385175"/>
                    </a:xfrm>
                    <a:prstGeom prst="rect">
                      <a:avLst/>
                    </a:prstGeom>
                  </pic:spPr>
                </pic:pic>
              </a:graphicData>
            </a:graphic>
          </wp:inline>
        </w:drawing>
      </w:r>
      <w:r>
        <w:rPr>
          <w:rFonts w:hint="eastAsia"/>
          <w:lang w:eastAsia="zh-CN"/>
        </w:rPr>
        <w:drawing>
          <wp:inline distT="0" distB="0" distL="114300" distR="114300">
            <wp:extent cx="6314440" cy="8865870"/>
            <wp:effectExtent l="0" t="0" r="10160" b="11430"/>
            <wp:docPr id="30" name="图片 30" descr="GB_T 778.1-2018 饮用冷水水表和热水水表 第1部分：计量要求和技术要求_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GB_T 778.1-2018 饮用冷水水表和热水水表 第1部分：计量要求和技术要求_34"/>
                    <pic:cNvPicPr>
                      <a:picLocks noChangeAspect="1"/>
                    </pic:cNvPicPr>
                  </pic:nvPicPr>
                  <pic:blipFill>
                    <a:blip r:embed="rId49"/>
                    <a:stretch>
                      <a:fillRect/>
                    </a:stretch>
                  </pic:blipFill>
                  <pic:spPr>
                    <a:xfrm>
                      <a:off x="0" y="0"/>
                      <a:ext cx="6314440" cy="8865870"/>
                    </a:xfrm>
                    <a:prstGeom prst="rect">
                      <a:avLst/>
                    </a:prstGeom>
                  </pic:spPr>
                </pic:pic>
              </a:graphicData>
            </a:graphic>
          </wp:inline>
        </w:drawing>
      </w:r>
    </w:p>
    <w:p>
      <w:pPr>
        <w:spacing w:line="240" w:lineRule="auto"/>
        <w:jc w:val="center"/>
        <w:rPr>
          <w:rFonts w:hint="eastAsia" w:eastAsia="宋体"/>
          <w:b/>
          <w:spacing w:val="-4"/>
          <w:sz w:val="36"/>
          <w:szCs w:val="36"/>
          <w:lang w:eastAsia="zh-CN"/>
        </w:rPr>
        <w:sectPr>
          <w:pgSz w:w="11907" w:h="16840"/>
          <w:pgMar w:top="1440" w:right="1247" w:bottom="1361" w:left="1247" w:header="851" w:footer="850" w:gutter="0"/>
          <w:pgBorders>
            <w:top w:val="none" w:sz="0" w:space="0"/>
            <w:left w:val="none" w:sz="0" w:space="0"/>
            <w:bottom w:val="none" w:sz="0" w:space="0"/>
            <w:right w:val="none" w:sz="0" w:space="0"/>
          </w:pgBorders>
          <w:pgNumType w:fmt="decimal"/>
          <w:cols w:space="720" w:num="1"/>
          <w:rtlGutter w:val="0"/>
          <w:docGrid w:linePitch="462" w:charSpace="0"/>
        </w:sectPr>
      </w:pPr>
      <w:r>
        <w:rPr>
          <w:rFonts w:hint="eastAsia" w:eastAsia="宋体"/>
          <w:b/>
          <w:spacing w:val="-4"/>
          <w:sz w:val="36"/>
          <w:szCs w:val="36"/>
          <w:lang w:eastAsia="zh-CN"/>
        </w:rPr>
        <w:drawing>
          <wp:inline distT="0" distB="0" distL="114300" distR="114300">
            <wp:extent cx="5970905" cy="8444865"/>
            <wp:effectExtent l="0" t="0" r="10795" b="13335"/>
            <wp:docPr id="58" name="图片 58" descr="CJ_T 535-2018 物联网水表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J_T 535-2018 物联网水表_00"/>
                    <pic:cNvPicPr>
                      <a:picLocks noChangeAspect="1"/>
                    </pic:cNvPicPr>
                  </pic:nvPicPr>
                  <pic:blipFill>
                    <a:blip r:embed="rId50"/>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7" name="图片 57" descr="CJ_T 535-2018 物联网水表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J_T 535-2018 物联网水表_07"/>
                    <pic:cNvPicPr>
                      <a:picLocks noChangeAspect="1"/>
                    </pic:cNvPicPr>
                  </pic:nvPicPr>
                  <pic:blipFill>
                    <a:blip r:embed="rId51"/>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6" name="图片 56" descr="CJ_T 535-2018 物联网水表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J_T 535-2018 物联网水表_14"/>
                    <pic:cNvPicPr>
                      <a:picLocks noChangeAspect="1"/>
                    </pic:cNvPicPr>
                  </pic:nvPicPr>
                  <pic:blipFill>
                    <a:blip r:embed="rId52"/>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5" name="图片 55" descr="CJ_T 535-2018 物联网水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J_T 535-2018 物联网水表_01"/>
                    <pic:cNvPicPr>
                      <a:picLocks noChangeAspect="1"/>
                    </pic:cNvPicPr>
                  </pic:nvPicPr>
                  <pic:blipFill>
                    <a:blip r:embed="rId53"/>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4" name="图片 54" descr="CJ_T 535-2018 物联网水表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J_T 535-2018 物联网水表_08"/>
                    <pic:cNvPicPr>
                      <a:picLocks noChangeAspect="1"/>
                    </pic:cNvPicPr>
                  </pic:nvPicPr>
                  <pic:blipFill>
                    <a:blip r:embed="rId54"/>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3" name="图片 53" descr="CJ_T 535-2018 物联网水表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J_T 535-2018 物联网水表_02"/>
                    <pic:cNvPicPr>
                      <a:picLocks noChangeAspect="1"/>
                    </pic:cNvPicPr>
                  </pic:nvPicPr>
                  <pic:blipFill>
                    <a:blip r:embed="rId55"/>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2" name="图片 52" descr="CJ_T 535-2018 物联网水表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J_T 535-2018 物联网水表_09"/>
                    <pic:cNvPicPr>
                      <a:picLocks noChangeAspect="1"/>
                    </pic:cNvPicPr>
                  </pic:nvPicPr>
                  <pic:blipFill>
                    <a:blip r:embed="rId56"/>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1" name="图片 51" descr="CJ_T 535-2018 物联网水表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J_T 535-2018 物联网水表_03"/>
                    <pic:cNvPicPr>
                      <a:picLocks noChangeAspect="1"/>
                    </pic:cNvPicPr>
                  </pic:nvPicPr>
                  <pic:blipFill>
                    <a:blip r:embed="rId57"/>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50" name="图片 50" descr="CJ_T 535-2018 物联网水表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J_T 535-2018 物联网水表_10"/>
                    <pic:cNvPicPr>
                      <a:picLocks noChangeAspect="1"/>
                    </pic:cNvPicPr>
                  </pic:nvPicPr>
                  <pic:blipFill>
                    <a:blip r:embed="rId58"/>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9" name="图片 49" descr="CJ_T 535-2018 物联网水表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J_T 535-2018 物联网水表_04"/>
                    <pic:cNvPicPr>
                      <a:picLocks noChangeAspect="1"/>
                    </pic:cNvPicPr>
                  </pic:nvPicPr>
                  <pic:blipFill>
                    <a:blip r:embed="rId59"/>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8" name="图片 48" descr="CJ_T 535-2018 物联网水表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J_T 535-2018 物联网水表_11"/>
                    <pic:cNvPicPr>
                      <a:picLocks noChangeAspect="1"/>
                    </pic:cNvPicPr>
                  </pic:nvPicPr>
                  <pic:blipFill>
                    <a:blip r:embed="rId60"/>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7" name="图片 47" descr="CJ_T 535-2018 物联网水表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J_T 535-2018 物联网水表_05"/>
                    <pic:cNvPicPr>
                      <a:picLocks noChangeAspect="1"/>
                    </pic:cNvPicPr>
                  </pic:nvPicPr>
                  <pic:blipFill>
                    <a:blip r:embed="rId61"/>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6" name="图片 46" descr="CJ_T 535-2018 物联网水表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J_T 535-2018 物联网水表_12"/>
                    <pic:cNvPicPr>
                      <a:picLocks noChangeAspect="1"/>
                    </pic:cNvPicPr>
                  </pic:nvPicPr>
                  <pic:blipFill>
                    <a:blip r:embed="rId62"/>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5" name="图片 45" descr="CJ_T 535-2018 物联网水表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J_T 535-2018 物联网水表_06"/>
                    <pic:cNvPicPr>
                      <a:picLocks noChangeAspect="1"/>
                    </pic:cNvPicPr>
                  </pic:nvPicPr>
                  <pic:blipFill>
                    <a:blip r:embed="rId63"/>
                    <a:stretch>
                      <a:fillRect/>
                    </a:stretch>
                  </pic:blipFill>
                  <pic:spPr>
                    <a:xfrm>
                      <a:off x="0" y="0"/>
                      <a:ext cx="5970905" cy="8444865"/>
                    </a:xfrm>
                    <a:prstGeom prst="rect">
                      <a:avLst/>
                    </a:prstGeom>
                  </pic:spPr>
                </pic:pic>
              </a:graphicData>
            </a:graphic>
          </wp:inline>
        </w:drawing>
      </w:r>
      <w:r>
        <w:rPr>
          <w:rFonts w:hint="eastAsia" w:eastAsia="宋体"/>
          <w:b/>
          <w:spacing w:val="-4"/>
          <w:sz w:val="36"/>
          <w:szCs w:val="36"/>
          <w:lang w:eastAsia="zh-CN"/>
        </w:rPr>
        <w:drawing>
          <wp:inline distT="0" distB="0" distL="114300" distR="114300">
            <wp:extent cx="5970905" cy="8444865"/>
            <wp:effectExtent l="0" t="0" r="10795" b="13335"/>
            <wp:docPr id="44" name="图片 44" descr="CJ_T 535-2018 物联网水表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J_T 535-2018 物联网水表_13"/>
                    <pic:cNvPicPr>
                      <a:picLocks noChangeAspect="1"/>
                    </pic:cNvPicPr>
                  </pic:nvPicPr>
                  <pic:blipFill>
                    <a:blip r:embed="rId64"/>
                    <a:stretch>
                      <a:fillRect/>
                    </a:stretch>
                  </pic:blipFill>
                  <pic:spPr>
                    <a:xfrm>
                      <a:off x="0" y="0"/>
                      <a:ext cx="5970905" cy="8444865"/>
                    </a:xfrm>
                    <a:prstGeom prst="rect">
                      <a:avLst/>
                    </a:prstGeom>
                  </pic:spPr>
                </pic:pic>
              </a:graphicData>
            </a:graphic>
          </wp:inline>
        </w:drawing>
      </w:r>
    </w:p>
    <w:p>
      <w:pPr>
        <w:jc w:val="center"/>
        <w:rPr>
          <w:sz w:val="36"/>
          <w:szCs w:val="36"/>
        </w:rPr>
      </w:pPr>
      <w:r>
        <w:rPr>
          <w:rFonts w:hint="eastAsia"/>
          <w:b/>
          <w:spacing w:val="-4"/>
          <w:sz w:val="36"/>
          <w:szCs w:val="36"/>
        </w:rPr>
        <w:t>第五部分  合同主要条款</w:t>
      </w:r>
    </w:p>
    <w:p>
      <w:pPr>
        <w:adjustRightInd w:val="0"/>
        <w:spacing w:line="360" w:lineRule="auto"/>
        <w:jc w:val="center"/>
        <w:rPr>
          <w:rFonts w:ascii="宋体" w:hAnsi="宋体"/>
          <w:bCs/>
          <w:sz w:val="24"/>
          <w:szCs w:val="24"/>
        </w:rPr>
      </w:pPr>
      <w:r>
        <w:rPr>
          <w:rFonts w:hint="eastAsia" w:ascii="宋体" w:hAnsi="宋体"/>
          <w:bCs/>
          <w:sz w:val="24"/>
          <w:szCs w:val="24"/>
        </w:rPr>
        <w:t>(本合同仅供参考，最终合同由采购人与中标人协商确定)</w:t>
      </w:r>
    </w:p>
    <w:p>
      <w:pPr>
        <w:pStyle w:val="5"/>
        <w:keepNext/>
        <w:keepLines/>
        <w:pageBreakBefore w:val="0"/>
        <w:widowControl w:val="0"/>
        <w:numPr>
          <w:ilvl w:val="0"/>
          <w:numId w:val="0"/>
        </w:numPr>
        <w:kinsoku/>
        <w:wordWrap/>
        <w:overflowPunct/>
        <w:topLinePunct w:val="0"/>
        <w:autoSpaceDE/>
        <w:autoSpaceDN/>
        <w:bidi w:val="0"/>
        <w:adjustRightInd/>
        <w:snapToGrid/>
        <w:spacing w:line="356" w:lineRule="atLeast"/>
        <w:ind w:leftChars="0"/>
        <w:jc w:val="left"/>
        <w:textAlignment w:val="auto"/>
        <w:outlineLvl w:val="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合同编号：</w:t>
      </w:r>
      <w:r>
        <w:rPr>
          <w:rFonts w:hint="eastAsia" w:ascii="宋体" w:hAnsi="宋体" w:eastAsia="宋体" w:cs="宋体"/>
          <w:color w:val="000000"/>
          <w:sz w:val="24"/>
          <w:szCs w:val="24"/>
          <w:highlight w:val="none"/>
          <w:u w:val="single"/>
        </w:rPr>
        <w:t xml:space="preserve">           </w:t>
      </w:r>
    </w:p>
    <w:p>
      <w:pPr>
        <w:spacing w:line="480" w:lineRule="auto"/>
        <w:jc w:val="both"/>
        <w:rPr>
          <w:rFonts w:hint="eastAsia" w:ascii="宋体" w:hAnsi="宋体" w:eastAsia="宋体" w:cs="宋体"/>
          <w:b/>
          <w:color w:val="000000"/>
          <w:sz w:val="24"/>
          <w:szCs w:val="24"/>
          <w:highlight w:val="none"/>
        </w:rPr>
      </w:pPr>
    </w:p>
    <w:p>
      <w:pPr>
        <w:spacing w:line="480" w:lineRule="auto"/>
        <w:jc w:val="center"/>
        <w:rPr>
          <w:rFonts w:hint="eastAsia" w:ascii="宋体" w:hAnsi="宋体" w:eastAsia="宋体" w:cs="宋体"/>
          <w:b/>
          <w:color w:val="000000"/>
          <w:sz w:val="24"/>
          <w:szCs w:val="24"/>
          <w:highlight w:val="none"/>
        </w:rPr>
      </w:pPr>
    </w:p>
    <w:p>
      <w:pPr>
        <w:spacing w:line="480" w:lineRule="auto"/>
        <w:jc w:val="center"/>
        <w:rPr>
          <w:rFonts w:hint="eastAsia" w:ascii="宋体" w:hAnsi="宋体" w:eastAsia="宋体" w:cs="宋体"/>
          <w:b/>
          <w:color w:val="000000"/>
          <w:sz w:val="40"/>
          <w:szCs w:val="40"/>
          <w:highlight w:val="none"/>
        </w:rPr>
      </w:pPr>
      <w:r>
        <w:rPr>
          <w:rFonts w:hint="eastAsia" w:ascii="宋体" w:hAnsi="宋体" w:eastAsia="宋体" w:cs="宋体"/>
          <w:b/>
          <w:color w:val="000000"/>
          <w:sz w:val="40"/>
          <w:szCs w:val="40"/>
          <w:highlight w:val="none"/>
        </w:rPr>
        <w:t>政府采购合同参考范本</w:t>
      </w:r>
    </w:p>
    <w:p>
      <w:pPr>
        <w:spacing w:line="480" w:lineRule="auto"/>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（货物类）</w:t>
      </w:r>
    </w:p>
    <w:p>
      <w:pPr>
        <w:pStyle w:val="51"/>
        <w:spacing w:line="240" w:lineRule="auto"/>
        <w:ind w:firstLine="0"/>
        <w:rPr>
          <w:rFonts w:hint="eastAsia" w:ascii="宋体" w:hAnsi="宋体" w:eastAsia="宋体" w:cs="宋体"/>
          <w:color w:val="000000"/>
          <w:sz w:val="24"/>
          <w:szCs w:val="24"/>
          <w:highlight w:val="none"/>
        </w:rPr>
      </w:pPr>
    </w:p>
    <w:p>
      <w:pPr>
        <w:pStyle w:val="51"/>
        <w:spacing w:line="240" w:lineRule="auto"/>
        <w:ind w:firstLine="0"/>
        <w:rPr>
          <w:rFonts w:hint="eastAsia" w:ascii="宋体" w:hAnsi="宋体" w:eastAsia="宋体" w:cs="宋体"/>
          <w:color w:val="000000"/>
          <w:sz w:val="24"/>
          <w:szCs w:val="24"/>
          <w:highlight w:val="none"/>
        </w:rPr>
      </w:pPr>
    </w:p>
    <w:p>
      <w:pPr>
        <w:pStyle w:val="51"/>
        <w:spacing w:line="240" w:lineRule="auto"/>
        <w:ind w:firstLine="0"/>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第一部分 合同书</w:t>
      </w:r>
    </w:p>
    <w:p>
      <w:pPr>
        <w:pStyle w:val="51"/>
        <w:spacing w:line="240" w:lineRule="auto"/>
        <w:ind w:firstLine="0"/>
        <w:rPr>
          <w:rFonts w:hint="eastAsia" w:ascii="宋体" w:hAnsi="宋体" w:eastAsia="宋体" w:cs="宋体"/>
          <w:color w:val="000000"/>
          <w:sz w:val="24"/>
          <w:szCs w:val="24"/>
          <w:highlight w:val="none"/>
        </w:rPr>
      </w:pPr>
    </w:p>
    <w:p>
      <w:pPr>
        <w:spacing w:before="120" w:line="22" w:lineRule="atLeast"/>
        <w:rPr>
          <w:rFonts w:hint="eastAsia" w:ascii="宋体" w:hAnsi="宋体" w:eastAsia="宋体" w:cs="宋体"/>
          <w:color w:val="000000"/>
          <w:sz w:val="24"/>
          <w:szCs w:val="24"/>
          <w:highlight w:val="none"/>
        </w:rPr>
      </w:pPr>
    </w:p>
    <w:p>
      <w:pPr>
        <w:spacing w:before="120" w:line="22" w:lineRule="atLeast"/>
        <w:ind w:left="96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项目名称：</w:t>
      </w:r>
      <w:r>
        <w:rPr>
          <w:rFonts w:hint="eastAsia" w:ascii="宋体" w:hAnsi="宋体" w:eastAsia="宋体" w:cs="宋体"/>
          <w:color w:val="000000"/>
          <w:sz w:val="24"/>
          <w:szCs w:val="24"/>
          <w:highlight w:val="none"/>
          <w:u w:val="single"/>
        </w:rPr>
        <w:t xml:space="preserve">                                   </w:t>
      </w:r>
    </w:p>
    <w:p>
      <w:pPr>
        <w:spacing w:line="240" w:lineRule="auto"/>
        <w:rPr>
          <w:rFonts w:hint="eastAsia" w:ascii="宋体" w:hAnsi="宋体" w:eastAsia="宋体" w:cs="宋体"/>
          <w:color w:val="000000"/>
          <w:sz w:val="24"/>
          <w:szCs w:val="24"/>
          <w:highlight w:val="none"/>
        </w:rPr>
      </w:pPr>
    </w:p>
    <w:p>
      <w:pPr>
        <w:spacing w:before="120" w:line="22" w:lineRule="atLeast"/>
        <w:ind w:left="96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甲方：</w:t>
      </w:r>
      <w:r>
        <w:rPr>
          <w:rFonts w:hint="eastAsia" w:ascii="宋体" w:hAnsi="宋体" w:eastAsia="宋体" w:cs="宋体"/>
          <w:color w:val="000000"/>
          <w:sz w:val="24"/>
          <w:szCs w:val="24"/>
          <w:highlight w:val="none"/>
          <w:u w:val="single"/>
        </w:rPr>
        <w:t xml:space="preserve">                                      </w:t>
      </w:r>
    </w:p>
    <w:p>
      <w:pPr>
        <w:spacing w:before="120" w:line="22" w:lineRule="atLeast"/>
        <w:rPr>
          <w:rFonts w:hint="eastAsia" w:ascii="宋体" w:hAnsi="宋体" w:eastAsia="宋体" w:cs="宋体"/>
          <w:color w:val="000000"/>
          <w:sz w:val="24"/>
          <w:szCs w:val="24"/>
          <w:highlight w:val="none"/>
        </w:rPr>
      </w:pPr>
    </w:p>
    <w:p>
      <w:pPr>
        <w:spacing w:before="120" w:line="22" w:lineRule="atLeast"/>
        <w:ind w:left="96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乙方：</w:t>
      </w:r>
      <w:r>
        <w:rPr>
          <w:rFonts w:hint="eastAsia" w:ascii="宋体" w:hAnsi="宋体" w:eastAsia="宋体" w:cs="宋体"/>
          <w:color w:val="000000"/>
          <w:sz w:val="24"/>
          <w:szCs w:val="24"/>
          <w:highlight w:val="none"/>
          <w:u w:val="single"/>
        </w:rPr>
        <w:t xml:space="preserve">                                       </w:t>
      </w:r>
    </w:p>
    <w:p>
      <w:pPr>
        <w:spacing w:before="120" w:line="22" w:lineRule="atLeast"/>
        <w:rPr>
          <w:rFonts w:hint="eastAsia" w:ascii="宋体" w:hAnsi="宋体" w:eastAsia="宋体" w:cs="宋体"/>
          <w:color w:val="000000"/>
          <w:sz w:val="24"/>
          <w:szCs w:val="24"/>
          <w:highlight w:val="none"/>
        </w:rPr>
      </w:pPr>
    </w:p>
    <w:p>
      <w:pPr>
        <w:spacing w:before="120" w:line="22" w:lineRule="atLeast"/>
        <w:ind w:firstLine="960" w:firstLineChars="40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签订地：</w:t>
      </w:r>
      <w:r>
        <w:rPr>
          <w:rFonts w:hint="eastAsia" w:ascii="宋体" w:hAnsi="宋体" w:eastAsia="宋体" w:cs="宋体"/>
          <w:color w:val="000000"/>
          <w:sz w:val="24"/>
          <w:szCs w:val="24"/>
          <w:highlight w:val="none"/>
          <w:u w:val="single"/>
        </w:rPr>
        <w:t xml:space="preserve">                                     </w:t>
      </w:r>
    </w:p>
    <w:p>
      <w:pPr>
        <w:spacing w:before="120" w:line="22" w:lineRule="atLeast"/>
        <w:rPr>
          <w:rFonts w:hint="eastAsia" w:ascii="宋体" w:hAnsi="宋体" w:eastAsia="宋体" w:cs="宋体"/>
          <w:color w:val="000000"/>
          <w:sz w:val="24"/>
          <w:szCs w:val="24"/>
          <w:highlight w:val="none"/>
        </w:rPr>
      </w:pPr>
    </w:p>
    <w:p>
      <w:pPr>
        <w:spacing w:before="120" w:line="22" w:lineRule="atLeast"/>
        <w:ind w:firstLine="960" w:firstLineChars="400"/>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签订日期：</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年</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月</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日</w:t>
      </w:r>
    </w:p>
    <w:p>
      <w:pPr>
        <w:autoSpaceDE w:val="0"/>
        <w:autoSpaceDN w:val="0"/>
        <w:adjustRightInd w:val="0"/>
        <w:spacing w:line="600" w:lineRule="exact"/>
        <w:ind w:firstLine="640"/>
        <w:jc w:val="center"/>
        <w:rPr>
          <w:rFonts w:hint="eastAsia" w:ascii="宋体" w:hAnsi="宋体" w:eastAsia="宋体" w:cs="宋体"/>
          <w:color w:val="000000"/>
          <w:sz w:val="24"/>
          <w:szCs w:val="24"/>
          <w:highlight w:val="none"/>
        </w:rPr>
        <w:sectPr>
          <w:pgSz w:w="11907" w:h="16840"/>
          <w:pgMar w:top="1440" w:right="1247" w:bottom="1361" w:left="1247" w:header="851" w:footer="850" w:gutter="0"/>
          <w:pgBorders>
            <w:top w:val="none" w:sz="0" w:space="0"/>
            <w:left w:val="none" w:sz="0" w:space="0"/>
            <w:bottom w:val="none" w:sz="0" w:space="0"/>
            <w:right w:val="none" w:sz="0" w:space="0"/>
          </w:pgBorders>
          <w:pgNumType w:fmt="decimal"/>
          <w:cols w:space="720" w:num="1"/>
          <w:rtlGutter w:val="0"/>
          <w:docGrid w:linePitch="462" w:charSpace="0"/>
        </w:sectPr>
      </w:pP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u w:val="single"/>
          <w:lang w:val="zh-CN"/>
        </w:rPr>
      </w:pP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u w:val="single"/>
          <w:lang w:val="zh-CN"/>
        </w:rPr>
        <w:t xml:space="preserve">        </w:t>
      </w:r>
      <w:r>
        <w:rPr>
          <w:rFonts w:hint="eastAsia" w:ascii="宋体" w:hAnsi="宋体" w:eastAsia="宋体" w:cs="宋体"/>
          <w:color w:val="000000"/>
          <w:sz w:val="24"/>
          <w:szCs w:val="24"/>
          <w:highlight w:val="none"/>
          <w:lang w:val="zh-CN"/>
        </w:rPr>
        <w:t>年</w:t>
      </w:r>
      <w:r>
        <w:rPr>
          <w:rFonts w:hint="eastAsia" w:ascii="宋体" w:hAnsi="宋体" w:eastAsia="宋体" w:cs="宋体"/>
          <w:color w:val="000000"/>
          <w:sz w:val="24"/>
          <w:szCs w:val="24"/>
          <w:highlight w:val="none"/>
          <w:u w:val="single"/>
          <w:lang w:val="zh-CN"/>
        </w:rPr>
        <w:t xml:space="preserve">    </w:t>
      </w:r>
      <w:r>
        <w:rPr>
          <w:rFonts w:hint="eastAsia" w:ascii="宋体" w:hAnsi="宋体" w:eastAsia="宋体" w:cs="宋体"/>
          <w:color w:val="000000"/>
          <w:sz w:val="24"/>
          <w:szCs w:val="24"/>
          <w:highlight w:val="none"/>
          <w:lang w:val="zh-CN"/>
        </w:rPr>
        <w:t>月</w:t>
      </w:r>
      <w:r>
        <w:rPr>
          <w:rFonts w:hint="eastAsia" w:ascii="宋体" w:hAnsi="宋体" w:eastAsia="宋体" w:cs="宋体"/>
          <w:color w:val="000000"/>
          <w:sz w:val="24"/>
          <w:szCs w:val="24"/>
          <w:highlight w:val="none"/>
          <w:u w:val="single"/>
          <w:lang w:val="zh-CN"/>
        </w:rPr>
        <w:t xml:space="preserve">    </w:t>
      </w:r>
      <w:r>
        <w:rPr>
          <w:rFonts w:hint="eastAsia" w:ascii="宋体" w:hAnsi="宋体" w:eastAsia="宋体" w:cs="宋体"/>
          <w:color w:val="000000"/>
          <w:sz w:val="24"/>
          <w:szCs w:val="24"/>
          <w:highlight w:val="none"/>
          <w:lang w:val="zh-CN"/>
        </w:rPr>
        <w:t>日</w:t>
      </w:r>
      <w:r>
        <w:rPr>
          <w:rFonts w:hint="eastAsia" w:ascii="宋体" w:hAnsi="宋体" w:eastAsia="宋体" w:cs="宋体"/>
          <w:color w:val="000000"/>
          <w:sz w:val="24"/>
          <w:szCs w:val="24"/>
          <w:highlight w:val="none"/>
        </w:rPr>
        <w:t>，</w:t>
      </w:r>
      <w:r>
        <w:rPr>
          <w:rFonts w:hint="eastAsia" w:ascii="宋体" w:hAnsi="宋体" w:eastAsia="宋体" w:cs="宋体"/>
          <w:color w:val="000000"/>
          <w:sz w:val="24"/>
          <w:szCs w:val="24"/>
          <w:highlight w:val="none"/>
          <w:u w:val="single"/>
        </w:rPr>
        <w:t xml:space="preserve">   （采购人名称）   </w:t>
      </w:r>
      <w:r>
        <w:rPr>
          <w:rFonts w:hint="eastAsia" w:ascii="宋体" w:hAnsi="宋体" w:eastAsia="宋体" w:cs="宋体"/>
          <w:color w:val="000000"/>
          <w:sz w:val="24"/>
          <w:szCs w:val="24"/>
          <w:highlight w:val="none"/>
        </w:rPr>
        <w:t>以</w:t>
      </w:r>
      <w:r>
        <w:rPr>
          <w:rFonts w:hint="eastAsia" w:ascii="宋体" w:hAnsi="宋体" w:eastAsia="宋体" w:cs="宋体"/>
          <w:color w:val="000000"/>
          <w:sz w:val="24"/>
          <w:szCs w:val="24"/>
          <w:highlight w:val="none"/>
          <w:u w:val="single"/>
        </w:rPr>
        <w:t xml:space="preserve">   （政府采购方式）  </w:t>
      </w:r>
      <w:r>
        <w:rPr>
          <w:rFonts w:hint="eastAsia" w:ascii="宋体" w:hAnsi="宋体" w:eastAsia="宋体" w:cs="宋体"/>
          <w:color w:val="000000"/>
          <w:sz w:val="24"/>
          <w:szCs w:val="24"/>
          <w:highlight w:val="none"/>
        </w:rPr>
        <w:t>对</w:t>
      </w:r>
      <w:r>
        <w:rPr>
          <w:rFonts w:hint="eastAsia" w:ascii="宋体" w:hAnsi="宋体" w:eastAsia="宋体" w:cs="宋体"/>
          <w:color w:val="000000"/>
          <w:sz w:val="24"/>
          <w:szCs w:val="24"/>
          <w:highlight w:val="none"/>
          <w:u w:val="single"/>
        </w:rPr>
        <w:t xml:space="preserve">   （同前页项目名称）   </w:t>
      </w:r>
      <w:r>
        <w:rPr>
          <w:rFonts w:hint="eastAsia" w:ascii="宋体" w:hAnsi="宋体" w:eastAsia="宋体" w:cs="宋体"/>
          <w:color w:val="000000"/>
          <w:sz w:val="24"/>
          <w:szCs w:val="24"/>
          <w:highlight w:val="none"/>
        </w:rPr>
        <w:t>项目进行了采购。经</w:t>
      </w:r>
      <w:r>
        <w:rPr>
          <w:rFonts w:hint="eastAsia" w:ascii="宋体" w:hAnsi="宋体" w:eastAsia="宋体" w:cs="宋体"/>
          <w:color w:val="000000"/>
          <w:sz w:val="24"/>
          <w:szCs w:val="24"/>
          <w:highlight w:val="none"/>
          <w:u w:val="single"/>
        </w:rPr>
        <w:t xml:space="preserve">   （相关评定主体名称）   </w:t>
      </w:r>
      <w:r>
        <w:rPr>
          <w:rFonts w:hint="eastAsia" w:ascii="宋体" w:hAnsi="宋体" w:eastAsia="宋体" w:cs="宋体"/>
          <w:color w:val="000000"/>
          <w:sz w:val="24"/>
          <w:szCs w:val="24"/>
          <w:highlight w:val="none"/>
        </w:rPr>
        <w:t>评定，</w:t>
      </w:r>
      <w:r>
        <w:rPr>
          <w:rFonts w:hint="eastAsia" w:ascii="宋体" w:hAnsi="宋体" w:eastAsia="宋体" w:cs="宋体"/>
          <w:color w:val="000000"/>
          <w:sz w:val="24"/>
          <w:szCs w:val="24"/>
          <w:highlight w:val="none"/>
          <w:u w:val="single"/>
        </w:rPr>
        <w:t xml:space="preserve">   （中标</w:t>
      </w:r>
      <w:r>
        <w:rPr>
          <w:rFonts w:hint="eastAsia" w:ascii="宋体" w:hAnsi="宋体" w:cs="宋体"/>
          <w:color w:val="000000"/>
          <w:sz w:val="24"/>
          <w:szCs w:val="24"/>
          <w:highlight w:val="none"/>
          <w:u w:val="single"/>
          <w:lang w:eastAsia="zh-CN"/>
        </w:rPr>
        <w:t>投标人</w:t>
      </w:r>
      <w:r>
        <w:rPr>
          <w:rFonts w:hint="eastAsia" w:ascii="宋体" w:hAnsi="宋体" w:eastAsia="宋体" w:cs="宋体"/>
          <w:color w:val="000000"/>
          <w:sz w:val="24"/>
          <w:szCs w:val="24"/>
          <w:highlight w:val="none"/>
          <w:u w:val="single"/>
        </w:rPr>
        <w:t>名称）</w:t>
      </w:r>
      <w:r>
        <w:rPr>
          <w:rFonts w:hint="eastAsia" w:ascii="宋体" w:hAnsi="宋体" w:eastAsia="宋体" w:cs="宋体"/>
          <w:color w:val="000000"/>
          <w:sz w:val="24"/>
          <w:szCs w:val="24"/>
          <w:highlight w:val="none"/>
        </w:rPr>
        <w:t>为该项目中标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。现于中标通知书发出之日起三十日内，按照采购文件确定的事项签订本合同。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zh-CN"/>
        </w:rPr>
        <w:t>根据《中华人民共和国合同法》、《中华人民共和国政府采购法》等相关法律法规之规定，按照平等、自愿、公平和诚实信用的原则，经</w:t>
      </w:r>
      <w:r>
        <w:rPr>
          <w:rFonts w:hint="eastAsia" w:ascii="宋体" w:hAnsi="宋体" w:eastAsia="宋体" w:cs="宋体"/>
          <w:color w:val="000000"/>
          <w:sz w:val="24"/>
          <w:szCs w:val="24"/>
          <w:highlight w:val="none"/>
          <w:u w:val="single"/>
        </w:rPr>
        <w:t xml:space="preserve">   （采购人名称）   </w:t>
      </w:r>
      <w:r>
        <w:rPr>
          <w:rFonts w:hint="eastAsia" w:ascii="宋体" w:hAnsi="宋体" w:eastAsia="宋体" w:cs="宋体"/>
          <w:color w:val="000000"/>
          <w:sz w:val="24"/>
          <w:szCs w:val="24"/>
          <w:highlight w:val="none"/>
          <w:lang w:val="zh-CN"/>
        </w:rPr>
        <w:t>(以下简称：甲方)和</w:t>
      </w:r>
      <w:r>
        <w:rPr>
          <w:rFonts w:hint="eastAsia" w:ascii="宋体" w:hAnsi="宋体" w:eastAsia="宋体" w:cs="宋体"/>
          <w:color w:val="000000"/>
          <w:sz w:val="24"/>
          <w:szCs w:val="24"/>
          <w:highlight w:val="none"/>
          <w:u w:val="single"/>
        </w:rPr>
        <w:t xml:space="preserve">   （中标</w:t>
      </w:r>
      <w:r>
        <w:rPr>
          <w:rFonts w:hint="eastAsia" w:ascii="宋体" w:hAnsi="宋体" w:cs="宋体"/>
          <w:color w:val="000000"/>
          <w:sz w:val="24"/>
          <w:szCs w:val="24"/>
          <w:highlight w:val="none"/>
          <w:u w:val="single"/>
          <w:lang w:eastAsia="zh-CN"/>
        </w:rPr>
        <w:t>投标人</w:t>
      </w:r>
      <w:r>
        <w:rPr>
          <w:rFonts w:hint="eastAsia" w:ascii="宋体" w:hAnsi="宋体" w:eastAsia="宋体" w:cs="宋体"/>
          <w:color w:val="000000"/>
          <w:sz w:val="24"/>
          <w:szCs w:val="24"/>
          <w:highlight w:val="none"/>
          <w:u w:val="single"/>
        </w:rPr>
        <w:t xml:space="preserve">名称）   </w:t>
      </w:r>
      <w:r>
        <w:rPr>
          <w:rFonts w:hint="eastAsia" w:ascii="宋体" w:hAnsi="宋体" w:eastAsia="宋体" w:cs="宋体"/>
          <w:color w:val="000000"/>
          <w:sz w:val="24"/>
          <w:szCs w:val="24"/>
          <w:highlight w:val="none"/>
          <w:lang w:val="zh-CN"/>
        </w:rPr>
        <w:t>(以下简称：乙方)协商一致，约定以下合同</w:t>
      </w:r>
      <w:r>
        <w:rPr>
          <w:rFonts w:hint="eastAsia" w:ascii="宋体" w:hAnsi="宋体" w:eastAsia="宋体" w:cs="宋体"/>
          <w:color w:val="000000"/>
          <w:sz w:val="24"/>
          <w:szCs w:val="24"/>
          <w:highlight w:val="none"/>
        </w:rPr>
        <w:t>条款，以兹共同遵守、全面履行。</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15" w:name="_Toc2576"/>
      <w:bookmarkStart w:id="116" w:name="_Toc1976"/>
      <w:bookmarkStart w:id="117" w:name="_Toc11380"/>
      <w:bookmarkStart w:id="118" w:name="_Toc13606"/>
      <w:bookmarkStart w:id="119" w:name="_Toc24059"/>
      <w:bookmarkStart w:id="120" w:name="_Toc3029"/>
      <w:bookmarkStart w:id="121" w:name="_Toc2232"/>
      <w:r>
        <w:rPr>
          <w:rFonts w:hint="eastAsia" w:ascii="宋体" w:hAnsi="宋体" w:eastAsia="宋体" w:cs="宋体"/>
          <w:b/>
          <w:color w:val="000000"/>
          <w:sz w:val="24"/>
          <w:szCs w:val="24"/>
          <w:highlight w:val="none"/>
        </w:rPr>
        <w:t>1.1 合同组成部分</w:t>
      </w:r>
      <w:bookmarkEnd w:id="115"/>
      <w:bookmarkEnd w:id="116"/>
      <w:bookmarkEnd w:id="117"/>
      <w:bookmarkEnd w:id="118"/>
      <w:bookmarkEnd w:id="119"/>
      <w:bookmarkEnd w:id="120"/>
      <w:bookmarkEnd w:id="121"/>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下列文件为本合同的组成部分，并构成一个整体，需综合解释、相互补充。如果下列文件内容出现不一致的情形，那么在保证按照采购文件确定的事项的前提下，组成本合同的多个文件的优先适用顺序如下：</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1.1.1 本合同及其补充合同、变更协议；</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1.1.2 中标通知书；</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1.1.3 投标文件（含澄清或者说明文件）；</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1.1.4 招标文件（含澄清或者修改文件）；</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1.1.5 其他相关采购文件。</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22" w:name="_Toc7243"/>
      <w:bookmarkStart w:id="123" w:name="_Toc24300"/>
      <w:bookmarkStart w:id="124" w:name="_Toc10924"/>
      <w:bookmarkStart w:id="125" w:name="_Toc27126"/>
      <w:bookmarkStart w:id="126" w:name="_Toc658"/>
      <w:bookmarkStart w:id="127" w:name="_Toc1223"/>
      <w:bookmarkStart w:id="128" w:name="_Toc21295"/>
      <w:r>
        <w:rPr>
          <w:rFonts w:hint="eastAsia" w:ascii="宋体" w:hAnsi="宋体" w:eastAsia="宋体" w:cs="宋体"/>
          <w:b/>
          <w:color w:val="000000"/>
          <w:sz w:val="24"/>
          <w:szCs w:val="24"/>
          <w:highlight w:val="none"/>
        </w:rPr>
        <w:t>1.2 货物</w:t>
      </w:r>
      <w:bookmarkEnd w:id="122"/>
      <w:bookmarkEnd w:id="123"/>
      <w:bookmarkEnd w:id="124"/>
      <w:bookmarkEnd w:id="125"/>
      <w:bookmarkEnd w:id="126"/>
      <w:bookmarkEnd w:id="127"/>
      <w:bookmarkEnd w:id="128"/>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1.2.1 货物名称：</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1.2.2 货物数量：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u w:val="single"/>
          <w:lang w:val="en-US" w:eastAsia="zh-CN"/>
        </w:rPr>
        <w:t xml:space="preserve"> </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1.2.3 货物质量：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u w:val="single"/>
          <w:lang w:val="en-US" w:eastAsia="zh-CN"/>
        </w:rPr>
        <w:t xml:space="preserve"> </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29" w:name="_Toc339"/>
      <w:bookmarkStart w:id="130" w:name="_Toc23292"/>
      <w:bookmarkStart w:id="131" w:name="_Toc21631"/>
      <w:bookmarkStart w:id="132" w:name="_Toc32505"/>
      <w:bookmarkStart w:id="133" w:name="_Toc8774"/>
      <w:bookmarkStart w:id="134" w:name="_Toc21551"/>
      <w:bookmarkStart w:id="135" w:name="_Toc15356"/>
      <w:r>
        <w:rPr>
          <w:rFonts w:hint="eastAsia" w:ascii="宋体" w:hAnsi="宋体" w:eastAsia="宋体" w:cs="宋体"/>
          <w:b/>
          <w:color w:val="000000"/>
          <w:sz w:val="24"/>
          <w:szCs w:val="24"/>
          <w:highlight w:val="none"/>
        </w:rPr>
        <w:t>1.3 价款</w:t>
      </w:r>
      <w:bookmarkEnd w:id="129"/>
      <w:bookmarkEnd w:id="130"/>
      <w:bookmarkEnd w:id="131"/>
      <w:bookmarkEnd w:id="132"/>
      <w:bookmarkEnd w:id="133"/>
      <w:bookmarkEnd w:id="134"/>
      <w:bookmarkEnd w:id="135"/>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本合同总价为：￥</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元（大写：</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元人民币）。</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分项价格：</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1"/>
        <w:gridCol w:w="3402"/>
        <w:gridCol w:w="2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序号</w:t>
            </w:r>
          </w:p>
        </w:tc>
        <w:tc>
          <w:tcPr>
            <w:tcW w:w="340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分项名称</w:t>
            </w: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分项价格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340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340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340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1201"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340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4603" w:type="dxa"/>
            <w:gridSpan w:val="2"/>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总价</w:t>
            </w:r>
          </w:p>
        </w:tc>
        <w:tc>
          <w:tcPr>
            <w:tcW w:w="2552" w:type="dxa"/>
            <w:noWrap w:val="0"/>
            <w:vAlign w:val="center"/>
          </w:tcPr>
          <w:p>
            <w:pPr>
              <w:pStyle w:val="52"/>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200"/>
              <w:jc w:val="center"/>
              <w:textAlignment w:val="auto"/>
              <w:rPr>
                <w:rFonts w:hint="eastAsia" w:ascii="宋体" w:hAnsi="宋体" w:eastAsia="宋体" w:cs="宋体"/>
                <w:color w:val="000000"/>
                <w:sz w:val="24"/>
                <w:szCs w:val="24"/>
                <w:highlight w:val="none"/>
              </w:rPr>
            </w:pPr>
          </w:p>
        </w:tc>
      </w:tr>
    </w:tbl>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36" w:name="_Toc31382"/>
      <w:bookmarkStart w:id="137" w:name="_Toc24114"/>
      <w:bookmarkStart w:id="138" w:name="_Toc1814"/>
      <w:bookmarkStart w:id="139" w:name="_Toc10340"/>
      <w:bookmarkStart w:id="140" w:name="_Toc22618"/>
      <w:bookmarkStart w:id="141" w:name="_Toc17282"/>
      <w:bookmarkStart w:id="142" w:name="_Toc15409"/>
      <w:r>
        <w:rPr>
          <w:rFonts w:hint="eastAsia" w:ascii="宋体" w:hAnsi="宋体" w:eastAsia="宋体" w:cs="宋体"/>
          <w:b/>
          <w:color w:val="000000"/>
          <w:sz w:val="24"/>
          <w:szCs w:val="24"/>
          <w:highlight w:val="none"/>
        </w:rPr>
        <w:t>1.4 付款方式和发票开具方式</w:t>
      </w:r>
      <w:bookmarkEnd w:id="136"/>
      <w:bookmarkEnd w:id="137"/>
      <w:bookmarkEnd w:id="138"/>
      <w:bookmarkEnd w:id="139"/>
      <w:bookmarkEnd w:id="140"/>
      <w:bookmarkEnd w:id="141"/>
      <w:bookmarkEnd w:id="142"/>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1.4.1 付款方式：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1.4.2 发票开具方式：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43" w:name="_Toc19304"/>
      <w:bookmarkStart w:id="144" w:name="_Toc10000"/>
      <w:bookmarkStart w:id="145" w:name="_Toc17243"/>
      <w:bookmarkStart w:id="146" w:name="_Toc2846"/>
      <w:bookmarkStart w:id="147" w:name="_Toc12614"/>
      <w:bookmarkStart w:id="148" w:name="_Toc9677"/>
      <w:bookmarkStart w:id="149" w:name="_Toc32071"/>
      <w:r>
        <w:rPr>
          <w:rFonts w:hint="eastAsia" w:ascii="宋体" w:hAnsi="宋体" w:eastAsia="宋体" w:cs="宋体"/>
          <w:b/>
          <w:color w:val="000000"/>
          <w:sz w:val="24"/>
          <w:szCs w:val="24"/>
          <w:highlight w:val="none"/>
        </w:rPr>
        <w:t>1.5 货物交付期限、地点和方式</w:t>
      </w:r>
      <w:bookmarkEnd w:id="143"/>
      <w:bookmarkEnd w:id="144"/>
      <w:bookmarkEnd w:id="145"/>
      <w:bookmarkEnd w:id="146"/>
      <w:bookmarkEnd w:id="147"/>
      <w:bookmarkEnd w:id="148"/>
      <w:bookmarkEnd w:id="149"/>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1.5.1 交付期限：</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1.5.2 交付地点：</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u w:val="single"/>
          <w:lang w:val="en-US" w:eastAsia="zh-CN"/>
        </w:rPr>
        <w:t xml:space="preserve">   </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1.5.3 交付方式：</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u w:val="single"/>
          <w:lang w:val="en-US" w:eastAsia="zh-CN"/>
        </w:rPr>
        <w:t xml:space="preserve">       </w:t>
      </w:r>
      <w:r>
        <w:rPr>
          <w:rFonts w:hint="eastAsia" w:ascii="宋体" w:hAnsi="宋体" w:eastAsia="宋体" w:cs="宋体"/>
          <w:color w:val="000000"/>
          <w:sz w:val="24"/>
          <w:szCs w:val="24"/>
          <w:highlight w:val="none"/>
        </w:rPr>
        <w:t>。</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50" w:name="_Toc5953"/>
      <w:bookmarkStart w:id="151" w:name="_Toc1728"/>
      <w:bookmarkStart w:id="152" w:name="_Toc19554"/>
      <w:bookmarkStart w:id="153" w:name="_Toc21423"/>
      <w:bookmarkStart w:id="154" w:name="_Toc7054"/>
      <w:bookmarkStart w:id="155" w:name="_Toc17475"/>
      <w:bookmarkStart w:id="156" w:name="_Toc27250"/>
      <w:r>
        <w:rPr>
          <w:rFonts w:hint="eastAsia" w:ascii="宋体" w:hAnsi="宋体" w:eastAsia="宋体" w:cs="宋体"/>
          <w:b/>
          <w:color w:val="000000"/>
          <w:sz w:val="24"/>
          <w:szCs w:val="24"/>
          <w:highlight w:val="none"/>
        </w:rPr>
        <w:t>1.6 违约责任</w:t>
      </w:r>
      <w:bookmarkEnd w:id="150"/>
      <w:bookmarkEnd w:id="151"/>
      <w:bookmarkEnd w:id="152"/>
      <w:bookmarkEnd w:id="153"/>
      <w:bookmarkEnd w:id="154"/>
      <w:bookmarkEnd w:id="155"/>
      <w:bookmarkEnd w:id="156"/>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1.6.1 除不可抗力外，如果乙方没有按照本合同约定的期限、地点和方式交付货物，那么甲方可要求乙方支付违约金，违约金按每迟延交付货物一日的应交付而未交付货物价格的</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%计算，最高限额为本合同总价的</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%；迟延交付货物的违约金计算数额达到前述最高限额之日起，甲方有权在要求乙方支付违约金的同时，书面通知乙方解除本合同；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1.6.2 除不可抗力外，如果甲方没有按照本合同约定的付款方式付款，那么乙方可要求甲方支付违约金，违约金按每迟延付款一日的应付而未付款的</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%计算，最高限额为本合同总价的</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%；迟延付款的违约金计算数额达到前述最高限额之日起，乙方有权在要求甲方支付违约金的同时，书面通知甲方解除本合同；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1.6.3 除不可抗力外，任何一方未能履行本合同约定的其他主要义务，经催告后在合理期限内仍未履行的，或者任何一方有其他违约行为致使不能实现合同目的的，或者任何一方有腐败行为（即：提供或给予或接受或索取任何财物或其他好处或者采取其他不正当手段影响对方当事人在合同签订、履行过程中的行为）或者欺诈行为（即：以谎报事实或者隐瞒真相的方法来影响对方当事人在合同签订、履行过程中的行为）的，对方当事人可以书面通知违约方解除本合同；</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1.6.4 任何一方按照前述约定要求违约方支付违约金的同时，仍有权要求违约方继续履行合同、采取补救措施，并有权按照己方实际损失情况要求违约方赔偿损失；任何一方按照前述约定要求解除本合同的同时，仍有权要求违约方支付违约金和按照己方实际损失情况要求违约方赔偿损失；且守约方行使的任何权利救济方式均不视为其放弃了其他法定或者约定的权利救济方式；</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1.6.5 除前述约定外，除不可抗力外，任何一方未能履行本合同约定的义务，对方当事人均有权要求继续履行、采取补救措施或者赔偿损失等，且对方当事人行使的任何权利救济方式均不视为其放弃了其他法定或者约定的权利救济方式；</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1.6.6 如果出现政府采购监督管理部门在处理投诉事项期间，书面通知甲方暂停采购活动的情形，或者询问或质疑事项可能影响中标结果的，导致甲方中止履行合同的情形，均不视为甲方违约。</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57" w:name="_Toc16021"/>
      <w:bookmarkStart w:id="158" w:name="_Toc29531"/>
      <w:bookmarkStart w:id="159" w:name="_Toc8484"/>
      <w:bookmarkStart w:id="160" w:name="_Toc28375"/>
      <w:bookmarkStart w:id="161" w:name="_Toc22652"/>
      <w:bookmarkStart w:id="162" w:name="_Toc15583"/>
      <w:bookmarkStart w:id="163" w:name="_Toc643"/>
      <w:r>
        <w:rPr>
          <w:rFonts w:hint="eastAsia" w:ascii="宋体" w:hAnsi="宋体" w:eastAsia="宋体" w:cs="宋体"/>
          <w:b/>
          <w:color w:val="000000"/>
          <w:sz w:val="24"/>
          <w:szCs w:val="24"/>
          <w:highlight w:val="none"/>
        </w:rPr>
        <w:t>1.7 合同争议的解决</w:t>
      </w:r>
      <w:bookmarkEnd w:id="157"/>
      <w:bookmarkEnd w:id="158"/>
      <w:bookmarkEnd w:id="159"/>
      <w:bookmarkEnd w:id="160"/>
      <w:bookmarkEnd w:id="161"/>
      <w:bookmarkEnd w:id="162"/>
      <w:bookmarkEnd w:id="163"/>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本合同履行过程中发生的任何争议，双方当事人均可通过和解或者调解解决；不愿和解、调解或者和解、调解不成的，可以选择下列第</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种方式解决：</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1.7.1 将争议提交</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仲裁委员会依申请仲裁时其现行有效的仲裁规则裁决；</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u w:val="single"/>
        </w:rPr>
      </w:pPr>
      <w:r>
        <w:rPr>
          <w:rFonts w:hint="eastAsia" w:ascii="宋体" w:hAnsi="宋体" w:eastAsia="宋体" w:cs="宋体"/>
          <w:color w:val="000000"/>
          <w:sz w:val="24"/>
          <w:szCs w:val="24"/>
          <w:highlight w:val="none"/>
        </w:rPr>
        <w:t>1.7.2 向</w:t>
      </w:r>
      <w:r>
        <w:rPr>
          <w:rFonts w:hint="eastAsia" w:ascii="宋体" w:hAnsi="宋体" w:eastAsia="宋体" w:cs="宋体"/>
          <w:color w:val="000000"/>
          <w:sz w:val="24"/>
          <w:szCs w:val="24"/>
          <w:highlight w:val="none"/>
          <w:u w:val="single"/>
        </w:rPr>
        <w:t xml:space="preserve">   （被告住所地、合同履行地、合同签订地、原告住所地、标的</w:t>
      </w:r>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u w:val="single"/>
        </w:rPr>
        <w:t xml:space="preserve">物所在地等与争议有实际联系的地点中选出的人民法院名称）    </w:t>
      </w:r>
      <w:r>
        <w:rPr>
          <w:rFonts w:hint="eastAsia" w:ascii="宋体" w:hAnsi="宋体" w:eastAsia="宋体" w:cs="宋体"/>
          <w:color w:val="000000"/>
          <w:sz w:val="24"/>
          <w:szCs w:val="24"/>
          <w:highlight w:val="none"/>
        </w:rPr>
        <w:t>人民法院起诉。</w:t>
      </w:r>
    </w:p>
    <w:p>
      <w:pPr>
        <w:keepNext w:val="0"/>
        <w:keepLines w:val="0"/>
        <w:pageBreakBefore w:val="0"/>
        <w:widowControl w:val="0"/>
        <w:kinsoku/>
        <w:wordWrap/>
        <w:overflowPunct/>
        <w:topLinePunct w:val="0"/>
        <w:autoSpaceDE/>
        <w:autoSpaceDN/>
        <w:bidi w:val="0"/>
        <w:adjustRightInd/>
        <w:snapToGrid/>
        <w:spacing w:line="360" w:lineRule="exact"/>
        <w:ind w:firstLine="482" w:firstLineChars="200"/>
        <w:textAlignment w:val="auto"/>
        <w:outlineLvl w:val="0"/>
        <w:rPr>
          <w:rFonts w:hint="eastAsia" w:ascii="宋体" w:hAnsi="宋体" w:eastAsia="宋体" w:cs="宋体"/>
          <w:b/>
          <w:color w:val="000000"/>
          <w:sz w:val="24"/>
          <w:szCs w:val="24"/>
          <w:highlight w:val="none"/>
        </w:rPr>
      </w:pPr>
      <w:bookmarkStart w:id="164" w:name="_Toc32229"/>
      <w:bookmarkStart w:id="165" w:name="_Toc11050"/>
      <w:bookmarkStart w:id="166" w:name="_Toc15322"/>
      <w:bookmarkStart w:id="167" w:name="_Toc7245"/>
      <w:bookmarkStart w:id="168" w:name="_Toc29148"/>
      <w:bookmarkStart w:id="169" w:name="_Toc25934"/>
      <w:bookmarkStart w:id="170" w:name="_Toc11173"/>
      <w:r>
        <w:rPr>
          <w:rFonts w:hint="eastAsia" w:ascii="宋体" w:hAnsi="宋体" w:eastAsia="宋体" w:cs="宋体"/>
          <w:b/>
          <w:color w:val="000000"/>
          <w:sz w:val="24"/>
          <w:szCs w:val="24"/>
          <w:highlight w:val="none"/>
        </w:rPr>
        <w:t>1.8 合同生效</w:t>
      </w:r>
      <w:bookmarkEnd w:id="164"/>
      <w:bookmarkEnd w:id="165"/>
      <w:bookmarkEnd w:id="166"/>
      <w:bookmarkEnd w:id="167"/>
      <w:bookmarkEnd w:id="168"/>
      <w:bookmarkEnd w:id="169"/>
      <w:bookmarkEnd w:id="170"/>
    </w:p>
    <w:p>
      <w:pPr>
        <w:keepNext w:val="0"/>
        <w:keepLines w:val="0"/>
        <w:pageBreakBefore w:val="0"/>
        <w:widowControl w:val="0"/>
        <w:kinsoku/>
        <w:wordWrap/>
        <w:overflowPunct/>
        <w:topLinePunct w:val="0"/>
        <w:autoSpaceDE/>
        <w:autoSpaceDN/>
        <w:bidi w:val="0"/>
        <w:adjustRightInd/>
        <w:snapToGrid/>
        <w:spacing w:line="360" w:lineRule="exact"/>
        <w:ind w:firstLine="480" w:firstLineChars="200"/>
        <w:textAlignment w:val="auto"/>
        <w:rPr>
          <w:rFonts w:hint="eastAsia" w:ascii="宋体" w:hAnsi="宋体" w:eastAsia="宋体" w:cs="宋体"/>
          <w:sz w:val="24"/>
          <w:szCs w:val="24"/>
          <w:highlight w:val="none"/>
          <w:lang w:val="zh-CN"/>
        </w:rPr>
      </w:pPr>
      <w:r>
        <w:rPr>
          <w:rFonts w:hint="eastAsia" w:ascii="宋体" w:hAnsi="宋体" w:eastAsia="宋体" w:cs="宋体"/>
          <w:color w:val="000000"/>
          <w:sz w:val="24"/>
          <w:szCs w:val="24"/>
          <w:highlight w:val="none"/>
        </w:rPr>
        <w:t>本合同自双方当事人盖章或者签字时生效。</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b/>
          <w:color w:val="000000"/>
          <w:sz w:val="24"/>
          <w:szCs w:val="24"/>
          <w:highlight w:val="none"/>
          <w:lang w:val="zh-CN"/>
        </w:rPr>
        <w:t>甲方</w:t>
      </w:r>
      <w:r>
        <w:rPr>
          <w:rFonts w:hint="eastAsia" w:ascii="宋体" w:hAnsi="宋体" w:eastAsia="宋体" w:cs="宋体"/>
          <w:color w:val="000000"/>
          <w:sz w:val="24"/>
          <w:szCs w:val="24"/>
          <w:highlight w:val="none"/>
          <w:lang w:val="zh-CN"/>
        </w:rPr>
        <w:t xml:space="preserve">：                             </w:t>
      </w:r>
      <w:r>
        <w:rPr>
          <w:rFonts w:hint="eastAsia" w:ascii="宋体" w:hAnsi="宋体" w:eastAsia="宋体" w:cs="宋体"/>
          <w:b/>
          <w:color w:val="000000"/>
          <w:sz w:val="24"/>
          <w:szCs w:val="24"/>
          <w:highlight w:val="none"/>
          <w:lang w:val="zh-CN"/>
        </w:rPr>
        <w:t xml:space="preserve">      乙方</w:t>
      </w:r>
      <w:r>
        <w:rPr>
          <w:rFonts w:hint="eastAsia" w:ascii="宋体" w:hAnsi="宋体" w:eastAsia="宋体" w:cs="宋体"/>
          <w:color w:val="000000"/>
          <w:sz w:val="24"/>
          <w:szCs w:val="24"/>
          <w:highlight w:val="none"/>
          <w:lang w:val="zh-CN"/>
        </w:rPr>
        <w:t>：</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统一社会信用代码：                       统一社会信用代码或身份证号码：</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住所：                                   住所：</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法定代表人或                             法定代表人</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 xml:space="preserve">授权代表（签字）：                        或授权代表（签字）: </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联系人：                                 联系人：</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约定送达地址：                           约定送达地址：</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邮政编码：                               邮政编码：</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 xml:space="preserve">电话:                                    电话: </w:t>
      </w:r>
    </w:p>
    <w:p>
      <w:pPr>
        <w:autoSpaceDE w:val="0"/>
        <w:autoSpaceDN w:val="0"/>
        <w:adjustRightInd w:val="0"/>
        <w:spacing w:line="560" w:lineRule="exact"/>
        <w:rPr>
          <w:rFonts w:hint="eastAsia" w:ascii="宋体" w:hAnsi="宋体" w:eastAsia="宋体" w:cs="宋体"/>
          <w:color w:val="000000"/>
          <w:sz w:val="24"/>
          <w:szCs w:val="24"/>
          <w:highlight w:val="none"/>
          <w:lang w:val="zh-CN"/>
        </w:rPr>
      </w:pPr>
      <w:r>
        <w:rPr>
          <w:rFonts w:hint="eastAsia" w:ascii="宋体" w:hAnsi="宋体" w:eastAsia="宋体" w:cs="宋体"/>
          <w:color w:val="000000"/>
          <w:sz w:val="24"/>
          <w:szCs w:val="24"/>
          <w:highlight w:val="none"/>
          <w:lang w:val="zh-CN"/>
        </w:rPr>
        <w:t>传真:                                    传真:</w:t>
      </w:r>
    </w:p>
    <w:p>
      <w:pPr>
        <w:autoSpaceDE w:val="0"/>
        <w:autoSpaceDN w:val="0"/>
        <w:adjustRightInd w:val="0"/>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lang w:val="zh-CN"/>
        </w:rPr>
        <w:t>电子邮箱：                               电子邮箱：</w:t>
      </w:r>
    </w:p>
    <w:p>
      <w:pPr>
        <w:autoSpaceDE w:val="0"/>
        <w:autoSpaceDN w:val="0"/>
        <w:adjustRightInd w:val="0"/>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开户银行：                               开户银行： </w:t>
      </w:r>
    </w:p>
    <w:p>
      <w:pPr>
        <w:autoSpaceDE w:val="0"/>
        <w:autoSpaceDN w:val="0"/>
        <w:adjustRightInd w:val="0"/>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 xml:space="preserve">开户名称：                               开户名称： </w:t>
      </w:r>
    </w:p>
    <w:p>
      <w:pPr>
        <w:autoSpaceDE w:val="0"/>
        <w:autoSpaceDN w:val="0"/>
        <w:adjustRightInd w:val="0"/>
        <w:spacing w:line="560" w:lineRule="exact"/>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开户账号：</w:t>
      </w:r>
      <w:r>
        <w:rPr>
          <w:rFonts w:hint="eastAsia" w:ascii="宋体" w:hAnsi="宋体" w:eastAsia="宋体" w:cs="宋体"/>
          <w:color w:val="000000"/>
          <w:sz w:val="24"/>
          <w:szCs w:val="24"/>
          <w:highlight w:val="none"/>
          <w:lang w:val="zh-CN"/>
        </w:rPr>
        <w:t xml:space="preserve">                               </w:t>
      </w:r>
      <w:r>
        <w:rPr>
          <w:rFonts w:hint="eastAsia" w:ascii="宋体" w:hAnsi="宋体" w:eastAsia="宋体" w:cs="宋体"/>
          <w:color w:val="000000"/>
          <w:sz w:val="24"/>
          <w:szCs w:val="24"/>
          <w:highlight w:val="none"/>
        </w:rPr>
        <w:t>开户账号：</w:t>
      </w:r>
    </w:p>
    <w:p>
      <w:pPr>
        <w:widowControl/>
        <w:spacing w:line="560" w:lineRule="exact"/>
        <w:jc w:val="left"/>
        <w:rPr>
          <w:rFonts w:hint="eastAsia" w:ascii="宋体" w:hAnsi="宋体" w:eastAsia="宋体" w:cs="宋体"/>
          <w:b/>
          <w:color w:val="000000"/>
          <w:sz w:val="24"/>
          <w:szCs w:val="24"/>
          <w:highlight w:val="none"/>
        </w:rPr>
      </w:pPr>
      <w:bookmarkStart w:id="171" w:name="_Toc331685783"/>
    </w:p>
    <w:p>
      <w:pPr>
        <w:spacing w:line="240" w:lineRule="auto"/>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br w:type="page"/>
      </w:r>
      <w:r>
        <w:rPr>
          <w:rFonts w:hint="eastAsia" w:ascii="宋体" w:hAnsi="宋体" w:eastAsia="宋体" w:cs="宋体"/>
          <w:b/>
          <w:color w:val="000000"/>
          <w:sz w:val="24"/>
          <w:szCs w:val="24"/>
          <w:highlight w:val="none"/>
        </w:rPr>
        <w:t>第二部分 合同一般条款</w:t>
      </w:r>
      <w:bookmarkEnd w:id="171"/>
    </w:p>
    <w:p>
      <w:pPr>
        <w:spacing w:line="560" w:lineRule="exact"/>
        <w:ind w:firstLine="482" w:firstLineChars="200"/>
        <w:outlineLvl w:val="0"/>
        <w:rPr>
          <w:rFonts w:hint="eastAsia" w:ascii="宋体" w:hAnsi="宋体" w:eastAsia="宋体" w:cs="宋体"/>
          <w:b/>
          <w:color w:val="000000"/>
          <w:sz w:val="24"/>
          <w:szCs w:val="24"/>
          <w:highlight w:val="none"/>
        </w:rPr>
      </w:pPr>
      <w:bookmarkStart w:id="172" w:name="_Ref467379195"/>
      <w:bookmarkStart w:id="173" w:name="_Ref467378404"/>
      <w:bookmarkStart w:id="174" w:name="_Ref467378463"/>
      <w:bookmarkStart w:id="175" w:name="_Ref467379214"/>
      <w:bookmarkStart w:id="176" w:name="_Toc22904"/>
      <w:bookmarkStart w:id="177" w:name="_Ref467379205"/>
      <w:bookmarkStart w:id="178" w:name="_Toc16917"/>
      <w:bookmarkStart w:id="179" w:name="_Ref467378499"/>
      <w:bookmarkStart w:id="180" w:name="_Toc18200"/>
      <w:bookmarkStart w:id="181" w:name="_Ref467379101"/>
      <w:bookmarkStart w:id="182" w:name="_Toc487900349"/>
      <w:bookmarkStart w:id="183" w:name="_Toc279701240"/>
      <w:bookmarkStart w:id="184" w:name="_Ref467379225"/>
      <w:bookmarkStart w:id="185" w:name="_Toc259093669"/>
      <w:bookmarkStart w:id="186" w:name="_Toc11445"/>
      <w:bookmarkStart w:id="187" w:name="_Ref467379094"/>
      <w:bookmarkStart w:id="188" w:name="_Toc16970"/>
      <w:bookmarkStart w:id="189" w:name="_Ref467379109"/>
      <w:bookmarkStart w:id="190" w:name="_Toc28763"/>
      <w:bookmarkStart w:id="191" w:name="_Toc19614"/>
      <w:r>
        <w:rPr>
          <w:rFonts w:hint="eastAsia" w:ascii="宋体" w:hAnsi="宋体" w:eastAsia="宋体" w:cs="宋体"/>
          <w:b/>
          <w:color w:val="000000"/>
          <w:sz w:val="24"/>
          <w:szCs w:val="24"/>
          <w:highlight w:val="none"/>
        </w:rPr>
        <w:t>2.1 定义</w:t>
      </w:r>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本合同中的下列词语应按以下内容进行解释：</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2.1.1 “合同”系指采购人和中标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签订的载明双方当事人所达成的协议，并包括所有的附件、附录和构成合同的其他文件。</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2.1.2 “合同价”系指根据合同约定，中标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在完全履行合同义务后，采购人应支付给中标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的价格。</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2.1.3 “货物”系指中标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根据合同约定应向采购人交付的一切各种形态和种类的物品，包括原材料、燃料、设备、机械、仪表、备件、计算机软件、产品等，并包括工具、手册等其他相关资料。</w:t>
      </w:r>
    </w:p>
    <w:p>
      <w:pPr>
        <w:spacing w:line="560" w:lineRule="exact"/>
        <w:ind w:firstLine="480" w:firstLineChars="200"/>
        <w:rPr>
          <w:rFonts w:hint="eastAsia" w:ascii="宋体" w:hAnsi="宋体" w:eastAsia="宋体" w:cs="宋体"/>
          <w:color w:val="000000"/>
          <w:sz w:val="24"/>
          <w:szCs w:val="24"/>
          <w:highlight w:val="none"/>
        </w:rPr>
      </w:pPr>
      <w:bookmarkStart w:id="192" w:name="_Ref467378840"/>
      <w:r>
        <w:rPr>
          <w:rFonts w:hint="eastAsia" w:ascii="宋体" w:hAnsi="宋体" w:eastAsia="宋体" w:cs="宋体"/>
          <w:color w:val="000000"/>
          <w:sz w:val="24"/>
          <w:szCs w:val="24"/>
          <w:highlight w:val="none"/>
        </w:rPr>
        <w:t>2.1.4 “甲方”系指与中标</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签署合同的采购人</w:t>
      </w:r>
      <w:bookmarkEnd w:id="192"/>
      <w:r>
        <w:rPr>
          <w:rFonts w:hint="eastAsia" w:ascii="宋体" w:hAnsi="宋体" w:eastAsia="宋体" w:cs="宋体"/>
          <w:color w:val="000000"/>
          <w:sz w:val="24"/>
          <w:szCs w:val="24"/>
          <w:highlight w:val="none"/>
        </w:rPr>
        <w:t>；采购人委托采购代理机构代表其与乙方签订合同的，采购人的授权委托书作为合同附件。</w:t>
      </w:r>
    </w:p>
    <w:p>
      <w:pPr>
        <w:spacing w:line="560" w:lineRule="exact"/>
        <w:ind w:firstLine="480" w:firstLineChars="200"/>
        <w:rPr>
          <w:rFonts w:hint="eastAsia" w:ascii="宋体" w:hAnsi="宋体" w:eastAsia="宋体" w:cs="宋体"/>
          <w:color w:val="000000"/>
          <w:sz w:val="24"/>
          <w:szCs w:val="24"/>
          <w:highlight w:val="none"/>
        </w:rPr>
      </w:pPr>
      <w:bookmarkStart w:id="193" w:name="_Ref467379400"/>
      <w:r>
        <w:rPr>
          <w:rFonts w:hint="eastAsia" w:ascii="宋体" w:hAnsi="宋体" w:eastAsia="宋体" w:cs="宋体"/>
          <w:color w:val="000000"/>
          <w:sz w:val="24"/>
          <w:szCs w:val="24"/>
          <w:highlight w:val="none"/>
        </w:rPr>
        <w:t>2.1.5 “乙方”系指根据合同约定交付货物的中标</w:t>
      </w:r>
      <w:bookmarkEnd w:id="193"/>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；两个以上的自然人、法人或者其他组织组成一个联合体，以一个</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的身份共同参加政府采购的，联合体各方均应为乙方或者与乙方相同地位的合同当事人，并就合同约定的事项对甲方承担连带责任。</w:t>
      </w:r>
    </w:p>
    <w:p>
      <w:pPr>
        <w:spacing w:line="560" w:lineRule="exact"/>
        <w:ind w:firstLine="480" w:firstLineChars="200"/>
        <w:rPr>
          <w:rFonts w:hint="eastAsia" w:ascii="宋体" w:hAnsi="宋体" w:eastAsia="宋体" w:cs="宋体"/>
          <w:color w:val="000000"/>
          <w:sz w:val="24"/>
          <w:szCs w:val="24"/>
          <w:highlight w:val="none"/>
        </w:rPr>
      </w:pPr>
      <w:bookmarkStart w:id="194" w:name="_Ref467379436"/>
      <w:r>
        <w:rPr>
          <w:rFonts w:hint="eastAsia" w:ascii="宋体" w:hAnsi="宋体" w:eastAsia="宋体" w:cs="宋体"/>
          <w:color w:val="000000"/>
          <w:sz w:val="24"/>
          <w:szCs w:val="24"/>
          <w:highlight w:val="none"/>
        </w:rPr>
        <w:t>2.1.6 “现场”系指合同约定货物将要运至或者安装的地点。</w:t>
      </w:r>
      <w:bookmarkEnd w:id="194"/>
    </w:p>
    <w:p>
      <w:pPr>
        <w:spacing w:line="560" w:lineRule="exact"/>
        <w:ind w:firstLine="482" w:firstLineChars="200"/>
        <w:outlineLvl w:val="0"/>
        <w:rPr>
          <w:rFonts w:hint="eastAsia" w:ascii="宋体" w:hAnsi="宋体" w:eastAsia="宋体" w:cs="宋体"/>
          <w:b/>
          <w:color w:val="000000"/>
          <w:sz w:val="24"/>
          <w:szCs w:val="24"/>
          <w:highlight w:val="none"/>
        </w:rPr>
      </w:pPr>
      <w:bookmarkStart w:id="195" w:name="_Toc31131"/>
      <w:bookmarkStart w:id="196" w:name="_Toc32504"/>
      <w:bookmarkStart w:id="197" w:name="_Toc15561"/>
      <w:bookmarkStart w:id="198" w:name="_Toc487900350"/>
      <w:bookmarkStart w:id="199" w:name="_Toc13336"/>
      <w:bookmarkStart w:id="200" w:name="_Toc27635"/>
      <w:bookmarkStart w:id="201" w:name="_Toc1967"/>
      <w:bookmarkStart w:id="202" w:name="_Toc1705"/>
      <w:bookmarkStart w:id="203" w:name="_Toc279701241"/>
      <w:bookmarkStart w:id="204" w:name="_Toc259093670"/>
      <w:r>
        <w:rPr>
          <w:rFonts w:hint="eastAsia" w:ascii="宋体" w:hAnsi="宋体" w:eastAsia="宋体" w:cs="宋体"/>
          <w:b/>
          <w:color w:val="000000"/>
          <w:sz w:val="24"/>
          <w:szCs w:val="24"/>
          <w:highlight w:val="none"/>
        </w:rPr>
        <w:t>2.2 技术规范</w:t>
      </w:r>
      <w:bookmarkEnd w:id="195"/>
      <w:bookmarkEnd w:id="196"/>
      <w:bookmarkEnd w:id="197"/>
      <w:bookmarkEnd w:id="198"/>
      <w:bookmarkEnd w:id="199"/>
      <w:bookmarkEnd w:id="200"/>
      <w:bookmarkEnd w:id="201"/>
      <w:bookmarkEnd w:id="202"/>
      <w:bookmarkEnd w:id="203"/>
      <w:bookmarkEnd w:id="204"/>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货物所应遵守的技术规范应与采购文件规定的技术规范和技术规范附件(如果有的话)及其技术规范偏差表(如果被甲方接受的话)相一致；如果采购文件中没有技术规范的相应说明，那么应以国家有关部门最新颁布的相应标准和规范为准。</w:t>
      </w:r>
    </w:p>
    <w:p>
      <w:pPr>
        <w:spacing w:line="560" w:lineRule="exact"/>
        <w:ind w:firstLine="482" w:firstLineChars="200"/>
        <w:outlineLvl w:val="0"/>
        <w:rPr>
          <w:rFonts w:hint="eastAsia" w:ascii="宋体" w:hAnsi="宋体" w:eastAsia="宋体" w:cs="宋体"/>
          <w:b/>
          <w:color w:val="000000"/>
          <w:sz w:val="24"/>
          <w:szCs w:val="24"/>
          <w:highlight w:val="none"/>
        </w:rPr>
      </w:pPr>
      <w:bookmarkStart w:id="205" w:name="_Toc27853"/>
      <w:bookmarkStart w:id="206" w:name="_Toc25689"/>
      <w:bookmarkStart w:id="207" w:name="_Toc487900351"/>
      <w:bookmarkStart w:id="208" w:name="_Toc7715"/>
      <w:bookmarkStart w:id="209" w:name="_Toc9829"/>
      <w:bookmarkStart w:id="210" w:name="_Toc31634"/>
      <w:bookmarkStart w:id="211" w:name="_Toc259093671"/>
      <w:bookmarkStart w:id="212" w:name="_Toc23716"/>
      <w:bookmarkStart w:id="213" w:name="_Toc9557"/>
      <w:bookmarkStart w:id="214" w:name="_Toc279701242"/>
      <w:r>
        <w:rPr>
          <w:rFonts w:hint="eastAsia" w:ascii="宋体" w:hAnsi="宋体" w:eastAsia="宋体" w:cs="宋体"/>
          <w:b/>
          <w:color w:val="000000"/>
          <w:sz w:val="24"/>
          <w:szCs w:val="24"/>
          <w:highlight w:val="none"/>
        </w:rPr>
        <w:t>2.3 知识产权</w:t>
      </w:r>
      <w:bookmarkEnd w:id="205"/>
      <w:bookmarkEnd w:id="206"/>
      <w:bookmarkEnd w:id="207"/>
      <w:bookmarkEnd w:id="208"/>
      <w:bookmarkEnd w:id="209"/>
      <w:bookmarkEnd w:id="210"/>
      <w:bookmarkEnd w:id="211"/>
      <w:bookmarkEnd w:id="212"/>
      <w:bookmarkEnd w:id="213"/>
      <w:bookmarkEnd w:id="214"/>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2.3.1 乙方应保证甲方在使用该货物或其任何一部分时不受任何第三方提出的侵犯其著作权、商标权、专利权等知识产权方面的起诉；如果任何第三方提出侵权指控，那么乙方须与该第三方交涉并承担由此发生的一切责任、费用和赔偿；</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2.3.2具有知识产权的计算机软件等货物的知识产权归属，详见</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w:t>
      </w:r>
    </w:p>
    <w:p>
      <w:pPr>
        <w:spacing w:line="560" w:lineRule="exact"/>
        <w:ind w:firstLine="482" w:firstLineChars="200"/>
        <w:outlineLvl w:val="0"/>
        <w:rPr>
          <w:rFonts w:hint="eastAsia" w:ascii="宋体" w:hAnsi="宋体" w:eastAsia="宋体" w:cs="宋体"/>
          <w:b/>
          <w:color w:val="000000"/>
          <w:sz w:val="24"/>
          <w:szCs w:val="24"/>
          <w:highlight w:val="none"/>
        </w:rPr>
      </w:pPr>
      <w:bookmarkStart w:id="215" w:name="_Toc1620"/>
      <w:bookmarkStart w:id="216" w:name="_Toc29149"/>
      <w:bookmarkStart w:id="217" w:name="_Toc25769"/>
      <w:bookmarkStart w:id="218" w:name="_Toc4194"/>
      <w:bookmarkStart w:id="219" w:name="_Toc11932"/>
      <w:bookmarkStart w:id="220" w:name="_Toc17478"/>
      <w:bookmarkStart w:id="221" w:name="_Toc24074"/>
      <w:r>
        <w:rPr>
          <w:rFonts w:hint="eastAsia" w:ascii="宋体" w:hAnsi="宋体" w:eastAsia="宋体" w:cs="宋体"/>
          <w:b/>
          <w:color w:val="000000"/>
          <w:sz w:val="24"/>
          <w:szCs w:val="24"/>
          <w:highlight w:val="none"/>
        </w:rPr>
        <w:t>2.4 包装和装运</w:t>
      </w:r>
      <w:bookmarkEnd w:id="215"/>
      <w:bookmarkEnd w:id="216"/>
      <w:bookmarkEnd w:id="217"/>
      <w:bookmarkEnd w:id="218"/>
      <w:bookmarkEnd w:id="219"/>
      <w:bookmarkEnd w:id="220"/>
      <w:bookmarkEnd w:id="221"/>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2.4.1除</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另有约定外,乙方交付的全部货物,均应采用本行业通用的方式进行包装，没有通用方式的，应当采取足以保护货物的包装方式，且该包装应符合国家有关包装的法律、法规的规定。如有必要，包装应适用于远距离运输、防潮、防震、防锈和防粗暴装卸，确保货物安全无损地运抵现场。由于包装不善所引起的货物锈蚀、损坏和损失等一切风险均由乙方承担。</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2.4.2 装运货物的要求和通知，详见</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w:t>
      </w:r>
    </w:p>
    <w:p>
      <w:pPr>
        <w:spacing w:line="560" w:lineRule="exact"/>
        <w:ind w:firstLine="482" w:firstLineChars="200"/>
        <w:outlineLvl w:val="0"/>
        <w:rPr>
          <w:rFonts w:hint="eastAsia" w:ascii="宋体" w:hAnsi="宋体" w:eastAsia="宋体" w:cs="宋体"/>
          <w:b/>
          <w:color w:val="000000"/>
          <w:sz w:val="24"/>
          <w:szCs w:val="24"/>
          <w:highlight w:val="none"/>
        </w:rPr>
      </w:pPr>
      <w:bookmarkStart w:id="222" w:name="_Toc279701245"/>
      <w:bookmarkStart w:id="223" w:name="_Toc259093674"/>
      <w:bookmarkStart w:id="224" w:name="_Ref467378541"/>
      <w:bookmarkStart w:id="225" w:name="_Toc487900354"/>
      <w:bookmarkStart w:id="226" w:name="_Ref467379536"/>
      <w:bookmarkStart w:id="227" w:name="_Ref467379542"/>
      <w:bookmarkStart w:id="228" w:name="_Ref467379527"/>
      <w:bookmarkStart w:id="229" w:name="_Ref467378591"/>
      <w:bookmarkStart w:id="230" w:name="_Toc32471"/>
      <w:bookmarkStart w:id="231" w:name="_Toc30869"/>
      <w:bookmarkStart w:id="232" w:name="_Toc19074"/>
      <w:bookmarkStart w:id="233" w:name="_Toc30272"/>
      <w:bookmarkStart w:id="234" w:name="_Toc825"/>
      <w:bookmarkStart w:id="235" w:name="_Toc28369"/>
      <w:bookmarkStart w:id="236" w:name="_Toc26182"/>
      <w:r>
        <w:rPr>
          <w:rFonts w:hint="eastAsia" w:ascii="宋体" w:hAnsi="宋体" w:eastAsia="宋体" w:cs="宋体"/>
          <w:b/>
          <w:color w:val="000000"/>
          <w:sz w:val="24"/>
          <w:szCs w:val="24"/>
          <w:highlight w:val="none"/>
        </w:rPr>
        <w:t>2.</w:t>
      </w:r>
      <w:bookmarkEnd w:id="222"/>
      <w:bookmarkEnd w:id="223"/>
      <w:bookmarkEnd w:id="224"/>
      <w:bookmarkEnd w:id="225"/>
      <w:bookmarkEnd w:id="226"/>
      <w:bookmarkEnd w:id="227"/>
      <w:bookmarkEnd w:id="228"/>
      <w:bookmarkEnd w:id="229"/>
      <w:r>
        <w:rPr>
          <w:rFonts w:hint="eastAsia" w:ascii="宋体" w:hAnsi="宋体" w:eastAsia="宋体" w:cs="宋体"/>
          <w:b/>
          <w:color w:val="000000"/>
          <w:sz w:val="24"/>
          <w:szCs w:val="24"/>
          <w:highlight w:val="none"/>
        </w:rPr>
        <w:t>5 履约检查和问题反馈</w:t>
      </w:r>
      <w:bookmarkEnd w:id="230"/>
      <w:bookmarkEnd w:id="231"/>
      <w:bookmarkEnd w:id="232"/>
      <w:bookmarkEnd w:id="233"/>
      <w:bookmarkEnd w:id="234"/>
      <w:bookmarkEnd w:id="235"/>
      <w:bookmarkEnd w:id="236"/>
    </w:p>
    <w:p>
      <w:pPr>
        <w:spacing w:line="560" w:lineRule="exact"/>
        <w:ind w:firstLine="480" w:firstLineChars="200"/>
        <w:rPr>
          <w:rFonts w:hint="eastAsia" w:ascii="宋体" w:hAnsi="宋体" w:eastAsia="宋体" w:cs="宋体"/>
          <w:color w:val="000000"/>
          <w:sz w:val="24"/>
          <w:szCs w:val="24"/>
          <w:highlight w:val="none"/>
        </w:rPr>
      </w:pPr>
      <w:bookmarkStart w:id="237" w:name="_Ref467379657"/>
      <w:r>
        <w:rPr>
          <w:rFonts w:hint="eastAsia" w:ascii="宋体" w:hAnsi="宋体" w:eastAsia="宋体" w:cs="宋体"/>
          <w:color w:val="000000"/>
          <w:sz w:val="24"/>
          <w:szCs w:val="24"/>
          <w:highlight w:val="none"/>
        </w:rPr>
        <w:t>2.5.1</w:t>
      </w:r>
      <w:bookmarkEnd w:id="237"/>
      <w:bookmarkStart w:id="238" w:name="_Toc186431854"/>
      <w:bookmarkStart w:id="239" w:name="_Toc259093676"/>
      <w:bookmarkStart w:id="240" w:name="_Toc487900357"/>
      <w:bookmarkStart w:id="241" w:name="_Ref467379807"/>
      <w:bookmarkStart w:id="242" w:name="_Toc279701247"/>
      <w:bookmarkStart w:id="243" w:name="_Ref467379793"/>
      <w:r>
        <w:rPr>
          <w:rFonts w:hint="eastAsia" w:ascii="宋体" w:hAnsi="宋体" w:eastAsia="宋体" w:cs="宋体"/>
          <w:color w:val="000000"/>
          <w:sz w:val="24"/>
          <w:szCs w:val="24"/>
          <w:highlight w:val="none"/>
        </w:rPr>
        <w:t>甲方有权在其认为必要时，对乙方是否能够按照合同约定交付货物进行履约检查，以确保乙方所交付的货物能够依约满足甲方之项目需求，但不得因履约检查妨碍乙方的正常工作，乙方应予积极配合；</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2.5.2 合同履行期间，甲方有权将履行过程中出现的问题反馈给乙方，双方当事人应以书面形式约定需要完善和改进的内容</w:t>
      </w:r>
      <w:bookmarkEnd w:id="238"/>
      <w:bookmarkStart w:id="244" w:name="_Toc186431855"/>
      <w:r>
        <w:rPr>
          <w:rFonts w:hint="eastAsia" w:ascii="宋体" w:hAnsi="宋体" w:eastAsia="宋体" w:cs="宋体"/>
          <w:color w:val="000000"/>
          <w:sz w:val="24"/>
          <w:szCs w:val="24"/>
          <w:highlight w:val="none"/>
        </w:rPr>
        <w:t>。</w:t>
      </w:r>
    </w:p>
    <w:bookmarkEnd w:id="244"/>
    <w:p>
      <w:pPr>
        <w:spacing w:line="560" w:lineRule="exact"/>
        <w:ind w:firstLine="482" w:firstLineChars="200"/>
        <w:outlineLvl w:val="0"/>
        <w:rPr>
          <w:rFonts w:hint="eastAsia" w:ascii="宋体" w:hAnsi="宋体" w:eastAsia="宋体" w:cs="宋体"/>
          <w:b/>
          <w:color w:val="000000"/>
          <w:sz w:val="24"/>
          <w:szCs w:val="24"/>
          <w:highlight w:val="none"/>
        </w:rPr>
      </w:pPr>
      <w:bookmarkStart w:id="245" w:name="_Toc19219"/>
      <w:bookmarkStart w:id="246" w:name="_Toc16577"/>
      <w:bookmarkStart w:id="247" w:name="_Toc20387"/>
      <w:bookmarkStart w:id="248" w:name="_Toc6987"/>
      <w:bookmarkStart w:id="249" w:name="_Toc7836"/>
      <w:bookmarkStart w:id="250" w:name="_Toc22776"/>
      <w:bookmarkStart w:id="251" w:name="_Toc28451"/>
      <w:r>
        <w:rPr>
          <w:rFonts w:hint="eastAsia" w:ascii="宋体" w:hAnsi="宋体" w:eastAsia="宋体" w:cs="宋体"/>
          <w:b/>
          <w:color w:val="000000"/>
          <w:sz w:val="24"/>
          <w:szCs w:val="24"/>
          <w:highlight w:val="none"/>
        </w:rPr>
        <w:t>2.6 结算方式和付款条件</w:t>
      </w:r>
      <w:bookmarkEnd w:id="239"/>
      <w:bookmarkEnd w:id="240"/>
      <w:bookmarkEnd w:id="241"/>
      <w:bookmarkEnd w:id="242"/>
      <w:bookmarkEnd w:id="243"/>
      <w:bookmarkEnd w:id="245"/>
      <w:bookmarkEnd w:id="246"/>
      <w:bookmarkEnd w:id="247"/>
      <w:bookmarkEnd w:id="248"/>
      <w:bookmarkEnd w:id="249"/>
      <w:bookmarkEnd w:id="250"/>
      <w:bookmarkEnd w:id="251"/>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详见</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w:t>
      </w:r>
    </w:p>
    <w:p>
      <w:pPr>
        <w:spacing w:line="560" w:lineRule="exact"/>
        <w:ind w:firstLine="482" w:firstLineChars="200"/>
        <w:outlineLvl w:val="0"/>
        <w:rPr>
          <w:rFonts w:hint="eastAsia" w:ascii="宋体" w:hAnsi="宋体" w:eastAsia="宋体" w:cs="宋体"/>
          <w:b/>
          <w:color w:val="000000"/>
          <w:sz w:val="24"/>
          <w:szCs w:val="24"/>
          <w:highlight w:val="none"/>
        </w:rPr>
      </w:pPr>
      <w:bookmarkStart w:id="252" w:name="_Ref467379863"/>
      <w:bookmarkStart w:id="253" w:name="_Toc259093677"/>
      <w:bookmarkStart w:id="254" w:name="_Toc279701248"/>
      <w:bookmarkStart w:id="255" w:name="_Ref467379852"/>
      <w:bookmarkStart w:id="256" w:name="_Toc487900358"/>
      <w:bookmarkStart w:id="257" w:name="_Ref467379923"/>
      <w:bookmarkStart w:id="258" w:name="_Toc1395"/>
      <w:bookmarkStart w:id="259" w:name="_Toc16110"/>
      <w:bookmarkStart w:id="260" w:name="_Toc23337"/>
      <w:bookmarkStart w:id="261" w:name="_Toc774"/>
      <w:bookmarkStart w:id="262" w:name="_Toc1198"/>
      <w:bookmarkStart w:id="263" w:name="_Toc3225"/>
      <w:bookmarkStart w:id="264" w:name="_Toc905"/>
      <w:r>
        <w:rPr>
          <w:rFonts w:hint="eastAsia" w:ascii="宋体" w:hAnsi="宋体" w:eastAsia="宋体" w:cs="宋体"/>
          <w:b/>
          <w:color w:val="000000"/>
          <w:sz w:val="24"/>
          <w:szCs w:val="24"/>
          <w:highlight w:val="none"/>
        </w:rPr>
        <w:t>2.7 技术资料</w:t>
      </w:r>
      <w:bookmarkEnd w:id="252"/>
      <w:bookmarkEnd w:id="253"/>
      <w:bookmarkEnd w:id="254"/>
      <w:bookmarkEnd w:id="255"/>
      <w:bookmarkEnd w:id="256"/>
      <w:bookmarkEnd w:id="257"/>
      <w:r>
        <w:rPr>
          <w:rFonts w:hint="eastAsia" w:ascii="宋体" w:hAnsi="宋体" w:eastAsia="宋体" w:cs="宋体"/>
          <w:b/>
          <w:color w:val="000000"/>
          <w:sz w:val="24"/>
          <w:szCs w:val="24"/>
          <w:highlight w:val="none"/>
        </w:rPr>
        <w:t>和保密义务</w:t>
      </w:r>
      <w:bookmarkEnd w:id="258"/>
      <w:bookmarkEnd w:id="259"/>
      <w:bookmarkEnd w:id="260"/>
      <w:bookmarkEnd w:id="261"/>
      <w:bookmarkEnd w:id="262"/>
      <w:bookmarkEnd w:id="263"/>
      <w:bookmarkEnd w:id="264"/>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2.7.1 乙方有权依据合同约定和项目需要，向甲方了解有关情况，调阅有关资料等，甲方应予积极配合；</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2.7.2 乙方有义务妥善保管和保护由甲方提供的前款信息和资料等；</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2.7.3 除非依照法律规定或者对方当事人的书面同意，任何一方均应保证不向任何第三方提供或披露有关合同的或者履行合同过程中知悉的对方当事人任何未公开的信息和资料，包括但不限于技术情报、技术资料、商业秘密和商业信息等，并采取一切合理和必要措施和方式防止任何第三方接触到对方当事人的上述保密信息和资料。</w:t>
      </w:r>
    </w:p>
    <w:p>
      <w:pPr>
        <w:spacing w:line="560" w:lineRule="exact"/>
        <w:ind w:firstLine="482" w:firstLineChars="200"/>
        <w:outlineLvl w:val="0"/>
        <w:rPr>
          <w:rFonts w:hint="eastAsia" w:ascii="宋体" w:hAnsi="宋体" w:eastAsia="宋体" w:cs="宋体"/>
          <w:b/>
          <w:color w:val="000000"/>
          <w:sz w:val="24"/>
          <w:szCs w:val="24"/>
          <w:highlight w:val="none"/>
        </w:rPr>
      </w:pPr>
      <w:bookmarkStart w:id="265" w:name="_Toc6460"/>
      <w:bookmarkStart w:id="266" w:name="_Toc7860"/>
      <w:bookmarkStart w:id="267" w:name="_Toc11864"/>
      <w:bookmarkStart w:id="268" w:name="_Toc19803"/>
      <w:bookmarkStart w:id="269" w:name="_Toc14301"/>
      <w:r>
        <w:rPr>
          <w:rFonts w:hint="eastAsia" w:ascii="宋体" w:hAnsi="宋体" w:eastAsia="宋体" w:cs="宋体"/>
          <w:b/>
          <w:color w:val="000000"/>
          <w:sz w:val="24"/>
          <w:szCs w:val="24"/>
          <w:highlight w:val="none"/>
        </w:rPr>
        <w:t>2.8 质量保证</w:t>
      </w:r>
      <w:bookmarkEnd w:id="265"/>
      <w:bookmarkEnd w:id="266"/>
      <w:bookmarkEnd w:id="267"/>
      <w:bookmarkEnd w:id="268"/>
      <w:bookmarkEnd w:id="269"/>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2.8.1 乙方应建立和完善履行合同的内部质量保证体系，并提供相关内部规章制度给甲方，以便甲方进行监督检查；</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2.8.2 乙方应保证履行合同的人员数量和素质、软件和硬件设备的配置、场地、环境和设施等满足全面履行合同的要求，并应接受甲方的监督检查。</w:t>
      </w:r>
    </w:p>
    <w:p>
      <w:pPr>
        <w:spacing w:line="560" w:lineRule="exact"/>
        <w:ind w:firstLine="482" w:firstLineChars="200"/>
        <w:outlineLvl w:val="0"/>
        <w:rPr>
          <w:rFonts w:hint="eastAsia" w:ascii="宋体" w:hAnsi="宋体" w:eastAsia="宋体" w:cs="宋体"/>
          <w:b/>
          <w:color w:val="000000"/>
          <w:sz w:val="24"/>
          <w:szCs w:val="24"/>
          <w:highlight w:val="none"/>
        </w:rPr>
      </w:pPr>
      <w:bookmarkStart w:id="270" w:name="_Toc19420"/>
      <w:bookmarkStart w:id="271" w:name="_Toc17648"/>
      <w:bookmarkStart w:id="272" w:name="_Toc17244"/>
      <w:bookmarkStart w:id="273" w:name="_Toc23768"/>
      <w:bookmarkStart w:id="274" w:name="_Toc27782"/>
      <w:bookmarkStart w:id="275" w:name="_Toc259093681"/>
      <w:bookmarkStart w:id="276" w:name="_Toc487900362"/>
      <w:bookmarkStart w:id="277" w:name="_Toc279701252"/>
      <w:r>
        <w:rPr>
          <w:rFonts w:hint="eastAsia" w:ascii="宋体" w:hAnsi="宋体" w:eastAsia="宋体" w:cs="宋体"/>
          <w:b/>
          <w:color w:val="000000"/>
          <w:sz w:val="24"/>
          <w:szCs w:val="24"/>
          <w:highlight w:val="none"/>
        </w:rPr>
        <w:t>2.9 货物的风险负担</w:t>
      </w:r>
      <w:bookmarkEnd w:id="270"/>
      <w:bookmarkEnd w:id="271"/>
      <w:bookmarkEnd w:id="272"/>
      <w:bookmarkEnd w:id="273"/>
      <w:bookmarkEnd w:id="274"/>
    </w:p>
    <w:p>
      <w:pPr>
        <w:spacing w:line="560" w:lineRule="exact"/>
        <w:ind w:firstLine="480" w:firstLineChars="200"/>
        <w:rPr>
          <w:rFonts w:hint="eastAsia" w:ascii="宋体" w:hAnsi="宋体" w:eastAsia="宋体" w:cs="宋体"/>
          <w:b/>
          <w:color w:val="000000"/>
          <w:sz w:val="24"/>
          <w:szCs w:val="24"/>
          <w:highlight w:val="none"/>
        </w:rPr>
      </w:pPr>
      <w:r>
        <w:rPr>
          <w:rFonts w:hint="eastAsia" w:ascii="宋体" w:hAnsi="宋体" w:eastAsia="宋体" w:cs="宋体"/>
          <w:color w:val="000000"/>
          <w:sz w:val="24"/>
          <w:szCs w:val="24"/>
          <w:highlight w:val="none"/>
        </w:rPr>
        <w:t>货物或者在途货物或者交付给第一承运人后的货物毁损、灭失的风险负担详见</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w:t>
      </w:r>
    </w:p>
    <w:p>
      <w:pPr>
        <w:spacing w:line="560" w:lineRule="exact"/>
        <w:ind w:firstLine="482" w:firstLineChars="200"/>
        <w:outlineLvl w:val="0"/>
        <w:rPr>
          <w:rFonts w:hint="eastAsia" w:ascii="宋体" w:hAnsi="宋体" w:eastAsia="宋体" w:cs="宋体"/>
          <w:b/>
          <w:color w:val="000000"/>
          <w:sz w:val="24"/>
          <w:szCs w:val="24"/>
          <w:highlight w:val="none"/>
        </w:rPr>
      </w:pPr>
      <w:bookmarkStart w:id="278" w:name="_Toc4487"/>
      <w:bookmarkStart w:id="279" w:name="_Toc13111"/>
      <w:bookmarkStart w:id="280" w:name="_Toc14055"/>
      <w:bookmarkStart w:id="281" w:name="_Toc16383"/>
      <w:bookmarkStart w:id="282" w:name="_Toc1317"/>
      <w:r>
        <w:rPr>
          <w:rFonts w:hint="eastAsia" w:ascii="宋体" w:hAnsi="宋体" w:eastAsia="宋体" w:cs="宋体"/>
          <w:b/>
          <w:color w:val="000000"/>
          <w:sz w:val="24"/>
          <w:szCs w:val="24"/>
          <w:highlight w:val="none"/>
        </w:rPr>
        <w:t>2.10 延迟交货</w:t>
      </w:r>
      <w:bookmarkEnd w:id="275"/>
      <w:bookmarkEnd w:id="276"/>
      <w:bookmarkEnd w:id="277"/>
      <w:bookmarkEnd w:id="278"/>
      <w:bookmarkEnd w:id="279"/>
      <w:bookmarkEnd w:id="280"/>
      <w:bookmarkEnd w:id="281"/>
      <w:bookmarkEnd w:id="282"/>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在合同履行过程中，如果乙方遇到不能按时交付货物的情况，应及时以书面形式将不能按时交付货物的理由、预期延误时间通知甲方；甲方收到乙方通知后，认为其理由正当的，可以书面形式酌情同意乙方可以延长交货的具体时间。</w:t>
      </w:r>
    </w:p>
    <w:p>
      <w:pPr>
        <w:spacing w:line="560" w:lineRule="exact"/>
        <w:ind w:firstLine="482" w:firstLineChars="200"/>
        <w:outlineLvl w:val="0"/>
        <w:rPr>
          <w:rFonts w:hint="eastAsia" w:ascii="宋体" w:hAnsi="宋体" w:eastAsia="宋体" w:cs="宋体"/>
          <w:b/>
          <w:color w:val="000000"/>
          <w:sz w:val="24"/>
          <w:szCs w:val="24"/>
          <w:highlight w:val="none"/>
        </w:rPr>
      </w:pPr>
      <w:bookmarkStart w:id="283" w:name="_Toc14128"/>
      <w:bookmarkStart w:id="284" w:name="_Toc27305"/>
      <w:bookmarkStart w:id="285" w:name="_Toc21628"/>
      <w:bookmarkStart w:id="286" w:name="_Toc26705"/>
      <w:bookmarkStart w:id="287" w:name="_Toc7502"/>
      <w:bookmarkStart w:id="288" w:name="_Ref467378121"/>
      <w:bookmarkStart w:id="289" w:name="_Toc487900364"/>
      <w:bookmarkStart w:id="290" w:name="_Toc259093683"/>
      <w:bookmarkStart w:id="291" w:name="_Toc279701254"/>
      <w:r>
        <w:rPr>
          <w:rFonts w:hint="eastAsia" w:ascii="宋体" w:hAnsi="宋体" w:eastAsia="宋体" w:cs="宋体"/>
          <w:b/>
          <w:color w:val="000000"/>
          <w:sz w:val="24"/>
          <w:szCs w:val="24"/>
          <w:highlight w:val="none"/>
        </w:rPr>
        <w:t>2.11 合同变更</w:t>
      </w:r>
      <w:bookmarkEnd w:id="283"/>
      <w:bookmarkEnd w:id="284"/>
      <w:bookmarkEnd w:id="285"/>
      <w:bookmarkEnd w:id="286"/>
      <w:bookmarkEnd w:id="287"/>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2.11.1双方当事人协商一致，可以签订书面补充合同的形式变更合同，但不得违背采购文件确定的事项，且如果系追加与合同标的相同的货物的，那么所有补充合同的采购金额不得超过原合同价的10%；</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2.11.2 合同继续履行将损害国家利益和社会公共利益的，双方当事人应当以书面形式变更合同。有过错的一方应当承担赔偿责任，双方当事人都有过错的，各自承担相应的责任。</w:t>
      </w:r>
      <w:bookmarkStart w:id="292" w:name="_Toc279701259"/>
      <w:bookmarkStart w:id="293" w:name="_Toc487900369"/>
      <w:bookmarkStart w:id="294" w:name="_Toc259093688"/>
    </w:p>
    <w:p>
      <w:pPr>
        <w:spacing w:line="560" w:lineRule="exact"/>
        <w:ind w:firstLine="482" w:firstLineChars="200"/>
        <w:outlineLvl w:val="0"/>
        <w:rPr>
          <w:rFonts w:hint="eastAsia" w:ascii="宋体" w:hAnsi="宋体" w:eastAsia="宋体" w:cs="宋体"/>
          <w:b/>
          <w:color w:val="000000"/>
          <w:sz w:val="24"/>
          <w:szCs w:val="24"/>
          <w:highlight w:val="none"/>
        </w:rPr>
      </w:pPr>
      <w:bookmarkStart w:id="295" w:name="_Toc15237"/>
      <w:bookmarkStart w:id="296" w:name="_Toc22955"/>
      <w:bookmarkStart w:id="297" w:name="_Toc31277"/>
      <w:bookmarkStart w:id="298" w:name="_Toc13330"/>
      <w:bookmarkStart w:id="299" w:name="_Toc10366"/>
      <w:bookmarkStart w:id="300" w:name="_Toc27360"/>
      <w:bookmarkStart w:id="301" w:name="_Toc8912"/>
      <w:r>
        <w:rPr>
          <w:rFonts w:hint="eastAsia" w:ascii="宋体" w:hAnsi="宋体" w:eastAsia="宋体" w:cs="宋体"/>
          <w:b/>
          <w:color w:val="000000"/>
          <w:sz w:val="24"/>
          <w:szCs w:val="24"/>
          <w:highlight w:val="none"/>
        </w:rPr>
        <w:t>2.12 合同转让</w:t>
      </w:r>
      <w:bookmarkEnd w:id="292"/>
      <w:bookmarkEnd w:id="293"/>
      <w:bookmarkEnd w:id="294"/>
      <w:r>
        <w:rPr>
          <w:rFonts w:hint="eastAsia" w:ascii="宋体" w:hAnsi="宋体" w:eastAsia="宋体" w:cs="宋体"/>
          <w:b/>
          <w:color w:val="000000"/>
          <w:sz w:val="24"/>
          <w:szCs w:val="24"/>
          <w:highlight w:val="none"/>
        </w:rPr>
        <w:t>和分包</w:t>
      </w:r>
      <w:bookmarkEnd w:id="295"/>
      <w:bookmarkEnd w:id="296"/>
      <w:bookmarkEnd w:id="297"/>
      <w:bookmarkEnd w:id="298"/>
      <w:bookmarkEnd w:id="299"/>
      <w:bookmarkEnd w:id="300"/>
      <w:bookmarkEnd w:id="301"/>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合同的权利义务依法不得转让，但经甲方同意，乙方可以依法采取分包方式履行合同，即：依法可以将合同项下的部分非主体、非关键性工作分包给他人完成，接受分包的人应当具备相应的资格条件，并不得再次分包，且乙方应就分包项目向甲方负责，并与分包</w:t>
      </w:r>
      <w:r>
        <w:rPr>
          <w:rFonts w:hint="eastAsia" w:ascii="宋体" w:hAnsi="宋体" w:cs="宋体"/>
          <w:color w:val="000000"/>
          <w:sz w:val="24"/>
          <w:szCs w:val="24"/>
          <w:highlight w:val="none"/>
          <w:lang w:eastAsia="zh-CN"/>
        </w:rPr>
        <w:t>投标人</w:t>
      </w:r>
      <w:r>
        <w:rPr>
          <w:rFonts w:hint="eastAsia" w:ascii="宋体" w:hAnsi="宋体" w:eastAsia="宋体" w:cs="宋体"/>
          <w:color w:val="000000"/>
          <w:sz w:val="24"/>
          <w:szCs w:val="24"/>
          <w:highlight w:val="none"/>
        </w:rPr>
        <w:t>就分包项目向甲方承担连带责任。</w:t>
      </w:r>
    </w:p>
    <w:p>
      <w:pPr>
        <w:spacing w:line="560" w:lineRule="exact"/>
        <w:ind w:firstLine="482" w:firstLineChars="200"/>
        <w:outlineLvl w:val="0"/>
        <w:rPr>
          <w:rFonts w:hint="eastAsia" w:ascii="宋体" w:hAnsi="宋体" w:eastAsia="宋体" w:cs="宋体"/>
          <w:b/>
          <w:color w:val="000000"/>
          <w:sz w:val="24"/>
          <w:szCs w:val="24"/>
          <w:highlight w:val="none"/>
        </w:rPr>
      </w:pPr>
      <w:bookmarkStart w:id="302" w:name="_Toc14589"/>
      <w:bookmarkStart w:id="303" w:name="_Toc21117"/>
      <w:bookmarkStart w:id="304" w:name="_Toc16508"/>
      <w:bookmarkStart w:id="305" w:name="_Toc13315"/>
      <w:bookmarkStart w:id="306" w:name="_Toc30689"/>
      <w:bookmarkStart w:id="307" w:name="_Toc14066"/>
      <w:bookmarkStart w:id="308" w:name="_Toc13566"/>
      <w:r>
        <w:rPr>
          <w:rFonts w:hint="eastAsia" w:ascii="宋体" w:hAnsi="宋体" w:eastAsia="宋体" w:cs="宋体"/>
          <w:b/>
          <w:color w:val="000000"/>
          <w:sz w:val="24"/>
          <w:szCs w:val="24"/>
          <w:highlight w:val="none"/>
        </w:rPr>
        <w:t>2.13 不可抗力</w:t>
      </w:r>
      <w:bookmarkEnd w:id="302"/>
      <w:bookmarkEnd w:id="303"/>
      <w:bookmarkEnd w:id="304"/>
      <w:bookmarkEnd w:id="305"/>
      <w:bookmarkEnd w:id="306"/>
      <w:bookmarkEnd w:id="307"/>
      <w:bookmarkEnd w:id="308"/>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2.13.1如果任何一方遭遇法律规定的不可抗力，致使合同履行受阻时，履行合同的期限应予延长，延长的期限应相当于不可抗力所影响的时间；</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2.13.2 因不可抗力致使不能实现合同目的的，当事人可以解除合同；</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2.13.3 因不可抗力致使合同有变更必要的，双方当事人应在</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约定时间内以书面形式变更合同；</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2.13.4受不可抗力影响的一方在不可抗力发生后，应在</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约定时间内以书面形式通知对方当事人，并在</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约定时间内，将有关部门出具的证明文件送达对方当事人。</w:t>
      </w:r>
    </w:p>
    <w:p>
      <w:pPr>
        <w:spacing w:line="560" w:lineRule="exact"/>
        <w:ind w:firstLine="482" w:firstLineChars="200"/>
        <w:outlineLvl w:val="0"/>
        <w:rPr>
          <w:rFonts w:hint="eastAsia" w:ascii="宋体" w:hAnsi="宋体" w:eastAsia="宋体" w:cs="宋体"/>
          <w:b/>
          <w:color w:val="000000"/>
          <w:sz w:val="24"/>
          <w:szCs w:val="24"/>
          <w:highlight w:val="none"/>
        </w:rPr>
      </w:pPr>
      <w:bookmarkStart w:id="309" w:name="_Toc6969"/>
      <w:bookmarkStart w:id="310" w:name="_Toc28553"/>
      <w:bookmarkStart w:id="311" w:name="_Toc487900365"/>
      <w:bookmarkStart w:id="312" w:name="_Toc279701255"/>
      <w:bookmarkStart w:id="313" w:name="_Toc259093684"/>
      <w:bookmarkStart w:id="314" w:name="_Toc26701"/>
      <w:bookmarkStart w:id="315" w:name="_Toc12526"/>
      <w:bookmarkStart w:id="316" w:name="_Toc689"/>
      <w:bookmarkStart w:id="317" w:name="_Toc4202"/>
      <w:bookmarkStart w:id="318" w:name="_Toc30676"/>
      <w:r>
        <w:rPr>
          <w:rFonts w:hint="eastAsia" w:ascii="宋体" w:hAnsi="宋体" w:eastAsia="宋体" w:cs="宋体"/>
          <w:b/>
          <w:color w:val="000000"/>
          <w:sz w:val="24"/>
          <w:szCs w:val="24"/>
          <w:highlight w:val="none"/>
        </w:rPr>
        <w:t>2.14 税费</w:t>
      </w:r>
      <w:bookmarkEnd w:id="309"/>
      <w:bookmarkEnd w:id="310"/>
      <w:bookmarkEnd w:id="311"/>
      <w:bookmarkEnd w:id="312"/>
      <w:bookmarkEnd w:id="313"/>
      <w:bookmarkEnd w:id="314"/>
      <w:bookmarkEnd w:id="315"/>
      <w:bookmarkEnd w:id="316"/>
      <w:bookmarkEnd w:id="317"/>
      <w:bookmarkEnd w:id="318"/>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与合同有关的一切税费，均按照中华人民共和国法律的相关规定。</w:t>
      </w:r>
    </w:p>
    <w:p>
      <w:pPr>
        <w:spacing w:line="560" w:lineRule="exact"/>
        <w:ind w:firstLine="482" w:firstLineChars="200"/>
        <w:outlineLvl w:val="0"/>
        <w:rPr>
          <w:rFonts w:hint="eastAsia" w:ascii="宋体" w:hAnsi="宋体" w:eastAsia="宋体" w:cs="宋体"/>
          <w:b/>
          <w:color w:val="000000"/>
          <w:sz w:val="24"/>
          <w:szCs w:val="24"/>
          <w:highlight w:val="none"/>
        </w:rPr>
      </w:pPr>
      <w:bookmarkStart w:id="319" w:name="_Toc19279"/>
      <w:bookmarkStart w:id="320" w:name="_Toc16959"/>
      <w:bookmarkStart w:id="321" w:name="_Toc8298"/>
      <w:bookmarkStart w:id="322" w:name="_Toc487900368"/>
      <w:bookmarkStart w:id="323" w:name="_Toc279701258"/>
      <w:bookmarkStart w:id="324" w:name="_Toc7102"/>
      <w:bookmarkStart w:id="325" w:name="_Toc9201"/>
      <w:bookmarkStart w:id="326" w:name="_Toc725"/>
      <w:bookmarkStart w:id="327" w:name="_Toc23378"/>
      <w:bookmarkStart w:id="328" w:name="_Toc259093687"/>
      <w:r>
        <w:rPr>
          <w:rFonts w:hint="eastAsia" w:ascii="宋体" w:hAnsi="宋体" w:eastAsia="宋体" w:cs="宋体"/>
          <w:b/>
          <w:color w:val="000000"/>
          <w:sz w:val="24"/>
          <w:szCs w:val="24"/>
          <w:highlight w:val="none"/>
        </w:rPr>
        <w:t>2.15 乙方破产</w:t>
      </w:r>
      <w:bookmarkEnd w:id="319"/>
      <w:bookmarkEnd w:id="320"/>
      <w:bookmarkEnd w:id="321"/>
      <w:bookmarkEnd w:id="322"/>
      <w:bookmarkEnd w:id="323"/>
      <w:bookmarkEnd w:id="324"/>
      <w:bookmarkEnd w:id="325"/>
      <w:bookmarkEnd w:id="326"/>
      <w:bookmarkEnd w:id="327"/>
      <w:bookmarkEnd w:id="328"/>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如果乙方破产导致合同无法履行时，甲方可以书面形式通知乙方终止合同且不给予乙方任何补偿和赔偿，但合同的终止不损害或不影响甲方已经采取或将要采取的任何要求乙方支付违约金、赔偿损失等的行动或补救措施的权利。</w:t>
      </w:r>
    </w:p>
    <w:p>
      <w:pPr>
        <w:spacing w:line="560" w:lineRule="exact"/>
        <w:ind w:firstLine="482" w:firstLineChars="200"/>
        <w:outlineLvl w:val="0"/>
        <w:rPr>
          <w:rFonts w:hint="eastAsia" w:ascii="宋体" w:hAnsi="宋体" w:eastAsia="宋体" w:cs="宋体"/>
          <w:b/>
          <w:color w:val="000000"/>
          <w:sz w:val="24"/>
          <w:szCs w:val="24"/>
          <w:highlight w:val="none"/>
        </w:rPr>
      </w:pPr>
      <w:bookmarkStart w:id="329" w:name="_Toc9443"/>
      <w:bookmarkStart w:id="330" w:name="_Toc6530"/>
      <w:bookmarkStart w:id="331" w:name="_Toc28828"/>
      <w:bookmarkStart w:id="332" w:name="_Toc29333"/>
      <w:bookmarkStart w:id="333" w:name="_Toc15387"/>
      <w:bookmarkStart w:id="334" w:name="_Toc6134"/>
      <w:bookmarkStart w:id="335" w:name="_Toc29378"/>
      <w:r>
        <w:rPr>
          <w:rFonts w:hint="eastAsia" w:ascii="宋体" w:hAnsi="宋体" w:eastAsia="宋体" w:cs="宋体"/>
          <w:b/>
          <w:color w:val="000000"/>
          <w:sz w:val="24"/>
          <w:szCs w:val="24"/>
          <w:highlight w:val="none"/>
        </w:rPr>
        <w:t>2.16 合同中止、终止</w:t>
      </w:r>
      <w:bookmarkEnd w:id="329"/>
      <w:bookmarkEnd w:id="330"/>
      <w:bookmarkEnd w:id="331"/>
      <w:bookmarkEnd w:id="332"/>
      <w:bookmarkEnd w:id="333"/>
      <w:bookmarkEnd w:id="334"/>
      <w:bookmarkEnd w:id="335"/>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2.16.1 双方当事人不得擅自中止或者终止合同；</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2.16.2合同继续履行将损害国家利益和社会公共利益的，双方当事人应当中止或者终止合同。有过错的一方应当承担赔偿责任，双方当事人都有过错的，各自承担相应的责任。</w:t>
      </w:r>
    </w:p>
    <w:p>
      <w:pPr>
        <w:spacing w:line="560" w:lineRule="exact"/>
        <w:ind w:firstLine="482" w:firstLineChars="200"/>
        <w:outlineLvl w:val="0"/>
        <w:rPr>
          <w:rFonts w:hint="eastAsia" w:ascii="宋体" w:hAnsi="宋体" w:eastAsia="宋体" w:cs="宋体"/>
          <w:b/>
          <w:color w:val="000000"/>
          <w:sz w:val="24"/>
          <w:szCs w:val="24"/>
          <w:highlight w:val="none"/>
        </w:rPr>
      </w:pPr>
      <w:bookmarkStart w:id="336" w:name="_Toc5287"/>
      <w:bookmarkStart w:id="337" w:name="_Toc1125"/>
      <w:bookmarkStart w:id="338" w:name="_Toc14563"/>
      <w:bookmarkStart w:id="339" w:name="_Toc29723"/>
      <w:bookmarkStart w:id="340" w:name="_Toc786"/>
      <w:bookmarkStart w:id="341" w:name="_Toc19390"/>
      <w:bookmarkStart w:id="342" w:name="_Toc6596"/>
      <w:r>
        <w:rPr>
          <w:rFonts w:hint="eastAsia" w:ascii="宋体" w:hAnsi="宋体" w:eastAsia="宋体" w:cs="宋体"/>
          <w:b/>
          <w:color w:val="000000"/>
          <w:sz w:val="24"/>
          <w:szCs w:val="24"/>
          <w:highlight w:val="none"/>
        </w:rPr>
        <w:t>2.17 检验和验收</w:t>
      </w:r>
      <w:bookmarkEnd w:id="336"/>
      <w:bookmarkEnd w:id="337"/>
      <w:bookmarkEnd w:id="338"/>
      <w:bookmarkEnd w:id="339"/>
      <w:bookmarkEnd w:id="340"/>
      <w:bookmarkEnd w:id="341"/>
      <w:bookmarkEnd w:id="342"/>
    </w:p>
    <w:p>
      <w:pPr>
        <w:tabs>
          <w:tab w:val="left" w:pos="360"/>
          <w:tab w:val="left" w:pos="540"/>
          <w:tab w:val="left" w:pos="1080"/>
        </w:tabs>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2.17.1货物交付前，乙方应对货物的质量、数量等方面进行详细、全面的检验，并向甲方出具证明货物符合合同约定的文件；货物交付时，乙方在</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约定时间内组织验收，并可依法邀请相关方参加，验收应出具验收书。</w:t>
      </w:r>
    </w:p>
    <w:p>
      <w:pPr>
        <w:tabs>
          <w:tab w:val="left" w:pos="360"/>
          <w:tab w:val="left" w:pos="540"/>
          <w:tab w:val="left" w:pos="1080"/>
        </w:tabs>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2.17.2合同期满或者履行完毕后，甲方有权组织（包括依法邀请国家认可的质量检测机构参加）对乙方履约的验收，即：按照合同约定的技术、服务、安全标准，组织对每一项技术、服务、安全标准的履约情况的验收，并出具验收书。</w:t>
      </w:r>
    </w:p>
    <w:p>
      <w:pPr>
        <w:tabs>
          <w:tab w:val="left" w:pos="360"/>
          <w:tab w:val="left" w:pos="540"/>
          <w:tab w:val="left" w:pos="1080"/>
        </w:tabs>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2.17.3 检验和验收标准、程序等具体内容以及前述验收书的效力详见</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i/>
          <w:color w:val="000000"/>
          <w:sz w:val="24"/>
          <w:szCs w:val="24"/>
          <w:highlight w:val="none"/>
        </w:rPr>
        <w:t>。</w:t>
      </w:r>
    </w:p>
    <w:bookmarkEnd w:id="288"/>
    <w:bookmarkEnd w:id="289"/>
    <w:bookmarkEnd w:id="290"/>
    <w:bookmarkEnd w:id="291"/>
    <w:p>
      <w:pPr>
        <w:spacing w:line="560" w:lineRule="exact"/>
        <w:ind w:firstLine="482" w:firstLineChars="200"/>
        <w:outlineLvl w:val="0"/>
        <w:rPr>
          <w:rFonts w:hint="eastAsia" w:ascii="宋体" w:hAnsi="宋体" w:eastAsia="宋体" w:cs="宋体"/>
          <w:b/>
          <w:color w:val="000000"/>
          <w:sz w:val="24"/>
          <w:szCs w:val="24"/>
          <w:highlight w:val="none"/>
        </w:rPr>
      </w:pPr>
      <w:bookmarkStart w:id="343" w:name="_Toc259093690"/>
      <w:bookmarkStart w:id="344" w:name="_Toc487900371"/>
      <w:bookmarkStart w:id="345" w:name="_Toc279701261"/>
      <w:bookmarkStart w:id="346" w:name="_Toc16089"/>
      <w:bookmarkStart w:id="347" w:name="_Toc19604"/>
      <w:bookmarkStart w:id="348" w:name="_Toc11284"/>
      <w:bookmarkStart w:id="349" w:name="_Toc14977"/>
      <w:bookmarkStart w:id="350" w:name="_Toc15871"/>
      <w:bookmarkStart w:id="351" w:name="_Toc25182"/>
      <w:bookmarkStart w:id="352" w:name="_Toc21540"/>
      <w:r>
        <w:rPr>
          <w:rFonts w:hint="eastAsia" w:ascii="宋体" w:hAnsi="宋体" w:eastAsia="宋体" w:cs="宋体"/>
          <w:b/>
          <w:color w:val="000000"/>
          <w:sz w:val="24"/>
          <w:szCs w:val="24"/>
          <w:highlight w:val="none"/>
        </w:rPr>
        <w:t>2.18 通知</w:t>
      </w:r>
      <w:bookmarkEnd w:id="343"/>
      <w:bookmarkEnd w:id="344"/>
      <w:bookmarkEnd w:id="345"/>
      <w:r>
        <w:rPr>
          <w:rFonts w:hint="eastAsia" w:ascii="宋体" w:hAnsi="宋体" w:eastAsia="宋体" w:cs="宋体"/>
          <w:b/>
          <w:color w:val="000000"/>
          <w:sz w:val="24"/>
          <w:szCs w:val="24"/>
          <w:highlight w:val="none"/>
        </w:rPr>
        <w:t>和送达</w:t>
      </w:r>
      <w:bookmarkEnd w:id="346"/>
      <w:bookmarkEnd w:id="347"/>
      <w:bookmarkEnd w:id="348"/>
      <w:bookmarkEnd w:id="349"/>
      <w:bookmarkEnd w:id="350"/>
      <w:bookmarkEnd w:id="351"/>
      <w:bookmarkEnd w:id="352"/>
    </w:p>
    <w:p>
      <w:pPr>
        <w:spacing w:line="560" w:lineRule="exact"/>
        <w:ind w:firstLine="480" w:firstLineChars="200"/>
        <w:rPr>
          <w:rFonts w:hint="eastAsia" w:ascii="宋体" w:hAnsi="宋体" w:eastAsia="宋体" w:cs="宋体"/>
          <w:color w:val="000000"/>
          <w:sz w:val="24"/>
          <w:szCs w:val="24"/>
          <w:highlight w:val="none"/>
        </w:rPr>
      </w:pPr>
      <w:bookmarkStart w:id="353" w:name="_Toc6698"/>
      <w:bookmarkStart w:id="354" w:name="_Toc3135"/>
      <w:bookmarkStart w:id="355" w:name="_Toc259093691"/>
      <w:bookmarkStart w:id="356" w:name="_Toc279701262"/>
      <w:bookmarkStart w:id="357" w:name="_Toc487900372"/>
      <w:r>
        <w:rPr>
          <w:rFonts w:hint="eastAsia" w:ascii="宋体" w:hAnsi="宋体" w:eastAsia="宋体" w:cs="宋体"/>
          <w:color w:val="000000"/>
          <w:sz w:val="24"/>
          <w:szCs w:val="24"/>
          <w:highlight w:val="none"/>
        </w:rPr>
        <w:t>2.18.1 任何一方因履行合同而以合同第一部分尾部所列明的</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发出的所有通知、文件、材料，均视为已向对方当事人送达；任何一方变更上述送达方式或者地址的，应于</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个工作日内书面通知对方当事人，在对方当事人收到有关变更通知之前，变更前的约定送达方式或者地址仍视为有效。</w:t>
      </w:r>
      <w:bookmarkEnd w:id="353"/>
      <w:bookmarkEnd w:id="354"/>
    </w:p>
    <w:p>
      <w:pPr>
        <w:spacing w:line="560" w:lineRule="exact"/>
        <w:ind w:firstLine="480" w:firstLineChars="200"/>
        <w:rPr>
          <w:rFonts w:hint="eastAsia" w:ascii="宋体" w:hAnsi="宋体" w:eastAsia="宋体" w:cs="宋体"/>
          <w:color w:val="000000"/>
          <w:sz w:val="24"/>
          <w:szCs w:val="24"/>
          <w:highlight w:val="none"/>
        </w:rPr>
      </w:pPr>
      <w:bookmarkStart w:id="358" w:name="_Toc23128"/>
      <w:bookmarkStart w:id="359" w:name="_Toc23294"/>
      <w:r>
        <w:rPr>
          <w:rFonts w:hint="eastAsia" w:ascii="宋体" w:hAnsi="宋体" w:eastAsia="宋体" w:cs="宋体"/>
          <w:color w:val="000000"/>
          <w:sz w:val="24"/>
          <w:szCs w:val="24"/>
          <w:highlight w:val="none"/>
        </w:rPr>
        <w:t>2.18.2以当面交付方式送达的，交付之时视为送达；以电子邮件方式送达的，发出电子邮件之时视为送达；以传真方式送达的，发出传真之时视为送达；以邮寄方式送达的，邮件挂号寄出或者交邮之日之次日视为送达。</w:t>
      </w:r>
      <w:bookmarkEnd w:id="358"/>
      <w:bookmarkEnd w:id="359"/>
    </w:p>
    <w:p>
      <w:pPr>
        <w:spacing w:line="560" w:lineRule="exact"/>
        <w:ind w:firstLine="482" w:firstLineChars="200"/>
        <w:outlineLvl w:val="0"/>
        <w:rPr>
          <w:rFonts w:hint="eastAsia" w:ascii="宋体" w:hAnsi="宋体" w:eastAsia="宋体" w:cs="宋体"/>
          <w:b/>
          <w:color w:val="000000"/>
          <w:sz w:val="24"/>
          <w:szCs w:val="24"/>
          <w:highlight w:val="none"/>
        </w:rPr>
      </w:pPr>
      <w:bookmarkStart w:id="360" w:name="_Toc30599"/>
      <w:bookmarkStart w:id="361" w:name="_Toc4355"/>
      <w:bookmarkStart w:id="362" w:name="_Toc14896"/>
      <w:bookmarkStart w:id="363" w:name="_Toc848"/>
      <w:bookmarkStart w:id="364" w:name="_Toc9916"/>
      <w:bookmarkStart w:id="365" w:name="_Toc18540"/>
      <w:bookmarkStart w:id="366" w:name="_Toc16769"/>
      <w:r>
        <w:rPr>
          <w:rFonts w:hint="eastAsia" w:ascii="宋体" w:hAnsi="宋体" w:eastAsia="宋体" w:cs="宋体"/>
          <w:b/>
          <w:color w:val="000000"/>
          <w:sz w:val="24"/>
          <w:szCs w:val="24"/>
          <w:highlight w:val="none"/>
        </w:rPr>
        <w:t>2.19 计量单位</w:t>
      </w:r>
      <w:bookmarkEnd w:id="355"/>
      <w:bookmarkEnd w:id="356"/>
      <w:bookmarkEnd w:id="357"/>
      <w:bookmarkEnd w:id="360"/>
      <w:bookmarkEnd w:id="361"/>
      <w:bookmarkEnd w:id="362"/>
      <w:bookmarkEnd w:id="363"/>
      <w:bookmarkEnd w:id="364"/>
      <w:bookmarkEnd w:id="365"/>
      <w:bookmarkEnd w:id="366"/>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除技术规范中另有规定外,合同的计量单位均使用国家法定计量单位。</w:t>
      </w:r>
    </w:p>
    <w:p>
      <w:pPr>
        <w:spacing w:line="560" w:lineRule="exact"/>
        <w:ind w:firstLine="482" w:firstLineChars="200"/>
        <w:outlineLvl w:val="0"/>
        <w:rPr>
          <w:rFonts w:hint="eastAsia" w:ascii="宋体" w:hAnsi="宋体" w:eastAsia="宋体" w:cs="宋体"/>
          <w:b/>
          <w:color w:val="000000"/>
          <w:sz w:val="24"/>
          <w:szCs w:val="24"/>
          <w:highlight w:val="none"/>
        </w:rPr>
      </w:pPr>
      <w:bookmarkStart w:id="367" w:name="_Toc18567"/>
      <w:bookmarkStart w:id="368" w:name="_Toc259093692"/>
      <w:bookmarkStart w:id="369" w:name="_Toc487900373"/>
      <w:bookmarkStart w:id="370" w:name="_Toc10330"/>
      <w:bookmarkStart w:id="371" w:name="_Toc21688"/>
      <w:bookmarkStart w:id="372" w:name="_Toc4647"/>
      <w:bookmarkStart w:id="373" w:name="_Toc12773"/>
      <w:bookmarkStart w:id="374" w:name="_Toc279701263"/>
      <w:bookmarkStart w:id="375" w:name="_Toc12784"/>
      <w:r>
        <w:rPr>
          <w:rFonts w:hint="eastAsia" w:ascii="宋体" w:hAnsi="宋体" w:eastAsia="宋体" w:cs="宋体"/>
          <w:b/>
          <w:color w:val="000000"/>
          <w:sz w:val="24"/>
          <w:szCs w:val="24"/>
          <w:highlight w:val="none"/>
        </w:rPr>
        <w:t>2.20 合同使用的文字和适用的法律</w:t>
      </w:r>
      <w:bookmarkEnd w:id="367"/>
      <w:bookmarkEnd w:id="368"/>
      <w:bookmarkEnd w:id="369"/>
      <w:bookmarkEnd w:id="370"/>
      <w:bookmarkEnd w:id="371"/>
      <w:bookmarkEnd w:id="372"/>
      <w:bookmarkEnd w:id="373"/>
      <w:bookmarkEnd w:id="374"/>
      <w:bookmarkEnd w:id="375"/>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2.20.1 合同使用汉语书就、变更和解释；</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2.20.2 合同适用中华人民共和国法律。</w:t>
      </w:r>
    </w:p>
    <w:p>
      <w:pPr>
        <w:spacing w:line="560" w:lineRule="exact"/>
        <w:ind w:firstLine="482" w:firstLineChars="200"/>
        <w:outlineLvl w:val="0"/>
        <w:rPr>
          <w:rFonts w:hint="eastAsia" w:ascii="宋体" w:hAnsi="宋体" w:eastAsia="宋体" w:cs="宋体"/>
          <w:b/>
          <w:color w:val="000000"/>
          <w:sz w:val="24"/>
          <w:szCs w:val="24"/>
          <w:highlight w:val="none"/>
        </w:rPr>
      </w:pPr>
      <w:bookmarkStart w:id="376" w:name="_Toc16673"/>
      <w:bookmarkStart w:id="377" w:name="_Toc12004"/>
      <w:bookmarkStart w:id="378" w:name="_Toc259093693"/>
      <w:bookmarkStart w:id="379" w:name="_Toc3148"/>
      <w:bookmarkStart w:id="380" w:name="_Toc5694"/>
      <w:bookmarkStart w:id="381" w:name="_Toc4674"/>
      <w:bookmarkStart w:id="382" w:name="_Toc12681"/>
      <w:bookmarkStart w:id="383" w:name="_Toc279701264"/>
      <w:bookmarkStart w:id="384" w:name="_Toc9006"/>
      <w:bookmarkStart w:id="385" w:name="_Toc487900374"/>
      <w:r>
        <w:rPr>
          <w:rFonts w:hint="eastAsia" w:ascii="宋体" w:hAnsi="宋体" w:eastAsia="宋体" w:cs="宋体"/>
          <w:b/>
          <w:color w:val="000000"/>
          <w:sz w:val="24"/>
          <w:szCs w:val="24"/>
          <w:highlight w:val="none"/>
        </w:rPr>
        <w:t>2.21 履约保证金</w:t>
      </w:r>
      <w:bookmarkEnd w:id="376"/>
      <w:bookmarkEnd w:id="377"/>
      <w:bookmarkEnd w:id="378"/>
      <w:bookmarkEnd w:id="379"/>
      <w:bookmarkEnd w:id="380"/>
      <w:bookmarkEnd w:id="381"/>
      <w:bookmarkEnd w:id="382"/>
      <w:bookmarkEnd w:id="383"/>
      <w:bookmarkEnd w:id="384"/>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2.21.1 采购文件要求乙方提交履约保证金的，乙方应按</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约定的方式，以支票、汇票、本票或者金融机构、担保机构出具的保函等非现金形式，提交不超过合同价10%的履约保证金；</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2.21.2  履约保证金在</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约定期间内或者货物质量保证期内不予退还或者应完全有效，前述约定期间届满或者货物质量保证期届满之日起</w:t>
      </w:r>
      <w:r>
        <w:rPr>
          <w:rFonts w:hint="eastAsia" w:ascii="宋体" w:hAnsi="宋体" w:eastAsia="宋体" w:cs="宋体"/>
          <w:color w:val="000000"/>
          <w:sz w:val="24"/>
          <w:szCs w:val="24"/>
          <w:highlight w:val="none"/>
          <w:u w:val="single"/>
        </w:rPr>
        <w:t xml:space="preserve">  </w:t>
      </w:r>
      <w:r>
        <w:rPr>
          <w:rFonts w:hint="eastAsia" w:ascii="宋体" w:hAnsi="宋体" w:eastAsia="宋体" w:cs="宋体"/>
          <w:color w:val="000000"/>
          <w:sz w:val="24"/>
          <w:szCs w:val="24"/>
          <w:highlight w:val="none"/>
        </w:rPr>
        <w:t>个工作日内，甲方应将履约保证金退还乙方；</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2.21.3 如果乙方不履行合同，履约保证金不予退还；如果乙方未能按合同约定全面履行义务，那么甲方有权从履约保证金中取得补偿或赔偿，同时不影响甲方要求乙方承担合同约定的超过履约保证金的违约责任的权利。</w:t>
      </w:r>
    </w:p>
    <w:bookmarkEnd w:id="385"/>
    <w:p>
      <w:pPr>
        <w:spacing w:line="560" w:lineRule="exact"/>
        <w:ind w:firstLine="482" w:firstLineChars="200"/>
        <w:outlineLvl w:val="0"/>
        <w:rPr>
          <w:rFonts w:hint="eastAsia" w:ascii="宋体" w:hAnsi="宋体" w:eastAsia="宋体" w:cs="宋体"/>
          <w:b/>
          <w:color w:val="000000"/>
          <w:sz w:val="24"/>
          <w:szCs w:val="24"/>
          <w:highlight w:val="none"/>
        </w:rPr>
      </w:pPr>
      <w:bookmarkStart w:id="386" w:name="_Toc27063"/>
      <w:bookmarkStart w:id="387" w:name="_Toc30308"/>
      <w:bookmarkStart w:id="388" w:name="_Toc14001"/>
      <w:bookmarkStart w:id="389" w:name="_Toc6885"/>
      <w:bookmarkStart w:id="390" w:name="_Toc19890"/>
      <w:bookmarkStart w:id="391" w:name="_Toc14041"/>
      <w:r>
        <w:rPr>
          <w:rFonts w:hint="eastAsia" w:ascii="宋体" w:hAnsi="宋体" w:eastAsia="宋体" w:cs="宋体"/>
          <w:b/>
          <w:color w:val="000000"/>
          <w:sz w:val="24"/>
          <w:szCs w:val="24"/>
          <w:highlight w:val="none"/>
        </w:rPr>
        <w:t>2.22 合同份数</w:t>
      </w:r>
      <w:bookmarkEnd w:id="386"/>
      <w:bookmarkEnd w:id="387"/>
      <w:bookmarkEnd w:id="388"/>
      <w:bookmarkEnd w:id="389"/>
      <w:bookmarkEnd w:id="390"/>
      <w:bookmarkEnd w:id="391"/>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合同份数按</w:t>
      </w:r>
      <w:r>
        <w:rPr>
          <w:rFonts w:hint="eastAsia" w:ascii="宋体" w:hAnsi="宋体" w:eastAsia="宋体" w:cs="宋体"/>
          <w:b/>
          <w:i/>
          <w:color w:val="000000"/>
          <w:sz w:val="24"/>
          <w:szCs w:val="24"/>
          <w:highlight w:val="none"/>
          <w:u w:val="single"/>
        </w:rPr>
        <w:t>合同专用条款</w:t>
      </w:r>
      <w:r>
        <w:rPr>
          <w:rFonts w:hint="eastAsia" w:ascii="宋体" w:hAnsi="宋体" w:eastAsia="宋体" w:cs="宋体"/>
          <w:color w:val="000000"/>
          <w:sz w:val="24"/>
          <w:szCs w:val="24"/>
          <w:highlight w:val="none"/>
        </w:rPr>
        <w:t>规定，每份均具有同等法律效力。</w:t>
      </w:r>
    </w:p>
    <w:p>
      <w:pPr>
        <w:pStyle w:val="51"/>
        <w:spacing w:line="560" w:lineRule="exact"/>
        <w:ind w:firstLine="0"/>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第三部分  合同专用条款</w:t>
      </w:r>
    </w:p>
    <w:p>
      <w:pPr>
        <w:spacing w:line="560" w:lineRule="exact"/>
        <w:ind w:firstLine="480" w:firstLineChars="20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本部分是对前两部分的补充和修改，如果前两部分和本部分的约定不一致，应以本部分的约定为准。本部分的条款号应与前两部分的条款号保持对应；与前两部分无对应关系的内容可另行编制条款号。</w:t>
      </w:r>
    </w:p>
    <w:tbl>
      <w:tblPr>
        <w:tblStyle w:val="23"/>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018"/>
        <w:gridCol w:w="7416"/>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91"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条款号</w:t>
            </w:r>
          </w:p>
        </w:tc>
        <w:tc>
          <w:tcPr>
            <w:tcW w:w="7416" w:type="dxa"/>
            <w:noWrap w:val="0"/>
            <w:vAlign w:val="center"/>
          </w:tcPr>
          <w:p>
            <w:pPr>
              <w:keepNext w:val="0"/>
              <w:keepLines w:val="0"/>
              <w:suppressLineNumbers w:val="0"/>
              <w:spacing w:before="0" w:beforeAutospacing="0" w:after="0" w:afterAutospacing="0" w:line="560" w:lineRule="exact"/>
              <w:ind w:left="0" w:right="0"/>
              <w:jc w:val="center"/>
              <w:rPr>
                <w:rFonts w:hint="eastAsia" w:ascii="宋体" w:hAnsi="宋体" w:eastAsia="宋体" w:cs="宋体"/>
                <w:b/>
                <w:color w:val="000000"/>
                <w:sz w:val="24"/>
                <w:szCs w:val="24"/>
                <w:highlight w:val="none"/>
              </w:rPr>
            </w:pPr>
            <w:r>
              <w:rPr>
                <w:rFonts w:hint="eastAsia" w:ascii="宋体" w:hAnsi="宋体" w:eastAsia="宋体" w:cs="宋体"/>
                <w:b/>
                <w:color w:val="000000"/>
                <w:sz w:val="24"/>
                <w:szCs w:val="24"/>
                <w:highlight w:val="none"/>
              </w:rPr>
              <w:t>约定内容</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88"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u w:val="singl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352"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u w:val="singl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trHeight w:val="65" w:hRule="atLeast"/>
          <w:jc w:val="center"/>
        </w:trPr>
        <w:tc>
          <w:tcPr>
            <w:tcW w:w="1018" w:type="dxa"/>
            <w:tcBorders>
              <w:left w:val="single" w:color="auto" w:sz="4" w:space="0"/>
            </w:tcBorders>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c>
          <w:tcPr>
            <w:tcW w:w="7416" w:type="dxa"/>
            <w:noWrap w:val="0"/>
            <w:vAlign w:val="center"/>
          </w:tcPr>
          <w:p>
            <w:pPr>
              <w:keepNext w:val="0"/>
              <w:keepLines w:val="0"/>
              <w:suppressLineNumbers w:val="0"/>
              <w:spacing w:before="0" w:beforeAutospacing="0" w:after="0" w:afterAutospacing="0" w:line="560" w:lineRule="exact"/>
              <w:ind w:left="0" w:right="0"/>
              <w:rPr>
                <w:rFonts w:hint="eastAsia" w:ascii="宋体" w:hAnsi="宋体" w:eastAsia="宋体" w:cs="宋体"/>
                <w:color w:val="000000"/>
                <w:sz w:val="24"/>
                <w:szCs w:val="24"/>
                <w:highlight w:val="none"/>
              </w:rPr>
            </w:pPr>
          </w:p>
        </w:tc>
      </w:tr>
    </w:tbl>
    <w:p>
      <w:pPr>
        <w:rPr>
          <w:rFonts w:hint="eastAsia" w:ascii="宋体" w:hAnsi="宋体"/>
          <w:b/>
          <w:sz w:val="36"/>
          <w:szCs w:val="36"/>
        </w:rPr>
      </w:pPr>
      <w:r>
        <w:rPr>
          <w:rFonts w:hint="eastAsia" w:ascii="宋体" w:hAnsi="宋体" w:cs="宋体"/>
          <w:b/>
          <w:sz w:val="24"/>
          <w:szCs w:val="24"/>
          <w:highlight w:val="none"/>
        </w:rPr>
        <w:br w:type="page"/>
      </w:r>
      <w:bookmarkStart w:id="392" w:name="_Toc25342"/>
      <w:bookmarkStart w:id="393" w:name="_Toc11035"/>
      <w:bookmarkStart w:id="394" w:name="_Toc15959"/>
      <w:bookmarkStart w:id="395" w:name="_Toc7262"/>
      <w:bookmarkStart w:id="396" w:name="_Toc27523"/>
    </w:p>
    <w:p>
      <w:pPr>
        <w:spacing w:line="360" w:lineRule="auto"/>
        <w:ind w:firstLine="723" w:firstLineChars="200"/>
        <w:jc w:val="center"/>
        <w:outlineLvl w:val="0"/>
        <w:rPr>
          <w:rFonts w:ascii="宋体" w:hAnsi="宋体"/>
          <w:b/>
          <w:sz w:val="36"/>
          <w:szCs w:val="36"/>
        </w:rPr>
      </w:pPr>
      <w:r>
        <w:rPr>
          <w:rFonts w:hint="eastAsia" w:ascii="宋体" w:hAnsi="宋体"/>
          <w:b/>
          <w:sz w:val="36"/>
          <w:szCs w:val="36"/>
        </w:rPr>
        <w:t>第六部分　</w:t>
      </w:r>
      <w:r>
        <w:rPr>
          <w:rFonts w:hint="eastAsia" w:ascii="宋体" w:hAnsi="宋体"/>
          <w:b/>
          <w:sz w:val="36"/>
          <w:szCs w:val="36"/>
          <w:lang w:val="en-US" w:eastAsia="zh-CN"/>
        </w:rPr>
        <w:t xml:space="preserve"> </w:t>
      </w:r>
      <w:r>
        <w:rPr>
          <w:rFonts w:hint="eastAsia" w:ascii="宋体" w:hAnsi="宋体"/>
          <w:b/>
          <w:sz w:val="36"/>
          <w:szCs w:val="36"/>
        </w:rPr>
        <w:t>投标文件格式</w:t>
      </w:r>
      <w:bookmarkEnd w:id="392"/>
      <w:bookmarkEnd w:id="393"/>
      <w:bookmarkEnd w:id="394"/>
      <w:bookmarkEnd w:id="395"/>
      <w:bookmarkEnd w:id="396"/>
    </w:p>
    <w:p>
      <w:pPr>
        <w:adjustRightInd w:val="0"/>
        <w:spacing w:line="360" w:lineRule="auto"/>
        <w:rPr>
          <w:rFonts w:ascii="宋体" w:hAnsi="宋体"/>
          <w:szCs w:val="24"/>
        </w:rPr>
      </w:pPr>
    </w:p>
    <w:p>
      <w:pPr>
        <w:spacing w:line="360" w:lineRule="auto"/>
        <w:ind w:firstLine="480" w:firstLineChars="200"/>
        <w:rPr>
          <w:rFonts w:ascii="宋体" w:hAnsi="宋体"/>
          <w:sz w:val="24"/>
          <w:szCs w:val="24"/>
        </w:rPr>
      </w:pPr>
      <w:r>
        <w:rPr>
          <w:rFonts w:hint="eastAsia" w:ascii="宋体" w:hAnsi="宋体"/>
          <w:sz w:val="24"/>
          <w:szCs w:val="24"/>
        </w:rPr>
        <w:t>一、投标人提交投标文件须知：</w:t>
      </w:r>
    </w:p>
    <w:p>
      <w:pPr>
        <w:spacing w:line="360" w:lineRule="auto"/>
        <w:ind w:firstLine="480" w:firstLineChars="200"/>
        <w:rPr>
          <w:rFonts w:ascii="宋体" w:hAnsi="宋体"/>
          <w:sz w:val="24"/>
          <w:szCs w:val="24"/>
        </w:rPr>
      </w:pPr>
      <w:r>
        <w:rPr>
          <w:rFonts w:hint="eastAsia" w:ascii="宋体" w:hAnsi="宋体"/>
          <w:sz w:val="24"/>
          <w:szCs w:val="24"/>
        </w:rPr>
        <w:t>1、投标人应严格按照以下顺序填写和提交下述规定的全部格式文件以及其他有关资料，混乱的编排导致投标文件被误读或评标小组查找不到有效文件是投标人的风险。</w:t>
      </w:r>
    </w:p>
    <w:p>
      <w:pPr>
        <w:spacing w:line="360" w:lineRule="auto"/>
        <w:ind w:firstLine="480" w:firstLineChars="200"/>
        <w:rPr>
          <w:rFonts w:ascii="宋体" w:hAnsi="宋体"/>
          <w:sz w:val="24"/>
          <w:szCs w:val="24"/>
        </w:rPr>
      </w:pPr>
      <w:r>
        <w:rPr>
          <w:rFonts w:hint="eastAsia" w:ascii="宋体" w:hAnsi="宋体"/>
          <w:sz w:val="24"/>
          <w:szCs w:val="24"/>
        </w:rPr>
        <w:t>2、所附表格中要求回答的全部问题和/或信息都必须正面回答。</w:t>
      </w:r>
    </w:p>
    <w:p>
      <w:pPr>
        <w:spacing w:line="360" w:lineRule="auto"/>
        <w:ind w:firstLine="480" w:firstLineChars="200"/>
        <w:rPr>
          <w:rFonts w:ascii="宋体" w:hAnsi="宋体"/>
          <w:sz w:val="24"/>
          <w:szCs w:val="24"/>
        </w:rPr>
      </w:pPr>
      <w:r>
        <w:rPr>
          <w:rFonts w:hint="eastAsia" w:ascii="宋体" w:hAnsi="宋体"/>
          <w:sz w:val="24"/>
          <w:szCs w:val="24"/>
        </w:rPr>
        <w:t>3、本声明书的签字人应保证全部声明和问题的回答是真实的和准确的。</w:t>
      </w:r>
    </w:p>
    <w:p>
      <w:pPr>
        <w:spacing w:line="360" w:lineRule="auto"/>
        <w:ind w:firstLine="480" w:firstLineChars="200"/>
        <w:rPr>
          <w:rFonts w:ascii="宋体" w:hAnsi="宋体"/>
          <w:sz w:val="24"/>
          <w:szCs w:val="24"/>
        </w:rPr>
      </w:pPr>
      <w:r>
        <w:rPr>
          <w:rFonts w:hint="eastAsia" w:ascii="宋体" w:hAnsi="宋体"/>
          <w:sz w:val="24"/>
          <w:szCs w:val="24"/>
        </w:rPr>
        <w:t>4、评标委员会将应用投标人提交的资料根据自己的判断和考虑决定投标人履行合同的合格性及能力。</w:t>
      </w:r>
    </w:p>
    <w:p>
      <w:pPr>
        <w:spacing w:line="360" w:lineRule="auto"/>
        <w:ind w:firstLine="480" w:firstLineChars="200"/>
        <w:rPr>
          <w:rFonts w:ascii="宋体" w:hAnsi="宋体"/>
          <w:sz w:val="24"/>
          <w:szCs w:val="24"/>
        </w:rPr>
      </w:pPr>
      <w:r>
        <w:rPr>
          <w:rFonts w:hint="eastAsia" w:ascii="宋体" w:hAnsi="宋体"/>
          <w:sz w:val="24"/>
          <w:szCs w:val="24"/>
        </w:rPr>
        <w:t>5、投标人提交的材料将在一定期限内被保密保存，但不退还。</w:t>
      </w:r>
    </w:p>
    <w:p>
      <w:pPr>
        <w:spacing w:line="360" w:lineRule="auto"/>
        <w:ind w:firstLine="480" w:firstLineChars="200"/>
        <w:rPr>
          <w:rFonts w:ascii="宋体" w:hAnsi="宋体"/>
          <w:sz w:val="24"/>
          <w:szCs w:val="24"/>
        </w:rPr>
      </w:pPr>
      <w:r>
        <w:rPr>
          <w:rFonts w:hint="eastAsia" w:ascii="宋体" w:hAnsi="宋体"/>
          <w:sz w:val="24"/>
          <w:szCs w:val="24"/>
        </w:rPr>
        <w:t>6、全部文件应按投标人须知中规定的语言和份数提交。投标文件组成漏项或未按规定的格式编制或投标文件正、副本份数不足，内容不全或内容字迹模糊辨认不清的情况，将有可能被评标小组认定为投标无效。</w:t>
      </w:r>
    </w:p>
    <w:p>
      <w:pPr>
        <w:adjustRightInd w:val="0"/>
        <w:snapToGrid w:val="0"/>
        <w:spacing w:before="50" w:after="50"/>
        <w:rPr>
          <w:rFonts w:ascii="仿宋_GB2312" w:hAnsi="宋体" w:eastAsia="仿宋_GB2312"/>
          <w:sz w:val="32"/>
        </w:rPr>
      </w:pPr>
    </w:p>
    <w:p>
      <w:pPr>
        <w:jc w:val="center"/>
        <w:rPr>
          <w:b/>
          <w:spacing w:val="20"/>
          <w:sz w:val="32"/>
          <w:szCs w:val="32"/>
        </w:rPr>
      </w:pPr>
      <w:r>
        <w:rPr>
          <w:rFonts w:ascii="仿宋_GB2312" w:hAnsi="宋体" w:eastAsia="仿宋_GB2312"/>
          <w:sz w:val="32"/>
        </w:rPr>
        <w:br w:type="page"/>
      </w:r>
    </w:p>
    <w:p>
      <w:pPr>
        <w:jc w:val="center"/>
        <w:rPr>
          <w:b/>
          <w:spacing w:val="20"/>
          <w:sz w:val="32"/>
          <w:szCs w:val="32"/>
        </w:rPr>
      </w:pPr>
    </w:p>
    <w:p>
      <w:pPr>
        <w:adjustRightInd w:val="0"/>
        <w:snapToGrid w:val="0"/>
        <w:rPr>
          <w:rFonts w:ascii="仿宋_GB2312" w:hAnsi="宋体" w:eastAsia="仿宋_GB2312"/>
          <w:b/>
          <w:sz w:val="24"/>
          <w:szCs w:val="24"/>
        </w:rPr>
      </w:pPr>
      <w:r>
        <w:rPr>
          <w:rFonts w:hint="eastAsia" w:ascii="仿宋_GB2312" w:hAnsi="宋体" w:eastAsia="仿宋_GB2312"/>
          <w:b/>
          <w:sz w:val="24"/>
          <w:szCs w:val="24"/>
        </w:rPr>
        <w:t>投标文件封面</w:t>
      </w:r>
    </w:p>
    <w:p>
      <w:pPr>
        <w:spacing w:line="360" w:lineRule="auto"/>
        <w:jc w:val="right"/>
        <w:outlineLvl w:val="0"/>
        <w:rPr>
          <w:rFonts w:ascii="黑体" w:eastAsia="黑体"/>
          <w:sz w:val="72"/>
        </w:rPr>
      </w:pPr>
      <w:bookmarkStart w:id="397" w:name="_Toc28827"/>
      <w:bookmarkStart w:id="398" w:name="_Toc29173"/>
      <w:bookmarkStart w:id="399" w:name="_Toc30847"/>
      <w:bookmarkStart w:id="400" w:name="_Toc14588"/>
      <w:r>
        <w:rPr>
          <w:rFonts w:hint="eastAsia"/>
          <w:sz w:val="44"/>
        </w:rPr>
        <w:t>正（副）本</w:t>
      </w:r>
      <w:bookmarkEnd w:id="397"/>
      <w:bookmarkEnd w:id="398"/>
      <w:bookmarkEnd w:id="399"/>
      <w:bookmarkEnd w:id="400"/>
    </w:p>
    <w:p>
      <w:pPr>
        <w:spacing w:line="360" w:lineRule="auto"/>
        <w:jc w:val="center"/>
        <w:outlineLvl w:val="0"/>
        <w:rPr>
          <w:rFonts w:ascii="宋体" w:hAnsi="宋体"/>
          <w:sz w:val="32"/>
        </w:rPr>
      </w:pPr>
      <w:bookmarkStart w:id="401" w:name="_Toc25797"/>
      <w:bookmarkStart w:id="402" w:name="_Toc2253"/>
      <w:bookmarkStart w:id="403" w:name="_Toc6025"/>
      <w:bookmarkStart w:id="404" w:name="_Toc23642"/>
      <w:r>
        <w:rPr>
          <w:rFonts w:hint="eastAsia" w:ascii="黑体" w:eastAsia="黑体"/>
          <w:sz w:val="48"/>
          <w:szCs w:val="48"/>
        </w:rPr>
        <w:t>(项目、标段名称)项目</w:t>
      </w:r>
      <w:bookmarkEnd w:id="401"/>
      <w:bookmarkEnd w:id="402"/>
      <w:bookmarkEnd w:id="403"/>
      <w:bookmarkEnd w:id="404"/>
    </w:p>
    <w:p>
      <w:pPr>
        <w:spacing w:line="360" w:lineRule="auto"/>
        <w:jc w:val="center"/>
        <w:outlineLvl w:val="0"/>
        <w:rPr>
          <w:sz w:val="72"/>
        </w:rPr>
      </w:pPr>
      <w:bookmarkStart w:id="405" w:name="_Toc24951"/>
      <w:bookmarkStart w:id="406" w:name="_Toc506"/>
      <w:bookmarkStart w:id="407" w:name="_Toc24198"/>
      <w:bookmarkStart w:id="408" w:name="_Toc29760"/>
      <w:r>
        <w:rPr>
          <w:rFonts w:hint="eastAsia" w:ascii="宋体" w:hAnsi="宋体"/>
          <w:sz w:val="32"/>
        </w:rPr>
        <w:t>项目编号：</w:t>
      </w:r>
      <w:bookmarkEnd w:id="405"/>
      <w:bookmarkEnd w:id="406"/>
      <w:bookmarkEnd w:id="407"/>
      <w:bookmarkEnd w:id="408"/>
    </w:p>
    <w:p>
      <w:pPr>
        <w:spacing w:line="360" w:lineRule="auto"/>
        <w:jc w:val="center"/>
        <w:rPr>
          <w:sz w:val="72"/>
        </w:rPr>
      </w:pPr>
      <w:r>
        <w:rPr>
          <w:rFonts w:hint="eastAsia"/>
          <w:sz w:val="72"/>
        </w:rPr>
        <w:t>投</w:t>
      </w:r>
    </w:p>
    <w:p>
      <w:pPr>
        <w:spacing w:line="360" w:lineRule="auto"/>
        <w:jc w:val="center"/>
        <w:rPr>
          <w:sz w:val="72"/>
        </w:rPr>
      </w:pPr>
      <w:r>
        <w:rPr>
          <w:rFonts w:hint="eastAsia"/>
          <w:sz w:val="72"/>
        </w:rPr>
        <w:t>标</w:t>
      </w:r>
    </w:p>
    <w:p>
      <w:pPr>
        <w:spacing w:line="360" w:lineRule="auto"/>
        <w:jc w:val="center"/>
        <w:rPr>
          <w:sz w:val="72"/>
        </w:rPr>
      </w:pPr>
      <w:r>
        <w:rPr>
          <w:rFonts w:hint="eastAsia"/>
          <w:sz w:val="72"/>
        </w:rPr>
        <w:t>文</w:t>
      </w:r>
    </w:p>
    <w:p>
      <w:pPr>
        <w:spacing w:line="360" w:lineRule="auto"/>
        <w:jc w:val="center"/>
        <w:rPr>
          <w:sz w:val="72"/>
        </w:rPr>
      </w:pPr>
      <w:r>
        <w:rPr>
          <w:rFonts w:hint="eastAsia"/>
          <w:sz w:val="72"/>
        </w:rPr>
        <w:t>件</w:t>
      </w:r>
    </w:p>
    <w:p>
      <w:pPr>
        <w:spacing w:line="360" w:lineRule="auto"/>
        <w:ind w:firstLine="2160" w:firstLineChars="675"/>
        <w:rPr>
          <w:rFonts w:ascii="宋体" w:hAnsi="宋体"/>
          <w:sz w:val="32"/>
        </w:rPr>
      </w:pPr>
      <w:r>
        <w:rPr>
          <w:rFonts w:hint="eastAsia" w:ascii="宋体" w:hAnsi="宋体"/>
          <w:sz w:val="32"/>
        </w:rPr>
        <w:t>投标单位名称：（加盖单位公章）</w:t>
      </w:r>
    </w:p>
    <w:p>
      <w:pPr>
        <w:spacing w:line="360" w:lineRule="auto"/>
        <w:ind w:firstLine="2160" w:firstLineChars="675"/>
        <w:rPr>
          <w:rFonts w:ascii="宋体" w:hAnsi="宋体"/>
          <w:sz w:val="32"/>
        </w:rPr>
      </w:pPr>
      <w:r>
        <w:rPr>
          <w:rFonts w:hint="eastAsia" w:ascii="宋体" w:hAnsi="宋体"/>
          <w:sz w:val="32"/>
        </w:rPr>
        <w:t>投标单位地址：</w:t>
      </w:r>
    </w:p>
    <w:p>
      <w:pPr>
        <w:spacing w:line="360" w:lineRule="auto"/>
        <w:ind w:firstLine="2160" w:firstLineChars="675"/>
        <w:rPr>
          <w:rFonts w:ascii="宋体" w:hAnsi="宋体"/>
          <w:sz w:val="32"/>
        </w:rPr>
      </w:pPr>
      <w:r>
        <w:rPr>
          <w:rFonts w:hint="eastAsia" w:ascii="宋体" w:hAnsi="宋体"/>
          <w:sz w:val="32"/>
        </w:rPr>
        <w:t>投标单位法人或法人授权代表姓名：</w:t>
      </w:r>
    </w:p>
    <w:p>
      <w:pPr>
        <w:spacing w:line="360" w:lineRule="auto"/>
        <w:ind w:firstLine="2160" w:firstLineChars="675"/>
        <w:rPr>
          <w:rFonts w:ascii="宋体" w:hAnsi="宋体"/>
          <w:sz w:val="32"/>
        </w:rPr>
      </w:pPr>
      <w:r>
        <w:rPr>
          <w:rFonts w:hint="eastAsia" w:ascii="宋体" w:hAnsi="宋体"/>
          <w:sz w:val="32"/>
        </w:rPr>
        <w:t>投标单位法人或法人授权代表职务：</w:t>
      </w:r>
    </w:p>
    <w:p>
      <w:pPr>
        <w:spacing w:line="360" w:lineRule="auto"/>
        <w:ind w:firstLine="2169" w:firstLineChars="678"/>
        <w:rPr>
          <w:rFonts w:ascii="宋体" w:hAnsi="宋体"/>
          <w:sz w:val="32"/>
        </w:rPr>
      </w:pPr>
      <w:r>
        <w:rPr>
          <w:rFonts w:hint="eastAsia" w:ascii="宋体" w:hAnsi="宋体"/>
          <w:sz w:val="32"/>
        </w:rPr>
        <w:t>投标单位联系方式：</w:t>
      </w:r>
    </w:p>
    <w:p>
      <w:pPr>
        <w:spacing w:line="360" w:lineRule="auto"/>
        <w:rPr>
          <w:rFonts w:ascii="宋体"/>
        </w:rPr>
      </w:pPr>
    </w:p>
    <w:p>
      <w:pPr>
        <w:adjustRightInd w:val="0"/>
        <w:snapToGrid w:val="0"/>
        <w:spacing w:before="50" w:after="50"/>
        <w:jc w:val="center"/>
        <w:outlineLvl w:val="0"/>
        <w:rPr>
          <w:rFonts w:ascii="宋体"/>
          <w:sz w:val="32"/>
          <w:szCs w:val="32"/>
        </w:rPr>
      </w:pPr>
      <w:bookmarkStart w:id="409" w:name="_Toc24765"/>
      <w:bookmarkStart w:id="410" w:name="_Toc28957"/>
      <w:bookmarkStart w:id="411" w:name="_Toc1683"/>
      <w:bookmarkStart w:id="412" w:name="_Toc29764"/>
      <w:r>
        <w:rPr>
          <w:rFonts w:hint="eastAsia" w:ascii="宋体"/>
          <w:sz w:val="32"/>
          <w:szCs w:val="32"/>
        </w:rPr>
        <w:t>年  月  日</w:t>
      </w:r>
      <w:bookmarkEnd w:id="409"/>
      <w:bookmarkEnd w:id="410"/>
      <w:bookmarkEnd w:id="411"/>
      <w:bookmarkEnd w:id="412"/>
    </w:p>
    <w:p>
      <w:pPr>
        <w:adjustRightInd w:val="0"/>
        <w:snapToGrid w:val="0"/>
        <w:jc w:val="center"/>
        <w:rPr>
          <w:rFonts w:ascii="宋体" w:hAnsi="宋体"/>
          <w:b/>
          <w:sz w:val="44"/>
          <w:szCs w:val="44"/>
        </w:rPr>
      </w:pPr>
    </w:p>
    <w:p>
      <w:pPr>
        <w:widowControl/>
        <w:spacing w:line="240" w:lineRule="auto"/>
        <w:jc w:val="center"/>
        <w:rPr>
          <w:rFonts w:ascii="宋体" w:hAnsi="宋体"/>
          <w:b/>
          <w:sz w:val="44"/>
          <w:szCs w:val="44"/>
        </w:rPr>
      </w:pPr>
      <w:r>
        <w:rPr>
          <w:rFonts w:ascii="宋体" w:hAnsi="宋体"/>
          <w:b/>
          <w:sz w:val="44"/>
          <w:szCs w:val="44"/>
        </w:rPr>
        <w:br w:type="page"/>
      </w:r>
    </w:p>
    <w:p>
      <w:pPr>
        <w:spacing w:line="360" w:lineRule="auto"/>
        <w:outlineLvl w:val="2"/>
        <w:rPr>
          <w:rFonts w:hint="eastAsia" w:ascii="Times New Roman" w:hAnsi="Times New Roman" w:eastAsia="宋体" w:cs="Times New Roman"/>
          <w:sz w:val="24"/>
          <w:szCs w:val="20"/>
          <w:lang w:val="en-US" w:eastAsia="zh-CN"/>
        </w:rPr>
        <w:sectPr>
          <w:pgSz w:w="11907" w:h="16840"/>
          <w:pgMar w:top="1418" w:right="1134" w:bottom="1418" w:left="1701" w:header="851" w:footer="851" w:gutter="0"/>
          <w:pgNumType w:fmt="decimal"/>
          <w:cols w:space="720" w:num="1"/>
          <w:docGrid w:linePitch="462" w:charSpace="0"/>
        </w:sectPr>
      </w:pPr>
    </w:p>
    <w:p>
      <w:pPr>
        <w:spacing w:line="360" w:lineRule="auto"/>
        <w:jc w:val="center"/>
        <w:outlineLvl w:val="2"/>
        <w:rPr>
          <w:rFonts w:hint="eastAsia" w:cs="Times New Roman"/>
          <w:sz w:val="48"/>
          <w:szCs w:val="48"/>
          <w:lang w:val="en-US" w:eastAsia="zh-CN"/>
        </w:rPr>
      </w:pPr>
      <w:r>
        <w:rPr>
          <w:rFonts w:hint="eastAsia" w:cs="Times New Roman"/>
          <w:sz w:val="48"/>
          <w:szCs w:val="48"/>
          <w:lang w:val="en-US" w:eastAsia="zh-CN"/>
        </w:rPr>
        <w:t>目       录</w:t>
      </w:r>
    </w:p>
    <w:p>
      <w:pPr>
        <w:pStyle w:val="5"/>
        <w:rPr>
          <w:rFonts w:hint="eastAsia" w:cs="Times New Roman"/>
          <w:sz w:val="48"/>
          <w:szCs w:val="48"/>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cs="Times New Roman"/>
          <w:sz w:val="48"/>
          <w:szCs w:val="48"/>
          <w:lang w:val="en-US" w:eastAsia="zh-CN"/>
        </w:rPr>
      </w:pPr>
      <w:r>
        <w:rPr>
          <w:rFonts w:hint="eastAsia" w:cs="Times New Roman"/>
          <w:sz w:val="48"/>
          <w:szCs w:val="48"/>
          <w:lang w:val="en-US" w:eastAsia="zh-CN"/>
        </w:rPr>
        <w:t>（自行制作）</w:t>
      </w:r>
    </w:p>
    <w:p>
      <w:pPr>
        <w:pStyle w:val="5"/>
        <w:rPr>
          <w:rFonts w:hint="eastAsia" w:cs="Times New Roman"/>
          <w:sz w:val="18"/>
          <w:szCs w:val="18"/>
          <w:lang w:val="en-US" w:eastAsia="zh-CN"/>
        </w:rPr>
      </w:pPr>
    </w:p>
    <w:p>
      <w:pPr>
        <w:jc w:val="center"/>
        <w:rPr>
          <w:rFonts w:hint="default"/>
          <w:sz w:val="18"/>
          <w:szCs w:val="18"/>
          <w:lang w:val="en-US" w:eastAsia="zh-CN"/>
        </w:rPr>
        <w:sectPr>
          <w:pgSz w:w="11907" w:h="16840"/>
          <w:pgMar w:top="1418" w:right="1134" w:bottom="1418" w:left="1701" w:header="851" w:footer="851" w:gutter="0"/>
          <w:pgNumType w:fmt="decimal"/>
          <w:cols w:space="720" w:num="1"/>
          <w:docGrid w:linePitch="462" w:charSpace="0"/>
        </w:sectPr>
      </w:pPr>
      <w:r>
        <w:rPr>
          <w:rFonts w:hint="eastAsia" w:cs="Times New Roman"/>
          <w:sz w:val="18"/>
          <w:szCs w:val="18"/>
          <w:lang w:val="en-US" w:eastAsia="zh-CN"/>
        </w:rPr>
        <w:t>投标文件要求有页码</w:t>
      </w:r>
    </w:p>
    <w:p>
      <w:pPr>
        <w:spacing w:line="360" w:lineRule="auto"/>
        <w:outlineLvl w:val="2"/>
        <w:rPr>
          <w:rFonts w:hint="eastAsia" w:ascii="Times New Roman" w:hAnsi="Times New Roman" w:eastAsia="宋体" w:cs="Times New Roman"/>
          <w:sz w:val="24"/>
          <w:szCs w:val="20"/>
          <w:lang w:val="en-US" w:eastAsia="zh-CN"/>
        </w:rPr>
      </w:pPr>
    </w:p>
    <w:p>
      <w:pPr>
        <w:ind w:firstLine="480" w:firstLineChars="200"/>
        <w:outlineLvl w:val="0"/>
        <w:rPr>
          <w:rFonts w:ascii="黑体" w:hAnsi="宋体" w:eastAsia="黑体"/>
          <w:bCs/>
          <w:sz w:val="24"/>
          <w:szCs w:val="24"/>
        </w:rPr>
      </w:pPr>
      <w:r>
        <w:rPr>
          <w:rFonts w:hint="eastAsia" w:ascii="黑体" w:hAnsi="宋体" w:eastAsia="黑体"/>
          <w:bCs/>
          <w:sz w:val="24"/>
          <w:szCs w:val="24"/>
        </w:rPr>
        <w:t>（一）投标函（格式）：</w:t>
      </w:r>
    </w:p>
    <w:p>
      <w:pPr>
        <w:outlineLvl w:val="0"/>
        <w:rPr>
          <w:rFonts w:ascii="宋体"/>
          <w:b/>
          <w:bCs/>
          <w:sz w:val="24"/>
          <w:szCs w:val="24"/>
        </w:rPr>
      </w:pPr>
    </w:p>
    <w:p>
      <w:pPr>
        <w:spacing w:line="360" w:lineRule="auto"/>
        <w:jc w:val="center"/>
        <w:rPr>
          <w:rFonts w:ascii="宋体"/>
          <w:bCs/>
          <w:sz w:val="24"/>
          <w:szCs w:val="24"/>
        </w:rPr>
      </w:pPr>
      <w:r>
        <w:rPr>
          <w:rFonts w:hint="eastAsia" w:ascii="黑体" w:eastAsia="黑体"/>
          <w:bCs/>
          <w:sz w:val="28"/>
          <w:szCs w:val="28"/>
        </w:rPr>
        <w:t>投标函</w:t>
      </w:r>
    </w:p>
    <w:p>
      <w:pPr>
        <w:spacing w:line="360" w:lineRule="auto"/>
        <w:rPr>
          <w:rFonts w:ascii="宋体"/>
          <w:bCs/>
          <w:sz w:val="24"/>
          <w:szCs w:val="24"/>
        </w:rPr>
      </w:pPr>
      <w:r>
        <w:rPr>
          <w:rFonts w:hint="eastAsia" w:ascii="宋体" w:hAnsi="宋体"/>
          <w:bCs/>
          <w:sz w:val="24"/>
          <w:szCs w:val="24"/>
        </w:rPr>
        <w:t>致</w:t>
      </w:r>
      <w:r>
        <w:rPr>
          <w:rFonts w:hint="eastAsia" w:ascii="宋体" w:hAnsi="宋体"/>
          <w:bCs/>
          <w:sz w:val="24"/>
          <w:szCs w:val="24"/>
          <w:u w:val="single"/>
          <w:lang w:val="en-US" w:eastAsia="zh-CN"/>
        </w:rPr>
        <w:t xml:space="preserve">               （</w:t>
      </w:r>
      <w:r>
        <w:rPr>
          <w:rFonts w:hint="eastAsia" w:ascii="宋体" w:hAnsi="宋体"/>
          <w:bCs/>
          <w:sz w:val="24"/>
          <w:szCs w:val="24"/>
          <w:lang w:val="en-US" w:eastAsia="zh-CN"/>
        </w:rPr>
        <w:t>业主名称</w:t>
      </w:r>
      <w:r>
        <w:rPr>
          <w:rFonts w:hint="eastAsia" w:ascii="宋体" w:hAnsi="宋体"/>
          <w:bCs/>
          <w:sz w:val="24"/>
          <w:szCs w:val="24"/>
          <w:u w:val="single"/>
          <w:lang w:val="en-US" w:eastAsia="zh-CN"/>
        </w:rPr>
        <w:t>）</w:t>
      </w:r>
      <w:r>
        <w:rPr>
          <w:rFonts w:hint="eastAsia" w:ascii="宋体" w:hAnsi="宋体"/>
          <w:bCs/>
          <w:sz w:val="24"/>
          <w:szCs w:val="24"/>
        </w:rPr>
        <w:t>：</w:t>
      </w:r>
    </w:p>
    <w:p>
      <w:pPr>
        <w:spacing w:line="360" w:lineRule="auto"/>
        <w:ind w:firstLine="480" w:firstLineChars="200"/>
        <w:rPr>
          <w:rFonts w:ascii="宋体"/>
          <w:bCs/>
          <w:sz w:val="24"/>
          <w:szCs w:val="24"/>
        </w:rPr>
      </w:pPr>
    </w:p>
    <w:p>
      <w:pPr>
        <w:spacing w:line="360" w:lineRule="auto"/>
        <w:ind w:firstLine="480" w:firstLineChars="200"/>
        <w:rPr>
          <w:rFonts w:ascii="宋体"/>
          <w:bCs/>
          <w:sz w:val="24"/>
          <w:szCs w:val="24"/>
        </w:rPr>
      </w:pPr>
      <w:r>
        <w:rPr>
          <w:rFonts w:hint="eastAsia" w:ascii="宋体" w:hAnsi="宋体"/>
          <w:bCs/>
          <w:sz w:val="24"/>
          <w:szCs w:val="24"/>
        </w:rPr>
        <w:t>我方收到贵方编号</w:t>
      </w:r>
      <w:r>
        <w:rPr>
          <w:rFonts w:hint="eastAsia" w:ascii="宋体" w:hAnsi="宋体"/>
          <w:bCs/>
          <w:sz w:val="24"/>
          <w:szCs w:val="24"/>
          <w:u w:val="single"/>
          <w:lang w:val="en-US" w:eastAsia="zh-CN"/>
        </w:rPr>
        <w:t xml:space="preserve">         </w:t>
      </w:r>
      <w:r>
        <w:rPr>
          <w:rFonts w:hint="eastAsia" w:ascii="宋体" w:hAnsi="宋体"/>
          <w:bCs/>
          <w:sz w:val="24"/>
          <w:szCs w:val="24"/>
          <w:lang w:val="en-US" w:eastAsia="zh-CN"/>
        </w:rPr>
        <w:t xml:space="preserve"> </w:t>
      </w:r>
      <w:r>
        <w:rPr>
          <w:rFonts w:hint="eastAsia" w:ascii="宋体" w:hAnsi="宋体"/>
          <w:bCs/>
          <w:sz w:val="24"/>
          <w:szCs w:val="24"/>
        </w:rPr>
        <w:t>招标文件，经仔细阅读和研究，我方决定参加此项目的投标。</w:t>
      </w:r>
    </w:p>
    <w:p>
      <w:pPr>
        <w:numPr>
          <w:ilvl w:val="0"/>
          <w:numId w:val="9"/>
        </w:numPr>
        <w:tabs>
          <w:tab w:val="left" w:pos="315"/>
          <w:tab w:val="left" w:pos="840"/>
          <w:tab w:val="left" w:pos="945"/>
          <w:tab w:val="left" w:pos="1050"/>
          <w:tab w:val="left" w:pos="1260"/>
          <w:tab w:val="clear" w:pos="552"/>
        </w:tabs>
        <w:spacing w:line="360" w:lineRule="auto"/>
        <w:ind w:left="0" w:firstLine="525"/>
        <w:rPr>
          <w:rFonts w:ascii="宋体"/>
          <w:bCs/>
          <w:sz w:val="24"/>
          <w:szCs w:val="24"/>
        </w:rPr>
      </w:pPr>
      <w:r>
        <w:rPr>
          <w:rFonts w:hint="eastAsia" w:ascii="宋体" w:hAnsi="宋体"/>
          <w:bCs/>
          <w:sz w:val="24"/>
          <w:szCs w:val="24"/>
        </w:rPr>
        <w:t>我方愿意按照招标文件的一切要求，提供本项目的投标，投标总价见《开标一览表》。</w:t>
      </w:r>
    </w:p>
    <w:p>
      <w:pPr>
        <w:numPr>
          <w:ilvl w:val="0"/>
          <w:numId w:val="9"/>
        </w:numPr>
        <w:tabs>
          <w:tab w:val="left" w:pos="0"/>
          <w:tab w:val="left" w:pos="315"/>
          <w:tab w:val="left" w:pos="525"/>
          <w:tab w:val="left" w:pos="840"/>
          <w:tab w:val="left" w:pos="945"/>
          <w:tab w:val="left" w:pos="1050"/>
          <w:tab w:val="clear" w:pos="552"/>
        </w:tabs>
        <w:spacing w:line="360" w:lineRule="auto"/>
        <w:ind w:left="0" w:firstLine="523" w:firstLineChars="218"/>
        <w:rPr>
          <w:rStyle w:val="30"/>
          <w:bCs/>
        </w:rPr>
      </w:pPr>
      <w:r>
        <w:rPr>
          <w:rFonts w:hint="eastAsia" w:ascii="宋体" w:hAnsi="宋体"/>
          <w:bCs/>
          <w:sz w:val="24"/>
          <w:szCs w:val="24"/>
        </w:rPr>
        <w:t>我方愿意提供</w:t>
      </w:r>
      <w:r>
        <w:rPr>
          <w:rFonts w:hint="eastAsia" w:ascii="宋体" w:hAnsi="宋体"/>
          <w:bCs/>
          <w:sz w:val="24"/>
          <w:szCs w:val="24"/>
          <w:lang w:val="en-US" w:eastAsia="zh-CN"/>
        </w:rPr>
        <w:t>本项目</w:t>
      </w:r>
      <w:r>
        <w:rPr>
          <w:rFonts w:hint="eastAsia" w:ascii="宋体" w:hAnsi="宋体"/>
          <w:bCs/>
          <w:sz w:val="24"/>
          <w:szCs w:val="24"/>
        </w:rPr>
        <w:t>招标文件中要求的文件、资料。</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我方同意按招标文件中的规定，本投标文件投标的有效期限为开标之日起</w:t>
      </w:r>
      <w:r>
        <w:rPr>
          <w:rFonts w:ascii="宋体" w:hAnsi="宋体"/>
          <w:bCs/>
          <w:sz w:val="24"/>
          <w:szCs w:val="24"/>
        </w:rPr>
        <w:t>90</w:t>
      </w:r>
      <w:r>
        <w:rPr>
          <w:rFonts w:hint="eastAsia" w:ascii="宋体" w:hAnsi="宋体"/>
          <w:bCs/>
          <w:sz w:val="24"/>
          <w:szCs w:val="24"/>
        </w:rPr>
        <w:t>天。</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如果我方的投标文件被接受，我方将履行招标文件中规定的每一项要求，按期、按质、按量，完成交货任务。</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我方认为贵中心有权决定中标者。</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我方愿意遵守《中华人民共和国政府采购法》，并按《中华人民共和国民法典》、财政部《政府采购货物和服务招标投标管理办法》</w:t>
      </w:r>
      <w:r>
        <w:rPr>
          <w:rFonts w:hint="eastAsia" w:ascii="宋体" w:hAnsi="宋体"/>
          <w:sz w:val="24"/>
          <w:szCs w:val="24"/>
        </w:rPr>
        <w:t>和</w:t>
      </w:r>
      <w:r>
        <w:rPr>
          <w:rFonts w:hint="eastAsia" w:ascii="宋体" w:hAnsi="宋体"/>
          <w:bCs/>
          <w:sz w:val="24"/>
          <w:szCs w:val="24"/>
        </w:rPr>
        <w:t>合同条款履行自己的全部责任。</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我方认可并遵守招标文件的所有规定，放弃对招标文件提出质疑的权利。</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我方愿意按招标文件的规定上传《投标（报价）承诺函》。如我方在投标截止期后撤回投标及中标后拒绝遵守投标承诺或拒绝在规定的时间内与采购人签订合同，则接受政府采购监督管理部门的处理。</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如果我方被确定为中标供应商，我方愿意</w:t>
      </w:r>
      <w:r>
        <w:rPr>
          <w:rFonts w:hint="eastAsia" w:ascii="宋体" w:hAnsi="宋体"/>
          <w:sz w:val="24"/>
          <w:szCs w:val="24"/>
        </w:rPr>
        <w:t>向</w:t>
      </w:r>
      <w:r>
        <w:rPr>
          <w:rFonts w:hint="eastAsia" w:ascii="宋体" w:hAnsi="宋体"/>
          <w:bCs/>
          <w:sz w:val="24"/>
          <w:szCs w:val="24"/>
        </w:rPr>
        <w:t>采购人交纳履约保证金。且我方如无不可抗力，又未履行招标文件、投标文件和合同条款的，一经查实，我方愿意赔偿由此而造成的一切损失，并同意接受按招标文件的相关要求对我方进行的处理。</w:t>
      </w:r>
    </w:p>
    <w:p>
      <w:pPr>
        <w:numPr>
          <w:ilvl w:val="0"/>
          <w:numId w:val="9"/>
        </w:numPr>
        <w:tabs>
          <w:tab w:val="left" w:pos="0"/>
          <w:tab w:val="left" w:pos="315"/>
          <w:tab w:val="left" w:pos="525"/>
          <w:tab w:val="left" w:pos="945"/>
          <w:tab w:val="left" w:pos="1050"/>
          <w:tab w:val="clear" w:pos="552"/>
        </w:tabs>
        <w:spacing w:line="360" w:lineRule="auto"/>
        <w:ind w:left="0" w:firstLine="523" w:firstLineChars="218"/>
        <w:rPr>
          <w:rFonts w:ascii="宋体"/>
          <w:bCs/>
          <w:sz w:val="24"/>
          <w:szCs w:val="24"/>
        </w:rPr>
      </w:pPr>
      <w:r>
        <w:rPr>
          <w:rFonts w:hint="eastAsia" w:ascii="宋体" w:hAnsi="宋体"/>
          <w:bCs/>
          <w:sz w:val="24"/>
          <w:szCs w:val="24"/>
        </w:rPr>
        <w:t>我方决不提供虚假材料谋取中标、决不采取不正当手段诋毁、排挤其他供应商、决不与采购人、其它供应商或者采购中心恶意串通、决不向采购人、采购中心工作人员和评委进行商业贿赂、决不在采购过程中与采购人进行协商谈判、决不拒绝有关部门监督检查或提供虚假情况，如有违反，无条件接受贵方及相关管理部门的处罚。</w:t>
      </w:r>
    </w:p>
    <w:p>
      <w:pPr>
        <w:spacing w:line="360" w:lineRule="auto"/>
        <w:ind w:firstLine="720" w:firstLineChars="300"/>
        <w:rPr>
          <w:rFonts w:ascii="宋体"/>
          <w:bCs/>
          <w:sz w:val="24"/>
          <w:szCs w:val="24"/>
        </w:rPr>
      </w:pPr>
    </w:p>
    <w:p>
      <w:pPr>
        <w:spacing w:line="400" w:lineRule="exact"/>
        <w:ind w:firstLine="480" w:firstLineChars="200"/>
        <w:rPr>
          <w:rFonts w:ascii="宋体"/>
          <w:bCs/>
          <w:sz w:val="24"/>
          <w:szCs w:val="24"/>
        </w:rPr>
      </w:pPr>
      <w:r>
        <w:rPr>
          <w:rFonts w:hint="eastAsia" w:ascii="宋体" w:hAnsi="宋体"/>
          <w:bCs/>
          <w:sz w:val="24"/>
          <w:szCs w:val="24"/>
        </w:rPr>
        <w:t>投标人（盖章）：</w:t>
      </w:r>
    </w:p>
    <w:p>
      <w:pPr>
        <w:spacing w:line="400" w:lineRule="exact"/>
        <w:ind w:firstLine="480" w:firstLineChars="200"/>
        <w:rPr>
          <w:rFonts w:ascii="宋体"/>
          <w:bCs/>
          <w:sz w:val="24"/>
          <w:szCs w:val="24"/>
        </w:rPr>
      </w:pPr>
      <w:r>
        <w:rPr>
          <w:rFonts w:hint="eastAsia" w:ascii="宋体" w:hAnsi="宋体"/>
          <w:bCs/>
          <w:sz w:val="24"/>
          <w:szCs w:val="24"/>
        </w:rPr>
        <w:t>法定代表人或法定代表人授权代表签字或盖章：</w:t>
      </w:r>
    </w:p>
    <w:p>
      <w:pPr>
        <w:spacing w:line="400" w:lineRule="exact"/>
        <w:ind w:firstLine="480" w:firstLineChars="200"/>
        <w:rPr>
          <w:rFonts w:ascii="宋体"/>
          <w:bCs/>
          <w:sz w:val="24"/>
          <w:szCs w:val="24"/>
        </w:rPr>
      </w:pPr>
      <w:r>
        <w:rPr>
          <w:rFonts w:hint="eastAsia" w:ascii="宋体" w:hAnsi="宋体"/>
          <w:bCs/>
          <w:sz w:val="24"/>
          <w:szCs w:val="24"/>
        </w:rPr>
        <w:t>电话：传真：</w:t>
      </w:r>
    </w:p>
    <w:p>
      <w:pPr>
        <w:spacing w:line="400" w:lineRule="exact"/>
        <w:ind w:firstLine="480" w:firstLineChars="200"/>
        <w:rPr>
          <w:rFonts w:ascii="宋体" w:hAnsi="宋体"/>
          <w:bCs/>
          <w:sz w:val="24"/>
          <w:szCs w:val="24"/>
        </w:rPr>
      </w:pPr>
      <w:r>
        <w:rPr>
          <w:rFonts w:hint="eastAsia" w:ascii="宋体" w:hAnsi="宋体"/>
          <w:bCs/>
          <w:sz w:val="24"/>
          <w:szCs w:val="24"/>
        </w:rPr>
        <w:t>通讯地址：邮编：</w:t>
      </w:r>
    </w:p>
    <w:p>
      <w:pPr>
        <w:spacing w:line="400" w:lineRule="exact"/>
        <w:ind w:firstLine="480" w:firstLineChars="200"/>
        <w:rPr>
          <w:rFonts w:ascii="宋体" w:hAnsi="宋体"/>
          <w:bCs/>
          <w:sz w:val="24"/>
          <w:szCs w:val="24"/>
        </w:rPr>
      </w:pPr>
    </w:p>
    <w:p>
      <w:pPr>
        <w:widowControl/>
        <w:jc w:val="left"/>
        <w:rPr>
          <w:rFonts w:hint="eastAsia" w:eastAsia="宋体"/>
          <w:b w:val="0"/>
          <w:bCs/>
          <w:u w:val="none"/>
          <w:lang w:val="en-US" w:eastAsia="zh-CN"/>
        </w:rPr>
      </w:pPr>
      <w:r>
        <w:rPr>
          <w:rFonts w:ascii="黑体" w:hAnsi="宋体" w:eastAsia="黑体"/>
          <w:bCs/>
          <w:sz w:val="24"/>
          <w:szCs w:val="24"/>
        </w:rPr>
        <w:br w:type="page"/>
      </w:r>
    </w:p>
    <w:p>
      <w:pPr>
        <w:keepNext w:val="0"/>
        <w:keepLines w:val="0"/>
        <w:pageBreakBefore w:val="0"/>
        <w:widowControl/>
        <w:kinsoku/>
        <w:wordWrap/>
        <w:overflowPunct/>
        <w:topLinePunct w:val="0"/>
        <w:autoSpaceDE/>
        <w:autoSpaceDN/>
        <w:bidi w:val="0"/>
        <w:adjustRightInd/>
        <w:snapToGrid/>
        <w:spacing w:line="520" w:lineRule="exact"/>
        <w:jc w:val="left"/>
        <w:textAlignment w:val="auto"/>
        <w:rPr>
          <w:rFonts w:ascii="Times New Roman"/>
          <w:b w:val="0"/>
          <w:bCs/>
          <w:color w:val="000000"/>
          <w:u w:val="none"/>
        </w:rPr>
      </w:pPr>
      <w:r>
        <w:rPr>
          <w:rFonts w:ascii="Times New Roman"/>
          <w:b w:val="0"/>
          <w:color w:val="000000"/>
          <w:u w:val="none"/>
        </w:rPr>
        <w:t>1-2 投标人资格声明书（实质性格式）</w:t>
      </w:r>
    </w:p>
    <w:p>
      <w:pPr>
        <w:keepNext w:val="0"/>
        <w:keepLines w:val="0"/>
        <w:pageBreakBefore w:val="0"/>
        <w:kinsoku/>
        <w:wordWrap/>
        <w:overflowPunct/>
        <w:topLinePunct w:val="0"/>
        <w:autoSpaceDE/>
        <w:autoSpaceDN/>
        <w:bidi w:val="0"/>
        <w:adjustRightInd/>
        <w:snapToGrid/>
        <w:spacing w:line="520" w:lineRule="exact"/>
        <w:jc w:val="center"/>
        <w:textAlignment w:val="auto"/>
        <w:rPr>
          <w:sz w:val="24"/>
        </w:rPr>
      </w:pPr>
      <w:r>
        <w:rPr>
          <w:rFonts w:hint="eastAsia"/>
          <w:b/>
          <w:color w:val="000000"/>
          <w:sz w:val="36"/>
          <w:szCs w:val="36"/>
        </w:rPr>
        <w:t>投标人资格声明书</w:t>
      </w:r>
    </w:p>
    <w:p>
      <w:pPr>
        <w:keepNext w:val="0"/>
        <w:keepLines w:val="0"/>
        <w:pageBreakBefore w:val="0"/>
        <w:widowControl w:val="0"/>
        <w:tabs>
          <w:tab w:val="left" w:pos="5580"/>
        </w:tabs>
        <w:kinsoku/>
        <w:wordWrap/>
        <w:overflowPunct/>
        <w:topLinePunct w:val="0"/>
        <w:bidi w:val="0"/>
        <w:spacing w:line="440" w:lineRule="exact"/>
        <w:textAlignment w:val="auto"/>
        <w:rPr>
          <w:sz w:val="24"/>
        </w:rPr>
      </w:pPr>
      <w:r>
        <w:rPr>
          <w:sz w:val="24"/>
        </w:rPr>
        <w:t>致：</w:t>
      </w:r>
      <w:r>
        <w:rPr>
          <w:sz w:val="24"/>
          <w:u w:val="single"/>
        </w:rPr>
        <w:t>采购人或采购代理机构</w:t>
      </w:r>
    </w:p>
    <w:p>
      <w:pPr>
        <w:keepNext w:val="0"/>
        <w:keepLines w:val="0"/>
        <w:pageBreakBefore w:val="0"/>
        <w:widowControl w:val="0"/>
        <w:kinsoku/>
        <w:wordWrap/>
        <w:overflowPunct/>
        <w:topLinePunct w:val="0"/>
        <w:bidi w:val="0"/>
        <w:spacing w:line="440" w:lineRule="exact"/>
        <w:ind w:firstLine="480" w:firstLineChars="200"/>
        <w:textAlignment w:val="auto"/>
        <w:rPr>
          <w:sz w:val="24"/>
        </w:rPr>
      </w:pPr>
      <w:r>
        <w:rPr>
          <w:sz w:val="24"/>
        </w:rPr>
        <w:t>在参与本次项目投标中，我单位承诺：</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具有良好的商业信誉和健全的财务会计制度；</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具有履行合同所必需的设备和专业技术能力；</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有依法缴纳税收和社会保障资金的良好记录；</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参加政府采购活动前三年内，在经营活动中没有重大违法记录（重大违法记录指因违法经营受到刑事处罚或者责令停产停业、吊销许可证或者执照、较大数额罚款等行政处罚，不包括因违法经营被禁止在一定期限内参加政府采购活动，但期限已经届满的情形）；</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我单位不属于政府采购法律、行政法规规定的公益一类事业单位、或使用事业编制且由财政拨款保障的群团组织（仅适用于政府购买服务项目）；</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我单位不存在为采购项目提供整体设计、规范编制或者项目管理、监理、检测等服务后，再参加该采购项目的其他采购活动的情形（单一来源采购项目除外）；</w:t>
      </w:r>
    </w:p>
    <w:p>
      <w:pPr>
        <w:keepNext w:val="0"/>
        <w:keepLines w:val="0"/>
        <w:pageBreakBefore w:val="0"/>
        <w:widowControl w:val="0"/>
        <w:numPr>
          <w:ilvl w:val="0"/>
          <w:numId w:val="10"/>
        </w:numPr>
        <w:kinsoku/>
        <w:wordWrap/>
        <w:overflowPunct/>
        <w:topLinePunct w:val="0"/>
        <w:bidi w:val="0"/>
        <w:spacing w:line="440" w:lineRule="exact"/>
        <w:ind w:left="1134"/>
        <w:textAlignment w:val="auto"/>
        <w:rPr>
          <w:sz w:val="24"/>
          <w:szCs w:val="22"/>
        </w:rPr>
      </w:pPr>
      <w:r>
        <w:rPr>
          <w:sz w:val="24"/>
          <w:szCs w:val="22"/>
        </w:rPr>
        <w:t>与我单位存在“单位负责人为同一人或者存在直接控股、管理关系”的其他法人单位信息如下（如有，不论其是否参加同一合同项下的政府采购活动均须填写）：</w:t>
      </w:r>
    </w:p>
    <w:tbl>
      <w:tblPr>
        <w:tblStyle w:val="23"/>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50"/>
        <w:gridCol w:w="4574"/>
        <w:gridCol w:w="297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序号</w:t>
            </w:r>
          </w:p>
        </w:tc>
        <w:tc>
          <w:tcPr>
            <w:tcW w:w="4574"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单位名称</w:t>
            </w:r>
          </w:p>
        </w:tc>
        <w:tc>
          <w:tcPr>
            <w:tcW w:w="2976"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相互关系</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1</w:t>
            </w:r>
          </w:p>
        </w:tc>
        <w:tc>
          <w:tcPr>
            <w:tcW w:w="4574"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c>
          <w:tcPr>
            <w:tcW w:w="2976"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430" w:hRule="atLeast"/>
          <w:jc w:val="center"/>
        </w:trPr>
        <w:tc>
          <w:tcPr>
            <w:tcW w:w="950"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2</w:t>
            </w:r>
          </w:p>
        </w:tc>
        <w:tc>
          <w:tcPr>
            <w:tcW w:w="4574"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c>
          <w:tcPr>
            <w:tcW w:w="2976"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30" w:hRule="atLeast"/>
          <w:jc w:val="center"/>
        </w:trPr>
        <w:tc>
          <w:tcPr>
            <w:tcW w:w="950"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r>
              <w:rPr>
                <w:sz w:val="24"/>
              </w:rPr>
              <w:t>…</w:t>
            </w:r>
          </w:p>
        </w:tc>
        <w:tc>
          <w:tcPr>
            <w:tcW w:w="4574"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c>
          <w:tcPr>
            <w:tcW w:w="2976" w:type="dxa"/>
            <w:vAlign w:val="center"/>
          </w:tcPr>
          <w:p>
            <w:pPr>
              <w:keepNext w:val="0"/>
              <w:keepLines w:val="0"/>
              <w:pageBreakBefore w:val="0"/>
              <w:widowControl w:val="0"/>
              <w:kinsoku/>
              <w:wordWrap/>
              <w:overflowPunct/>
              <w:topLinePunct w:val="0"/>
              <w:bidi w:val="0"/>
              <w:spacing w:line="440" w:lineRule="exact"/>
              <w:jc w:val="center"/>
              <w:textAlignment w:val="auto"/>
              <w:rPr>
                <w:sz w:val="24"/>
              </w:rPr>
            </w:pPr>
          </w:p>
        </w:tc>
      </w:tr>
    </w:tbl>
    <w:p>
      <w:pPr>
        <w:keepNext w:val="0"/>
        <w:keepLines w:val="0"/>
        <w:pageBreakBefore w:val="0"/>
        <w:widowControl w:val="0"/>
        <w:kinsoku/>
        <w:wordWrap/>
        <w:overflowPunct/>
        <w:topLinePunct w:val="0"/>
        <w:bidi w:val="0"/>
        <w:spacing w:line="440" w:lineRule="exact"/>
        <w:textAlignment w:val="auto"/>
      </w:pPr>
    </w:p>
    <w:p>
      <w:pPr>
        <w:keepNext w:val="0"/>
        <w:keepLines w:val="0"/>
        <w:pageBreakBefore w:val="0"/>
        <w:widowControl w:val="0"/>
        <w:kinsoku/>
        <w:wordWrap/>
        <w:overflowPunct/>
        <w:topLinePunct w:val="0"/>
        <w:bidi w:val="0"/>
        <w:spacing w:line="440" w:lineRule="exact"/>
        <w:ind w:firstLine="480" w:firstLineChars="200"/>
        <w:textAlignment w:val="auto"/>
        <w:rPr>
          <w:sz w:val="24"/>
          <w:szCs w:val="22"/>
        </w:rPr>
      </w:pPr>
      <w:r>
        <w:rPr>
          <w:sz w:val="24"/>
        </w:rPr>
        <w:t>上述声明真实有效，否则我方负全部责任。</w:t>
      </w:r>
    </w:p>
    <w:p>
      <w:pPr>
        <w:keepNext w:val="0"/>
        <w:keepLines w:val="0"/>
        <w:pageBreakBefore w:val="0"/>
        <w:widowControl w:val="0"/>
        <w:kinsoku/>
        <w:wordWrap/>
        <w:overflowPunct/>
        <w:topLinePunct w:val="0"/>
        <w:bidi w:val="0"/>
        <w:spacing w:line="440" w:lineRule="exact"/>
        <w:textAlignment w:val="auto"/>
        <w:rPr>
          <w:sz w:val="24"/>
        </w:rPr>
      </w:pPr>
    </w:p>
    <w:p>
      <w:pPr>
        <w:keepNext w:val="0"/>
        <w:keepLines w:val="0"/>
        <w:pageBreakBefore w:val="0"/>
        <w:widowControl w:val="0"/>
        <w:kinsoku/>
        <w:wordWrap/>
        <w:overflowPunct/>
        <w:topLinePunct w:val="0"/>
        <w:autoSpaceDE w:val="0"/>
        <w:autoSpaceDN w:val="0"/>
        <w:bidi w:val="0"/>
        <w:adjustRightInd w:val="0"/>
        <w:snapToGrid w:val="0"/>
        <w:spacing w:before="25" w:after="25" w:line="440" w:lineRule="exact"/>
        <w:jc w:val="right"/>
        <w:textAlignment w:val="auto"/>
        <w:rPr>
          <w:color w:val="000000"/>
          <w:sz w:val="24"/>
          <w:lang w:val="zh-CN"/>
        </w:rPr>
      </w:pPr>
      <w:r>
        <w:rPr>
          <w:color w:val="000000"/>
          <w:sz w:val="24"/>
        </w:rPr>
        <w:t>投标人名称（加盖公章）</w:t>
      </w:r>
      <w:r>
        <w:rPr>
          <w:color w:val="000000"/>
          <w:sz w:val="24"/>
          <w:lang w:val="zh-CN"/>
        </w:rPr>
        <w:t>：    ____________</w:t>
      </w:r>
    </w:p>
    <w:p>
      <w:pPr>
        <w:keepNext w:val="0"/>
        <w:keepLines w:val="0"/>
        <w:pageBreakBefore w:val="0"/>
        <w:widowControl w:val="0"/>
        <w:kinsoku/>
        <w:wordWrap/>
        <w:overflowPunct/>
        <w:topLinePunct w:val="0"/>
        <w:bidi w:val="0"/>
        <w:spacing w:line="440" w:lineRule="exact"/>
        <w:ind w:right="360" w:firstLine="480"/>
        <w:jc w:val="right"/>
        <w:textAlignment w:val="auto"/>
        <w:rPr>
          <w:sz w:val="24"/>
        </w:rPr>
      </w:pPr>
      <w:r>
        <w:rPr>
          <w:color w:val="000000"/>
          <w:sz w:val="24"/>
          <w:szCs w:val="20"/>
        </w:rPr>
        <w:t xml:space="preserve">日期：_____年______月______日   </w:t>
      </w:r>
    </w:p>
    <w:p>
      <w:pPr>
        <w:keepNext w:val="0"/>
        <w:keepLines w:val="0"/>
        <w:pageBreakBefore w:val="0"/>
        <w:widowControl w:val="0"/>
        <w:kinsoku/>
        <w:wordWrap/>
        <w:overflowPunct/>
        <w:topLinePunct w:val="0"/>
        <w:bidi w:val="0"/>
        <w:spacing w:line="440" w:lineRule="exact"/>
        <w:textAlignment w:val="auto"/>
        <w:rPr>
          <w:sz w:val="24"/>
        </w:rPr>
      </w:pPr>
      <w:r>
        <w:rPr>
          <w:sz w:val="24"/>
        </w:rPr>
        <w:t>说明：</w:t>
      </w:r>
      <w:r>
        <w:rPr>
          <w:rFonts w:hint="eastAsia"/>
          <w:sz w:val="24"/>
        </w:rPr>
        <w:t>供应商承诺不实的，依据《政府采购法》第七十七条“提供虚假材料谋取中标、成交的”有关规定予以处理</w:t>
      </w:r>
      <w:r>
        <w:rPr>
          <w:sz w:val="24"/>
        </w:rPr>
        <w:t>。</w:t>
      </w:r>
    </w:p>
    <w:p>
      <w:pPr>
        <w:keepNext w:val="0"/>
        <w:keepLines w:val="0"/>
        <w:pageBreakBefore w:val="0"/>
        <w:widowControl w:val="0"/>
        <w:tabs>
          <w:tab w:val="left" w:pos="5580"/>
        </w:tabs>
        <w:kinsoku/>
        <w:wordWrap/>
        <w:overflowPunct/>
        <w:topLinePunct w:val="0"/>
        <w:bidi w:val="0"/>
        <w:spacing w:line="440" w:lineRule="exact"/>
        <w:textAlignment w:val="auto"/>
        <w:rPr>
          <w:sz w:val="24"/>
        </w:rPr>
        <w:sectPr>
          <w:pgSz w:w="11907" w:h="16840"/>
          <w:pgMar w:top="1418" w:right="1134" w:bottom="1418" w:left="1701" w:header="851" w:footer="851" w:gutter="0"/>
          <w:pgNumType w:fmt="decimal"/>
          <w:cols w:space="720" w:num="1"/>
          <w:docGrid w:linePitch="462" w:charSpace="0"/>
        </w:sectPr>
      </w:pPr>
    </w:p>
    <w:p>
      <w:pPr>
        <w:widowControl/>
        <w:jc w:val="left"/>
        <w:rPr>
          <w:color w:val="000000"/>
          <w:sz w:val="24"/>
          <w:szCs w:val="20"/>
        </w:rPr>
      </w:pPr>
      <w:r>
        <w:rPr>
          <w:color w:val="000000"/>
          <w:sz w:val="24"/>
          <w:szCs w:val="20"/>
        </w:rPr>
        <w:t>2 落实政府采购政策需满足的资格要求（如有）</w:t>
      </w:r>
    </w:p>
    <w:p>
      <w:pPr>
        <w:spacing w:line="360" w:lineRule="auto"/>
        <w:outlineLvl w:val="2"/>
        <w:rPr>
          <w:sz w:val="24"/>
        </w:rPr>
      </w:pPr>
      <w:r>
        <w:rPr>
          <w:color w:val="000000"/>
          <w:sz w:val="24"/>
          <w:szCs w:val="20"/>
        </w:rPr>
        <w:t>2-1中小企业声明函</w:t>
      </w:r>
    </w:p>
    <w:p>
      <w:pPr>
        <w:tabs>
          <w:tab w:val="left" w:pos="5580"/>
        </w:tabs>
        <w:spacing w:line="360" w:lineRule="auto"/>
        <w:rPr>
          <w:sz w:val="24"/>
        </w:rPr>
      </w:pPr>
      <w:r>
        <w:rPr>
          <w:sz w:val="24"/>
        </w:rPr>
        <w:t>说明：</w:t>
      </w:r>
    </w:p>
    <w:p>
      <w:pPr>
        <w:tabs>
          <w:tab w:val="left" w:pos="5580"/>
        </w:tabs>
        <w:spacing w:line="360" w:lineRule="auto"/>
        <w:rPr>
          <w:sz w:val="24"/>
        </w:rPr>
      </w:pPr>
      <w:r>
        <w:rPr>
          <w:sz w:val="24"/>
        </w:rPr>
        <w:t>（</w:t>
      </w:r>
      <w:r>
        <w:rPr>
          <w:rFonts w:hint="eastAsia"/>
          <w:sz w:val="24"/>
          <w:lang w:val="en-US" w:eastAsia="zh-CN"/>
        </w:rPr>
        <w:t>1</w:t>
      </w:r>
      <w:r>
        <w:rPr>
          <w:sz w:val="24"/>
        </w:rPr>
        <w:t>）如本项目（包）专门面向中小/小微企业采购，须提供《中小企业声明函》</w:t>
      </w:r>
      <w:r>
        <w:rPr>
          <w:color w:val="000000"/>
          <w:sz w:val="24"/>
          <w:szCs w:val="20"/>
        </w:rPr>
        <w:t>（实质性格式）</w:t>
      </w:r>
      <w:r>
        <w:rPr>
          <w:sz w:val="24"/>
        </w:rPr>
        <w:t>。</w:t>
      </w:r>
    </w:p>
    <w:p>
      <w:pPr>
        <w:tabs>
          <w:tab w:val="left" w:pos="5580"/>
        </w:tabs>
        <w:spacing w:line="360" w:lineRule="auto"/>
        <w:rPr>
          <w:sz w:val="24"/>
        </w:rPr>
      </w:pPr>
      <w:r>
        <w:rPr>
          <w:rFonts w:hint="eastAsia"/>
          <w:sz w:val="24"/>
        </w:rPr>
        <w:t>（</w:t>
      </w:r>
      <w:r>
        <w:rPr>
          <w:rFonts w:hint="eastAsia"/>
          <w:sz w:val="24"/>
          <w:lang w:val="en-US" w:eastAsia="zh-CN"/>
        </w:rPr>
        <w:t>2</w:t>
      </w:r>
      <w:r>
        <w:rPr>
          <w:rFonts w:hint="eastAsia"/>
          <w:sz w:val="24"/>
        </w:rPr>
        <w:t>）温馨提示：为方便广大中小企业识别企业规模类型，工业和信息化部组织开发了中小企业规模类型自测小程序，在国务院客户端和工业和信息化部网站上均有链接，投标人填写所属的行业和指标数据可自动生成企业规模类型测试结果。</w:t>
      </w:r>
    </w:p>
    <w:p>
      <w:pPr>
        <w:widowControl/>
        <w:jc w:val="left"/>
        <w:rPr>
          <w:sz w:val="24"/>
        </w:rPr>
      </w:pPr>
      <w:r>
        <w:rPr>
          <w:sz w:val="24"/>
        </w:rPr>
        <w:br w:type="page"/>
      </w:r>
    </w:p>
    <w:p>
      <w:pPr>
        <w:spacing w:before="240" w:beforeLines="100" w:after="240" w:afterLines="100" w:line="360" w:lineRule="auto"/>
        <w:jc w:val="center"/>
        <w:rPr>
          <w:b/>
          <w:color w:val="000000"/>
          <w:sz w:val="36"/>
          <w:szCs w:val="36"/>
        </w:rPr>
      </w:pPr>
      <w:r>
        <w:rPr>
          <w:rFonts w:hint="eastAsia"/>
          <w:b/>
          <w:bCs/>
          <w:color w:val="000000"/>
          <w:sz w:val="36"/>
          <w:szCs w:val="36"/>
        </w:rPr>
        <w:t>中小企业声明函（货物）格式</w:t>
      </w:r>
    </w:p>
    <w:p>
      <w:pPr>
        <w:spacing w:line="360" w:lineRule="auto"/>
        <w:ind w:firstLine="504"/>
        <w:rPr>
          <w:spacing w:val="6"/>
          <w:sz w:val="24"/>
        </w:rPr>
      </w:pPr>
      <w:r>
        <w:rPr>
          <w:spacing w:val="6"/>
          <w:sz w:val="24"/>
        </w:rPr>
        <w:t>本公司（联合体）郑重声明，根据《政府采购促进中小企业发展管理办法》（财库﹝2020﹞46 号）的规定，本公司（联合体）参加（单位名称）的（项目名称）采购活动，提供的货物全部由符合政策要求的中小企业制造。相关企业（含联合体中的中小企业、签订分包意向协议的中小企业）的具体情况如下：</w:t>
      </w:r>
    </w:p>
    <w:p>
      <w:pPr>
        <w:spacing w:line="360" w:lineRule="auto"/>
        <w:ind w:firstLine="504"/>
        <w:rPr>
          <w:spacing w:val="6"/>
          <w:sz w:val="24"/>
        </w:rPr>
      </w:pPr>
      <w:r>
        <w:rPr>
          <w:spacing w:val="6"/>
          <w:sz w:val="24"/>
        </w:rPr>
        <w:t>1.</w:t>
      </w:r>
      <w:r>
        <w:rPr>
          <w:spacing w:val="6"/>
          <w:sz w:val="24"/>
          <w:u w:val="single"/>
        </w:rPr>
        <w:t>（标的名称）</w:t>
      </w:r>
      <w:r>
        <w:rPr>
          <w:spacing w:val="6"/>
          <w:sz w:val="24"/>
        </w:rPr>
        <w:t>，属于</w:t>
      </w:r>
      <w:r>
        <w:rPr>
          <w:spacing w:val="6"/>
          <w:sz w:val="24"/>
          <w:u w:val="single"/>
        </w:rPr>
        <w:t>（采购文件中明确的所属行业）</w:t>
      </w:r>
      <w:r>
        <w:rPr>
          <w:spacing w:val="6"/>
          <w:sz w:val="24"/>
        </w:rPr>
        <w:t>行业；制造商为</w:t>
      </w:r>
      <w:r>
        <w:rPr>
          <w:spacing w:val="6"/>
          <w:sz w:val="24"/>
          <w:u w:val="single"/>
        </w:rPr>
        <w:t>（企业名称）</w:t>
      </w:r>
      <w:r>
        <w:rPr>
          <w:spacing w:val="6"/>
          <w:sz w:val="24"/>
        </w:rPr>
        <w:t>，从业人员______人，营业收入为______万元，资产总额为______万元</w:t>
      </w:r>
      <w:r>
        <w:rPr>
          <w:spacing w:val="6"/>
          <w:sz w:val="24"/>
          <w:vertAlign w:val="superscript"/>
        </w:rPr>
        <w:t>1</w:t>
      </w:r>
      <w:r>
        <w:rPr>
          <w:spacing w:val="6"/>
          <w:sz w:val="24"/>
        </w:rPr>
        <w:t>，属于（中型企业、小型企业、微型企业）；</w:t>
      </w:r>
    </w:p>
    <w:p>
      <w:pPr>
        <w:spacing w:line="360" w:lineRule="auto"/>
        <w:ind w:firstLine="504"/>
        <w:rPr>
          <w:spacing w:val="6"/>
          <w:sz w:val="24"/>
        </w:rPr>
      </w:pPr>
      <w:r>
        <w:rPr>
          <w:spacing w:val="6"/>
          <w:sz w:val="24"/>
        </w:rPr>
        <w:t>2.</w:t>
      </w:r>
      <w:r>
        <w:rPr>
          <w:spacing w:val="6"/>
          <w:sz w:val="24"/>
          <w:u w:val="single"/>
        </w:rPr>
        <w:t>（标的名称）</w:t>
      </w:r>
      <w:r>
        <w:rPr>
          <w:spacing w:val="6"/>
          <w:sz w:val="24"/>
        </w:rPr>
        <w:t>，属于</w:t>
      </w:r>
      <w:r>
        <w:rPr>
          <w:spacing w:val="6"/>
          <w:sz w:val="24"/>
          <w:u w:val="single"/>
        </w:rPr>
        <w:t>（采购文件中明确的所属行业）</w:t>
      </w:r>
      <w:r>
        <w:rPr>
          <w:spacing w:val="6"/>
          <w:sz w:val="24"/>
        </w:rPr>
        <w:t>行业；制造商为</w:t>
      </w:r>
      <w:r>
        <w:rPr>
          <w:spacing w:val="6"/>
          <w:sz w:val="24"/>
          <w:u w:val="single"/>
        </w:rPr>
        <w:t>（企业名称）</w:t>
      </w:r>
      <w:r>
        <w:rPr>
          <w:spacing w:val="6"/>
          <w:sz w:val="24"/>
        </w:rPr>
        <w:t>，从业人员______人，营业收入为______万元，资产总额为______万元，属于</w:t>
      </w:r>
      <w:r>
        <w:rPr>
          <w:spacing w:val="6"/>
          <w:sz w:val="24"/>
          <w:u w:val="single"/>
        </w:rPr>
        <w:t>（中型企业、小型企业、微型企业）</w:t>
      </w:r>
      <w:r>
        <w:rPr>
          <w:spacing w:val="6"/>
          <w:sz w:val="24"/>
        </w:rPr>
        <w:t>；</w:t>
      </w:r>
    </w:p>
    <w:p>
      <w:pPr>
        <w:spacing w:line="360" w:lineRule="auto"/>
        <w:ind w:firstLine="504"/>
        <w:rPr>
          <w:spacing w:val="6"/>
          <w:sz w:val="24"/>
        </w:rPr>
      </w:pPr>
      <w:r>
        <w:rPr>
          <w:spacing w:val="6"/>
          <w:sz w:val="24"/>
        </w:rPr>
        <w:t>……</w:t>
      </w:r>
    </w:p>
    <w:p>
      <w:pPr>
        <w:spacing w:line="360" w:lineRule="auto"/>
        <w:ind w:firstLine="504"/>
        <w:rPr>
          <w:spacing w:val="6"/>
          <w:sz w:val="24"/>
        </w:rPr>
      </w:pPr>
      <w:r>
        <w:rPr>
          <w:spacing w:val="6"/>
          <w:sz w:val="24"/>
        </w:rPr>
        <w:t>以上企业，不属于大企业的分支机构，不存在控股股东为大企业的情形，也不存在与大企业的负责人为同一人的情形。</w:t>
      </w:r>
    </w:p>
    <w:p>
      <w:pPr>
        <w:spacing w:line="360" w:lineRule="auto"/>
        <w:ind w:firstLine="504"/>
        <w:rPr>
          <w:spacing w:val="6"/>
          <w:sz w:val="24"/>
        </w:rPr>
      </w:pPr>
      <w:r>
        <w:rPr>
          <w:spacing w:val="6"/>
          <w:sz w:val="24"/>
        </w:rPr>
        <w:t>本企业对上述声明内容的真实性负责。如有虚假，将依法承担相应责任。</w:t>
      </w:r>
    </w:p>
    <w:p>
      <w:pPr>
        <w:spacing w:line="360" w:lineRule="auto"/>
        <w:ind w:firstLine="504"/>
        <w:rPr>
          <w:spacing w:val="6"/>
          <w:sz w:val="24"/>
        </w:rPr>
      </w:pPr>
    </w:p>
    <w:p>
      <w:pPr>
        <w:spacing w:line="360" w:lineRule="auto"/>
        <w:ind w:right="360" w:firstLine="480"/>
        <w:jc w:val="right"/>
        <w:rPr>
          <w:color w:val="000000"/>
          <w:sz w:val="24"/>
        </w:rPr>
      </w:pPr>
      <w:r>
        <w:rPr>
          <w:color w:val="000000"/>
          <w:sz w:val="24"/>
        </w:rPr>
        <w:t>企业名称（盖章）：________</w:t>
      </w:r>
    </w:p>
    <w:p>
      <w:pPr>
        <w:spacing w:line="360" w:lineRule="auto"/>
        <w:ind w:right="360" w:firstLine="480"/>
        <w:jc w:val="right"/>
        <w:rPr>
          <w:color w:val="000000"/>
          <w:sz w:val="24"/>
        </w:rPr>
      </w:pPr>
      <w:r>
        <w:rPr>
          <w:color w:val="000000"/>
          <w:sz w:val="24"/>
        </w:rPr>
        <w:t>日 期：________</w:t>
      </w:r>
    </w:p>
    <w:p>
      <w:pPr>
        <w:spacing w:line="360" w:lineRule="auto"/>
        <w:ind w:right="360" w:firstLine="480"/>
        <w:jc w:val="right"/>
        <w:rPr>
          <w:color w:val="000000"/>
          <w:sz w:val="24"/>
        </w:rPr>
      </w:pPr>
    </w:p>
    <w:p>
      <w:pPr>
        <w:spacing w:line="360" w:lineRule="auto"/>
        <w:ind w:right="360" w:firstLine="480"/>
        <w:jc w:val="right"/>
        <w:rPr>
          <w:color w:val="000000"/>
          <w:sz w:val="24"/>
        </w:rPr>
      </w:pPr>
    </w:p>
    <w:tbl>
      <w:tblPr>
        <w:tblStyle w:val="23"/>
        <w:tblW w:w="0" w:type="auto"/>
        <w:tblInd w:w="0" w:type="dxa"/>
        <w:tblBorders>
          <w:top w:val="single" w:color="auto" w:sz="4"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8946"/>
      </w:tblGrid>
      <w:tr>
        <w:tblPrEx>
          <w:tblBorders>
            <w:top w:val="single" w:color="auto" w:sz="4"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8946" w:type="dxa"/>
            <w:shd w:val="clear" w:color="auto" w:fill="auto"/>
          </w:tcPr>
          <w:p>
            <w:pPr>
              <w:adjustRightInd w:val="0"/>
              <w:snapToGrid w:val="0"/>
              <w:jc w:val="left"/>
              <w:rPr>
                <w:color w:val="000000"/>
                <w:szCs w:val="21"/>
              </w:rPr>
            </w:pPr>
            <w:r>
              <w:rPr>
                <w:color w:val="000000"/>
                <w:szCs w:val="21"/>
                <w:vertAlign w:val="superscript"/>
              </w:rPr>
              <w:t>1</w:t>
            </w:r>
            <w:r>
              <w:rPr>
                <w:color w:val="000000"/>
                <w:szCs w:val="21"/>
              </w:rPr>
              <w:t>从业人员、营业收入、资产总额填报上一年度数据，无上一年度数据的新成立企业可不填报。</w:t>
            </w:r>
          </w:p>
        </w:tc>
      </w:tr>
    </w:tbl>
    <w:p>
      <w:pPr>
        <w:autoSpaceDE w:val="0"/>
        <w:autoSpaceDN w:val="0"/>
        <w:adjustRightInd w:val="0"/>
        <w:ind w:firstLine="420"/>
        <w:jc w:val="left"/>
        <w:rPr>
          <w:sz w:val="24"/>
        </w:rPr>
      </w:pPr>
    </w:p>
    <w:p>
      <w:pPr>
        <w:spacing w:line="360" w:lineRule="auto"/>
        <w:rPr>
          <w:color w:val="000000"/>
          <w:sz w:val="24"/>
        </w:rPr>
      </w:pPr>
    </w:p>
    <w:p>
      <w:pPr>
        <w:spacing w:line="360" w:lineRule="auto"/>
        <w:ind w:right="360" w:firstLine="480"/>
        <w:jc w:val="right"/>
        <w:rPr>
          <w:color w:val="000000"/>
          <w:sz w:val="24"/>
        </w:rPr>
      </w:pPr>
      <w:r>
        <w:rPr>
          <w:color w:val="000000"/>
          <w:sz w:val="24"/>
        </w:rPr>
        <w:br w:type="page"/>
      </w:r>
    </w:p>
    <w:p>
      <w:pPr>
        <w:spacing w:line="360" w:lineRule="auto"/>
        <w:jc w:val="center"/>
        <w:outlineLvl w:val="2"/>
        <w:rPr>
          <w:b/>
          <w:color w:val="000000"/>
          <w:sz w:val="36"/>
          <w:szCs w:val="36"/>
        </w:rPr>
      </w:pPr>
      <w:r>
        <w:rPr>
          <w:rFonts w:hint="eastAsia"/>
          <w:b/>
          <w:bCs/>
          <w:color w:val="000000"/>
          <w:sz w:val="36"/>
          <w:szCs w:val="36"/>
        </w:rPr>
        <w:t>残疾人福利性单位声明函格式</w:t>
      </w:r>
    </w:p>
    <w:p>
      <w:pPr>
        <w:spacing w:line="588" w:lineRule="exact"/>
        <w:ind w:firstLine="504"/>
        <w:rPr>
          <w:spacing w:val="6"/>
          <w:sz w:val="24"/>
        </w:rPr>
      </w:pPr>
      <w:r>
        <w:rPr>
          <w:spacing w:val="6"/>
          <w:sz w:val="24"/>
        </w:rPr>
        <w:t>本单位郑重声明，根据《财政部 民政部 中国残疾人联合会关于促进残疾人就业政府采购政策的通知》（财库</w:t>
      </w:r>
      <w:r>
        <w:rPr>
          <w:sz w:val="24"/>
        </w:rPr>
        <w:t>〔2017〕 141</w:t>
      </w:r>
      <w:r>
        <w:rPr>
          <w:spacing w:val="6"/>
          <w:sz w:val="24"/>
        </w:rPr>
        <w:t>号）的规定，本单位</w:t>
      </w:r>
      <w:r>
        <w:rPr>
          <w:b/>
          <w:sz w:val="24"/>
        </w:rPr>
        <w:t>（请进行勾选）</w:t>
      </w:r>
      <w:r>
        <w:rPr>
          <w:spacing w:val="6"/>
          <w:sz w:val="24"/>
        </w:rPr>
        <w:t>：</w:t>
      </w:r>
    </w:p>
    <w:p>
      <w:pPr>
        <w:spacing w:line="588" w:lineRule="exact"/>
        <w:ind w:firstLine="482"/>
        <w:rPr>
          <w:b/>
          <w:spacing w:val="6"/>
          <w:sz w:val="24"/>
        </w:rPr>
      </w:pPr>
      <w:r>
        <w:rPr>
          <w:b/>
          <w:sz w:val="24"/>
        </w:rPr>
        <w:t>□</w:t>
      </w:r>
      <w:r>
        <w:rPr>
          <w:b/>
          <w:spacing w:val="6"/>
          <w:sz w:val="24"/>
        </w:rPr>
        <w:t>不属于符合条件的残疾人福利性单位。</w:t>
      </w:r>
    </w:p>
    <w:p>
      <w:pPr>
        <w:spacing w:line="588" w:lineRule="exact"/>
        <w:ind w:firstLine="482"/>
        <w:rPr>
          <w:spacing w:val="6"/>
          <w:sz w:val="24"/>
        </w:rPr>
      </w:pPr>
      <w:r>
        <w:rPr>
          <w:b/>
          <w:sz w:val="24"/>
        </w:rPr>
        <w:t>□</w:t>
      </w:r>
      <w:r>
        <w:rPr>
          <w:b/>
          <w:spacing w:val="6"/>
          <w:sz w:val="24"/>
        </w:rPr>
        <w:t>属于符合条件的残疾人福利性单位，</w:t>
      </w:r>
      <w:r>
        <w:rPr>
          <w:spacing w:val="6"/>
          <w:sz w:val="24"/>
        </w:rPr>
        <w:t>且本单位参加______单位的______项目采购活动提供本单位制造的货物（由本单位承担工程/提供服务），或者提供其他残疾人福利性单位制造的货物（不包括使用非残疾人福利性单位注册商标的货物）。</w:t>
      </w:r>
    </w:p>
    <w:p>
      <w:pPr>
        <w:spacing w:line="588" w:lineRule="exact"/>
        <w:ind w:firstLine="506" w:firstLineChars="200"/>
        <w:rPr>
          <w:spacing w:val="6"/>
          <w:sz w:val="24"/>
        </w:rPr>
      </w:pPr>
      <w:r>
        <w:rPr>
          <w:b/>
          <w:spacing w:val="6"/>
          <w:sz w:val="24"/>
        </w:rPr>
        <w:t>本单位对上述声明的真实性负责。如有虚假，将依法承担相应责任。</w:t>
      </w:r>
    </w:p>
    <w:p>
      <w:pPr>
        <w:spacing w:line="588" w:lineRule="exact"/>
        <w:ind w:firstLine="504" w:firstLineChars="200"/>
        <w:rPr>
          <w:spacing w:val="6"/>
          <w:sz w:val="24"/>
        </w:rPr>
      </w:pPr>
    </w:p>
    <w:p>
      <w:pPr>
        <w:spacing w:line="588" w:lineRule="exact"/>
        <w:ind w:firstLine="504" w:firstLineChars="200"/>
        <w:rPr>
          <w:spacing w:val="6"/>
          <w:sz w:val="24"/>
        </w:rPr>
      </w:pPr>
    </w:p>
    <w:p>
      <w:pPr>
        <w:tabs>
          <w:tab w:val="left" w:pos="4860"/>
        </w:tabs>
        <w:spacing w:line="588" w:lineRule="exact"/>
        <w:ind w:right="1560" w:firstLine="504" w:firstLineChars="200"/>
        <w:jc w:val="center"/>
        <w:rPr>
          <w:spacing w:val="6"/>
          <w:sz w:val="24"/>
        </w:rPr>
      </w:pPr>
      <w:r>
        <w:rPr>
          <w:spacing w:val="6"/>
          <w:sz w:val="24"/>
        </w:rPr>
        <w:t xml:space="preserve">               单位名称（盖章）：</w:t>
      </w:r>
    </w:p>
    <w:p>
      <w:pPr>
        <w:tabs>
          <w:tab w:val="left" w:pos="4860"/>
        </w:tabs>
        <w:spacing w:line="588" w:lineRule="exact"/>
        <w:ind w:right="1560" w:firstLine="504" w:firstLineChars="200"/>
        <w:jc w:val="center"/>
        <w:rPr>
          <w:spacing w:val="6"/>
          <w:sz w:val="24"/>
        </w:rPr>
      </w:pPr>
      <w:r>
        <w:rPr>
          <w:spacing w:val="6"/>
          <w:sz w:val="24"/>
        </w:rPr>
        <w:t xml:space="preserve">       日  期：</w:t>
      </w:r>
    </w:p>
    <w:p>
      <w:pPr>
        <w:widowControl/>
        <w:jc w:val="left"/>
        <w:rPr>
          <w:color w:val="000000"/>
          <w:sz w:val="24"/>
          <w:szCs w:val="20"/>
        </w:rPr>
      </w:pPr>
      <w:r>
        <w:rPr>
          <w:color w:val="000000"/>
          <w:sz w:val="24"/>
          <w:szCs w:val="20"/>
        </w:rPr>
        <w:br w:type="page"/>
      </w:r>
    </w:p>
    <w:p>
      <w:pPr>
        <w:spacing w:line="360" w:lineRule="auto"/>
        <w:outlineLvl w:val="2"/>
        <w:rPr>
          <w:rFonts w:hint="eastAsia" w:ascii="宋体" w:hAnsi="宋体" w:eastAsia="宋体" w:cs="宋体"/>
          <w:color w:val="000000"/>
          <w:sz w:val="24"/>
          <w:szCs w:val="24"/>
        </w:rPr>
      </w:pPr>
      <w:r>
        <w:rPr>
          <w:rFonts w:hint="eastAsia" w:ascii="宋体" w:hAnsi="宋体" w:eastAsia="宋体" w:cs="宋体"/>
          <w:color w:val="000000"/>
          <w:sz w:val="24"/>
          <w:szCs w:val="24"/>
        </w:rPr>
        <w:t xml:space="preserve">2-3 </w:t>
      </w:r>
      <w:r>
        <w:rPr>
          <w:rFonts w:hint="eastAsia" w:ascii="宋体" w:hAnsi="宋体" w:eastAsia="宋体" w:cs="宋体"/>
          <w:sz w:val="24"/>
          <w:szCs w:val="24"/>
        </w:rPr>
        <w:t>其它落实政府采购政策的资格要求</w:t>
      </w:r>
      <w:r>
        <w:rPr>
          <w:rFonts w:hint="eastAsia" w:ascii="宋体" w:hAnsi="宋体" w:eastAsia="宋体" w:cs="宋体"/>
          <w:color w:val="000000"/>
          <w:sz w:val="24"/>
          <w:szCs w:val="24"/>
        </w:rPr>
        <w:t>（如有）</w:t>
      </w:r>
    </w:p>
    <w:p>
      <w:pPr>
        <w:widowControl/>
        <w:jc w:val="left"/>
        <w:rPr>
          <w:rFonts w:hint="eastAsia" w:ascii="宋体" w:hAnsi="宋体" w:eastAsia="宋体" w:cs="宋体"/>
          <w:sz w:val="24"/>
          <w:szCs w:val="24"/>
        </w:rPr>
      </w:pPr>
    </w:p>
    <w:p>
      <w:pPr>
        <w:spacing w:line="360" w:lineRule="auto"/>
        <w:outlineLvl w:val="2"/>
        <w:rPr>
          <w:rFonts w:hint="eastAsia" w:ascii="宋体" w:hAnsi="宋体" w:eastAsia="宋体" w:cs="宋体"/>
          <w:sz w:val="24"/>
          <w:szCs w:val="24"/>
        </w:rPr>
      </w:pPr>
      <w:r>
        <w:rPr>
          <w:rFonts w:hint="eastAsia" w:ascii="宋体" w:hAnsi="宋体" w:eastAsia="宋体" w:cs="宋体"/>
          <w:color w:val="000000"/>
          <w:sz w:val="24"/>
          <w:szCs w:val="24"/>
        </w:rPr>
        <w:t>3其他</w:t>
      </w:r>
      <w:r>
        <w:rPr>
          <w:rFonts w:hint="eastAsia" w:ascii="宋体" w:hAnsi="宋体" w:eastAsia="宋体" w:cs="宋体"/>
          <w:sz w:val="24"/>
          <w:szCs w:val="24"/>
        </w:rPr>
        <w:t>特定资格要求</w:t>
      </w:r>
    </w:p>
    <w:p>
      <w:pPr>
        <w:widowControl/>
        <w:jc w:val="left"/>
        <w:rPr>
          <w:rFonts w:hint="eastAsia" w:ascii="宋体" w:hAnsi="宋体" w:eastAsia="宋体" w:cs="宋体"/>
          <w:sz w:val="24"/>
          <w:szCs w:val="24"/>
        </w:rPr>
      </w:pPr>
    </w:p>
    <w:p>
      <w:pPr>
        <w:spacing w:line="360" w:lineRule="auto"/>
        <w:outlineLvl w:val="2"/>
        <w:rPr>
          <w:rFonts w:hint="eastAsia" w:ascii="宋体" w:hAnsi="宋体" w:eastAsia="宋体" w:cs="宋体"/>
          <w:color w:val="000000"/>
          <w:sz w:val="24"/>
          <w:szCs w:val="24"/>
        </w:rPr>
      </w:pPr>
      <w:r>
        <w:rPr>
          <w:rFonts w:hint="eastAsia" w:ascii="宋体" w:hAnsi="宋体" w:eastAsia="宋体" w:cs="宋体"/>
          <w:sz w:val="24"/>
          <w:szCs w:val="24"/>
        </w:rPr>
        <w:t xml:space="preserve">4 </w:t>
      </w:r>
      <w:r>
        <w:rPr>
          <w:rFonts w:hint="eastAsia" w:ascii="宋体" w:hAnsi="宋体" w:eastAsia="宋体" w:cs="宋体"/>
          <w:color w:val="000000"/>
          <w:sz w:val="24"/>
          <w:szCs w:val="24"/>
        </w:rPr>
        <w:t>投标保证金凭证/交款单据电子件</w:t>
      </w:r>
    </w:p>
    <w:p>
      <w:pPr>
        <w:pStyle w:val="5"/>
        <w:rPr>
          <w:rFonts w:hint="eastAsia"/>
        </w:rPr>
      </w:pPr>
    </w:p>
    <w:p>
      <w:pPr>
        <w:spacing w:line="360" w:lineRule="auto"/>
        <w:outlineLvl w:val="2"/>
        <w:rPr>
          <w:rFonts w:hint="eastAsia" w:ascii="宋体" w:hAnsi="宋体" w:eastAsia="宋体" w:cs="宋体"/>
          <w:sz w:val="24"/>
          <w:szCs w:val="24"/>
        </w:rPr>
      </w:pPr>
      <w:r>
        <w:rPr>
          <w:rFonts w:hint="eastAsia" w:ascii="宋体" w:hAnsi="宋体" w:eastAsia="宋体" w:cs="宋体"/>
          <w:sz w:val="24"/>
          <w:szCs w:val="24"/>
          <w:lang w:val="en-US" w:eastAsia="zh-CN"/>
        </w:rPr>
        <w:t>5</w:t>
      </w:r>
      <w:r>
        <w:rPr>
          <w:rFonts w:hint="eastAsia" w:ascii="宋体" w:hAnsi="宋体" w:eastAsia="宋体" w:cs="宋体"/>
          <w:sz w:val="24"/>
          <w:szCs w:val="24"/>
        </w:rPr>
        <w:t>投标单位简介</w:t>
      </w:r>
    </w:p>
    <w:p>
      <w:pPr>
        <w:rPr>
          <w:rFonts w:hint="eastAsia" w:ascii="宋体" w:hAnsi="宋体" w:cs="宋体"/>
          <w:b/>
          <w:color w:val="000000"/>
          <w:sz w:val="28"/>
          <w:szCs w:val="28"/>
        </w:rPr>
      </w:pPr>
    </w:p>
    <w:p>
      <w:pPr>
        <w:rPr>
          <w:rFonts w:hint="eastAsia" w:ascii="宋体" w:hAnsi="宋体" w:cs="宋体"/>
          <w:b/>
          <w:color w:val="000000"/>
          <w:sz w:val="28"/>
          <w:szCs w:val="28"/>
        </w:rPr>
      </w:pPr>
    </w:p>
    <w:p>
      <w:pPr>
        <w:ind w:firstLine="482" w:firstLineChars="200"/>
        <w:rPr>
          <w:rFonts w:hint="eastAsia" w:ascii="宋体" w:hAnsi="宋体" w:cs="宋体"/>
          <w:b/>
          <w:color w:val="000000"/>
          <w:sz w:val="24"/>
          <w:szCs w:val="24"/>
        </w:rPr>
      </w:pPr>
      <w:r>
        <w:rPr>
          <w:rFonts w:hint="eastAsia" w:ascii="宋体" w:hAnsi="宋体" w:cs="宋体"/>
          <w:b/>
          <w:color w:val="000000"/>
          <w:sz w:val="24"/>
          <w:szCs w:val="24"/>
        </w:rPr>
        <w:t>投标人自行编制</w:t>
      </w:r>
    </w:p>
    <w:p>
      <w:pPr>
        <w:ind w:firstLine="482" w:firstLineChars="200"/>
        <w:rPr>
          <w:rFonts w:hint="eastAsia" w:ascii="宋体" w:hAnsi="宋体" w:cs="宋体"/>
          <w:b/>
          <w:color w:val="000000"/>
          <w:sz w:val="24"/>
          <w:szCs w:val="24"/>
        </w:rPr>
      </w:pPr>
    </w:p>
    <w:p>
      <w:pPr>
        <w:ind w:firstLine="482" w:firstLineChars="200"/>
        <w:rPr>
          <w:rFonts w:hint="eastAsia" w:ascii="宋体" w:hAnsi="宋体" w:cs="宋体"/>
          <w:b/>
          <w:color w:val="000000"/>
          <w:sz w:val="24"/>
          <w:szCs w:val="24"/>
        </w:rPr>
      </w:pPr>
      <w:r>
        <w:rPr>
          <w:rFonts w:hint="eastAsia" w:ascii="宋体" w:hAnsi="宋体" w:cs="宋体"/>
          <w:b/>
          <w:color w:val="000000"/>
          <w:sz w:val="24"/>
          <w:szCs w:val="24"/>
        </w:rPr>
        <w:t>附：投标人单位相关资质证件；</w:t>
      </w:r>
    </w:p>
    <w:p>
      <w:pPr>
        <w:ind w:firstLine="562" w:firstLineChars="200"/>
        <w:rPr>
          <w:rFonts w:hint="eastAsia" w:ascii="宋体" w:hAnsi="宋体" w:cs="宋体"/>
          <w:b/>
          <w:color w:val="000000"/>
          <w:sz w:val="28"/>
          <w:szCs w:val="28"/>
        </w:rPr>
      </w:pPr>
    </w:p>
    <w:p>
      <w:pPr>
        <w:pStyle w:val="5"/>
        <w:jc w:val="center"/>
        <w:rPr>
          <w:rFonts w:hint="eastAsia"/>
          <w:sz w:val="30"/>
          <w:szCs w:val="30"/>
        </w:rPr>
      </w:pPr>
      <w:r>
        <w:rPr>
          <w:rFonts w:hint="eastAsia"/>
          <w:sz w:val="30"/>
          <w:szCs w:val="30"/>
        </w:rPr>
        <w:t>符合《政府采购法》第二十二条规定的条件</w:t>
      </w:r>
    </w:p>
    <w:p>
      <w:pPr>
        <w:numPr>
          <w:ilvl w:val="0"/>
          <w:numId w:val="11"/>
        </w:numPr>
        <w:rPr>
          <w:rFonts w:hint="eastAsia"/>
          <w:sz w:val="21"/>
          <w:szCs w:val="24"/>
        </w:rPr>
      </w:pPr>
      <w:r>
        <w:rPr>
          <w:rFonts w:hint="eastAsia"/>
          <w:sz w:val="21"/>
          <w:szCs w:val="24"/>
        </w:rPr>
        <w:t>具有独立承担民事责任的能力</w:t>
      </w:r>
    </w:p>
    <w:p>
      <w:pPr>
        <w:numPr>
          <w:ilvl w:val="0"/>
          <w:numId w:val="11"/>
        </w:numPr>
        <w:rPr>
          <w:rFonts w:hint="eastAsia"/>
          <w:sz w:val="21"/>
          <w:szCs w:val="24"/>
        </w:rPr>
      </w:pPr>
      <w:r>
        <w:rPr>
          <w:rFonts w:hint="eastAsia"/>
          <w:sz w:val="21"/>
          <w:szCs w:val="24"/>
        </w:rPr>
        <w:t>具有良好的商业信誉和健全的财务会计制度</w:t>
      </w:r>
    </w:p>
    <w:p>
      <w:pPr>
        <w:numPr>
          <w:ilvl w:val="0"/>
          <w:numId w:val="11"/>
        </w:numPr>
        <w:rPr>
          <w:rFonts w:hint="eastAsia"/>
          <w:sz w:val="21"/>
          <w:szCs w:val="24"/>
        </w:rPr>
      </w:pPr>
      <w:r>
        <w:rPr>
          <w:rFonts w:hint="eastAsia"/>
          <w:sz w:val="21"/>
          <w:szCs w:val="24"/>
        </w:rPr>
        <w:t>具有履行合同所必需的货物和专业技术能力</w:t>
      </w:r>
    </w:p>
    <w:p>
      <w:pPr>
        <w:numPr>
          <w:ilvl w:val="0"/>
          <w:numId w:val="11"/>
        </w:numPr>
        <w:rPr>
          <w:rFonts w:hint="eastAsia"/>
          <w:sz w:val="21"/>
          <w:szCs w:val="24"/>
        </w:rPr>
      </w:pPr>
      <w:r>
        <w:rPr>
          <w:rFonts w:hint="eastAsia"/>
          <w:sz w:val="21"/>
          <w:szCs w:val="24"/>
        </w:rPr>
        <w:t>有依法缴纳税收和社会保障资金的良好记录</w:t>
      </w:r>
    </w:p>
    <w:p>
      <w:pPr>
        <w:numPr>
          <w:ilvl w:val="0"/>
          <w:numId w:val="11"/>
        </w:numPr>
        <w:rPr>
          <w:rFonts w:hint="eastAsia"/>
          <w:sz w:val="22"/>
          <w:szCs w:val="28"/>
        </w:rPr>
      </w:pPr>
      <w:r>
        <w:rPr>
          <w:rFonts w:hint="eastAsia"/>
          <w:sz w:val="21"/>
          <w:szCs w:val="24"/>
        </w:rPr>
        <w:t>参加政府采购活动前三年内在经营活动中没有重大违法记录，法律、行政法规规定的其他条件</w:t>
      </w:r>
    </w:p>
    <w:p>
      <w:pPr>
        <w:rPr>
          <w:rFonts w:hint="eastAsia"/>
          <w:b/>
          <w:bCs/>
          <w:sz w:val="24"/>
          <w:szCs w:val="32"/>
        </w:rPr>
      </w:pPr>
      <w:r>
        <w:rPr>
          <w:rFonts w:hint="eastAsia"/>
          <w:b/>
          <w:bCs/>
          <w:sz w:val="24"/>
          <w:szCs w:val="32"/>
        </w:rPr>
        <w:t>【包括健全的财务会计制度、审计机构出具的审计报告、依法缴纳税收证明（近</w:t>
      </w:r>
      <w:r>
        <w:rPr>
          <w:rFonts w:hint="eastAsia"/>
          <w:b/>
          <w:bCs/>
          <w:sz w:val="24"/>
          <w:szCs w:val="32"/>
          <w:lang w:val="en-US" w:eastAsia="zh-CN"/>
        </w:rPr>
        <w:t>3</w:t>
      </w:r>
      <w:r>
        <w:rPr>
          <w:rFonts w:hint="eastAsia"/>
          <w:b/>
          <w:bCs/>
          <w:sz w:val="24"/>
          <w:szCs w:val="32"/>
        </w:rPr>
        <w:t>个月的完税证明）、依法缴纳社会保障资金证明（</w:t>
      </w:r>
      <w:r>
        <w:rPr>
          <w:rFonts w:hint="eastAsia"/>
          <w:b/>
          <w:bCs/>
          <w:sz w:val="24"/>
          <w:szCs w:val="32"/>
          <w:lang w:val="en-US" w:eastAsia="zh-CN"/>
        </w:rPr>
        <w:t>拟派负责人和工作人员吗</w:t>
      </w:r>
      <w:r>
        <w:rPr>
          <w:rFonts w:hint="eastAsia"/>
          <w:b/>
          <w:bCs/>
          <w:sz w:val="24"/>
          <w:szCs w:val="32"/>
          <w:lang w:eastAsia="zh-CN"/>
        </w:rPr>
        <w:t>（</w:t>
      </w:r>
      <w:r>
        <w:rPr>
          <w:rFonts w:hint="eastAsia"/>
          <w:b/>
          <w:bCs/>
          <w:sz w:val="24"/>
          <w:szCs w:val="32"/>
          <w:lang w:val="en-US" w:eastAsia="zh-CN"/>
        </w:rPr>
        <w:t>2022年6月-2022年8月</w:t>
      </w:r>
      <w:r>
        <w:rPr>
          <w:rFonts w:hint="eastAsia"/>
          <w:b/>
          <w:bCs/>
          <w:sz w:val="24"/>
          <w:szCs w:val="32"/>
          <w:lang w:eastAsia="zh-CN"/>
        </w:rPr>
        <w:t>）</w:t>
      </w:r>
      <w:r>
        <w:rPr>
          <w:rFonts w:hint="eastAsia"/>
          <w:b/>
          <w:bCs/>
          <w:sz w:val="24"/>
          <w:szCs w:val="32"/>
        </w:rPr>
        <w:t>的社保缴费凭证及个人明细或）等等】</w:t>
      </w:r>
    </w:p>
    <w:p>
      <w:pPr>
        <w:spacing w:line="360" w:lineRule="auto"/>
        <w:outlineLvl w:val="2"/>
        <w:rPr>
          <w:color w:val="000000"/>
          <w:sz w:val="24"/>
          <w:szCs w:val="20"/>
        </w:rPr>
      </w:pPr>
    </w:p>
    <w:p>
      <w:pPr>
        <w:widowControl/>
        <w:jc w:val="left"/>
        <w:rPr>
          <w:b/>
          <w:sz w:val="36"/>
          <w:szCs w:val="36"/>
        </w:rPr>
      </w:pPr>
    </w:p>
    <w:p>
      <w:pPr>
        <w:pStyle w:val="5"/>
        <w:rPr>
          <w:rFonts w:hint="eastAsia" w:eastAsia="宋体"/>
          <w:b w:val="0"/>
          <w:bCs/>
          <w:u w:val="none"/>
          <w:lang w:val="en-US" w:eastAsia="zh-CN"/>
        </w:rPr>
      </w:pPr>
    </w:p>
    <w:p>
      <w:pPr>
        <w:spacing w:line="360" w:lineRule="auto"/>
        <w:rPr>
          <w:sz w:val="24"/>
          <w:szCs w:val="20"/>
        </w:rPr>
      </w:pPr>
    </w:p>
    <w:p>
      <w:pPr>
        <w:spacing w:line="360" w:lineRule="auto"/>
        <w:rPr>
          <w:sz w:val="24"/>
          <w:szCs w:val="20"/>
        </w:rPr>
      </w:pPr>
    </w:p>
    <w:p>
      <w:pPr>
        <w:widowControl/>
        <w:jc w:val="left"/>
        <w:rPr>
          <w:color w:val="000000"/>
          <w:sz w:val="24"/>
        </w:rPr>
      </w:pPr>
      <w:bookmarkStart w:id="413" w:name="_Hlt520274065"/>
      <w:bookmarkEnd w:id="413"/>
      <w:bookmarkStart w:id="414" w:name="_Hlt520356243"/>
      <w:bookmarkEnd w:id="414"/>
      <w:bookmarkStart w:id="415" w:name="_Hlt520274121"/>
      <w:bookmarkEnd w:id="415"/>
      <w:bookmarkStart w:id="416" w:name="_Hlt520271212"/>
      <w:bookmarkEnd w:id="416"/>
      <w:bookmarkStart w:id="417" w:name="_Hlt520274393"/>
      <w:bookmarkEnd w:id="417"/>
      <w:bookmarkStart w:id="418" w:name="_Hlt520343392"/>
      <w:bookmarkEnd w:id="418"/>
      <w:bookmarkStart w:id="419" w:name="_Hlt520273711"/>
      <w:bookmarkEnd w:id="419"/>
      <w:bookmarkStart w:id="420" w:name="_Hlt520343000"/>
      <w:bookmarkEnd w:id="420"/>
      <w:bookmarkStart w:id="421" w:name="_Hlt520355938"/>
      <w:bookmarkEnd w:id="421"/>
      <w:bookmarkStart w:id="422" w:name="_Hlt520355504"/>
      <w:bookmarkEnd w:id="422"/>
      <w:bookmarkStart w:id="423" w:name="_Hlt520274407"/>
      <w:bookmarkEnd w:id="423"/>
      <w:bookmarkStart w:id="424" w:name="_Hlt520350918"/>
      <w:bookmarkEnd w:id="424"/>
      <w:bookmarkStart w:id="425" w:name="_Toc142311059"/>
      <w:bookmarkStart w:id="426" w:name="_Toc480942350"/>
      <w:bookmarkStart w:id="427" w:name="_Toc305158825"/>
      <w:bookmarkStart w:id="428" w:name="_Toc127151557"/>
      <w:bookmarkStart w:id="429" w:name="_Toc520356218"/>
      <w:bookmarkStart w:id="430" w:name="_Toc195842922"/>
      <w:bookmarkStart w:id="431" w:name="_Toc226965830"/>
      <w:bookmarkStart w:id="432" w:name="_Toc305158899"/>
      <w:bookmarkStart w:id="433" w:name="_Toc265228395"/>
      <w:bookmarkStart w:id="434" w:name="_Toc226309801"/>
      <w:bookmarkStart w:id="435" w:name="_Toc226965747"/>
      <w:bookmarkStart w:id="436" w:name="_Toc150774762"/>
      <w:bookmarkStart w:id="437" w:name="_Ref467988705"/>
      <w:bookmarkStart w:id="438" w:name="_Toc264969247"/>
      <w:bookmarkStart w:id="439" w:name="_Toc226337253"/>
      <w:bookmarkStart w:id="440" w:name="_Toc150480795"/>
    </w:p>
    <w:p>
      <w:pPr>
        <w:spacing w:line="360" w:lineRule="auto"/>
        <w:outlineLvl w:val="2"/>
        <w:rPr>
          <w:color w:val="000000"/>
          <w:sz w:val="24"/>
        </w:rPr>
      </w:pPr>
      <w:r>
        <w:rPr>
          <w:rFonts w:hint="eastAsia"/>
          <w:color w:val="000000"/>
          <w:sz w:val="24"/>
          <w:lang w:val="en-US" w:eastAsia="zh-CN"/>
        </w:rPr>
        <w:t>二、</w:t>
      </w:r>
      <w:r>
        <w:rPr>
          <w:color w:val="000000"/>
          <w:sz w:val="24"/>
        </w:rPr>
        <w:t>授权委托书（实质性格式）</w:t>
      </w:r>
    </w:p>
    <w:p>
      <w:pPr>
        <w:spacing w:line="360" w:lineRule="exact"/>
        <w:jc w:val="center"/>
        <w:rPr>
          <w:rFonts w:ascii="宋体" w:hAnsi="宋体"/>
          <w:b/>
          <w:color w:val="000000"/>
          <w:sz w:val="36"/>
          <w:szCs w:val="36"/>
        </w:rPr>
      </w:pPr>
      <w:r>
        <w:rPr>
          <w:rFonts w:hint="eastAsia" w:ascii="宋体" w:hAnsi="宋体"/>
          <w:b/>
          <w:color w:val="000000"/>
          <w:sz w:val="36"/>
          <w:szCs w:val="36"/>
        </w:rPr>
        <w:t>授权委托书</w:t>
      </w:r>
    </w:p>
    <w:p>
      <w:pPr>
        <w:spacing w:line="360" w:lineRule="auto"/>
        <w:ind w:firstLine="420"/>
        <w:rPr>
          <w:rFonts w:ascii="宋体" w:hAnsi="宋体"/>
          <w:color w:val="000000"/>
          <w:sz w:val="24"/>
          <w:szCs w:val="20"/>
        </w:rPr>
      </w:pPr>
    </w:p>
    <w:p>
      <w:pPr>
        <w:spacing w:line="360" w:lineRule="auto"/>
        <w:ind w:firstLine="420"/>
        <w:rPr>
          <w:rFonts w:ascii="宋体" w:hAnsi="宋体"/>
          <w:color w:val="000000"/>
          <w:sz w:val="24"/>
          <w:szCs w:val="20"/>
        </w:rPr>
      </w:pPr>
      <w:r>
        <w:rPr>
          <w:rFonts w:hint="eastAsia" w:ascii="宋体" w:hAnsi="宋体"/>
          <w:color w:val="000000"/>
          <w:sz w:val="24"/>
          <w:szCs w:val="20"/>
        </w:rPr>
        <w:t>本人</w:t>
      </w:r>
      <w:r>
        <w:rPr>
          <w:rFonts w:ascii="宋体" w:hAnsi="宋体"/>
          <w:color w:val="000000"/>
          <w:sz w:val="24"/>
          <w:lang w:val="zh-CN"/>
        </w:rPr>
        <w:t>_______</w:t>
      </w:r>
      <w:r>
        <w:rPr>
          <w:rFonts w:ascii="宋体" w:hAnsi="宋体"/>
          <w:color w:val="000000"/>
          <w:sz w:val="24"/>
          <w:szCs w:val="20"/>
        </w:rPr>
        <w:t>（</w:t>
      </w:r>
      <w:r>
        <w:rPr>
          <w:rFonts w:hint="eastAsia" w:ascii="宋体" w:hAnsi="宋体"/>
          <w:color w:val="000000"/>
          <w:sz w:val="24"/>
          <w:szCs w:val="20"/>
        </w:rPr>
        <w:t>姓名</w:t>
      </w:r>
      <w:r>
        <w:rPr>
          <w:rFonts w:ascii="宋体" w:hAnsi="宋体"/>
          <w:color w:val="000000"/>
          <w:sz w:val="24"/>
          <w:szCs w:val="20"/>
        </w:rPr>
        <w:t>）</w:t>
      </w:r>
      <w:r>
        <w:rPr>
          <w:rFonts w:hint="eastAsia" w:ascii="宋体" w:hAnsi="宋体"/>
          <w:color w:val="000000"/>
          <w:sz w:val="24"/>
          <w:szCs w:val="20"/>
        </w:rPr>
        <w:t>系</w:t>
      </w:r>
      <w:r>
        <w:rPr>
          <w:rFonts w:ascii="宋体" w:hAnsi="宋体"/>
          <w:color w:val="000000"/>
          <w:sz w:val="24"/>
          <w:lang w:val="zh-CN"/>
        </w:rPr>
        <w:t>________________</w:t>
      </w:r>
      <w:r>
        <w:rPr>
          <w:rFonts w:ascii="宋体" w:hAnsi="宋体"/>
          <w:color w:val="000000"/>
          <w:sz w:val="24"/>
          <w:szCs w:val="20"/>
        </w:rPr>
        <w:t>（</w:t>
      </w:r>
      <w:r>
        <w:rPr>
          <w:rFonts w:hint="eastAsia" w:ascii="宋体" w:hAnsi="宋体"/>
          <w:color w:val="000000"/>
          <w:sz w:val="24"/>
          <w:szCs w:val="20"/>
        </w:rPr>
        <w:t>投标人</w:t>
      </w:r>
      <w:r>
        <w:rPr>
          <w:rFonts w:ascii="宋体" w:hAnsi="宋体"/>
          <w:color w:val="000000"/>
          <w:sz w:val="24"/>
          <w:szCs w:val="20"/>
        </w:rPr>
        <w:t>名称）</w:t>
      </w:r>
      <w:r>
        <w:rPr>
          <w:rFonts w:hint="eastAsia" w:ascii="宋体" w:hAnsi="宋体"/>
          <w:color w:val="000000"/>
          <w:sz w:val="24"/>
          <w:szCs w:val="20"/>
        </w:rPr>
        <w:t>的</w:t>
      </w:r>
      <w:r>
        <w:rPr>
          <w:rFonts w:ascii="宋体" w:hAnsi="宋体"/>
          <w:color w:val="000000"/>
          <w:sz w:val="24"/>
          <w:szCs w:val="20"/>
        </w:rPr>
        <w:t>法定代表人（</w:t>
      </w:r>
      <w:r>
        <w:rPr>
          <w:rFonts w:hint="eastAsia" w:ascii="宋体" w:hAnsi="宋体"/>
          <w:color w:val="000000"/>
          <w:sz w:val="24"/>
          <w:szCs w:val="20"/>
        </w:rPr>
        <w:t>单位</w:t>
      </w:r>
      <w:r>
        <w:rPr>
          <w:rFonts w:ascii="宋体" w:hAnsi="宋体"/>
          <w:color w:val="000000"/>
          <w:sz w:val="24"/>
          <w:szCs w:val="20"/>
        </w:rPr>
        <w:t>负责人）</w:t>
      </w:r>
      <w:r>
        <w:rPr>
          <w:rFonts w:hint="eastAsia" w:ascii="宋体" w:hAnsi="宋体"/>
          <w:color w:val="000000"/>
          <w:sz w:val="24"/>
          <w:szCs w:val="20"/>
        </w:rPr>
        <w:t>，</w:t>
      </w:r>
      <w:r>
        <w:rPr>
          <w:rFonts w:ascii="宋体" w:hAnsi="宋体"/>
          <w:color w:val="000000"/>
          <w:sz w:val="24"/>
          <w:szCs w:val="20"/>
        </w:rPr>
        <w:t>现委托</w:t>
      </w:r>
      <w:r>
        <w:rPr>
          <w:rFonts w:ascii="宋体" w:hAnsi="宋体"/>
          <w:color w:val="000000"/>
          <w:sz w:val="24"/>
          <w:lang w:val="zh-CN"/>
        </w:rPr>
        <w:t>_______</w:t>
      </w:r>
      <w:r>
        <w:rPr>
          <w:rFonts w:ascii="宋体" w:hAnsi="宋体"/>
          <w:color w:val="000000"/>
          <w:sz w:val="24"/>
          <w:szCs w:val="20"/>
        </w:rPr>
        <w:t>（</w:t>
      </w:r>
      <w:r>
        <w:rPr>
          <w:rFonts w:hint="eastAsia" w:ascii="宋体" w:hAnsi="宋体"/>
          <w:color w:val="000000"/>
          <w:sz w:val="24"/>
          <w:szCs w:val="20"/>
        </w:rPr>
        <w:t>姓名</w:t>
      </w:r>
      <w:r>
        <w:rPr>
          <w:rFonts w:ascii="宋体" w:hAnsi="宋体"/>
          <w:color w:val="000000"/>
          <w:sz w:val="24"/>
          <w:szCs w:val="20"/>
        </w:rPr>
        <w:t>）</w:t>
      </w:r>
      <w:r>
        <w:rPr>
          <w:rFonts w:hint="eastAsia" w:ascii="宋体" w:hAnsi="宋体"/>
          <w:color w:val="000000"/>
          <w:sz w:val="24"/>
          <w:szCs w:val="20"/>
        </w:rPr>
        <w:t>为</w:t>
      </w:r>
      <w:r>
        <w:rPr>
          <w:rFonts w:ascii="宋体" w:hAnsi="宋体"/>
          <w:color w:val="000000"/>
          <w:sz w:val="24"/>
          <w:szCs w:val="20"/>
        </w:rPr>
        <w:t>我方代理人。</w:t>
      </w:r>
      <w:r>
        <w:rPr>
          <w:rFonts w:hint="eastAsia" w:ascii="宋体" w:hAnsi="宋体"/>
          <w:color w:val="000000"/>
          <w:sz w:val="24"/>
          <w:szCs w:val="20"/>
        </w:rPr>
        <w:t>代理人根据</w:t>
      </w:r>
      <w:r>
        <w:rPr>
          <w:rFonts w:ascii="宋体" w:hAnsi="宋体"/>
          <w:color w:val="000000"/>
          <w:sz w:val="24"/>
          <w:szCs w:val="20"/>
        </w:rPr>
        <w:t>授权，以我方名义签署、澄清确认、递交、撤回、修改</w:t>
      </w:r>
      <w:r>
        <w:rPr>
          <w:rFonts w:ascii="宋体" w:hAnsi="宋体"/>
          <w:color w:val="000000"/>
          <w:sz w:val="24"/>
          <w:lang w:val="zh-CN"/>
        </w:rPr>
        <w:t>________________</w:t>
      </w:r>
      <w:r>
        <w:rPr>
          <w:rFonts w:ascii="宋体" w:hAnsi="宋体"/>
          <w:color w:val="000000"/>
          <w:sz w:val="24"/>
          <w:szCs w:val="20"/>
        </w:rPr>
        <w:t>（</w:t>
      </w:r>
      <w:r>
        <w:rPr>
          <w:rFonts w:hint="eastAsia" w:ascii="宋体" w:hAnsi="宋体"/>
          <w:color w:val="000000"/>
          <w:sz w:val="24"/>
          <w:szCs w:val="20"/>
        </w:rPr>
        <w:t>项目</w:t>
      </w:r>
      <w:r>
        <w:rPr>
          <w:rFonts w:ascii="宋体" w:hAnsi="宋体"/>
          <w:color w:val="000000"/>
          <w:sz w:val="24"/>
          <w:szCs w:val="20"/>
        </w:rPr>
        <w:t>名称）</w:t>
      </w:r>
      <w:r>
        <w:rPr>
          <w:rFonts w:hint="eastAsia" w:ascii="宋体" w:hAnsi="宋体"/>
          <w:color w:val="000000"/>
          <w:sz w:val="24"/>
          <w:szCs w:val="20"/>
        </w:rPr>
        <w:t>响应</w:t>
      </w:r>
      <w:r>
        <w:rPr>
          <w:rFonts w:ascii="宋体" w:hAnsi="宋体"/>
          <w:color w:val="000000"/>
          <w:sz w:val="24"/>
          <w:szCs w:val="20"/>
        </w:rPr>
        <w:t>文件</w:t>
      </w:r>
      <w:r>
        <w:rPr>
          <w:rFonts w:hint="eastAsia" w:ascii="宋体" w:hAnsi="宋体"/>
          <w:color w:val="000000"/>
          <w:sz w:val="24"/>
          <w:szCs w:val="20"/>
        </w:rPr>
        <w:t>和</w:t>
      </w:r>
      <w:r>
        <w:rPr>
          <w:rFonts w:ascii="宋体" w:hAnsi="宋体"/>
          <w:color w:val="000000"/>
          <w:sz w:val="24"/>
          <w:szCs w:val="20"/>
        </w:rPr>
        <w:t>处理有关事宜，其法律后果由我方承担。</w:t>
      </w:r>
    </w:p>
    <w:p>
      <w:pPr>
        <w:spacing w:line="360" w:lineRule="auto"/>
        <w:ind w:firstLine="420"/>
        <w:rPr>
          <w:rFonts w:ascii="宋体" w:hAnsi="宋体"/>
          <w:color w:val="000000"/>
          <w:sz w:val="24"/>
          <w:szCs w:val="20"/>
        </w:rPr>
      </w:pPr>
      <w:r>
        <w:rPr>
          <w:rFonts w:hint="eastAsia" w:ascii="宋体" w:hAnsi="宋体"/>
          <w:color w:val="000000"/>
          <w:sz w:val="24"/>
          <w:szCs w:val="20"/>
        </w:rPr>
        <w:t>委托</w:t>
      </w:r>
      <w:r>
        <w:rPr>
          <w:rFonts w:ascii="宋体" w:hAnsi="宋体"/>
          <w:color w:val="000000"/>
          <w:sz w:val="24"/>
          <w:szCs w:val="20"/>
        </w:rPr>
        <w:t>期限：自本</w:t>
      </w:r>
      <w:r>
        <w:rPr>
          <w:rFonts w:hint="eastAsia" w:ascii="宋体" w:hAnsi="宋体"/>
          <w:color w:val="000000"/>
          <w:sz w:val="24"/>
          <w:szCs w:val="20"/>
        </w:rPr>
        <w:t>授权</w:t>
      </w:r>
      <w:r>
        <w:rPr>
          <w:rFonts w:ascii="宋体" w:hAnsi="宋体"/>
          <w:color w:val="000000"/>
          <w:sz w:val="24"/>
          <w:szCs w:val="20"/>
        </w:rPr>
        <w:t>委托书签署之日起至</w:t>
      </w:r>
      <w:r>
        <w:rPr>
          <w:rFonts w:hint="eastAsia" w:ascii="宋体" w:hAnsi="宋体"/>
          <w:color w:val="000000"/>
          <w:sz w:val="24"/>
          <w:szCs w:val="20"/>
        </w:rPr>
        <w:t>响应</w:t>
      </w:r>
      <w:r>
        <w:rPr>
          <w:rFonts w:ascii="宋体" w:hAnsi="宋体"/>
          <w:color w:val="000000"/>
          <w:sz w:val="24"/>
          <w:szCs w:val="20"/>
        </w:rPr>
        <w:t>有效期</w:t>
      </w:r>
      <w:r>
        <w:rPr>
          <w:rFonts w:hint="eastAsia" w:ascii="宋体" w:hAnsi="宋体"/>
          <w:color w:val="000000"/>
          <w:sz w:val="24"/>
          <w:szCs w:val="20"/>
        </w:rPr>
        <w:t>届满</w:t>
      </w:r>
      <w:r>
        <w:rPr>
          <w:rFonts w:ascii="宋体" w:hAnsi="宋体"/>
          <w:color w:val="000000"/>
          <w:sz w:val="24"/>
          <w:szCs w:val="20"/>
        </w:rPr>
        <w:t>之日止。</w:t>
      </w:r>
    </w:p>
    <w:p>
      <w:pPr>
        <w:spacing w:line="360" w:lineRule="auto"/>
        <w:ind w:firstLine="420"/>
        <w:rPr>
          <w:rFonts w:ascii="宋体" w:hAnsi="宋体"/>
          <w:color w:val="000000"/>
          <w:sz w:val="24"/>
          <w:szCs w:val="20"/>
        </w:rPr>
      </w:pPr>
      <w:r>
        <w:rPr>
          <w:rFonts w:hint="eastAsia" w:ascii="宋体" w:hAnsi="宋体"/>
          <w:color w:val="000000"/>
          <w:sz w:val="24"/>
          <w:szCs w:val="20"/>
        </w:rPr>
        <w:t>代理人</w:t>
      </w:r>
      <w:r>
        <w:rPr>
          <w:rFonts w:ascii="宋体" w:hAnsi="宋体"/>
          <w:color w:val="000000"/>
          <w:sz w:val="24"/>
          <w:szCs w:val="20"/>
        </w:rPr>
        <w:t>无转委托权。</w:t>
      </w:r>
      <w:r>
        <w:rPr>
          <w:rFonts w:ascii="宋体" w:hAnsi="宋体"/>
          <w:color w:val="000000"/>
          <w:sz w:val="24"/>
          <w:szCs w:val="20"/>
        </w:rPr>
        <w:cr/>
      </w:r>
    </w:p>
    <w:p>
      <w:pPr>
        <w:spacing w:line="360" w:lineRule="auto"/>
        <w:rPr>
          <w:rFonts w:ascii="宋体" w:hAnsi="宋体"/>
          <w:color w:val="000000"/>
          <w:sz w:val="24"/>
          <w:lang w:val="zh-CN"/>
        </w:rPr>
      </w:pPr>
      <w:r>
        <w:rPr>
          <w:rFonts w:hint="eastAsia" w:ascii="宋体" w:hAnsi="宋体"/>
          <w:color w:val="000000"/>
          <w:sz w:val="24"/>
        </w:rPr>
        <w:t>投标人</w:t>
      </w:r>
      <w:r>
        <w:rPr>
          <w:rFonts w:ascii="宋体" w:hAnsi="宋体"/>
          <w:color w:val="000000"/>
          <w:sz w:val="24"/>
        </w:rPr>
        <w:t>名称（加盖公章）</w:t>
      </w:r>
      <w:r>
        <w:rPr>
          <w:rFonts w:ascii="宋体" w:hAnsi="宋体"/>
          <w:color w:val="000000"/>
          <w:sz w:val="24"/>
          <w:lang w:val="zh-CN"/>
        </w:rPr>
        <w:t>：________________</w:t>
      </w:r>
    </w:p>
    <w:p>
      <w:pPr>
        <w:spacing w:line="360" w:lineRule="auto"/>
        <w:rPr>
          <w:rFonts w:ascii="宋体" w:hAnsi="宋体"/>
          <w:color w:val="000000"/>
          <w:sz w:val="24"/>
          <w:szCs w:val="20"/>
        </w:rPr>
      </w:pPr>
      <w:r>
        <w:rPr>
          <w:rFonts w:ascii="宋体" w:hAnsi="宋体"/>
          <w:color w:val="000000"/>
          <w:sz w:val="24"/>
          <w:szCs w:val="20"/>
        </w:rPr>
        <w:t>法定代表人（单位负责人）（签字</w:t>
      </w:r>
      <w:r>
        <w:rPr>
          <w:rFonts w:hint="eastAsia" w:ascii="宋体" w:hAnsi="宋体"/>
          <w:color w:val="000000"/>
          <w:sz w:val="24"/>
          <w:szCs w:val="20"/>
        </w:rPr>
        <w:t>、签章</w:t>
      </w:r>
      <w:r>
        <w:rPr>
          <w:rFonts w:ascii="宋体" w:hAnsi="宋体"/>
          <w:color w:val="000000"/>
          <w:sz w:val="24"/>
          <w:szCs w:val="20"/>
        </w:rPr>
        <w:t>或</w:t>
      </w:r>
      <w:r>
        <w:rPr>
          <w:rFonts w:hint="eastAsia" w:ascii="宋体" w:hAnsi="宋体"/>
          <w:color w:val="000000"/>
          <w:sz w:val="24"/>
          <w:szCs w:val="20"/>
        </w:rPr>
        <w:t>印鉴）</w:t>
      </w:r>
      <w:r>
        <w:rPr>
          <w:rFonts w:ascii="宋体" w:hAnsi="宋体"/>
          <w:color w:val="000000"/>
          <w:sz w:val="24"/>
          <w:szCs w:val="20"/>
        </w:rPr>
        <w:t>：</w:t>
      </w:r>
      <w:r>
        <w:rPr>
          <w:rFonts w:ascii="宋体" w:hAnsi="宋体"/>
          <w:color w:val="000000"/>
          <w:sz w:val="24"/>
          <w:lang w:val="zh-CN"/>
        </w:rPr>
        <w:t>________________</w:t>
      </w:r>
    </w:p>
    <w:p>
      <w:pPr>
        <w:autoSpaceDE w:val="0"/>
        <w:autoSpaceDN w:val="0"/>
        <w:adjustRightInd w:val="0"/>
        <w:snapToGrid w:val="0"/>
        <w:spacing w:line="360" w:lineRule="auto"/>
        <w:rPr>
          <w:rFonts w:ascii="宋体" w:hAnsi="宋体"/>
          <w:color w:val="000000"/>
          <w:sz w:val="24"/>
          <w:lang w:val="zh-CN"/>
        </w:rPr>
      </w:pPr>
      <w:r>
        <w:rPr>
          <w:rFonts w:hint="eastAsia" w:ascii="宋体" w:hAnsi="宋体"/>
          <w:color w:val="000000"/>
          <w:sz w:val="24"/>
        </w:rPr>
        <w:t>委托代理</w:t>
      </w:r>
      <w:r>
        <w:rPr>
          <w:rFonts w:ascii="宋体" w:hAnsi="宋体"/>
          <w:color w:val="000000"/>
          <w:sz w:val="24"/>
        </w:rPr>
        <w:t>人（签字</w:t>
      </w:r>
      <w:r>
        <w:rPr>
          <w:rFonts w:hint="eastAsia" w:ascii="宋体" w:hAnsi="宋体"/>
          <w:color w:val="000000"/>
          <w:sz w:val="24"/>
        </w:rPr>
        <w:t>/签章</w:t>
      </w:r>
      <w:r>
        <w:rPr>
          <w:rFonts w:ascii="宋体" w:hAnsi="宋体"/>
          <w:color w:val="000000"/>
          <w:sz w:val="24"/>
        </w:rPr>
        <w:t>）：</w:t>
      </w:r>
      <w:r>
        <w:rPr>
          <w:rFonts w:ascii="宋体" w:hAnsi="宋体"/>
          <w:color w:val="000000"/>
          <w:sz w:val="24"/>
          <w:lang w:val="zh-CN"/>
        </w:rPr>
        <w:t>________________</w:t>
      </w:r>
      <w:r>
        <w:rPr>
          <w:rFonts w:ascii="宋体" w:hAnsi="宋体"/>
          <w:color w:val="000000"/>
          <w:sz w:val="24"/>
        </w:rPr>
        <w:t xml:space="preserve">    </w:t>
      </w:r>
      <w:r>
        <w:rPr>
          <w:rFonts w:ascii="宋体" w:hAnsi="宋体"/>
          <w:color w:val="000000"/>
          <w:sz w:val="24"/>
          <w:lang w:val="zh-CN"/>
        </w:rPr>
        <w:t xml:space="preserve">                      </w:t>
      </w:r>
    </w:p>
    <w:p>
      <w:pPr>
        <w:autoSpaceDE w:val="0"/>
        <w:autoSpaceDN w:val="0"/>
        <w:adjustRightInd w:val="0"/>
        <w:snapToGrid w:val="0"/>
        <w:spacing w:line="360" w:lineRule="auto"/>
        <w:rPr>
          <w:rFonts w:ascii="宋体" w:hAnsi="宋体"/>
          <w:color w:val="000000"/>
          <w:sz w:val="24"/>
          <w:lang w:val="zh-CN"/>
        </w:rPr>
      </w:pPr>
      <w:r>
        <w:rPr>
          <w:rFonts w:ascii="宋体" w:hAnsi="宋体"/>
          <w:color w:val="000000"/>
          <w:sz w:val="24"/>
        </w:rPr>
        <w:t>日期：_____年______月______日</w:t>
      </w:r>
    </w:p>
    <w:p>
      <w:pPr>
        <w:tabs>
          <w:tab w:val="left" w:pos="5580"/>
        </w:tabs>
        <w:spacing w:line="360" w:lineRule="auto"/>
        <w:ind w:firstLine="480" w:firstLineChars="200"/>
        <w:rPr>
          <w:rFonts w:ascii="宋体" w:hAnsi="宋体"/>
          <w:color w:val="000000"/>
          <w:sz w:val="24"/>
          <w:szCs w:val="20"/>
        </w:rPr>
      </w:pPr>
    </w:p>
    <w:p>
      <w:pPr>
        <w:tabs>
          <w:tab w:val="left" w:pos="5580"/>
        </w:tabs>
        <w:spacing w:line="360" w:lineRule="auto"/>
        <w:jc w:val="left"/>
        <w:rPr>
          <w:rFonts w:ascii="宋体" w:hAnsi="宋体"/>
          <w:color w:val="000000"/>
          <w:sz w:val="24"/>
          <w:szCs w:val="20"/>
        </w:rPr>
      </w:pPr>
      <w:r>
        <w:rPr>
          <w:rFonts w:ascii="宋体" w:hAnsi="宋体"/>
          <w:color w:val="000000"/>
          <w:sz w:val="24"/>
          <w:szCs w:val="20"/>
        </w:rPr>
        <w:t>法定代表人（单位负责人）有效期内的身份证</w:t>
      </w:r>
      <w:r>
        <w:rPr>
          <w:rFonts w:ascii="宋体" w:hAnsi="宋体"/>
          <w:b/>
          <w:color w:val="000000"/>
          <w:sz w:val="24"/>
          <w:szCs w:val="20"/>
        </w:rPr>
        <w:t>正反面</w:t>
      </w:r>
      <w:r>
        <w:rPr>
          <w:rFonts w:ascii="宋体" w:hAnsi="宋体"/>
          <w:color w:val="000000"/>
          <w:sz w:val="24"/>
          <w:szCs w:val="20"/>
        </w:rPr>
        <w:t>电子件：</w:t>
      </w:r>
    </w:p>
    <w:tbl>
      <w:tblPr>
        <w:tblStyle w:val="23"/>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73"/>
        <w:gridCol w:w="4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399" w:hRule="atLeast"/>
        </w:trPr>
        <w:tc>
          <w:tcPr>
            <w:tcW w:w="4673"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c>
          <w:tcPr>
            <w:tcW w:w="4536"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r>
    </w:tbl>
    <w:p>
      <w:pPr>
        <w:tabs>
          <w:tab w:val="left" w:pos="5580"/>
        </w:tabs>
        <w:spacing w:line="360" w:lineRule="auto"/>
        <w:jc w:val="left"/>
        <w:rPr>
          <w:rFonts w:ascii="宋体" w:hAnsi="宋体"/>
          <w:color w:val="000000"/>
          <w:sz w:val="24"/>
          <w:szCs w:val="20"/>
        </w:rPr>
      </w:pPr>
      <w:r>
        <w:rPr>
          <w:rFonts w:hint="eastAsia" w:ascii="宋体" w:hAnsi="宋体"/>
          <w:color w:val="000000"/>
          <w:sz w:val="24"/>
          <w:szCs w:val="20"/>
        </w:rPr>
        <w:t>委托代理人</w:t>
      </w:r>
      <w:r>
        <w:rPr>
          <w:rFonts w:ascii="宋体" w:hAnsi="宋体"/>
          <w:color w:val="000000"/>
          <w:sz w:val="24"/>
          <w:szCs w:val="20"/>
        </w:rPr>
        <w:t>有效期内的身份证</w:t>
      </w:r>
      <w:r>
        <w:rPr>
          <w:rFonts w:ascii="宋体" w:hAnsi="宋体"/>
          <w:b/>
          <w:color w:val="000000"/>
          <w:sz w:val="24"/>
          <w:szCs w:val="20"/>
        </w:rPr>
        <w:t>正反面</w:t>
      </w:r>
      <w:r>
        <w:rPr>
          <w:rFonts w:ascii="宋体" w:hAnsi="宋体"/>
          <w:color w:val="000000"/>
          <w:sz w:val="24"/>
          <w:szCs w:val="20"/>
        </w:rPr>
        <w:t>电子件：</w:t>
      </w:r>
    </w:p>
    <w:tbl>
      <w:tblPr>
        <w:tblStyle w:val="23"/>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73"/>
        <w:gridCol w:w="4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399" w:hRule="atLeast"/>
        </w:trPr>
        <w:tc>
          <w:tcPr>
            <w:tcW w:w="4673"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c>
          <w:tcPr>
            <w:tcW w:w="4536"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r>
    </w:tbl>
    <w:p>
      <w:pPr>
        <w:tabs>
          <w:tab w:val="left" w:pos="5580"/>
        </w:tabs>
        <w:spacing w:line="360" w:lineRule="auto"/>
        <w:jc w:val="left"/>
        <w:rPr>
          <w:rFonts w:ascii="宋体" w:hAnsi="宋体"/>
          <w:color w:val="000000"/>
          <w:sz w:val="24"/>
          <w:szCs w:val="20"/>
        </w:rPr>
      </w:pPr>
      <w:r>
        <w:rPr>
          <w:rFonts w:hint="eastAsia" w:ascii="宋体" w:hAnsi="宋体"/>
          <w:color w:val="000000"/>
          <w:sz w:val="24"/>
          <w:szCs w:val="20"/>
        </w:rPr>
        <w:t>说明</w:t>
      </w:r>
      <w:r>
        <w:rPr>
          <w:rFonts w:ascii="宋体" w:hAnsi="宋体"/>
          <w:color w:val="000000"/>
          <w:sz w:val="24"/>
          <w:szCs w:val="20"/>
        </w:rPr>
        <w:t>：</w:t>
      </w:r>
    </w:p>
    <w:p>
      <w:pPr>
        <w:tabs>
          <w:tab w:val="left" w:pos="5580"/>
        </w:tabs>
        <w:spacing w:line="360" w:lineRule="auto"/>
        <w:jc w:val="left"/>
        <w:rPr>
          <w:rFonts w:ascii="宋体" w:hAnsi="宋体"/>
          <w:color w:val="000000"/>
          <w:sz w:val="24"/>
          <w:szCs w:val="20"/>
        </w:rPr>
      </w:pPr>
      <w:r>
        <w:rPr>
          <w:rFonts w:ascii="宋体" w:hAnsi="宋体"/>
          <w:color w:val="000000"/>
          <w:sz w:val="24"/>
          <w:szCs w:val="20"/>
        </w:rPr>
        <w:t>1.若供应商为事业单位或其他组织或分支机构（仅当</w:t>
      </w:r>
      <w:r>
        <w:rPr>
          <w:rFonts w:hint="eastAsia" w:ascii="宋体" w:hAnsi="宋体"/>
          <w:color w:val="000000"/>
          <w:sz w:val="24"/>
          <w:szCs w:val="20"/>
        </w:rPr>
        <w:t>招标</w:t>
      </w:r>
      <w:r>
        <w:rPr>
          <w:rFonts w:ascii="宋体" w:hAnsi="宋体"/>
          <w:color w:val="000000"/>
          <w:sz w:val="24"/>
          <w:szCs w:val="20"/>
        </w:rPr>
        <w:t>文件注明允许分支机构</w:t>
      </w:r>
      <w:r>
        <w:rPr>
          <w:rFonts w:hint="eastAsia" w:ascii="宋体" w:hAnsi="宋体"/>
          <w:color w:val="000000"/>
          <w:sz w:val="24"/>
          <w:szCs w:val="20"/>
        </w:rPr>
        <w:t>投标</w:t>
      </w:r>
      <w:r>
        <w:rPr>
          <w:rFonts w:ascii="宋体" w:hAnsi="宋体"/>
          <w:color w:val="000000"/>
          <w:sz w:val="24"/>
          <w:szCs w:val="20"/>
        </w:rPr>
        <w:t>的），则法定代表人（单位负责人）</w:t>
      </w:r>
      <w:r>
        <w:rPr>
          <w:rFonts w:hint="eastAsia" w:ascii="宋体" w:hAnsi="宋体"/>
          <w:color w:val="000000"/>
          <w:sz w:val="24"/>
          <w:szCs w:val="20"/>
        </w:rPr>
        <w:t>处</w:t>
      </w:r>
      <w:r>
        <w:rPr>
          <w:rFonts w:ascii="宋体" w:hAnsi="宋体"/>
          <w:color w:val="000000"/>
          <w:sz w:val="24"/>
          <w:szCs w:val="20"/>
        </w:rPr>
        <w:t>的签署人可为单位负责人</w:t>
      </w:r>
      <w:r>
        <w:rPr>
          <w:rFonts w:hint="eastAsia" w:ascii="宋体" w:hAnsi="宋体"/>
          <w:color w:val="000000"/>
          <w:sz w:val="24"/>
          <w:szCs w:val="20"/>
        </w:rPr>
        <w:t>。</w:t>
      </w:r>
    </w:p>
    <w:p>
      <w:pPr>
        <w:tabs>
          <w:tab w:val="left" w:pos="5580"/>
        </w:tabs>
        <w:spacing w:line="360" w:lineRule="auto"/>
        <w:jc w:val="left"/>
        <w:rPr>
          <w:rFonts w:ascii="宋体" w:hAnsi="宋体"/>
          <w:color w:val="000000"/>
          <w:sz w:val="24"/>
          <w:szCs w:val="20"/>
        </w:rPr>
      </w:pPr>
      <w:r>
        <w:rPr>
          <w:rFonts w:hint="eastAsia" w:ascii="宋体" w:hAnsi="宋体"/>
          <w:color w:val="000000"/>
          <w:sz w:val="24"/>
          <w:szCs w:val="20"/>
        </w:rPr>
        <w:t>2.</w:t>
      </w:r>
      <w:r>
        <w:rPr>
          <w:rFonts w:ascii="宋体" w:hAnsi="宋体"/>
          <w:color w:val="000000"/>
          <w:sz w:val="24"/>
          <w:szCs w:val="20"/>
        </w:rPr>
        <w:t>若</w:t>
      </w:r>
      <w:r>
        <w:rPr>
          <w:rFonts w:hint="eastAsia" w:ascii="宋体" w:hAnsi="宋体"/>
          <w:color w:val="000000"/>
          <w:sz w:val="24"/>
          <w:szCs w:val="20"/>
        </w:rPr>
        <w:t>投标</w:t>
      </w:r>
      <w:r>
        <w:rPr>
          <w:rFonts w:ascii="宋体" w:hAnsi="宋体"/>
          <w:color w:val="000000"/>
          <w:sz w:val="24"/>
          <w:szCs w:val="20"/>
        </w:rPr>
        <w:t>文件中签字之处均为法定代表人（单位负责人）本人签署，则可不提供本《</w:t>
      </w:r>
      <w:r>
        <w:rPr>
          <w:rFonts w:hint="eastAsia" w:ascii="宋体" w:hAnsi="宋体"/>
          <w:color w:val="000000"/>
          <w:sz w:val="24"/>
          <w:szCs w:val="20"/>
        </w:rPr>
        <w:t>授权委托书</w:t>
      </w:r>
      <w:r>
        <w:rPr>
          <w:rFonts w:ascii="宋体" w:hAnsi="宋体"/>
          <w:color w:val="000000"/>
          <w:sz w:val="24"/>
          <w:szCs w:val="20"/>
        </w:rPr>
        <w:t>》，但须提供</w:t>
      </w:r>
      <w:r>
        <w:rPr>
          <w:rFonts w:hint="eastAsia" w:ascii="宋体" w:hAnsi="宋体"/>
          <w:color w:val="000000"/>
          <w:sz w:val="24"/>
          <w:szCs w:val="20"/>
        </w:rPr>
        <w:t>《</w:t>
      </w:r>
      <w:r>
        <w:rPr>
          <w:rFonts w:ascii="宋体" w:hAnsi="宋体"/>
          <w:color w:val="000000"/>
          <w:sz w:val="24"/>
          <w:szCs w:val="20"/>
        </w:rPr>
        <w:t>法定代表人（单位负责人）身份证</w:t>
      </w:r>
      <w:r>
        <w:rPr>
          <w:rFonts w:hint="eastAsia" w:ascii="宋体" w:hAnsi="宋体"/>
          <w:color w:val="000000"/>
          <w:sz w:val="24"/>
          <w:szCs w:val="20"/>
        </w:rPr>
        <w:t>明》</w:t>
      </w:r>
      <w:r>
        <w:rPr>
          <w:rFonts w:ascii="宋体" w:hAnsi="宋体"/>
          <w:color w:val="000000"/>
          <w:sz w:val="24"/>
          <w:szCs w:val="20"/>
        </w:rPr>
        <w:t>（实质性格式）。</w:t>
      </w:r>
    </w:p>
    <w:p>
      <w:pPr>
        <w:tabs>
          <w:tab w:val="left" w:pos="5580"/>
        </w:tabs>
        <w:spacing w:line="360" w:lineRule="auto"/>
        <w:jc w:val="left"/>
        <w:rPr>
          <w:rFonts w:ascii="宋体" w:hAnsi="宋体"/>
          <w:color w:val="000000"/>
          <w:sz w:val="30"/>
          <w:szCs w:val="30"/>
        </w:rPr>
      </w:pPr>
      <w:r>
        <w:rPr>
          <w:rFonts w:ascii="宋体" w:hAnsi="宋体"/>
          <w:color w:val="000000"/>
          <w:sz w:val="24"/>
          <w:szCs w:val="20"/>
        </w:rPr>
        <w:t>3.</w:t>
      </w:r>
      <w:r>
        <w:rPr>
          <w:rFonts w:hint="eastAsia" w:ascii="宋体" w:hAnsi="宋体"/>
          <w:color w:val="000000"/>
          <w:sz w:val="24"/>
          <w:szCs w:val="20"/>
        </w:rPr>
        <w:t>供应商为自然人的情形，可不提供本</w:t>
      </w:r>
      <w:r>
        <w:rPr>
          <w:rFonts w:ascii="宋体" w:hAnsi="宋体"/>
          <w:color w:val="000000"/>
          <w:sz w:val="24"/>
          <w:szCs w:val="20"/>
        </w:rPr>
        <w:t>《</w:t>
      </w:r>
      <w:r>
        <w:rPr>
          <w:rFonts w:hint="eastAsia" w:ascii="宋体" w:hAnsi="宋体"/>
          <w:color w:val="000000"/>
          <w:sz w:val="24"/>
          <w:szCs w:val="20"/>
        </w:rPr>
        <w:t>授权委托书</w:t>
      </w:r>
      <w:r>
        <w:rPr>
          <w:rFonts w:ascii="宋体" w:hAnsi="宋体"/>
          <w:color w:val="000000"/>
          <w:sz w:val="24"/>
          <w:szCs w:val="20"/>
        </w:rPr>
        <w:t>》</w:t>
      </w:r>
      <w:r>
        <w:rPr>
          <w:rFonts w:hint="eastAsia" w:ascii="宋体" w:hAnsi="宋体"/>
          <w:color w:val="000000"/>
          <w:sz w:val="24"/>
          <w:szCs w:val="20"/>
        </w:rPr>
        <w:t>。</w:t>
      </w:r>
      <w:r>
        <w:rPr>
          <w:rFonts w:ascii="宋体" w:hAnsi="宋体"/>
          <w:color w:val="000000"/>
          <w:sz w:val="30"/>
          <w:szCs w:val="30"/>
        </w:rPr>
        <w:br w:type="page"/>
      </w:r>
    </w:p>
    <w:p>
      <w:pPr>
        <w:spacing w:line="360" w:lineRule="exact"/>
        <w:jc w:val="center"/>
        <w:rPr>
          <w:rFonts w:hint="eastAsia" w:ascii="宋体" w:hAnsi="宋体"/>
          <w:b/>
          <w:color w:val="000000"/>
          <w:sz w:val="36"/>
          <w:szCs w:val="36"/>
        </w:rPr>
      </w:pPr>
    </w:p>
    <w:p>
      <w:pPr>
        <w:keepNext w:val="0"/>
        <w:keepLines w:val="0"/>
        <w:pageBreakBefore w:val="0"/>
        <w:widowControl w:val="0"/>
        <w:kinsoku/>
        <w:wordWrap/>
        <w:overflowPunct/>
        <w:topLinePunct w:val="0"/>
        <w:autoSpaceDE/>
        <w:autoSpaceDN/>
        <w:bidi w:val="0"/>
        <w:adjustRightInd/>
        <w:snapToGrid/>
        <w:spacing w:line="520" w:lineRule="exact"/>
        <w:jc w:val="center"/>
        <w:textAlignment w:val="auto"/>
        <w:rPr>
          <w:rFonts w:ascii="宋体" w:hAnsi="宋体"/>
          <w:b/>
          <w:color w:val="000000"/>
          <w:sz w:val="36"/>
          <w:szCs w:val="36"/>
        </w:rPr>
      </w:pPr>
      <w:r>
        <w:rPr>
          <w:rFonts w:hint="eastAsia" w:ascii="宋体" w:hAnsi="宋体"/>
          <w:b/>
          <w:color w:val="000000"/>
          <w:sz w:val="36"/>
          <w:szCs w:val="36"/>
        </w:rPr>
        <w:t>附：</w:t>
      </w:r>
      <w:r>
        <w:rPr>
          <w:rFonts w:ascii="宋体" w:hAnsi="宋体"/>
          <w:b/>
          <w:color w:val="000000"/>
          <w:sz w:val="36"/>
          <w:szCs w:val="36"/>
        </w:rPr>
        <w:t>法定代表人（单位负责人）身份证明</w:t>
      </w:r>
    </w:p>
    <w:p>
      <w:pPr>
        <w:kinsoku w:val="0"/>
        <w:overflowPunct w:val="0"/>
        <w:spacing w:line="200" w:lineRule="exact"/>
        <w:rPr>
          <w:rFonts w:ascii="宋体" w:hAnsi="宋体"/>
          <w:sz w:val="20"/>
          <w:szCs w:val="20"/>
        </w:rPr>
      </w:pPr>
    </w:p>
    <w:p>
      <w:pPr>
        <w:tabs>
          <w:tab w:val="left" w:pos="5580"/>
        </w:tabs>
        <w:spacing w:line="360" w:lineRule="auto"/>
        <w:rPr>
          <w:rFonts w:ascii="宋体" w:hAnsi="宋体"/>
          <w:color w:val="000000"/>
          <w:sz w:val="24"/>
        </w:rPr>
      </w:pPr>
      <w:r>
        <w:rPr>
          <w:rFonts w:ascii="宋体" w:hAnsi="宋体"/>
          <w:color w:val="000000"/>
          <w:sz w:val="24"/>
        </w:rPr>
        <w:t>致：</w:t>
      </w:r>
      <w:r>
        <w:rPr>
          <w:rFonts w:ascii="宋体" w:hAnsi="宋体"/>
          <w:color w:val="000000"/>
          <w:sz w:val="24"/>
          <w:u w:val="single"/>
        </w:rPr>
        <w:t>（</w:t>
      </w:r>
      <w:r>
        <w:rPr>
          <w:rFonts w:hint="eastAsia" w:ascii="宋体" w:hAnsi="宋体"/>
          <w:color w:val="000000"/>
          <w:sz w:val="24"/>
          <w:u w:val="single"/>
        </w:rPr>
        <w:t>采购人或</w:t>
      </w:r>
      <w:r>
        <w:rPr>
          <w:rFonts w:ascii="宋体" w:hAnsi="宋体"/>
          <w:color w:val="000000"/>
          <w:sz w:val="24"/>
          <w:u w:val="single"/>
        </w:rPr>
        <w:t>采购代理机构）</w:t>
      </w:r>
    </w:p>
    <w:p>
      <w:pPr>
        <w:pStyle w:val="8"/>
        <w:tabs>
          <w:tab w:val="left" w:pos="567"/>
          <w:tab w:val="left" w:pos="2412"/>
          <w:tab w:val="left" w:pos="3883"/>
          <w:tab w:val="left" w:pos="5352"/>
          <w:tab w:val="left" w:pos="6821"/>
        </w:tabs>
        <w:kinsoku w:val="0"/>
        <w:overflowPunct w:val="0"/>
        <w:spacing w:line="335" w:lineRule="exact"/>
        <w:ind w:firstLine="420" w:firstLineChars="200"/>
      </w:pPr>
      <w:r>
        <w:rPr>
          <w:rFonts w:hint="eastAsia"/>
        </w:rPr>
        <w:t>兹证明，</w:t>
      </w:r>
    </w:p>
    <w:p>
      <w:pPr>
        <w:pStyle w:val="8"/>
        <w:tabs>
          <w:tab w:val="left" w:pos="567"/>
          <w:tab w:val="left" w:pos="1690"/>
          <w:tab w:val="left" w:pos="3400"/>
          <w:tab w:val="left" w:pos="5110"/>
          <w:tab w:val="left" w:pos="6821"/>
        </w:tabs>
        <w:kinsoku w:val="0"/>
        <w:overflowPunct w:val="0"/>
        <w:spacing w:line="335" w:lineRule="exact"/>
      </w:pPr>
      <w:r>
        <w:t>姓名</w:t>
      </w:r>
      <w:r>
        <w:rPr>
          <w:rFonts w:hint="eastAsia"/>
        </w:rPr>
        <w:t>：</w:t>
      </w:r>
      <w:r>
        <w:t>____性别：____年龄：____职务：____</w:t>
      </w:r>
    </w:p>
    <w:p>
      <w:pPr>
        <w:pStyle w:val="8"/>
        <w:tabs>
          <w:tab w:val="left" w:pos="567"/>
          <w:tab w:val="left" w:pos="2412"/>
          <w:tab w:val="left" w:pos="3883"/>
          <w:tab w:val="left" w:pos="5352"/>
          <w:tab w:val="left" w:pos="6821"/>
        </w:tabs>
        <w:kinsoku w:val="0"/>
        <w:overflowPunct w:val="0"/>
        <w:spacing w:line="335" w:lineRule="exact"/>
      </w:pPr>
    </w:p>
    <w:p>
      <w:pPr>
        <w:pStyle w:val="8"/>
        <w:tabs>
          <w:tab w:val="left" w:pos="2250"/>
          <w:tab w:val="left" w:pos="2412"/>
          <w:tab w:val="left" w:pos="3883"/>
          <w:tab w:val="left" w:pos="5352"/>
          <w:tab w:val="left" w:pos="6821"/>
        </w:tabs>
        <w:kinsoku w:val="0"/>
        <w:overflowPunct w:val="0"/>
        <w:spacing w:line="335" w:lineRule="exact"/>
      </w:pPr>
      <w:r>
        <w:t>系</w:t>
      </w:r>
      <w:r>
        <w:rPr>
          <w:u w:val="single"/>
        </w:rPr>
        <w:tab/>
      </w:r>
      <w:r>
        <w:t>（</w:t>
      </w:r>
      <w:r>
        <w:rPr>
          <w:rFonts w:hint="eastAsia"/>
        </w:rPr>
        <w:t>投标人</w:t>
      </w:r>
      <w:r>
        <w:t>名称）的法定代表人（单位负责人）。</w:t>
      </w:r>
    </w:p>
    <w:p>
      <w:pPr>
        <w:pStyle w:val="8"/>
        <w:tabs>
          <w:tab w:val="left" w:pos="567"/>
          <w:tab w:val="left" w:pos="2412"/>
          <w:tab w:val="left" w:pos="3883"/>
          <w:tab w:val="left" w:pos="5352"/>
          <w:tab w:val="left" w:pos="6821"/>
        </w:tabs>
        <w:kinsoku w:val="0"/>
        <w:overflowPunct w:val="0"/>
        <w:spacing w:line="335" w:lineRule="exact"/>
      </w:pPr>
    </w:p>
    <w:p>
      <w:pPr>
        <w:pStyle w:val="8"/>
        <w:tabs>
          <w:tab w:val="left" w:pos="567"/>
          <w:tab w:val="left" w:pos="2412"/>
          <w:tab w:val="left" w:pos="3883"/>
          <w:tab w:val="left" w:pos="5352"/>
          <w:tab w:val="left" w:pos="6821"/>
        </w:tabs>
        <w:kinsoku w:val="0"/>
        <w:overflowPunct w:val="0"/>
        <w:spacing w:line="335" w:lineRule="exact"/>
      </w:pPr>
    </w:p>
    <w:p>
      <w:pPr>
        <w:pStyle w:val="8"/>
        <w:tabs>
          <w:tab w:val="left" w:pos="567"/>
          <w:tab w:val="left" w:pos="2412"/>
          <w:tab w:val="left" w:pos="3883"/>
          <w:tab w:val="left" w:pos="5352"/>
          <w:tab w:val="left" w:pos="6821"/>
        </w:tabs>
        <w:kinsoku w:val="0"/>
        <w:overflowPunct w:val="0"/>
        <w:spacing w:line="335" w:lineRule="exact"/>
      </w:pPr>
    </w:p>
    <w:p>
      <w:pPr>
        <w:pStyle w:val="8"/>
        <w:tabs>
          <w:tab w:val="left" w:pos="567"/>
        </w:tabs>
        <w:kinsoku w:val="0"/>
        <w:overflowPunct w:val="0"/>
        <w:spacing w:line="583" w:lineRule="auto"/>
        <w:ind w:right="-46"/>
        <w:rPr>
          <w:spacing w:val="-3"/>
        </w:rPr>
      </w:pPr>
      <w:r>
        <w:t>附：</w:t>
      </w:r>
      <w:r>
        <w:rPr>
          <w:spacing w:val="-3"/>
        </w:rPr>
        <w:t>法</w:t>
      </w:r>
      <w:r>
        <w:t>定</w:t>
      </w:r>
      <w:r>
        <w:rPr>
          <w:spacing w:val="-3"/>
        </w:rPr>
        <w:t>代</w:t>
      </w:r>
      <w:r>
        <w:t>表</w:t>
      </w:r>
      <w:r>
        <w:rPr>
          <w:spacing w:val="-3"/>
        </w:rPr>
        <w:t>人</w:t>
      </w:r>
      <w:r>
        <w:t>（</w:t>
      </w:r>
      <w:r>
        <w:rPr>
          <w:spacing w:val="-3"/>
        </w:rPr>
        <w:t>单</w:t>
      </w:r>
      <w:r>
        <w:t>位</w:t>
      </w:r>
      <w:r>
        <w:rPr>
          <w:spacing w:val="-3"/>
        </w:rPr>
        <w:t>负</w:t>
      </w:r>
      <w:r>
        <w:t>责人</w:t>
      </w:r>
      <w:r>
        <w:rPr>
          <w:spacing w:val="-3"/>
        </w:rPr>
        <w:t>）有效期内的身</w:t>
      </w:r>
      <w:r>
        <w:rPr>
          <w:rFonts w:hint="eastAsia"/>
          <w:spacing w:val="-3"/>
        </w:rPr>
        <w:t>份</w:t>
      </w:r>
      <w:r>
        <w:rPr>
          <w:spacing w:val="-3"/>
        </w:rPr>
        <w:t>证正反面</w:t>
      </w:r>
      <w:r>
        <w:rPr>
          <w:rFonts w:hint="eastAsia"/>
          <w:spacing w:val="-3"/>
        </w:rPr>
        <w:t>电子</w:t>
      </w:r>
      <w:r>
        <w:rPr>
          <w:spacing w:val="-3"/>
        </w:rPr>
        <w:t>件</w:t>
      </w:r>
      <w:r>
        <w:rPr>
          <w:rFonts w:hint="eastAsia"/>
          <w:spacing w:val="-3"/>
        </w:rPr>
        <w:t>。</w:t>
      </w:r>
    </w:p>
    <w:tbl>
      <w:tblPr>
        <w:tblStyle w:val="23"/>
        <w:tblW w:w="920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4673"/>
        <w:gridCol w:w="453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1399" w:hRule="atLeast"/>
        </w:trPr>
        <w:tc>
          <w:tcPr>
            <w:tcW w:w="4673"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c>
          <w:tcPr>
            <w:tcW w:w="4536" w:type="dxa"/>
          </w:tcPr>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p>
            <w:pPr>
              <w:tabs>
                <w:tab w:val="left" w:pos="5580"/>
              </w:tabs>
              <w:spacing w:line="360" w:lineRule="auto"/>
              <w:jc w:val="left"/>
              <w:rPr>
                <w:rFonts w:ascii="宋体" w:hAnsi="宋体"/>
                <w:color w:val="000000"/>
                <w:sz w:val="24"/>
                <w:szCs w:val="20"/>
              </w:rPr>
            </w:pPr>
          </w:p>
        </w:tc>
      </w:tr>
    </w:tbl>
    <w:p>
      <w:pPr>
        <w:pStyle w:val="8"/>
        <w:tabs>
          <w:tab w:val="left" w:pos="567"/>
        </w:tabs>
        <w:kinsoku w:val="0"/>
        <w:overflowPunct w:val="0"/>
        <w:spacing w:line="583" w:lineRule="auto"/>
        <w:ind w:right="4305"/>
        <w:rPr>
          <w:spacing w:val="-3"/>
        </w:rPr>
      </w:pPr>
    </w:p>
    <w:p>
      <w:pPr>
        <w:pStyle w:val="8"/>
        <w:tabs>
          <w:tab w:val="left" w:pos="567"/>
        </w:tabs>
        <w:kinsoku w:val="0"/>
        <w:overflowPunct w:val="0"/>
        <w:spacing w:line="583" w:lineRule="auto"/>
        <w:ind w:right="4305"/>
        <w:rPr>
          <w:spacing w:val="-3"/>
        </w:rPr>
      </w:pPr>
    </w:p>
    <w:p>
      <w:pPr>
        <w:autoSpaceDE w:val="0"/>
        <w:autoSpaceDN w:val="0"/>
        <w:adjustRightInd w:val="0"/>
        <w:snapToGrid w:val="0"/>
        <w:spacing w:line="360" w:lineRule="auto"/>
        <w:rPr>
          <w:rFonts w:ascii="宋体" w:hAnsi="宋体"/>
          <w:color w:val="000000"/>
          <w:sz w:val="24"/>
          <w:lang w:val="zh-CN"/>
        </w:rPr>
      </w:pPr>
      <w:r>
        <w:rPr>
          <w:rFonts w:hint="eastAsia" w:ascii="宋体" w:hAnsi="宋体"/>
          <w:color w:val="000000"/>
          <w:sz w:val="24"/>
        </w:rPr>
        <w:t>投标人</w:t>
      </w:r>
      <w:r>
        <w:rPr>
          <w:rFonts w:ascii="宋体" w:hAnsi="宋体"/>
          <w:color w:val="000000"/>
          <w:sz w:val="24"/>
        </w:rPr>
        <w:t>名称（加盖公章）</w:t>
      </w:r>
      <w:r>
        <w:rPr>
          <w:rFonts w:ascii="宋体" w:hAnsi="宋体"/>
          <w:color w:val="000000"/>
          <w:sz w:val="24"/>
          <w:lang w:val="zh-CN"/>
        </w:rPr>
        <w:t>：________________</w:t>
      </w:r>
    </w:p>
    <w:p>
      <w:pPr>
        <w:pStyle w:val="8"/>
        <w:tabs>
          <w:tab w:val="left" w:pos="567"/>
        </w:tabs>
        <w:kinsoku w:val="0"/>
        <w:overflowPunct w:val="0"/>
        <w:spacing w:line="583" w:lineRule="auto"/>
        <w:ind w:right="95"/>
        <w:rPr>
          <w:spacing w:val="-3"/>
        </w:rPr>
      </w:pPr>
      <w:r>
        <w:rPr>
          <w:rFonts w:hint="eastAsia"/>
          <w:spacing w:val="-3"/>
        </w:rPr>
        <w:t>法定代表人（</w:t>
      </w:r>
      <w:r>
        <w:t>单位负责人</w:t>
      </w:r>
      <w:r>
        <w:rPr>
          <w:rFonts w:hint="eastAsia"/>
          <w:spacing w:val="-3"/>
        </w:rPr>
        <w:t>）（签字、签章或印鉴）：_</w:t>
      </w:r>
      <w:r>
        <w:rPr>
          <w:spacing w:val="-3"/>
        </w:rPr>
        <w:t>______</w:t>
      </w:r>
    </w:p>
    <w:p>
      <w:pPr>
        <w:autoSpaceDE w:val="0"/>
        <w:autoSpaceDN w:val="0"/>
        <w:adjustRightInd w:val="0"/>
        <w:snapToGrid w:val="0"/>
        <w:spacing w:line="360" w:lineRule="auto"/>
        <w:rPr>
          <w:rFonts w:ascii="宋体" w:hAnsi="宋体"/>
          <w:color w:val="000000"/>
          <w:sz w:val="24"/>
        </w:rPr>
      </w:pPr>
    </w:p>
    <w:p>
      <w:pPr>
        <w:autoSpaceDE w:val="0"/>
        <w:autoSpaceDN w:val="0"/>
        <w:adjustRightInd w:val="0"/>
        <w:snapToGrid w:val="0"/>
        <w:spacing w:line="360" w:lineRule="auto"/>
        <w:rPr>
          <w:rFonts w:ascii="宋体" w:hAnsi="宋体"/>
          <w:color w:val="000000"/>
          <w:sz w:val="24"/>
          <w:lang w:val="zh-CN"/>
        </w:rPr>
      </w:pPr>
      <w:r>
        <w:rPr>
          <w:rFonts w:ascii="宋体" w:hAnsi="宋体"/>
          <w:color w:val="000000"/>
          <w:sz w:val="24"/>
        </w:rPr>
        <w:t>日期：_____年______月______日</w:t>
      </w:r>
    </w:p>
    <w:p>
      <w:pPr>
        <w:widowControl/>
        <w:jc w:val="left"/>
        <w:rPr>
          <w:rFonts w:ascii="宋体" w:hAnsi="宋体"/>
          <w:i/>
          <w:color w:val="000000"/>
          <w:sz w:val="24"/>
          <w:szCs w:val="20"/>
          <w:u w:val="single"/>
        </w:rPr>
      </w:pPr>
    </w:p>
    <w:p>
      <w:pPr>
        <w:widowControl/>
        <w:jc w:val="left"/>
        <w:rPr>
          <w:color w:val="000000"/>
          <w:sz w:val="24"/>
          <w:szCs w:val="20"/>
        </w:rPr>
      </w:pPr>
      <w:r>
        <w:rPr>
          <w:color w:val="000000"/>
          <w:sz w:val="24"/>
          <w:szCs w:val="20"/>
        </w:rPr>
        <w:br w:type="page"/>
      </w:r>
    </w:p>
    <w:p>
      <w:pPr>
        <w:spacing w:line="360" w:lineRule="auto"/>
        <w:outlineLvl w:val="2"/>
        <w:rPr>
          <w:color w:val="000000"/>
          <w:sz w:val="24"/>
          <w:szCs w:val="20"/>
        </w:rPr>
      </w:pPr>
      <w:r>
        <w:rPr>
          <w:rFonts w:hint="eastAsia"/>
          <w:color w:val="000000"/>
          <w:sz w:val="24"/>
          <w:szCs w:val="20"/>
          <w:lang w:val="en-US" w:eastAsia="zh-CN"/>
        </w:rPr>
        <w:t>三</w:t>
      </w:r>
      <w:r>
        <w:rPr>
          <w:color w:val="000000"/>
          <w:sz w:val="24"/>
          <w:szCs w:val="20"/>
        </w:rPr>
        <w:t xml:space="preserve">  开标一览表</w:t>
      </w:r>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r>
        <w:rPr>
          <w:color w:val="000000"/>
          <w:sz w:val="24"/>
          <w:szCs w:val="20"/>
        </w:rPr>
        <w:t>（实质性格式）</w:t>
      </w:r>
    </w:p>
    <w:p>
      <w:pPr>
        <w:spacing w:line="360" w:lineRule="exact"/>
        <w:jc w:val="center"/>
        <w:rPr>
          <w:b/>
          <w:color w:val="000000"/>
          <w:sz w:val="36"/>
          <w:szCs w:val="36"/>
        </w:rPr>
      </w:pPr>
      <w:bookmarkStart w:id="441" w:name="_Toc164608672"/>
      <w:bookmarkStart w:id="442" w:name="_Toc265228396"/>
      <w:bookmarkStart w:id="443" w:name="_Toc226309802"/>
      <w:bookmarkStart w:id="444" w:name="_Toc305158900"/>
      <w:bookmarkStart w:id="445" w:name="_Toc164608827"/>
      <w:bookmarkStart w:id="446" w:name="_Toc226965748"/>
      <w:bookmarkStart w:id="447" w:name="_Toc305158826"/>
      <w:bookmarkStart w:id="448" w:name="_Toc226337254"/>
      <w:bookmarkStart w:id="449" w:name="_Toc226965831"/>
      <w:bookmarkStart w:id="450" w:name="_Toc264969248"/>
      <w:bookmarkStart w:id="451" w:name="_Toc195842923"/>
      <w:r>
        <w:rPr>
          <w:rFonts w:hint="eastAsia"/>
          <w:b/>
          <w:color w:val="000000"/>
          <w:sz w:val="36"/>
          <w:szCs w:val="36"/>
        </w:rPr>
        <w:t>开标一览表</w:t>
      </w:r>
      <w:bookmarkEnd w:id="441"/>
      <w:bookmarkEnd w:id="442"/>
      <w:bookmarkEnd w:id="443"/>
      <w:bookmarkEnd w:id="444"/>
      <w:bookmarkEnd w:id="445"/>
      <w:bookmarkEnd w:id="446"/>
      <w:bookmarkEnd w:id="447"/>
      <w:bookmarkEnd w:id="448"/>
      <w:bookmarkEnd w:id="449"/>
      <w:bookmarkEnd w:id="450"/>
      <w:bookmarkEnd w:id="451"/>
    </w:p>
    <w:p>
      <w:pPr>
        <w:tabs>
          <w:tab w:val="left" w:pos="1800"/>
          <w:tab w:val="left" w:pos="5580"/>
        </w:tabs>
        <w:spacing w:line="360" w:lineRule="auto"/>
        <w:jc w:val="left"/>
        <w:rPr>
          <w:i/>
          <w:color w:val="FF0000"/>
          <w:sz w:val="24"/>
        </w:rPr>
      </w:pPr>
    </w:p>
    <w:p>
      <w:pPr>
        <w:tabs>
          <w:tab w:val="left" w:pos="1800"/>
          <w:tab w:val="left" w:pos="5580"/>
        </w:tabs>
        <w:spacing w:line="360" w:lineRule="auto"/>
        <w:ind w:firstLine="240" w:firstLineChars="100"/>
        <w:jc w:val="left"/>
        <w:rPr>
          <w:color w:val="000000"/>
          <w:sz w:val="24"/>
          <w:u w:val="single"/>
        </w:rPr>
      </w:pPr>
      <w:r>
        <w:rPr>
          <w:color w:val="000000"/>
          <w:sz w:val="24"/>
        </w:rPr>
        <w:t>项目编号/包号：_____________________     项目名称：____________</w:t>
      </w:r>
    </w:p>
    <w:tbl>
      <w:tblPr>
        <w:tblStyle w:val="23"/>
        <w:tblW w:w="46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721"/>
        <w:gridCol w:w="3877"/>
        <w:gridCol w:w="2079"/>
        <w:gridCol w:w="20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31" w:hRule="atLeast"/>
          <w:jc w:val="center"/>
        </w:trPr>
        <w:tc>
          <w:tcPr>
            <w:tcW w:w="412" w:type="pct"/>
            <w:vMerge w:val="restart"/>
            <w:vAlign w:val="center"/>
          </w:tcPr>
          <w:p>
            <w:pPr>
              <w:tabs>
                <w:tab w:val="left" w:pos="5580"/>
              </w:tabs>
              <w:jc w:val="center"/>
              <w:rPr>
                <w:b/>
                <w:sz w:val="24"/>
              </w:rPr>
            </w:pPr>
            <w:r>
              <w:rPr>
                <w:b/>
                <w:sz w:val="24"/>
              </w:rPr>
              <w:t>序号</w:t>
            </w:r>
          </w:p>
        </w:tc>
        <w:tc>
          <w:tcPr>
            <w:tcW w:w="2215" w:type="pct"/>
            <w:vMerge w:val="restart"/>
            <w:vAlign w:val="center"/>
          </w:tcPr>
          <w:p>
            <w:pPr>
              <w:tabs>
                <w:tab w:val="left" w:pos="5580"/>
              </w:tabs>
              <w:jc w:val="center"/>
              <w:rPr>
                <w:b/>
                <w:sz w:val="24"/>
              </w:rPr>
            </w:pPr>
            <w:r>
              <w:rPr>
                <w:b/>
                <w:sz w:val="24"/>
              </w:rPr>
              <w:t>投标人名称</w:t>
            </w:r>
          </w:p>
        </w:tc>
        <w:tc>
          <w:tcPr>
            <w:tcW w:w="2373" w:type="pct"/>
            <w:gridSpan w:val="2"/>
            <w:vAlign w:val="center"/>
          </w:tcPr>
          <w:p>
            <w:pPr>
              <w:tabs>
                <w:tab w:val="left" w:pos="5580"/>
              </w:tabs>
              <w:jc w:val="center"/>
              <w:rPr>
                <w:b/>
                <w:sz w:val="24"/>
              </w:rPr>
            </w:pPr>
            <w:r>
              <w:rPr>
                <w:b/>
                <w:sz w:val="24"/>
              </w:rPr>
              <w:t>投标报价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674" w:hRule="atLeast"/>
          <w:jc w:val="center"/>
        </w:trPr>
        <w:tc>
          <w:tcPr>
            <w:tcW w:w="412" w:type="pct"/>
            <w:vMerge w:val="continue"/>
            <w:vAlign w:val="center"/>
          </w:tcPr>
          <w:p>
            <w:pPr>
              <w:tabs>
                <w:tab w:val="left" w:pos="5580"/>
              </w:tabs>
              <w:jc w:val="center"/>
              <w:rPr>
                <w:sz w:val="24"/>
              </w:rPr>
            </w:pPr>
          </w:p>
        </w:tc>
        <w:tc>
          <w:tcPr>
            <w:tcW w:w="2215" w:type="pct"/>
            <w:vMerge w:val="continue"/>
            <w:vAlign w:val="center"/>
          </w:tcPr>
          <w:p>
            <w:pPr>
              <w:tabs>
                <w:tab w:val="left" w:pos="5580"/>
              </w:tabs>
              <w:jc w:val="center"/>
              <w:rPr>
                <w:sz w:val="24"/>
              </w:rPr>
            </w:pPr>
          </w:p>
        </w:tc>
        <w:tc>
          <w:tcPr>
            <w:tcW w:w="1188" w:type="pct"/>
            <w:vAlign w:val="center"/>
          </w:tcPr>
          <w:p>
            <w:pPr>
              <w:tabs>
                <w:tab w:val="left" w:pos="5580"/>
              </w:tabs>
              <w:jc w:val="center"/>
              <w:rPr>
                <w:b/>
                <w:sz w:val="24"/>
              </w:rPr>
            </w:pPr>
            <w:r>
              <w:rPr>
                <w:b/>
                <w:sz w:val="24"/>
              </w:rPr>
              <w:t>大写</w:t>
            </w:r>
          </w:p>
        </w:tc>
        <w:tc>
          <w:tcPr>
            <w:tcW w:w="1182" w:type="pct"/>
            <w:vAlign w:val="center"/>
          </w:tcPr>
          <w:p>
            <w:pPr>
              <w:tabs>
                <w:tab w:val="left" w:pos="5580"/>
              </w:tabs>
              <w:jc w:val="center"/>
              <w:rPr>
                <w:b/>
                <w:sz w:val="24"/>
              </w:rPr>
            </w:pPr>
            <w:r>
              <w:rPr>
                <w:b/>
                <w:sz w:val="24"/>
              </w:rPr>
              <w:t>小写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76" w:hRule="atLeast"/>
          <w:jc w:val="center"/>
        </w:trPr>
        <w:tc>
          <w:tcPr>
            <w:tcW w:w="412" w:type="pct"/>
            <w:vAlign w:val="center"/>
          </w:tcPr>
          <w:p>
            <w:pPr>
              <w:tabs>
                <w:tab w:val="left" w:pos="5580"/>
              </w:tabs>
              <w:jc w:val="center"/>
              <w:rPr>
                <w:sz w:val="24"/>
              </w:rPr>
            </w:pPr>
          </w:p>
        </w:tc>
        <w:tc>
          <w:tcPr>
            <w:tcW w:w="2215" w:type="pct"/>
            <w:vAlign w:val="center"/>
          </w:tcPr>
          <w:p>
            <w:pPr>
              <w:tabs>
                <w:tab w:val="left" w:pos="5580"/>
              </w:tabs>
              <w:jc w:val="center"/>
              <w:rPr>
                <w:sz w:val="24"/>
              </w:rPr>
            </w:pPr>
          </w:p>
        </w:tc>
        <w:tc>
          <w:tcPr>
            <w:tcW w:w="1188" w:type="pct"/>
            <w:vAlign w:val="center"/>
          </w:tcPr>
          <w:p>
            <w:pPr>
              <w:tabs>
                <w:tab w:val="left" w:pos="5580"/>
              </w:tabs>
              <w:jc w:val="center"/>
              <w:rPr>
                <w:sz w:val="24"/>
              </w:rPr>
            </w:pPr>
          </w:p>
        </w:tc>
        <w:tc>
          <w:tcPr>
            <w:tcW w:w="1182" w:type="pct"/>
            <w:vAlign w:val="center"/>
          </w:tcPr>
          <w:p>
            <w:pPr>
              <w:tabs>
                <w:tab w:val="left" w:pos="5580"/>
              </w:tabs>
              <w:jc w:val="center"/>
              <w:rPr>
                <w:sz w:val="24"/>
              </w:rPr>
            </w:pPr>
          </w:p>
        </w:tc>
      </w:tr>
    </w:tbl>
    <w:p>
      <w:pPr>
        <w:autoSpaceDE w:val="0"/>
        <w:autoSpaceDN w:val="0"/>
        <w:adjustRightInd w:val="0"/>
        <w:jc w:val="left"/>
        <w:rPr>
          <w:color w:val="000000"/>
          <w:kern w:val="0"/>
          <w:sz w:val="24"/>
        </w:rPr>
      </w:pPr>
    </w:p>
    <w:p>
      <w:pPr>
        <w:autoSpaceDE w:val="0"/>
        <w:autoSpaceDN w:val="0"/>
        <w:adjustRightInd w:val="0"/>
        <w:jc w:val="left"/>
        <w:rPr>
          <w:color w:val="000000"/>
          <w:sz w:val="24"/>
          <w:szCs w:val="20"/>
        </w:rPr>
      </w:pPr>
      <w:r>
        <w:rPr>
          <w:color w:val="000000"/>
          <w:kern w:val="0"/>
          <w:sz w:val="24"/>
        </w:rPr>
        <w:t>注：1</w:t>
      </w:r>
      <w:r>
        <w:rPr>
          <w:color w:val="000000"/>
          <w:sz w:val="24"/>
          <w:szCs w:val="20"/>
        </w:rPr>
        <w:t>.此表中，每包的投标报价应和《投标分项报价表》中的总价相一致。</w:t>
      </w:r>
    </w:p>
    <w:p>
      <w:pPr>
        <w:tabs>
          <w:tab w:val="left" w:pos="5580"/>
        </w:tabs>
        <w:ind w:firstLine="480" w:firstLineChars="200"/>
        <w:rPr>
          <w:color w:val="000000"/>
          <w:sz w:val="24"/>
          <w:szCs w:val="20"/>
        </w:rPr>
      </w:pPr>
      <w:r>
        <w:rPr>
          <w:color w:val="000000"/>
          <w:sz w:val="24"/>
          <w:szCs w:val="20"/>
        </w:rPr>
        <w:t>2.本表必须按包分别填写。</w:t>
      </w:r>
    </w:p>
    <w:p>
      <w:pPr>
        <w:autoSpaceDE w:val="0"/>
        <w:autoSpaceDN w:val="0"/>
        <w:adjustRightInd w:val="0"/>
        <w:snapToGrid w:val="0"/>
        <w:spacing w:before="25" w:after="25" w:line="360" w:lineRule="auto"/>
        <w:rPr>
          <w:color w:val="000000"/>
          <w:sz w:val="24"/>
          <w:lang w:val="zh-CN"/>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widowControl/>
        <w:jc w:val="left"/>
        <w:rPr>
          <w:color w:val="000000"/>
          <w:sz w:val="24"/>
          <w:szCs w:val="20"/>
        </w:rPr>
      </w:pPr>
      <w:bookmarkStart w:id="452" w:name="_Toc142311060"/>
      <w:bookmarkStart w:id="453" w:name="_Toc305158827"/>
      <w:bookmarkStart w:id="454" w:name="_Toc195842924"/>
      <w:bookmarkStart w:id="455" w:name="_Toc226309803"/>
      <w:bookmarkStart w:id="456" w:name="_Toc265228397"/>
      <w:bookmarkStart w:id="457" w:name="_Toc127151558"/>
      <w:bookmarkStart w:id="458" w:name="_Toc150774763"/>
      <w:bookmarkStart w:id="459" w:name="_Toc226337255"/>
      <w:bookmarkStart w:id="460" w:name="_Toc226965832"/>
      <w:bookmarkStart w:id="461" w:name="_Toc305158901"/>
      <w:bookmarkStart w:id="462" w:name="_Toc150480796"/>
      <w:bookmarkStart w:id="463" w:name="_Toc264969249"/>
      <w:bookmarkStart w:id="464" w:name="_Toc226965749"/>
      <w:r>
        <w:rPr>
          <w:color w:val="000000"/>
          <w:sz w:val="24"/>
          <w:szCs w:val="20"/>
        </w:rPr>
        <w:br w:type="page"/>
      </w:r>
    </w:p>
    <w:p>
      <w:pPr>
        <w:spacing w:line="360" w:lineRule="auto"/>
        <w:outlineLvl w:val="2"/>
        <w:rPr>
          <w:color w:val="000000"/>
          <w:sz w:val="24"/>
          <w:szCs w:val="20"/>
        </w:rPr>
      </w:pPr>
      <w:r>
        <w:rPr>
          <w:rFonts w:hint="eastAsia"/>
          <w:color w:val="000000"/>
          <w:sz w:val="24"/>
          <w:szCs w:val="20"/>
          <w:lang w:val="en-US" w:eastAsia="zh-CN"/>
        </w:rPr>
        <w:t>四</w:t>
      </w:r>
      <w:r>
        <w:rPr>
          <w:color w:val="000000"/>
          <w:sz w:val="24"/>
          <w:szCs w:val="20"/>
        </w:rPr>
        <w:t xml:space="preserve">  投标分项报价表</w:t>
      </w:r>
      <w:bookmarkEnd w:id="452"/>
      <w:bookmarkEnd w:id="453"/>
      <w:bookmarkEnd w:id="454"/>
      <w:bookmarkEnd w:id="455"/>
      <w:bookmarkEnd w:id="456"/>
      <w:bookmarkEnd w:id="457"/>
      <w:bookmarkEnd w:id="458"/>
      <w:bookmarkEnd w:id="459"/>
      <w:bookmarkEnd w:id="460"/>
      <w:bookmarkEnd w:id="461"/>
      <w:bookmarkEnd w:id="462"/>
      <w:bookmarkEnd w:id="463"/>
      <w:bookmarkEnd w:id="464"/>
      <w:r>
        <w:rPr>
          <w:color w:val="000000"/>
          <w:sz w:val="24"/>
          <w:szCs w:val="20"/>
        </w:rPr>
        <w:t>（实质性格式）</w:t>
      </w:r>
    </w:p>
    <w:p>
      <w:pPr>
        <w:spacing w:line="360" w:lineRule="exact"/>
        <w:jc w:val="center"/>
        <w:rPr>
          <w:color w:val="000000"/>
          <w:sz w:val="36"/>
          <w:szCs w:val="36"/>
        </w:rPr>
      </w:pPr>
    </w:p>
    <w:p>
      <w:pPr>
        <w:spacing w:line="360" w:lineRule="exact"/>
        <w:jc w:val="center"/>
        <w:rPr>
          <w:b/>
          <w:color w:val="000000"/>
          <w:sz w:val="36"/>
          <w:szCs w:val="36"/>
        </w:rPr>
      </w:pPr>
      <w:r>
        <w:rPr>
          <w:rFonts w:hint="eastAsia"/>
          <w:b/>
          <w:color w:val="000000"/>
          <w:sz w:val="36"/>
          <w:szCs w:val="36"/>
        </w:rPr>
        <w:t>投标分项报价表</w:t>
      </w:r>
    </w:p>
    <w:p>
      <w:pPr>
        <w:spacing w:line="260" w:lineRule="exact"/>
        <w:jc w:val="center"/>
        <w:rPr>
          <w:color w:val="000000"/>
          <w:sz w:val="36"/>
          <w:szCs w:val="36"/>
        </w:rPr>
      </w:pPr>
    </w:p>
    <w:p>
      <w:pPr>
        <w:adjustRightInd w:val="0"/>
        <w:snapToGrid w:val="0"/>
        <w:spacing w:before="240" w:beforeLines="100" w:after="240" w:afterLines="100"/>
        <w:jc w:val="left"/>
        <w:rPr>
          <w:b/>
          <w:i/>
          <w:color w:val="FF0000"/>
          <w:sz w:val="24"/>
        </w:rPr>
      </w:pPr>
      <w:r>
        <w:rPr>
          <w:rFonts w:hint="eastAsia"/>
          <w:b/>
          <w:i/>
          <w:color w:val="FF0000"/>
          <w:sz w:val="24"/>
        </w:rPr>
        <w:t>（格式示例</w:t>
      </w:r>
      <w:r>
        <w:rPr>
          <w:b/>
          <w:i/>
          <w:color w:val="FF0000"/>
          <w:sz w:val="24"/>
        </w:rPr>
        <w:t>二，适用于多种设备报价</w:t>
      </w:r>
      <w:r>
        <w:rPr>
          <w:rFonts w:hint="eastAsia"/>
          <w:b/>
          <w:i/>
          <w:color w:val="FF0000"/>
          <w:sz w:val="24"/>
        </w:rPr>
        <w:t>）</w:t>
      </w:r>
    </w:p>
    <w:p>
      <w:pPr>
        <w:tabs>
          <w:tab w:val="left" w:pos="1800"/>
          <w:tab w:val="left" w:pos="5580"/>
        </w:tabs>
        <w:rPr>
          <w:color w:val="000000"/>
          <w:sz w:val="24"/>
        </w:rPr>
      </w:pPr>
      <w:r>
        <w:rPr>
          <w:color w:val="000000"/>
          <w:sz w:val="24"/>
        </w:rPr>
        <w:t>项目编号/包号：________ 项目名称：__________报价单位：人民币元</w:t>
      </w:r>
    </w:p>
    <w:tbl>
      <w:tblPr>
        <w:tblStyle w:val="23"/>
        <w:tblW w:w="498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4"/>
        <w:gridCol w:w="2030"/>
        <w:gridCol w:w="1425"/>
        <w:gridCol w:w="1334"/>
        <w:gridCol w:w="1586"/>
        <w:gridCol w:w="1102"/>
        <w:gridCol w:w="541"/>
        <w:gridCol w:w="15"/>
        <w:gridCol w:w="1091"/>
        <w:gridCol w:w="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trHeight w:val="494" w:hRule="atLeast"/>
          <w:jc w:val="center"/>
        </w:trPr>
        <w:tc>
          <w:tcPr>
            <w:tcW w:w="276" w:type="pct"/>
            <w:vAlign w:val="center"/>
          </w:tcPr>
          <w:p>
            <w:pPr>
              <w:adjustRightInd w:val="0"/>
              <w:snapToGrid w:val="0"/>
              <w:jc w:val="left"/>
              <w:rPr>
                <w:b/>
                <w:color w:val="000000"/>
                <w:sz w:val="24"/>
              </w:rPr>
            </w:pPr>
            <w:r>
              <w:rPr>
                <w:b/>
                <w:color w:val="000000"/>
                <w:sz w:val="24"/>
              </w:rPr>
              <w:t>序号</w:t>
            </w:r>
          </w:p>
        </w:tc>
        <w:tc>
          <w:tcPr>
            <w:tcW w:w="1050" w:type="pct"/>
            <w:vAlign w:val="center"/>
          </w:tcPr>
          <w:p>
            <w:pPr>
              <w:adjustRightInd w:val="0"/>
              <w:snapToGrid w:val="0"/>
              <w:jc w:val="left"/>
              <w:rPr>
                <w:b/>
                <w:color w:val="000000"/>
                <w:sz w:val="24"/>
              </w:rPr>
            </w:pPr>
            <w:r>
              <w:rPr>
                <w:b/>
                <w:color w:val="000000"/>
                <w:sz w:val="24"/>
              </w:rPr>
              <w:t>分项名称</w:t>
            </w:r>
          </w:p>
        </w:tc>
        <w:tc>
          <w:tcPr>
            <w:tcW w:w="737" w:type="pct"/>
            <w:vAlign w:val="center"/>
          </w:tcPr>
          <w:p>
            <w:pPr>
              <w:adjustRightInd w:val="0"/>
              <w:snapToGrid w:val="0"/>
              <w:jc w:val="left"/>
              <w:rPr>
                <w:b/>
                <w:color w:val="000000"/>
                <w:sz w:val="24"/>
              </w:rPr>
            </w:pPr>
            <w:r>
              <w:rPr>
                <w:b/>
                <w:color w:val="000000"/>
                <w:sz w:val="24"/>
              </w:rPr>
              <w:t>制造商/</w:t>
            </w:r>
          </w:p>
          <w:p>
            <w:pPr>
              <w:adjustRightInd w:val="0"/>
              <w:snapToGrid w:val="0"/>
              <w:jc w:val="left"/>
              <w:rPr>
                <w:b/>
                <w:color w:val="000000"/>
                <w:sz w:val="24"/>
              </w:rPr>
            </w:pPr>
            <w:r>
              <w:rPr>
                <w:b/>
                <w:color w:val="000000"/>
                <w:sz w:val="24"/>
              </w:rPr>
              <w:t>生产厂家</w:t>
            </w:r>
          </w:p>
        </w:tc>
        <w:tc>
          <w:tcPr>
            <w:tcW w:w="690" w:type="pct"/>
            <w:vAlign w:val="center"/>
          </w:tcPr>
          <w:p>
            <w:pPr>
              <w:adjustRightInd w:val="0"/>
              <w:snapToGrid w:val="0"/>
              <w:jc w:val="left"/>
              <w:rPr>
                <w:b/>
                <w:color w:val="000000"/>
                <w:sz w:val="24"/>
              </w:rPr>
            </w:pPr>
            <w:r>
              <w:rPr>
                <w:b/>
                <w:color w:val="000000"/>
                <w:sz w:val="24"/>
              </w:rPr>
              <w:t>产地</w:t>
            </w:r>
          </w:p>
        </w:tc>
        <w:tc>
          <w:tcPr>
            <w:tcW w:w="820" w:type="pct"/>
            <w:vAlign w:val="center"/>
          </w:tcPr>
          <w:p>
            <w:pPr>
              <w:adjustRightInd w:val="0"/>
              <w:snapToGrid w:val="0"/>
              <w:jc w:val="left"/>
              <w:rPr>
                <w:b/>
                <w:color w:val="000000"/>
                <w:sz w:val="24"/>
              </w:rPr>
            </w:pPr>
            <w:r>
              <w:rPr>
                <w:b/>
                <w:color w:val="000000"/>
                <w:sz w:val="24"/>
              </w:rPr>
              <w:t>品牌、规格、型号</w:t>
            </w:r>
          </w:p>
        </w:tc>
        <w:tc>
          <w:tcPr>
            <w:tcW w:w="570" w:type="pct"/>
            <w:vAlign w:val="center"/>
          </w:tcPr>
          <w:p>
            <w:pPr>
              <w:adjustRightInd w:val="0"/>
              <w:snapToGrid w:val="0"/>
              <w:jc w:val="left"/>
              <w:rPr>
                <w:b/>
                <w:color w:val="000000"/>
                <w:sz w:val="24"/>
              </w:rPr>
            </w:pPr>
            <w:r>
              <w:rPr>
                <w:b/>
                <w:color w:val="000000"/>
                <w:sz w:val="24"/>
              </w:rPr>
              <w:t>单价（元）</w:t>
            </w:r>
          </w:p>
        </w:tc>
        <w:tc>
          <w:tcPr>
            <w:tcW w:w="280" w:type="pct"/>
            <w:vAlign w:val="center"/>
          </w:tcPr>
          <w:p>
            <w:pPr>
              <w:adjustRightInd w:val="0"/>
              <w:snapToGrid w:val="0"/>
              <w:jc w:val="left"/>
              <w:rPr>
                <w:b/>
                <w:color w:val="000000"/>
                <w:sz w:val="24"/>
              </w:rPr>
            </w:pPr>
            <w:r>
              <w:rPr>
                <w:b/>
                <w:color w:val="000000"/>
                <w:sz w:val="24"/>
              </w:rPr>
              <w:t>数量</w:t>
            </w:r>
          </w:p>
        </w:tc>
        <w:tc>
          <w:tcPr>
            <w:tcW w:w="572" w:type="pct"/>
            <w:gridSpan w:val="2"/>
            <w:vAlign w:val="center"/>
          </w:tcPr>
          <w:p>
            <w:pPr>
              <w:adjustRightInd w:val="0"/>
              <w:snapToGrid w:val="0"/>
              <w:jc w:val="left"/>
              <w:rPr>
                <w:b/>
                <w:color w:val="000000"/>
                <w:sz w:val="24"/>
              </w:rPr>
            </w:pPr>
            <w:r>
              <w:rPr>
                <w:b/>
                <w:color w:val="000000"/>
                <w:sz w:val="24"/>
              </w:rPr>
              <w:t>合价（元）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jc w:val="center"/>
        </w:trPr>
        <w:tc>
          <w:tcPr>
            <w:tcW w:w="276" w:type="pct"/>
            <w:vAlign w:val="center"/>
          </w:tcPr>
          <w:p>
            <w:pPr>
              <w:adjustRightInd w:val="0"/>
              <w:snapToGrid w:val="0"/>
              <w:jc w:val="left"/>
              <w:rPr>
                <w:color w:val="000000"/>
                <w:sz w:val="24"/>
              </w:rPr>
            </w:pPr>
            <w:r>
              <w:rPr>
                <w:color w:val="000000"/>
                <w:sz w:val="24"/>
              </w:rPr>
              <w:t>1</w:t>
            </w:r>
          </w:p>
        </w:tc>
        <w:tc>
          <w:tcPr>
            <w:tcW w:w="1050" w:type="pct"/>
            <w:vAlign w:val="center"/>
          </w:tcPr>
          <w:p>
            <w:pPr>
              <w:adjustRightInd w:val="0"/>
              <w:snapToGrid w:val="0"/>
              <w:jc w:val="left"/>
              <w:rPr>
                <w:color w:val="000000"/>
                <w:sz w:val="24"/>
              </w:rPr>
            </w:pPr>
          </w:p>
        </w:tc>
        <w:tc>
          <w:tcPr>
            <w:tcW w:w="737" w:type="pct"/>
            <w:vAlign w:val="center"/>
          </w:tcPr>
          <w:p>
            <w:pPr>
              <w:adjustRightInd w:val="0"/>
              <w:snapToGrid w:val="0"/>
              <w:jc w:val="left"/>
              <w:rPr>
                <w:color w:val="000000"/>
                <w:sz w:val="24"/>
              </w:rPr>
            </w:pPr>
          </w:p>
        </w:tc>
        <w:tc>
          <w:tcPr>
            <w:tcW w:w="690" w:type="pct"/>
          </w:tcPr>
          <w:p>
            <w:pPr>
              <w:adjustRightInd w:val="0"/>
              <w:snapToGrid w:val="0"/>
              <w:jc w:val="left"/>
              <w:rPr>
                <w:color w:val="000000"/>
                <w:sz w:val="24"/>
              </w:rPr>
            </w:pPr>
          </w:p>
        </w:tc>
        <w:tc>
          <w:tcPr>
            <w:tcW w:w="820" w:type="pct"/>
            <w:vAlign w:val="center"/>
          </w:tcPr>
          <w:p>
            <w:pPr>
              <w:adjustRightInd w:val="0"/>
              <w:snapToGrid w:val="0"/>
              <w:jc w:val="left"/>
              <w:rPr>
                <w:color w:val="000000"/>
                <w:sz w:val="24"/>
              </w:rPr>
            </w:pPr>
          </w:p>
        </w:tc>
        <w:tc>
          <w:tcPr>
            <w:tcW w:w="570" w:type="pct"/>
            <w:vAlign w:val="center"/>
          </w:tcPr>
          <w:p>
            <w:pPr>
              <w:adjustRightInd w:val="0"/>
              <w:snapToGrid w:val="0"/>
              <w:jc w:val="left"/>
              <w:rPr>
                <w:color w:val="000000"/>
                <w:sz w:val="24"/>
              </w:rPr>
            </w:pPr>
          </w:p>
        </w:tc>
        <w:tc>
          <w:tcPr>
            <w:tcW w:w="280" w:type="pct"/>
            <w:vAlign w:val="center"/>
          </w:tcPr>
          <w:p>
            <w:pPr>
              <w:adjustRightInd w:val="0"/>
              <w:snapToGrid w:val="0"/>
              <w:jc w:val="left"/>
              <w:rPr>
                <w:color w:val="000000"/>
                <w:sz w:val="24"/>
              </w:rPr>
            </w:pPr>
          </w:p>
        </w:tc>
        <w:tc>
          <w:tcPr>
            <w:tcW w:w="572" w:type="pct"/>
            <w:gridSpan w:val="2"/>
            <w:vAlign w:val="center"/>
          </w:tcPr>
          <w:p>
            <w:pPr>
              <w:adjustRightInd w:val="0"/>
              <w:snapToGrid w:val="0"/>
              <w:jc w:val="left"/>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jc w:val="center"/>
        </w:trPr>
        <w:tc>
          <w:tcPr>
            <w:tcW w:w="276" w:type="pct"/>
            <w:vAlign w:val="center"/>
          </w:tcPr>
          <w:p>
            <w:pPr>
              <w:adjustRightInd w:val="0"/>
              <w:snapToGrid w:val="0"/>
              <w:jc w:val="left"/>
              <w:rPr>
                <w:color w:val="000000"/>
                <w:sz w:val="24"/>
              </w:rPr>
            </w:pPr>
            <w:r>
              <w:rPr>
                <w:color w:val="000000"/>
                <w:sz w:val="24"/>
              </w:rPr>
              <w:t>2</w:t>
            </w:r>
          </w:p>
        </w:tc>
        <w:tc>
          <w:tcPr>
            <w:tcW w:w="1050" w:type="pct"/>
            <w:vAlign w:val="center"/>
          </w:tcPr>
          <w:p>
            <w:pPr>
              <w:adjustRightInd w:val="0"/>
              <w:snapToGrid w:val="0"/>
              <w:jc w:val="left"/>
              <w:rPr>
                <w:color w:val="000000"/>
                <w:sz w:val="24"/>
              </w:rPr>
            </w:pPr>
          </w:p>
        </w:tc>
        <w:tc>
          <w:tcPr>
            <w:tcW w:w="737" w:type="pct"/>
            <w:vAlign w:val="center"/>
          </w:tcPr>
          <w:p>
            <w:pPr>
              <w:adjustRightInd w:val="0"/>
              <w:snapToGrid w:val="0"/>
              <w:jc w:val="left"/>
              <w:rPr>
                <w:color w:val="000000"/>
                <w:sz w:val="24"/>
              </w:rPr>
            </w:pPr>
          </w:p>
        </w:tc>
        <w:tc>
          <w:tcPr>
            <w:tcW w:w="690" w:type="pct"/>
          </w:tcPr>
          <w:p>
            <w:pPr>
              <w:adjustRightInd w:val="0"/>
              <w:snapToGrid w:val="0"/>
              <w:jc w:val="left"/>
              <w:rPr>
                <w:color w:val="000000"/>
                <w:sz w:val="24"/>
              </w:rPr>
            </w:pPr>
          </w:p>
        </w:tc>
        <w:tc>
          <w:tcPr>
            <w:tcW w:w="820" w:type="pct"/>
            <w:vAlign w:val="center"/>
          </w:tcPr>
          <w:p>
            <w:pPr>
              <w:adjustRightInd w:val="0"/>
              <w:snapToGrid w:val="0"/>
              <w:jc w:val="left"/>
              <w:rPr>
                <w:color w:val="000000"/>
                <w:sz w:val="24"/>
              </w:rPr>
            </w:pPr>
          </w:p>
        </w:tc>
        <w:tc>
          <w:tcPr>
            <w:tcW w:w="570" w:type="pct"/>
            <w:vAlign w:val="center"/>
          </w:tcPr>
          <w:p>
            <w:pPr>
              <w:adjustRightInd w:val="0"/>
              <w:snapToGrid w:val="0"/>
              <w:jc w:val="left"/>
              <w:rPr>
                <w:color w:val="000000"/>
                <w:sz w:val="24"/>
              </w:rPr>
            </w:pPr>
          </w:p>
        </w:tc>
        <w:tc>
          <w:tcPr>
            <w:tcW w:w="280" w:type="pct"/>
            <w:vAlign w:val="center"/>
          </w:tcPr>
          <w:p>
            <w:pPr>
              <w:adjustRightInd w:val="0"/>
              <w:snapToGrid w:val="0"/>
              <w:jc w:val="left"/>
              <w:rPr>
                <w:color w:val="000000"/>
                <w:sz w:val="24"/>
              </w:rPr>
            </w:pPr>
          </w:p>
        </w:tc>
        <w:tc>
          <w:tcPr>
            <w:tcW w:w="572" w:type="pct"/>
            <w:gridSpan w:val="2"/>
            <w:vAlign w:val="center"/>
          </w:tcPr>
          <w:p>
            <w:pPr>
              <w:adjustRightInd w:val="0"/>
              <w:snapToGrid w:val="0"/>
              <w:jc w:val="left"/>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jc w:val="center"/>
        </w:trPr>
        <w:tc>
          <w:tcPr>
            <w:tcW w:w="276" w:type="pct"/>
            <w:vAlign w:val="center"/>
          </w:tcPr>
          <w:p>
            <w:pPr>
              <w:adjustRightInd w:val="0"/>
              <w:snapToGrid w:val="0"/>
              <w:jc w:val="left"/>
              <w:rPr>
                <w:color w:val="000000"/>
                <w:sz w:val="24"/>
              </w:rPr>
            </w:pPr>
            <w:r>
              <w:rPr>
                <w:color w:val="000000"/>
                <w:sz w:val="24"/>
              </w:rPr>
              <w:t>3</w:t>
            </w:r>
          </w:p>
        </w:tc>
        <w:tc>
          <w:tcPr>
            <w:tcW w:w="1050" w:type="pct"/>
            <w:vAlign w:val="center"/>
          </w:tcPr>
          <w:p>
            <w:pPr>
              <w:adjustRightInd w:val="0"/>
              <w:snapToGrid w:val="0"/>
              <w:jc w:val="left"/>
              <w:rPr>
                <w:color w:val="000000"/>
                <w:sz w:val="24"/>
              </w:rPr>
            </w:pPr>
          </w:p>
        </w:tc>
        <w:tc>
          <w:tcPr>
            <w:tcW w:w="737" w:type="pct"/>
            <w:vAlign w:val="center"/>
          </w:tcPr>
          <w:p>
            <w:pPr>
              <w:adjustRightInd w:val="0"/>
              <w:snapToGrid w:val="0"/>
              <w:jc w:val="left"/>
              <w:rPr>
                <w:color w:val="000000"/>
                <w:sz w:val="24"/>
              </w:rPr>
            </w:pPr>
          </w:p>
        </w:tc>
        <w:tc>
          <w:tcPr>
            <w:tcW w:w="690" w:type="pct"/>
          </w:tcPr>
          <w:p>
            <w:pPr>
              <w:adjustRightInd w:val="0"/>
              <w:snapToGrid w:val="0"/>
              <w:jc w:val="left"/>
              <w:rPr>
                <w:color w:val="000000"/>
                <w:sz w:val="24"/>
              </w:rPr>
            </w:pPr>
          </w:p>
        </w:tc>
        <w:tc>
          <w:tcPr>
            <w:tcW w:w="820" w:type="pct"/>
            <w:vAlign w:val="center"/>
          </w:tcPr>
          <w:p>
            <w:pPr>
              <w:adjustRightInd w:val="0"/>
              <w:snapToGrid w:val="0"/>
              <w:jc w:val="left"/>
              <w:rPr>
                <w:color w:val="000000"/>
                <w:sz w:val="24"/>
              </w:rPr>
            </w:pPr>
          </w:p>
        </w:tc>
        <w:tc>
          <w:tcPr>
            <w:tcW w:w="570" w:type="pct"/>
            <w:vAlign w:val="center"/>
          </w:tcPr>
          <w:p>
            <w:pPr>
              <w:adjustRightInd w:val="0"/>
              <w:snapToGrid w:val="0"/>
              <w:jc w:val="left"/>
              <w:rPr>
                <w:color w:val="000000"/>
                <w:sz w:val="24"/>
              </w:rPr>
            </w:pPr>
          </w:p>
        </w:tc>
        <w:tc>
          <w:tcPr>
            <w:tcW w:w="280" w:type="pct"/>
            <w:vAlign w:val="center"/>
          </w:tcPr>
          <w:p>
            <w:pPr>
              <w:adjustRightInd w:val="0"/>
              <w:snapToGrid w:val="0"/>
              <w:jc w:val="left"/>
              <w:rPr>
                <w:color w:val="000000"/>
                <w:sz w:val="24"/>
              </w:rPr>
            </w:pPr>
          </w:p>
        </w:tc>
        <w:tc>
          <w:tcPr>
            <w:tcW w:w="572" w:type="pct"/>
            <w:gridSpan w:val="2"/>
            <w:vAlign w:val="center"/>
          </w:tcPr>
          <w:p>
            <w:pPr>
              <w:adjustRightInd w:val="0"/>
              <w:snapToGrid w:val="0"/>
              <w:jc w:val="left"/>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jc w:val="center"/>
        </w:trPr>
        <w:tc>
          <w:tcPr>
            <w:tcW w:w="276" w:type="pct"/>
            <w:vAlign w:val="center"/>
          </w:tcPr>
          <w:p>
            <w:pPr>
              <w:adjustRightInd w:val="0"/>
              <w:snapToGrid w:val="0"/>
              <w:jc w:val="left"/>
              <w:rPr>
                <w:color w:val="000000"/>
                <w:sz w:val="24"/>
              </w:rPr>
            </w:pPr>
            <w:r>
              <w:rPr>
                <w:color w:val="000000"/>
                <w:sz w:val="24"/>
              </w:rPr>
              <w:t>4</w:t>
            </w:r>
          </w:p>
        </w:tc>
        <w:tc>
          <w:tcPr>
            <w:tcW w:w="1050" w:type="pct"/>
            <w:vAlign w:val="center"/>
          </w:tcPr>
          <w:p>
            <w:pPr>
              <w:adjustRightInd w:val="0"/>
              <w:snapToGrid w:val="0"/>
              <w:jc w:val="left"/>
              <w:rPr>
                <w:color w:val="000000"/>
                <w:sz w:val="24"/>
              </w:rPr>
            </w:pPr>
          </w:p>
        </w:tc>
        <w:tc>
          <w:tcPr>
            <w:tcW w:w="737" w:type="pct"/>
            <w:vAlign w:val="center"/>
          </w:tcPr>
          <w:p>
            <w:pPr>
              <w:adjustRightInd w:val="0"/>
              <w:snapToGrid w:val="0"/>
              <w:jc w:val="left"/>
              <w:rPr>
                <w:color w:val="000000"/>
                <w:sz w:val="24"/>
              </w:rPr>
            </w:pPr>
          </w:p>
        </w:tc>
        <w:tc>
          <w:tcPr>
            <w:tcW w:w="690" w:type="pct"/>
          </w:tcPr>
          <w:p>
            <w:pPr>
              <w:adjustRightInd w:val="0"/>
              <w:snapToGrid w:val="0"/>
              <w:jc w:val="left"/>
              <w:rPr>
                <w:color w:val="000000"/>
                <w:sz w:val="24"/>
              </w:rPr>
            </w:pPr>
          </w:p>
        </w:tc>
        <w:tc>
          <w:tcPr>
            <w:tcW w:w="820" w:type="pct"/>
            <w:vAlign w:val="center"/>
          </w:tcPr>
          <w:p>
            <w:pPr>
              <w:adjustRightInd w:val="0"/>
              <w:snapToGrid w:val="0"/>
              <w:jc w:val="left"/>
              <w:rPr>
                <w:color w:val="000000"/>
                <w:sz w:val="24"/>
              </w:rPr>
            </w:pPr>
          </w:p>
        </w:tc>
        <w:tc>
          <w:tcPr>
            <w:tcW w:w="570" w:type="pct"/>
            <w:vAlign w:val="center"/>
          </w:tcPr>
          <w:p>
            <w:pPr>
              <w:adjustRightInd w:val="0"/>
              <w:snapToGrid w:val="0"/>
              <w:jc w:val="left"/>
              <w:rPr>
                <w:color w:val="000000"/>
                <w:sz w:val="24"/>
              </w:rPr>
            </w:pPr>
          </w:p>
        </w:tc>
        <w:tc>
          <w:tcPr>
            <w:tcW w:w="280" w:type="pct"/>
            <w:vAlign w:val="center"/>
          </w:tcPr>
          <w:p>
            <w:pPr>
              <w:adjustRightInd w:val="0"/>
              <w:snapToGrid w:val="0"/>
              <w:jc w:val="left"/>
              <w:rPr>
                <w:color w:val="000000"/>
                <w:sz w:val="24"/>
              </w:rPr>
            </w:pPr>
          </w:p>
        </w:tc>
        <w:tc>
          <w:tcPr>
            <w:tcW w:w="572" w:type="pct"/>
            <w:gridSpan w:val="2"/>
            <w:vAlign w:val="center"/>
          </w:tcPr>
          <w:p>
            <w:pPr>
              <w:adjustRightInd w:val="0"/>
              <w:snapToGrid w:val="0"/>
              <w:jc w:val="left"/>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5" w:type="pct"/>
          <w:jc w:val="center"/>
        </w:trPr>
        <w:tc>
          <w:tcPr>
            <w:tcW w:w="276" w:type="pct"/>
            <w:vAlign w:val="center"/>
          </w:tcPr>
          <w:p>
            <w:pPr>
              <w:adjustRightInd w:val="0"/>
              <w:snapToGrid w:val="0"/>
              <w:jc w:val="left"/>
              <w:rPr>
                <w:color w:val="000000"/>
                <w:sz w:val="24"/>
              </w:rPr>
            </w:pPr>
            <w:r>
              <w:rPr>
                <w:color w:val="000000"/>
                <w:sz w:val="24"/>
              </w:rPr>
              <w:t>…</w:t>
            </w:r>
          </w:p>
        </w:tc>
        <w:tc>
          <w:tcPr>
            <w:tcW w:w="1050" w:type="pct"/>
            <w:vAlign w:val="center"/>
          </w:tcPr>
          <w:p>
            <w:pPr>
              <w:adjustRightInd w:val="0"/>
              <w:snapToGrid w:val="0"/>
              <w:jc w:val="left"/>
              <w:rPr>
                <w:color w:val="000000"/>
                <w:sz w:val="24"/>
              </w:rPr>
            </w:pPr>
          </w:p>
        </w:tc>
        <w:tc>
          <w:tcPr>
            <w:tcW w:w="737" w:type="pct"/>
            <w:vAlign w:val="center"/>
          </w:tcPr>
          <w:p>
            <w:pPr>
              <w:adjustRightInd w:val="0"/>
              <w:snapToGrid w:val="0"/>
              <w:jc w:val="left"/>
              <w:rPr>
                <w:color w:val="000000"/>
                <w:sz w:val="24"/>
              </w:rPr>
            </w:pPr>
          </w:p>
        </w:tc>
        <w:tc>
          <w:tcPr>
            <w:tcW w:w="690" w:type="pct"/>
          </w:tcPr>
          <w:p>
            <w:pPr>
              <w:adjustRightInd w:val="0"/>
              <w:snapToGrid w:val="0"/>
              <w:jc w:val="left"/>
              <w:rPr>
                <w:color w:val="000000"/>
                <w:sz w:val="24"/>
              </w:rPr>
            </w:pPr>
          </w:p>
        </w:tc>
        <w:tc>
          <w:tcPr>
            <w:tcW w:w="820" w:type="pct"/>
            <w:vAlign w:val="center"/>
          </w:tcPr>
          <w:p>
            <w:pPr>
              <w:adjustRightInd w:val="0"/>
              <w:snapToGrid w:val="0"/>
              <w:jc w:val="left"/>
              <w:rPr>
                <w:color w:val="000000"/>
                <w:sz w:val="24"/>
              </w:rPr>
            </w:pPr>
          </w:p>
        </w:tc>
        <w:tc>
          <w:tcPr>
            <w:tcW w:w="570" w:type="pct"/>
            <w:vAlign w:val="center"/>
          </w:tcPr>
          <w:p>
            <w:pPr>
              <w:adjustRightInd w:val="0"/>
              <w:snapToGrid w:val="0"/>
              <w:jc w:val="left"/>
              <w:rPr>
                <w:color w:val="000000"/>
                <w:sz w:val="24"/>
              </w:rPr>
            </w:pPr>
          </w:p>
        </w:tc>
        <w:tc>
          <w:tcPr>
            <w:tcW w:w="280" w:type="pct"/>
            <w:vAlign w:val="center"/>
          </w:tcPr>
          <w:p>
            <w:pPr>
              <w:adjustRightInd w:val="0"/>
              <w:snapToGrid w:val="0"/>
              <w:jc w:val="left"/>
              <w:rPr>
                <w:color w:val="000000"/>
                <w:sz w:val="24"/>
              </w:rPr>
            </w:pPr>
          </w:p>
        </w:tc>
        <w:tc>
          <w:tcPr>
            <w:tcW w:w="572" w:type="pct"/>
            <w:gridSpan w:val="2"/>
            <w:vAlign w:val="center"/>
          </w:tcPr>
          <w:p>
            <w:pPr>
              <w:adjustRightInd w:val="0"/>
              <w:snapToGrid w:val="0"/>
              <w:jc w:val="left"/>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31" w:type="pct"/>
            <w:gridSpan w:val="8"/>
          </w:tcPr>
          <w:p>
            <w:pPr>
              <w:jc w:val="right"/>
              <w:rPr>
                <w:b/>
                <w:sz w:val="24"/>
              </w:rPr>
            </w:pPr>
            <w:r>
              <w:rPr>
                <w:b/>
                <w:sz w:val="24"/>
              </w:rPr>
              <w:t>总价（元）</w:t>
            </w:r>
          </w:p>
        </w:tc>
        <w:tc>
          <w:tcPr>
            <w:tcW w:w="569" w:type="pct"/>
            <w:gridSpan w:val="2"/>
            <w:vAlign w:val="center"/>
          </w:tcPr>
          <w:p>
            <w:pPr>
              <w:adjustRightInd w:val="0"/>
              <w:snapToGrid w:val="0"/>
              <w:jc w:val="left"/>
              <w:rPr>
                <w:color w:val="000000"/>
                <w:sz w:val="24"/>
              </w:rPr>
            </w:pPr>
          </w:p>
        </w:tc>
      </w:tr>
    </w:tbl>
    <w:p>
      <w:pPr>
        <w:tabs>
          <w:tab w:val="left" w:pos="1800"/>
          <w:tab w:val="left" w:pos="5580"/>
        </w:tabs>
        <w:jc w:val="left"/>
        <w:rPr>
          <w:color w:val="000000"/>
          <w:sz w:val="24"/>
        </w:rPr>
      </w:pPr>
    </w:p>
    <w:p>
      <w:pPr>
        <w:tabs>
          <w:tab w:val="left" w:pos="1800"/>
          <w:tab w:val="left" w:pos="5580"/>
        </w:tabs>
        <w:jc w:val="left"/>
        <w:rPr>
          <w:color w:val="000000"/>
          <w:sz w:val="24"/>
        </w:rPr>
      </w:pPr>
      <w:r>
        <w:rPr>
          <w:color w:val="000000"/>
          <w:sz w:val="24"/>
        </w:rPr>
        <w:t>注：1.本表应按包分别填写。</w:t>
      </w:r>
    </w:p>
    <w:p>
      <w:pPr>
        <w:tabs>
          <w:tab w:val="left" w:pos="1800"/>
          <w:tab w:val="left" w:pos="5580"/>
        </w:tabs>
        <w:ind w:firstLine="480" w:firstLineChars="200"/>
        <w:jc w:val="left"/>
        <w:rPr>
          <w:color w:val="000000"/>
          <w:sz w:val="24"/>
        </w:rPr>
      </w:pPr>
      <w:r>
        <w:rPr>
          <w:color w:val="000000"/>
          <w:sz w:val="24"/>
        </w:rPr>
        <w:t>2.如果不提供分项报价将视为没有实质性响应招标文件。</w:t>
      </w:r>
    </w:p>
    <w:p>
      <w:pPr>
        <w:tabs>
          <w:tab w:val="left" w:pos="1800"/>
          <w:tab w:val="left" w:pos="5580"/>
        </w:tabs>
        <w:ind w:firstLine="480" w:firstLineChars="200"/>
        <w:jc w:val="left"/>
        <w:rPr>
          <w:color w:val="000000"/>
          <w:sz w:val="24"/>
        </w:rPr>
      </w:pPr>
      <w:r>
        <w:rPr>
          <w:color w:val="000000"/>
          <w:sz w:val="24"/>
        </w:rPr>
        <w:t>3.上述各项的详细规格（如有），可另页描述。</w:t>
      </w: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spacing w:line="360" w:lineRule="auto"/>
        <w:outlineLvl w:val="2"/>
        <w:rPr>
          <w:color w:val="000000"/>
          <w:sz w:val="24"/>
          <w:szCs w:val="20"/>
        </w:rPr>
      </w:pPr>
      <w:bookmarkStart w:id="465" w:name="_Toc127151562"/>
      <w:bookmarkStart w:id="466" w:name="_Toc226309806"/>
      <w:bookmarkStart w:id="467" w:name="_Toc195842927"/>
      <w:bookmarkStart w:id="468" w:name="_Toc150480798"/>
      <w:bookmarkStart w:id="469" w:name="_Toc226965835"/>
      <w:bookmarkStart w:id="470" w:name="_Toc305158830"/>
      <w:bookmarkStart w:id="471" w:name="_Toc226965752"/>
      <w:bookmarkStart w:id="472" w:name="_Toc142311062"/>
      <w:bookmarkStart w:id="473" w:name="_Toc264969252"/>
      <w:bookmarkStart w:id="474" w:name="_Toc226337258"/>
      <w:bookmarkStart w:id="475" w:name="_Toc305158904"/>
      <w:bookmarkStart w:id="476" w:name="_Toc150774765"/>
      <w:bookmarkStart w:id="477" w:name="_Toc265228400"/>
      <w:bookmarkStart w:id="478" w:name="_Toc226337257"/>
      <w:bookmarkStart w:id="479" w:name="_Toc226965751"/>
      <w:bookmarkStart w:id="480" w:name="_Toc150774764"/>
      <w:bookmarkStart w:id="481" w:name="_Toc264969251"/>
      <w:bookmarkStart w:id="482" w:name="_Toc226309805"/>
      <w:bookmarkStart w:id="483" w:name="_Toc142311061"/>
      <w:bookmarkStart w:id="484" w:name="_Toc127151561"/>
      <w:bookmarkStart w:id="485" w:name="_Toc305158903"/>
      <w:bookmarkStart w:id="486" w:name="_Toc265228399"/>
      <w:bookmarkStart w:id="487" w:name="_Toc150480797"/>
      <w:bookmarkStart w:id="488" w:name="_Toc195842926"/>
      <w:bookmarkStart w:id="489" w:name="_Toc305158829"/>
      <w:bookmarkStart w:id="490" w:name="_Toc226965834"/>
      <w:r>
        <w:rPr>
          <w:color w:val="000000"/>
          <w:sz w:val="24"/>
          <w:szCs w:val="20"/>
        </w:rPr>
        <w:br w:type="page"/>
      </w:r>
      <w:r>
        <w:rPr>
          <w:rFonts w:hint="eastAsia"/>
          <w:color w:val="000000"/>
          <w:sz w:val="24"/>
          <w:szCs w:val="20"/>
          <w:lang w:val="en-US" w:eastAsia="zh-CN"/>
        </w:rPr>
        <w:t>五、</w:t>
      </w:r>
      <w:r>
        <w:rPr>
          <w:color w:val="000000"/>
          <w:sz w:val="24"/>
          <w:szCs w:val="20"/>
        </w:rPr>
        <w:t xml:space="preserve">  </w:t>
      </w:r>
      <w:r>
        <w:rPr>
          <w:rFonts w:hint="eastAsia"/>
          <w:color w:val="000000"/>
          <w:sz w:val="24"/>
          <w:szCs w:val="20"/>
          <w:lang w:val="en-US" w:eastAsia="zh-CN"/>
        </w:rPr>
        <w:t>商务</w:t>
      </w:r>
      <w:r>
        <w:rPr>
          <w:color w:val="000000"/>
          <w:sz w:val="24"/>
          <w:szCs w:val="20"/>
        </w:rPr>
        <w:t>条款偏离表</w:t>
      </w:r>
      <w:bookmarkEnd w:id="465"/>
      <w:bookmarkEnd w:id="466"/>
      <w:bookmarkEnd w:id="467"/>
      <w:bookmarkEnd w:id="468"/>
      <w:bookmarkEnd w:id="469"/>
      <w:bookmarkEnd w:id="470"/>
      <w:bookmarkEnd w:id="471"/>
      <w:bookmarkEnd w:id="472"/>
      <w:bookmarkEnd w:id="473"/>
      <w:bookmarkEnd w:id="474"/>
      <w:bookmarkEnd w:id="475"/>
      <w:bookmarkEnd w:id="476"/>
      <w:bookmarkEnd w:id="477"/>
      <w:r>
        <w:rPr>
          <w:color w:val="000000"/>
          <w:sz w:val="24"/>
          <w:szCs w:val="20"/>
        </w:rPr>
        <w:t>（实质性格式）</w:t>
      </w:r>
    </w:p>
    <w:p>
      <w:pPr>
        <w:spacing w:line="360" w:lineRule="auto"/>
        <w:rPr>
          <w:color w:val="000000"/>
          <w:sz w:val="24"/>
          <w:szCs w:val="20"/>
        </w:rPr>
      </w:pPr>
    </w:p>
    <w:p>
      <w:pPr>
        <w:tabs>
          <w:tab w:val="left" w:pos="2775"/>
          <w:tab w:val="center" w:pos="4153"/>
        </w:tabs>
        <w:autoSpaceDE w:val="0"/>
        <w:autoSpaceDN w:val="0"/>
        <w:adjustRightInd w:val="0"/>
        <w:spacing w:line="360" w:lineRule="auto"/>
        <w:jc w:val="center"/>
        <w:rPr>
          <w:b/>
          <w:color w:val="000000"/>
          <w:sz w:val="36"/>
          <w:szCs w:val="36"/>
        </w:rPr>
      </w:pPr>
      <w:r>
        <w:rPr>
          <w:rFonts w:hint="eastAsia"/>
          <w:b/>
          <w:color w:val="000000"/>
          <w:sz w:val="36"/>
          <w:szCs w:val="36"/>
          <w:lang w:val="en-US" w:eastAsia="zh-CN"/>
        </w:rPr>
        <w:t>商务</w:t>
      </w:r>
      <w:r>
        <w:rPr>
          <w:rFonts w:hint="eastAsia"/>
          <w:b/>
          <w:color w:val="000000"/>
          <w:sz w:val="36"/>
          <w:szCs w:val="36"/>
        </w:rPr>
        <w:t>条款偏离表</w:t>
      </w:r>
    </w:p>
    <w:p>
      <w:pPr>
        <w:spacing w:line="360" w:lineRule="auto"/>
        <w:rPr>
          <w:color w:val="000000"/>
          <w:sz w:val="24"/>
          <w:szCs w:val="20"/>
        </w:rPr>
      </w:pPr>
    </w:p>
    <w:p>
      <w:pPr>
        <w:tabs>
          <w:tab w:val="left" w:pos="1800"/>
          <w:tab w:val="left" w:pos="5580"/>
        </w:tabs>
        <w:spacing w:line="360" w:lineRule="auto"/>
        <w:ind w:firstLine="360" w:firstLineChars="150"/>
        <w:jc w:val="left"/>
        <w:rPr>
          <w:color w:val="000000"/>
          <w:sz w:val="24"/>
        </w:rPr>
      </w:pPr>
      <w:r>
        <w:rPr>
          <w:color w:val="000000"/>
          <w:sz w:val="24"/>
        </w:rPr>
        <w:t>项目编号/包号：_____________________     项目名称：_____________</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34"/>
        <w:gridCol w:w="1301"/>
        <w:gridCol w:w="2007"/>
        <w:gridCol w:w="2008"/>
        <w:gridCol w:w="2458"/>
        <w:gridCol w:w="7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0" w:type="auto"/>
            <w:gridSpan w:val="6"/>
            <w:vAlign w:val="center"/>
          </w:tcPr>
          <w:p>
            <w:pPr>
              <w:adjustRightInd w:val="0"/>
              <w:snapToGrid w:val="0"/>
              <w:jc w:val="left"/>
              <w:rPr>
                <w:b/>
                <w:color w:val="000000"/>
                <w:sz w:val="24"/>
              </w:rPr>
            </w:pPr>
            <w:r>
              <w:rPr>
                <w:b/>
                <w:color w:val="000000"/>
                <w:sz w:val="24"/>
              </w:rPr>
              <w:t>对本</w:t>
            </w:r>
            <w:r>
              <w:rPr>
                <w:rFonts w:hint="eastAsia"/>
                <w:b/>
                <w:color w:val="000000"/>
                <w:sz w:val="24"/>
              </w:rPr>
              <w:t>项目</w:t>
            </w:r>
            <w:r>
              <w:rPr>
                <w:b/>
                <w:color w:val="000000"/>
                <w:sz w:val="24"/>
              </w:rPr>
              <w:t>合同条款的偏离情况（请进行勾选）：</w:t>
            </w:r>
          </w:p>
          <w:p>
            <w:pPr>
              <w:adjustRightInd w:val="0"/>
              <w:snapToGrid w:val="0"/>
              <w:jc w:val="left"/>
              <w:rPr>
                <w:b/>
                <w:color w:val="000000"/>
                <w:sz w:val="24"/>
              </w:rPr>
            </w:pPr>
            <w:r>
              <w:rPr>
                <w:b/>
                <w:color w:val="000000"/>
                <w:sz w:val="24"/>
              </w:rPr>
              <w:t>□无偏离</w:t>
            </w:r>
            <w:r>
              <w:rPr>
                <w:color w:val="000000"/>
                <w:sz w:val="24"/>
              </w:rPr>
              <w:t>（</w:t>
            </w:r>
            <w:r>
              <w:rPr>
                <w:color w:val="000000"/>
                <w:sz w:val="24"/>
                <w:szCs w:val="21"/>
              </w:rPr>
              <w:t>如无偏离，仅勾选无偏离即可</w:t>
            </w:r>
            <w:r>
              <w:rPr>
                <w:color w:val="000000"/>
                <w:sz w:val="24"/>
              </w:rPr>
              <w:t>）</w:t>
            </w:r>
          </w:p>
          <w:p>
            <w:pPr>
              <w:adjustRightInd w:val="0"/>
              <w:snapToGrid w:val="0"/>
              <w:jc w:val="left"/>
              <w:rPr>
                <w:color w:val="000000"/>
                <w:sz w:val="24"/>
              </w:rPr>
            </w:pPr>
            <w:r>
              <w:rPr>
                <w:b/>
                <w:color w:val="000000"/>
                <w:sz w:val="24"/>
              </w:rPr>
              <w:t>□有偏离</w:t>
            </w:r>
            <w:r>
              <w:rPr>
                <w:color w:val="000000"/>
                <w:sz w:val="24"/>
              </w:rPr>
              <w:t>（</w:t>
            </w:r>
            <w:r>
              <w:rPr>
                <w:color w:val="000000"/>
                <w:sz w:val="24"/>
                <w:szCs w:val="21"/>
              </w:rPr>
              <w:t>如有偏离，</w:t>
            </w:r>
            <w:r>
              <w:rPr>
                <w:color w:val="000000"/>
                <w:sz w:val="24"/>
              </w:rPr>
              <w:t>则</w:t>
            </w:r>
            <w:r>
              <w:rPr>
                <w:rFonts w:hint="eastAsia"/>
                <w:color w:val="000000"/>
                <w:sz w:val="24"/>
              </w:rPr>
              <w:t>应</w:t>
            </w:r>
            <w:r>
              <w:rPr>
                <w:color w:val="000000"/>
                <w:sz w:val="24"/>
              </w:rPr>
              <w:t>在本表中对偏离项逐一列明）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color w:val="000000"/>
                <w:sz w:val="24"/>
              </w:rPr>
            </w:pPr>
            <w:r>
              <w:rPr>
                <w:color w:val="000000"/>
                <w:sz w:val="24"/>
              </w:rPr>
              <w:t>序号</w:t>
            </w:r>
          </w:p>
        </w:tc>
        <w:tc>
          <w:tcPr>
            <w:tcW w:w="1301" w:type="dxa"/>
            <w:vAlign w:val="center"/>
          </w:tcPr>
          <w:p>
            <w:pPr>
              <w:adjustRightInd w:val="0"/>
              <w:snapToGrid w:val="0"/>
              <w:jc w:val="center"/>
              <w:rPr>
                <w:color w:val="000000"/>
                <w:sz w:val="24"/>
              </w:rPr>
            </w:pPr>
            <w:r>
              <w:rPr>
                <w:color w:val="000000"/>
                <w:sz w:val="24"/>
                <w:szCs w:val="21"/>
              </w:rPr>
              <w:t>招标文件</w:t>
            </w:r>
            <w:r>
              <w:rPr>
                <w:color w:val="000000"/>
                <w:sz w:val="24"/>
              </w:rPr>
              <w:t>条目号（页码）</w:t>
            </w:r>
          </w:p>
        </w:tc>
        <w:tc>
          <w:tcPr>
            <w:tcW w:w="2007" w:type="dxa"/>
            <w:vAlign w:val="center"/>
          </w:tcPr>
          <w:p>
            <w:pPr>
              <w:adjustRightInd w:val="0"/>
              <w:snapToGrid w:val="0"/>
              <w:jc w:val="center"/>
              <w:rPr>
                <w:color w:val="000000"/>
                <w:sz w:val="24"/>
              </w:rPr>
            </w:pPr>
            <w:r>
              <w:rPr>
                <w:color w:val="000000"/>
                <w:sz w:val="24"/>
                <w:szCs w:val="21"/>
              </w:rPr>
              <w:t>招标文件</w:t>
            </w:r>
            <w:r>
              <w:rPr>
                <w:color w:val="000000"/>
                <w:sz w:val="24"/>
              </w:rPr>
              <w:t>要求</w:t>
            </w:r>
          </w:p>
        </w:tc>
        <w:tc>
          <w:tcPr>
            <w:tcW w:w="2008" w:type="dxa"/>
            <w:vAlign w:val="center"/>
          </w:tcPr>
          <w:p>
            <w:pPr>
              <w:adjustRightInd w:val="0"/>
              <w:snapToGrid w:val="0"/>
              <w:jc w:val="center"/>
              <w:rPr>
                <w:color w:val="000000"/>
                <w:sz w:val="24"/>
              </w:rPr>
            </w:pPr>
            <w:r>
              <w:rPr>
                <w:color w:val="000000"/>
                <w:sz w:val="24"/>
              </w:rPr>
              <w:t>投标文件内容</w:t>
            </w:r>
          </w:p>
        </w:tc>
        <w:tc>
          <w:tcPr>
            <w:tcW w:w="2458" w:type="dxa"/>
            <w:vAlign w:val="center"/>
          </w:tcPr>
          <w:p>
            <w:pPr>
              <w:adjustRightInd w:val="0"/>
              <w:snapToGrid w:val="0"/>
              <w:jc w:val="center"/>
              <w:rPr>
                <w:color w:val="000000"/>
                <w:sz w:val="24"/>
              </w:rPr>
            </w:pPr>
            <w:r>
              <w:rPr>
                <w:color w:val="000000"/>
                <w:sz w:val="24"/>
              </w:rPr>
              <w:t>偏离情况</w:t>
            </w:r>
          </w:p>
        </w:tc>
        <w:tc>
          <w:tcPr>
            <w:tcW w:w="788" w:type="dxa"/>
            <w:vAlign w:val="center"/>
          </w:tcPr>
          <w:p>
            <w:pPr>
              <w:adjustRightInd w:val="0"/>
              <w:snapToGrid w:val="0"/>
              <w:jc w:val="center"/>
              <w:rPr>
                <w:color w:val="000000"/>
                <w:sz w:val="24"/>
              </w:rPr>
            </w:pPr>
            <w:r>
              <w:rPr>
                <w:color w:val="000000"/>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color w:val="000000"/>
                <w:sz w:val="24"/>
              </w:rPr>
            </w:pPr>
          </w:p>
        </w:tc>
        <w:tc>
          <w:tcPr>
            <w:tcW w:w="1301" w:type="dxa"/>
            <w:vAlign w:val="center"/>
          </w:tcPr>
          <w:p>
            <w:pPr>
              <w:adjustRightInd w:val="0"/>
              <w:snapToGrid w:val="0"/>
              <w:jc w:val="center"/>
              <w:rPr>
                <w:color w:val="000000"/>
                <w:sz w:val="24"/>
              </w:rPr>
            </w:pPr>
          </w:p>
        </w:tc>
        <w:tc>
          <w:tcPr>
            <w:tcW w:w="2007" w:type="dxa"/>
            <w:vAlign w:val="center"/>
          </w:tcPr>
          <w:p>
            <w:pPr>
              <w:adjustRightInd w:val="0"/>
              <w:snapToGrid w:val="0"/>
              <w:jc w:val="center"/>
              <w:rPr>
                <w:color w:val="000000"/>
                <w:sz w:val="24"/>
              </w:rPr>
            </w:pPr>
          </w:p>
        </w:tc>
        <w:tc>
          <w:tcPr>
            <w:tcW w:w="2008" w:type="dxa"/>
            <w:vAlign w:val="center"/>
          </w:tcPr>
          <w:p>
            <w:pPr>
              <w:adjustRightInd w:val="0"/>
              <w:snapToGrid w:val="0"/>
              <w:jc w:val="center"/>
              <w:rPr>
                <w:color w:val="000000"/>
                <w:sz w:val="24"/>
              </w:rPr>
            </w:pPr>
          </w:p>
        </w:tc>
        <w:tc>
          <w:tcPr>
            <w:tcW w:w="2458" w:type="dxa"/>
            <w:vAlign w:val="center"/>
          </w:tcPr>
          <w:p>
            <w:pPr>
              <w:adjustRightInd w:val="0"/>
              <w:snapToGrid w:val="0"/>
              <w:jc w:val="center"/>
              <w:rPr>
                <w:color w:val="000000"/>
                <w:sz w:val="24"/>
              </w:rPr>
            </w:pPr>
          </w:p>
        </w:tc>
        <w:tc>
          <w:tcPr>
            <w:tcW w:w="788"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color w:val="000000"/>
                <w:sz w:val="24"/>
              </w:rPr>
            </w:pPr>
          </w:p>
        </w:tc>
        <w:tc>
          <w:tcPr>
            <w:tcW w:w="1301" w:type="dxa"/>
            <w:vAlign w:val="center"/>
          </w:tcPr>
          <w:p>
            <w:pPr>
              <w:adjustRightInd w:val="0"/>
              <w:snapToGrid w:val="0"/>
              <w:jc w:val="center"/>
              <w:rPr>
                <w:color w:val="000000"/>
                <w:sz w:val="24"/>
              </w:rPr>
            </w:pPr>
          </w:p>
        </w:tc>
        <w:tc>
          <w:tcPr>
            <w:tcW w:w="2007" w:type="dxa"/>
            <w:vAlign w:val="center"/>
          </w:tcPr>
          <w:p>
            <w:pPr>
              <w:adjustRightInd w:val="0"/>
              <w:snapToGrid w:val="0"/>
              <w:jc w:val="center"/>
              <w:rPr>
                <w:color w:val="000000"/>
                <w:sz w:val="24"/>
              </w:rPr>
            </w:pPr>
          </w:p>
        </w:tc>
        <w:tc>
          <w:tcPr>
            <w:tcW w:w="2008" w:type="dxa"/>
            <w:vAlign w:val="center"/>
          </w:tcPr>
          <w:p>
            <w:pPr>
              <w:adjustRightInd w:val="0"/>
              <w:snapToGrid w:val="0"/>
              <w:jc w:val="center"/>
              <w:rPr>
                <w:color w:val="000000"/>
                <w:sz w:val="24"/>
              </w:rPr>
            </w:pPr>
          </w:p>
        </w:tc>
        <w:tc>
          <w:tcPr>
            <w:tcW w:w="2458" w:type="dxa"/>
            <w:vAlign w:val="center"/>
          </w:tcPr>
          <w:p>
            <w:pPr>
              <w:adjustRightInd w:val="0"/>
              <w:snapToGrid w:val="0"/>
              <w:jc w:val="center"/>
              <w:rPr>
                <w:color w:val="000000"/>
                <w:sz w:val="24"/>
              </w:rPr>
            </w:pPr>
          </w:p>
        </w:tc>
        <w:tc>
          <w:tcPr>
            <w:tcW w:w="788"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color w:val="000000"/>
                <w:sz w:val="24"/>
              </w:rPr>
            </w:pPr>
          </w:p>
        </w:tc>
        <w:tc>
          <w:tcPr>
            <w:tcW w:w="1301" w:type="dxa"/>
            <w:vAlign w:val="center"/>
          </w:tcPr>
          <w:p>
            <w:pPr>
              <w:adjustRightInd w:val="0"/>
              <w:snapToGrid w:val="0"/>
              <w:jc w:val="center"/>
              <w:rPr>
                <w:color w:val="000000"/>
                <w:sz w:val="24"/>
              </w:rPr>
            </w:pPr>
          </w:p>
        </w:tc>
        <w:tc>
          <w:tcPr>
            <w:tcW w:w="2007" w:type="dxa"/>
            <w:vAlign w:val="center"/>
          </w:tcPr>
          <w:p>
            <w:pPr>
              <w:adjustRightInd w:val="0"/>
              <w:snapToGrid w:val="0"/>
              <w:jc w:val="center"/>
              <w:rPr>
                <w:color w:val="000000"/>
                <w:sz w:val="24"/>
              </w:rPr>
            </w:pPr>
          </w:p>
        </w:tc>
        <w:tc>
          <w:tcPr>
            <w:tcW w:w="2008" w:type="dxa"/>
            <w:vAlign w:val="center"/>
          </w:tcPr>
          <w:p>
            <w:pPr>
              <w:adjustRightInd w:val="0"/>
              <w:snapToGrid w:val="0"/>
              <w:jc w:val="center"/>
              <w:rPr>
                <w:color w:val="000000"/>
                <w:sz w:val="24"/>
              </w:rPr>
            </w:pPr>
          </w:p>
        </w:tc>
        <w:tc>
          <w:tcPr>
            <w:tcW w:w="2458" w:type="dxa"/>
            <w:vAlign w:val="center"/>
          </w:tcPr>
          <w:p>
            <w:pPr>
              <w:adjustRightInd w:val="0"/>
              <w:snapToGrid w:val="0"/>
              <w:jc w:val="center"/>
              <w:rPr>
                <w:color w:val="000000"/>
                <w:sz w:val="24"/>
              </w:rPr>
            </w:pPr>
          </w:p>
        </w:tc>
        <w:tc>
          <w:tcPr>
            <w:tcW w:w="788"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834" w:type="dxa"/>
            <w:vAlign w:val="center"/>
          </w:tcPr>
          <w:p>
            <w:pPr>
              <w:adjustRightInd w:val="0"/>
              <w:snapToGrid w:val="0"/>
              <w:jc w:val="center"/>
              <w:rPr>
                <w:color w:val="000000"/>
                <w:sz w:val="24"/>
              </w:rPr>
            </w:pPr>
          </w:p>
        </w:tc>
        <w:tc>
          <w:tcPr>
            <w:tcW w:w="1301" w:type="dxa"/>
            <w:vAlign w:val="center"/>
          </w:tcPr>
          <w:p>
            <w:pPr>
              <w:adjustRightInd w:val="0"/>
              <w:snapToGrid w:val="0"/>
              <w:jc w:val="center"/>
              <w:rPr>
                <w:color w:val="000000"/>
                <w:sz w:val="24"/>
              </w:rPr>
            </w:pPr>
          </w:p>
        </w:tc>
        <w:tc>
          <w:tcPr>
            <w:tcW w:w="2007" w:type="dxa"/>
            <w:vAlign w:val="center"/>
          </w:tcPr>
          <w:p>
            <w:pPr>
              <w:adjustRightInd w:val="0"/>
              <w:snapToGrid w:val="0"/>
              <w:jc w:val="center"/>
              <w:rPr>
                <w:color w:val="000000"/>
                <w:sz w:val="24"/>
              </w:rPr>
            </w:pPr>
          </w:p>
        </w:tc>
        <w:tc>
          <w:tcPr>
            <w:tcW w:w="2008" w:type="dxa"/>
            <w:vAlign w:val="center"/>
          </w:tcPr>
          <w:p>
            <w:pPr>
              <w:adjustRightInd w:val="0"/>
              <w:snapToGrid w:val="0"/>
              <w:jc w:val="center"/>
              <w:rPr>
                <w:color w:val="000000"/>
                <w:sz w:val="24"/>
              </w:rPr>
            </w:pPr>
          </w:p>
        </w:tc>
        <w:tc>
          <w:tcPr>
            <w:tcW w:w="2458" w:type="dxa"/>
            <w:vAlign w:val="center"/>
          </w:tcPr>
          <w:p>
            <w:pPr>
              <w:adjustRightInd w:val="0"/>
              <w:snapToGrid w:val="0"/>
              <w:jc w:val="center"/>
              <w:rPr>
                <w:color w:val="000000"/>
                <w:sz w:val="24"/>
              </w:rPr>
            </w:pPr>
          </w:p>
        </w:tc>
        <w:tc>
          <w:tcPr>
            <w:tcW w:w="788" w:type="dxa"/>
            <w:vAlign w:val="center"/>
          </w:tcPr>
          <w:p>
            <w:pPr>
              <w:adjustRightInd w:val="0"/>
              <w:snapToGrid w:val="0"/>
              <w:jc w:val="center"/>
              <w:rPr>
                <w:color w:val="000000"/>
                <w:sz w:val="24"/>
              </w:rPr>
            </w:pPr>
          </w:p>
        </w:tc>
      </w:tr>
    </w:tbl>
    <w:p>
      <w:pPr>
        <w:tabs>
          <w:tab w:val="left" w:pos="1800"/>
          <w:tab w:val="left" w:pos="5580"/>
        </w:tabs>
        <w:jc w:val="left"/>
        <w:rPr>
          <w:color w:val="000000"/>
          <w:sz w:val="24"/>
        </w:rPr>
      </w:pPr>
    </w:p>
    <w:p>
      <w:pPr>
        <w:tabs>
          <w:tab w:val="left" w:pos="1800"/>
          <w:tab w:val="left" w:pos="5580"/>
        </w:tabs>
        <w:jc w:val="left"/>
        <w:rPr>
          <w:color w:val="000000"/>
          <w:sz w:val="24"/>
        </w:rPr>
      </w:pPr>
      <w:r>
        <w:rPr>
          <w:color w:val="000000"/>
          <w:sz w:val="24"/>
        </w:rPr>
        <w:t>注：</w:t>
      </w:r>
    </w:p>
    <w:p>
      <w:pPr>
        <w:tabs>
          <w:tab w:val="left" w:pos="1800"/>
          <w:tab w:val="left" w:pos="5580"/>
        </w:tabs>
        <w:jc w:val="left"/>
        <w:rPr>
          <w:sz w:val="24"/>
        </w:rPr>
      </w:pPr>
      <w:r>
        <w:rPr>
          <w:rFonts w:hint="eastAsia"/>
          <w:color w:val="000000"/>
          <w:sz w:val="24"/>
        </w:rPr>
        <w:t>1</w:t>
      </w:r>
      <w:r>
        <w:rPr>
          <w:color w:val="000000"/>
          <w:sz w:val="24"/>
        </w:rPr>
        <w:t xml:space="preserve">. </w:t>
      </w:r>
      <w:r>
        <w:rPr>
          <w:sz w:val="24"/>
        </w:rPr>
        <w:t>对合同条款中的所有要求，除本表所列明的所有偏离外，均视作供应商已对之理解和</w:t>
      </w:r>
      <w:r>
        <w:rPr>
          <w:rFonts w:hint="eastAsia"/>
          <w:sz w:val="24"/>
        </w:rPr>
        <w:t>响应</w:t>
      </w:r>
      <w:r>
        <w:rPr>
          <w:sz w:val="24"/>
        </w:rPr>
        <w:t>。</w:t>
      </w:r>
    </w:p>
    <w:p>
      <w:pPr>
        <w:tabs>
          <w:tab w:val="left" w:pos="1800"/>
          <w:tab w:val="left" w:pos="5580"/>
        </w:tabs>
        <w:jc w:val="left"/>
        <w:rPr>
          <w:color w:val="000000"/>
          <w:sz w:val="24"/>
        </w:rPr>
      </w:pPr>
      <w:r>
        <w:rPr>
          <w:rFonts w:hint="eastAsia"/>
          <w:sz w:val="24"/>
        </w:rPr>
        <w:t>2</w:t>
      </w:r>
      <w:r>
        <w:rPr>
          <w:sz w:val="24"/>
        </w:rPr>
        <w:t xml:space="preserve">. </w:t>
      </w:r>
      <w:r>
        <w:rPr>
          <w:rFonts w:hint="eastAsia"/>
          <w:sz w:val="24"/>
        </w:rPr>
        <w:t>“偏离情况”列应</w:t>
      </w:r>
      <w:r>
        <w:rPr>
          <w:color w:val="000000"/>
          <w:sz w:val="24"/>
        </w:rPr>
        <w:t>据实</w:t>
      </w:r>
      <w:r>
        <w:rPr>
          <w:rFonts w:hint="eastAsia"/>
          <w:sz w:val="24"/>
        </w:rPr>
        <w:t>填写“正偏离”或“负偏离”。</w:t>
      </w:r>
    </w:p>
    <w:p>
      <w:pPr>
        <w:spacing w:line="360" w:lineRule="auto"/>
        <w:rPr>
          <w:color w:val="000000"/>
          <w:sz w:val="24"/>
          <w:szCs w:val="20"/>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    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spacing w:line="360" w:lineRule="auto"/>
        <w:outlineLvl w:val="2"/>
        <w:rPr>
          <w:color w:val="000000"/>
          <w:sz w:val="24"/>
          <w:szCs w:val="20"/>
        </w:rPr>
      </w:pPr>
      <w:r>
        <w:rPr>
          <w:color w:val="000000"/>
          <w:sz w:val="24"/>
          <w:szCs w:val="20"/>
        </w:rPr>
        <w:br w:type="page"/>
      </w:r>
      <w:r>
        <w:rPr>
          <w:rFonts w:hint="eastAsia"/>
          <w:color w:val="000000"/>
          <w:sz w:val="24"/>
          <w:szCs w:val="20"/>
          <w:lang w:val="en-US" w:eastAsia="zh-CN"/>
        </w:rPr>
        <w:t>六、</w:t>
      </w:r>
      <w:r>
        <w:rPr>
          <w:color w:val="000000"/>
          <w:sz w:val="24"/>
          <w:szCs w:val="20"/>
        </w:rPr>
        <w:t xml:space="preserve">  </w:t>
      </w:r>
      <w:bookmarkEnd w:id="478"/>
      <w:bookmarkEnd w:id="479"/>
      <w:bookmarkEnd w:id="480"/>
      <w:bookmarkEnd w:id="481"/>
      <w:bookmarkEnd w:id="482"/>
      <w:bookmarkEnd w:id="483"/>
      <w:bookmarkEnd w:id="484"/>
      <w:bookmarkEnd w:id="485"/>
      <w:bookmarkEnd w:id="486"/>
      <w:bookmarkEnd w:id="487"/>
      <w:bookmarkEnd w:id="488"/>
      <w:bookmarkEnd w:id="489"/>
      <w:bookmarkEnd w:id="490"/>
      <w:r>
        <w:rPr>
          <w:color w:val="000000"/>
          <w:sz w:val="24"/>
          <w:szCs w:val="20"/>
        </w:rPr>
        <w:t>采购需求</w:t>
      </w:r>
      <w:r>
        <w:rPr>
          <w:rFonts w:hint="eastAsia"/>
          <w:color w:val="000000"/>
          <w:sz w:val="24"/>
          <w:szCs w:val="20"/>
          <w:lang w:eastAsia="zh-CN"/>
        </w:rPr>
        <w:t>、</w:t>
      </w:r>
      <w:r>
        <w:rPr>
          <w:rFonts w:hint="eastAsia"/>
          <w:color w:val="000000"/>
          <w:sz w:val="24"/>
          <w:szCs w:val="20"/>
          <w:lang w:val="en-US" w:eastAsia="zh-CN"/>
        </w:rPr>
        <w:t>技术要求</w:t>
      </w:r>
      <w:r>
        <w:rPr>
          <w:color w:val="000000"/>
          <w:sz w:val="24"/>
          <w:szCs w:val="20"/>
        </w:rPr>
        <w:t>偏离表（实质性格式）</w:t>
      </w:r>
    </w:p>
    <w:p>
      <w:pPr>
        <w:autoSpaceDE w:val="0"/>
        <w:autoSpaceDN w:val="0"/>
        <w:adjustRightInd w:val="0"/>
        <w:spacing w:line="360" w:lineRule="auto"/>
        <w:jc w:val="center"/>
        <w:rPr>
          <w:b/>
          <w:color w:val="000000"/>
          <w:sz w:val="36"/>
          <w:szCs w:val="36"/>
        </w:rPr>
      </w:pPr>
      <w:r>
        <w:rPr>
          <w:rFonts w:hint="eastAsia"/>
          <w:b/>
          <w:color w:val="000000"/>
          <w:sz w:val="36"/>
          <w:szCs w:val="36"/>
          <w:lang w:val="en-US" w:eastAsia="zh-CN"/>
        </w:rPr>
        <w:t>采购需求技术要求</w:t>
      </w:r>
      <w:r>
        <w:rPr>
          <w:rFonts w:hint="eastAsia"/>
          <w:b/>
          <w:color w:val="000000"/>
          <w:sz w:val="36"/>
          <w:szCs w:val="36"/>
        </w:rPr>
        <w:t>偏离表</w:t>
      </w:r>
    </w:p>
    <w:p>
      <w:pPr>
        <w:tabs>
          <w:tab w:val="left" w:pos="1800"/>
          <w:tab w:val="left" w:pos="5580"/>
        </w:tabs>
        <w:spacing w:line="360" w:lineRule="auto"/>
        <w:ind w:firstLine="360" w:firstLineChars="150"/>
        <w:jc w:val="left"/>
        <w:rPr>
          <w:color w:val="000000"/>
          <w:sz w:val="24"/>
          <w:u w:val="single"/>
        </w:rPr>
      </w:pPr>
      <w:r>
        <w:rPr>
          <w:color w:val="000000"/>
          <w:sz w:val="24"/>
        </w:rPr>
        <w:t>项目编号/包号：_____________________     项目名称：____________</w:t>
      </w:r>
    </w:p>
    <w:tbl>
      <w:tblPr>
        <w:tblStyle w:val="23"/>
        <w:tblW w:w="965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5"/>
        <w:gridCol w:w="1482"/>
        <w:gridCol w:w="2384"/>
        <w:gridCol w:w="2126"/>
        <w:gridCol w:w="1875"/>
        <w:gridCol w:w="10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053" w:hRule="atLeast"/>
          <w:jc w:val="center"/>
        </w:trPr>
        <w:tc>
          <w:tcPr>
            <w:tcW w:w="775" w:type="dxa"/>
            <w:vAlign w:val="center"/>
          </w:tcPr>
          <w:p>
            <w:pPr>
              <w:adjustRightInd w:val="0"/>
              <w:snapToGrid w:val="0"/>
              <w:jc w:val="center"/>
              <w:rPr>
                <w:color w:val="000000"/>
                <w:sz w:val="24"/>
              </w:rPr>
            </w:pPr>
            <w:r>
              <w:rPr>
                <w:color w:val="000000"/>
                <w:sz w:val="24"/>
              </w:rPr>
              <w:t>序号</w:t>
            </w:r>
          </w:p>
        </w:tc>
        <w:tc>
          <w:tcPr>
            <w:tcW w:w="1482" w:type="dxa"/>
            <w:vAlign w:val="center"/>
          </w:tcPr>
          <w:p>
            <w:pPr>
              <w:adjustRightInd w:val="0"/>
              <w:snapToGrid w:val="0"/>
              <w:jc w:val="center"/>
              <w:rPr>
                <w:color w:val="000000"/>
                <w:sz w:val="24"/>
              </w:rPr>
            </w:pPr>
            <w:r>
              <w:rPr>
                <w:color w:val="000000"/>
                <w:sz w:val="24"/>
              </w:rPr>
              <w:t>招标文件条目号(页码)</w:t>
            </w:r>
          </w:p>
        </w:tc>
        <w:tc>
          <w:tcPr>
            <w:tcW w:w="2384" w:type="dxa"/>
            <w:vAlign w:val="center"/>
          </w:tcPr>
          <w:p>
            <w:pPr>
              <w:adjustRightInd w:val="0"/>
              <w:snapToGrid w:val="0"/>
              <w:jc w:val="center"/>
              <w:rPr>
                <w:color w:val="000000"/>
                <w:sz w:val="24"/>
              </w:rPr>
            </w:pPr>
            <w:r>
              <w:rPr>
                <w:color w:val="000000"/>
                <w:sz w:val="24"/>
              </w:rPr>
              <w:t>招标文件要求</w:t>
            </w:r>
          </w:p>
        </w:tc>
        <w:tc>
          <w:tcPr>
            <w:tcW w:w="2126" w:type="dxa"/>
            <w:vAlign w:val="center"/>
          </w:tcPr>
          <w:p>
            <w:pPr>
              <w:adjustRightInd w:val="0"/>
              <w:snapToGrid w:val="0"/>
              <w:jc w:val="center"/>
              <w:rPr>
                <w:color w:val="000000"/>
                <w:sz w:val="24"/>
              </w:rPr>
            </w:pPr>
            <w:r>
              <w:rPr>
                <w:color w:val="000000"/>
                <w:sz w:val="24"/>
              </w:rPr>
              <w:t>投标响应内容</w:t>
            </w:r>
          </w:p>
        </w:tc>
        <w:tc>
          <w:tcPr>
            <w:tcW w:w="1875" w:type="dxa"/>
            <w:vAlign w:val="center"/>
          </w:tcPr>
          <w:p>
            <w:pPr>
              <w:adjustRightInd w:val="0"/>
              <w:snapToGrid w:val="0"/>
              <w:jc w:val="center"/>
              <w:rPr>
                <w:color w:val="000000"/>
                <w:sz w:val="24"/>
              </w:rPr>
            </w:pPr>
            <w:r>
              <w:rPr>
                <w:color w:val="000000"/>
                <w:sz w:val="24"/>
              </w:rPr>
              <w:t>偏离情况</w:t>
            </w:r>
          </w:p>
        </w:tc>
        <w:tc>
          <w:tcPr>
            <w:tcW w:w="1009" w:type="dxa"/>
            <w:vAlign w:val="center"/>
          </w:tcPr>
          <w:p>
            <w:pPr>
              <w:adjustRightInd w:val="0"/>
              <w:snapToGrid w:val="0"/>
              <w:jc w:val="center"/>
              <w:rPr>
                <w:color w:val="000000"/>
                <w:sz w:val="24"/>
              </w:rPr>
            </w:pPr>
            <w:r>
              <w:rPr>
                <w:color w:val="000000"/>
                <w:sz w:val="24"/>
              </w:rPr>
              <w:t>说明</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0" w:hRule="atLeast"/>
          <w:jc w:val="center"/>
        </w:trPr>
        <w:tc>
          <w:tcPr>
            <w:tcW w:w="775" w:type="dxa"/>
            <w:vAlign w:val="center"/>
          </w:tcPr>
          <w:p>
            <w:pPr>
              <w:adjustRightInd w:val="0"/>
              <w:snapToGrid w:val="0"/>
              <w:jc w:val="center"/>
              <w:rPr>
                <w:color w:val="000000"/>
                <w:sz w:val="24"/>
              </w:rPr>
            </w:pPr>
          </w:p>
        </w:tc>
        <w:tc>
          <w:tcPr>
            <w:tcW w:w="1482" w:type="dxa"/>
            <w:vAlign w:val="center"/>
          </w:tcPr>
          <w:p>
            <w:pPr>
              <w:adjustRightInd w:val="0"/>
              <w:snapToGrid w:val="0"/>
              <w:jc w:val="center"/>
              <w:rPr>
                <w:color w:val="000000"/>
                <w:sz w:val="24"/>
              </w:rPr>
            </w:pPr>
          </w:p>
        </w:tc>
        <w:tc>
          <w:tcPr>
            <w:tcW w:w="2384" w:type="dxa"/>
            <w:vAlign w:val="center"/>
          </w:tcPr>
          <w:p>
            <w:pPr>
              <w:adjustRightInd w:val="0"/>
              <w:snapToGrid w:val="0"/>
              <w:jc w:val="center"/>
              <w:rPr>
                <w:color w:val="000000"/>
                <w:sz w:val="24"/>
              </w:rPr>
            </w:pPr>
          </w:p>
        </w:tc>
        <w:tc>
          <w:tcPr>
            <w:tcW w:w="2126" w:type="dxa"/>
            <w:vAlign w:val="center"/>
          </w:tcPr>
          <w:p>
            <w:pPr>
              <w:adjustRightInd w:val="0"/>
              <w:snapToGrid w:val="0"/>
              <w:jc w:val="center"/>
              <w:rPr>
                <w:color w:val="000000"/>
                <w:sz w:val="24"/>
              </w:rPr>
            </w:pPr>
          </w:p>
        </w:tc>
        <w:tc>
          <w:tcPr>
            <w:tcW w:w="1875" w:type="dxa"/>
            <w:vAlign w:val="center"/>
          </w:tcPr>
          <w:p>
            <w:pPr>
              <w:adjustRightInd w:val="0"/>
              <w:snapToGrid w:val="0"/>
              <w:jc w:val="center"/>
              <w:rPr>
                <w:color w:val="000000"/>
                <w:sz w:val="24"/>
              </w:rPr>
            </w:pPr>
          </w:p>
        </w:tc>
        <w:tc>
          <w:tcPr>
            <w:tcW w:w="1009" w:type="dxa"/>
            <w:vAlign w:val="center"/>
          </w:tcPr>
          <w:p>
            <w:pPr>
              <w:adjustRightInd w:val="0"/>
              <w:snapToGrid w:val="0"/>
              <w:jc w:val="center"/>
              <w:rPr>
                <w:color w:val="000000"/>
                <w:sz w:val="24"/>
              </w:rPr>
            </w:pPr>
          </w:p>
        </w:tc>
      </w:tr>
    </w:tbl>
    <w:p>
      <w:pPr>
        <w:tabs>
          <w:tab w:val="left" w:pos="1800"/>
          <w:tab w:val="left" w:pos="5580"/>
        </w:tabs>
        <w:spacing w:line="360" w:lineRule="auto"/>
        <w:ind w:firstLine="360" w:firstLineChars="150"/>
        <w:jc w:val="left"/>
        <w:rPr>
          <w:color w:val="000000"/>
          <w:sz w:val="24"/>
          <w:u w:val="single"/>
        </w:rPr>
      </w:pPr>
    </w:p>
    <w:p>
      <w:pPr>
        <w:tabs>
          <w:tab w:val="left" w:pos="1800"/>
          <w:tab w:val="left" w:pos="5580"/>
        </w:tabs>
        <w:spacing w:line="360" w:lineRule="auto"/>
        <w:ind w:firstLine="360" w:firstLineChars="150"/>
        <w:jc w:val="left"/>
        <w:rPr>
          <w:color w:val="000000"/>
          <w:sz w:val="24"/>
          <w:u w:val="single"/>
        </w:rPr>
      </w:pPr>
    </w:p>
    <w:p>
      <w:pPr>
        <w:tabs>
          <w:tab w:val="left" w:pos="1800"/>
          <w:tab w:val="left" w:pos="5580"/>
        </w:tabs>
        <w:jc w:val="left"/>
        <w:rPr>
          <w:color w:val="000000"/>
          <w:sz w:val="24"/>
        </w:rPr>
      </w:pPr>
      <w:r>
        <w:rPr>
          <w:color w:val="000000"/>
          <w:sz w:val="24"/>
        </w:rPr>
        <w:t>注：</w:t>
      </w:r>
    </w:p>
    <w:p>
      <w:pPr>
        <w:tabs>
          <w:tab w:val="left" w:pos="1800"/>
          <w:tab w:val="left" w:pos="5580"/>
        </w:tabs>
        <w:jc w:val="left"/>
        <w:rPr>
          <w:sz w:val="24"/>
        </w:rPr>
      </w:pPr>
      <w:r>
        <w:rPr>
          <w:rFonts w:hint="eastAsia"/>
          <w:color w:val="000000"/>
          <w:sz w:val="24"/>
        </w:rPr>
        <w:t>1</w:t>
      </w:r>
      <w:r>
        <w:rPr>
          <w:color w:val="000000"/>
          <w:sz w:val="24"/>
        </w:rPr>
        <w:t xml:space="preserve">. </w:t>
      </w:r>
      <w:r>
        <w:rPr>
          <w:sz w:val="24"/>
        </w:rPr>
        <w:t>对招标文件中的所有商务、技术要求，除本表所列明的所有偏离外，均视作供应商已对之理解和</w:t>
      </w:r>
      <w:r>
        <w:rPr>
          <w:rFonts w:hint="eastAsia"/>
          <w:sz w:val="24"/>
        </w:rPr>
        <w:t>响应</w:t>
      </w:r>
      <w:r>
        <w:rPr>
          <w:sz w:val="24"/>
        </w:rPr>
        <w:t>。</w:t>
      </w:r>
      <w:r>
        <w:rPr>
          <w:rFonts w:hint="eastAsia"/>
          <w:sz w:val="24"/>
        </w:rPr>
        <w:t>此表中若无任何文字说明，内容为空白，</w:t>
      </w:r>
      <w:r>
        <w:rPr>
          <w:rFonts w:hint="eastAsia"/>
          <w:b/>
          <w:sz w:val="24"/>
        </w:rPr>
        <w:t>投标无效。</w:t>
      </w:r>
    </w:p>
    <w:p>
      <w:pPr>
        <w:tabs>
          <w:tab w:val="left" w:pos="1800"/>
          <w:tab w:val="left" w:pos="5580"/>
        </w:tabs>
        <w:jc w:val="left"/>
        <w:rPr>
          <w:color w:val="000000"/>
          <w:sz w:val="24"/>
        </w:rPr>
      </w:pPr>
      <w:r>
        <w:rPr>
          <w:sz w:val="24"/>
        </w:rPr>
        <w:t>2.</w:t>
      </w:r>
      <w:r>
        <w:rPr>
          <w:rFonts w:hint="eastAsia"/>
          <w:sz w:val="24"/>
        </w:rPr>
        <w:t>“偏离情况”列应</w:t>
      </w:r>
      <w:r>
        <w:rPr>
          <w:color w:val="000000"/>
          <w:sz w:val="24"/>
        </w:rPr>
        <w:t>据实</w:t>
      </w:r>
      <w:r>
        <w:rPr>
          <w:rFonts w:hint="eastAsia"/>
          <w:sz w:val="24"/>
        </w:rPr>
        <w:t>填写“正偏离”或“负偏离”。</w:t>
      </w:r>
    </w:p>
    <w:p>
      <w:pPr>
        <w:tabs>
          <w:tab w:val="left" w:pos="1800"/>
          <w:tab w:val="left" w:pos="5580"/>
        </w:tabs>
        <w:jc w:val="left"/>
        <w:rPr>
          <w:sz w:val="24"/>
        </w:rPr>
      </w:pPr>
    </w:p>
    <w:p>
      <w:pPr>
        <w:tabs>
          <w:tab w:val="left" w:pos="1800"/>
          <w:tab w:val="left" w:pos="5580"/>
        </w:tabs>
        <w:jc w:val="left"/>
        <w:rPr>
          <w:color w:val="000000"/>
          <w:sz w:val="24"/>
        </w:rPr>
      </w:pPr>
    </w:p>
    <w:p>
      <w:pPr>
        <w:rPr>
          <w:color w:val="000000"/>
          <w:sz w:val="24"/>
          <w:szCs w:val="20"/>
        </w:rPr>
      </w:pPr>
    </w:p>
    <w:p>
      <w:pPr>
        <w:autoSpaceDE w:val="0"/>
        <w:autoSpaceDN w:val="0"/>
        <w:adjustRightInd w:val="0"/>
        <w:snapToGrid w:val="0"/>
        <w:spacing w:before="25" w:after="25" w:line="360" w:lineRule="auto"/>
        <w:rPr>
          <w:color w:val="000000"/>
          <w:sz w:val="24"/>
          <w:lang w:val="zh-CN"/>
        </w:rPr>
      </w:pPr>
      <w:r>
        <w:rPr>
          <w:color w:val="000000"/>
          <w:sz w:val="24"/>
          <w:lang w:val="zh-CN"/>
        </w:rPr>
        <w:t xml:space="preserve">                  </w:t>
      </w:r>
    </w:p>
    <w:p>
      <w:pPr>
        <w:autoSpaceDE w:val="0"/>
        <w:autoSpaceDN w:val="0"/>
        <w:adjustRightInd w:val="0"/>
        <w:snapToGrid w:val="0"/>
        <w:spacing w:before="25" w:after="25" w:line="360" w:lineRule="auto"/>
        <w:rPr>
          <w:color w:val="000000"/>
          <w:sz w:val="24"/>
          <w:lang w:val="zh-CN"/>
        </w:rPr>
      </w:pPr>
      <w:r>
        <w:rPr>
          <w:color w:val="000000"/>
          <w:sz w:val="24"/>
        </w:rPr>
        <w:t>投标人名称（加盖公章）</w:t>
      </w:r>
      <w:r>
        <w:rPr>
          <w:color w:val="000000"/>
          <w:sz w:val="24"/>
          <w:lang w:val="zh-CN"/>
        </w:rPr>
        <w:t>：    ____________</w:t>
      </w:r>
    </w:p>
    <w:p>
      <w:pPr>
        <w:autoSpaceDE w:val="0"/>
        <w:autoSpaceDN w:val="0"/>
        <w:adjustRightInd w:val="0"/>
        <w:snapToGrid w:val="0"/>
        <w:spacing w:before="25" w:after="25" w:line="360" w:lineRule="auto"/>
        <w:rPr>
          <w:color w:val="000000"/>
          <w:sz w:val="24"/>
          <w:lang w:val="zh-CN"/>
        </w:rPr>
      </w:pPr>
      <w:r>
        <w:rPr>
          <w:color w:val="000000"/>
          <w:sz w:val="24"/>
          <w:szCs w:val="20"/>
        </w:rPr>
        <w:t xml:space="preserve">日期：_____年______月______日   </w:t>
      </w:r>
    </w:p>
    <w:p>
      <w:pPr>
        <w:widowControl/>
        <w:jc w:val="left"/>
        <w:rPr>
          <w:b/>
          <w:bCs/>
          <w:color w:val="000000"/>
          <w:sz w:val="24"/>
        </w:rPr>
      </w:pPr>
      <w:r>
        <w:rPr>
          <w:color w:val="000000"/>
          <w:sz w:val="24"/>
          <w:szCs w:val="20"/>
        </w:rPr>
        <w:br w:type="page"/>
      </w:r>
    </w:p>
    <w:p>
      <w:pPr>
        <w:numPr>
          <w:ilvl w:val="0"/>
          <w:numId w:val="0"/>
        </w:numPr>
        <w:spacing w:line="360" w:lineRule="auto"/>
        <w:ind w:leftChars="0"/>
        <w:outlineLvl w:val="2"/>
        <w:rPr>
          <w:rFonts w:ascii="Times New Roman" w:hAnsi="Times New Roman" w:eastAsia="宋体" w:cs="Times New Roman"/>
          <w:color w:val="000000"/>
          <w:sz w:val="24"/>
          <w:szCs w:val="20"/>
        </w:rPr>
        <w:sectPr>
          <w:pgSz w:w="11905" w:h="16838"/>
          <w:pgMar w:top="1140" w:right="1202" w:bottom="1162" w:left="1219" w:header="851" w:footer="992" w:gutter="0"/>
          <w:pgNumType w:fmt="decimal"/>
          <w:cols w:space="720" w:num="1"/>
          <w:docGrid w:type="lines" w:linePitch="316" w:charSpace="0"/>
        </w:sectPr>
      </w:pPr>
      <w:bookmarkStart w:id="491" w:name="_Toc394307579"/>
      <w:bookmarkStart w:id="492" w:name="_Toc30432"/>
      <w:bookmarkStart w:id="493" w:name="_Toc5980"/>
      <w:bookmarkStart w:id="494" w:name="_Toc18685"/>
      <w:bookmarkStart w:id="495" w:name="_Toc19645"/>
    </w:p>
    <w:p>
      <w:pPr>
        <w:numPr>
          <w:ilvl w:val="0"/>
          <w:numId w:val="4"/>
        </w:numPr>
        <w:spacing w:line="360" w:lineRule="auto"/>
        <w:ind w:left="0" w:leftChars="0" w:firstLine="0" w:firstLineChars="0"/>
        <w:outlineLvl w:val="2"/>
        <w:rPr>
          <w:rFonts w:ascii="Times New Roman" w:hAnsi="Times New Roman" w:eastAsia="宋体" w:cs="Times New Roman"/>
          <w:color w:val="000000"/>
          <w:sz w:val="24"/>
          <w:szCs w:val="20"/>
        </w:rPr>
      </w:pPr>
      <w:r>
        <w:rPr>
          <w:rFonts w:hint="eastAsia" w:ascii="宋体" w:hAnsi="宋体"/>
          <w:b/>
          <w:bCs/>
          <w:sz w:val="32"/>
          <w:szCs w:val="20"/>
        </w:rPr>
        <w:t>“货物采购需求”需提供的有效证明文件（按货物采购需求要求提供）</w:t>
      </w:r>
    </w:p>
    <w:p>
      <w:pPr>
        <w:pStyle w:val="5"/>
        <w:rPr>
          <w:rFonts w:hint="eastAsia" w:ascii="宋体" w:hAnsi="宋体"/>
          <w:b/>
          <w:bCs/>
          <w:sz w:val="32"/>
          <w:szCs w:val="20"/>
        </w:rPr>
      </w:pPr>
    </w:p>
    <w:p>
      <w:pPr>
        <w:rPr>
          <w:rFonts w:hint="eastAsia" w:ascii="宋体" w:hAnsi="宋体"/>
          <w:b/>
          <w:bCs/>
          <w:sz w:val="32"/>
          <w:szCs w:val="20"/>
        </w:rPr>
      </w:pPr>
    </w:p>
    <w:p>
      <w:pPr>
        <w:tabs>
          <w:tab w:val="left" w:pos="1305"/>
        </w:tabs>
        <w:spacing w:line="380" w:lineRule="exact"/>
        <w:ind w:firstLine="643" w:firstLineChars="200"/>
        <w:rPr>
          <w:rFonts w:hint="eastAsia" w:ascii="宋体" w:hAnsi="宋体"/>
          <w:b/>
          <w:bCs/>
          <w:sz w:val="32"/>
          <w:szCs w:val="20"/>
        </w:rPr>
      </w:pPr>
      <w:r>
        <w:rPr>
          <w:rFonts w:hint="eastAsia" w:ascii="宋体" w:hAnsi="宋体"/>
          <w:b/>
          <w:bCs/>
          <w:sz w:val="32"/>
          <w:szCs w:val="20"/>
        </w:rPr>
        <w:t>投标人为生产厂家的，投标人的生产制造设备清单及专业技术能力说明（如有，请提供）；</w:t>
      </w:r>
    </w:p>
    <w:p>
      <w:pPr>
        <w:pStyle w:val="5"/>
        <w:sectPr>
          <w:pgSz w:w="11905" w:h="16838"/>
          <w:pgMar w:top="1140" w:right="1202" w:bottom="1162" w:left="1219" w:header="851" w:footer="992" w:gutter="0"/>
          <w:pgNumType w:fmt="decimal"/>
          <w:cols w:space="720" w:num="1"/>
          <w:docGrid w:type="lines" w:linePitch="316" w:charSpace="0"/>
        </w:sectPr>
      </w:pPr>
    </w:p>
    <w:p>
      <w:pPr>
        <w:numPr>
          <w:ilvl w:val="0"/>
          <w:numId w:val="0"/>
        </w:numPr>
        <w:spacing w:line="360" w:lineRule="auto"/>
        <w:ind w:leftChars="0"/>
        <w:outlineLvl w:val="2"/>
        <w:rPr>
          <w:rFonts w:ascii="Times New Roman" w:hAnsi="Times New Roman" w:eastAsia="宋体" w:cs="Times New Roman"/>
          <w:color w:val="000000"/>
          <w:sz w:val="24"/>
          <w:szCs w:val="20"/>
        </w:rPr>
      </w:pPr>
      <w:r>
        <w:rPr>
          <w:rStyle w:val="25"/>
          <w:rFonts w:hint="eastAsia" w:ascii="宋体" w:hAnsi="宋体" w:eastAsia="宋体" w:cs="宋体"/>
          <w:sz w:val="24"/>
          <w:szCs w:val="24"/>
        </w:rPr>
        <w:t>项目</w:t>
      </w:r>
      <w:r>
        <w:rPr>
          <w:rStyle w:val="25"/>
          <w:rFonts w:hint="eastAsia" w:ascii="宋体" w:hAnsi="宋体" w:eastAsia="宋体" w:cs="宋体"/>
          <w:sz w:val="24"/>
          <w:szCs w:val="24"/>
          <w:lang w:val="en-US" w:eastAsia="zh-CN"/>
        </w:rPr>
        <w:t>负责人</w:t>
      </w:r>
      <w:r>
        <w:rPr>
          <w:rStyle w:val="25"/>
          <w:rFonts w:hint="eastAsia" w:ascii="宋体" w:hAnsi="宋体" w:eastAsia="宋体" w:cs="宋体"/>
          <w:sz w:val="24"/>
          <w:szCs w:val="24"/>
        </w:rPr>
        <w:t>简历表</w:t>
      </w:r>
      <w:r>
        <w:rPr>
          <w:rFonts w:hint="eastAsia" w:ascii="宋体" w:hAnsi="宋体" w:eastAsia="宋体" w:cs="宋体"/>
          <w:color w:val="000000"/>
          <w:sz w:val="24"/>
          <w:szCs w:val="24"/>
        </w:rPr>
        <w:t>（实质性格式）</w:t>
      </w:r>
    </w:p>
    <w:p>
      <w:pPr>
        <w:pStyle w:val="74"/>
        <w:bidi w:val="0"/>
        <w:outlineLvl w:val="9"/>
        <w:rPr>
          <w:color w:val="000000"/>
          <w:sz w:val="24"/>
          <w:szCs w:val="20"/>
        </w:rPr>
      </w:pPr>
    </w:p>
    <w:p>
      <w:pPr>
        <w:pStyle w:val="74"/>
        <w:bidi w:val="0"/>
        <w:outlineLvl w:val="9"/>
        <w:rPr>
          <w:color w:val="000000"/>
          <w:sz w:val="24"/>
          <w:szCs w:val="20"/>
        </w:rPr>
      </w:pPr>
    </w:p>
    <w:p>
      <w:pPr>
        <w:pStyle w:val="74"/>
        <w:bidi w:val="0"/>
        <w:outlineLvl w:val="9"/>
        <w:rPr>
          <w:color w:val="000000"/>
          <w:sz w:val="24"/>
          <w:szCs w:val="20"/>
        </w:rPr>
      </w:pPr>
      <w:r>
        <w:rPr>
          <w:rStyle w:val="25"/>
          <w:rFonts w:hint="eastAsia" w:ascii="宋体" w:hAnsi="宋体" w:eastAsia="宋体" w:cs="宋体"/>
          <w:sz w:val="24"/>
          <w:szCs w:val="24"/>
        </w:rPr>
        <w:t>项目</w:t>
      </w:r>
      <w:r>
        <w:rPr>
          <w:rStyle w:val="25"/>
          <w:rFonts w:hint="eastAsia" w:ascii="宋体" w:hAnsi="宋体" w:eastAsia="宋体" w:cs="宋体"/>
          <w:sz w:val="24"/>
          <w:szCs w:val="24"/>
          <w:lang w:val="en-US" w:eastAsia="zh-CN"/>
        </w:rPr>
        <w:t>负责人</w:t>
      </w:r>
      <w:r>
        <w:rPr>
          <w:rStyle w:val="25"/>
          <w:rFonts w:hint="eastAsia" w:ascii="宋体" w:hAnsi="宋体" w:eastAsia="宋体" w:cs="宋体"/>
          <w:sz w:val="24"/>
          <w:szCs w:val="24"/>
        </w:rPr>
        <w:t>简历表</w:t>
      </w:r>
    </w:p>
    <w:bookmarkEnd w:id="491"/>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9"/>
        <w:gridCol w:w="755"/>
        <w:gridCol w:w="479"/>
        <w:gridCol w:w="807"/>
        <w:gridCol w:w="654"/>
        <w:gridCol w:w="551"/>
        <w:gridCol w:w="609"/>
        <w:gridCol w:w="788"/>
        <w:gridCol w:w="632"/>
        <w:gridCol w:w="1032"/>
        <w:gridCol w:w="275"/>
        <w:gridCol w:w="144"/>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3"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姓名</w:t>
            </w:r>
          </w:p>
        </w:tc>
        <w:tc>
          <w:tcPr>
            <w:tcW w:w="1052"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621"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性别</w:t>
            </w:r>
          </w:p>
        </w:tc>
        <w:tc>
          <w:tcPr>
            <w:tcW w:w="1046"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748"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年龄</w:t>
            </w:r>
          </w:p>
        </w:tc>
        <w:tc>
          <w:tcPr>
            <w:tcW w:w="920"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13"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职务</w:t>
            </w:r>
          </w:p>
        </w:tc>
        <w:tc>
          <w:tcPr>
            <w:tcW w:w="1052"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621"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职称</w:t>
            </w:r>
          </w:p>
        </w:tc>
        <w:tc>
          <w:tcPr>
            <w:tcW w:w="1046"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748"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学历</w:t>
            </w:r>
          </w:p>
        </w:tc>
        <w:tc>
          <w:tcPr>
            <w:tcW w:w="920"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13"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办公电话</w:t>
            </w:r>
          </w:p>
        </w:tc>
        <w:tc>
          <w:tcPr>
            <w:tcW w:w="1052"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621"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住宅电话</w:t>
            </w:r>
          </w:p>
        </w:tc>
        <w:tc>
          <w:tcPr>
            <w:tcW w:w="1046"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748"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移动电话</w:t>
            </w:r>
          </w:p>
        </w:tc>
        <w:tc>
          <w:tcPr>
            <w:tcW w:w="920" w:type="pct"/>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1249"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参加工作时间</w:t>
            </w:r>
          </w:p>
        </w:tc>
        <w:tc>
          <w:tcPr>
            <w:tcW w:w="1351" w:type="pct"/>
            <w:gridSpan w:val="4"/>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264"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从事项目经理年限</w:t>
            </w:r>
          </w:p>
        </w:tc>
        <w:tc>
          <w:tcPr>
            <w:tcW w:w="1135"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Pr>
        <w:tc>
          <w:tcPr>
            <w:tcW w:w="1249"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具有认证资质</w:t>
            </w:r>
          </w:p>
        </w:tc>
        <w:tc>
          <w:tcPr>
            <w:tcW w:w="3751" w:type="pct"/>
            <w:gridSpan w:val="10"/>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Pr>
        <w:tc>
          <w:tcPr>
            <w:tcW w:w="5000" w:type="pct"/>
            <w:gridSpan w:val="1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已完成工程项目情况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建设单位</w:t>
            </w: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项目名称</w:t>
            </w:r>
          </w:p>
        </w:tc>
        <w:tc>
          <w:tcPr>
            <w:tcW w:w="1004"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建设规模</w:t>
            </w: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竣工日期</w:t>
            </w:r>
          </w:p>
        </w:tc>
        <w:tc>
          <w:tcPr>
            <w:tcW w:w="995"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工程质量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02"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4"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995"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2"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4"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995"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002"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4"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1000" w:type="pct"/>
            <w:gridSpan w:val="3"/>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c>
          <w:tcPr>
            <w:tcW w:w="995" w:type="pct"/>
            <w:gridSpan w:val="2"/>
            <w:tcBorders>
              <w:top w:val="single" w:color="auto" w:sz="4" w:space="0"/>
              <w:left w:val="single" w:color="auto" w:sz="4" w:space="0"/>
              <w:bottom w:val="single" w:color="auto" w:sz="4" w:space="0"/>
              <w:right w:val="single" w:color="auto" w:sz="4" w:space="0"/>
            </w:tcBorders>
            <w:noWrap w:val="0"/>
            <w:vAlign w:val="top"/>
          </w:tcPr>
          <w:p>
            <w:pPr>
              <w:pStyle w:val="76"/>
              <w:widowControl w:val="0"/>
              <w:bidi w:val="0"/>
              <w:spacing w:line="360" w:lineRule="auto"/>
              <w:jc w:val="both"/>
              <w:rPr>
                <w:rStyle w:val="25"/>
                <w:rFonts w:ascii="宋体" w:hAnsi="宋体" w:eastAsia="宋体" w:cs="Arial"/>
                <w:kern w:val="2"/>
                <w:sz w:val="24"/>
                <w:szCs w:val="24"/>
                <w:lang w:val="en-US" w:eastAsia="zh-CN" w:bidi="ar-SA"/>
              </w:rPr>
            </w:pPr>
          </w:p>
        </w:tc>
      </w:tr>
    </w:tbl>
    <w:p>
      <w:pPr>
        <w:pStyle w:val="77"/>
        <w:bidi w:val="0"/>
        <w:outlineLvl w:val="9"/>
        <w:rPr>
          <w:rStyle w:val="25"/>
          <w:rFonts w:hAnsi="宋体" w:eastAsia="宋体" w:cs="Times New Roman"/>
          <w:sz w:val="28"/>
          <w:szCs w:val="28"/>
        </w:rPr>
      </w:pPr>
      <w:bookmarkStart w:id="496" w:name="_Toc394307580"/>
      <w:r>
        <w:rPr>
          <w:rStyle w:val="25"/>
          <w:rFonts w:hint="eastAsia" w:hAnsi="宋体" w:eastAsia="宋体" w:cs="Times New Roman"/>
          <w:sz w:val="28"/>
          <w:szCs w:val="28"/>
        </w:rPr>
        <w:t>承担本项目主要技术人员和售后服务人员表</w:t>
      </w:r>
      <w:bookmarkEnd w:id="496"/>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6"/>
        <w:gridCol w:w="1416"/>
        <w:gridCol w:w="696"/>
        <w:gridCol w:w="936"/>
        <w:gridCol w:w="2136"/>
        <w:gridCol w:w="35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姓名</w:t>
            </w:r>
          </w:p>
        </w:tc>
        <w:tc>
          <w:tcPr>
            <w:tcW w:w="0" w:type="auto"/>
            <w:tcBorders>
              <w:top w:val="single" w:color="auto" w:sz="4" w:space="0"/>
              <w:left w:val="single" w:color="auto" w:sz="4" w:space="0"/>
              <w:bottom w:val="single" w:color="auto" w:sz="4" w:space="0"/>
              <w:right w:val="single" w:color="auto" w:sz="4" w:space="0"/>
            </w:tcBorders>
            <w:noWrap w:val="0"/>
            <w:vAlign w:val="center"/>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部门和职务</w:t>
            </w:r>
          </w:p>
        </w:tc>
        <w:tc>
          <w:tcPr>
            <w:tcW w:w="0" w:type="auto"/>
            <w:tcBorders>
              <w:top w:val="single" w:color="auto" w:sz="4" w:space="0"/>
              <w:left w:val="single" w:color="auto" w:sz="4" w:space="0"/>
              <w:bottom w:val="single" w:color="auto" w:sz="4" w:space="0"/>
              <w:right w:val="single" w:color="auto" w:sz="4" w:space="0"/>
            </w:tcBorders>
            <w:noWrap w:val="0"/>
            <w:vAlign w:val="center"/>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职责</w:t>
            </w: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常住地</w:t>
            </w:r>
          </w:p>
        </w:tc>
        <w:tc>
          <w:tcPr>
            <w:tcW w:w="0" w:type="auto"/>
            <w:tcBorders>
              <w:top w:val="single" w:color="auto" w:sz="4" w:space="0"/>
              <w:left w:val="single" w:color="auto" w:sz="4" w:space="0"/>
              <w:bottom w:val="single" w:color="auto" w:sz="4" w:space="0"/>
              <w:right w:val="single" w:color="auto" w:sz="4" w:space="0"/>
            </w:tcBorders>
            <w:noWrap w:val="0"/>
            <w:vAlign w:val="center"/>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获得认证资质证书</w:t>
            </w:r>
          </w:p>
        </w:tc>
        <w:tc>
          <w:tcPr>
            <w:tcW w:w="0" w:type="auto"/>
            <w:tcBorders>
              <w:top w:val="single" w:color="auto" w:sz="4" w:space="0"/>
              <w:left w:val="single" w:color="auto" w:sz="4" w:space="0"/>
              <w:bottom w:val="single" w:color="auto" w:sz="4" w:space="0"/>
              <w:right w:val="single" w:color="auto" w:sz="4" w:space="0"/>
            </w:tcBorders>
            <w:noWrap w:val="0"/>
            <w:vAlign w:val="center"/>
          </w:tcPr>
          <w:p>
            <w:pPr>
              <w:pStyle w:val="79"/>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主要资历、经验及承担过的项目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c>
          <w:tcPr>
            <w:tcW w:w="0" w:type="auto"/>
            <w:tcBorders>
              <w:top w:val="single" w:color="auto" w:sz="4" w:space="0"/>
              <w:left w:val="single" w:color="auto" w:sz="4" w:space="0"/>
              <w:bottom w:val="single" w:color="auto" w:sz="4" w:space="0"/>
              <w:right w:val="single" w:color="auto" w:sz="4" w:space="0"/>
            </w:tcBorders>
            <w:noWrap w:val="0"/>
            <w:vAlign w:val="top"/>
          </w:tcPr>
          <w:p>
            <w:pPr>
              <w:pStyle w:val="79"/>
              <w:widowControl w:val="0"/>
              <w:bidi w:val="0"/>
              <w:spacing w:line="360" w:lineRule="auto"/>
              <w:jc w:val="both"/>
              <w:rPr>
                <w:rStyle w:val="25"/>
                <w:rFonts w:ascii="宋体" w:hAnsi="宋体" w:eastAsia="宋体" w:cs="Arial"/>
                <w:kern w:val="2"/>
                <w:sz w:val="24"/>
                <w:szCs w:val="24"/>
                <w:lang w:val="en-US" w:eastAsia="zh-CN" w:bidi="ar-SA"/>
              </w:rPr>
            </w:pPr>
          </w:p>
        </w:tc>
      </w:tr>
    </w:tbl>
    <w:p>
      <w:pPr>
        <w:pStyle w:val="79"/>
        <w:bidi w:val="0"/>
        <w:spacing w:line="360" w:lineRule="auto"/>
        <w:ind w:hanging="1"/>
        <w:rPr>
          <w:rStyle w:val="25"/>
          <w:rFonts w:hint="eastAsia" w:ascii="宋体" w:hAnsi="宋体" w:eastAsia="宋体" w:cs="Times New Roman"/>
          <w:sz w:val="24"/>
        </w:rPr>
      </w:pPr>
      <w:r>
        <w:rPr>
          <w:rStyle w:val="25"/>
          <w:rFonts w:hint="eastAsia" w:ascii="宋体" w:hAnsi="宋体" w:eastAsia="宋体" w:cs="Times New Roman"/>
          <w:sz w:val="24"/>
        </w:rPr>
        <w:t>填报要求：</w:t>
      </w:r>
    </w:p>
    <w:p>
      <w:pPr>
        <w:pStyle w:val="79"/>
        <w:widowControl/>
        <w:numPr>
          <w:ilvl w:val="0"/>
          <w:numId w:val="12"/>
        </w:numPr>
        <w:bidi w:val="0"/>
        <w:spacing w:line="360" w:lineRule="auto"/>
        <w:ind w:left="0" w:hanging="1"/>
        <w:jc w:val="left"/>
        <w:rPr>
          <w:rStyle w:val="25"/>
          <w:rFonts w:hint="eastAsia" w:ascii="宋体" w:hAnsi="宋体" w:eastAsia="宋体" w:cs="Times New Roman"/>
          <w:sz w:val="24"/>
        </w:rPr>
      </w:pPr>
      <w:r>
        <w:rPr>
          <w:rStyle w:val="25"/>
          <w:rFonts w:hint="eastAsia" w:ascii="宋体" w:hAnsi="宋体" w:eastAsia="宋体" w:cs="Times New Roman"/>
          <w:sz w:val="24"/>
        </w:rPr>
        <w:t>上表列出的人员，需附其资格证书的复印件。</w:t>
      </w:r>
    </w:p>
    <w:p>
      <w:pPr>
        <w:pStyle w:val="79"/>
        <w:widowControl/>
        <w:numPr>
          <w:ilvl w:val="0"/>
          <w:numId w:val="12"/>
        </w:numPr>
        <w:bidi w:val="0"/>
        <w:spacing w:line="360" w:lineRule="auto"/>
        <w:ind w:left="0" w:right="84" w:rightChars="40" w:hanging="1"/>
        <w:jc w:val="left"/>
        <w:rPr>
          <w:rStyle w:val="25"/>
          <w:rFonts w:hint="eastAsia" w:ascii="宋体" w:hAnsi="宋体" w:eastAsia="宋体" w:cs="Times New Roman"/>
          <w:sz w:val="24"/>
        </w:rPr>
      </w:pPr>
      <w:r>
        <w:rPr>
          <w:rStyle w:val="25"/>
          <w:rFonts w:hint="eastAsia" w:ascii="宋体" w:hAnsi="宋体" w:eastAsia="宋体" w:cs="Times New Roman"/>
          <w:sz w:val="24"/>
        </w:rPr>
        <w:t>提供上述人员在本单位服务的外部证明材料，如</w:t>
      </w:r>
      <w:r>
        <w:rPr>
          <w:rStyle w:val="25"/>
          <w:rFonts w:ascii="宋体" w:hAnsi="宋体" w:eastAsia="宋体" w:cs="Times New Roman"/>
          <w:sz w:val="24"/>
        </w:rPr>
        <w:t>投标截止日之前六个月以内的</w:t>
      </w:r>
      <w:r>
        <w:rPr>
          <w:rStyle w:val="25"/>
          <w:rFonts w:hint="eastAsia" w:ascii="宋体" w:hAnsi="宋体" w:eastAsia="宋体" w:cs="Times New Roman"/>
          <w:sz w:val="24"/>
        </w:rPr>
        <w:t>代缴个税税单或参加社会保险的《投保单》或《社会保险参保人员证明》等。</w:t>
      </w:r>
    </w:p>
    <w:p>
      <w:pPr>
        <w:pStyle w:val="80"/>
        <w:bidi w:val="0"/>
        <w:spacing w:line="360" w:lineRule="auto"/>
        <w:jc w:val="center"/>
        <w:rPr>
          <w:rStyle w:val="25"/>
          <w:rFonts w:hint="eastAsia" w:ascii="宋体" w:hAnsi="宋体" w:cs="Times New Roman"/>
          <w:b/>
          <w:sz w:val="28"/>
          <w:szCs w:val="28"/>
          <w:lang w:val="en-US" w:eastAsia="zh-CN"/>
        </w:rPr>
        <w:sectPr>
          <w:pgSz w:w="11905" w:h="16838"/>
          <w:pgMar w:top="1140" w:right="1202" w:bottom="1162" w:left="1219" w:header="851" w:footer="992" w:gutter="0"/>
          <w:pgNumType w:fmt="decimal"/>
          <w:cols w:space="720" w:num="1"/>
          <w:docGrid w:type="lines" w:linePitch="316" w:charSpace="0"/>
        </w:sectPr>
      </w:pPr>
    </w:p>
    <w:p>
      <w:pPr>
        <w:spacing w:line="360" w:lineRule="auto"/>
        <w:outlineLvl w:val="2"/>
        <w:rPr>
          <w:rStyle w:val="25"/>
          <w:rFonts w:hint="eastAsia" w:ascii="宋体" w:hAnsi="宋体" w:eastAsia="宋体" w:cs="Times New Roman"/>
          <w:b/>
          <w:sz w:val="28"/>
          <w:szCs w:val="28"/>
        </w:rPr>
      </w:pPr>
      <w:r>
        <w:rPr>
          <w:rStyle w:val="25"/>
          <w:rFonts w:hint="eastAsia" w:ascii="宋体" w:hAnsi="宋体" w:cs="宋体"/>
          <w:sz w:val="24"/>
          <w:szCs w:val="24"/>
          <w:lang w:val="en-US" w:eastAsia="zh-CN"/>
        </w:rPr>
        <w:t>九、</w:t>
      </w:r>
      <w:r>
        <w:rPr>
          <w:rStyle w:val="25"/>
          <w:rFonts w:hint="eastAsia" w:ascii="宋体" w:hAnsi="宋体" w:eastAsia="宋体" w:cs="宋体"/>
          <w:sz w:val="24"/>
          <w:szCs w:val="24"/>
          <w:lang w:val="en-US" w:eastAsia="zh-CN"/>
        </w:rPr>
        <w:t>业绩一览表（实质性格式）</w:t>
      </w:r>
    </w:p>
    <w:p>
      <w:pPr>
        <w:pStyle w:val="80"/>
        <w:bidi w:val="0"/>
        <w:spacing w:line="360" w:lineRule="auto"/>
        <w:jc w:val="center"/>
        <w:rPr>
          <w:rStyle w:val="25"/>
          <w:rFonts w:hint="default" w:ascii="宋体" w:hAnsi="宋体" w:eastAsia="宋体" w:cs="Times New Roman"/>
          <w:b/>
          <w:sz w:val="28"/>
          <w:szCs w:val="28"/>
          <w:lang w:val="en-US" w:eastAsia="zh-CN"/>
        </w:rPr>
      </w:pPr>
      <w:r>
        <w:rPr>
          <w:rStyle w:val="25"/>
          <w:rFonts w:hint="eastAsia" w:ascii="宋体" w:hAnsi="宋体" w:cs="Times New Roman"/>
          <w:b/>
          <w:sz w:val="28"/>
          <w:szCs w:val="28"/>
          <w:lang w:val="en-US" w:eastAsia="zh-CN"/>
        </w:rPr>
        <w:t>业绩一览表</w:t>
      </w:r>
    </w:p>
    <w:tbl>
      <w:tblPr>
        <w:tblStyle w:val="23"/>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0"/>
        <w:gridCol w:w="1293"/>
        <w:gridCol w:w="1575"/>
        <w:gridCol w:w="1260"/>
        <w:gridCol w:w="1452"/>
        <w:gridCol w:w="1383"/>
        <w:gridCol w:w="203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540"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序号</w:t>
            </w:r>
          </w:p>
        </w:tc>
        <w:tc>
          <w:tcPr>
            <w:tcW w:w="1293"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项目名称</w:t>
            </w:r>
          </w:p>
        </w:tc>
        <w:tc>
          <w:tcPr>
            <w:tcW w:w="1575"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项目地址</w:t>
            </w:r>
          </w:p>
        </w:tc>
        <w:tc>
          <w:tcPr>
            <w:tcW w:w="1260"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合同总价</w:t>
            </w:r>
          </w:p>
        </w:tc>
        <w:tc>
          <w:tcPr>
            <w:tcW w:w="1452"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color w:val="0000FF"/>
                <w:sz w:val="24"/>
              </w:rPr>
            </w:pPr>
            <w:r>
              <w:rPr>
                <w:rStyle w:val="25"/>
                <w:rFonts w:hint="eastAsia" w:ascii="宋体" w:hAnsi="宋体" w:eastAsia="宋体" w:cs="Arial"/>
                <w:bCs/>
                <w:color w:val="0000FF"/>
                <w:sz w:val="24"/>
              </w:rPr>
              <w:t xml:space="preserve">完成时间（货物类） </w:t>
            </w:r>
          </w:p>
        </w:tc>
        <w:tc>
          <w:tcPr>
            <w:tcW w:w="1383"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项目质量</w:t>
            </w:r>
          </w:p>
        </w:tc>
        <w:tc>
          <w:tcPr>
            <w:tcW w:w="2037" w:type="dxa"/>
            <w:tcBorders>
              <w:top w:val="single" w:color="auto" w:sz="6" w:space="0"/>
              <w:left w:val="single" w:color="auto" w:sz="6" w:space="0"/>
              <w:bottom w:val="single" w:color="auto" w:sz="6" w:space="0"/>
              <w:right w:val="single" w:color="auto" w:sz="6" w:space="0"/>
            </w:tcBorders>
            <w:noWrap w:val="0"/>
            <w:vAlign w:val="center"/>
          </w:tcPr>
          <w:p>
            <w:pPr>
              <w:pStyle w:val="80"/>
              <w:jc w:val="center"/>
              <w:rPr>
                <w:rStyle w:val="25"/>
                <w:rFonts w:hint="eastAsia" w:ascii="宋体" w:hAnsi="宋体" w:eastAsia="宋体" w:cs="Arial"/>
                <w:bCs/>
                <w:sz w:val="24"/>
              </w:rPr>
            </w:pPr>
            <w:r>
              <w:rPr>
                <w:rStyle w:val="25"/>
                <w:rFonts w:hint="eastAsia" w:ascii="宋体" w:hAnsi="宋体" w:eastAsia="宋体" w:cs="Arial"/>
                <w:bCs/>
                <w:sz w:val="24"/>
              </w:rPr>
              <w:t>项目单位联系人电话</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01"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jc w:val="center"/>
              <w:rPr>
                <w:rStyle w:val="25"/>
                <w:rFonts w:hint="eastAsia" w:ascii="宋体" w:hAnsi="宋体" w:eastAsia="宋体" w:cs="Arial"/>
                <w:sz w:val="24"/>
              </w:rPr>
            </w:pPr>
            <w:r>
              <w:rPr>
                <w:rStyle w:val="25"/>
                <w:rFonts w:hint="eastAsia" w:ascii="宋体" w:hAnsi="宋体" w:eastAsia="宋体" w:cs="Arial"/>
                <w:sz w:val="24"/>
              </w:rPr>
              <w:t>1</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39"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jc w:val="center"/>
              <w:rPr>
                <w:rStyle w:val="25"/>
                <w:rFonts w:hint="eastAsia" w:ascii="宋体" w:hAnsi="宋体" w:eastAsia="宋体" w:cs="Arial"/>
                <w:sz w:val="24"/>
              </w:rPr>
            </w:pPr>
            <w:r>
              <w:rPr>
                <w:rStyle w:val="25"/>
                <w:rFonts w:hint="eastAsia" w:ascii="宋体" w:hAnsi="宋体" w:eastAsia="宋体" w:cs="Arial"/>
                <w:sz w:val="24"/>
              </w:rPr>
              <w:t>2</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63"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jc w:val="center"/>
              <w:rPr>
                <w:rStyle w:val="25"/>
                <w:rFonts w:hint="eastAsia" w:ascii="宋体" w:hAnsi="宋体" w:eastAsia="宋体" w:cs="Arial"/>
                <w:sz w:val="24"/>
              </w:rPr>
            </w:pPr>
            <w:r>
              <w:rPr>
                <w:rStyle w:val="25"/>
                <w:rFonts w:hint="eastAsia" w:ascii="宋体" w:hAnsi="宋体" w:eastAsia="宋体" w:cs="Arial"/>
                <w:sz w:val="24"/>
              </w:rPr>
              <w:t>3</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r>
              <w:rPr>
                <w:rStyle w:val="25"/>
                <w:rFonts w:hint="eastAsia" w:ascii="宋体" w:hAnsi="宋体" w:eastAsia="宋体" w:cs="Arial"/>
                <w:sz w:val="24"/>
              </w:rPr>
              <w:t>…</w:t>
            </w: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54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9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575"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260"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452"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1383"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c>
          <w:tcPr>
            <w:tcW w:w="2037" w:type="dxa"/>
            <w:tcBorders>
              <w:top w:val="single" w:color="auto" w:sz="6" w:space="0"/>
              <w:left w:val="single" w:color="auto" w:sz="6" w:space="0"/>
              <w:bottom w:val="single" w:color="auto" w:sz="6" w:space="0"/>
              <w:right w:val="single" w:color="auto" w:sz="6" w:space="0"/>
            </w:tcBorders>
            <w:noWrap w:val="0"/>
            <w:vAlign w:val="top"/>
          </w:tcPr>
          <w:p>
            <w:pPr>
              <w:pStyle w:val="80"/>
              <w:spacing w:line="360" w:lineRule="auto"/>
              <w:rPr>
                <w:rStyle w:val="25"/>
                <w:rFonts w:hint="eastAsia" w:ascii="宋体" w:hAnsi="宋体" w:eastAsia="宋体" w:cs="Arial"/>
                <w:sz w:val="24"/>
              </w:rPr>
            </w:pPr>
          </w:p>
        </w:tc>
      </w:tr>
    </w:tbl>
    <w:p>
      <w:pPr>
        <w:pStyle w:val="80"/>
        <w:tabs>
          <w:tab w:val="left" w:pos="1050"/>
          <w:tab w:val="left" w:pos="1838"/>
        </w:tabs>
        <w:bidi w:val="0"/>
        <w:spacing w:line="360" w:lineRule="auto"/>
        <w:ind w:firstLine="141" w:firstLineChars="59"/>
        <w:rPr>
          <w:rStyle w:val="25"/>
          <w:rFonts w:hint="eastAsia" w:ascii="宋体" w:hAnsi="宋体" w:eastAsia="宋体" w:cs="Times New Roman"/>
          <w:sz w:val="24"/>
        </w:rPr>
      </w:pPr>
      <w:r>
        <w:rPr>
          <w:rStyle w:val="25"/>
          <w:rFonts w:hint="eastAsia" w:ascii="宋体" w:hAnsi="宋体" w:eastAsia="宋体" w:cs="Times New Roman"/>
          <w:sz w:val="24"/>
        </w:rPr>
        <w:t>填报要求：</w:t>
      </w:r>
    </w:p>
    <w:p>
      <w:pPr>
        <w:pStyle w:val="80"/>
        <w:numPr>
          <w:ilvl w:val="0"/>
          <w:numId w:val="13"/>
        </w:numPr>
        <w:tabs>
          <w:tab w:val="left" w:pos="0"/>
        </w:tabs>
        <w:bidi w:val="0"/>
        <w:spacing w:line="360" w:lineRule="auto"/>
        <w:ind w:left="0" w:firstLine="141" w:firstLineChars="59"/>
        <w:rPr>
          <w:rStyle w:val="25"/>
          <w:rFonts w:hint="eastAsia" w:ascii="宋体" w:hAnsi="宋体" w:eastAsia="宋体" w:cs="Times New Roman"/>
          <w:sz w:val="24"/>
        </w:rPr>
      </w:pPr>
      <w:r>
        <w:rPr>
          <w:rStyle w:val="25"/>
          <w:rFonts w:hint="eastAsia" w:ascii="宋体" w:hAnsi="宋体" w:eastAsia="宋体" w:cs="Times New Roman"/>
          <w:sz w:val="24"/>
        </w:rPr>
        <w:t>依据商务评审中的业绩要求填写本表并提供相关证明材料，合同可只提供首页、含金额页、盖章页。</w:t>
      </w:r>
    </w:p>
    <w:p>
      <w:pPr>
        <w:pStyle w:val="80"/>
        <w:numPr>
          <w:ilvl w:val="0"/>
          <w:numId w:val="13"/>
        </w:numPr>
        <w:tabs>
          <w:tab w:val="left" w:pos="0"/>
        </w:tabs>
        <w:bidi w:val="0"/>
        <w:spacing w:line="360" w:lineRule="auto"/>
        <w:ind w:left="0" w:firstLine="141" w:firstLineChars="59"/>
        <w:rPr>
          <w:rStyle w:val="25"/>
          <w:rFonts w:ascii="宋体" w:hAnsi="宋体" w:eastAsia="宋体" w:cs="Times New Roman"/>
          <w:sz w:val="24"/>
        </w:rPr>
      </w:pPr>
      <w:r>
        <w:rPr>
          <w:rStyle w:val="25"/>
          <w:rFonts w:hint="eastAsia" w:ascii="宋体" w:hAnsi="宋体" w:eastAsia="宋体" w:cs="Times New Roman"/>
          <w:sz w:val="24"/>
        </w:rPr>
        <w:t>请投标人严格按照要求提交相关证明材料，否则有可能影响评审结果。</w:t>
      </w:r>
    </w:p>
    <w:p>
      <w:pPr>
        <w:pStyle w:val="80"/>
        <w:tabs>
          <w:tab w:val="left" w:pos="1050"/>
          <w:tab w:val="left" w:pos="1838"/>
        </w:tabs>
        <w:bidi w:val="0"/>
        <w:spacing w:line="360" w:lineRule="auto"/>
        <w:ind w:left="2"/>
        <w:rPr>
          <w:rStyle w:val="25"/>
          <w:rFonts w:hint="eastAsia" w:ascii="宋体" w:hAnsi="宋体" w:eastAsia="宋体" w:cs="Times New Roman"/>
          <w:sz w:val="24"/>
        </w:rPr>
      </w:pPr>
    </w:p>
    <w:p>
      <w:pPr>
        <w:pStyle w:val="81"/>
        <w:bidi w:val="0"/>
        <w:spacing w:line="360" w:lineRule="auto"/>
        <w:jc w:val="center"/>
        <w:rPr>
          <w:rStyle w:val="25"/>
          <w:rFonts w:ascii="宋体" w:hAnsi="宋体" w:eastAsia="宋体" w:cs="Arial"/>
          <w:sz w:val="28"/>
          <w:szCs w:val="28"/>
          <w:lang w:val="en-US" w:eastAsia="zh-CN" w:bidi="ar-SA"/>
        </w:rPr>
      </w:pPr>
      <w:r>
        <w:rPr>
          <w:rStyle w:val="25"/>
          <w:rFonts w:hint="eastAsia" w:ascii="宋体" w:hAnsi="宋体" w:eastAsia="宋体"/>
          <w:b/>
          <w:sz w:val="28"/>
          <w:szCs w:val="28"/>
          <w:lang w:val="en-US" w:eastAsia="zh-CN" w:bidi="ar-SA"/>
        </w:rPr>
        <w:t>证书一览表</w:t>
      </w:r>
    </w:p>
    <w:tbl>
      <w:tblPr>
        <w:tblStyle w:val="23"/>
        <w:tblW w:w="5000" w:type="pct"/>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147"/>
        <w:gridCol w:w="2598"/>
        <w:gridCol w:w="2600"/>
        <w:gridCol w:w="2355"/>
      </w:tblGrid>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107" w:type="pct"/>
            <w:tcBorders>
              <w:top w:val="single" w:color="auto" w:sz="4" w:space="0"/>
              <w:left w:val="single" w:color="auto" w:sz="4" w:space="0"/>
              <w:bottom w:val="single" w:color="auto" w:sz="4" w:space="0"/>
            </w:tcBorders>
            <w:noWrap w:val="0"/>
            <w:vAlign w:val="top"/>
          </w:tcPr>
          <w:p>
            <w:pPr>
              <w:pStyle w:val="81"/>
              <w:bidi w:val="0"/>
              <w:spacing w:line="360" w:lineRule="auto"/>
              <w:jc w:val="center"/>
              <w:rPr>
                <w:rStyle w:val="25"/>
                <w:rFonts w:ascii="宋体" w:hAnsi="宋体" w:eastAsia="宋体" w:cs="Arial"/>
                <w:bCs/>
                <w:kern w:val="0"/>
                <w:sz w:val="24"/>
                <w:szCs w:val="24"/>
                <w:lang w:val="en-US" w:eastAsia="zh-CN" w:bidi="ar-SA"/>
              </w:rPr>
            </w:pPr>
            <w:r>
              <w:rPr>
                <w:rStyle w:val="25"/>
                <w:rFonts w:hint="eastAsia" w:ascii="宋体" w:hAnsi="宋体" w:eastAsia="宋体" w:cs="Arial"/>
                <w:bCs/>
                <w:kern w:val="0"/>
                <w:sz w:val="24"/>
                <w:szCs w:val="24"/>
                <w:lang w:val="en-US" w:eastAsia="zh-CN" w:bidi="ar-SA"/>
              </w:rPr>
              <w:t>证书名称</w:t>
            </w:r>
          </w:p>
        </w:tc>
        <w:tc>
          <w:tcPr>
            <w:tcW w:w="1339" w:type="pct"/>
            <w:tcBorders>
              <w:top w:val="single" w:color="auto" w:sz="4" w:space="0"/>
              <w:bottom w:val="single" w:color="auto" w:sz="4" w:space="0"/>
            </w:tcBorders>
            <w:noWrap w:val="0"/>
            <w:vAlign w:val="top"/>
          </w:tcPr>
          <w:p>
            <w:pPr>
              <w:pStyle w:val="81"/>
              <w:bidi w:val="0"/>
              <w:spacing w:line="360" w:lineRule="auto"/>
              <w:jc w:val="center"/>
              <w:rPr>
                <w:rStyle w:val="25"/>
                <w:rFonts w:ascii="宋体" w:hAnsi="宋体" w:eastAsia="宋体" w:cs="Arial"/>
                <w:bCs/>
                <w:kern w:val="0"/>
                <w:sz w:val="24"/>
                <w:szCs w:val="24"/>
                <w:lang w:val="en-US" w:eastAsia="zh-CN" w:bidi="ar-SA"/>
              </w:rPr>
            </w:pPr>
            <w:r>
              <w:rPr>
                <w:rStyle w:val="25"/>
                <w:rFonts w:hint="eastAsia" w:ascii="宋体" w:hAnsi="宋体" w:eastAsia="宋体" w:cs="Arial"/>
                <w:bCs/>
                <w:kern w:val="0"/>
                <w:sz w:val="24"/>
                <w:szCs w:val="24"/>
                <w:lang w:val="en-US" w:eastAsia="zh-CN" w:bidi="ar-SA"/>
              </w:rPr>
              <w:t>发证单位</w:t>
            </w:r>
          </w:p>
        </w:tc>
        <w:tc>
          <w:tcPr>
            <w:tcW w:w="1340" w:type="pct"/>
            <w:tcBorders>
              <w:top w:val="single" w:color="auto" w:sz="4" w:space="0"/>
              <w:bottom w:val="single" w:color="auto" w:sz="4" w:space="0"/>
            </w:tcBorders>
            <w:noWrap w:val="0"/>
            <w:vAlign w:val="top"/>
          </w:tcPr>
          <w:p>
            <w:pPr>
              <w:pStyle w:val="81"/>
              <w:bidi w:val="0"/>
              <w:spacing w:line="360" w:lineRule="auto"/>
              <w:jc w:val="center"/>
              <w:rPr>
                <w:rStyle w:val="25"/>
                <w:rFonts w:ascii="宋体" w:hAnsi="宋体" w:eastAsia="宋体" w:cs="Arial"/>
                <w:bCs/>
                <w:kern w:val="0"/>
                <w:sz w:val="24"/>
                <w:szCs w:val="24"/>
                <w:lang w:val="en-US" w:eastAsia="zh-CN" w:bidi="ar-SA"/>
              </w:rPr>
            </w:pPr>
            <w:r>
              <w:rPr>
                <w:rStyle w:val="25"/>
                <w:rFonts w:hint="eastAsia" w:ascii="宋体" w:hAnsi="宋体" w:eastAsia="宋体" w:cs="Arial"/>
                <w:bCs/>
                <w:kern w:val="0"/>
                <w:sz w:val="24"/>
                <w:szCs w:val="24"/>
                <w:lang w:val="en-US" w:eastAsia="zh-CN" w:bidi="ar-SA"/>
              </w:rPr>
              <w:t>证书等级</w:t>
            </w:r>
          </w:p>
        </w:tc>
        <w:tc>
          <w:tcPr>
            <w:tcW w:w="1215" w:type="pct"/>
            <w:tcBorders>
              <w:top w:val="single" w:color="auto" w:sz="4" w:space="0"/>
              <w:bottom w:val="single" w:color="auto" w:sz="4" w:space="0"/>
              <w:right w:val="single" w:color="auto" w:sz="4" w:space="0"/>
            </w:tcBorders>
            <w:noWrap w:val="0"/>
            <w:vAlign w:val="top"/>
          </w:tcPr>
          <w:p>
            <w:pPr>
              <w:pStyle w:val="81"/>
              <w:bidi w:val="0"/>
              <w:spacing w:line="360" w:lineRule="auto"/>
              <w:jc w:val="center"/>
              <w:rPr>
                <w:rStyle w:val="25"/>
                <w:rFonts w:ascii="宋体" w:hAnsi="宋体" w:eastAsia="宋体" w:cs="Arial"/>
                <w:bCs/>
                <w:kern w:val="0"/>
                <w:sz w:val="24"/>
                <w:szCs w:val="24"/>
                <w:lang w:val="en-US" w:eastAsia="zh-CN" w:bidi="ar-SA"/>
              </w:rPr>
            </w:pPr>
            <w:r>
              <w:rPr>
                <w:rStyle w:val="25"/>
                <w:rFonts w:hint="eastAsia" w:ascii="宋体" w:hAnsi="宋体" w:eastAsia="宋体" w:cs="Arial"/>
                <w:bCs/>
                <w:kern w:val="0"/>
                <w:sz w:val="24"/>
                <w:szCs w:val="24"/>
                <w:lang w:val="en-US" w:eastAsia="zh-CN" w:bidi="ar-SA"/>
              </w:rPr>
              <w:t>证书有效期</w:t>
            </w: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1107" w:type="pct"/>
            <w:tcBorders>
              <w:top w:val="single" w:color="auto" w:sz="4" w:space="0"/>
              <w:lef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tcBorders>
              <w:top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tcBorders>
              <w:top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top w:val="single" w:color="auto" w:sz="4" w:space="0"/>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1107" w:type="pct"/>
            <w:tcBorders>
              <w:lef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1107" w:type="pct"/>
            <w:tcBorders>
              <w:lef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1107" w:type="pct"/>
            <w:tcBorders>
              <w:lef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c>
          <w:tcPr>
            <w:tcW w:w="1107" w:type="pct"/>
            <w:tcBorders>
              <w:lef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r>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PrEx>
        <w:tc>
          <w:tcPr>
            <w:tcW w:w="1107" w:type="pct"/>
            <w:tcBorders>
              <w:left w:val="single" w:color="auto" w:sz="4" w:space="0"/>
              <w:bottom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39" w:type="pct"/>
            <w:tcBorders>
              <w:bottom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340" w:type="pct"/>
            <w:tcBorders>
              <w:bottom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c>
          <w:tcPr>
            <w:tcW w:w="1215" w:type="pct"/>
            <w:tcBorders>
              <w:bottom w:val="single" w:color="auto" w:sz="4" w:space="0"/>
              <w:right w:val="single" w:color="auto" w:sz="4" w:space="0"/>
            </w:tcBorders>
            <w:noWrap w:val="0"/>
            <w:vAlign w:val="top"/>
          </w:tcPr>
          <w:p>
            <w:pPr>
              <w:pStyle w:val="81"/>
              <w:bidi w:val="0"/>
              <w:spacing w:line="360" w:lineRule="auto"/>
              <w:jc w:val="center"/>
              <w:rPr>
                <w:rStyle w:val="25"/>
                <w:rFonts w:ascii="宋体" w:hAnsi="宋体" w:eastAsia="宋体" w:cs="Arial"/>
                <w:kern w:val="0"/>
                <w:sz w:val="24"/>
                <w:szCs w:val="24"/>
                <w:lang w:val="en-US" w:eastAsia="zh-CN" w:bidi="ar-SA"/>
              </w:rPr>
            </w:pPr>
          </w:p>
        </w:tc>
      </w:tr>
    </w:tbl>
    <w:p>
      <w:pPr>
        <w:pStyle w:val="81"/>
        <w:tabs>
          <w:tab w:val="left" w:pos="1050"/>
        </w:tabs>
        <w:bidi w:val="0"/>
        <w:spacing w:line="360" w:lineRule="auto"/>
        <w:jc w:val="both"/>
        <w:rPr>
          <w:rStyle w:val="25"/>
          <w:rFonts w:hint="eastAsia" w:ascii="宋体" w:hAnsi="宋体" w:eastAsia="宋体"/>
          <w:sz w:val="24"/>
          <w:szCs w:val="24"/>
          <w:lang w:val="en-US" w:eastAsia="zh-CN" w:bidi="ar-SA"/>
        </w:rPr>
      </w:pPr>
      <w:r>
        <w:rPr>
          <w:rStyle w:val="25"/>
          <w:rFonts w:hint="eastAsia" w:ascii="宋体" w:hAnsi="宋体" w:eastAsia="宋体"/>
          <w:sz w:val="24"/>
          <w:szCs w:val="24"/>
          <w:lang w:val="en-US" w:eastAsia="zh-CN" w:bidi="ar-SA"/>
        </w:rPr>
        <w:t>填报要求：</w:t>
      </w:r>
    </w:p>
    <w:p>
      <w:pPr>
        <w:pStyle w:val="67"/>
        <w:numPr>
          <w:ilvl w:val="0"/>
          <w:numId w:val="0"/>
        </w:numPr>
        <w:tabs>
          <w:tab w:val="left" w:pos="0"/>
        </w:tabs>
        <w:bidi w:val="0"/>
        <w:spacing w:line="360" w:lineRule="auto"/>
        <w:ind w:leftChars="0"/>
        <w:jc w:val="both"/>
        <w:rPr>
          <w:rStyle w:val="25"/>
          <w:rFonts w:ascii="宋体" w:hAnsi="宋体" w:eastAsia="宋体"/>
          <w:color w:val="0000FF"/>
          <w:sz w:val="24"/>
          <w:szCs w:val="24"/>
          <w:lang w:val="en-US" w:eastAsia="zh-CN" w:bidi="ar-SA"/>
        </w:rPr>
      </w:pPr>
      <w:r>
        <w:rPr>
          <w:rStyle w:val="25"/>
          <w:rFonts w:hint="eastAsia" w:ascii="宋体" w:hAnsi="宋体"/>
          <w:sz w:val="24"/>
          <w:szCs w:val="24"/>
          <w:lang w:val="en-US" w:eastAsia="zh-CN" w:bidi="ar-SA"/>
        </w:rPr>
        <w:t>1.</w:t>
      </w:r>
      <w:r>
        <w:rPr>
          <w:rStyle w:val="25"/>
          <w:rFonts w:hint="eastAsia" w:ascii="宋体" w:hAnsi="宋体" w:eastAsia="宋体"/>
          <w:sz w:val="24"/>
          <w:szCs w:val="24"/>
          <w:lang w:val="en-US" w:eastAsia="zh-CN" w:bidi="ar-SA"/>
        </w:rPr>
        <w:t>填写投标人获得资质、认证或企业信誉证书。</w:t>
      </w:r>
      <w:r>
        <w:rPr>
          <w:rStyle w:val="25"/>
          <w:rFonts w:hint="eastAsia" w:ascii="宋体" w:hAnsi="宋体" w:eastAsia="宋体"/>
          <w:color w:val="0000FF"/>
          <w:sz w:val="24"/>
          <w:szCs w:val="24"/>
          <w:lang w:val="en-US" w:eastAsia="zh-CN" w:bidi="ar-SA"/>
        </w:rPr>
        <w:t>（或根据评分项对应内容的要求填写）</w:t>
      </w:r>
    </w:p>
    <w:p>
      <w:pPr>
        <w:pStyle w:val="67"/>
        <w:numPr>
          <w:ilvl w:val="0"/>
          <w:numId w:val="0"/>
        </w:numPr>
        <w:tabs>
          <w:tab w:val="left" w:pos="1050"/>
        </w:tabs>
        <w:bidi w:val="0"/>
        <w:spacing w:line="360" w:lineRule="auto"/>
        <w:ind w:leftChars="0"/>
        <w:jc w:val="both"/>
        <w:rPr>
          <w:rStyle w:val="25"/>
          <w:rFonts w:ascii="宋体" w:hAnsi="宋体" w:eastAsia="宋体"/>
          <w:sz w:val="24"/>
          <w:szCs w:val="24"/>
          <w:lang w:val="en-US" w:eastAsia="zh-CN" w:bidi="ar-SA"/>
        </w:rPr>
      </w:pPr>
      <w:r>
        <w:rPr>
          <w:rStyle w:val="25"/>
          <w:rFonts w:hint="eastAsia" w:ascii="宋体" w:hAnsi="宋体"/>
          <w:sz w:val="24"/>
          <w:szCs w:val="24"/>
          <w:lang w:val="en-US" w:eastAsia="zh-CN" w:bidi="ar-SA"/>
        </w:rPr>
        <w:t>2.</w:t>
      </w:r>
      <w:r>
        <w:rPr>
          <w:rStyle w:val="25"/>
          <w:rFonts w:hint="eastAsia" w:ascii="宋体" w:hAnsi="宋体" w:eastAsia="宋体"/>
          <w:sz w:val="24"/>
          <w:szCs w:val="24"/>
          <w:lang w:val="en-US" w:eastAsia="zh-CN" w:bidi="ar-SA"/>
        </w:rPr>
        <w:t>请提供本表所列的证书资料。</w:t>
      </w:r>
    </w:p>
    <w:p>
      <w:pPr>
        <w:pStyle w:val="82"/>
        <w:bidi w:val="0"/>
        <w:rPr>
          <w:rStyle w:val="25"/>
          <w:rFonts w:hint="eastAsia" w:ascii="Calibri" w:hAnsi="Calibri" w:eastAsia="宋体" w:cs="Times New Roman"/>
        </w:rPr>
      </w:pPr>
    </w:p>
    <w:p>
      <w:pPr>
        <w:pStyle w:val="5"/>
        <w:jc w:val="center"/>
        <w:outlineLvl w:val="0"/>
        <w:rPr>
          <w:rFonts w:hint="eastAsia" w:ascii="宋体" w:hAnsi="宋体" w:cs="宋体"/>
          <w:sz w:val="28"/>
          <w:szCs w:val="28"/>
        </w:rPr>
        <w:sectPr>
          <w:pgSz w:w="11905" w:h="16838"/>
          <w:pgMar w:top="1140" w:right="1202" w:bottom="1162" w:left="1219" w:header="851" w:footer="992" w:gutter="0"/>
          <w:pgNumType w:fmt="decimal"/>
          <w:cols w:space="720" w:num="1"/>
          <w:docGrid w:type="lines" w:linePitch="316" w:charSpace="0"/>
        </w:sectPr>
      </w:pPr>
    </w:p>
    <w:p>
      <w:pPr>
        <w:spacing w:line="360" w:lineRule="auto"/>
        <w:outlineLvl w:val="2"/>
        <w:rPr>
          <w:rFonts w:hint="eastAsia" w:ascii="宋体" w:hAnsi="宋体" w:cs="宋体"/>
          <w:b w:val="0"/>
          <w:bCs/>
          <w:sz w:val="28"/>
          <w:szCs w:val="28"/>
          <w:u w:val="none"/>
          <w:lang w:val="en-US" w:eastAsia="zh-CN"/>
        </w:rPr>
      </w:pPr>
      <w:r>
        <w:rPr>
          <w:rStyle w:val="25"/>
          <w:rFonts w:hint="eastAsia" w:ascii="宋体" w:hAnsi="宋体" w:cs="宋体"/>
          <w:sz w:val="24"/>
          <w:szCs w:val="24"/>
          <w:lang w:val="en-US" w:eastAsia="zh-CN"/>
        </w:rPr>
        <w:t>十、</w:t>
      </w:r>
      <w:r>
        <w:rPr>
          <w:rStyle w:val="25"/>
          <w:rFonts w:hint="eastAsia" w:ascii="宋体" w:hAnsi="宋体" w:eastAsia="宋体" w:cs="宋体"/>
          <w:sz w:val="24"/>
          <w:szCs w:val="24"/>
          <w:lang w:val="en-US" w:eastAsia="zh-CN"/>
        </w:rPr>
        <w:t xml:space="preserve"> 质量保证承诺书</w:t>
      </w:r>
    </w:p>
    <w:p>
      <w:pPr>
        <w:pStyle w:val="5"/>
        <w:jc w:val="center"/>
        <w:outlineLvl w:val="0"/>
        <w:rPr>
          <w:rFonts w:ascii="宋体" w:hAnsi="宋体" w:cs="宋体"/>
          <w:kern w:val="0"/>
          <w:sz w:val="28"/>
          <w:szCs w:val="28"/>
          <w:u w:val="none"/>
        </w:rPr>
      </w:pPr>
      <w:r>
        <w:rPr>
          <w:rFonts w:hint="eastAsia" w:ascii="宋体" w:hAnsi="宋体" w:cs="宋体"/>
          <w:sz w:val="28"/>
          <w:szCs w:val="28"/>
          <w:u w:val="none"/>
        </w:rPr>
        <w:t>质量保证</w:t>
      </w:r>
      <w:r>
        <w:rPr>
          <w:rFonts w:hint="eastAsia" w:ascii="宋体" w:hAnsi="宋体" w:cs="宋体"/>
          <w:sz w:val="28"/>
          <w:szCs w:val="28"/>
          <w:u w:val="none"/>
          <w:lang w:val="en-US" w:eastAsia="zh-CN"/>
        </w:rPr>
        <w:t>承诺</w:t>
      </w:r>
      <w:r>
        <w:rPr>
          <w:rFonts w:hint="eastAsia" w:ascii="宋体" w:hAnsi="宋体" w:cs="宋体"/>
          <w:sz w:val="28"/>
          <w:szCs w:val="28"/>
          <w:u w:val="none"/>
        </w:rPr>
        <w:t>书</w:t>
      </w:r>
      <w:bookmarkEnd w:id="492"/>
      <w:bookmarkEnd w:id="493"/>
      <w:bookmarkEnd w:id="494"/>
      <w:bookmarkEnd w:id="495"/>
    </w:p>
    <w:p>
      <w:pPr>
        <w:spacing w:line="360" w:lineRule="auto"/>
        <w:rPr>
          <w:rFonts w:ascii="宋体" w:hAnsi="宋体" w:cs="宋体"/>
          <w:b/>
          <w:sz w:val="24"/>
        </w:rPr>
      </w:pPr>
      <w:r>
        <w:rPr>
          <w:rFonts w:hint="eastAsia" w:ascii="宋体" w:hAnsi="宋体" w:cs="宋体"/>
          <w:b/>
          <w:sz w:val="24"/>
        </w:rPr>
        <w:t>要求：</w:t>
      </w:r>
    </w:p>
    <w:p>
      <w:pPr>
        <w:adjustRightInd w:val="0"/>
        <w:snapToGrid w:val="0"/>
        <w:spacing w:line="360" w:lineRule="auto"/>
        <w:rPr>
          <w:rFonts w:hint="eastAsia" w:ascii="宋体" w:hAnsi="宋体"/>
          <w:sz w:val="21"/>
          <w:szCs w:val="21"/>
        </w:rPr>
      </w:pPr>
      <w:r>
        <w:rPr>
          <w:rFonts w:hint="eastAsia" w:ascii="宋体" w:hAnsi="宋体"/>
          <w:sz w:val="21"/>
          <w:szCs w:val="21"/>
        </w:rPr>
        <w:t>1、未发生产品质量事故和用户使用的事故；</w:t>
      </w:r>
    </w:p>
    <w:p>
      <w:pPr>
        <w:adjustRightInd w:val="0"/>
        <w:snapToGrid w:val="0"/>
        <w:spacing w:line="360" w:lineRule="auto"/>
        <w:rPr>
          <w:rFonts w:hint="eastAsia" w:ascii="宋体" w:hAnsi="宋体"/>
          <w:sz w:val="21"/>
          <w:szCs w:val="21"/>
        </w:rPr>
      </w:pPr>
      <w:r>
        <w:rPr>
          <w:rFonts w:hint="eastAsia" w:ascii="宋体" w:hAnsi="宋体"/>
          <w:sz w:val="21"/>
          <w:szCs w:val="21"/>
        </w:rPr>
        <w:t>2、保证产品不发生质量问题等。</w:t>
      </w:r>
    </w:p>
    <w:p>
      <w:pPr>
        <w:adjustRightInd w:val="0"/>
        <w:snapToGrid w:val="0"/>
        <w:spacing w:line="360" w:lineRule="auto"/>
        <w:rPr>
          <w:rFonts w:hint="eastAsia" w:ascii="宋体" w:hAnsi="宋体"/>
          <w:sz w:val="21"/>
          <w:szCs w:val="21"/>
        </w:rPr>
      </w:pPr>
    </w:p>
    <w:p>
      <w:pPr>
        <w:adjustRightInd w:val="0"/>
        <w:snapToGrid w:val="0"/>
        <w:spacing w:line="360" w:lineRule="auto"/>
        <w:rPr>
          <w:rFonts w:hint="eastAsia" w:ascii="宋体" w:hAnsi="宋体"/>
          <w:sz w:val="21"/>
          <w:szCs w:val="21"/>
        </w:rPr>
      </w:pPr>
    </w:p>
    <w:p>
      <w:pPr>
        <w:adjustRightInd w:val="0"/>
        <w:snapToGrid w:val="0"/>
        <w:spacing w:line="360" w:lineRule="auto"/>
        <w:rPr>
          <w:rFonts w:hint="eastAsia" w:ascii="宋体" w:hAnsi="宋体"/>
          <w:sz w:val="21"/>
          <w:szCs w:val="21"/>
        </w:rPr>
      </w:pPr>
      <w:r>
        <w:rPr>
          <w:rFonts w:hint="eastAsia" w:ascii="宋体" w:hAnsi="宋体"/>
          <w:sz w:val="21"/>
          <w:szCs w:val="21"/>
        </w:rPr>
        <w:t>投标单位：（盖章）</w:t>
      </w:r>
    </w:p>
    <w:p>
      <w:pPr>
        <w:adjustRightInd w:val="0"/>
        <w:snapToGrid w:val="0"/>
        <w:spacing w:line="360" w:lineRule="auto"/>
        <w:rPr>
          <w:rFonts w:hint="eastAsia" w:ascii="宋体" w:hAnsi="宋体"/>
          <w:sz w:val="21"/>
          <w:szCs w:val="21"/>
        </w:rPr>
      </w:pPr>
    </w:p>
    <w:p>
      <w:pPr>
        <w:adjustRightInd w:val="0"/>
        <w:snapToGrid w:val="0"/>
        <w:spacing w:line="360" w:lineRule="auto"/>
        <w:rPr>
          <w:rFonts w:hint="eastAsia" w:ascii="宋体" w:hAnsi="宋体"/>
          <w:sz w:val="21"/>
          <w:szCs w:val="21"/>
        </w:rPr>
      </w:pPr>
      <w:r>
        <w:rPr>
          <w:rFonts w:hint="eastAsia" w:ascii="宋体" w:hAnsi="宋体"/>
          <w:sz w:val="21"/>
          <w:szCs w:val="21"/>
        </w:rPr>
        <w:t>法定代表人或被授权代理人签字：</w:t>
      </w:r>
    </w:p>
    <w:p>
      <w:pPr>
        <w:adjustRightInd w:val="0"/>
        <w:snapToGrid w:val="0"/>
        <w:spacing w:line="360" w:lineRule="auto"/>
        <w:rPr>
          <w:rFonts w:hint="eastAsia" w:ascii="宋体" w:hAnsi="宋体"/>
          <w:sz w:val="21"/>
          <w:szCs w:val="21"/>
        </w:rPr>
      </w:pPr>
    </w:p>
    <w:p>
      <w:pPr>
        <w:adjustRightInd w:val="0"/>
        <w:snapToGrid w:val="0"/>
        <w:spacing w:line="360" w:lineRule="auto"/>
        <w:rPr>
          <w:rFonts w:hint="eastAsia" w:ascii="宋体" w:hAnsi="宋体"/>
          <w:sz w:val="21"/>
          <w:szCs w:val="21"/>
        </w:rPr>
      </w:pPr>
      <w:r>
        <w:rPr>
          <w:rFonts w:hint="eastAsia" w:ascii="宋体" w:hAnsi="宋体"/>
          <w:sz w:val="21"/>
          <w:szCs w:val="21"/>
        </w:rPr>
        <w:t>日期：</w:t>
      </w:r>
    </w:p>
    <w:p>
      <w:pPr>
        <w:adjustRightInd w:val="0"/>
        <w:snapToGrid w:val="0"/>
        <w:spacing w:line="360" w:lineRule="auto"/>
        <w:rPr>
          <w:rFonts w:hint="eastAsia" w:ascii="宋体" w:hAnsi="宋体"/>
          <w:sz w:val="21"/>
          <w:szCs w:val="21"/>
        </w:rPr>
      </w:pPr>
    </w:p>
    <w:p>
      <w:pPr>
        <w:widowControl/>
        <w:spacing w:line="240" w:lineRule="auto"/>
        <w:jc w:val="left"/>
        <w:rPr>
          <w:rFonts w:ascii="宋体" w:hAnsi="宋体"/>
          <w:b/>
          <w:sz w:val="24"/>
          <w:szCs w:val="24"/>
        </w:rPr>
      </w:pPr>
    </w:p>
    <w:p>
      <w:pPr>
        <w:pStyle w:val="7"/>
      </w:pPr>
    </w:p>
    <w:p>
      <w:pPr>
        <w:pStyle w:val="7"/>
      </w:pPr>
    </w:p>
    <w:p>
      <w:pPr>
        <w:spacing w:line="360" w:lineRule="auto"/>
        <w:rPr>
          <w:rFonts w:ascii="宋体" w:hAnsi="宋体" w:cs="仿宋"/>
          <w:b/>
          <w:bCs/>
          <w:kern w:val="0"/>
          <w:sz w:val="24"/>
          <w:szCs w:val="24"/>
        </w:rPr>
      </w:pPr>
      <w:r>
        <w:rPr>
          <w:rFonts w:ascii="宋体" w:hAnsi="宋体"/>
          <w:b/>
          <w:sz w:val="24"/>
          <w:szCs w:val="24"/>
        </w:rPr>
        <w:br w:type="page"/>
      </w:r>
    </w:p>
    <w:p>
      <w:pPr>
        <w:spacing w:line="360" w:lineRule="auto"/>
        <w:outlineLvl w:val="2"/>
        <w:rPr>
          <w:rStyle w:val="25"/>
          <w:rFonts w:hint="eastAsia" w:ascii="宋体" w:hAnsi="宋体" w:eastAsia="宋体" w:cs="宋体"/>
          <w:sz w:val="24"/>
          <w:szCs w:val="24"/>
          <w:lang w:val="en-US" w:eastAsia="zh-CN"/>
        </w:rPr>
      </w:pPr>
      <w:bookmarkStart w:id="497" w:name="_Toc394307583"/>
      <w:bookmarkStart w:id="498" w:name="_Toc5017"/>
      <w:bookmarkStart w:id="499" w:name="_Toc5080"/>
      <w:bookmarkStart w:id="500" w:name="_Toc11935"/>
      <w:bookmarkStart w:id="501" w:name="_Toc16843"/>
      <w:r>
        <w:rPr>
          <w:rStyle w:val="25"/>
          <w:rFonts w:hint="eastAsia" w:ascii="宋体" w:hAnsi="宋体" w:cs="宋体"/>
          <w:sz w:val="24"/>
          <w:szCs w:val="24"/>
          <w:lang w:val="en-US" w:eastAsia="zh-CN"/>
        </w:rPr>
        <w:t>十一、</w:t>
      </w:r>
      <w:r>
        <w:rPr>
          <w:rStyle w:val="25"/>
          <w:rFonts w:hint="eastAsia" w:ascii="宋体" w:hAnsi="宋体" w:eastAsia="宋体" w:cs="宋体"/>
          <w:sz w:val="24"/>
          <w:szCs w:val="24"/>
          <w:lang w:val="en-US" w:eastAsia="zh-CN"/>
        </w:rPr>
        <w:t>售后服务情况表</w:t>
      </w:r>
      <w:bookmarkEnd w:id="497"/>
    </w:p>
    <w:p>
      <w:pPr>
        <w:pStyle w:val="5"/>
        <w:jc w:val="center"/>
        <w:rPr>
          <w:rFonts w:hint="eastAsia"/>
          <w:u w:val="none"/>
          <w:lang w:val="en-US" w:eastAsia="zh-CN"/>
        </w:rPr>
      </w:pPr>
      <w:r>
        <w:rPr>
          <w:rStyle w:val="25"/>
          <w:rFonts w:hint="eastAsia" w:ascii="宋体" w:hAnsi="宋体" w:eastAsia="宋体" w:cs="宋体"/>
          <w:sz w:val="24"/>
          <w:szCs w:val="24"/>
          <w:u w:val="none"/>
          <w:lang w:val="en-US" w:eastAsia="zh-CN"/>
        </w:rPr>
        <w:t>售后服务情况表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2679"/>
        <w:gridCol w:w="4619"/>
        <w:gridCol w:w="156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18" w:hRule="atLeast"/>
          <w:jc w:val="center"/>
        </w:trPr>
        <w:tc>
          <w:tcPr>
            <w:tcW w:w="433"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序号</w:t>
            </w:r>
          </w:p>
        </w:tc>
        <w:tc>
          <w:tcPr>
            <w:tcW w:w="1381"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项目</w:t>
            </w:r>
          </w:p>
        </w:tc>
        <w:tc>
          <w:tcPr>
            <w:tcW w:w="2381"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投标人承诺</w:t>
            </w:r>
          </w:p>
        </w:tc>
        <w:tc>
          <w:tcPr>
            <w:tcW w:w="805"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kern w:val="2"/>
                <w:sz w:val="24"/>
                <w:szCs w:val="24"/>
                <w:lang w:val="en-US" w:eastAsia="zh-CN" w:bidi="ar-SA"/>
              </w:rPr>
            </w:pPr>
            <w:r>
              <w:rPr>
                <w:rStyle w:val="25"/>
                <w:rFonts w:hint="eastAsia" w:ascii="宋体" w:hAnsi="宋体" w:eastAsia="宋体" w:cs="Arial"/>
                <w:kern w:val="2"/>
                <w:sz w:val="24"/>
                <w:szCs w:val="24"/>
                <w:lang w:val="en-US" w:eastAsia="zh-CN" w:bidi="ar-SA"/>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58" w:hRule="atLeast"/>
          <w:jc w:val="center"/>
        </w:trPr>
        <w:tc>
          <w:tcPr>
            <w:tcW w:w="433" w:type="pct"/>
            <w:vMerge w:val="restar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1</w:t>
            </w:r>
          </w:p>
        </w:tc>
        <w:tc>
          <w:tcPr>
            <w:tcW w:w="1381" w:type="pct"/>
            <w:vMerge w:val="restar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保修期内售后服务情况(可用附页和宣传材料)</w:t>
            </w:r>
          </w:p>
        </w:tc>
        <w:tc>
          <w:tcPr>
            <w:tcW w:w="2381" w:type="pct"/>
            <w:tcBorders>
              <w:top w:val="single" w:color="auto" w:sz="4" w:space="0"/>
              <w:left w:val="single" w:color="auto" w:sz="4" w:space="0"/>
              <w:bottom w:val="single" w:color="auto" w:sz="4" w:space="0"/>
              <w:right w:val="single" w:color="auto" w:sz="4" w:space="0"/>
            </w:tcBorders>
            <w:noWrap w:val="0"/>
            <w:vAlign w:val="top"/>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生产厂商售后服务情况：</w:t>
            </w:r>
          </w:p>
        </w:tc>
        <w:tc>
          <w:tcPr>
            <w:tcW w:w="805" w:type="pct"/>
            <w:tcBorders>
              <w:top w:val="single" w:color="auto" w:sz="4" w:space="0"/>
              <w:left w:val="single" w:color="auto" w:sz="4" w:space="0"/>
              <w:bottom w:val="single" w:color="auto" w:sz="4" w:space="0"/>
              <w:right w:val="single" w:color="auto" w:sz="4" w:space="0"/>
            </w:tcBorders>
            <w:noWrap w:val="0"/>
            <w:vAlign w:val="top"/>
          </w:tcPr>
          <w:p>
            <w:pPr>
              <w:pStyle w:val="71"/>
              <w:widowControl w:val="0"/>
              <w:bidi w:val="0"/>
              <w:spacing w:line="360" w:lineRule="auto"/>
              <w:jc w:val="both"/>
              <w:rPr>
                <w:rStyle w:val="25"/>
                <w:rFonts w:ascii="宋体" w:hAnsi="宋体" w:eastAsia="宋体" w:cs="Arial"/>
                <w:bCs/>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90" w:hRule="atLeast"/>
          <w:jc w:val="center"/>
        </w:trPr>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pStyle w:val="71"/>
              <w:widowControl/>
              <w:bidi w:val="0"/>
              <w:jc w:val="left"/>
              <w:rPr>
                <w:rStyle w:val="25"/>
                <w:rFonts w:ascii="宋体" w:hAnsi="宋体" w:eastAsia="宋体" w:cs="Arial"/>
                <w:bCs/>
                <w:kern w:val="2"/>
                <w:sz w:val="24"/>
                <w:szCs w:val="24"/>
                <w:lang w:val="en-US" w:eastAsia="zh-CN" w:bidi="ar-SA"/>
              </w:rPr>
            </w:pPr>
          </w:p>
        </w:tc>
        <w:tc>
          <w:tcPr>
            <w:tcW w:w="0" w:type="auto"/>
            <w:vMerge w:val="continue"/>
            <w:tcBorders>
              <w:top w:val="single" w:color="auto" w:sz="4" w:space="0"/>
              <w:left w:val="single" w:color="auto" w:sz="4" w:space="0"/>
              <w:bottom w:val="single" w:color="auto" w:sz="4" w:space="0"/>
              <w:right w:val="single" w:color="auto" w:sz="4" w:space="0"/>
            </w:tcBorders>
            <w:noWrap w:val="0"/>
            <w:vAlign w:val="center"/>
          </w:tcPr>
          <w:p>
            <w:pPr>
              <w:pStyle w:val="71"/>
              <w:widowControl/>
              <w:bidi w:val="0"/>
              <w:jc w:val="left"/>
              <w:rPr>
                <w:rStyle w:val="25"/>
                <w:rFonts w:ascii="宋体" w:hAnsi="宋体" w:eastAsia="宋体" w:cs="Arial"/>
                <w:bCs/>
                <w:kern w:val="2"/>
                <w:sz w:val="24"/>
                <w:szCs w:val="24"/>
                <w:lang w:val="en-US" w:eastAsia="zh-CN" w:bidi="ar-SA"/>
              </w:rPr>
            </w:pPr>
          </w:p>
        </w:tc>
        <w:tc>
          <w:tcPr>
            <w:tcW w:w="2381" w:type="pct"/>
            <w:tcBorders>
              <w:top w:val="single" w:color="auto" w:sz="4" w:space="0"/>
              <w:left w:val="single" w:color="auto" w:sz="4" w:space="0"/>
              <w:bottom w:val="single" w:color="auto" w:sz="4" w:space="0"/>
              <w:right w:val="single" w:color="auto" w:sz="4" w:space="0"/>
            </w:tcBorders>
            <w:noWrap w:val="0"/>
            <w:vAlign w:val="top"/>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投标人售后服务情况：</w:t>
            </w:r>
          </w:p>
        </w:tc>
        <w:tc>
          <w:tcPr>
            <w:tcW w:w="805" w:type="pct"/>
            <w:tcBorders>
              <w:top w:val="single" w:color="auto" w:sz="4" w:space="0"/>
              <w:left w:val="single" w:color="auto" w:sz="4" w:space="0"/>
              <w:bottom w:val="single" w:color="auto" w:sz="4" w:space="0"/>
              <w:right w:val="single" w:color="auto" w:sz="4" w:space="0"/>
            </w:tcBorders>
            <w:noWrap w:val="0"/>
            <w:vAlign w:val="top"/>
          </w:tcPr>
          <w:p>
            <w:pPr>
              <w:pStyle w:val="71"/>
              <w:widowControl w:val="0"/>
              <w:bidi w:val="0"/>
              <w:spacing w:line="360" w:lineRule="auto"/>
              <w:jc w:val="left"/>
              <w:rPr>
                <w:rStyle w:val="25"/>
                <w:rFonts w:ascii="宋体" w:hAnsi="宋体" w:eastAsia="宋体" w:cs="Arial"/>
                <w:bCs/>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567" w:hRule="exact"/>
          <w:jc w:val="center"/>
        </w:trPr>
        <w:tc>
          <w:tcPr>
            <w:tcW w:w="433"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center"/>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2</w:t>
            </w:r>
          </w:p>
        </w:tc>
        <w:tc>
          <w:tcPr>
            <w:tcW w:w="1381"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保修期后售后服务</w:t>
            </w:r>
          </w:p>
        </w:tc>
        <w:tc>
          <w:tcPr>
            <w:tcW w:w="2381" w:type="pct"/>
            <w:tcBorders>
              <w:top w:val="single" w:color="auto" w:sz="4" w:space="0"/>
              <w:left w:val="single" w:color="auto" w:sz="4" w:space="0"/>
              <w:bottom w:val="single" w:color="auto" w:sz="4" w:space="0"/>
              <w:right w:val="single" w:color="auto" w:sz="4" w:space="0"/>
            </w:tcBorders>
            <w:noWrap w:val="0"/>
            <w:vAlign w:val="top"/>
          </w:tcPr>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val="0"/>
              <w:bidi w:val="0"/>
              <w:spacing w:line="360" w:lineRule="auto"/>
              <w:jc w:val="both"/>
              <w:rPr>
                <w:rStyle w:val="25"/>
                <w:rFonts w:ascii="宋体" w:hAnsi="宋体" w:eastAsia="宋体" w:cs="Arial"/>
                <w:bCs/>
                <w:kern w:val="2"/>
                <w:sz w:val="24"/>
                <w:szCs w:val="24"/>
                <w:lang w:val="en-US" w:eastAsia="zh-CN" w:bidi="ar-SA"/>
              </w:rPr>
            </w:pPr>
          </w:p>
        </w:tc>
        <w:tc>
          <w:tcPr>
            <w:tcW w:w="805" w:type="pct"/>
            <w:tcBorders>
              <w:top w:val="single" w:color="auto" w:sz="4" w:space="0"/>
              <w:left w:val="single" w:color="auto" w:sz="4" w:space="0"/>
              <w:bottom w:val="single" w:color="auto" w:sz="4" w:space="0"/>
              <w:right w:val="single" w:color="auto" w:sz="4" w:space="0"/>
            </w:tcBorders>
            <w:noWrap w:val="0"/>
            <w:vAlign w:val="top"/>
          </w:tcPr>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val="0"/>
              <w:bidi w:val="0"/>
              <w:spacing w:line="360" w:lineRule="auto"/>
              <w:jc w:val="both"/>
              <w:rPr>
                <w:rStyle w:val="25"/>
                <w:rFonts w:ascii="宋体" w:hAnsi="宋体" w:eastAsia="宋体" w:cs="Arial"/>
                <w:bCs/>
                <w:kern w:val="2"/>
                <w:sz w:val="24"/>
                <w:szCs w:val="24"/>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59" w:hRule="exact"/>
          <w:jc w:val="center"/>
        </w:trPr>
        <w:tc>
          <w:tcPr>
            <w:tcW w:w="433"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 xml:space="preserve">  3</w:t>
            </w:r>
          </w:p>
        </w:tc>
        <w:tc>
          <w:tcPr>
            <w:tcW w:w="1381" w:type="pct"/>
            <w:tcBorders>
              <w:top w:val="single" w:color="auto" w:sz="4" w:space="0"/>
              <w:left w:val="single" w:color="auto" w:sz="4" w:space="0"/>
              <w:bottom w:val="single" w:color="auto" w:sz="4" w:space="0"/>
              <w:right w:val="single" w:color="auto" w:sz="4" w:space="0"/>
            </w:tcBorders>
            <w:noWrap w:val="0"/>
            <w:vAlign w:val="center"/>
          </w:tcPr>
          <w:p>
            <w:pPr>
              <w:pStyle w:val="71"/>
              <w:widowControl w:val="0"/>
              <w:bidi w:val="0"/>
              <w:spacing w:line="360" w:lineRule="auto"/>
              <w:jc w:val="both"/>
              <w:rPr>
                <w:rStyle w:val="25"/>
                <w:rFonts w:ascii="宋体" w:hAnsi="宋体" w:eastAsia="宋体" w:cs="Arial"/>
                <w:bCs/>
                <w:kern w:val="2"/>
                <w:sz w:val="24"/>
                <w:szCs w:val="24"/>
                <w:lang w:val="en-US" w:eastAsia="zh-CN" w:bidi="ar-SA"/>
              </w:rPr>
            </w:pPr>
            <w:r>
              <w:rPr>
                <w:rStyle w:val="25"/>
                <w:rFonts w:hint="eastAsia" w:ascii="宋体" w:hAnsi="宋体" w:eastAsia="宋体" w:cs="Arial"/>
                <w:bCs/>
                <w:kern w:val="2"/>
                <w:sz w:val="24"/>
                <w:szCs w:val="24"/>
                <w:lang w:val="en-US" w:eastAsia="zh-CN" w:bidi="ar-SA"/>
              </w:rPr>
              <w:t>培训方案（可用附页）</w:t>
            </w:r>
          </w:p>
        </w:tc>
        <w:tc>
          <w:tcPr>
            <w:tcW w:w="2381" w:type="pct"/>
            <w:tcBorders>
              <w:top w:val="single" w:color="auto" w:sz="4" w:space="0"/>
              <w:left w:val="single" w:color="auto" w:sz="4" w:space="0"/>
              <w:bottom w:val="single" w:color="auto" w:sz="4" w:space="0"/>
              <w:right w:val="single" w:color="auto" w:sz="4" w:space="0"/>
            </w:tcBorders>
            <w:noWrap w:val="0"/>
            <w:vAlign w:val="top"/>
          </w:tcPr>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val="0"/>
              <w:bidi w:val="0"/>
              <w:spacing w:line="360" w:lineRule="auto"/>
              <w:jc w:val="both"/>
              <w:rPr>
                <w:rStyle w:val="25"/>
                <w:rFonts w:ascii="宋体" w:hAnsi="宋体" w:eastAsia="宋体" w:cs="Arial"/>
                <w:bCs/>
                <w:kern w:val="2"/>
                <w:sz w:val="24"/>
                <w:szCs w:val="24"/>
                <w:lang w:val="en-US" w:eastAsia="zh-CN" w:bidi="ar-SA"/>
              </w:rPr>
            </w:pPr>
          </w:p>
        </w:tc>
        <w:tc>
          <w:tcPr>
            <w:tcW w:w="805" w:type="pct"/>
            <w:tcBorders>
              <w:top w:val="single" w:color="auto" w:sz="4" w:space="0"/>
              <w:left w:val="single" w:color="auto" w:sz="4" w:space="0"/>
              <w:bottom w:val="single" w:color="auto" w:sz="4" w:space="0"/>
              <w:right w:val="single" w:color="auto" w:sz="4" w:space="0"/>
            </w:tcBorders>
            <w:noWrap w:val="0"/>
            <w:vAlign w:val="top"/>
          </w:tcPr>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bidi w:val="0"/>
              <w:spacing w:line="360" w:lineRule="auto"/>
              <w:jc w:val="left"/>
              <w:rPr>
                <w:rStyle w:val="25"/>
                <w:rFonts w:ascii="宋体" w:hAnsi="宋体" w:eastAsia="宋体" w:cs="Arial"/>
                <w:bCs/>
                <w:kern w:val="2"/>
                <w:sz w:val="24"/>
                <w:szCs w:val="24"/>
                <w:lang w:val="en-US" w:eastAsia="zh-CN" w:bidi="ar-SA"/>
              </w:rPr>
            </w:pPr>
          </w:p>
          <w:p>
            <w:pPr>
              <w:pStyle w:val="71"/>
              <w:widowControl w:val="0"/>
              <w:bidi w:val="0"/>
              <w:spacing w:line="360" w:lineRule="auto"/>
              <w:jc w:val="both"/>
              <w:rPr>
                <w:rStyle w:val="25"/>
                <w:rFonts w:ascii="宋体" w:hAnsi="宋体" w:eastAsia="宋体" w:cs="Arial"/>
                <w:bCs/>
                <w:kern w:val="2"/>
                <w:sz w:val="24"/>
                <w:szCs w:val="24"/>
                <w:lang w:val="en-US" w:eastAsia="zh-CN" w:bidi="ar-SA"/>
              </w:rPr>
            </w:pPr>
          </w:p>
        </w:tc>
      </w:tr>
    </w:tbl>
    <w:p>
      <w:pPr>
        <w:widowControl/>
        <w:spacing w:line="240" w:lineRule="auto"/>
        <w:jc w:val="both"/>
        <w:outlineLvl w:val="0"/>
        <w:rPr>
          <w:rFonts w:ascii="宋体" w:hAnsi="宋体" w:cs="仿宋"/>
          <w:b/>
          <w:bCs/>
          <w:kern w:val="0"/>
          <w:sz w:val="28"/>
          <w:szCs w:val="28"/>
        </w:rPr>
      </w:pPr>
      <w:r>
        <w:rPr>
          <w:rFonts w:hint="eastAsia" w:ascii="宋体" w:hAnsi="宋体" w:cs="仿宋"/>
          <w:b/>
          <w:bCs/>
          <w:kern w:val="0"/>
          <w:sz w:val="28"/>
          <w:szCs w:val="28"/>
          <w:lang w:eastAsia="zh-CN"/>
        </w:rPr>
        <w:t>（</w:t>
      </w:r>
      <w:r>
        <w:rPr>
          <w:rFonts w:hint="eastAsia" w:ascii="宋体" w:hAnsi="宋体" w:cs="仿宋"/>
          <w:b/>
          <w:bCs/>
          <w:kern w:val="0"/>
          <w:sz w:val="28"/>
          <w:szCs w:val="28"/>
          <w:lang w:val="en-US" w:eastAsia="zh-CN"/>
        </w:rPr>
        <w:t>1</w:t>
      </w:r>
      <w:r>
        <w:rPr>
          <w:rFonts w:hint="eastAsia" w:ascii="宋体" w:hAnsi="宋体" w:cs="仿宋"/>
          <w:b/>
          <w:bCs/>
          <w:kern w:val="0"/>
          <w:sz w:val="28"/>
          <w:szCs w:val="28"/>
          <w:lang w:eastAsia="zh-CN"/>
        </w:rPr>
        <w:t>）</w:t>
      </w:r>
      <w:r>
        <w:rPr>
          <w:rFonts w:hint="eastAsia" w:ascii="宋体" w:hAnsi="宋体" w:cs="仿宋"/>
          <w:b/>
          <w:bCs/>
          <w:kern w:val="0"/>
          <w:sz w:val="28"/>
          <w:szCs w:val="28"/>
        </w:rPr>
        <w:t>售后服务</w:t>
      </w:r>
      <w:bookmarkEnd w:id="498"/>
      <w:bookmarkEnd w:id="499"/>
      <w:r>
        <w:rPr>
          <w:rFonts w:hint="eastAsia" w:ascii="宋体" w:hAnsi="宋体" w:cs="仿宋"/>
          <w:b/>
          <w:bCs/>
          <w:kern w:val="0"/>
          <w:sz w:val="28"/>
          <w:szCs w:val="28"/>
        </w:rPr>
        <w:t>承诺书</w:t>
      </w:r>
      <w:r>
        <w:rPr>
          <w:rFonts w:hint="eastAsia" w:ascii="宋体" w:hAnsi="宋体"/>
          <w:color w:val="auto"/>
          <w:sz w:val="24"/>
          <w:szCs w:val="24"/>
          <w:lang w:eastAsia="zh-CN"/>
        </w:rPr>
        <w:t>（</w:t>
      </w:r>
      <w:r>
        <w:rPr>
          <w:rFonts w:hint="eastAsia" w:ascii="宋体" w:hAnsi="宋体"/>
          <w:color w:val="auto"/>
          <w:sz w:val="24"/>
          <w:szCs w:val="24"/>
          <w:lang w:val="en-US" w:eastAsia="zh-CN"/>
        </w:rPr>
        <w:t>自行编制）</w:t>
      </w:r>
      <w:bookmarkEnd w:id="500"/>
      <w:bookmarkEnd w:id="501"/>
    </w:p>
    <w:p>
      <w:pPr>
        <w:adjustRightInd w:val="0"/>
        <w:snapToGrid w:val="0"/>
        <w:spacing w:line="360" w:lineRule="auto"/>
        <w:ind w:firstLine="480" w:firstLineChars="200"/>
        <w:jc w:val="left"/>
        <w:rPr>
          <w:rFonts w:hint="eastAsia" w:ascii="宋体" w:hAnsi="宋体"/>
          <w:sz w:val="21"/>
          <w:szCs w:val="21"/>
        </w:rPr>
      </w:pPr>
      <w:r>
        <w:rPr>
          <w:rFonts w:hint="eastAsia" w:ascii="宋体" w:hAnsi="宋体" w:cs="仿宋"/>
          <w:sz w:val="24"/>
          <w:szCs w:val="24"/>
        </w:rPr>
        <w:t xml:space="preserve"> </w:t>
      </w:r>
      <w:r>
        <w:rPr>
          <w:rFonts w:hint="eastAsia" w:ascii="宋体" w:hAnsi="宋体" w:cs="仿宋"/>
          <w:sz w:val="21"/>
          <w:szCs w:val="21"/>
        </w:rPr>
        <w:t xml:space="preserve"> </w:t>
      </w:r>
      <w:r>
        <w:rPr>
          <w:rFonts w:hint="eastAsia" w:ascii="宋体" w:hAnsi="宋体" w:cs="宋体"/>
          <w:color w:val="000000"/>
          <w:sz w:val="21"/>
          <w:szCs w:val="16"/>
        </w:rPr>
        <w:t>售后服务承诺书（投标人承诺给予招标人的各种优惠条件，包括售后服务、等方面的优惠；）</w:t>
      </w:r>
    </w:p>
    <w:p>
      <w:pPr>
        <w:adjustRightInd w:val="0"/>
        <w:snapToGrid w:val="0"/>
        <w:spacing w:line="360" w:lineRule="auto"/>
        <w:ind w:firstLine="420" w:firstLineChars="200"/>
        <w:jc w:val="left"/>
        <w:rPr>
          <w:rFonts w:hint="eastAsia" w:ascii="宋体" w:hAnsi="宋体" w:eastAsia="宋体"/>
          <w:color w:val="auto"/>
          <w:sz w:val="21"/>
          <w:szCs w:val="21"/>
          <w:lang w:val="en-US" w:eastAsia="zh-CN"/>
        </w:rPr>
      </w:pPr>
      <w:r>
        <w:rPr>
          <w:rFonts w:hint="eastAsia" w:ascii="宋体" w:hAnsi="宋体"/>
          <w:color w:val="auto"/>
          <w:sz w:val="21"/>
          <w:szCs w:val="21"/>
        </w:rPr>
        <w:t>包括新疆自治区和田内售后服务机构及人员等情况等、以书面形式完整准确地表述标准售后服务承诺（范围、标准及期限等）、投标人可能增加的服务承诺等，并明示服务承诺可能涉及的前提设定和费用，否则将被认为是无条件和免费的。</w:t>
      </w:r>
      <w:r>
        <w:rPr>
          <w:rFonts w:hint="eastAsia" w:ascii="宋体" w:hAnsi="宋体"/>
          <w:color w:val="auto"/>
          <w:sz w:val="21"/>
          <w:szCs w:val="21"/>
          <w:lang w:eastAsia="zh-CN"/>
        </w:rPr>
        <w:t>（</w:t>
      </w:r>
      <w:r>
        <w:rPr>
          <w:rFonts w:hint="eastAsia" w:ascii="宋体" w:hAnsi="宋体"/>
          <w:color w:val="auto"/>
          <w:sz w:val="21"/>
          <w:szCs w:val="21"/>
          <w:lang w:val="en-US" w:eastAsia="zh-CN"/>
        </w:rPr>
        <w:t>内容自行编写须要包含招标文件的要求但不限于</w:t>
      </w:r>
      <w:r>
        <w:rPr>
          <w:rFonts w:hint="eastAsia" w:ascii="宋体" w:hAnsi="宋体"/>
          <w:color w:val="auto"/>
          <w:sz w:val="21"/>
          <w:szCs w:val="21"/>
          <w:lang w:eastAsia="zh-CN"/>
        </w:rPr>
        <w:t>）</w:t>
      </w:r>
    </w:p>
    <w:p>
      <w:pPr>
        <w:spacing w:line="540" w:lineRule="exact"/>
        <w:jc w:val="left"/>
        <w:rPr>
          <w:rFonts w:hint="eastAsia" w:ascii="宋体" w:hAnsi="宋体" w:cs="仿宋"/>
          <w:sz w:val="21"/>
          <w:szCs w:val="21"/>
        </w:rPr>
      </w:pPr>
    </w:p>
    <w:p>
      <w:pPr>
        <w:spacing w:line="540" w:lineRule="exact"/>
        <w:jc w:val="left"/>
        <w:rPr>
          <w:rFonts w:hint="eastAsia" w:ascii="宋体" w:hAnsi="宋体" w:cs="仿宋"/>
          <w:sz w:val="21"/>
          <w:szCs w:val="21"/>
        </w:rPr>
      </w:pPr>
    </w:p>
    <w:p>
      <w:pPr>
        <w:spacing w:line="540" w:lineRule="exact"/>
        <w:jc w:val="left"/>
        <w:rPr>
          <w:rFonts w:hint="eastAsia" w:ascii="宋体" w:hAnsi="宋体" w:cs="仿宋"/>
          <w:sz w:val="21"/>
          <w:szCs w:val="21"/>
        </w:rPr>
      </w:pPr>
    </w:p>
    <w:p>
      <w:pPr>
        <w:spacing w:line="540" w:lineRule="exact"/>
        <w:jc w:val="left"/>
        <w:rPr>
          <w:rFonts w:hint="eastAsia" w:ascii="宋体" w:hAnsi="宋体" w:cs="仿宋"/>
          <w:sz w:val="21"/>
          <w:szCs w:val="21"/>
        </w:rPr>
      </w:pPr>
    </w:p>
    <w:p>
      <w:pPr>
        <w:spacing w:line="540" w:lineRule="exact"/>
        <w:ind w:firstLine="4410" w:firstLineChars="2100"/>
        <w:jc w:val="left"/>
        <w:rPr>
          <w:rFonts w:ascii="宋体" w:hAnsi="宋体" w:cs="仿宋"/>
          <w:sz w:val="21"/>
          <w:szCs w:val="21"/>
        </w:rPr>
      </w:pPr>
      <w:r>
        <w:rPr>
          <w:rFonts w:hint="eastAsia" w:ascii="宋体" w:hAnsi="宋体" w:cs="仿宋"/>
          <w:sz w:val="21"/>
          <w:szCs w:val="21"/>
        </w:rPr>
        <w:t xml:space="preserve"> 投标人名称（盖单位章）：</w:t>
      </w:r>
    </w:p>
    <w:p>
      <w:pPr>
        <w:spacing w:line="540" w:lineRule="exact"/>
        <w:jc w:val="left"/>
        <w:rPr>
          <w:rFonts w:ascii="宋体" w:hAnsi="宋体" w:cs="仿宋"/>
          <w:sz w:val="21"/>
          <w:szCs w:val="21"/>
        </w:rPr>
      </w:pPr>
      <w:r>
        <w:rPr>
          <w:rFonts w:hint="eastAsia" w:ascii="宋体" w:hAnsi="宋体" w:cs="仿宋"/>
          <w:sz w:val="21"/>
          <w:szCs w:val="21"/>
        </w:rPr>
        <w:t xml:space="preserve">   </w:t>
      </w:r>
      <w:r>
        <w:rPr>
          <w:rFonts w:hint="eastAsia" w:ascii="宋体" w:hAnsi="宋体" w:cs="仿宋"/>
          <w:sz w:val="21"/>
          <w:szCs w:val="21"/>
          <w:lang w:val="en-US" w:eastAsia="zh-CN"/>
        </w:rPr>
        <w:t xml:space="preserve">                                        </w:t>
      </w:r>
      <w:r>
        <w:rPr>
          <w:rFonts w:hint="eastAsia" w:ascii="宋体" w:hAnsi="宋体" w:cs="仿宋"/>
          <w:sz w:val="21"/>
          <w:szCs w:val="21"/>
        </w:rPr>
        <w:t>法定代表人或其委托代理人签字：</w:t>
      </w:r>
    </w:p>
    <w:p>
      <w:pPr>
        <w:spacing w:line="540" w:lineRule="exact"/>
        <w:jc w:val="left"/>
        <w:rPr>
          <w:rFonts w:hint="eastAsia" w:ascii="宋体" w:hAnsi="宋体" w:cs="仿宋"/>
          <w:sz w:val="21"/>
          <w:szCs w:val="21"/>
        </w:rPr>
      </w:pPr>
      <w:r>
        <w:rPr>
          <w:rFonts w:hint="eastAsia" w:ascii="宋体" w:hAnsi="宋体" w:cs="仿宋"/>
          <w:sz w:val="21"/>
          <w:szCs w:val="21"/>
        </w:rPr>
        <w:t xml:space="preserve">   </w:t>
      </w:r>
      <w:r>
        <w:rPr>
          <w:rFonts w:hint="eastAsia" w:ascii="宋体" w:hAnsi="宋体" w:cs="仿宋"/>
          <w:sz w:val="21"/>
          <w:szCs w:val="21"/>
          <w:lang w:val="en-US" w:eastAsia="zh-CN"/>
        </w:rPr>
        <w:t xml:space="preserve">                                        </w:t>
      </w:r>
      <w:r>
        <w:rPr>
          <w:rFonts w:hint="eastAsia" w:ascii="宋体" w:hAnsi="宋体" w:cs="仿宋"/>
          <w:sz w:val="21"/>
          <w:szCs w:val="21"/>
        </w:rPr>
        <w:t>日期：        年    月    日</w:t>
      </w:r>
    </w:p>
    <w:p>
      <w:pPr>
        <w:adjustRightInd w:val="0"/>
        <w:snapToGrid w:val="0"/>
        <w:spacing w:line="360" w:lineRule="auto"/>
        <w:rPr>
          <w:rFonts w:hint="eastAsia" w:ascii="宋体" w:hAnsi="宋体"/>
          <w:b/>
          <w:sz w:val="21"/>
          <w:szCs w:val="21"/>
        </w:rPr>
      </w:pPr>
    </w:p>
    <w:p>
      <w:pPr>
        <w:pStyle w:val="22"/>
        <w:numPr>
          <w:ilvl w:val="0"/>
          <w:numId w:val="0"/>
        </w:numPr>
        <w:rPr>
          <w:rStyle w:val="72"/>
          <w:rFonts w:hint="eastAsia" w:ascii="宋体" w:hAnsi="宋体" w:eastAsia="宋体" w:cs="宋体"/>
          <w:kern w:val="2"/>
          <w:sz w:val="28"/>
          <w:szCs w:val="28"/>
          <w:lang w:val="en-US" w:eastAsia="zh-CN" w:bidi="ar-SA"/>
        </w:rPr>
      </w:pPr>
    </w:p>
    <w:p>
      <w:pPr>
        <w:pStyle w:val="22"/>
        <w:numPr>
          <w:ilvl w:val="0"/>
          <w:numId w:val="0"/>
        </w:numPr>
        <w:rPr>
          <w:rStyle w:val="72"/>
          <w:rFonts w:hint="eastAsia" w:ascii="宋体" w:hAnsi="宋体" w:eastAsia="宋体" w:cs="宋体"/>
          <w:kern w:val="2"/>
          <w:sz w:val="28"/>
          <w:szCs w:val="28"/>
          <w:lang w:val="en-US" w:eastAsia="zh-CN" w:bidi="ar-SA"/>
        </w:rPr>
      </w:pPr>
    </w:p>
    <w:p>
      <w:pPr>
        <w:pStyle w:val="22"/>
        <w:numPr>
          <w:ilvl w:val="0"/>
          <w:numId w:val="0"/>
        </w:numPr>
        <w:rPr>
          <w:rStyle w:val="72"/>
          <w:rFonts w:hint="eastAsia" w:ascii="宋体" w:hAnsi="宋体" w:eastAsia="宋体" w:cs="宋体"/>
          <w:kern w:val="2"/>
          <w:sz w:val="28"/>
          <w:szCs w:val="28"/>
          <w:lang w:val="en-US" w:eastAsia="zh-CN" w:bidi="ar-SA"/>
        </w:rPr>
      </w:pPr>
    </w:p>
    <w:p>
      <w:pPr>
        <w:pStyle w:val="22"/>
        <w:numPr>
          <w:ilvl w:val="0"/>
          <w:numId w:val="0"/>
        </w:numPr>
        <w:rPr>
          <w:rStyle w:val="72"/>
          <w:rFonts w:hint="eastAsia" w:ascii="宋体" w:hAnsi="宋体" w:eastAsia="宋体" w:cs="宋体"/>
          <w:kern w:val="2"/>
          <w:sz w:val="28"/>
          <w:szCs w:val="28"/>
          <w:lang w:val="en-US" w:eastAsia="zh-CN" w:bidi="ar-SA"/>
        </w:rPr>
      </w:pPr>
      <w:r>
        <w:rPr>
          <w:rStyle w:val="72"/>
          <w:rFonts w:hint="eastAsia" w:ascii="宋体" w:hAnsi="宋体" w:eastAsia="宋体" w:cs="宋体"/>
          <w:kern w:val="2"/>
          <w:sz w:val="28"/>
          <w:szCs w:val="28"/>
          <w:lang w:val="en-US" w:eastAsia="zh-CN" w:bidi="ar-SA"/>
        </w:rPr>
        <w:t>（2）供货、安装调试、售后维护、人员培训方案</w:t>
      </w:r>
    </w:p>
    <w:p>
      <w:pPr>
        <w:pStyle w:val="22"/>
        <w:numPr>
          <w:ilvl w:val="0"/>
          <w:numId w:val="0"/>
        </w:numPr>
        <w:rPr>
          <w:rStyle w:val="72"/>
          <w:rFonts w:hint="eastAsia" w:ascii="宋体" w:hAnsi="宋体" w:eastAsia="宋体" w:cs="宋体"/>
          <w:kern w:val="2"/>
          <w:sz w:val="28"/>
          <w:szCs w:val="28"/>
          <w:lang w:val="en-US" w:eastAsia="zh-CN" w:bidi="ar-SA"/>
        </w:rPr>
      </w:pPr>
      <w:r>
        <w:rPr>
          <w:rStyle w:val="72"/>
          <w:rFonts w:hint="eastAsia" w:ascii="宋体" w:hAnsi="宋体" w:eastAsia="宋体" w:cs="宋体"/>
          <w:kern w:val="2"/>
          <w:sz w:val="28"/>
          <w:szCs w:val="28"/>
          <w:lang w:val="en-US" w:eastAsia="zh-CN" w:bidi="ar-SA"/>
        </w:rPr>
        <w:t>（供应商自拟必须要有，各投标供应商结合自身企业情况和本项目特征自拟。）</w:t>
      </w:r>
    </w:p>
    <w:p>
      <w:pPr>
        <w:spacing w:line="400" w:lineRule="exact"/>
        <w:ind w:right="86"/>
        <w:jc w:val="center"/>
        <w:outlineLvl w:val="2"/>
        <w:rPr>
          <w:rFonts w:ascii="宋体" w:hAnsi="宋体"/>
          <w:sz w:val="24"/>
        </w:rPr>
      </w:pPr>
    </w:p>
    <w:p>
      <w:pPr>
        <w:spacing w:line="400" w:lineRule="exact"/>
        <w:jc w:val="right"/>
        <w:rPr>
          <w:rFonts w:hint="eastAsia" w:ascii="宋体" w:hAnsi="宋体" w:cs="宋体"/>
          <w:color w:val="000000"/>
          <w:sz w:val="24"/>
          <w:szCs w:val="24"/>
          <w:highlight w:val="none"/>
          <w:u w:val="single"/>
        </w:rPr>
      </w:pPr>
      <w:r>
        <w:rPr>
          <w:rFonts w:hint="eastAsia" w:ascii="宋体" w:hAnsi="宋体" w:cs="宋体"/>
          <w:color w:val="000000"/>
          <w:sz w:val="24"/>
          <w:szCs w:val="24"/>
          <w:highlight w:val="none"/>
        </w:rPr>
        <w:t xml:space="preserve">投标单位： </w:t>
      </w:r>
      <w:r>
        <w:rPr>
          <w:rFonts w:hint="eastAsia" w:ascii="宋体" w:hAnsi="宋体" w:cs="宋体"/>
          <w:color w:val="000000"/>
          <w:sz w:val="24"/>
          <w:szCs w:val="24"/>
          <w:highlight w:val="none"/>
          <w:u w:val="single"/>
        </w:rPr>
        <w:t xml:space="preserve">                       （盖单位章）   </w:t>
      </w:r>
    </w:p>
    <w:p>
      <w:pPr>
        <w:spacing w:line="400" w:lineRule="exact"/>
        <w:ind w:firstLine="240" w:firstLineChars="100"/>
        <w:jc w:val="right"/>
        <w:rPr>
          <w:rFonts w:hint="eastAsia" w:ascii="宋体" w:hAnsi="宋体" w:cs="宋体"/>
          <w:color w:val="000000"/>
          <w:sz w:val="24"/>
          <w:szCs w:val="24"/>
          <w:highlight w:val="none"/>
        </w:rPr>
      </w:pPr>
      <w:r>
        <w:rPr>
          <w:rFonts w:hint="eastAsia" w:ascii="宋体" w:hAnsi="宋体" w:cs="宋体"/>
          <w:color w:val="000000"/>
          <w:sz w:val="24"/>
          <w:szCs w:val="24"/>
          <w:highlight w:val="none"/>
        </w:rPr>
        <w:t>法定代表人或授权代表人（签字或盖章）：</w:t>
      </w:r>
      <w:r>
        <w:rPr>
          <w:rFonts w:hint="eastAsia" w:ascii="宋体" w:hAnsi="宋体" w:cs="宋体"/>
          <w:color w:val="000000"/>
          <w:sz w:val="24"/>
          <w:szCs w:val="24"/>
          <w:highlight w:val="none"/>
          <w:u w:val="single"/>
        </w:rPr>
        <w:t xml:space="preserve">             </w:t>
      </w:r>
    </w:p>
    <w:p>
      <w:pPr>
        <w:pStyle w:val="73"/>
        <w:tabs>
          <w:tab w:val="left" w:pos="540"/>
          <w:tab w:val="left" w:pos="1080"/>
        </w:tabs>
        <w:spacing w:line="400" w:lineRule="exact"/>
        <w:jc w:val="right"/>
        <w:rPr>
          <w:rFonts w:hint="eastAsia" w:ascii="宋体" w:hAnsi="宋体" w:eastAsia="宋体" w:cs="宋体"/>
          <w:szCs w:val="24"/>
          <w:highlight w:val="none"/>
          <w:lang w:val="en-US" w:eastAsia="zh-CN"/>
        </w:rPr>
      </w:pPr>
      <w:r>
        <w:rPr>
          <w:rFonts w:hint="eastAsia" w:ascii="宋体" w:hAnsi="宋体" w:cs="宋体"/>
          <w:szCs w:val="24"/>
          <w:highlight w:val="none"/>
          <w:lang w:val="en-US" w:eastAsia="zh-CN"/>
        </w:rPr>
        <w:t xml:space="preserve"> </w:t>
      </w:r>
    </w:p>
    <w:p>
      <w:pPr>
        <w:spacing w:line="400" w:lineRule="exact"/>
        <w:ind w:firstLine="240" w:firstLineChars="100"/>
        <w:jc w:val="right"/>
        <w:rPr>
          <w:rFonts w:hint="eastAsia" w:ascii="宋体" w:hAnsi="宋体" w:cs="宋体"/>
          <w:b/>
          <w:bCs/>
          <w:color w:val="000000"/>
          <w:sz w:val="24"/>
          <w:szCs w:val="24"/>
          <w:highlight w:val="none"/>
        </w:rPr>
      </w:pPr>
      <w:r>
        <w:rPr>
          <w:rFonts w:hint="eastAsia" w:ascii="宋体" w:hAnsi="宋体" w:cs="宋体"/>
          <w:color w:val="000000"/>
          <w:sz w:val="24"/>
          <w:szCs w:val="24"/>
          <w:highlight w:val="none"/>
        </w:rPr>
        <w:t>日期：   年  月  日</w:t>
      </w:r>
    </w:p>
    <w:p>
      <w:pPr>
        <w:spacing w:line="300" w:lineRule="auto"/>
        <w:rPr>
          <w:rStyle w:val="72"/>
          <w:rFonts w:hint="eastAsia" w:ascii="宋体" w:hAnsi="宋体" w:eastAsia="宋体" w:cs="宋体"/>
          <w:kern w:val="2"/>
          <w:sz w:val="28"/>
          <w:szCs w:val="28"/>
          <w:lang w:val="en-US" w:eastAsia="zh-CN" w:bidi="ar-SA"/>
        </w:rPr>
      </w:pPr>
    </w:p>
    <w:p>
      <w:pPr>
        <w:pStyle w:val="8"/>
        <w:numPr>
          <w:ilvl w:val="0"/>
          <w:numId w:val="0"/>
        </w:numPr>
        <w:tabs>
          <w:tab w:val="left" w:pos="567"/>
        </w:tabs>
        <w:jc w:val="both"/>
        <w:rPr>
          <w:rStyle w:val="72"/>
          <w:rFonts w:hint="eastAsia" w:ascii="宋体" w:hAnsi="宋体" w:eastAsia="宋体" w:cs="宋体"/>
          <w:kern w:val="2"/>
          <w:sz w:val="28"/>
          <w:szCs w:val="28"/>
          <w:lang w:val="en-US" w:eastAsia="zh-CN" w:bidi="ar-SA"/>
        </w:rPr>
      </w:pPr>
      <w:r>
        <w:rPr>
          <w:rStyle w:val="72"/>
          <w:rFonts w:hint="eastAsia" w:ascii="宋体" w:hAnsi="宋体" w:eastAsia="宋体" w:cs="宋体"/>
          <w:kern w:val="2"/>
          <w:sz w:val="28"/>
          <w:szCs w:val="28"/>
          <w:lang w:val="en-US" w:eastAsia="zh-CN" w:bidi="ar-SA"/>
        </w:rPr>
        <w:t>（3）承诺中标后在</w:t>
      </w:r>
      <w:r>
        <w:rPr>
          <w:rStyle w:val="72"/>
          <w:rFonts w:hint="eastAsia" w:ascii="宋体" w:hAnsi="宋体" w:cs="宋体"/>
          <w:kern w:val="2"/>
          <w:sz w:val="28"/>
          <w:szCs w:val="28"/>
          <w:lang w:val="en-US" w:eastAsia="zh-CN" w:bidi="ar-SA"/>
        </w:rPr>
        <w:t>和田地区</w:t>
      </w:r>
      <w:r>
        <w:rPr>
          <w:rStyle w:val="72"/>
          <w:rFonts w:hint="eastAsia" w:ascii="宋体" w:hAnsi="宋体" w:eastAsia="宋体" w:cs="宋体"/>
          <w:kern w:val="2"/>
          <w:sz w:val="28"/>
          <w:szCs w:val="28"/>
          <w:lang w:val="en-US" w:eastAsia="zh-CN" w:bidi="ar-SA"/>
        </w:rPr>
        <w:t>设立售后服务点</w:t>
      </w:r>
    </w:p>
    <w:p>
      <w:pPr>
        <w:widowControl w:val="0"/>
        <w:numPr>
          <w:ilvl w:val="0"/>
          <w:numId w:val="0"/>
        </w:numPr>
        <w:spacing w:line="420" w:lineRule="exact"/>
        <w:jc w:val="both"/>
        <w:rPr>
          <w:rFonts w:hint="default"/>
          <w:lang w:val="en-US" w:eastAsia="zh-CN"/>
        </w:rPr>
      </w:pPr>
    </w:p>
    <w:p>
      <w:pPr>
        <w:pStyle w:val="22"/>
        <w:numPr>
          <w:ilvl w:val="0"/>
          <w:numId w:val="0"/>
        </w:numPr>
        <w:rPr>
          <w:rStyle w:val="72"/>
          <w:rFonts w:hint="eastAsia" w:ascii="宋体" w:hAnsi="宋体" w:eastAsia="宋体" w:cs="宋体"/>
          <w:kern w:val="2"/>
          <w:sz w:val="28"/>
          <w:szCs w:val="28"/>
          <w:lang w:val="en-US" w:eastAsia="zh-CN" w:bidi="ar-SA"/>
        </w:rPr>
      </w:pPr>
      <w:r>
        <w:rPr>
          <w:rStyle w:val="72"/>
          <w:rFonts w:hint="eastAsia" w:ascii="宋体" w:hAnsi="宋体" w:eastAsia="宋体" w:cs="宋体"/>
          <w:kern w:val="2"/>
          <w:sz w:val="28"/>
          <w:szCs w:val="28"/>
          <w:lang w:val="en-US" w:eastAsia="zh-CN" w:bidi="ar-SA"/>
        </w:rPr>
        <w:t>（供应商自拟必须要有，各投标供应商结合自身企业情况和本项目特征自拟。）</w:t>
      </w:r>
    </w:p>
    <w:p>
      <w:pPr>
        <w:spacing w:line="400" w:lineRule="exact"/>
        <w:ind w:right="86"/>
        <w:jc w:val="center"/>
        <w:outlineLvl w:val="2"/>
        <w:rPr>
          <w:rFonts w:ascii="宋体" w:hAnsi="宋体"/>
          <w:sz w:val="24"/>
        </w:rPr>
      </w:pPr>
    </w:p>
    <w:p>
      <w:pPr>
        <w:spacing w:line="400" w:lineRule="exact"/>
        <w:jc w:val="right"/>
        <w:rPr>
          <w:rFonts w:hint="eastAsia" w:ascii="宋体" w:hAnsi="宋体" w:cs="宋体"/>
          <w:color w:val="000000"/>
          <w:sz w:val="24"/>
          <w:szCs w:val="24"/>
          <w:highlight w:val="none"/>
          <w:u w:val="single"/>
        </w:rPr>
      </w:pPr>
      <w:r>
        <w:rPr>
          <w:rFonts w:hint="eastAsia" w:ascii="宋体" w:hAnsi="宋体" w:cs="宋体"/>
          <w:color w:val="000000"/>
          <w:sz w:val="24"/>
          <w:szCs w:val="24"/>
          <w:highlight w:val="none"/>
        </w:rPr>
        <w:t xml:space="preserve">投标单位： </w:t>
      </w:r>
      <w:r>
        <w:rPr>
          <w:rFonts w:hint="eastAsia" w:ascii="宋体" w:hAnsi="宋体" w:cs="宋体"/>
          <w:color w:val="000000"/>
          <w:sz w:val="24"/>
          <w:szCs w:val="24"/>
          <w:highlight w:val="none"/>
          <w:u w:val="single"/>
        </w:rPr>
        <w:t xml:space="preserve">                       （盖单位章）   </w:t>
      </w:r>
    </w:p>
    <w:p>
      <w:pPr>
        <w:pStyle w:val="5"/>
        <w:rPr>
          <w:rFonts w:hint="eastAsia"/>
        </w:rPr>
        <w:sectPr>
          <w:pgSz w:w="11905" w:h="16838"/>
          <w:pgMar w:top="1140" w:right="1202" w:bottom="1162" w:left="1219" w:header="851" w:footer="992" w:gutter="0"/>
          <w:pgNumType w:fmt="decimal"/>
          <w:cols w:space="720" w:num="1"/>
          <w:docGrid w:type="lines" w:linePitch="316" w:charSpace="0"/>
        </w:sectPr>
      </w:pPr>
      <w:r>
        <w:rPr>
          <w:rFonts w:hint="eastAsia" w:ascii="宋体" w:hAnsi="宋体" w:cs="宋体"/>
          <w:color w:val="000000"/>
          <w:sz w:val="24"/>
          <w:szCs w:val="24"/>
          <w:highlight w:val="none"/>
        </w:rPr>
        <w:t>法定代表人或授权代表人（签字或盖章）：</w:t>
      </w:r>
      <w:r>
        <w:rPr>
          <w:rFonts w:hint="eastAsia" w:ascii="宋体" w:hAnsi="宋体" w:cs="宋体"/>
          <w:color w:val="000000"/>
          <w:sz w:val="24"/>
          <w:szCs w:val="24"/>
          <w:highlight w:val="none"/>
          <w:u w:val="single"/>
        </w:rPr>
        <w:t xml:space="preserve">     </w:t>
      </w:r>
    </w:p>
    <w:p>
      <w:pPr>
        <w:spacing w:line="360" w:lineRule="auto"/>
        <w:jc w:val="both"/>
        <w:outlineLvl w:val="0"/>
        <w:rPr>
          <w:rFonts w:hint="eastAsia" w:ascii="宋体" w:hAnsi="宋体" w:cs="宋体"/>
          <w:b/>
          <w:sz w:val="28"/>
        </w:rPr>
      </w:pPr>
      <w:bookmarkStart w:id="502" w:name="_Toc21360"/>
      <w:bookmarkStart w:id="503" w:name="_Toc23324"/>
      <w:bookmarkStart w:id="504" w:name="_Toc18090"/>
      <w:bookmarkStart w:id="505" w:name="_Toc2840"/>
      <w:bookmarkStart w:id="506" w:name="_Toc6627"/>
    </w:p>
    <w:p>
      <w:pPr>
        <w:spacing w:line="360" w:lineRule="auto"/>
        <w:jc w:val="left"/>
        <w:outlineLvl w:val="0"/>
        <w:rPr>
          <w:rFonts w:hint="eastAsia" w:ascii="宋体" w:hAnsi="宋体" w:eastAsia="宋体" w:cs="宋体"/>
          <w:b w:val="0"/>
          <w:bCs/>
          <w:sz w:val="28"/>
        </w:rPr>
      </w:pPr>
      <w:r>
        <w:rPr>
          <w:rFonts w:hint="eastAsia" w:ascii="宋体" w:hAnsi="宋体" w:cs="宋体"/>
          <w:b w:val="0"/>
          <w:bCs/>
          <w:sz w:val="28"/>
          <w:lang w:val="en-US" w:eastAsia="zh-CN"/>
        </w:rPr>
        <w:t>十二</w:t>
      </w:r>
      <w:r>
        <w:rPr>
          <w:rFonts w:hint="eastAsia" w:ascii="宋体" w:hAnsi="宋体" w:eastAsia="宋体" w:cs="宋体"/>
          <w:b w:val="0"/>
          <w:bCs/>
          <w:sz w:val="28"/>
          <w:lang w:eastAsia="zh-CN"/>
        </w:rPr>
        <w:t>、</w:t>
      </w:r>
      <w:r>
        <w:rPr>
          <w:rFonts w:hint="eastAsia" w:ascii="宋体" w:hAnsi="宋体" w:eastAsia="宋体" w:cs="宋体"/>
          <w:b w:val="0"/>
          <w:bCs/>
          <w:sz w:val="28"/>
        </w:rPr>
        <w:t>投标人证明货物合格的相关证件证明复印件</w:t>
      </w:r>
      <w:bookmarkEnd w:id="502"/>
      <w:bookmarkEnd w:id="503"/>
      <w:bookmarkEnd w:id="504"/>
      <w:bookmarkEnd w:id="505"/>
    </w:p>
    <w:p>
      <w:pPr>
        <w:spacing w:line="360" w:lineRule="auto"/>
        <w:jc w:val="center"/>
        <w:outlineLvl w:val="0"/>
        <w:rPr>
          <w:rFonts w:ascii="宋体" w:hAnsi="宋体" w:cs="宋体"/>
          <w:b/>
          <w:sz w:val="28"/>
        </w:rPr>
      </w:pPr>
      <w:r>
        <w:rPr>
          <w:rFonts w:hint="eastAsia" w:ascii="宋体" w:hAnsi="宋体" w:cs="宋体"/>
          <w:b/>
          <w:sz w:val="28"/>
        </w:rPr>
        <w:t>投标人证明货物合格的相关证件证明复印件</w:t>
      </w:r>
    </w:p>
    <w:p>
      <w:pPr>
        <w:spacing w:line="360" w:lineRule="auto"/>
        <w:ind w:firstLine="2502" w:firstLineChars="890"/>
        <w:rPr>
          <w:rFonts w:ascii="宋体" w:hAnsi="宋体" w:cs="宋体"/>
          <w:b/>
          <w:sz w:val="28"/>
        </w:rPr>
      </w:pPr>
    </w:p>
    <w:p>
      <w:pPr>
        <w:spacing w:line="360" w:lineRule="auto"/>
        <w:jc w:val="center"/>
        <w:rPr>
          <w:rStyle w:val="45"/>
          <w:rFonts w:hint="eastAsia" w:ascii="宋体" w:hAnsi="宋体" w:eastAsia="宋体" w:cs="宋体"/>
          <w:b w:val="0"/>
          <w:bCs/>
          <w:sz w:val="28"/>
          <w:szCs w:val="28"/>
          <w:lang w:eastAsia="zh-CN"/>
        </w:rPr>
        <w:sectPr>
          <w:pgSz w:w="11905" w:h="16838"/>
          <w:pgMar w:top="1140" w:right="1202" w:bottom="1162" w:left="1219" w:header="851" w:footer="992" w:gutter="0"/>
          <w:pgNumType w:fmt="decimal"/>
          <w:cols w:space="720" w:num="1"/>
          <w:docGrid w:type="lines" w:linePitch="316" w:charSpace="0"/>
        </w:sectPr>
      </w:pPr>
      <w:r>
        <w:rPr>
          <w:rStyle w:val="45"/>
          <w:rFonts w:hint="eastAsia" w:ascii="宋体" w:hAnsi="宋体" w:cs="宋体"/>
          <w:b w:val="0"/>
          <w:bCs/>
          <w:sz w:val="28"/>
          <w:szCs w:val="28"/>
          <w:lang w:eastAsia="zh-CN"/>
        </w:rPr>
        <w:t>（</w:t>
      </w:r>
      <w:r>
        <w:rPr>
          <w:rStyle w:val="45"/>
          <w:rFonts w:hint="eastAsia" w:ascii="宋体" w:hAnsi="宋体" w:cs="宋体"/>
          <w:b w:val="0"/>
          <w:bCs/>
          <w:sz w:val="28"/>
          <w:szCs w:val="28"/>
          <w:lang w:val="en-US" w:eastAsia="zh-CN"/>
        </w:rPr>
        <w:t>附所投货物的检测报告，产品图片等相关证明文件</w:t>
      </w:r>
      <w:r>
        <w:rPr>
          <w:rStyle w:val="45"/>
          <w:rFonts w:hint="eastAsia" w:ascii="宋体" w:hAnsi="宋体" w:cs="宋体"/>
          <w:b w:val="0"/>
          <w:bCs/>
          <w:sz w:val="28"/>
          <w:szCs w:val="28"/>
          <w:lang w:eastAsia="zh-CN"/>
        </w:rPr>
        <w:t>）</w:t>
      </w:r>
    </w:p>
    <w:bookmarkEnd w:id="506"/>
    <w:p>
      <w:pPr>
        <w:pStyle w:val="12"/>
        <w:ind w:firstLine="0"/>
        <w:jc w:val="center"/>
        <w:outlineLvl w:val="1"/>
        <w:rPr>
          <w:rFonts w:ascii="宋体"/>
          <w:sz w:val="32"/>
          <w:szCs w:val="32"/>
        </w:rPr>
      </w:pPr>
      <w:bookmarkStart w:id="507" w:name="_Toc5038"/>
      <w:bookmarkStart w:id="508" w:name="_Toc32645"/>
      <w:bookmarkStart w:id="509" w:name="_Toc22696"/>
      <w:bookmarkStart w:id="510" w:name="_Toc31440"/>
      <w:bookmarkStart w:id="511" w:name="_Toc29520"/>
      <w:r>
        <w:rPr>
          <w:rFonts w:hint="eastAsia" w:ascii="宋体" w:hAnsi="宋体"/>
          <w:b/>
          <w:bCs/>
          <w:spacing w:val="60"/>
          <w:sz w:val="32"/>
          <w:szCs w:val="32"/>
        </w:rPr>
        <w:t>注意事项</w:t>
      </w:r>
      <w:bookmarkEnd w:id="507"/>
      <w:bookmarkEnd w:id="508"/>
      <w:bookmarkEnd w:id="509"/>
      <w:bookmarkEnd w:id="510"/>
      <w:bookmarkEnd w:id="511"/>
    </w:p>
    <w:p>
      <w:pPr>
        <w:rPr>
          <w:rFonts w:ascii="宋体"/>
          <w:sz w:val="22"/>
          <w:szCs w:val="18"/>
        </w:rPr>
      </w:pPr>
      <w:r>
        <w:rPr>
          <w:rFonts w:ascii="宋体" w:hAnsi="宋体"/>
          <w:sz w:val="24"/>
          <w:szCs w:val="18"/>
        </w:rPr>
        <w:t>1</w:t>
      </w:r>
      <w:r>
        <w:rPr>
          <w:rFonts w:hint="eastAsia" w:ascii="宋体" w:hAnsi="宋体"/>
          <w:sz w:val="24"/>
          <w:szCs w:val="18"/>
        </w:rPr>
        <w:t>、</w:t>
      </w:r>
      <w:r>
        <w:rPr>
          <w:rFonts w:hint="eastAsia" w:ascii="宋体" w:hAnsi="宋体"/>
          <w:sz w:val="22"/>
          <w:szCs w:val="18"/>
        </w:rPr>
        <w:t>投标人对所附表格中要求的资料和询问应做出肯定的回答。</w:t>
      </w:r>
    </w:p>
    <w:p>
      <w:pPr>
        <w:rPr>
          <w:rFonts w:ascii="宋体"/>
          <w:sz w:val="22"/>
          <w:szCs w:val="18"/>
        </w:rPr>
      </w:pPr>
      <w:r>
        <w:rPr>
          <w:rFonts w:ascii="宋体" w:hAnsi="宋体"/>
          <w:sz w:val="22"/>
          <w:szCs w:val="18"/>
        </w:rPr>
        <w:t>2</w:t>
      </w:r>
      <w:r>
        <w:rPr>
          <w:rFonts w:hint="eastAsia" w:ascii="宋体" w:hAnsi="宋体"/>
          <w:sz w:val="22"/>
          <w:szCs w:val="18"/>
        </w:rPr>
        <w:t>、招标文件的签字人应保证他所做的声明及对一切问题的回答的真实性和准确。</w:t>
      </w:r>
    </w:p>
    <w:p>
      <w:pPr>
        <w:rPr>
          <w:rFonts w:ascii="宋体"/>
          <w:sz w:val="22"/>
          <w:szCs w:val="18"/>
        </w:rPr>
      </w:pPr>
      <w:r>
        <w:rPr>
          <w:rFonts w:ascii="宋体" w:hAnsi="宋体"/>
          <w:sz w:val="22"/>
          <w:szCs w:val="18"/>
        </w:rPr>
        <w:t>3</w:t>
      </w:r>
      <w:r>
        <w:rPr>
          <w:rFonts w:hint="eastAsia" w:ascii="宋体" w:hAnsi="宋体"/>
          <w:sz w:val="22"/>
          <w:szCs w:val="18"/>
        </w:rPr>
        <w:t>、投标人提供的招标文件将由招标人使用，并据此进行评价和判断，确定投标人的能力。</w:t>
      </w:r>
    </w:p>
    <w:p>
      <w:pPr>
        <w:rPr>
          <w:rFonts w:ascii="宋体" w:hAnsi="宋体"/>
          <w:sz w:val="22"/>
          <w:szCs w:val="18"/>
        </w:rPr>
      </w:pPr>
      <w:r>
        <w:rPr>
          <w:rFonts w:ascii="宋体" w:hAnsi="宋体"/>
          <w:sz w:val="22"/>
          <w:szCs w:val="18"/>
        </w:rPr>
        <w:t>4</w:t>
      </w:r>
      <w:r>
        <w:rPr>
          <w:rFonts w:hint="eastAsia" w:ascii="宋体" w:hAnsi="宋体"/>
          <w:sz w:val="22"/>
          <w:szCs w:val="18"/>
        </w:rPr>
        <w:t>、投标人提交的文件将给予保密，但不退还。</w:t>
      </w:r>
    </w:p>
    <w:p>
      <w:pPr>
        <w:pStyle w:val="8"/>
        <w:tabs>
          <w:tab w:val="left" w:pos="567"/>
        </w:tabs>
        <w:rPr>
          <w:rFonts w:hint="eastAsia"/>
          <w:sz w:val="20"/>
          <w:szCs w:val="18"/>
          <w:lang w:val="en-US" w:eastAsia="zh-CN"/>
        </w:rPr>
      </w:pPr>
    </w:p>
    <w:p>
      <w:pPr>
        <w:spacing w:line="360" w:lineRule="auto"/>
        <w:outlineLvl w:val="2"/>
        <w:rPr>
          <w:color w:val="000000"/>
          <w:sz w:val="24"/>
          <w:szCs w:val="20"/>
        </w:rPr>
      </w:pPr>
    </w:p>
    <w:p>
      <w:pPr>
        <w:pStyle w:val="16"/>
        <w:spacing w:before="120" w:line="360" w:lineRule="auto"/>
      </w:pPr>
    </w:p>
    <w:p/>
    <w:p/>
    <w:p>
      <w:pPr>
        <w:adjustRightInd w:val="0"/>
        <w:snapToGrid w:val="0"/>
        <w:spacing w:line="360" w:lineRule="auto"/>
        <w:jc w:val="center"/>
        <w:rPr>
          <w:rFonts w:hint="eastAsia" w:ascii="宋体" w:hAnsi="宋体"/>
          <w:b/>
          <w:sz w:val="24"/>
          <w:szCs w:val="24"/>
        </w:rPr>
        <w:sectPr>
          <w:pgSz w:w="11905" w:h="16838"/>
          <w:pgMar w:top="1140" w:right="1202" w:bottom="1162" w:left="1219" w:header="851" w:footer="992" w:gutter="0"/>
          <w:pgNumType w:fmt="decimal"/>
          <w:cols w:space="720" w:num="1"/>
          <w:docGrid w:type="lines" w:linePitch="316" w:charSpace="0"/>
        </w:sectPr>
      </w:pPr>
    </w:p>
    <w:p>
      <w:pPr>
        <w:pStyle w:val="16"/>
        <w:spacing w:before="120" w:line="360" w:lineRule="auto"/>
        <w:rPr>
          <w:rFonts w:cs="宋体"/>
          <w:sz w:val="24"/>
          <w:szCs w:val="24"/>
        </w:rPr>
      </w:pPr>
    </w:p>
    <w:p>
      <w:pPr>
        <w:jc w:val="center"/>
        <w:rPr>
          <w:sz w:val="32"/>
          <w:szCs w:val="32"/>
        </w:rPr>
      </w:pPr>
      <w:r>
        <w:rPr>
          <w:sz w:val="32"/>
          <w:szCs w:val="32"/>
        </w:rPr>
        <w:t>国家统计局关于印发《统计上大中小微型企业划分办法 (2017) 》</w:t>
      </w:r>
      <w:r>
        <w:rPr>
          <w:rFonts w:hint="eastAsia"/>
          <w:sz w:val="32"/>
          <w:szCs w:val="32"/>
          <w:lang w:val="en-US" w:eastAsia="zh-CN"/>
        </w:rPr>
        <w:t xml:space="preserve">    </w:t>
      </w:r>
      <w:r>
        <w:rPr>
          <w:sz w:val="32"/>
          <w:szCs w:val="32"/>
        </w:rPr>
        <w:t>的通知</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8"/>
          <w:szCs w:val="28"/>
          <w:lang w:eastAsia="zh-CN"/>
        </w:rPr>
      </w:pPr>
      <w:r>
        <w:rPr>
          <w:rFonts w:hint="eastAsia" w:ascii="宋体" w:hAnsi="宋体" w:eastAsia="宋体" w:cs="宋体"/>
          <w:sz w:val="28"/>
          <w:szCs w:val="28"/>
        </w:rPr>
        <w:t>各省、自治区、直辖市统计局，新疆生产建设兵团统计局，国务院各有关部门，国家统计局各调查总队</w:t>
      </w:r>
      <w:r>
        <w:rPr>
          <w:rFonts w:hint="eastAsia" w:ascii="宋体" w:hAnsi="宋体" w:eastAsia="宋体" w:cs="宋体"/>
          <w:sz w:val="28"/>
          <w:szCs w:val="28"/>
          <w:lang w:eastAsia="zh-CN"/>
        </w:rPr>
        <w:t>：</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ab/>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《国民经济行业分类》(GB/T4754—2017) 已正式实施，现对 2011 年制定的《统计上大中小微型企业划分办法》进行修订。本次修订保持原有的分类原则、方法、结构框架和适用范围，仅将所涉及的行业按照《国民经济行业分类》 (GB/T4754—2011) 和《国民经济行业分类》 (GB/T4754—2017)的对应关系，进行相应调整，形成《统计上大中小微型企业划分办法 ( 2017) 》。现将《统计上大中小微型企业划分办法 ( 2017) 》印发给你们，请在统计工作中认真贯彻执行。</w:t>
      </w:r>
    </w:p>
    <w:p>
      <w:pPr>
        <w:keepNext w:val="0"/>
        <w:keepLines w:val="0"/>
        <w:pageBreakBefore w:val="0"/>
        <w:widowControl w:val="0"/>
        <w:kinsoku/>
        <w:wordWrap/>
        <w:overflowPunct/>
        <w:topLinePunct w:val="0"/>
        <w:autoSpaceDE/>
        <w:autoSpaceDN/>
        <w:bidi w:val="0"/>
        <w:adjustRightInd/>
        <w:snapToGrid/>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附件：《统计上大中小微型企业划分办法 ( 2017) 》修订说明</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国家统计局</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1"/>
          <w:szCs w:val="21"/>
        </w:rPr>
      </w:pPr>
      <w:r>
        <w:rPr>
          <w:rFonts w:hint="eastAsia" w:ascii="宋体" w:hAnsi="宋体" w:eastAsia="宋体" w:cs="宋体"/>
          <w:sz w:val="24"/>
          <w:szCs w:val="24"/>
        </w:rPr>
        <w:t>2017 年 12 月 28 日</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 xml:space="preserve">统计上大中小微型企业划分办法 ( 2017) </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一、根据工业和信息化部、国家统计局、国家发展改革委、财政部《关于印发中小企业划型标准规定</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的通知》  (工信部联企业〔 2011〕300 号) ，以《国民经济行业分类》  (GB/T4754-2017) 为基础，结合统计工作的实际情况，制定本办法。</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二、本办法适用对象为在中华人民共和国境内依法设立的各种组织形式的法人企业或单位。个体工商户参照本办法进行划分。</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三、本办法适用范围包括：农、林、牧、渔业，采矿业，制造业，电力、热力、燃气及水生产和供应业，建筑业，批发和零售业，交通运输、仓储和邮政业，住宿和餐饮业，信息传输、软件和信息技术服务业，房地产业，租赁和商务服务业，科学研究和技术服务业，水利、环境和公共设施管理业，居民服务、修理和其他服务业，文化、体育和娱乐业等 15 个行业门类以及社会工作行业大类。</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四、本办法按照行业门类、大类、中类和组合类别，依据从业人员、营业收入、资产总额等指标或替代指标，将我国的企业划分为大型、中型、小型、微型等四种类型。具体划分标准见附表。</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五、企业划分由政府综合统计部门根据统计年报每年确定一次，定报统计原则上不进行调整。</w:t>
      </w:r>
    </w:p>
    <w:p>
      <w:pPr>
        <w:keepNext w:val="0"/>
        <w:keepLines w:val="0"/>
        <w:pageBreakBefore w:val="0"/>
        <w:widowControl w:val="0"/>
        <w:kinsoku/>
        <w:wordWrap/>
        <w:overflowPunct/>
        <w:topLinePunct w:val="0"/>
        <w:autoSpaceDE/>
        <w:autoSpaceDN/>
        <w:bidi w:val="0"/>
        <w:adjustRightInd/>
        <w:snapToGrid/>
        <w:spacing w:line="44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六、本办法自印发之日起执行，国家统计局 2011 年印发的《统计上大中小微型企业划分办法》  (国统字〔 2011〕75 号) 同时废止。</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附表：统计上大中小微型企业划分标准</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统计上大中小微型企业划分标准</w:t>
      </w:r>
    </w:p>
    <w:tbl>
      <w:tblPr>
        <w:tblStyle w:val="86"/>
        <w:tblW w:w="10078" w:type="dxa"/>
        <w:tblInd w:w="-431" w:type="dxa"/>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Layout w:type="fixed"/>
        <w:tblCellMar>
          <w:top w:w="0" w:type="dxa"/>
          <w:left w:w="0" w:type="dxa"/>
          <w:bottom w:w="0" w:type="dxa"/>
          <w:right w:w="0" w:type="dxa"/>
        </w:tblCellMar>
      </w:tblPr>
      <w:tblGrid>
        <w:gridCol w:w="2040"/>
        <w:gridCol w:w="1710"/>
        <w:gridCol w:w="660"/>
        <w:gridCol w:w="1417"/>
        <w:gridCol w:w="1538"/>
        <w:gridCol w:w="1770"/>
        <w:gridCol w:w="943"/>
      </w:tblGrid>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926" w:hRule="atLeast"/>
        </w:trPr>
        <w:tc>
          <w:tcPr>
            <w:tcW w:w="20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行业名称</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指标名称</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计量</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单位</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大型</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中型</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小型</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微型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652" w:hRule="atLeast"/>
        </w:trPr>
        <w:tc>
          <w:tcPr>
            <w:tcW w:w="20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农、林、牧、渔业</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≥20000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500≤Y＜20000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50≤Y＜500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Y＜50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工业 *</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 1000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300≤X＜1000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20≤X＜300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X＜20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≥40000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2000≤Y＜40000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300≤Y＜2000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Y＜300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建筑业</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≥80000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6000≤Y＜80000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300≤Y＜6000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Y＜300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资产总额(Z)</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 ≥80000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5000≤Z＜80000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300≤Z＜5000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Z＜300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批发业</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≥200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20≤X＜200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 ≤X＜20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X＜5</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tcBorders>
              <w:top w:val="nil"/>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66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≥40000</w:t>
            </w:r>
          </w:p>
        </w:tc>
        <w:tc>
          <w:tcPr>
            <w:tcW w:w="153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5000≤Y＜40000</w:t>
            </w:r>
          </w:p>
        </w:tc>
        <w:tc>
          <w:tcPr>
            <w:tcW w:w="177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1000≤Y＜5000</w:t>
            </w:r>
          </w:p>
        </w:tc>
        <w:tc>
          <w:tcPr>
            <w:tcW w:w="94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Y＜1000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零售业</w:t>
            </w: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从业人员(X)</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人</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 ≥300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50≤X＜300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10≤X＜50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tcBorders>
              <w:top w:val="single" w:color="auto" w:sz="4" w:space="0"/>
              <w:bottom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营业收入(Y)</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万元</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 ≥20000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500≤Y＜20000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100≤Y＜500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tcBorders>
              <w:top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交通运输业 *</w:t>
            </w: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 1000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300≤X＜1000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20≤X＜300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X＜20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≥30000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3000≤Y＜30000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200≤Y＜3000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Y＜200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仓储业*</w:t>
            </w: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从业人员(X)</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人</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 ≥200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100≤X＜200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20≤X＜100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X＜20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营业收入(Y)</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万元</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 ≥30000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1000≤Y＜30000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100≤Y＜1000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邮政业</w:t>
            </w: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从业人员(X)</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人</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 ≥ 1000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300≤X＜1000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20≤X＜300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X＜20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67" w:hRule="atLeast"/>
        </w:trPr>
        <w:tc>
          <w:tcPr>
            <w:tcW w:w="2040"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p>
        </w:tc>
        <w:tc>
          <w:tcPr>
            <w:tcW w:w="171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营业收入(Y)</w:t>
            </w:r>
          </w:p>
        </w:tc>
        <w:tc>
          <w:tcPr>
            <w:tcW w:w="660" w:type="dxa"/>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万元</w:t>
            </w:r>
          </w:p>
        </w:tc>
        <w:tc>
          <w:tcPr>
            <w:tcW w:w="1417"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 ≥30000</w:t>
            </w:r>
          </w:p>
        </w:tc>
        <w:tc>
          <w:tcPr>
            <w:tcW w:w="1538"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2000≤Y＜30000</w:t>
            </w:r>
          </w:p>
        </w:tc>
        <w:tc>
          <w:tcPr>
            <w:tcW w:w="1770"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100≤Y＜2000</w:t>
            </w:r>
          </w:p>
        </w:tc>
        <w:tc>
          <w:tcPr>
            <w:tcW w:w="94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21"/>
                <w:szCs w:val="21"/>
                <w:lang w:val="en-US" w:eastAsia="zh-CN" w:bidi="ar-SA"/>
              </w:rPr>
            </w:pPr>
            <w:r>
              <w:rPr>
                <w:rFonts w:hint="eastAsia" w:ascii="宋体" w:hAnsi="宋体" w:eastAsia="宋体" w:cs="宋体"/>
                <w:sz w:val="21"/>
                <w:szCs w:val="21"/>
              </w:rPr>
              <w:t>Y＜100</w:t>
            </w:r>
          </w:p>
        </w:tc>
      </w:tr>
    </w:tbl>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sectPr>
          <w:footerReference r:id="rId10" w:type="default"/>
          <w:pgSz w:w="11907" w:h="16840"/>
          <w:pgMar w:top="1440" w:right="1080" w:bottom="1440" w:left="1080" w:header="0" w:footer="1202" w:gutter="0"/>
          <w:pgNumType w:fmt="decimal"/>
          <w:cols w:space="720" w:num="1"/>
        </w:sectPr>
      </w:pPr>
    </w:p>
    <w:tbl>
      <w:tblPr>
        <w:tblStyle w:val="86"/>
        <w:tblW w:w="10065" w:type="dxa"/>
        <w:tblInd w:w="-530" w:type="dxa"/>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Layout w:type="fixed"/>
        <w:tblCellMar>
          <w:top w:w="0" w:type="dxa"/>
          <w:left w:w="0" w:type="dxa"/>
          <w:bottom w:w="0" w:type="dxa"/>
          <w:right w:w="0" w:type="dxa"/>
        </w:tblCellMar>
      </w:tblPr>
      <w:tblGrid>
        <w:gridCol w:w="2040"/>
        <w:gridCol w:w="1440"/>
        <w:gridCol w:w="888"/>
        <w:gridCol w:w="1272"/>
        <w:gridCol w:w="1710"/>
        <w:gridCol w:w="1785"/>
        <w:gridCol w:w="930"/>
      </w:tblGrid>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住宿业</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≥300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 10000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2000≤Y＜10000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100≤Y＜2000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餐饮业</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≥300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 10000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2000≤Y＜10000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100≤Y＜2000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信息传输业 *</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≥2000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100≤X＜2000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 100000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rPr>
              <w:t>1000≤Y＜</w:t>
            </w:r>
            <w:r>
              <w:rPr>
                <w:rFonts w:hint="eastAsia" w:ascii="宋体" w:hAnsi="宋体" w:eastAsia="宋体" w:cs="宋体"/>
                <w:sz w:val="21"/>
                <w:szCs w:val="21"/>
                <w:lang w:val="en-US" w:eastAsia="zh-CN"/>
              </w:rPr>
              <w:t>100000</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100≤Y＜1000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软件和信息技术服</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务业</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≥300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 10000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1000≤Y＜10000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50≤Y＜1000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Y＜50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房地产开发经营</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≥200000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1000≤Y＜</w:t>
            </w:r>
            <w:r>
              <w:rPr>
                <w:rFonts w:hint="eastAsia" w:ascii="宋体" w:hAnsi="宋体" w:eastAsia="宋体" w:cs="宋体"/>
                <w:sz w:val="21"/>
                <w:szCs w:val="21"/>
                <w:lang w:val="en-US" w:eastAsia="zh-CN"/>
              </w:rPr>
              <w:t>20000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100≤Y＜1000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资产总额(Z)</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 ≥ 10000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5000≤Z＜10000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rPr>
              <w:t>2000≤Z＜</w:t>
            </w:r>
            <w:r>
              <w:rPr>
                <w:rFonts w:hint="eastAsia" w:ascii="宋体" w:hAnsi="宋体" w:eastAsia="宋体" w:cs="宋体"/>
                <w:sz w:val="21"/>
                <w:szCs w:val="21"/>
                <w:lang w:val="en-US" w:eastAsia="zh-CN"/>
              </w:rPr>
              <w:t>5000</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Z＜2000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物业管理</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 1000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300≤X＜1000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营业收入(Y)</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 ≥5000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1000≤Y＜5000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500≤Y＜1000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Y＜500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Merge w:val="restart"/>
            <w:tcBorders>
              <w:bottom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租赁和商务服务业</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≥300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PrEx>
        <w:trPr>
          <w:trHeight w:val="510" w:hRule="atLeast"/>
        </w:trPr>
        <w:tc>
          <w:tcPr>
            <w:tcW w:w="2040" w:type="dxa"/>
            <w:vMerge w:val="continue"/>
            <w:tcBorders>
              <w:top w:val="nil"/>
            </w:tcBorders>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资产总额(Z)</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万元</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 ≥ 120000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21"/>
                <w:szCs w:val="21"/>
                <w:lang w:val="en-US" w:eastAsia="zh-CN"/>
              </w:rPr>
            </w:pPr>
            <w:r>
              <w:rPr>
                <w:rFonts w:hint="eastAsia" w:ascii="宋体" w:hAnsi="宋体" w:eastAsia="宋体" w:cs="宋体"/>
                <w:sz w:val="21"/>
                <w:szCs w:val="21"/>
              </w:rPr>
              <w:t>8000≤Z＜</w:t>
            </w:r>
            <w:r>
              <w:rPr>
                <w:rFonts w:hint="eastAsia" w:ascii="宋体" w:hAnsi="宋体" w:eastAsia="宋体" w:cs="宋体"/>
                <w:sz w:val="21"/>
                <w:szCs w:val="21"/>
                <w:lang w:val="en-US" w:eastAsia="zh-CN"/>
              </w:rPr>
              <w:t>120000</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100≤Z＜8000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Z＜100</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0" w:hRule="atLeast"/>
        </w:trPr>
        <w:tc>
          <w:tcPr>
            <w:tcW w:w="20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其他未列明行业 *</w:t>
            </w:r>
          </w:p>
        </w:tc>
        <w:tc>
          <w:tcPr>
            <w:tcW w:w="144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从业人员(X)</w:t>
            </w:r>
          </w:p>
        </w:tc>
        <w:tc>
          <w:tcPr>
            <w:tcW w:w="888"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人</w:t>
            </w:r>
          </w:p>
        </w:tc>
        <w:tc>
          <w:tcPr>
            <w:tcW w:w="1272"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 ≥300</w:t>
            </w:r>
          </w:p>
        </w:tc>
        <w:tc>
          <w:tcPr>
            <w:tcW w:w="171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100≤X＜300</w:t>
            </w:r>
          </w:p>
        </w:tc>
        <w:tc>
          <w:tcPr>
            <w:tcW w:w="1785"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10≤X＜100</w:t>
            </w:r>
          </w:p>
        </w:tc>
        <w:tc>
          <w:tcPr>
            <w:tcW w:w="930"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21"/>
                <w:szCs w:val="21"/>
              </w:rPr>
            </w:pPr>
            <w:r>
              <w:rPr>
                <w:rFonts w:hint="eastAsia" w:ascii="宋体" w:hAnsi="宋体" w:eastAsia="宋体" w:cs="宋体"/>
                <w:sz w:val="21"/>
                <w:szCs w:val="21"/>
              </w:rPr>
              <w:t>X＜10</w:t>
            </w:r>
          </w:p>
        </w:tc>
      </w:tr>
    </w:tbl>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说明：</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1.大型、中型和小型企业须同时满足所列指标的下限，否则下划一档；微型企业只须满足所列指标中的一项即可。</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2.附表中各行业的范围以《 国民经济行业分类》  (GB/T4754-2017) 为准。带*的项为行业组</w:t>
      </w:r>
      <w:r>
        <w:rPr>
          <w:rFonts w:hint="eastAsia" w:ascii="宋体" w:hAnsi="宋体" w:eastAsia="宋体" w:cs="宋体"/>
          <w:sz w:val="24"/>
          <w:szCs w:val="24"/>
          <w:lang w:val="en-US" w:eastAsia="zh-CN"/>
        </w:rPr>
        <w:t>合类别</w:t>
      </w:r>
      <w:r>
        <w:rPr>
          <w:rFonts w:hint="eastAsia" w:ascii="宋体" w:hAnsi="宋体" w:eastAsia="宋体" w:cs="宋体"/>
          <w:sz w:val="24"/>
          <w:szCs w:val="24"/>
        </w:rPr>
        <w:t>，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括科学研究和技术服务业，水利、环境和公共设施管理业，居民服务、修理和其他服务业，社会工作，文化、体育和娱乐业， 以及房地产中介服务，其他房地产业等，不包括自有房地产经营活动。</w:t>
      </w:r>
    </w:p>
    <w:p>
      <w:pPr>
        <w:keepNext w:val="0"/>
        <w:keepLines w:val="0"/>
        <w:pageBreakBefore w:val="0"/>
        <w:widowControl w:val="0"/>
        <w:kinsoku/>
        <w:wordWrap/>
        <w:overflowPunct/>
        <w:topLinePunct w:val="0"/>
        <w:autoSpaceDE/>
        <w:autoSpaceDN/>
        <w:bidi w:val="0"/>
        <w:adjustRightInd/>
        <w:snapToGrid/>
        <w:spacing w:before="31" w:line="520" w:lineRule="exact"/>
        <w:ind w:firstLine="524" w:firstLineChars="200"/>
        <w:jc w:val="left"/>
        <w:textAlignment w:val="auto"/>
        <w:rPr>
          <w:rFonts w:hint="eastAsia" w:ascii="宋体" w:hAnsi="宋体" w:eastAsia="宋体" w:cs="宋体"/>
          <w:sz w:val="24"/>
          <w:szCs w:val="24"/>
        </w:rPr>
      </w:pPr>
      <w:r>
        <w:rPr>
          <w:rFonts w:hint="eastAsia" w:ascii="宋体" w:hAnsi="宋体" w:eastAsia="宋体" w:cs="宋体"/>
          <w:spacing w:val="11"/>
          <w:position w:val="1"/>
          <w:sz w:val="24"/>
          <w:szCs w:val="24"/>
        </w:rPr>
        <w:t>3</w:t>
      </w:r>
      <w:r>
        <w:rPr>
          <w:rFonts w:hint="eastAsia" w:ascii="宋体" w:hAnsi="宋体" w:eastAsia="宋体" w:cs="宋体"/>
          <w:spacing w:val="8"/>
          <w:position w:val="1"/>
          <w:sz w:val="24"/>
          <w:szCs w:val="24"/>
        </w:rPr>
        <w:t>.企业划分指标以现行统计制度为准。</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jc w:val="left"/>
        <w:textAlignment w:val="auto"/>
        <w:rPr>
          <w:rFonts w:hint="eastAsia" w:ascii="宋体" w:hAnsi="宋体" w:eastAsia="宋体" w:cs="宋体"/>
          <w:sz w:val="24"/>
          <w:szCs w:val="24"/>
        </w:rPr>
      </w:pPr>
      <w:r>
        <w:rPr>
          <w:rFonts w:hint="eastAsia" w:ascii="宋体" w:hAnsi="宋体" w:eastAsia="宋体" w:cs="宋体"/>
          <w:sz w:val="24"/>
          <w:szCs w:val="24"/>
        </w:rPr>
        <w:t xml:space="preserve"> ( 1) 从业人员，是指期末从业人员数，没有期末从业人员数的，采用全年平均人员数代替。</w:t>
      </w:r>
    </w:p>
    <w:p>
      <w:pPr>
        <w:keepNext w:val="0"/>
        <w:keepLines w:val="0"/>
        <w:pageBreakBefore w:val="0"/>
        <w:widowControl w:val="0"/>
        <w:kinsoku/>
        <w:wordWrap/>
        <w:overflowPunct/>
        <w:topLinePunct w:val="0"/>
        <w:autoSpaceDE/>
        <w:autoSpaceDN/>
        <w:bidi w:val="0"/>
        <w:adjustRightInd/>
        <w:snapToGrid/>
        <w:spacing w:line="520" w:lineRule="exact"/>
        <w:ind w:firstLine="568" w:firstLineChars="200"/>
        <w:textAlignment w:val="auto"/>
        <w:rPr>
          <w:rFonts w:hint="eastAsia" w:ascii="宋体" w:hAnsi="宋体" w:eastAsia="宋体" w:cs="宋体"/>
          <w:sz w:val="24"/>
          <w:szCs w:val="24"/>
        </w:rPr>
      </w:pPr>
      <w:r>
        <w:rPr>
          <w:rFonts w:hint="eastAsia" w:ascii="宋体" w:hAnsi="宋体" w:eastAsia="宋体" w:cs="宋体"/>
          <w:spacing w:val="22"/>
          <w:sz w:val="24"/>
          <w:szCs w:val="24"/>
        </w:rPr>
        <w:t>(2</w:t>
      </w:r>
      <w:r>
        <w:rPr>
          <w:rFonts w:hint="eastAsia" w:ascii="宋体" w:hAnsi="宋体" w:eastAsia="宋体" w:cs="宋体"/>
          <w:spacing w:val="11"/>
          <w:sz w:val="24"/>
          <w:szCs w:val="24"/>
        </w:rPr>
        <w:t>) 营业收入，工业、建筑业、限额以上批发和零售业、限额以上住宿和餐饮业以及</w:t>
      </w:r>
      <w:r>
        <w:rPr>
          <w:rFonts w:hint="eastAsia" w:ascii="宋体" w:hAnsi="宋体" w:eastAsia="宋体" w:cs="宋体"/>
          <w:sz w:val="24"/>
          <w:szCs w:val="24"/>
        </w:rPr>
        <w:t>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w:t>
      </w:r>
    </w:p>
    <w:p>
      <w:pPr>
        <w:keepNext w:val="0"/>
        <w:keepLines w:val="0"/>
        <w:pageBreakBefore w:val="0"/>
        <w:widowControl w:val="0"/>
        <w:kinsoku/>
        <w:wordWrap/>
        <w:overflowPunct/>
        <w:topLinePunct w:val="0"/>
        <w:autoSpaceDE/>
        <w:autoSpaceDN/>
        <w:bidi w:val="0"/>
        <w:adjustRightInd/>
        <w:snapToGrid/>
        <w:spacing w:before="30" w:line="520" w:lineRule="exact"/>
        <w:ind w:firstLine="532" w:firstLineChars="200"/>
        <w:textAlignment w:val="auto"/>
        <w:rPr>
          <w:rFonts w:hint="eastAsia" w:ascii="宋体" w:hAnsi="宋体" w:eastAsia="宋体" w:cs="宋体"/>
          <w:sz w:val="24"/>
          <w:szCs w:val="24"/>
        </w:rPr>
      </w:pPr>
      <w:r>
        <w:rPr>
          <w:rFonts w:hint="eastAsia" w:ascii="宋体" w:hAnsi="宋体" w:eastAsia="宋体" w:cs="宋体"/>
          <w:spacing w:val="13"/>
          <w:sz w:val="24"/>
          <w:szCs w:val="24"/>
        </w:rPr>
        <w:t>(3) 资产总额，采用资产总计代替</w:t>
      </w:r>
      <w:r>
        <w:rPr>
          <w:rFonts w:hint="eastAsia" w:ascii="宋体" w:hAnsi="宋体" w:eastAsia="宋体" w:cs="宋体"/>
          <w:spacing w:val="12"/>
          <w:sz w:val="24"/>
          <w:szCs w:val="24"/>
        </w:rPr>
        <w:t>。</w:t>
      </w:r>
    </w:p>
    <w:p>
      <w:pPr>
        <w:keepNext w:val="0"/>
        <w:keepLines w:val="0"/>
        <w:pageBreakBefore w:val="0"/>
        <w:widowControl w:val="0"/>
        <w:kinsoku/>
        <w:wordWrap/>
        <w:overflowPunct/>
        <w:topLinePunct w:val="0"/>
        <w:autoSpaceDE/>
        <w:autoSpaceDN/>
        <w:bidi w:val="0"/>
        <w:adjustRightInd/>
        <w:snapToGrid/>
        <w:spacing w:line="520" w:lineRule="exact"/>
        <w:ind w:firstLine="480" w:firstLineChars="200"/>
        <w:textAlignment w:val="auto"/>
        <w:rPr>
          <w:rFonts w:hint="eastAsia" w:ascii="宋体" w:hAnsi="宋体" w:eastAsia="宋体" w:cs="宋体"/>
          <w:sz w:val="24"/>
          <w:szCs w:val="24"/>
        </w:rPr>
      </w:pPr>
    </w:p>
    <w:p>
      <w:pPr>
        <w:keepNext w:val="0"/>
        <w:keepLines w:val="0"/>
        <w:pageBreakBefore w:val="0"/>
        <w:widowControl w:val="0"/>
        <w:kinsoku/>
        <w:wordWrap/>
        <w:overflowPunct/>
        <w:topLinePunct w:val="0"/>
        <w:autoSpaceDE/>
        <w:autoSpaceDN/>
        <w:bidi w:val="0"/>
        <w:adjustRightInd/>
        <w:snapToGrid/>
        <w:spacing w:line="440" w:lineRule="exact"/>
        <w:ind w:firstLine="420" w:firstLineChars="200"/>
        <w:textAlignment w:val="auto"/>
        <w:rPr>
          <w:rFonts w:hint="eastAsia" w:ascii="宋体" w:hAnsi="宋体" w:eastAsia="宋体" w:cs="宋体"/>
          <w:sz w:val="21"/>
          <w:szCs w:val="21"/>
        </w:rPr>
        <w:sectPr>
          <w:footerReference r:id="rId11" w:type="default"/>
          <w:pgSz w:w="11907" w:h="16840"/>
          <w:pgMar w:top="2154" w:right="1361" w:bottom="1362" w:left="1361" w:header="0" w:footer="1202" w:gutter="0"/>
          <w:pgNumType w:fmt="decimal"/>
          <w:cols w:space="720" w:num="1"/>
        </w:sect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30"/>
          <w:szCs w:val="30"/>
        </w:rPr>
      </w:pPr>
      <w:r>
        <w:rPr>
          <w:rFonts w:hint="eastAsia" w:ascii="宋体" w:hAnsi="宋体" w:eastAsia="宋体" w:cs="宋体"/>
          <w:sz w:val="30"/>
          <w:szCs w:val="30"/>
        </w:rPr>
        <w:t>《统计上大中小微型企业划分办法 ( 2017) 》修订说明</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一、修订背景</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目前执行的《统计上大中小微型企业划分办法》是 2011 年国家统计局根据工业和信息化部、国家统计局、国家发展改革委、财政部《关于印发中小企业划型标准规定的通知》( 工信部联企业〔2011〕300 号) ，同时依据《国民经济行业分类》  (GB/T4754—2011) ，制定并颁布的。</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2017 年 6 月 30 日，《 国民经济行业分类》  (GB/T4754—2017) 正式颁布。8月29 ，国家统计局印发《关于执行新国民经济行业分类国家标准的通知》 ( 国统字〔2017〕142 号) ，规定从 2017年统计年报和2018年定期统计报表起统一使用新分类标准。为此，我们对 2011 年印发的《统计上大中小微型企业划分办法》进行修订。</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二、修订主要内容</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pPr>
      <w:r>
        <w:rPr>
          <w:rFonts w:hint="eastAsia" w:ascii="宋体" w:hAnsi="宋体" w:eastAsia="宋体" w:cs="宋体"/>
          <w:sz w:val="24"/>
          <w:szCs w:val="24"/>
        </w:rPr>
        <w:t>本次修订是在 2011 年《统计上大中小微型企业划分办法》基础上进行的，修订延续原有的分类原则、方法和结构框架，在保持适用范围不变的情况下,依据标准由《国民经济行业分类》(GB/T4754—2011) 修改为《 国民经济行业分类》  (GB/T4754—2017) ，并根据新旧国民经济行业的对应关系，进行了行业所包含类别的对应调整。</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4"/>
          <w:szCs w:val="24"/>
        </w:rPr>
        <w:t>将交通运输业中包括的“装卸搬运和运输代理业”修改为“多式联运和运输代理业、装卸搬仓储业所包括的行业中类，根据《 国民经济行业分类》  (GB/T4754—2017) 调整为“通用仓储，低温仓储，危险品仓储，谷物、棉花等农产品仓储，中药材仓储和其他仓储业</w:t>
      </w:r>
      <w:r>
        <w:rPr>
          <w:rFonts w:hint="eastAsia" w:ascii="宋体" w:hAnsi="宋体" w:eastAsia="宋体" w:cs="宋体"/>
          <w:sz w:val="21"/>
          <w:szCs w:val="21"/>
        </w:rPr>
        <w:t>” 。</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sectPr>
          <w:pgSz w:w="11907" w:h="16840"/>
          <w:pgMar w:top="2154" w:right="1361" w:bottom="1362" w:left="1361" w:header="0" w:footer="1202" w:gutter="0"/>
          <w:pgNumType w:fmt="decimal"/>
          <w:cols w:space="720" w:num="1"/>
        </w:sectPr>
      </w:pPr>
    </w:p>
    <w:p>
      <w:pPr>
        <w:keepNext w:val="0"/>
        <w:keepLines w:val="0"/>
        <w:pageBreakBefore w:val="0"/>
        <w:widowControl w:val="0"/>
        <w:kinsoku/>
        <w:wordWrap/>
        <w:overflowPunct/>
        <w:topLinePunct w:val="0"/>
        <w:autoSpaceDE/>
        <w:autoSpaceDN/>
        <w:bidi w:val="0"/>
        <w:adjustRightInd/>
        <w:snapToGrid/>
        <w:spacing w:line="520" w:lineRule="exact"/>
        <w:ind w:left="0"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中国人民银行中国银行业监督管理委员会</w:t>
      </w:r>
    </w:p>
    <w:p>
      <w:pPr>
        <w:keepNext w:val="0"/>
        <w:keepLines w:val="0"/>
        <w:pageBreakBefore w:val="0"/>
        <w:widowControl w:val="0"/>
        <w:kinsoku/>
        <w:wordWrap/>
        <w:overflowPunct/>
        <w:topLinePunct w:val="0"/>
        <w:autoSpaceDE/>
        <w:autoSpaceDN/>
        <w:bidi w:val="0"/>
        <w:adjustRightInd/>
        <w:snapToGrid/>
        <w:spacing w:line="520" w:lineRule="exact"/>
        <w:ind w:left="0"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中国证券监督管理委员会中国保险监督管理委员会</w:t>
      </w:r>
    </w:p>
    <w:p>
      <w:pPr>
        <w:keepNext w:val="0"/>
        <w:keepLines w:val="0"/>
        <w:pageBreakBefore w:val="0"/>
        <w:widowControl w:val="0"/>
        <w:kinsoku/>
        <w:wordWrap/>
        <w:overflowPunct/>
        <w:topLinePunct w:val="0"/>
        <w:autoSpaceDE/>
        <w:autoSpaceDN/>
        <w:bidi w:val="0"/>
        <w:adjustRightInd/>
        <w:snapToGrid/>
        <w:spacing w:line="520" w:lineRule="exact"/>
        <w:ind w:left="0" w:firstLine="420" w:firstLineChars="200"/>
        <w:textAlignment w:val="auto"/>
        <w:rPr>
          <w:rFonts w:hint="eastAsia" w:ascii="宋体" w:hAnsi="宋体" w:eastAsia="宋体" w:cs="宋体"/>
          <w:sz w:val="21"/>
          <w:szCs w:val="21"/>
        </w:rPr>
      </w:pPr>
      <w:r>
        <w:rPr>
          <w:rFonts w:hint="eastAsia" w:ascii="宋体" w:hAnsi="宋体" w:eastAsia="宋体" w:cs="宋体"/>
          <w:sz w:val="21"/>
          <w:szCs w:val="21"/>
        </w:rPr>
        <w:t>国家统计局关于印发《金融业企业划型标准规定》的通知</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为进一步贯彻落实《 中华人民共和国中小企业促进法》、《 国务院关于进一步促进中小企业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发展的若干意见》  ( 国发〔 2009〕36 号) 、《 国务院办公厅关于金融支持小微企业发展的实施意见》(国办发〔 2013〕87 号) ，推动中小金融机构健康发展，加大金融对实体经济的支持，人民银行会同银监会、证监会、保监会和国家统计局联合研究制定了《金融业企业划型标准规定》  (见附件) 。</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经国务院同意，现印发给你们，请遵照执行。</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请人民银行上海总部，各分行、营业管理部、省会 ( 首府) 城市中心支行、副省级城市中心支行会同所在省 (区、市) 银监局、证监局、保监局、统计局将本通知联合转发至辖内相关机构。</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附件：金融业企业划型标准规定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金融业企业划型标准规定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一、根据《中华人民共和国中小企业促进法》、《国务院关于进一步促进中小企业发展的若干意见》  (国发〔 2009〕36 号) 和《国务院办公厅关于金融支持小微企业发展的实施意见》  (国办发〔 2013〕87 号) ，制定本规定。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二、适用范围。本规定适用于从事《 国民经济行业分类》 (GB/T4754-2011)中 J 门类 (金融</w:t>
      </w:r>
      <w:r>
        <w:rPr>
          <w:rFonts w:hint="eastAsia" w:ascii="宋体" w:hAnsi="宋体" w:eastAsia="宋体" w:cs="宋体"/>
          <w:spacing w:val="7"/>
          <w:sz w:val="24"/>
          <w:szCs w:val="24"/>
        </w:rPr>
        <w:t>业) 活动的企业</w:t>
      </w:r>
      <w:r>
        <w:rPr>
          <w:rFonts w:hint="eastAsia" w:ascii="宋体" w:hAnsi="宋体" w:eastAsia="宋体" w:cs="宋体"/>
          <w:spacing w:val="5"/>
          <w:sz w:val="24"/>
          <w:szCs w:val="24"/>
        </w:rPr>
        <w:t>。</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三、行业分类。采用复合分类方法对金融业企业进行分类。首先，按《 国民经济行业分类》将金融业企业分为货币金融服务、资本市场服务、保险业、其他金融业四大类。其次，将货币金融服务分为货币银行服务和非货币银行服务两类，将其他金融业分为金融信托与管理服务、控股公司服务和其他未包括的金融业三类。最后，按经济性质将货币银行服务类金融业企业划为银行业存款类金融机构；将非货币银行服务类金融业企业分为银行业非存款类金融机构，贷款公司、小额贷款公司及典当行；将资本市场服务类金融业企业划为证券业金融机构；将保险业金融企业划为保险业金融机构；将其他金融业企业分为信托公司，金融控股公司和除贷款公司、小额贷款公司、典当行以外的其他金</w:t>
      </w:r>
      <w:r>
        <w:rPr>
          <w:rFonts w:hint="eastAsia" w:ascii="宋体" w:hAnsi="宋体" w:eastAsia="宋体" w:cs="宋体"/>
          <w:spacing w:val="4"/>
          <w:sz w:val="24"/>
          <w:szCs w:val="24"/>
        </w:rPr>
        <w:t>融机构</w:t>
      </w:r>
      <w:r>
        <w:rPr>
          <w:rFonts w:hint="eastAsia" w:ascii="宋体" w:hAnsi="宋体" w:eastAsia="宋体" w:cs="宋体"/>
          <w:spacing w:val="3"/>
          <w:sz w:val="24"/>
          <w:szCs w:val="24"/>
        </w:rPr>
        <w:t>。</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四、划型标准指标。采用一个完整会计年度中四个季度末法人并表口径的资产总额 ( 信托公司为信托资产) 平均值作为划型指标，该指标以监管部门数据为准。</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五、指标标准值。依据指标标准值，将各类金融业企业划分为大、中、小、微四个规模类型，中型企业标准上限及以上的为大型企业。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(一)银行业存款类金融机构。资产总额 40000 亿元以下的为中小微型企业。其中，资产总额 5000 亿元及以上的为中型企业，资产总额 50 亿元及以上的为小型企业，资产总额 50 亿元以下的</w:t>
      </w:r>
      <w:r>
        <w:rPr>
          <w:rFonts w:hint="eastAsia" w:ascii="宋体" w:hAnsi="宋体" w:eastAsia="宋体" w:cs="宋体"/>
          <w:spacing w:val="8"/>
          <w:sz w:val="24"/>
          <w:szCs w:val="24"/>
        </w:rPr>
        <w:t>为</w:t>
      </w:r>
      <w:r>
        <w:rPr>
          <w:rFonts w:hint="eastAsia" w:ascii="宋体" w:hAnsi="宋体" w:eastAsia="宋体" w:cs="宋体"/>
          <w:spacing w:val="6"/>
          <w:sz w:val="24"/>
          <w:szCs w:val="24"/>
        </w:rPr>
        <w:t>微型企业。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(二)银行业非存款类金融机构。资产总额 1000 亿元以下的为中小微型企业。其中，资产总额 200 亿元及以上的为中型企业，资产总额 50 亿元及以上的为小型企业，资产总额 50 亿元以下的为微型企业。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(三)贷款公司、小额贷款公司及典当行。资产总额 1000 亿元以下的为中小微型企业。其中，</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资产总额 200 亿元及以上的为中型企业，资产总额 50 亿元及以上的为小型企业，资产总额 50 亿元以</w:t>
      </w:r>
      <w:r>
        <w:rPr>
          <w:rFonts w:hint="eastAsia" w:ascii="宋体" w:hAnsi="宋体" w:eastAsia="宋体" w:cs="宋体"/>
          <w:spacing w:val="12"/>
          <w:sz w:val="24"/>
          <w:szCs w:val="24"/>
        </w:rPr>
        <w:t>下</w:t>
      </w:r>
      <w:r>
        <w:rPr>
          <w:rFonts w:hint="eastAsia" w:ascii="宋体" w:hAnsi="宋体" w:eastAsia="宋体" w:cs="宋体"/>
          <w:spacing w:val="6"/>
          <w:sz w:val="24"/>
          <w:szCs w:val="24"/>
        </w:rPr>
        <w:t>的为微型企业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(四)证券业金融机构。资产总额 1000 亿元以下的为中小微型企业。其中，资产总额 100 亿元及以上的为中型企业，资产总额 10 亿元及以上的为小型企业，资产总额 10 亿元以下的为微型企</w:t>
      </w:r>
      <w:r>
        <w:rPr>
          <w:rFonts w:hint="eastAsia" w:ascii="宋体" w:hAnsi="宋体" w:eastAsia="宋体" w:cs="宋体"/>
          <w:sz w:val="24"/>
          <w:szCs w:val="24"/>
          <w:lang w:val="en-US" w:eastAsia="zh-CN"/>
        </w:rPr>
        <w:t>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(五)保险业金融机构。资产总额 5000 亿元以下的为中小微型企业。其中，资产总额 400 亿元及以上的为中型企业，资产总额 20 亿元及以上的为小型企业，资产总额 20 亿元以下的为微型企</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(六)信托公司。信托资产 1000 亿元以下的为中小微型企业。其中，信托资产 400 亿元及以上的为中型企业，信托资产 20 亿元及以上的为小型企业，信托资产 20 亿元以下的为微型企业。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(七)金融控股公司。资产总额 40000 亿元以下的为中小微型企业。其中，资产总额 5000 亿元及以上的为中型企业，资产总额 50 亿元及以上的为小型企业，资产总额 50 亿元以下的为微型企</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(八)除贷款公司、小额贷款公司，典当行以外的其他金融机构。资产总额 1000 亿元以下的为中小微型企业。其中，资产总额 200 亿元及以上的为中型企业，资产总额 50 亿元及以上的为小型企业，资产总额 50 亿元以下的为微型企业。</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六、组织实施。由人民银行会同银监会、证监会、保监会和统计局联合组成金融业企业划型标准工作组，负责金融业企业划型标准的实施、后期评估和调整工作，按年组织金融业企业规模认定，并在人民银行建立的《金融业机构信息管理系统》中增相应的字段模块。经过认定的金融业企业在系统中进行规模登记，方便政府部门和社会各界查询使用。</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七、标准值的评估和调整。金融业企业划型标准工作组毎五年对划型标准值受经济发展与通货膨胀等因素的响程度进行评估和调整。</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八、本规定的中型金融业企业标准上限即为大型金融业企业下限。国务院有关部门据此进行相关数据的统计分析，不得制定与本规定不一致的金融业企业划型标准。</w:t>
      </w:r>
    </w:p>
    <w:p>
      <w:pPr>
        <w:keepNext w:val="0"/>
        <w:keepLines w:val="0"/>
        <w:pageBreakBefore w:val="0"/>
        <w:widowControl w:val="0"/>
        <w:kinsoku/>
        <w:wordWrap/>
        <w:overflowPunct/>
        <w:topLinePunct w:val="0"/>
        <w:autoSpaceDE/>
        <w:autoSpaceDN/>
        <w:bidi w:val="0"/>
        <w:adjustRightInd/>
        <w:snapToGrid/>
        <w:spacing w:line="520" w:lineRule="exact"/>
        <w:ind w:left="0" w:firstLine="480" w:firstLineChars="200"/>
        <w:textAlignment w:val="auto"/>
        <w:rPr>
          <w:rFonts w:hint="eastAsia" w:ascii="宋体" w:hAnsi="宋体" w:eastAsia="宋体" w:cs="宋体"/>
          <w:sz w:val="24"/>
          <w:szCs w:val="24"/>
        </w:rPr>
      </w:pPr>
      <w:r>
        <w:rPr>
          <w:rFonts w:hint="eastAsia" w:ascii="宋体" w:hAnsi="宋体" w:eastAsia="宋体" w:cs="宋体"/>
          <w:sz w:val="24"/>
          <w:szCs w:val="24"/>
        </w:rPr>
        <w:t>九、融资担保公司参照本规定中“除贷款公司、小额贷款公司、典当行以外的其他金融机</w:t>
      </w:r>
      <w:r>
        <w:rPr>
          <w:rFonts w:hint="eastAsia" w:ascii="宋体" w:hAnsi="宋体" w:eastAsia="宋体" w:cs="宋体"/>
          <w:spacing w:val="11"/>
          <w:sz w:val="24"/>
          <w:szCs w:val="24"/>
        </w:rPr>
        <w:t>构</w:t>
      </w:r>
      <w:r>
        <w:rPr>
          <w:rFonts w:hint="eastAsia" w:ascii="宋体" w:hAnsi="宋体" w:eastAsia="宋体" w:cs="宋体"/>
          <w:spacing w:val="6"/>
          <w:sz w:val="24"/>
          <w:szCs w:val="24"/>
        </w:rPr>
        <w:t>”标准划型。</w:t>
      </w:r>
    </w:p>
    <w:p>
      <w:pPr>
        <w:keepNext w:val="0"/>
        <w:keepLines w:val="0"/>
        <w:pageBreakBefore w:val="0"/>
        <w:widowControl w:val="0"/>
        <w:kinsoku/>
        <w:wordWrap/>
        <w:overflowPunct/>
        <w:topLinePunct w:val="0"/>
        <w:autoSpaceDE/>
        <w:autoSpaceDN/>
        <w:bidi w:val="0"/>
        <w:adjustRightInd/>
        <w:snapToGrid/>
        <w:spacing w:line="520" w:lineRule="exact"/>
        <w:ind w:left="0" w:firstLine="552" w:firstLineChars="200"/>
        <w:textAlignment w:val="auto"/>
        <w:rPr>
          <w:rFonts w:hint="eastAsia" w:ascii="宋体" w:hAnsi="宋体" w:eastAsia="宋体" w:cs="宋体"/>
          <w:sz w:val="24"/>
          <w:szCs w:val="24"/>
        </w:rPr>
      </w:pPr>
      <w:r>
        <w:rPr>
          <w:rFonts w:hint="eastAsia" w:ascii="宋体" w:hAnsi="宋体" w:eastAsia="宋体" w:cs="宋体"/>
          <w:spacing w:val="18"/>
          <w:sz w:val="24"/>
          <w:szCs w:val="24"/>
        </w:rPr>
        <w:t>十</w:t>
      </w:r>
      <w:r>
        <w:rPr>
          <w:rFonts w:hint="eastAsia" w:ascii="宋体" w:hAnsi="宋体" w:eastAsia="宋体" w:cs="宋体"/>
          <w:spacing w:val="11"/>
          <w:sz w:val="24"/>
          <w:szCs w:val="24"/>
        </w:rPr>
        <w:t>、</w:t>
      </w:r>
      <w:r>
        <w:rPr>
          <w:rFonts w:hint="eastAsia" w:ascii="宋体" w:hAnsi="宋体" w:eastAsia="宋体" w:cs="宋体"/>
          <w:spacing w:val="9"/>
          <w:sz w:val="24"/>
          <w:szCs w:val="24"/>
        </w:rPr>
        <w:t>本规定由人民银行会同银监会，证监会、保监会和统计局负责解释。</w:t>
      </w:r>
    </w:p>
    <w:p>
      <w:pPr>
        <w:keepNext w:val="0"/>
        <w:keepLines w:val="0"/>
        <w:pageBreakBefore w:val="0"/>
        <w:widowControl w:val="0"/>
        <w:kinsoku/>
        <w:wordWrap/>
        <w:overflowPunct/>
        <w:topLinePunct w:val="0"/>
        <w:autoSpaceDE/>
        <w:autoSpaceDN/>
        <w:bidi w:val="0"/>
        <w:adjustRightInd/>
        <w:snapToGrid/>
        <w:spacing w:line="520" w:lineRule="exact"/>
        <w:ind w:left="0" w:firstLine="544" w:firstLineChars="200"/>
        <w:textAlignment w:val="auto"/>
        <w:rPr>
          <w:rFonts w:hint="eastAsia" w:ascii="宋体" w:hAnsi="宋体" w:eastAsia="宋体" w:cs="宋体"/>
          <w:sz w:val="24"/>
          <w:szCs w:val="24"/>
        </w:rPr>
      </w:pPr>
      <w:r>
        <w:rPr>
          <w:rFonts w:hint="eastAsia" w:ascii="宋体" w:hAnsi="宋体" w:eastAsia="宋体" w:cs="宋体"/>
          <w:spacing w:val="16"/>
          <w:sz w:val="24"/>
          <w:szCs w:val="24"/>
        </w:rPr>
        <w:t>十</w:t>
      </w:r>
      <w:r>
        <w:rPr>
          <w:rFonts w:hint="eastAsia" w:ascii="宋体" w:hAnsi="宋体" w:eastAsia="宋体" w:cs="宋体"/>
          <w:spacing w:val="8"/>
          <w:sz w:val="24"/>
          <w:szCs w:val="24"/>
        </w:rPr>
        <w:t>一、本规定自发布之日起实施。</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4"/>
          <w:szCs w:val="24"/>
        </w:rPr>
        <w:sectPr>
          <w:footerReference r:id="rId12" w:type="default"/>
          <w:pgSz w:w="11907" w:h="16840"/>
          <w:pgMar w:top="1440" w:right="1080" w:bottom="1440" w:left="1080" w:header="0" w:footer="1202" w:gutter="0"/>
          <w:pgNumType w:fmt="decimal"/>
          <w:cols w:space="720" w:num="1"/>
        </w:sectPr>
      </w:pP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附：金融业企业划型标准</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r>
        <w:rPr>
          <w:rFonts w:hint="eastAsia" w:ascii="宋体" w:hAnsi="宋体" w:eastAsia="宋体" w:cs="宋体"/>
          <w:sz w:val="21"/>
          <w:szCs w:val="21"/>
        </w:rPr>
        <w:t>金融业企业划型标准</w:t>
      </w:r>
    </w:p>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21"/>
          <w:szCs w:val="21"/>
        </w:rPr>
      </w:pPr>
    </w:p>
    <w:tbl>
      <w:tblPr>
        <w:tblStyle w:val="86"/>
        <w:tblW w:w="9334" w:type="dxa"/>
        <w:tblInd w:w="-624" w:type="dxa"/>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Layout w:type="fixed"/>
        <w:tblCellMar>
          <w:top w:w="0" w:type="dxa"/>
          <w:left w:w="0" w:type="dxa"/>
          <w:bottom w:w="0" w:type="dxa"/>
          <w:right w:w="0" w:type="dxa"/>
        </w:tblCellMar>
      </w:tblPr>
      <w:tblGrid>
        <w:gridCol w:w="1920"/>
        <w:gridCol w:w="255"/>
        <w:gridCol w:w="1305"/>
        <w:gridCol w:w="1845"/>
        <w:gridCol w:w="1213"/>
        <w:gridCol w:w="2796"/>
      </w:tblGrid>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515" w:hRule="atLeast"/>
        </w:trPr>
        <w:tc>
          <w:tcPr>
            <w:tcW w:w="3480" w:type="dxa"/>
            <w:gridSpan w:val="3"/>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行业</w:t>
            </w:r>
          </w:p>
        </w:tc>
        <w:tc>
          <w:tcPr>
            <w:tcW w:w="1845"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类别</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类型</w:t>
            </w:r>
          </w:p>
        </w:tc>
        <w:tc>
          <w:tcPr>
            <w:tcW w:w="2796"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资产总额</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rPr>
              <w:t>货币金融</w:t>
            </w:r>
            <w:r>
              <w:rPr>
                <w:rFonts w:hint="eastAsia" w:ascii="宋体" w:hAnsi="宋体" w:eastAsia="宋体" w:cs="宋体"/>
                <w:sz w:val="18"/>
                <w:szCs w:val="18"/>
                <w:lang w:val="en-US" w:eastAsia="zh-CN"/>
              </w:rPr>
              <w:t xml:space="preserve">  服务</w:t>
            </w:r>
          </w:p>
        </w:tc>
        <w:tc>
          <w:tcPr>
            <w:tcW w:w="1560"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货币银行服务</w:t>
            </w: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银行业存款类</w:t>
            </w:r>
            <w:r>
              <w:rPr>
                <w:rFonts w:hint="eastAsia" w:ascii="宋体" w:hAnsi="宋体" w:eastAsia="宋体" w:cs="宋体"/>
                <w:sz w:val="18"/>
                <w:szCs w:val="18"/>
                <w:lang w:val="en-US" w:eastAsia="zh-CN"/>
              </w:rPr>
              <w:t xml:space="preserve">     </w:t>
            </w:r>
            <w:r>
              <w:rPr>
                <w:rFonts w:hint="eastAsia" w:ascii="宋体" w:hAnsi="宋体" w:eastAsia="宋体" w:cs="宋体"/>
                <w:sz w:val="18"/>
                <w:szCs w:val="18"/>
              </w:rPr>
              <w:t>金融机构</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5000 亿元 (含) 至 40000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 (含) 至 5000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非货币银行服务</w:t>
            </w: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银行业非存款类</w:t>
            </w:r>
            <w:r>
              <w:rPr>
                <w:rFonts w:hint="eastAsia" w:ascii="宋体" w:hAnsi="宋体" w:cs="宋体"/>
                <w:sz w:val="18"/>
                <w:szCs w:val="18"/>
                <w:lang w:val="en-US" w:eastAsia="zh-CN"/>
              </w:rPr>
              <w:t xml:space="preserve">   </w:t>
            </w:r>
            <w:r>
              <w:rPr>
                <w:rFonts w:hint="eastAsia" w:ascii="宋体" w:hAnsi="宋体" w:eastAsia="宋体" w:cs="宋体"/>
                <w:sz w:val="18"/>
                <w:szCs w:val="18"/>
              </w:rPr>
              <w:t>金融机构</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200 亿元 (含) 至 1000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 (含) 至 200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贷款公司、 小额贷款公司及典当行</w:t>
            </w:r>
          </w:p>
        </w:tc>
        <w:tc>
          <w:tcPr>
            <w:tcW w:w="1213"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lang w:val="en-US" w:eastAsia="zh-CN"/>
              </w:rPr>
            </w:pPr>
            <w:r>
              <w:rPr>
                <w:rFonts w:hint="eastAsia" w:ascii="宋体" w:hAnsi="宋体" w:cs="宋体"/>
                <w:sz w:val="18"/>
                <w:szCs w:val="18"/>
                <w:lang w:val="en-US" w:eastAsia="zh-CN"/>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200 亿元 (含) 至 1000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 (含) 至 200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1920"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560"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r>
              <w:rPr>
                <w:rFonts w:hint="eastAsia" w:ascii="宋体" w:hAnsi="宋体" w:eastAsia="宋体" w:cs="宋体"/>
                <w:sz w:val="18"/>
                <w:szCs w:val="18"/>
              </w:rPr>
              <w:t>50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ind w:firstLine="180" w:firstLineChars="100"/>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融信托与资本市场服务</w:t>
            </w:r>
          </w:p>
        </w:tc>
        <w:tc>
          <w:tcPr>
            <w:tcW w:w="1845" w:type="dxa"/>
            <w:vMerge w:val="restart"/>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证券业金融机构</w:t>
            </w: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100 亿元 (含) 至 1000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ind w:firstLine="180" w:firstLineChars="100"/>
              <w:jc w:val="center"/>
              <w:textAlignment w:val="auto"/>
              <w:rPr>
                <w:rFonts w:hint="eastAsia" w:ascii="宋体" w:hAnsi="宋体" w:eastAsia="宋体" w:cs="宋体"/>
                <w:sz w:val="18"/>
                <w:szCs w:val="18"/>
                <w:lang w:val="en-US" w:eastAsia="zh-CN"/>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10 亿元 (含) 至 100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ind w:firstLine="180" w:firstLineChars="100"/>
              <w:jc w:val="center"/>
              <w:textAlignment w:val="auto"/>
              <w:rPr>
                <w:rFonts w:hint="eastAsia" w:ascii="宋体" w:hAnsi="宋体" w:eastAsia="宋体" w:cs="宋体"/>
                <w:sz w:val="18"/>
                <w:szCs w:val="18"/>
                <w:lang w:val="en-US" w:eastAsia="zh-CN"/>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10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ind w:firstLine="180" w:firstLineChars="100"/>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保险业</w:t>
            </w:r>
          </w:p>
        </w:tc>
        <w:tc>
          <w:tcPr>
            <w:tcW w:w="1845" w:type="dxa"/>
            <w:vMerge w:val="restart"/>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保险业金融机构</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400 亿元 (含) 至 5000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20 亿元 (含) 至 400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3480" w:type="dxa"/>
            <w:gridSpan w:val="3"/>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20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其他金融业</w:t>
            </w:r>
          </w:p>
        </w:tc>
        <w:tc>
          <w:tcPr>
            <w:tcW w:w="130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金融理财服务</w:t>
            </w: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信托公司</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400 亿元 (含) 至 1000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20 亿元 (含) 至 400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20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控股公司服务</w:t>
            </w: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金融控股公司</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5000 亿元 (含) 至 40000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50 亿元 (含) 至 5000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845" w:type="dxa"/>
            <w:vMerge w:val="continue"/>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50 亿元以下</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restart"/>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其他未包括的金融业</w:t>
            </w:r>
          </w:p>
        </w:tc>
        <w:tc>
          <w:tcPr>
            <w:tcW w:w="1845" w:type="dxa"/>
            <w:vMerge w:val="restart"/>
            <w:vAlign w:val="center"/>
          </w:tcPr>
          <w:p>
            <w:pPr>
              <w:keepNext w:val="0"/>
              <w:keepLines w:val="0"/>
              <w:pageBreakBefore w:val="0"/>
              <w:widowControl w:val="0"/>
              <w:kinsoku/>
              <w:wordWrap/>
              <w:overflowPunct/>
              <w:topLinePunct w:val="0"/>
              <w:autoSpaceDE/>
              <w:autoSpaceDN/>
              <w:bidi w:val="0"/>
              <w:adjustRightInd/>
              <w:snapToGrid/>
              <w:spacing w:line="300" w:lineRule="exact"/>
              <w:jc w:val="center"/>
              <w:textAlignment w:val="auto"/>
              <w:rPr>
                <w:rFonts w:hint="default" w:ascii="宋体" w:hAnsi="宋体" w:eastAsia="宋体" w:cs="宋体"/>
                <w:sz w:val="18"/>
                <w:szCs w:val="18"/>
                <w:lang w:val="en-US" w:eastAsia="zh-CN"/>
              </w:rPr>
            </w:pPr>
            <w:r>
              <w:rPr>
                <w:rFonts w:hint="eastAsia" w:ascii="宋体" w:hAnsi="宋体" w:eastAsia="宋体" w:cs="宋体"/>
                <w:sz w:val="18"/>
                <w:szCs w:val="18"/>
                <w:lang w:val="en-US" w:eastAsia="zh-CN"/>
              </w:rPr>
              <w:t>除贷款公司、小额贷款公司及典当行以外的其他金融机构</w:t>
            </w: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中型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200 亿元 (含) 至 1000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小型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50 亿元 (含) 至 200 亿元</w:t>
            </w:r>
          </w:p>
        </w:tc>
      </w:tr>
      <w:tr>
        <w:tblPrEx>
          <w:tblBorders>
            <w:top w:val="single" w:color="B7B7B7" w:sz="2" w:space="0"/>
            <w:left w:val="single" w:color="B7B7B7" w:sz="2" w:space="0"/>
            <w:bottom w:val="single" w:color="B7B7B7" w:sz="2" w:space="0"/>
            <w:right w:val="single" w:color="B7B7B7" w:sz="2" w:space="0"/>
            <w:insideH w:val="single" w:color="B7B7B7" w:sz="2" w:space="0"/>
            <w:insideV w:val="single" w:color="B7B7B7" w:sz="2" w:space="0"/>
          </w:tblBorders>
          <w:tblCellMar>
            <w:top w:w="0" w:type="dxa"/>
            <w:left w:w="0" w:type="dxa"/>
            <w:bottom w:w="0" w:type="dxa"/>
            <w:right w:w="0" w:type="dxa"/>
          </w:tblCellMar>
        </w:tblPrEx>
        <w:trPr>
          <w:trHeight w:val="414" w:hRule="atLeast"/>
        </w:trPr>
        <w:tc>
          <w:tcPr>
            <w:tcW w:w="2175" w:type="dxa"/>
            <w:gridSpan w:val="2"/>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30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845" w:type="dxa"/>
            <w:vMerge w:val="continue"/>
            <w:vAlign w:val="top"/>
          </w:tcPr>
          <w:p>
            <w:pPr>
              <w:keepNext w:val="0"/>
              <w:keepLines w:val="0"/>
              <w:pageBreakBefore w:val="0"/>
              <w:widowControl w:val="0"/>
              <w:kinsoku/>
              <w:wordWrap/>
              <w:overflowPunct/>
              <w:topLinePunct w:val="0"/>
              <w:autoSpaceDE/>
              <w:autoSpaceDN/>
              <w:bidi w:val="0"/>
              <w:adjustRightInd/>
              <w:snapToGrid/>
              <w:spacing w:line="440" w:lineRule="exact"/>
              <w:textAlignment w:val="auto"/>
              <w:rPr>
                <w:rFonts w:hint="eastAsia" w:ascii="宋体" w:hAnsi="宋体" w:eastAsia="宋体" w:cs="宋体"/>
                <w:sz w:val="18"/>
                <w:szCs w:val="18"/>
              </w:rPr>
            </w:pPr>
          </w:p>
        </w:tc>
        <w:tc>
          <w:tcPr>
            <w:tcW w:w="1213" w:type="dxa"/>
            <w:vAlign w:val="top"/>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微型</w:t>
            </w:r>
          </w:p>
        </w:tc>
        <w:tc>
          <w:tcPr>
            <w:tcW w:w="2796" w:type="dxa"/>
            <w:vAlign w:val="center"/>
          </w:tcPr>
          <w:p>
            <w:pPr>
              <w:keepNext w:val="0"/>
              <w:keepLines w:val="0"/>
              <w:pageBreakBefore w:val="0"/>
              <w:widowControl w:val="0"/>
              <w:kinsoku/>
              <w:wordWrap/>
              <w:overflowPunct/>
              <w:topLinePunct w:val="0"/>
              <w:autoSpaceDE/>
              <w:autoSpaceDN/>
              <w:bidi w:val="0"/>
              <w:adjustRightInd/>
              <w:snapToGrid/>
              <w:spacing w:line="440" w:lineRule="exact"/>
              <w:jc w:val="center"/>
              <w:textAlignment w:val="auto"/>
              <w:rPr>
                <w:rFonts w:hint="eastAsia" w:ascii="宋体" w:hAnsi="宋体" w:eastAsia="宋体" w:cs="宋体"/>
                <w:kern w:val="2"/>
                <w:sz w:val="18"/>
                <w:szCs w:val="18"/>
                <w:lang w:val="en-US" w:eastAsia="zh-CN" w:bidi="ar-SA"/>
              </w:rPr>
            </w:pPr>
            <w:r>
              <w:rPr>
                <w:rFonts w:hint="eastAsia" w:ascii="宋体" w:hAnsi="宋体" w:eastAsia="宋体" w:cs="宋体"/>
                <w:sz w:val="18"/>
                <w:szCs w:val="18"/>
              </w:rPr>
              <w:t>50 亿元以下</w:t>
            </w:r>
          </w:p>
        </w:tc>
      </w:tr>
    </w:tbl>
    <w:p>
      <w:pPr>
        <w:pStyle w:val="5"/>
        <w:rPr>
          <w:rFonts w:hint="eastAsia" w:ascii="宋体" w:hAnsi="宋体" w:eastAsia="宋体" w:cs="宋体"/>
          <w:sz w:val="21"/>
          <w:szCs w:val="21"/>
          <w:lang w:eastAsia="zh-CN"/>
        </w:rPr>
      </w:pPr>
    </w:p>
    <w:p/>
    <w:p>
      <w:pPr>
        <w:widowControl/>
        <w:jc w:val="left"/>
        <w:rPr>
          <w:b/>
          <w:sz w:val="36"/>
          <w:szCs w:val="36"/>
        </w:rPr>
      </w:pPr>
    </w:p>
    <w:p/>
    <w:p>
      <w:pPr>
        <w:rPr>
          <w:rFonts w:ascii="宋体" w:hAnsi="宋体"/>
          <w:sz w:val="22"/>
          <w:szCs w:val="18"/>
        </w:rPr>
      </w:pPr>
    </w:p>
    <w:p>
      <w:pPr>
        <w:pStyle w:val="8"/>
        <w:rPr>
          <w:rFonts w:hint="eastAsia"/>
          <w:sz w:val="20"/>
          <w:szCs w:val="18"/>
          <w:lang w:val="en-US" w:eastAsia="zh-CN"/>
        </w:rPr>
      </w:pPr>
    </w:p>
    <w:p>
      <w:pPr>
        <w:pStyle w:val="9"/>
        <w:rPr>
          <w:rFonts w:hint="eastAsia"/>
          <w:sz w:val="20"/>
          <w:szCs w:val="18"/>
          <w:lang w:val="en-US" w:eastAsia="zh-CN"/>
        </w:rPr>
      </w:pPr>
    </w:p>
    <w:p>
      <w:pPr>
        <w:rPr>
          <w:rFonts w:hint="eastAsia"/>
          <w:sz w:val="20"/>
          <w:szCs w:val="18"/>
          <w:lang w:val="en-US" w:eastAsia="zh-CN"/>
        </w:rPr>
      </w:pPr>
    </w:p>
    <w:p>
      <w:pPr>
        <w:pStyle w:val="5"/>
        <w:rPr>
          <w:rFonts w:hint="eastAsia"/>
          <w:sz w:val="20"/>
          <w:szCs w:val="18"/>
          <w:lang w:val="en-US" w:eastAsia="zh-CN"/>
        </w:rPr>
      </w:pPr>
    </w:p>
    <w:p>
      <w:pPr>
        <w:sectPr>
          <w:footerReference r:id="rId13" w:type="default"/>
          <w:pgSz w:w="11907" w:h="16840"/>
          <w:pgMar w:top="1134" w:right="6" w:bottom="1362" w:left="1361" w:header="0" w:footer="1202" w:gutter="0"/>
          <w:pgNumType w:fmt="decimal"/>
          <w:cols w:space="720" w:num="1"/>
        </w:sectPr>
      </w:pPr>
    </w:p>
    <w:p>
      <w:pPr>
        <w:rPr>
          <w:rFonts w:ascii="Arial"/>
          <w:sz w:val="21"/>
        </w:rPr>
      </w:pPr>
    </w:p>
    <w:p>
      <w:pPr>
        <w:pStyle w:val="5"/>
        <w:rPr>
          <w:rFonts w:hint="eastAsia"/>
          <w:lang w:val="en-US" w:eastAsia="zh-CN"/>
        </w:rPr>
      </w:pPr>
    </w:p>
    <w:sectPr>
      <w:footerReference r:id="rId14" w:type="default"/>
      <w:pgSz w:w="11906" w:h="16838"/>
      <w:pgMar w:top="1440" w:right="1800" w:bottom="1440" w:left="1800" w:header="851" w:footer="992" w:gutter="0"/>
      <w:pgNumType w:fmt="decimal"/>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0"/>
    <w:family w:val="roma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幼圆">
    <w:altName w:val="宋体"/>
    <w:panose1 w:val="02010509060101010101"/>
    <w:charset w:val="86"/>
    <w:family w:val="modern"/>
    <w:pitch w:val="default"/>
    <w:sig w:usb0="00000000" w:usb1="00000000" w:usb2="00000000" w:usb3="00000000" w:csb0="00040000"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微软雅黑">
    <w:panose1 w:val="020B0503020204020204"/>
    <w:charset w:val="86"/>
    <w:family w:val="swiss"/>
    <w:pitch w:val="default"/>
    <w:sig w:usb0="80000287" w:usb1="2ACF3C50" w:usb2="00000016" w:usb3="00000000" w:csb0="0004001F" w:csb1="00000000"/>
  </w:font>
  <w:font w:name="Tms Rmn">
    <w:altName w:val="Segoe Print"/>
    <w:panose1 w:val="02020603040005020304"/>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华文中宋">
    <w:altName w:val="宋体"/>
    <w:panose1 w:val="02010600040101010101"/>
    <w:charset w:val="86"/>
    <w:family w:val="auto"/>
    <w:pitch w:val="default"/>
    <w:sig w:usb0="00000000" w:usb1="00000000" w:usb2="00000000" w:usb3="00000000" w:csb0="0004009F" w:csb1="DFD70000"/>
  </w:font>
  <w:font w:name="Prima Serif Std Roman">
    <w:panose1 w:val="02010600010101010101"/>
    <w:charset w:val="86"/>
    <w:family w:val="auto"/>
    <w:pitch w:val="default"/>
    <w:sig w:usb0="00000001" w:usb1="080E0000" w:usb2="00000000" w:usb3="00000000" w:csb0="00040000" w:csb1="00000000"/>
  </w:font>
  <w:font w:name="Wingdings 2">
    <w:panose1 w:val="05020102010507070707"/>
    <w:charset w:val="00"/>
    <w:family w:val="auto"/>
    <w:pitch w:val="default"/>
    <w:sig w:usb0="00000000" w:usb1="0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yNJGYzAgAAYwQAAA4AAABkcnMvZTJvRG9jLnhtbK1UzY7TMBC+I/EO&#10;lu80adGu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9d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yNJGYzAgAAYwQAAA4AAAAAAAAAAQAgAAAAHwEAAGRycy9lMm9Eb2MueG1sUEsF&#10;BgAAAAAGAAYAWQEAAMQFA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snapToGrid w:val="0"/>
      <w:jc w:val="center"/>
      <w:rPr>
        <w:rFonts w:ascii="Calibri" w:hAnsi="Calibri" w:eastAsia="宋体" w:cs="Times New Roman"/>
        <w:kern w:val="2"/>
        <w:sz w:val="18"/>
        <w:szCs w:val="18"/>
        <w:lang w:val="en-US" w:eastAsia="zh-CN" w:bidi="ar-SA"/>
      </w:rP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25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FCWoEMQIAAGMEAAAOAAAAAAAAAAEAIAAAAB8BAABkcnMvZTJvRG9jLnhtbFBLBQYA&#10;AAAABgAGAFkBAADCBQ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25</w:t>
                    </w:r>
                    <w:r>
                      <w:fldChar w:fldCharType="end"/>
                    </w:r>
                  </w:p>
                </w:txbxContent>
              </v:textbox>
            </v:shape>
          </w:pict>
        </mc:Fallback>
      </mc:AlternateContent>
    </w:r>
  </w:p>
  <w:p>
    <w:pPr>
      <w:widowControl w:val="0"/>
      <w:snapToGrid w:val="0"/>
      <w:jc w:val="center"/>
      <w:rPr>
        <w:rFonts w:ascii="Calibri" w:hAnsi="Calibri" w:eastAsia="宋体" w:cs="Times New Roman"/>
        <w:kern w:val="2"/>
        <w:sz w:val="18"/>
        <w:szCs w:val="18"/>
        <w:lang w:val="en-US" w:eastAsia="zh-CN" w:bidi="ar-S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678"/>
      <w:rPr>
        <w:rFonts w:ascii="Times New Roman" w:hAnsi="Times New Roman" w:eastAsia="Times New Roman" w:cs="Times New Roman"/>
        <w:sz w:val="17"/>
        <w:szCs w:val="17"/>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406"/>
      <w:rPr>
        <w:rFonts w:ascii="Times New Roman" w:hAnsi="Times New Roman" w:eastAsia="Times New Roman" w:cs="Times New Roman"/>
        <w:sz w:val="17"/>
        <w:szCs w:val="17"/>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406"/>
      <w:rPr>
        <w:rFonts w:ascii="Times New Roman" w:hAnsi="Times New Roman" w:eastAsia="Times New Roman" w:cs="Times New Roman"/>
        <w:sz w:val="17"/>
        <w:szCs w:val="17"/>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pacing w:line="196" w:lineRule="auto"/>
      <w:ind w:left="4406"/>
      <w:rPr>
        <w:rFonts w:ascii="Times New Roman" w:hAnsi="Times New Roman" w:eastAsia="Times New Roman" w:cs="Times New Roman"/>
        <w:sz w:val="17"/>
        <w:szCs w:val="17"/>
      </w:rPr>
    </w:pPr>
    <w:r>
      <w:rPr>
        <w:rFonts w:ascii="Times New Roman" w:hAnsi="Times New Roman" w:eastAsia="Times New Roman" w:cs="Times New Roman"/>
        <w:spacing w:val="3"/>
        <w:sz w:val="17"/>
        <w:szCs w:val="17"/>
      </w:rPr>
      <w:t xml:space="preserve">- 88 </w:t>
    </w:r>
    <w:r>
      <w:rPr>
        <w:rFonts w:ascii="Times New Roman" w:hAnsi="Times New Roman" w:eastAsia="Times New Roman" w:cs="Times New Roman"/>
        <w:spacing w:val="2"/>
        <w:sz w:val="17"/>
        <w:szCs w:val="17"/>
      </w:rPr>
      <w:t>-</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3"/>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62" name="文本框 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3"/>
                          </w:pPr>
                          <w:r>
                            <w:fldChar w:fldCharType="begin"/>
                          </w:r>
                          <w:r>
                            <w:instrText xml:space="preserve"> PAGE  \* MERGEFORMAT </w:instrText>
                          </w:r>
                          <w:r>
                            <w:fldChar w:fldCharType="separate"/>
                          </w:r>
                          <w:r>
                            <w:t>121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L3o+8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gvej7zICAABjBAAADgAAAAAAAAABACAAAAAfAQAAZHJzL2Uyb0RvYy54bWxQSwUG&#10;AAAAAAYABgBZAQAAwwUAAAAA&#10;">
              <v:fill on="f" focussize="0,0"/>
              <v:stroke on="f" weight="0.5pt"/>
              <v:imagedata o:title=""/>
              <o:lock v:ext="edit" aspectratio="f"/>
              <v:textbox inset="0mm,0mm,0mm,0mm" style="mso-fit-shape-to-text:t;">
                <w:txbxContent>
                  <w:p>
                    <w:pPr>
                      <w:pStyle w:val="13"/>
                    </w:pPr>
                    <w:r>
                      <w:fldChar w:fldCharType="begin"/>
                    </w:r>
                    <w:r>
                      <w:instrText xml:space="preserve"> PAGE  \* MERGEFORMAT </w:instrText>
                    </w:r>
                    <w:r>
                      <w:fldChar w:fldCharType="separate"/>
                    </w:r>
                    <w:r>
                      <w:t>121</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widowControl w:val="0"/>
      <w:pBdr>
        <w:bottom w:val="none" w:color="auto" w:sz="0" w:space="1"/>
      </w:pBdr>
      <w:snapToGrid w:val="0"/>
      <w:jc w:val="both"/>
      <w:rPr>
        <w:rFonts w:hint="default" w:ascii="Calibri" w:hAnsi="Calibri" w:eastAsia="宋体" w:cs="Times New Roman"/>
        <w:kern w:val="2"/>
        <w:sz w:val="21"/>
        <w:szCs w:val="21"/>
        <w:u w:val="single"/>
        <w:lang w:val="en-US" w:eastAsia="zh-CN" w:bidi="ar-S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ED095F"/>
    <w:multiLevelType w:val="singleLevel"/>
    <w:tmpl w:val="ADED095F"/>
    <w:lvl w:ilvl="0" w:tentative="0">
      <w:start w:val="1"/>
      <w:numFmt w:val="decimal"/>
      <w:pStyle w:val="6"/>
      <w:lvlText w:val="%1."/>
      <w:lvlJc w:val="left"/>
      <w:pPr>
        <w:tabs>
          <w:tab w:val="left" w:pos="360"/>
        </w:tabs>
        <w:ind w:left="360" w:hanging="360"/>
      </w:pPr>
    </w:lvl>
  </w:abstractNum>
  <w:abstractNum w:abstractNumId="1">
    <w:nsid w:val="C23D33AF"/>
    <w:multiLevelType w:val="multilevel"/>
    <w:tmpl w:val="C23D33AF"/>
    <w:lvl w:ilvl="0" w:tentative="0">
      <w:start w:val="1"/>
      <w:numFmt w:val="decimal"/>
      <w:lvlText w:val="%1."/>
      <w:lvlJc w:val="left"/>
      <w:pPr>
        <w:tabs>
          <w:tab w:val="left" w:pos="312"/>
        </w:tabs>
        <w:ind w:left="480" w:firstLine="0"/>
      </w:pPr>
    </w:lvl>
    <w:lvl w:ilvl="1" w:tentative="0">
      <w:start w:val="1"/>
      <w:numFmt w:val="decimal"/>
      <w:suff w:val="space"/>
      <w:lvlText w:val="%1.%2"/>
      <w:lvlJc w:val="left"/>
      <w:pPr>
        <w:ind w:left="0" w:leftChars="0" w:firstLine="0" w:firstLineChars="0"/>
      </w:pPr>
      <w:rPr>
        <w:rFonts w:hint="default"/>
      </w:rPr>
    </w:lvl>
    <w:lvl w:ilvl="2" w:tentative="0">
      <w:start w:val="1"/>
      <w:numFmt w:val="decimal"/>
      <w:suff w:val="space"/>
      <w:lvlText w:val="%1.%2.%3"/>
      <w:lvlJc w:val="left"/>
      <w:pPr>
        <w:ind w:left="0" w:leftChars="0" w:firstLine="0" w:firstLineChars="0"/>
      </w:pPr>
      <w:rPr>
        <w:rFonts w:hint="default"/>
      </w:rPr>
    </w:lvl>
    <w:lvl w:ilvl="3" w:tentative="0">
      <w:start w:val="1"/>
      <w:numFmt w:val="decimal"/>
      <w:suff w:val="space"/>
      <w:lvlText w:val="%1.%2.%3.%4"/>
      <w:lvlJc w:val="left"/>
      <w:pPr>
        <w:ind w:left="0" w:leftChars="0" w:firstLine="0" w:firstLineChars="0"/>
      </w:pPr>
      <w:rPr>
        <w:rFonts w:hint="default"/>
      </w:rPr>
    </w:lvl>
    <w:lvl w:ilvl="4" w:tentative="0">
      <w:start w:val="1"/>
      <w:numFmt w:val="decimal"/>
      <w:suff w:val="space"/>
      <w:lvlText w:val="%1.%2.%3.%4.%5"/>
      <w:lvlJc w:val="left"/>
      <w:pPr>
        <w:ind w:left="0" w:leftChars="0" w:firstLine="0" w:firstLineChars="0"/>
      </w:pPr>
      <w:rPr>
        <w:rFonts w:hint="default"/>
      </w:rPr>
    </w:lvl>
    <w:lvl w:ilvl="5" w:tentative="0">
      <w:start w:val="1"/>
      <w:numFmt w:val="decimal"/>
      <w:suff w:val="space"/>
      <w:lvlText w:val="%1.%2.%3.%4.%5.%6"/>
      <w:lvlJc w:val="left"/>
      <w:pPr>
        <w:ind w:left="0" w:leftChars="0" w:firstLine="0" w:firstLineChars="0"/>
      </w:pPr>
      <w:rPr>
        <w:rFonts w:hint="default"/>
      </w:rPr>
    </w:lvl>
    <w:lvl w:ilvl="6" w:tentative="0">
      <w:start w:val="1"/>
      <w:numFmt w:val="decimal"/>
      <w:suff w:val="space"/>
      <w:lvlText w:val="%1.%2.%3.%4.%5.%6.%7"/>
      <w:lvlJc w:val="left"/>
      <w:pPr>
        <w:ind w:left="0" w:leftChars="0" w:firstLine="0" w:firstLineChars="0"/>
      </w:pPr>
      <w:rPr>
        <w:rFonts w:hint="default"/>
      </w:rPr>
    </w:lvl>
    <w:lvl w:ilvl="7" w:tentative="0">
      <w:start w:val="1"/>
      <w:numFmt w:val="decimal"/>
      <w:suff w:val="space"/>
      <w:lvlText w:val="%1.%2.%3.%4.%5.%6.%7.%8"/>
      <w:lvlJc w:val="left"/>
      <w:pPr>
        <w:ind w:left="0" w:leftChars="0" w:firstLine="0" w:firstLineChars="0"/>
      </w:pPr>
      <w:rPr>
        <w:rFonts w:hint="default"/>
      </w:rPr>
    </w:lvl>
    <w:lvl w:ilvl="8" w:tentative="0">
      <w:start w:val="1"/>
      <w:numFmt w:val="decimal"/>
      <w:suff w:val="space"/>
      <w:lvlText w:val="%1.%2.%3.%4.%5.%6.%7.%8.%9"/>
      <w:lvlJc w:val="left"/>
      <w:pPr>
        <w:ind w:left="0" w:leftChars="0" w:firstLine="0" w:firstLineChars="0"/>
      </w:pPr>
      <w:rPr>
        <w:rFonts w:hint="default"/>
      </w:rPr>
    </w:lvl>
  </w:abstractNum>
  <w:abstractNum w:abstractNumId="2">
    <w:nsid w:val="00000000"/>
    <w:multiLevelType w:val="multilevel"/>
    <w:tmpl w:val="00000000"/>
    <w:lvl w:ilvl="0" w:tentative="0">
      <w:start w:val="1"/>
      <w:numFmt w:val="chineseCounting"/>
      <w:pStyle w:val="3"/>
      <w:suff w:val="nothing"/>
      <w:lvlText w:val="%1、"/>
      <w:lvlJc w:val="left"/>
      <w:pPr>
        <w:ind w:left="0" w:firstLine="0"/>
      </w:pPr>
      <w:rPr>
        <w:rFonts w:hint="eastAsia"/>
      </w:rPr>
    </w:lvl>
    <w:lvl w:ilvl="1" w:tentative="0">
      <w:start w:val="1"/>
      <w:numFmt w:val="chineseCounting"/>
      <w:pStyle w:val="4"/>
      <w:suff w:val="nothing"/>
      <w:lvlText w:val="（%2）"/>
      <w:lvlJc w:val="left"/>
      <w:pPr>
        <w:ind w:left="1624"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3">
    <w:nsid w:val="1BCB84A8"/>
    <w:multiLevelType w:val="singleLevel"/>
    <w:tmpl w:val="1BCB84A8"/>
    <w:lvl w:ilvl="0" w:tentative="0">
      <w:start w:val="6"/>
      <w:numFmt w:val="chineseCounting"/>
      <w:suff w:val="nothing"/>
      <w:lvlText w:val="%1、"/>
      <w:lvlJc w:val="left"/>
      <w:rPr>
        <w:rFonts w:hint="eastAsia"/>
      </w:rPr>
    </w:lvl>
  </w:abstractNum>
  <w:abstractNum w:abstractNumId="4">
    <w:nsid w:val="2494AF98"/>
    <w:multiLevelType w:val="singleLevel"/>
    <w:tmpl w:val="2494AF98"/>
    <w:lvl w:ilvl="0" w:tentative="0">
      <w:start w:val="2"/>
      <w:numFmt w:val="chineseCounting"/>
      <w:suff w:val="nothing"/>
      <w:lvlText w:val="%1、"/>
      <w:lvlJc w:val="left"/>
      <w:rPr>
        <w:rFonts w:hint="eastAsia"/>
      </w:rPr>
    </w:lvl>
  </w:abstractNum>
  <w:abstractNum w:abstractNumId="5">
    <w:nsid w:val="2760E9BF"/>
    <w:multiLevelType w:val="singleLevel"/>
    <w:tmpl w:val="2760E9BF"/>
    <w:lvl w:ilvl="0" w:tentative="0">
      <w:start w:val="3"/>
      <w:numFmt w:val="chineseCounting"/>
      <w:suff w:val="nothing"/>
      <w:lvlText w:val="（%1）"/>
      <w:lvlJc w:val="left"/>
      <w:rPr>
        <w:rFonts w:hint="eastAsia"/>
      </w:rPr>
    </w:lvl>
  </w:abstractNum>
  <w:abstractNum w:abstractNumId="6">
    <w:nsid w:val="302065E1"/>
    <w:multiLevelType w:val="multilevel"/>
    <w:tmpl w:val="302065E1"/>
    <w:lvl w:ilvl="0" w:tentative="0">
      <w:start w:val="1"/>
      <w:numFmt w:val="japaneseCounting"/>
      <w:lvlText w:val="（%1）"/>
      <w:lvlJc w:val="left"/>
      <w:pPr>
        <w:ind w:left="1560" w:hanging="720"/>
      </w:pPr>
      <w:rPr>
        <w:rFonts w:hint="default"/>
      </w:rPr>
    </w:lvl>
    <w:lvl w:ilvl="1" w:tentative="0">
      <w:start w:val="1"/>
      <w:numFmt w:val="lowerLetter"/>
      <w:lvlText w:val="%2)"/>
      <w:lvlJc w:val="left"/>
      <w:pPr>
        <w:ind w:left="1680" w:hanging="420"/>
      </w:pPr>
    </w:lvl>
    <w:lvl w:ilvl="2" w:tentative="0">
      <w:start w:val="1"/>
      <w:numFmt w:val="lowerRoman"/>
      <w:lvlText w:val="%3."/>
      <w:lvlJc w:val="right"/>
      <w:pPr>
        <w:ind w:left="2100" w:hanging="420"/>
      </w:pPr>
    </w:lvl>
    <w:lvl w:ilvl="3" w:tentative="0">
      <w:start w:val="1"/>
      <w:numFmt w:val="decimal"/>
      <w:lvlText w:val="%4."/>
      <w:lvlJc w:val="left"/>
      <w:pPr>
        <w:ind w:left="2520" w:hanging="420"/>
      </w:pPr>
    </w:lvl>
    <w:lvl w:ilvl="4" w:tentative="0">
      <w:start w:val="1"/>
      <w:numFmt w:val="lowerLetter"/>
      <w:lvlText w:val="%5)"/>
      <w:lvlJc w:val="left"/>
      <w:pPr>
        <w:ind w:left="2940" w:hanging="420"/>
      </w:pPr>
    </w:lvl>
    <w:lvl w:ilvl="5" w:tentative="0">
      <w:start w:val="1"/>
      <w:numFmt w:val="lowerRoman"/>
      <w:lvlText w:val="%6."/>
      <w:lvlJc w:val="right"/>
      <w:pPr>
        <w:ind w:left="3360" w:hanging="420"/>
      </w:pPr>
    </w:lvl>
    <w:lvl w:ilvl="6" w:tentative="0">
      <w:start w:val="1"/>
      <w:numFmt w:val="decimal"/>
      <w:lvlText w:val="%7."/>
      <w:lvlJc w:val="left"/>
      <w:pPr>
        <w:ind w:left="3780" w:hanging="420"/>
      </w:pPr>
    </w:lvl>
    <w:lvl w:ilvl="7" w:tentative="0">
      <w:start w:val="1"/>
      <w:numFmt w:val="lowerLetter"/>
      <w:lvlText w:val="%8)"/>
      <w:lvlJc w:val="left"/>
      <w:pPr>
        <w:ind w:left="4200" w:hanging="420"/>
      </w:pPr>
    </w:lvl>
    <w:lvl w:ilvl="8" w:tentative="0">
      <w:start w:val="1"/>
      <w:numFmt w:val="lowerRoman"/>
      <w:lvlText w:val="%9."/>
      <w:lvlJc w:val="right"/>
      <w:pPr>
        <w:ind w:left="4620" w:hanging="420"/>
      </w:pPr>
    </w:lvl>
  </w:abstractNum>
  <w:abstractNum w:abstractNumId="7">
    <w:nsid w:val="50669F52"/>
    <w:multiLevelType w:val="singleLevel"/>
    <w:tmpl w:val="50669F52"/>
    <w:lvl w:ilvl="0" w:tentative="0">
      <w:start w:val="4"/>
      <w:numFmt w:val="chineseCounting"/>
      <w:suff w:val="space"/>
      <w:lvlText w:val="第%1部分"/>
      <w:lvlJc w:val="left"/>
      <w:rPr>
        <w:rFonts w:hint="eastAsia"/>
      </w:rPr>
    </w:lvl>
  </w:abstractNum>
  <w:abstractNum w:abstractNumId="8">
    <w:nsid w:val="5E9D9A46"/>
    <w:multiLevelType w:val="singleLevel"/>
    <w:tmpl w:val="5E9D9A46"/>
    <w:lvl w:ilvl="0" w:tentative="0">
      <w:start w:val="1"/>
      <w:numFmt w:val="chineseCounting"/>
      <w:suff w:val="nothing"/>
      <w:lvlText w:val="%1、"/>
      <w:lvlJc w:val="left"/>
      <w:rPr>
        <w:rFonts w:hint="eastAsia"/>
      </w:rPr>
    </w:lvl>
  </w:abstractNum>
  <w:abstractNum w:abstractNumId="9">
    <w:nsid w:val="64607A38"/>
    <w:multiLevelType w:val="multilevel"/>
    <w:tmpl w:val="64607A38"/>
    <w:lvl w:ilvl="0" w:tentative="0">
      <w:start w:val="1"/>
      <w:numFmt w:val="japaneseCounting"/>
      <w:lvlText w:val="%1、"/>
      <w:lvlJc w:val="left"/>
      <w:pPr>
        <w:tabs>
          <w:tab w:val="left" w:pos="552"/>
        </w:tabs>
        <w:ind w:left="552" w:hanging="420"/>
      </w:pPr>
      <w:rPr>
        <w:rFonts w:ascii="Times New Roman" w:hAnsi="Times New Roman" w:eastAsia="Times New Roman" w:cs="Times New Roman"/>
        <w:color w:val="auto"/>
      </w:rPr>
    </w:lvl>
    <w:lvl w:ilvl="1" w:tentative="0">
      <w:start w:val="1"/>
      <w:numFmt w:val="lowerLetter"/>
      <w:lvlText w:val="%2)"/>
      <w:lvlJc w:val="left"/>
      <w:pPr>
        <w:tabs>
          <w:tab w:val="left" w:pos="840"/>
        </w:tabs>
        <w:ind w:left="840" w:hanging="420"/>
      </w:pPr>
      <w:rPr>
        <w:rFonts w:cs="Times New Roman"/>
      </w:rPr>
    </w:lvl>
    <w:lvl w:ilvl="2" w:tentative="0">
      <w:start w:val="10"/>
      <w:numFmt w:val="decimal"/>
      <w:lvlText w:val="%3."/>
      <w:lvlJc w:val="left"/>
      <w:pPr>
        <w:tabs>
          <w:tab w:val="left" w:pos="1200"/>
        </w:tabs>
        <w:ind w:left="1200" w:hanging="360"/>
      </w:pPr>
      <w:rPr>
        <w:rFonts w:hint="default" w:cs="Times New Roman"/>
      </w:rPr>
    </w:lvl>
    <w:lvl w:ilvl="3" w:tentative="0">
      <w:start w:val="1"/>
      <w:numFmt w:val="decimal"/>
      <w:lvlText w:val="%4."/>
      <w:lvlJc w:val="left"/>
      <w:pPr>
        <w:tabs>
          <w:tab w:val="left" w:pos="1680"/>
        </w:tabs>
        <w:ind w:left="1680" w:hanging="420"/>
      </w:pPr>
      <w:rPr>
        <w:rFonts w:cs="Times New Roman"/>
      </w:rPr>
    </w:lvl>
    <w:lvl w:ilvl="4" w:tentative="0">
      <w:start w:val="1"/>
      <w:numFmt w:val="lowerLetter"/>
      <w:lvlText w:val="%5)"/>
      <w:lvlJc w:val="left"/>
      <w:pPr>
        <w:tabs>
          <w:tab w:val="left" w:pos="2100"/>
        </w:tabs>
        <w:ind w:left="2100" w:hanging="420"/>
      </w:pPr>
      <w:rPr>
        <w:rFonts w:cs="Times New Roman"/>
      </w:rPr>
    </w:lvl>
    <w:lvl w:ilvl="5" w:tentative="0">
      <w:start w:val="1"/>
      <w:numFmt w:val="lowerRoman"/>
      <w:lvlText w:val="%6."/>
      <w:lvlJc w:val="right"/>
      <w:pPr>
        <w:tabs>
          <w:tab w:val="left" w:pos="2520"/>
        </w:tabs>
        <w:ind w:left="2520" w:hanging="420"/>
      </w:pPr>
      <w:rPr>
        <w:rFonts w:cs="Times New Roman"/>
      </w:rPr>
    </w:lvl>
    <w:lvl w:ilvl="6" w:tentative="0">
      <w:start w:val="1"/>
      <w:numFmt w:val="decimal"/>
      <w:lvlText w:val="%7."/>
      <w:lvlJc w:val="left"/>
      <w:pPr>
        <w:tabs>
          <w:tab w:val="left" w:pos="2940"/>
        </w:tabs>
        <w:ind w:left="2940" w:hanging="420"/>
      </w:pPr>
      <w:rPr>
        <w:rFonts w:cs="Times New Roman"/>
      </w:rPr>
    </w:lvl>
    <w:lvl w:ilvl="7" w:tentative="0">
      <w:start w:val="1"/>
      <w:numFmt w:val="lowerLetter"/>
      <w:lvlText w:val="%8)"/>
      <w:lvlJc w:val="left"/>
      <w:pPr>
        <w:tabs>
          <w:tab w:val="left" w:pos="3360"/>
        </w:tabs>
        <w:ind w:left="3360" w:hanging="420"/>
      </w:pPr>
      <w:rPr>
        <w:rFonts w:cs="Times New Roman"/>
      </w:rPr>
    </w:lvl>
    <w:lvl w:ilvl="8" w:tentative="0">
      <w:start w:val="1"/>
      <w:numFmt w:val="lowerRoman"/>
      <w:lvlText w:val="%9."/>
      <w:lvlJc w:val="right"/>
      <w:pPr>
        <w:tabs>
          <w:tab w:val="left" w:pos="3780"/>
        </w:tabs>
        <w:ind w:left="3780" w:hanging="420"/>
      </w:pPr>
      <w:rPr>
        <w:rFonts w:cs="Times New Roman"/>
      </w:rPr>
    </w:lvl>
  </w:abstractNum>
  <w:abstractNum w:abstractNumId="10">
    <w:nsid w:val="6BDDFC4D"/>
    <w:multiLevelType w:val="singleLevel"/>
    <w:tmpl w:val="6BDDFC4D"/>
    <w:lvl w:ilvl="0" w:tentative="0">
      <w:start w:val="1"/>
      <w:numFmt w:val="chineseCounting"/>
      <w:suff w:val="nothing"/>
      <w:lvlText w:val="（%1）"/>
      <w:lvlJc w:val="left"/>
      <w:rPr>
        <w:rFonts w:hint="eastAsia"/>
      </w:rPr>
    </w:lvl>
  </w:abstractNum>
  <w:abstractNum w:abstractNumId="11">
    <w:nsid w:val="6E6F60E9"/>
    <w:multiLevelType w:val="multilevel"/>
    <w:tmpl w:val="6E6F60E9"/>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2">
    <w:nsid w:val="6E6F60EA"/>
    <w:multiLevelType w:val="multilevel"/>
    <w:tmpl w:val="6E6F60EA"/>
    <w:lvl w:ilvl="0" w:tentative="0">
      <w:start w:val="1"/>
      <w:numFmt w:val="decimal"/>
      <w:lvlText w:val="%1."/>
      <w:lvlJc w:val="left"/>
      <w:pPr>
        <w:ind w:left="422" w:hanging="420"/>
      </w:pPr>
    </w:lvl>
    <w:lvl w:ilvl="1" w:tentative="0">
      <w:start w:val="1"/>
      <w:numFmt w:val="lowerLetter"/>
      <w:lvlText w:val="%2)"/>
      <w:lvlJc w:val="left"/>
      <w:pPr>
        <w:ind w:left="842" w:hanging="420"/>
      </w:pPr>
    </w:lvl>
    <w:lvl w:ilvl="2" w:tentative="0">
      <w:start w:val="1"/>
      <w:numFmt w:val="lowerRoman"/>
      <w:lvlText w:val="%3."/>
      <w:lvlJc w:val="right"/>
      <w:pPr>
        <w:ind w:left="1262" w:hanging="420"/>
      </w:pPr>
    </w:lvl>
    <w:lvl w:ilvl="3" w:tentative="0">
      <w:start w:val="1"/>
      <w:numFmt w:val="decimal"/>
      <w:lvlText w:val="%4."/>
      <w:lvlJc w:val="left"/>
      <w:pPr>
        <w:ind w:left="1682" w:hanging="420"/>
      </w:pPr>
    </w:lvl>
    <w:lvl w:ilvl="4" w:tentative="0">
      <w:start w:val="1"/>
      <w:numFmt w:val="lowerLetter"/>
      <w:lvlText w:val="%5)"/>
      <w:lvlJc w:val="left"/>
      <w:pPr>
        <w:ind w:left="2102" w:hanging="420"/>
      </w:pPr>
    </w:lvl>
    <w:lvl w:ilvl="5" w:tentative="0">
      <w:start w:val="1"/>
      <w:numFmt w:val="lowerRoman"/>
      <w:lvlText w:val="%6."/>
      <w:lvlJc w:val="right"/>
      <w:pPr>
        <w:ind w:left="2522" w:hanging="420"/>
      </w:pPr>
    </w:lvl>
    <w:lvl w:ilvl="6" w:tentative="0">
      <w:start w:val="1"/>
      <w:numFmt w:val="decimal"/>
      <w:lvlText w:val="%7."/>
      <w:lvlJc w:val="left"/>
      <w:pPr>
        <w:ind w:left="2942" w:hanging="420"/>
      </w:pPr>
    </w:lvl>
    <w:lvl w:ilvl="7" w:tentative="0">
      <w:start w:val="1"/>
      <w:numFmt w:val="lowerLetter"/>
      <w:lvlText w:val="%8)"/>
      <w:lvlJc w:val="left"/>
      <w:pPr>
        <w:ind w:left="3362" w:hanging="420"/>
      </w:pPr>
    </w:lvl>
    <w:lvl w:ilvl="8" w:tentative="0">
      <w:start w:val="1"/>
      <w:numFmt w:val="lowerRoman"/>
      <w:lvlText w:val="%9."/>
      <w:lvlJc w:val="right"/>
      <w:pPr>
        <w:ind w:left="3782" w:hanging="420"/>
      </w:pPr>
    </w:lvl>
  </w:abstractNum>
  <w:num w:numId="1">
    <w:abstractNumId w:val="2"/>
  </w:num>
  <w:num w:numId="2">
    <w:abstractNumId w:val="0"/>
  </w:num>
  <w:num w:numId="3">
    <w:abstractNumId w:val="4"/>
  </w:num>
  <w:num w:numId="4">
    <w:abstractNumId w:val="3"/>
  </w:num>
  <w:num w:numId="5">
    <w:abstractNumId w:val="5"/>
  </w:num>
  <w:num w:numId="6">
    <w:abstractNumId w:val="1"/>
  </w:num>
  <w:num w:numId="7">
    <w:abstractNumId w:val="7"/>
  </w:num>
  <w:num w:numId="8">
    <w:abstractNumId w:val="8"/>
  </w:num>
  <w:num w:numId="9">
    <w:abstractNumId w:val="9"/>
  </w:num>
  <w:num w:numId="10">
    <w:abstractNumId w:val="6"/>
  </w:num>
  <w:num w:numId="11">
    <w:abstractNumId w:val="10"/>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JmMGRlMzNjMzE0YTc1NDEzOWYxNjg5YzdjNzQ4NWEifQ=="/>
  </w:docVars>
  <w:rsids>
    <w:rsidRoot w:val="78547A08"/>
    <w:rsid w:val="00423F6F"/>
    <w:rsid w:val="00DC19CB"/>
    <w:rsid w:val="00DE0F0C"/>
    <w:rsid w:val="01260E98"/>
    <w:rsid w:val="01504F98"/>
    <w:rsid w:val="02041E86"/>
    <w:rsid w:val="02427F54"/>
    <w:rsid w:val="02E22FFB"/>
    <w:rsid w:val="03044FC9"/>
    <w:rsid w:val="030B6598"/>
    <w:rsid w:val="03127926"/>
    <w:rsid w:val="033817CF"/>
    <w:rsid w:val="03394EB3"/>
    <w:rsid w:val="03404493"/>
    <w:rsid w:val="037C328C"/>
    <w:rsid w:val="038F14EC"/>
    <w:rsid w:val="039A3F87"/>
    <w:rsid w:val="04310616"/>
    <w:rsid w:val="044C0602"/>
    <w:rsid w:val="047343F5"/>
    <w:rsid w:val="04840ED5"/>
    <w:rsid w:val="05286EF1"/>
    <w:rsid w:val="052E58ED"/>
    <w:rsid w:val="05743742"/>
    <w:rsid w:val="05CF1AFF"/>
    <w:rsid w:val="05E41A4E"/>
    <w:rsid w:val="0653717C"/>
    <w:rsid w:val="06732DD2"/>
    <w:rsid w:val="067D77AC"/>
    <w:rsid w:val="0680348A"/>
    <w:rsid w:val="06A05249"/>
    <w:rsid w:val="06A66D03"/>
    <w:rsid w:val="07043A2A"/>
    <w:rsid w:val="071B38EC"/>
    <w:rsid w:val="074F739B"/>
    <w:rsid w:val="076F5347"/>
    <w:rsid w:val="07702E6D"/>
    <w:rsid w:val="07C17B6D"/>
    <w:rsid w:val="07C66F31"/>
    <w:rsid w:val="080041F1"/>
    <w:rsid w:val="08057A5A"/>
    <w:rsid w:val="0822060B"/>
    <w:rsid w:val="08430396"/>
    <w:rsid w:val="08997D49"/>
    <w:rsid w:val="08D0787A"/>
    <w:rsid w:val="090D6A51"/>
    <w:rsid w:val="095032A0"/>
    <w:rsid w:val="09514959"/>
    <w:rsid w:val="09F01DC8"/>
    <w:rsid w:val="0A2148F3"/>
    <w:rsid w:val="0A3E7253"/>
    <w:rsid w:val="0A434869"/>
    <w:rsid w:val="0A4A49AC"/>
    <w:rsid w:val="0A4C5E14"/>
    <w:rsid w:val="0A532E98"/>
    <w:rsid w:val="0A6842D0"/>
    <w:rsid w:val="0A742C74"/>
    <w:rsid w:val="0A775A4B"/>
    <w:rsid w:val="0A9357F1"/>
    <w:rsid w:val="0A981059"/>
    <w:rsid w:val="0AB6458C"/>
    <w:rsid w:val="0AC459AA"/>
    <w:rsid w:val="0AD55E09"/>
    <w:rsid w:val="0AD83203"/>
    <w:rsid w:val="0ADB0F46"/>
    <w:rsid w:val="0BC925AF"/>
    <w:rsid w:val="0BF50F34"/>
    <w:rsid w:val="0C3C542D"/>
    <w:rsid w:val="0C523A4E"/>
    <w:rsid w:val="0C62191E"/>
    <w:rsid w:val="0C801DA5"/>
    <w:rsid w:val="0C91199B"/>
    <w:rsid w:val="0CFF4F3D"/>
    <w:rsid w:val="0D006D01"/>
    <w:rsid w:val="0D0E2187"/>
    <w:rsid w:val="0D933D59"/>
    <w:rsid w:val="0DFA16E3"/>
    <w:rsid w:val="0E3E3CC5"/>
    <w:rsid w:val="0E796EEF"/>
    <w:rsid w:val="0EAD2679"/>
    <w:rsid w:val="0EB21FBD"/>
    <w:rsid w:val="0F4E618A"/>
    <w:rsid w:val="0FB823BE"/>
    <w:rsid w:val="0FBE090A"/>
    <w:rsid w:val="0FD83CA6"/>
    <w:rsid w:val="0FE45B23"/>
    <w:rsid w:val="100543AD"/>
    <w:rsid w:val="103B3ADF"/>
    <w:rsid w:val="1077526D"/>
    <w:rsid w:val="10CF3F1B"/>
    <w:rsid w:val="10D115AD"/>
    <w:rsid w:val="10F06FB4"/>
    <w:rsid w:val="10F957BF"/>
    <w:rsid w:val="113B44EC"/>
    <w:rsid w:val="11455342"/>
    <w:rsid w:val="11734852"/>
    <w:rsid w:val="11823EC9"/>
    <w:rsid w:val="11A958FA"/>
    <w:rsid w:val="11BB275F"/>
    <w:rsid w:val="11D746F8"/>
    <w:rsid w:val="11DD1CA4"/>
    <w:rsid w:val="12266F4A"/>
    <w:rsid w:val="129B7A2E"/>
    <w:rsid w:val="12A83766"/>
    <w:rsid w:val="12B30F23"/>
    <w:rsid w:val="12ED159A"/>
    <w:rsid w:val="13010F42"/>
    <w:rsid w:val="130A23C8"/>
    <w:rsid w:val="131641F5"/>
    <w:rsid w:val="13AF5220"/>
    <w:rsid w:val="13E70CA7"/>
    <w:rsid w:val="14681A9C"/>
    <w:rsid w:val="14830F86"/>
    <w:rsid w:val="14B7032D"/>
    <w:rsid w:val="14B71C8E"/>
    <w:rsid w:val="14C20EBC"/>
    <w:rsid w:val="14D25167"/>
    <w:rsid w:val="14F74019"/>
    <w:rsid w:val="15071FCA"/>
    <w:rsid w:val="15115C90"/>
    <w:rsid w:val="15171620"/>
    <w:rsid w:val="152E4A94"/>
    <w:rsid w:val="154F422E"/>
    <w:rsid w:val="155B6F0B"/>
    <w:rsid w:val="15681989"/>
    <w:rsid w:val="1571672E"/>
    <w:rsid w:val="15944C30"/>
    <w:rsid w:val="15EC75E6"/>
    <w:rsid w:val="15F555B1"/>
    <w:rsid w:val="162F5942"/>
    <w:rsid w:val="163B127E"/>
    <w:rsid w:val="1677231C"/>
    <w:rsid w:val="167D26C5"/>
    <w:rsid w:val="16AD5C2E"/>
    <w:rsid w:val="16B10C01"/>
    <w:rsid w:val="16C15493"/>
    <w:rsid w:val="1719707D"/>
    <w:rsid w:val="176522C3"/>
    <w:rsid w:val="17914E66"/>
    <w:rsid w:val="179A00F7"/>
    <w:rsid w:val="17C112A1"/>
    <w:rsid w:val="17CE0331"/>
    <w:rsid w:val="17DA05CC"/>
    <w:rsid w:val="17DF02C7"/>
    <w:rsid w:val="17E4768B"/>
    <w:rsid w:val="17E9695D"/>
    <w:rsid w:val="1806312D"/>
    <w:rsid w:val="1819240C"/>
    <w:rsid w:val="18300B23"/>
    <w:rsid w:val="185E65FF"/>
    <w:rsid w:val="1867434F"/>
    <w:rsid w:val="18AF3D28"/>
    <w:rsid w:val="18B66630"/>
    <w:rsid w:val="18E44E65"/>
    <w:rsid w:val="18E67433"/>
    <w:rsid w:val="190455CA"/>
    <w:rsid w:val="19072BDF"/>
    <w:rsid w:val="190F5A29"/>
    <w:rsid w:val="1912647A"/>
    <w:rsid w:val="1918425B"/>
    <w:rsid w:val="19267830"/>
    <w:rsid w:val="19393A07"/>
    <w:rsid w:val="19616ABA"/>
    <w:rsid w:val="198729C4"/>
    <w:rsid w:val="1A077661"/>
    <w:rsid w:val="1A2B0B6A"/>
    <w:rsid w:val="1A732F49"/>
    <w:rsid w:val="1A954C6D"/>
    <w:rsid w:val="1ACD2659"/>
    <w:rsid w:val="1ADF238C"/>
    <w:rsid w:val="1AE8687C"/>
    <w:rsid w:val="1B373F76"/>
    <w:rsid w:val="1B8C79F4"/>
    <w:rsid w:val="1BB54EEF"/>
    <w:rsid w:val="1BBB6955"/>
    <w:rsid w:val="1BCC0B62"/>
    <w:rsid w:val="1BCF5827"/>
    <w:rsid w:val="1C4C2289"/>
    <w:rsid w:val="1C5841A4"/>
    <w:rsid w:val="1C8C607A"/>
    <w:rsid w:val="1C940F54"/>
    <w:rsid w:val="1C95323B"/>
    <w:rsid w:val="1CAF0124"/>
    <w:rsid w:val="1CD557F5"/>
    <w:rsid w:val="1D022278"/>
    <w:rsid w:val="1D846B5E"/>
    <w:rsid w:val="1D8A59D1"/>
    <w:rsid w:val="1D9C6880"/>
    <w:rsid w:val="1DCA2E80"/>
    <w:rsid w:val="1E0A3BC4"/>
    <w:rsid w:val="1E117A02"/>
    <w:rsid w:val="1E1239E4"/>
    <w:rsid w:val="1E7E1EBC"/>
    <w:rsid w:val="1F0734BD"/>
    <w:rsid w:val="1F42113B"/>
    <w:rsid w:val="1F7A08D5"/>
    <w:rsid w:val="20126D60"/>
    <w:rsid w:val="20182BC8"/>
    <w:rsid w:val="20817D87"/>
    <w:rsid w:val="20825C93"/>
    <w:rsid w:val="20D718B5"/>
    <w:rsid w:val="21262297"/>
    <w:rsid w:val="21BB798B"/>
    <w:rsid w:val="21D84152"/>
    <w:rsid w:val="21F00757"/>
    <w:rsid w:val="223F0A53"/>
    <w:rsid w:val="22561186"/>
    <w:rsid w:val="22D259B3"/>
    <w:rsid w:val="23152DEF"/>
    <w:rsid w:val="23344B5A"/>
    <w:rsid w:val="23433597"/>
    <w:rsid w:val="23A249BA"/>
    <w:rsid w:val="23AC3027"/>
    <w:rsid w:val="23C06051"/>
    <w:rsid w:val="23C81C20"/>
    <w:rsid w:val="240C6CE3"/>
    <w:rsid w:val="242F7AAF"/>
    <w:rsid w:val="244F40DF"/>
    <w:rsid w:val="247263F2"/>
    <w:rsid w:val="24C7636B"/>
    <w:rsid w:val="24DE5462"/>
    <w:rsid w:val="24E93C16"/>
    <w:rsid w:val="24EE0ACF"/>
    <w:rsid w:val="25492ED1"/>
    <w:rsid w:val="25695674"/>
    <w:rsid w:val="25BC2CDE"/>
    <w:rsid w:val="25C7239A"/>
    <w:rsid w:val="25D30D3F"/>
    <w:rsid w:val="25E158D6"/>
    <w:rsid w:val="267267AA"/>
    <w:rsid w:val="26A00C24"/>
    <w:rsid w:val="26CE6601"/>
    <w:rsid w:val="26E054C2"/>
    <w:rsid w:val="26EF3957"/>
    <w:rsid w:val="26F1274B"/>
    <w:rsid w:val="271B0BF0"/>
    <w:rsid w:val="273F2F49"/>
    <w:rsid w:val="278F3910"/>
    <w:rsid w:val="27EF24A1"/>
    <w:rsid w:val="27F40B9D"/>
    <w:rsid w:val="28924EE2"/>
    <w:rsid w:val="28F666BC"/>
    <w:rsid w:val="2906380E"/>
    <w:rsid w:val="292B3E93"/>
    <w:rsid w:val="293918B6"/>
    <w:rsid w:val="29673C78"/>
    <w:rsid w:val="297D2C5E"/>
    <w:rsid w:val="29932CBF"/>
    <w:rsid w:val="29E67293"/>
    <w:rsid w:val="2A105CE8"/>
    <w:rsid w:val="2AC61849"/>
    <w:rsid w:val="2AF13BD4"/>
    <w:rsid w:val="2AF43C32"/>
    <w:rsid w:val="2B0C679A"/>
    <w:rsid w:val="2B102065"/>
    <w:rsid w:val="2B30453E"/>
    <w:rsid w:val="2B9053CD"/>
    <w:rsid w:val="2BF26308"/>
    <w:rsid w:val="2C162E9F"/>
    <w:rsid w:val="2C4B3999"/>
    <w:rsid w:val="2C4C775F"/>
    <w:rsid w:val="2C580E9A"/>
    <w:rsid w:val="2C9079EA"/>
    <w:rsid w:val="2C946D63"/>
    <w:rsid w:val="2CB371D5"/>
    <w:rsid w:val="2CC55886"/>
    <w:rsid w:val="2CF43C4B"/>
    <w:rsid w:val="2D0F6B01"/>
    <w:rsid w:val="2D5E35E4"/>
    <w:rsid w:val="2D662499"/>
    <w:rsid w:val="2D8F038A"/>
    <w:rsid w:val="2DBD51DE"/>
    <w:rsid w:val="2DC01BA9"/>
    <w:rsid w:val="2DD613CD"/>
    <w:rsid w:val="2E163EBF"/>
    <w:rsid w:val="2E4C78E1"/>
    <w:rsid w:val="2E6C756C"/>
    <w:rsid w:val="2E980D78"/>
    <w:rsid w:val="2EB12388"/>
    <w:rsid w:val="2EBB126E"/>
    <w:rsid w:val="2F330BF9"/>
    <w:rsid w:val="2F414F6C"/>
    <w:rsid w:val="2FD44032"/>
    <w:rsid w:val="2FDC4C9F"/>
    <w:rsid w:val="306352D2"/>
    <w:rsid w:val="308B2942"/>
    <w:rsid w:val="30BE4754"/>
    <w:rsid w:val="30D1773D"/>
    <w:rsid w:val="31126BC0"/>
    <w:rsid w:val="313034EA"/>
    <w:rsid w:val="3186310A"/>
    <w:rsid w:val="31997BE6"/>
    <w:rsid w:val="31CD6F8B"/>
    <w:rsid w:val="31E313AF"/>
    <w:rsid w:val="32221FF4"/>
    <w:rsid w:val="3250647C"/>
    <w:rsid w:val="32611D42"/>
    <w:rsid w:val="32CB6D37"/>
    <w:rsid w:val="32E20F4C"/>
    <w:rsid w:val="3311311B"/>
    <w:rsid w:val="333E48FB"/>
    <w:rsid w:val="33582884"/>
    <w:rsid w:val="33AE0D4A"/>
    <w:rsid w:val="33B02096"/>
    <w:rsid w:val="33CE534A"/>
    <w:rsid w:val="33D02C66"/>
    <w:rsid w:val="33FB0365"/>
    <w:rsid w:val="34596C1B"/>
    <w:rsid w:val="34796F56"/>
    <w:rsid w:val="34D128EE"/>
    <w:rsid w:val="34E00D83"/>
    <w:rsid w:val="34F23CC1"/>
    <w:rsid w:val="352B2748"/>
    <w:rsid w:val="35576B1C"/>
    <w:rsid w:val="355B1A58"/>
    <w:rsid w:val="356E38F1"/>
    <w:rsid w:val="35814314"/>
    <w:rsid w:val="35944047"/>
    <w:rsid w:val="362E1F2F"/>
    <w:rsid w:val="36302E58"/>
    <w:rsid w:val="36B3674F"/>
    <w:rsid w:val="37115607"/>
    <w:rsid w:val="37194069"/>
    <w:rsid w:val="371A57F1"/>
    <w:rsid w:val="37515F68"/>
    <w:rsid w:val="37574D93"/>
    <w:rsid w:val="377560A1"/>
    <w:rsid w:val="377E0503"/>
    <w:rsid w:val="37E83C80"/>
    <w:rsid w:val="38305B7D"/>
    <w:rsid w:val="383733B0"/>
    <w:rsid w:val="38A25975"/>
    <w:rsid w:val="38C9631C"/>
    <w:rsid w:val="39175753"/>
    <w:rsid w:val="393671C3"/>
    <w:rsid w:val="39384B62"/>
    <w:rsid w:val="39815E12"/>
    <w:rsid w:val="398805EA"/>
    <w:rsid w:val="39F5707E"/>
    <w:rsid w:val="3A03331B"/>
    <w:rsid w:val="3A1E65D5"/>
    <w:rsid w:val="3A347BA7"/>
    <w:rsid w:val="3A430DEC"/>
    <w:rsid w:val="3A9D1B05"/>
    <w:rsid w:val="3AC61741"/>
    <w:rsid w:val="3AD4280E"/>
    <w:rsid w:val="3AD6701C"/>
    <w:rsid w:val="3B892174"/>
    <w:rsid w:val="3BA90120"/>
    <w:rsid w:val="3C243C4B"/>
    <w:rsid w:val="3C4C0FDC"/>
    <w:rsid w:val="3C850B8E"/>
    <w:rsid w:val="3C9F2EDE"/>
    <w:rsid w:val="3CDC1F12"/>
    <w:rsid w:val="3D0C6BB9"/>
    <w:rsid w:val="3D121CF5"/>
    <w:rsid w:val="3D193084"/>
    <w:rsid w:val="3D202664"/>
    <w:rsid w:val="3E340326"/>
    <w:rsid w:val="3E400812"/>
    <w:rsid w:val="3F292F9B"/>
    <w:rsid w:val="3F3D74FE"/>
    <w:rsid w:val="3F4B5B5A"/>
    <w:rsid w:val="3F77413C"/>
    <w:rsid w:val="3F7A3CE3"/>
    <w:rsid w:val="3F835CDC"/>
    <w:rsid w:val="3F852C53"/>
    <w:rsid w:val="3F854A01"/>
    <w:rsid w:val="3F994BA6"/>
    <w:rsid w:val="3FA23805"/>
    <w:rsid w:val="3FBE7F13"/>
    <w:rsid w:val="3FDE131F"/>
    <w:rsid w:val="3FFD0A3B"/>
    <w:rsid w:val="4018196D"/>
    <w:rsid w:val="402C416D"/>
    <w:rsid w:val="40332747"/>
    <w:rsid w:val="404C0243"/>
    <w:rsid w:val="40844CB8"/>
    <w:rsid w:val="40A041A3"/>
    <w:rsid w:val="40FB1866"/>
    <w:rsid w:val="414F52C6"/>
    <w:rsid w:val="416B0EB2"/>
    <w:rsid w:val="418A4550"/>
    <w:rsid w:val="41E9396D"/>
    <w:rsid w:val="41F67E38"/>
    <w:rsid w:val="421B33FA"/>
    <w:rsid w:val="421C16F2"/>
    <w:rsid w:val="429C09DF"/>
    <w:rsid w:val="4360003B"/>
    <w:rsid w:val="436013FD"/>
    <w:rsid w:val="437E71FD"/>
    <w:rsid w:val="438B1E05"/>
    <w:rsid w:val="439D67BD"/>
    <w:rsid w:val="43BD1647"/>
    <w:rsid w:val="43C45419"/>
    <w:rsid w:val="43EF0FE2"/>
    <w:rsid w:val="447A6D43"/>
    <w:rsid w:val="448160DE"/>
    <w:rsid w:val="44A43B7B"/>
    <w:rsid w:val="450D34CE"/>
    <w:rsid w:val="450F4083"/>
    <w:rsid w:val="454B049A"/>
    <w:rsid w:val="45892AC8"/>
    <w:rsid w:val="458B5555"/>
    <w:rsid w:val="459B73E7"/>
    <w:rsid w:val="45C02C36"/>
    <w:rsid w:val="45C516EC"/>
    <w:rsid w:val="45FD79E7"/>
    <w:rsid w:val="46040D75"/>
    <w:rsid w:val="46FB5DC8"/>
    <w:rsid w:val="47276D25"/>
    <w:rsid w:val="472E2E7C"/>
    <w:rsid w:val="473E1EE2"/>
    <w:rsid w:val="4740579B"/>
    <w:rsid w:val="475650CF"/>
    <w:rsid w:val="475E550F"/>
    <w:rsid w:val="47A619B8"/>
    <w:rsid w:val="47D52426"/>
    <w:rsid w:val="48346666"/>
    <w:rsid w:val="48B84099"/>
    <w:rsid w:val="48BA5DDF"/>
    <w:rsid w:val="48FA4400"/>
    <w:rsid w:val="49120989"/>
    <w:rsid w:val="49411CF6"/>
    <w:rsid w:val="498126DD"/>
    <w:rsid w:val="49987D24"/>
    <w:rsid w:val="49A81A17"/>
    <w:rsid w:val="49D547D7"/>
    <w:rsid w:val="49DB003F"/>
    <w:rsid w:val="49E66620"/>
    <w:rsid w:val="49F033BE"/>
    <w:rsid w:val="49FE1F7F"/>
    <w:rsid w:val="4A5A0FFB"/>
    <w:rsid w:val="4A800BE6"/>
    <w:rsid w:val="4A9713A6"/>
    <w:rsid w:val="4AA52305"/>
    <w:rsid w:val="4AED5CA5"/>
    <w:rsid w:val="4B0435C5"/>
    <w:rsid w:val="4B342F15"/>
    <w:rsid w:val="4BAD1567"/>
    <w:rsid w:val="4BB74194"/>
    <w:rsid w:val="4BFB49C8"/>
    <w:rsid w:val="4C1B4895"/>
    <w:rsid w:val="4C3E48B5"/>
    <w:rsid w:val="4C51283A"/>
    <w:rsid w:val="4C6D6D64"/>
    <w:rsid w:val="4C8577CA"/>
    <w:rsid w:val="4CA50490"/>
    <w:rsid w:val="4CAC0634"/>
    <w:rsid w:val="4CBE1552"/>
    <w:rsid w:val="4CE16B9F"/>
    <w:rsid w:val="4CE92A73"/>
    <w:rsid w:val="4D28618B"/>
    <w:rsid w:val="4D897AB9"/>
    <w:rsid w:val="4DA8648A"/>
    <w:rsid w:val="4DBE1561"/>
    <w:rsid w:val="4DF416CF"/>
    <w:rsid w:val="4E0D2791"/>
    <w:rsid w:val="4E1242AE"/>
    <w:rsid w:val="4E6A1991"/>
    <w:rsid w:val="4E712D20"/>
    <w:rsid w:val="4EAA7FE0"/>
    <w:rsid w:val="4EE47996"/>
    <w:rsid w:val="4F4B1F29"/>
    <w:rsid w:val="4F6A631C"/>
    <w:rsid w:val="4FA549CC"/>
    <w:rsid w:val="4FB9502C"/>
    <w:rsid w:val="4FCE62AB"/>
    <w:rsid w:val="502618E8"/>
    <w:rsid w:val="505A77E4"/>
    <w:rsid w:val="506653E7"/>
    <w:rsid w:val="50A64A91"/>
    <w:rsid w:val="50E84DEF"/>
    <w:rsid w:val="50EA500B"/>
    <w:rsid w:val="50EC0D83"/>
    <w:rsid w:val="50F02D7D"/>
    <w:rsid w:val="50F6750C"/>
    <w:rsid w:val="50F9556A"/>
    <w:rsid w:val="510F6820"/>
    <w:rsid w:val="512C5C9C"/>
    <w:rsid w:val="512F2F4D"/>
    <w:rsid w:val="515406D7"/>
    <w:rsid w:val="516F5E26"/>
    <w:rsid w:val="51703763"/>
    <w:rsid w:val="51793CC6"/>
    <w:rsid w:val="51A024BE"/>
    <w:rsid w:val="52021EE1"/>
    <w:rsid w:val="526C7C8B"/>
    <w:rsid w:val="529E7E5B"/>
    <w:rsid w:val="52D047E0"/>
    <w:rsid w:val="52FB2067"/>
    <w:rsid w:val="530C1269"/>
    <w:rsid w:val="533407C0"/>
    <w:rsid w:val="533E519B"/>
    <w:rsid w:val="534C79D0"/>
    <w:rsid w:val="5381087E"/>
    <w:rsid w:val="53A414A2"/>
    <w:rsid w:val="53B316E5"/>
    <w:rsid w:val="53D77AC9"/>
    <w:rsid w:val="53EF305C"/>
    <w:rsid w:val="54023290"/>
    <w:rsid w:val="541D1254"/>
    <w:rsid w:val="54462F70"/>
    <w:rsid w:val="54D668FD"/>
    <w:rsid w:val="550F6DEF"/>
    <w:rsid w:val="55652EB2"/>
    <w:rsid w:val="55902FD4"/>
    <w:rsid w:val="55E22755"/>
    <w:rsid w:val="56336B0D"/>
    <w:rsid w:val="563E45AE"/>
    <w:rsid w:val="568A7075"/>
    <w:rsid w:val="569A6C4E"/>
    <w:rsid w:val="56A13138"/>
    <w:rsid w:val="56C30606"/>
    <w:rsid w:val="57690927"/>
    <w:rsid w:val="578A173F"/>
    <w:rsid w:val="578F06BB"/>
    <w:rsid w:val="58117322"/>
    <w:rsid w:val="58220C8B"/>
    <w:rsid w:val="582232DD"/>
    <w:rsid w:val="582C415B"/>
    <w:rsid w:val="583F79EB"/>
    <w:rsid w:val="59017396"/>
    <w:rsid w:val="59055F1B"/>
    <w:rsid w:val="59570D64"/>
    <w:rsid w:val="595912D7"/>
    <w:rsid w:val="59DD27CB"/>
    <w:rsid w:val="5A342DBF"/>
    <w:rsid w:val="5A3966BC"/>
    <w:rsid w:val="5A737E20"/>
    <w:rsid w:val="5A8A425A"/>
    <w:rsid w:val="5A8D7133"/>
    <w:rsid w:val="5AAF0367"/>
    <w:rsid w:val="5ABF12B7"/>
    <w:rsid w:val="5AC56B6B"/>
    <w:rsid w:val="5AE605F2"/>
    <w:rsid w:val="5AF714EB"/>
    <w:rsid w:val="5AFE2774"/>
    <w:rsid w:val="5B0519EE"/>
    <w:rsid w:val="5B3729D8"/>
    <w:rsid w:val="5B4E5EF3"/>
    <w:rsid w:val="5B7C71A8"/>
    <w:rsid w:val="5B8500C4"/>
    <w:rsid w:val="5BB701E0"/>
    <w:rsid w:val="5BE34B31"/>
    <w:rsid w:val="5C313CD3"/>
    <w:rsid w:val="5C400B8F"/>
    <w:rsid w:val="5C4979F0"/>
    <w:rsid w:val="5C732359"/>
    <w:rsid w:val="5C8B521B"/>
    <w:rsid w:val="5C934A80"/>
    <w:rsid w:val="5CBD33DE"/>
    <w:rsid w:val="5CD94192"/>
    <w:rsid w:val="5CE57E3C"/>
    <w:rsid w:val="5D0336DD"/>
    <w:rsid w:val="5D081B2C"/>
    <w:rsid w:val="5D6A2CC0"/>
    <w:rsid w:val="5D7F2A64"/>
    <w:rsid w:val="5D9376B4"/>
    <w:rsid w:val="5D946EC8"/>
    <w:rsid w:val="5DAD53F7"/>
    <w:rsid w:val="5E005E6E"/>
    <w:rsid w:val="5E075D2E"/>
    <w:rsid w:val="5E766130"/>
    <w:rsid w:val="5E8F7F57"/>
    <w:rsid w:val="5EDC29E4"/>
    <w:rsid w:val="5EDD1D0C"/>
    <w:rsid w:val="5F122CD0"/>
    <w:rsid w:val="5F3A53B0"/>
    <w:rsid w:val="5F785A80"/>
    <w:rsid w:val="5FC03B07"/>
    <w:rsid w:val="5FCA3D4C"/>
    <w:rsid w:val="5FDF5723"/>
    <w:rsid w:val="60234553"/>
    <w:rsid w:val="604F09E7"/>
    <w:rsid w:val="60870181"/>
    <w:rsid w:val="60A70823"/>
    <w:rsid w:val="610030FD"/>
    <w:rsid w:val="611A2DA3"/>
    <w:rsid w:val="614B3BA5"/>
    <w:rsid w:val="621E4B15"/>
    <w:rsid w:val="62C236F2"/>
    <w:rsid w:val="62DA4EE0"/>
    <w:rsid w:val="63120A45"/>
    <w:rsid w:val="63414F5F"/>
    <w:rsid w:val="634405AB"/>
    <w:rsid w:val="636F4020"/>
    <w:rsid w:val="63AD6EFD"/>
    <w:rsid w:val="63CF73A8"/>
    <w:rsid w:val="640866DA"/>
    <w:rsid w:val="64287ECD"/>
    <w:rsid w:val="643E4FFA"/>
    <w:rsid w:val="64A77044"/>
    <w:rsid w:val="64F47DAF"/>
    <w:rsid w:val="650A312E"/>
    <w:rsid w:val="650F7EB8"/>
    <w:rsid w:val="65136487"/>
    <w:rsid w:val="65644F35"/>
    <w:rsid w:val="65A65BB6"/>
    <w:rsid w:val="65C84ABA"/>
    <w:rsid w:val="65CD5180"/>
    <w:rsid w:val="66101566"/>
    <w:rsid w:val="663D7356"/>
    <w:rsid w:val="663E5A9B"/>
    <w:rsid w:val="664408C2"/>
    <w:rsid w:val="664567D8"/>
    <w:rsid w:val="66AA6977"/>
    <w:rsid w:val="674A5FA7"/>
    <w:rsid w:val="675055D6"/>
    <w:rsid w:val="6751773B"/>
    <w:rsid w:val="67976F80"/>
    <w:rsid w:val="67BF46A4"/>
    <w:rsid w:val="684150B9"/>
    <w:rsid w:val="684904C2"/>
    <w:rsid w:val="688E4077"/>
    <w:rsid w:val="68AF296B"/>
    <w:rsid w:val="68CB4CC9"/>
    <w:rsid w:val="690878F0"/>
    <w:rsid w:val="690B6F8A"/>
    <w:rsid w:val="69121066"/>
    <w:rsid w:val="697E40EB"/>
    <w:rsid w:val="69FB64FB"/>
    <w:rsid w:val="6A091468"/>
    <w:rsid w:val="6A097E59"/>
    <w:rsid w:val="6A211646"/>
    <w:rsid w:val="6A5D0DC2"/>
    <w:rsid w:val="6A7379C8"/>
    <w:rsid w:val="6A79693A"/>
    <w:rsid w:val="6A8D0FE2"/>
    <w:rsid w:val="6B143643"/>
    <w:rsid w:val="6B166CD1"/>
    <w:rsid w:val="6B785296"/>
    <w:rsid w:val="6B996C7B"/>
    <w:rsid w:val="6B9A0FF2"/>
    <w:rsid w:val="6BA51C2E"/>
    <w:rsid w:val="6BA8544F"/>
    <w:rsid w:val="6C0C1E41"/>
    <w:rsid w:val="6C523D39"/>
    <w:rsid w:val="6C646E0D"/>
    <w:rsid w:val="6CDC706F"/>
    <w:rsid w:val="6CFC1EF7"/>
    <w:rsid w:val="6D2F5E28"/>
    <w:rsid w:val="6D2F7BD6"/>
    <w:rsid w:val="6D4A0FBB"/>
    <w:rsid w:val="6DFB21AE"/>
    <w:rsid w:val="6E2044CD"/>
    <w:rsid w:val="6E543C85"/>
    <w:rsid w:val="6E9B5EB2"/>
    <w:rsid w:val="6F4354CE"/>
    <w:rsid w:val="6F5A2F04"/>
    <w:rsid w:val="6FB70357"/>
    <w:rsid w:val="6FD31CE2"/>
    <w:rsid w:val="6FD76987"/>
    <w:rsid w:val="70051848"/>
    <w:rsid w:val="701D01BA"/>
    <w:rsid w:val="705A6BFD"/>
    <w:rsid w:val="706C06C5"/>
    <w:rsid w:val="70787AE6"/>
    <w:rsid w:val="70994BF5"/>
    <w:rsid w:val="70B746D4"/>
    <w:rsid w:val="70CB5E68"/>
    <w:rsid w:val="70DC0075"/>
    <w:rsid w:val="71092E34"/>
    <w:rsid w:val="71241A1C"/>
    <w:rsid w:val="712E63F7"/>
    <w:rsid w:val="716266B0"/>
    <w:rsid w:val="7179490C"/>
    <w:rsid w:val="71B26C0E"/>
    <w:rsid w:val="71D80FDA"/>
    <w:rsid w:val="72120ED6"/>
    <w:rsid w:val="722F76C6"/>
    <w:rsid w:val="72814BB5"/>
    <w:rsid w:val="72B24FED"/>
    <w:rsid w:val="72B72A3B"/>
    <w:rsid w:val="7306587D"/>
    <w:rsid w:val="73357F10"/>
    <w:rsid w:val="736268A0"/>
    <w:rsid w:val="73794723"/>
    <w:rsid w:val="737C169B"/>
    <w:rsid w:val="738A025C"/>
    <w:rsid w:val="73C05A2C"/>
    <w:rsid w:val="73D2750D"/>
    <w:rsid w:val="73ED4347"/>
    <w:rsid w:val="745368A0"/>
    <w:rsid w:val="745A7018"/>
    <w:rsid w:val="74716D26"/>
    <w:rsid w:val="749F7D37"/>
    <w:rsid w:val="74DD5D48"/>
    <w:rsid w:val="74F04D4E"/>
    <w:rsid w:val="75023E22"/>
    <w:rsid w:val="75232716"/>
    <w:rsid w:val="753A180E"/>
    <w:rsid w:val="753E1DDD"/>
    <w:rsid w:val="753F4DE6"/>
    <w:rsid w:val="75835470"/>
    <w:rsid w:val="75A03D67"/>
    <w:rsid w:val="75C4732A"/>
    <w:rsid w:val="75C854D0"/>
    <w:rsid w:val="75CF5167"/>
    <w:rsid w:val="75D64AE0"/>
    <w:rsid w:val="76234ABE"/>
    <w:rsid w:val="7658768A"/>
    <w:rsid w:val="76E26652"/>
    <w:rsid w:val="76EB5E16"/>
    <w:rsid w:val="77060103"/>
    <w:rsid w:val="771669D7"/>
    <w:rsid w:val="77364257"/>
    <w:rsid w:val="77B219C8"/>
    <w:rsid w:val="77BA7D05"/>
    <w:rsid w:val="77F22BDD"/>
    <w:rsid w:val="780F0D30"/>
    <w:rsid w:val="782F3180"/>
    <w:rsid w:val="78547A08"/>
    <w:rsid w:val="7855293D"/>
    <w:rsid w:val="788039DC"/>
    <w:rsid w:val="790740FD"/>
    <w:rsid w:val="796055BB"/>
    <w:rsid w:val="7A1F0FD2"/>
    <w:rsid w:val="7A3251AA"/>
    <w:rsid w:val="7A5770F4"/>
    <w:rsid w:val="7AA5772A"/>
    <w:rsid w:val="7AB44F10"/>
    <w:rsid w:val="7AFF2422"/>
    <w:rsid w:val="7B40358D"/>
    <w:rsid w:val="7B5F3D7C"/>
    <w:rsid w:val="7B8657AD"/>
    <w:rsid w:val="7BBF2A6D"/>
    <w:rsid w:val="7C066D10"/>
    <w:rsid w:val="7C077E90"/>
    <w:rsid w:val="7C422D11"/>
    <w:rsid w:val="7C444D20"/>
    <w:rsid w:val="7C8041D4"/>
    <w:rsid w:val="7CAD6D69"/>
    <w:rsid w:val="7CBA7DB4"/>
    <w:rsid w:val="7CBE2D25"/>
    <w:rsid w:val="7D115ACB"/>
    <w:rsid w:val="7D797899"/>
    <w:rsid w:val="7D7C4FA3"/>
    <w:rsid w:val="7D910439"/>
    <w:rsid w:val="7DA22646"/>
    <w:rsid w:val="7DE20177"/>
    <w:rsid w:val="7E16191D"/>
    <w:rsid w:val="7E1D58D3"/>
    <w:rsid w:val="7E473E79"/>
    <w:rsid w:val="7E55498A"/>
    <w:rsid w:val="7E5C547C"/>
    <w:rsid w:val="7E68119A"/>
    <w:rsid w:val="7E6B20D0"/>
    <w:rsid w:val="7E997BF5"/>
    <w:rsid w:val="7E9C007B"/>
    <w:rsid w:val="7EC860DC"/>
    <w:rsid w:val="7EDC2B15"/>
    <w:rsid w:val="7F2F3A66"/>
    <w:rsid w:val="7F416DB3"/>
    <w:rsid w:val="7F4A21C0"/>
    <w:rsid w:val="7F4F7640"/>
    <w:rsid w:val="7F8C2C66"/>
    <w:rsid w:val="7F9D4784"/>
    <w:rsid w:val="7FAE63F9"/>
    <w:rsid w:val="7FB3161D"/>
    <w:rsid w:val="7FC94B66"/>
    <w:rsid w:val="7FF32CE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qFormat="1"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420" w:lineRule="exact"/>
      <w:jc w:val="both"/>
    </w:pPr>
    <w:rPr>
      <w:rFonts w:ascii="Times New Roman" w:hAnsi="Times New Roman" w:eastAsia="宋体" w:cs="Times New Roman"/>
      <w:kern w:val="2"/>
      <w:sz w:val="21"/>
      <w:lang w:val="en-US" w:eastAsia="zh-CN" w:bidi="ar-SA"/>
    </w:rPr>
  </w:style>
  <w:style w:type="paragraph" w:styleId="3">
    <w:name w:val="heading 1"/>
    <w:basedOn w:val="1"/>
    <w:next w:val="1"/>
    <w:qFormat/>
    <w:uiPriority w:val="0"/>
    <w:pPr>
      <w:keepNext/>
      <w:numPr>
        <w:ilvl w:val="0"/>
        <w:numId w:val="1"/>
      </w:numPr>
      <w:tabs>
        <w:tab w:val="left" w:pos="0"/>
      </w:tabs>
      <w:outlineLvl w:val="0"/>
    </w:pPr>
    <w:rPr>
      <w:rFonts w:ascii="仿宋_GB2312" w:eastAsia="仿宋_GB2312"/>
      <w:kern w:val="0"/>
      <w:sz w:val="32"/>
      <w:szCs w:val="32"/>
    </w:rPr>
  </w:style>
  <w:style w:type="paragraph" w:styleId="4">
    <w:name w:val="heading 2"/>
    <w:basedOn w:val="1"/>
    <w:next w:val="1"/>
    <w:qFormat/>
    <w:uiPriority w:val="0"/>
    <w:pPr>
      <w:keepNext/>
      <w:keepLines/>
      <w:numPr>
        <w:ilvl w:val="1"/>
        <w:numId w:val="1"/>
      </w:numPr>
      <w:spacing w:before="260" w:after="260" w:line="413" w:lineRule="auto"/>
      <w:outlineLvl w:val="1"/>
    </w:pPr>
    <w:rPr>
      <w:rFonts w:ascii="Arial" w:hAnsi="Arial" w:eastAsia="黑体"/>
      <w:b/>
      <w:kern w:val="0"/>
      <w:sz w:val="32"/>
      <w:szCs w:val="20"/>
    </w:rPr>
  </w:style>
  <w:style w:type="paragraph" w:styleId="5">
    <w:name w:val="heading 3"/>
    <w:basedOn w:val="1"/>
    <w:next w:val="1"/>
    <w:link w:val="72"/>
    <w:qFormat/>
    <w:uiPriority w:val="0"/>
    <w:pPr>
      <w:keepNext/>
      <w:keepLines/>
      <w:spacing w:before="260" w:after="260" w:line="416" w:lineRule="atLeast"/>
      <w:outlineLvl w:val="2"/>
    </w:pPr>
    <w:rPr>
      <w:b/>
      <w:bCs/>
      <w:sz w:val="32"/>
      <w:szCs w:val="32"/>
    </w:rPr>
  </w:style>
  <w:style w:type="character" w:default="1" w:styleId="25">
    <w:name w:val="Default Paragraph Font"/>
    <w:semiHidden/>
    <w:qFormat/>
    <w:uiPriority w:val="0"/>
  </w:style>
  <w:style w:type="table" w:default="1" w:styleId="23">
    <w:name w:val="Normal Table"/>
    <w:semiHidden/>
    <w:qFormat/>
    <w:uiPriority w:val="0"/>
    <w:tblPr>
      <w:tblCellMar>
        <w:top w:w="0" w:type="dxa"/>
        <w:left w:w="108" w:type="dxa"/>
        <w:bottom w:w="0" w:type="dxa"/>
        <w:right w:w="108" w:type="dxa"/>
      </w:tblCellMar>
    </w:tblPr>
  </w:style>
  <w:style w:type="paragraph" w:customStyle="1" w:styleId="2">
    <w:name w:val="段"/>
    <w:next w:val="1"/>
    <w:qFormat/>
    <w:uiPriority w:val="0"/>
    <w:pPr>
      <w:autoSpaceDE w:val="0"/>
      <w:autoSpaceDN w:val="0"/>
      <w:adjustRightInd w:val="0"/>
      <w:snapToGrid w:val="0"/>
      <w:spacing w:line="360" w:lineRule="auto"/>
      <w:ind w:firstLine="200" w:firstLineChars="200"/>
      <w:jc w:val="both"/>
    </w:pPr>
    <w:rPr>
      <w:rFonts w:ascii="宋体" w:hAnsi="Times New Roman" w:eastAsia="宋体" w:cs="Times New Roman"/>
      <w:sz w:val="24"/>
      <w:szCs w:val="22"/>
      <w:lang w:val="en-US" w:eastAsia="zh-CN" w:bidi="ar-SA"/>
    </w:rPr>
  </w:style>
  <w:style w:type="paragraph" w:styleId="6">
    <w:name w:val="List Number"/>
    <w:basedOn w:val="1"/>
    <w:qFormat/>
    <w:uiPriority w:val="0"/>
    <w:pPr>
      <w:numPr>
        <w:ilvl w:val="0"/>
        <w:numId w:val="2"/>
      </w:numPr>
    </w:pPr>
  </w:style>
  <w:style w:type="paragraph" w:styleId="7">
    <w:name w:val="Normal Indent"/>
    <w:basedOn w:val="1"/>
    <w:next w:val="1"/>
    <w:qFormat/>
    <w:uiPriority w:val="99"/>
    <w:pPr>
      <w:ind w:firstLine="420"/>
    </w:pPr>
  </w:style>
  <w:style w:type="paragraph" w:styleId="8">
    <w:name w:val="Body Text"/>
    <w:basedOn w:val="1"/>
    <w:next w:val="9"/>
    <w:qFormat/>
    <w:uiPriority w:val="0"/>
    <w:pPr>
      <w:spacing w:after="120" w:afterLines="0"/>
    </w:pPr>
  </w:style>
  <w:style w:type="paragraph" w:styleId="9">
    <w:name w:val="toc 4"/>
    <w:basedOn w:val="1"/>
    <w:next w:val="1"/>
    <w:qFormat/>
    <w:uiPriority w:val="0"/>
    <w:pPr>
      <w:ind w:left="630"/>
      <w:jc w:val="left"/>
    </w:pPr>
    <w:rPr>
      <w:sz w:val="18"/>
      <w:szCs w:val="18"/>
    </w:rPr>
  </w:style>
  <w:style w:type="paragraph" w:styleId="10">
    <w:name w:val="Body Text Indent"/>
    <w:basedOn w:val="1"/>
    <w:next w:val="1"/>
    <w:qFormat/>
    <w:uiPriority w:val="0"/>
    <w:pPr>
      <w:spacing w:line="360" w:lineRule="auto"/>
      <w:ind w:firstLine="560" w:firstLineChars="200"/>
    </w:pPr>
    <w:rPr>
      <w:sz w:val="28"/>
    </w:rPr>
  </w:style>
  <w:style w:type="paragraph" w:styleId="11">
    <w:name w:val="Plain Text"/>
    <w:basedOn w:val="1"/>
    <w:qFormat/>
    <w:uiPriority w:val="0"/>
    <w:rPr>
      <w:rFonts w:ascii="宋体" w:hAnsi="Courier New"/>
      <w:sz w:val="11"/>
      <w:szCs w:val="20"/>
    </w:rPr>
  </w:style>
  <w:style w:type="paragraph" w:styleId="12">
    <w:name w:val="Date"/>
    <w:basedOn w:val="1"/>
    <w:next w:val="1"/>
    <w:qFormat/>
    <w:uiPriority w:val="0"/>
    <w:pPr>
      <w:adjustRightInd w:val="0"/>
      <w:spacing w:line="360" w:lineRule="atLeast"/>
      <w:ind w:firstLine="454"/>
      <w:textAlignment w:val="baseline"/>
    </w:pPr>
    <w:rPr>
      <w:kern w:val="0"/>
      <w:szCs w:val="20"/>
    </w:rPr>
  </w:style>
  <w:style w:type="paragraph" w:styleId="13">
    <w:name w:val="footer"/>
    <w:basedOn w:val="1"/>
    <w:qFormat/>
    <w:uiPriority w:val="99"/>
    <w:pPr>
      <w:tabs>
        <w:tab w:val="center" w:pos="4153"/>
        <w:tab w:val="right" w:pos="8306"/>
      </w:tabs>
      <w:snapToGrid w:val="0"/>
      <w:jc w:val="left"/>
    </w:pPr>
    <w:rPr>
      <w:sz w:val="18"/>
    </w:rPr>
  </w:style>
  <w:style w:type="paragraph" w:styleId="14">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5">
    <w:name w:val="toc 1"/>
    <w:basedOn w:val="1"/>
    <w:next w:val="1"/>
    <w:qFormat/>
    <w:uiPriority w:val="39"/>
    <w:pPr>
      <w:spacing w:before="120" w:after="120"/>
      <w:jc w:val="left"/>
    </w:pPr>
    <w:rPr>
      <w:rFonts w:ascii="Calibri" w:hAnsi="Calibri"/>
      <w:b/>
      <w:bCs/>
      <w:caps/>
      <w:sz w:val="20"/>
      <w:szCs w:val="20"/>
    </w:rPr>
  </w:style>
  <w:style w:type="paragraph" w:styleId="16">
    <w:name w:val="footnote text"/>
    <w:basedOn w:val="1"/>
    <w:qFormat/>
    <w:uiPriority w:val="0"/>
    <w:pPr>
      <w:widowControl w:val="0"/>
      <w:adjustRightInd w:val="0"/>
      <w:spacing w:line="315" w:lineRule="atLeast"/>
      <w:jc w:val="both"/>
      <w:textAlignment w:val="baseline"/>
    </w:pPr>
    <w:rPr>
      <w:rFonts w:ascii="宋体" w:hAnsi="宋体"/>
      <w:sz w:val="18"/>
      <w:szCs w:val="18"/>
    </w:rPr>
  </w:style>
  <w:style w:type="paragraph" w:styleId="17">
    <w:name w:val="Body Text Indent 3"/>
    <w:basedOn w:val="1"/>
    <w:qFormat/>
    <w:uiPriority w:val="0"/>
    <w:pPr>
      <w:snapToGrid w:val="0"/>
      <w:ind w:firstLine="480" w:firstLineChars="200"/>
      <w:jc w:val="left"/>
    </w:pPr>
    <w:rPr>
      <w:rFonts w:ascii="仿宋_GB2312" w:hAnsi="宋体" w:eastAsia="仿宋_GB2312"/>
      <w:color w:val="000000"/>
      <w:sz w:val="24"/>
    </w:rPr>
  </w:style>
  <w:style w:type="paragraph" w:styleId="18">
    <w:name w:val="toc 2"/>
    <w:basedOn w:val="1"/>
    <w:next w:val="1"/>
    <w:qFormat/>
    <w:uiPriority w:val="39"/>
    <w:pPr>
      <w:ind w:left="210"/>
      <w:jc w:val="left"/>
    </w:pPr>
    <w:rPr>
      <w:rFonts w:ascii="Calibri" w:hAnsi="Calibri"/>
      <w:smallCaps/>
      <w:sz w:val="20"/>
      <w:szCs w:val="20"/>
    </w:rPr>
  </w:style>
  <w:style w:type="paragraph" w:styleId="19">
    <w:name w:val="Body Text 2"/>
    <w:basedOn w:val="1"/>
    <w:qFormat/>
    <w:uiPriority w:val="0"/>
    <w:pPr>
      <w:autoSpaceDE w:val="0"/>
      <w:autoSpaceDN w:val="0"/>
      <w:adjustRightInd w:val="0"/>
      <w:jc w:val="center"/>
    </w:pPr>
    <w:rPr>
      <w:rFonts w:ascii="幼圆" w:eastAsia="幼圆"/>
      <w:b/>
      <w:bCs/>
      <w:color w:val="000000"/>
      <w:kern w:val="0"/>
      <w:sz w:val="72"/>
      <w:szCs w:val="44"/>
    </w:rPr>
  </w:style>
  <w:style w:type="paragraph" w:styleId="20">
    <w:name w:val="Normal (Web)"/>
    <w:basedOn w:val="1"/>
    <w:qFormat/>
    <w:uiPriority w:val="99"/>
    <w:pPr>
      <w:widowControl/>
      <w:spacing w:before="100" w:beforeLines="0" w:beforeAutospacing="1" w:after="100" w:afterLines="0" w:afterAutospacing="1"/>
      <w:jc w:val="left"/>
    </w:pPr>
    <w:rPr>
      <w:rFonts w:ascii="宋体" w:hAnsi="宋体"/>
      <w:kern w:val="0"/>
      <w:sz w:val="24"/>
    </w:rPr>
  </w:style>
  <w:style w:type="paragraph" w:styleId="21">
    <w:name w:val="Body Text First Indent"/>
    <w:basedOn w:val="8"/>
    <w:next w:val="1"/>
    <w:qFormat/>
    <w:uiPriority w:val="0"/>
    <w:pPr>
      <w:ind w:firstLine="420"/>
    </w:pPr>
    <w:rPr>
      <w:rFonts w:ascii="Times New Roman" w:hAnsi="Times New Roman" w:eastAsia="楷体_GB2312"/>
    </w:rPr>
  </w:style>
  <w:style w:type="paragraph" w:styleId="22">
    <w:name w:val="Body Text First Indent 2"/>
    <w:basedOn w:val="10"/>
    <w:next w:val="1"/>
    <w:qFormat/>
    <w:uiPriority w:val="0"/>
    <w:pPr>
      <w:ind w:left="1588" w:leftChars="832" w:firstLine="433"/>
    </w:pPr>
    <w:rPr>
      <w:rFonts w:eastAsia="仿宋_GB2312"/>
      <w:spacing w:val="15"/>
      <w:kern w:val="10"/>
      <w:sz w:val="24"/>
      <w:szCs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6">
    <w:name w:val="Strong"/>
    <w:basedOn w:val="25"/>
    <w:qFormat/>
    <w:uiPriority w:val="0"/>
    <w:rPr>
      <w:b/>
      <w:bCs/>
    </w:rPr>
  </w:style>
  <w:style w:type="character" w:styleId="27">
    <w:name w:val="page number"/>
    <w:basedOn w:val="25"/>
    <w:qFormat/>
    <w:uiPriority w:val="0"/>
  </w:style>
  <w:style w:type="character" w:styleId="28">
    <w:name w:val="FollowedHyperlink"/>
    <w:basedOn w:val="25"/>
    <w:qFormat/>
    <w:uiPriority w:val="0"/>
    <w:rPr>
      <w:color w:val="800080"/>
      <w:u w:val="none"/>
    </w:rPr>
  </w:style>
  <w:style w:type="character" w:styleId="29">
    <w:name w:val="HTML Definition"/>
    <w:basedOn w:val="25"/>
    <w:qFormat/>
    <w:uiPriority w:val="0"/>
    <w:rPr>
      <w:i/>
      <w:iCs/>
    </w:rPr>
  </w:style>
  <w:style w:type="character" w:styleId="30">
    <w:name w:val="HTML Typewriter"/>
    <w:qFormat/>
    <w:uiPriority w:val="0"/>
    <w:rPr>
      <w:rFonts w:ascii="宋体" w:hAnsi="宋体" w:eastAsia="宋体" w:cs="宋体"/>
      <w:sz w:val="24"/>
      <w:szCs w:val="24"/>
    </w:rPr>
  </w:style>
  <w:style w:type="character" w:styleId="31">
    <w:name w:val="Hyperlink"/>
    <w:basedOn w:val="25"/>
    <w:qFormat/>
    <w:uiPriority w:val="99"/>
    <w:rPr>
      <w:color w:val="000000"/>
      <w:szCs w:val="21"/>
      <w:u w:val="none"/>
    </w:rPr>
  </w:style>
  <w:style w:type="character" w:styleId="32">
    <w:name w:val="HTML Code"/>
    <w:basedOn w:val="25"/>
    <w:qFormat/>
    <w:uiPriority w:val="0"/>
    <w:rPr>
      <w:rFonts w:ascii="monospace" w:hAnsi="monospace" w:eastAsia="monospace" w:cs="monospace"/>
      <w:sz w:val="21"/>
      <w:szCs w:val="21"/>
    </w:rPr>
  </w:style>
  <w:style w:type="character" w:styleId="33">
    <w:name w:val="HTML Keyboard"/>
    <w:basedOn w:val="25"/>
    <w:qFormat/>
    <w:uiPriority w:val="0"/>
    <w:rPr>
      <w:rFonts w:hint="default" w:ascii="monospace" w:hAnsi="monospace" w:eastAsia="monospace" w:cs="monospace"/>
      <w:sz w:val="21"/>
      <w:szCs w:val="21"/>
    </w:rPr>
  </w:style>
  <w:style w:type="character" w:styleId="34">
    <w:name w:val="HTML Sample"/>
    <w:basedOn w:val="25"/>
    <w:qFormat/>
    <w:uiPriority w:val="0"/>
    <w:rPr>
      <w:rFonts w:hint="default" w:ascii="monospace" w:hAnsi="monospace" w:eastAsia="monospace" w:cs="monospace"/>
      <w:sz w:val="21"/>
      <w:szCs w:val="21"/>
    </w:rPr>
  </w:style>
  <w:style w:type="paragraph" w:customStyle="1" w:styleId="35">
    <w:name w:val="Default"/>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6">
    <w:name w:val="Fließtext"/>
    <w:basedOn w:val="1"/>
    <w:qFormat/>
    <w:uiPriority w:val="0"/>
    <w:pPr>
      <w:overflowPunct w:val="0"/>
      <w:autoSpaceDE w:val="0"/>
      <w:autoSpaceDN w:val="0"/>
      <w:adjustRightInd w:val="0"/>
      <w:textAlignment w:val="baseline"/>
    </w:pPr>
    <w:rPr>
      <w:kern w:val="28"/>
      <w:szCs w:val="20"/>
    </w:rPr>
  </w:style>
  <w:style w:type="paragraph" w:customStyle="1" w:styleId="37">
    <w:name w:val="_Style 3"/>
    <w:qFormat/>
    <w:uiPriority w:val="0"/>
    <w:pPr>
      <w:widowControl w:val="0"/>
      <w:jc w:val="both"/>
    </w:pPr>
    <w:rPr>
      <w:rFonts w:ascii="Calibri" w:hAnsi="Calibri" w:eastAsia="宋体" w:cs="Times New Roman"/>
      <w:kern w:val="2"/>
      <w:sz w:val="21"/>
      <w:szCs w:val="22"/>
      <w:lang w:val="en-US" w:eastAsia="zh-CN" w:bidi="ar-SA"/>
    </w:rPr>
  </w:style>
  <w:style w:type="paragraph" w:customStyle="1" w:styleId="38">
    <w:name w:val="_Style 1"/>
    <w:qFormat/>
    <w:uiPriority w:val="0"/>
    <w:pPr>
      <w:widowControl w:val="0"/>
      <w:jc w:val="both"/>
    </w:pPr>
    <w:rPr>
      <w:rFonts w:ascii="Calibri" w:hAnsi="Calibri" w:eastAsia="微软雅黑" w:cs="Times New Roman"/>
      <w:kern w:val="2"/>
      <w:sz w:val="21"/>
      <w:szCs w:val="22"/>
      <w:lang w:val="en-US" w:eastAsia="zh-CN" w:bidi="ar-SA"/>
    </w:rPr>
  </w:style>
  <w:style w:type="paragraph" w:customStyle="1" w:styleId="39">
    <w:name w:val="WPSOffice手动目录 2"/>
    <w:qFormat/>
    <w:uiPriority w:val="0"/>
    <w:pPr>
      <w:ind w:leftChars="200"/>
    </w:pPr>
    <w:rPr>
      <w:rFonts w:ascii="Times New Roman" w:hAnsi="Times New Roman" w:eastAsia="宋体" w:cs="Times New Roman"/>
      <w:lang w:val="en-US" w:eastAsia="zh-CN" w:bidi="ar-SA"/>
    </w:rPr>
  </w:style>
  <w:style w:type="paragraph" w:customStyle="1" w:styleId="40">
    <w:name w:val="WPSOffice手动目录 1"/>
    <w:qFormat/>
    <w:uiPriority w:val="0"/>
    <w:rPr>
      <w:rFonts w:ascii="Times New Roman" w:hAnsi="Times New Roman" w:eastAsia="宋体" w:cs="Times New Roman"/>
      <w:lang w:val="en-US" w:eastAsia="zh-CN" w:bidi="ar-SA"/>
    </w:rPr>
  </w:style>
  <w:style w:type="character" w:customStyle="1" w:styleId="41">
    <w:name w:val="NormalCharacter"/>
    <w:semiHidden/>
    <w:qFormat/>
    <w:uiPriority w:val="0"/>
  </w:style>
  <w:style w:type="paragraph" w:customStyle="1" w:styleId="42">
    <w:name w:val="样式"/>
    <w:qFormat/>
    <w:uiPriority w:val="0"/>
    <w:pPr>
      <w:widowControl w:val="0"/>
      <w:autoSpaceDE w:val="0"/>
      <w:autoSpaceDN w:val="0"/>
      <w:adjustRightInd w:val="0"/>
    </w:pPr>
    <w:rPr>
      <w:rFonts w:ascii="宋体" w:hAnsi="宋体" w:eastAsia="宋体" w:cs="宋体"/>
      <w:sz w:val="24"/>
      <w:szCs w:val="24"/>
      <w:lang w:val="en-US" w:eastAsia="zh-CN" w:bidi="ar-SA"/>
    </w:rPr>
  </w:style>
  <w:style w:type="paragraph" w:customStyle="1" w:styleId="43">
    <w:name w:val="Default Text"/>
    <w:qFormat/>
    <w:uiPriority w:val="0"/>
    <w:pPr>
      <w:widowControl w:val="0"/>
      <w:autoSpaceDE w:val="0"/>
      <w:autoSpaceDN w:val="0"/>
      <w:adjustRightInd w:val="0"/>
    </w:pPr>
    <w:rPr>
      <w:rFonts w:ascii="Times New Roman" w:hAnsi="Times New Roman" w:eastAsia="宋体" w:cs="Times New Roman"/>
      <w:color w:val="000000"/>
      <w:sz w:val="24"/>
      <w:szCs w:val="24"/>
      <w:lang w:val="en-US" w:eastAsia="zh-CN" w:bidi="ar-SA"/>
    </w:rPr>
  </w:style>
  <w:style w:type="character" w:customStyle="1" w:styleId="44">
    <w:name w:val="param"/>
    <w:qFormat/>
    <w:uiPriority w:val="0"/>
    <w:rPr>
      <w:rFonts w:ascii="仿宋" w:hAnsi="仿宋" w:eastAsia="仿宋" w:cs="仿宋"/>
      <w:sz w:val="24"/>
      <w:szCs w:val="24"/>
      <w:u w:val="single"/>
    </w:rPr>
  </w:style>
  <w:style w:type="character" w:customStyle="1" w:styleId="45">
    <w:name w:val="标题 3 字符"/>
    <w:link w:val="5"/>
    <w:qFormat/>
    <w:uiPriority w:val="0"/>
    <w:rPr>
      <w:b/>
      <w:bCs/>
      <w:sz w:val="32"/>
      <w:szCs w:val="32"/>
    </w:rPr>
  </w:style>
  <w:style w:type="paragraph" w:customStyle="1" w:styleId="46">
    <w:name w:val="答复表头"/>
    <w:basedOn w:val="47"/>
    <w:next w:val="1"/>
    <w:qFormat/>
    <w:uiPriority w:val="0"/>
    <w:pPr>
      <w:tabs>
        <w:tab w:val="left" w:pos="480"/>
      </w:tabs>
    </w:pPr>
    <w:rPr>
      <w:rFonts w:ascii="Calibri" w:hAnsi="Calibri" w:eastAsia="宋体" w:cs="Times New Roman"/>
      <w:b/>
    </w:rPr>
  </w:style>
  <w:style w:type="paragraph" w:customStyle="1" w:styleId="47">
    <w:name w:val="正表头"/>
    <w:basedOn w:val="1"/>
    <w:qFormat/>
    <w:uiPriority w:val="0"/>
    <w:pPr>
      <w:tabs>
        <w:tab w:val="left" w:pos="480"/>
      </w:tabs>
      <w:autoSpaceDE w:val="0"/>
      <w:autoSpaceDN w:val="0"/>
      <w:adjustRightInd w:val="0"/>
      <w:jc w:val="center"/>
      <w:textAlignment w:val="baseline"/>
    </w:pPr>
    <w:rPr>
      <w:rFonts w:ascii="宋体" w:hAnsi="Tms Rmn" w:eastAsia="宋体" w:cs="Times New Roman"/>
      <w:color w:val="000000"/>
      <w:kern w:val="0"/>
    </w:rPr>
  </w:style>
  <w:style w:type="paragraph" w:customStyle="1" w:styleId="48">
    <w:name w:val="列出段落1"/>
    <w:basedOn w:val="1"/>
    <w:qFormat/>
    <w:uiPriority w:val="34"/>
    <w:pPr>
      <w:spacing w:line="240" w:lineRule="auto"/>
      <w:ind w:firstLine="420" w:firstLineChars="200"/>
    </w:pPr>
    <w:rPr>
      <w:rFonts w:cs="Calibri"/>
      <w:szCs w:val="21"/>
    </w:rPr>
  </w:style>
  <w:style w:type="paragraph" w:customStyle="1" w:styleId="49">
    <w:name w:val="Table Paragraph"/>
    <w:basedOn w:val="1"/>
    <w:qFormat/>
    <w:uiPriority w:val="1"/>
    <w:rPr>
      <w:rFonts w:ascii="宋体" w:hAnsi="宋体" w:eastAsia="宋体" w:cs="宋体"/>
      <w:lang w:val="zh-CN" w:eastAsia="zh-CN" w:bidi="zh-CN"/>
    </w:rPr>
  </w:style>
  <w:style w:type="paragraph" w:customStyle="1" w:styleId="50">
    <w:name w:val="标书正文"/>
    <w:basedOn w:val="1"/>
    <w:qFormat/>
    <w:uiPriority w:val="0"/>
    <w:pPr>
      <w:spacing w:line="560" w:lineRule="exact"/>
      <w:ind w:firstLine="723" w:firstLineChars="200"/>
      <w:jc w:val="center"/>
    </w:pPr>
    <w:rPr>
      <w:rFonts w:ascii="仿宋_GB2312" w:eastAsia="仿宋_GB2312"/>
      <w:b/>
      <w:sz w:val="36"/>
    </w:rPr>
  </w:style>
  <w:style w:type="paragraph" w:customStyle="1" w:styleId="51">
    <w:name w:val="正文缩进1"/>
    <w:basedOn w:val="1"/>
    <w:qFormat/>
    <w:uiPriority w:val="0"/>
    <w:pPr>
      <w:autoSpaceDE w:val="0"/>
      <w:autoSpaceDN w:val="0"/>
      <w:adjustRightInd w:val="0"/>
      <w:ind w:firstLine="420"/>
      <w:jc w:val="left"/>
    </w:pPr>
    <w:rPr>
      <w:rFonts w:ascii="宋体" w:hAnsi="Calibri" w:eastAsia="宋体" w:cs="Times New Roman"/>
      <w:sz w:val="24"/>
      <w:szCs w:val="22"/>
    </w:rPr>
  </w:style>
  <w:style w:type="paragraph" w:customStyle="1" w:styleId="52">
    <w:name w:val="纯文本1"/>
    <w:basedOn w:val="1"/>
    <w:qFormat/>
    <w:uiPriority w:val="0"/>
    <w:rPr>
      <w:rFonts w:ascii="宋体" w:hAnsi="Courier New" w:eastAsia="宋体" w:cs="Times New Roman"/>
      <w:szCs w:val="22"/>
    </w:rPr>
  </w:style>
  <w:style w:type="character" w:customStyle="1" w:styleId="53">
    <w:name w:val="after"/>
    <w:basedOn w:val="25"/>
    <w:qFormat/>
    <w:uiPriority w:val="0"/>
    <w:rPr>
      <w:bdr w:val="single" w:color="E3E7ED" w:sz="6" w:space="0"/>
    </w:rPr>
  </w:style>
  <w:style w:type="character" w:customStyle="1" w:styleId="54">
    <w:name w:val="after1"/>
    <w:basedOn w:val="25"/>
    <w:qFormat/>
    <w:uiPriority w:val="0"/>
    <w:rPr>
      <w:bdr w:val="single" w:color="E3E7ED" w:sz="6" w:space="0"/>
    </w:rPr>
  </w:style>
  <w:style w:type="character" w:customStyle="1" w:styleId="55">
    <w:name w:val="first-child"/>
    <w:basedOn w:val="25"/>
    <w:qFormat/>
    <w:uiPriority w:val="0"/>
  </w:style>
  <w:style w:type="character" w:customStyle="1" w:styleId="56">
    <w:name w:val="active"/>
    <w:basedOn w:val="25"/>
    <w:qFormat/>
    <w:uiPriority w:val="0"/>
    <w:rPr>
      <w:color w:val="333333"/>
    </w:rPr>
  </w:style>
  <w:style w:type="character" w:customStyle="1" w:styleId="57">
    <w:name w:val="active1"/>
    <w:basedOn w:val="25"/>
    <w:qFormat/>
    <w:uiPriority w:val="0"/>
    <w:rPr>
      <w:color w:val="1565C0"/>
    </w:rPr>
  </w:style>
  <w:style w:type="character" w:customStyle="1" w:styleId="58">
    <w:name w:val="active2"/>
    <w:basedOn w:val="25"/>
    <w:qFormat/>
    <w:uiPriority w:val="0"/>
    <w:rPr>
      <w:color w:val="333333"/>
    </w:rPr>
  </w:style>
  <w:style w:type="character" w:customStyle="1" w:styleId="59">
    <w:name w:val="active3"/>
    <w:basedOn w:val="25"/>
    <w:qFormat/>
    <w:uiPriority w:val="0"/>
    <w:rPr>
      <w:color w:val="333333"/>
    </w:rPr>
  </w:style>
  <w:style w:type="character" w:customStyle="1" w:styleId="60">
    <w:name w:val="active4"/>
    <w:basedOn w:val="25"/>
    <w:qFormat/>
    <w:uiPriority w:val="0"/>
    <w:rPr>
      <w:color w:val="1565C0"/>
    </w:rPr>
  </w:style>
  <w:style w:type="character" w:customStyle="1" w:styleId="61">
    <w:name w:val="active5"/>
    <w:basedOn w:val="25"/>
    <w:qFormat/>
    <w:uiPriority w:val="0"/>
    <w:rPr>
      <w:color w:val="1565C0"/>
    </w:rPr>
  </w:style>
  <w:style w:type="character" w:customStyle="1" w:styleId="62">
    <w:name w:val="active6"/>
    <w:basedOn w:val="25"/>
    <w:qFormat/>
    <w:uiPriority w:val="0"/>
    <w:rPr>
      <w:color w:val="1565C0"/>
    </w:rPr>
  </w:style>
  <w:style w:type="character" w:customStyle="1" w:styleId="63">
    <w:name w:val="last-child"/>
    <w:basedOn w:val="25"/>
    <w:qFormat/>
    <w:uiPriority w:val="0"/>
  </w:style>
  <w:style w:type="character" w:customStyle="1" w:styleId="64">
    <w:name w:val="disabled"/>
    <w:basedOn w:val="25"/>
    <w:qFormat/>
    <w:uiPriority w:val="0"/>
    <w:rPr>
      <w:color w:val="757575"/>
    </w:rPr>
  </w:style>
  <w:style w:type="character" w:customStyle="1" w:styleId="65">
    <w:name w:val="disabled1"/>
    <w:basedOn w:val="25"/>
    <w:qFormat/>
    <w:uiPriority w:val="0"/>
    <w:rPr>
      <w:color w:val="757575"/>
    </w:rPr>
  </w:style>
  <w:style w:type="character" w:customStyle="1" w:styleId="66">
    <w:name w:val="hover8"/>
    <w:basedOn w:val="25"/>
    <w:qFormat/>
    <w:uiPriority w:val="0"/>
    <w:rPr>
      <w:color w:val="1565C0"/>
    </w:rPr>
  </w:style>
  <w:style w:type="paragraph" w:customStyle="1" w:styleId="67">
    <w:name w:val="List Paragraph"/>
    <w:basedOn w:val="1"/>
    <w:qFormat/>
    <w:uiPriority w:val="0"/>
    <w:pPr>
      <w:ind w:firstLine="420" w:firstLineChars="200"/>
    </w:pPr>
  </w:style>
  <w:style w:type="paragraph" w:customStyle="1" w:styleId="68">
    <w:name w:val="Normal_25"/>
    <w:qFormat/>
    <w:uiPriority w:val="0"/>
    <w:rPr>
      <w:rFonts w:ascii="Times New Roman" w:hAnsi="Times New Roman" w:eastAsia="宋体" w:cs="Times New Roman"/>
      <w:kern w:val="0"/>
      <w:sz w:val="21"/>
      <w:szCs w:val="20"/>
    </w:rPr>
  </w:style>
  <w:style w:type="paragraph" w:customStyle="1" w:styleId="69">
    <w:name w:val="样式1_1"/>
    <w:basedOn w:val="70"/>
    <w:qFormat/>
    <w:uiPriority w:val="0"/>
    <w:pPr>
      <w:widowControl/>
      <w:tabs>
        <w:tab w:val="left" w:pos="420"/>
      </w:tabs>
      <w:adjustRightInd w:val="0"/>
      <w:snapToGrid w:val="0"/>
      <w:spacing w:before="0" w:after="0" w:line="360" w:lineRule="auto"/>
      <w:ind w:left="420" w:hanging="420"/>
      <w:jc w:val="center"/>
    </w:pPr>
    <w:rPr>
      <w:rFonts w:ascii="宋体" w:hAnsi="Arial" w:eastAsia="宋体"/>
      <w:bCs w:val="0"/>
      <w:szCs w:val="20"/>
    </w:rPr>
  </w:style>
  <w:style w:type="paragraph" w:customStyle="1" w:styleId="70">
    <w:name w:val="标题 2_2"/>
    <w:basedOn w:val="71"/>
    <w:next w:val="71"/>
    <w:semiHidden/>
    <w:unhideWhenUsed/>
    <w:qFormat/>
    <w:uiPriority w:val="9"/>
    <w:pPr>
      <w:keepNext/>
      <w:keepLines/>
      <w:spacing w:before="260" w:after="260" w:line="416" w:lineRule="auto"/>
      <w:outlineLvl w:val="1"/>
    </w:pPr>
    <w:rPr>
      <w:rFonts w:ascii="Cambria" w:hAnsi="Cambria"/>
      <w:b/>
      <w:bCs/>
      <w:kern w:val="0"/>
      <w:sz w:val="32"/>
      <w:szCs w:val="32"/>
    </w:rPr>
  </w:style>
  <w:style w:type="paragraph" w:customStyle="1" w:styleId="71">
    <w:name w:val="正文_13"/>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72">
    <w:name w:val="标题 3 Char"/>
    <w:link w:val="5"/>
    <w:qFormat/>
    <w:uiPriority w:val="0"/>
    <w:rPr>
      <w:b/>
      <w:bCs/>
      <w:sz w:val="32"/>
      <w:szCs w:val="32"/>
    </w:rPr>
  </w:style>
  <w:style w:type="paragraph" w:customStyle="1" w:styleId="73">
    <w:name w:val="缺省文本"/>
    <w:qFormat/>
    <w:uiPriority w:val="0"/>
    <w:pPr>
      <w:widowControl w:val="0"/>
      <w:autoSpaceDE w:val="0"/>
      <w:autoSpaceDN w:val="0"/>
      <w:adjustRightInd w:val="0"/>
    </w:pPr>
    <w:rPr>
      <w:rFonts w:ascii="Times New Roman" w:hAnsi="Times New Roman" w:eastAsia="宋体" w:cs="Times New Roman"/>
      <w:color w:val="000000"/>
      <w:sz w:val="24"/>
      <w:lang w:val="en-US" w:eastAsia="zh-CN" w:bidi="ar-SA"/>
    </w:rPr>
  </w:style>
  <w:style w:type="paragraph" w:customStyle="1" w:styleId="74">
    <w:name w:val="样式1_0"/>
    <w:basedOn w:val="75"/>
    <w:qFormat/>
    <w:uiPriority w:val="0"/>
    <w:pPr>
      <w:widowControl/>
      <w:tabs>
        <w:tab w:val="left" w:pos="420"/>
      </w:tabs>
      <w:adjustRightInd w:val="0"/>
      <w:snapToGrid w:val="0"/>
      <w:spacing w:before="0" w:after="0" w:line="360" w:lineRule="auto"/>
      <w:ind w:left="420" w:hanging="420"/>
      <w:jc w:val="center"/>
    </w:pPr>
    <w:rPr>
      <w:rFonts w:ascii="宋体" w:hAnsi="Arial" w:eastAsia="宋体"/>
      <w:bCs w:val="0"/>
      <w:szCs w:val="20"/>
    </w:rPr>
  </w:style>
  <w:style w:type="paragraph" w:customStyle="1" w:styleId="75">
    <w:name w:val="标题 2_0_0"/>
    <w:basedOn w:val="76"/>
    <w:next w:val="76"/>
    <w:semiHidden/>
    <w:unhideWhenUsed/>
    <w:qFormat/>
    <w:uiPriority w:val="9"/>
    <w:pPr>
      <w:keepNext/>
      <w:keepLines/>
      <w:spacing w:before="260" w:after="260" w:line="416" w:lineRule="auto"/>
      <w:outlineLvl w:val="1"/>
    </w:pPr>
    <w:rPr>
      <w:rFonts w:ascii="Cambria" w:hAnsi="Cambria"/>
      <w:b/>
      <w:bCs/>
      <w:kern w:val="0"/>
      <w:sz w:val="32"/>
      <w:szCs w:val="32"/>
    </w:rPr>
  </w:style>
  <w:style w:type="paragraph" w:customStyle="1" w:styleId="76">
    <w:name w:val="正文_4"/>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77">
    <w:name w:val="样式1_0_0"/>
    <w:basedOn w:val="78"/>
    <w:qFormat/>
    <w:uiPriority w:val="0"/>
    <w:pPr>
      <w:widowControl/>
      <w:tabs>
        <w:tab w:val="left" w:pos="420"/>
      </w:tabs>
      <w:adjustRightInd w:val="0"/>
      <w:snapToGrid w:val="0"/>
      <w:spacing w:before="0" w:after="0" w:line="360" w:lineRule="auto"/>
      <w:ind w:left="420" w:hanging="420"/>
      <w:jc w:val="center"/>
    </w:pPr>
    <w:rPr>
      <w:rFonts w:ascii="宋体" w:hAnsi="Arial" w:eastAsia="宋体"/>
      <w:bCs w:val="0"/>
      <w:szCs w:val="20"/>
    </w:rPr>
  </w:style>
  <w:style w:type="paragraph" w:customStyle="1" w:styleId="78">
    <w:name w:val="标题 2_1_0"/>
    <w:basedOn w:val="79"/>
    <w:next w:val="79"/>
    <w:semiHidden/>
    <w:unhideWhenUsed/>
    <w:qFormat/>
    <w:uiPriority w:val="9"/>
    <w:pPr>
      <w:keepNext/>
      <w:keepLines/>
      <w:spacing w:before="260" w:after="260" w:line="416" w:lineRule="auto"/>
      <w:outlineLvl w:val="1"/>
    </w:pPr>
    <w:rPr>
      <w:rFonts w:ascii="Cambria" w:hAnsi="Cambria"/>
      <w:b/>
      <w:bCs/>
      <w:kern w:val="0"/>
      <w:sz w:val="32"/>
      <w:szCs w:val="32"/>
    </w:rPr>
  </w:style>
  <w:style w:type="paragraph" w:customStyle="1" w:styleId="79">
    <w:name w:val="正文_5"/>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0">
    <w:name w:val="正文_6"/>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81">
    <w:name w:val="Normal_14"/>
    <w:qFormat/>
    <w:uiPriority w:val="0"/>
    <w:rPr>
      <w:rFonts w:ascii="Times New Roman" w:hAnsi="Times New Roman" w:eastAsia="宋体" w:cs="Times New Roman"/>
      <w:kern w:val="0"/>
      <w:sz w:val="21"/>
      <w:szCs w:val="20"/>
    </w:rPr>
  </w:style>
  <w:style w:type="paragraph" w:customStyle="1" w:styleId="82">
    <w:name w:val="正文_7"/>
    <w:qFormat/>
    <w:uiPriority w:val="0"/>
    <w:pPr>
      <w:widowControl w:val="0"/>
      <w:jc w:val="both"/>
    </w:pPr>
    <w:rPr>
      <w:rFonts w:ascii="Calibri" w:hAnsi="Calibri" w:eastAsia="宋体" w:cs="Times New Roman"/>
      <w:kern w:val="2"/>
      <w:sz w:val="21"/>
      <w:szCs w:val="22"/>
      <w:lang w:val="en-US" w:eastAsia="zh-CN" w:bidi="ar-SA"/>
    </w:rPr>
  </w:style>
  <w:style w:type="paragraph" w:customStyle="1" w:styleId="83">
    <w:name w:val="样式 样式 样式 左侧:  2 字符1 + 首行缩进:  2 字符1 + 首行缩进:  2 字符"/>
    <w:basedOn w:val="1"/>
    <w:qFormat/>
    <w:uiPriority w:val="0"/>
    <w:pPr>
      <w:widowControl/>
      <w:adjustRightInd w:val="0"/>
      <w:spacing w:before="60" w:after="120" w:line="440" w:lineRule="atLeast"/>
      <w:ind w:firstLine="480"/>
      <w:textAlignment w:val="baseline"/>
    </w:pPr>
    <w:rPr>
      <w:sz w:val="24"/>
      <w:szCs w:val="20"/>
    </w:rPr>
  </w:style>
  <w:style w:type="character" w:customStyle="1" w:styleId="84">
    <w:name w:val="font41"/>
    <w:basedOn w:val="25"/>
    <w:qFormat/>
    <w:uiPriority w:val="0"/>
    <w:rPr>
      <w:rFonts w:hint="eastAsia" w:ascii="仿宋" w:hAnsi="仿宋" w:eastAsia="仿宋" w:cs="仿宋"/>
      <w:color w:val="000000"/>
      <w:sz w:val="24"/>
      <w:szCs w:val="24"/>
      <w:u w:val="none"/>
    </w:rPr>
  </w:style>
  <w:style w:type="character" w:customStyle="1" w:styleId="85">
    <w:name w:val="font11"/>
    <w:basedOn w:val="25"/>
    <w:qFormat/>
    <w:uiPriority w:val="0"/>
    <w:rPr>
      <w:rFonts w:hint="eastAsia" w:ascii="仿宋" w:hAnsi="仿宋" w:eastAsia="仿宋" w:cs="仿宋"/>
      <w:color w:val="000000"/>
      <w:sz w:val="24"/>
      <w:szCs w:val="24"/>
      <w:u w:val="none"/>
    </w:rPr>
  </w:style>
  <w:style w:type="table" w:customStyle="1" w:styleId="86">
    <w:name w:val="Table Normal"/>
    <w:semiHidden/>
    <w:unhideWhenUsed/>
    <w:qFormat/>
    <w:uiPriority w:val="2"/>
    <w:pPr>
      <w:widowControl w:val="0"/>
      <w:autoSpaceDE w:val="0"/>
      <w:autoSpaceDN w:val="0"/>
    </w:pPr>
    <w:rPr>
      <w:rFonts w:asciiTheme="minorHAnsi" w:hAnsiTheme="minorHAnsi" w:eastAsiaTheme="minorEastAsia" w:cstheme="minorBidi"/>
      <w:sz w:val="22"/>
      <w:szCs w:val="22"/>
      <w:lang w:eastAsia="en-US"/>
    </w:rPr>
    <w:tblPr>
      <w:tblCellMar>
        <w:top w:w="0" w:type="dxa"/>
        <w:left w:w="0" w:type="dxa"/>
        <w:bottom w:w="0" w:type="dxa"/>
        <w:right w:w="0" w:type="dxa"/>
      </w:tblCellMar>
    </w:tblPr>
  </w:style>
  <w:style w:type="paragraph" w:customStyle="1" w:styleId="87">
    <w:name w:val="列表段落1"/>
    <w:basedOn w:val="1"/>
    <w:qFormat/>
    <w:uiPriority w:val="0"/>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1.xml"/><Relationship Id="rId7" Type="http://schemas.openxmlformats.org/officeDocument/2006/relationships/footer" Target="footer3.xml"/><Relationship Id="rId67" Type="http://schemas.openxmlformats.org/officeDocument/2006/relationships/fontTable" Target="fontTable.xml"/><Relationship Id="rId66" Type="http://schemas.openxmlformats.org/officeDocument/2006/relationships/numbering" Target="numbering.xml"/><Relationship Id="rId65" Type="http://schemas.openxmlformats.org/officeDocument/2006/relationships/customXml" Target="../customXml/item1.xml"/><Relationship Id="rId64" Type="http://schemas.openxmlformats.org/officeDocument/2006/relationships/image" Target="media/image49.jpeg"/><Relationship Id="rId63" Type="http://schemas.openxmlformats.org/officeDocument/2006/relationships/image" Target="media/image48.jpeg"/><Relationship Id="rId62" Type="http://schemas.openxmlformats.org/officeDocument/2006/relationships/image" Target="media/image47.jpeg"/><Relationship Id="rId61" Type="http://schemas.openxmlformats.org/officeDocument/2006/relationships/image" Target="media/image46.jpeg"/><Relationship Id="rId60" Type="http://schemas.openxmlformats.org/officeDocument/2006/relationships/image" Target="media/image45.jpeg"/><Relationship Id="rId6" Type="http://schemas.openxmlformats.org/officeDocument/2006/relationships/footer" Target="footer2.xml"/><Relationship Id="rId59" Type="http://schemas.openxmlformats.org/officeDocument/2006/relationships/image" Target="media/image44.jpeg"/><Relationship Id="rId58" Type="http://schemas.openxmlformats.org/officeDocument/2006/relationships/image" Target="media/image43.jpeg"/><Relationship Id="rId57" Type="http://schemas.openxmlformats.org/officeDocument/2006/relationships/image" Target="media/image42.jpeg"/><Relationship Id="rId56" Type="http://schemas.openxmlformats.org/officeDocument/2006/relationships/image" Target="media/image41.jpeg"/><Relationship Id="rId55" Type="http://schemas.openxmlformats.org/officeDocument/2006/relationships/image" Target="media/image40.jpeg"/><Relationship Id="rId54" Type="http://schemas.openxmlformats.org/officeDocument/2006/relationships/image" Target="media/image39.jpeg"/><Relationship Id="rId53" Type="http://schemas.openxmlformats.org/officeDocument/2006/relationships/image" Target="media/image38.jpeg"/><Relationship Id="rId52" Type="http://schemas.openxmlformats.org/officeDocument/2006/relationships/image" Target="media/image37.jpeg"/><Relationship Id="rId51" Type="http://schemas.openxmlformats.org/officeDocument/2006/relationships/image" Target="media/image36.jpeg"/><Relationship Id="rId50" Type="http://schemas.openxmlformats.org/officeDocument/2006/relationships/image" Target="media/image35.jpeg"/><Relationship Id="rId5" Type="http://schemas.openxmlformats.org/officeDocument/2006/relationships/footer" Target="footer1.xml"/><Relationship Id="rId49" Type="http://schemas.openxmlformats.org/officeDocument/2006/relationships/image" Target="media/image34.jpeg"/><Relationship Id="rId48" Type="http://schemas.openxmlformats.org/officeDocument/2006/relationships/image" Target="media/image33.jpeg"/><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endnotes" Target="endnotes.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footnotes" Target="footnotes.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jpeg"/><Relationship Id="rId2" Type="http://schemas.openxmlformats.org/officeDocument/2006/relationships/settings" Target="settings.xml"/><Relationship Id="rId19" Type="http://schemas.openxmlformats.org/officeDocument/2006/relationships/image" Target="media/image4.jpeg"/><Relationship Id="rId18" Type="http://schemas.openxmlformats.org/officeDocument/2006/relationships/image" Target="media/image3.jpe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9.xml"/><Relationship Id="rId13" Type="http://schemas.openxmlformats.org/officeDocument/2006/relationships/footer" Target="footer8.xml"/><Relationship Id="rId12" Type="http://schemas.openxmlformats.org/officeDocument/2006/relationships/footer" Target="footer7.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133</Pages>
  <Words>39795</Words>
  <Characters>43533</Characters>
  <Lines>0</Lines>
  <Paragraphs>0</Paragraphs>
  <TotalTime>3</TotalTime>
  <ScaleCrop>false</ScaleCrop>
  <LinksUpToDate>false</LinksUpToDate>
  <CharactersWithSpaces>45813</CharactersWithSpaces>
  <Application>WPS Office_11.1.0.12313_F1E327BC-269C-435d-A152-05C5408002CA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2021-06-29T03:21:00Z</dcterms:created>
  <dc:creator>颠簸。</dc:creator>
  <cp:lastModifiedBy>奥莎妆品</cp:lastModifiedBy>
  <cp:lastPrinted>2022-09-06T09:28:00Z</cp:lastPrinted>
  <dcterms:modified xsi:type="dcterms:W3CDTF">2022-09-06T11:41:53Z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2052-11.1.0.12313</vt:lpwstr>
  </property>
  <property fmtid="{D5CDD505-2E9C-101B-9397-08002B2CF9AE}" pid="3" name="ICV">
    <vt:lpwstr>F6DF5EB1AC3041BE898925C85CE224C2</vt:lpwstr>
  </property>
</Properties>
</file>