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DA6D8">
      <w:pPr>
        <w:keepNext w:val="0"/>
        <w:keepLines w:val="0"/>
        <w:pageBreakBefore w:val="0"/>
        <w:widowControl w:val="0"/>
        <w:kinsoku/>
        <w:wordWrap/>
        <w:overflowPunct/>
        <w:topLinePunct w:val="0"/>
        <w:bidi w:val="0"/>
        <w:snapToGrid/>
        <w:spacing w:line="700" w:lineRule="exact"/>
        <w:jc w:val="center"/>
        <w:textAlignment w:val="auto"/>
        <w:rPr>
          <w:rFonts w:hint="eastAsia" w:asciiTheme="minorEastAsia" w:hAnsiTheme="minorEastAsia" w:eastAsiaTheme="minorEastAsia" w:cstheme="minorEastAsia"/>
          <w:b w:val="0"/>
          <w:bCs/>
          <w:color w:val="auto"/>
          <w:sz w:val="32"/>
          <w:highlight w:val="none"/>
        </w:rPr>
      </w:pPr>
    </w:p>
    <w:p w14:paraId="42081C60">
      <w:pPr>
        <w:keepNext w:val="0"/>
        <w:keepLines w:val="0"/>
        <w:pageBreakBefore w:val="0"/>
        <w:widowControl w:val="0"/>
        <w:kinsoku/>
        <w:wordWrap/>
        <w:overflowPunct/>
        <w:topLinePunct w:val="0"/>
        <w:bidi w:val="0"/>
        <w:snapToGrid/>
        <w:spacing w:line="700" w:lineRule="exact"/>
        <w:jc w:val="center"/>
        <w:textAlignment w:val="auto"/>
        <w:rPr>
          <w:rFonts w:hint="eastAsia" w:asciiTheme="minorEastAsia" w:hAnsiTheme="minorEastAsia" w:eastAsiaTheme="minorEastAsia" w:cstheme="minorEastAsia"/>
          <w:b w:val="0"/>
          <w:bCs/>
          <w:color w:val="auto"/>
          <w:sz w:val="32"/>
          <w:highlight w:val="none"/>
        </w:rPr>
      </w:pPr>
      <w:r>
        <w:rPr>
          <w:rFonts w:hint="eastAsia" w:asciiTheme="minorEastAsia" w:hAnsiTheme="minorEastAsia" w:eastAsiaTheme="minorEastAsia" w:cstheme="minorEastAsia"/>
          <w:b w:val="0"/>
          <w:bCs/>
          <w:color w:val="auto"/>
          <w:sz w:val="32"/>
          <w:highlight w:val="none"/>
        </w:rPr>
        <w:t xml:space="preserve">  </w:t>
      </w:r>
    </w:p>
    <w:p w14:paraId="10ADE4A3">
      <w:pPr>
        <w:pStyle w:val="8"/>
        <w:keepNext w:val="0"/>
        <w:keepLines w:val="0"/>
        <w:pageBreakBefore w:val="0"/>
        <w:widowControl w:val="0"/>
        <w:kinsoku/>
        <w:wordWrap/>
        <w:overflowPunct/>
        <w:topLinePunct w:val="0"/>
        <w:bidi w:val="0"/>
        <w:snapToGrid/>
        <w:spacing w:line="700" w:lineRule="exact"/>
        <w:ind w:left="0" w:leftChars="0" w:firstLine="0" w:firstLineChars="0"/>
        <w:jc w:val="center"/>
        <w:textAlignment w:val="auto"/>
        <w:rPr>
          <w:rFonts w:hint="eastAsia" w:asciiTheme="minorEastAsia" w:hAnsiTheme="minorEastAsia" w:eastAsiaTheme="minorEastAsia" w:cstheme="minorEastAsia"/>
          <w:color w:val="auto"/>
          <w:sz w:val="40"/>
          <w:szCs w:val="28"/>
          <w:highlight w:val="none"/>
          <w:lang w:val="en-US" w:eastAsia="zh-CN"/>
        </w:rPr>
      </w:pPr>
      <w:r>
        <w:rPr>
          <w:rFonts w:hint="eastAsia" w:asciiTheme="minorEastAsia" w:hAnsiTheme="minorEastAsia" w:eastAsiaTheme="minorEastAsia" w:cstheme="minorEastAsia"/>
          <w:b/>
          <w:bCs/>
          <w:color w:val="auto"/>
          <w:sz w:val="52"/>
          <w:szCs w:val="40"/>
          <w:highlight w:val="none"/>
          <w:lang w:val="en-US" w:eastAsia="zh-CN"/>
        </w:rPr>
        <w:t>莎车县城市空气监测站设备更新项目</w:t>
      </w:r>
    </w:p>
    <w:p w14:paraId="39F1D05B">
      <w:pPr>
        <w:pStyle w:val="8"/>
        <w:keepNext w:val="0"/>
        <w:keepLines w:val="0"/>
        <w:pageBreakBefore w:val="0"/>
        <w:widowControl w:val="0"/>
        <w:kinsoku/>
        <w:wordWrap/>
        <w:overflowPunct/>
        <w:topLinePunct w:val="0"/>
        <w:bidi w:val="0"/>
        <w:snapToGrid/>
        <w:spacing w:line="360" w:lineRule="auto"/>
        <w:ind w:left="0" w:leftChars="0" w:firstLine="0" w:firstLineChars="0"/>
        <w:jc w:val="center"/>
        <w:textAlignment w:val="auto"/>
        <w:rPr>
          <w:rFonts w:hint="eastAsia" w:asciiTheme="minorEastAsia" w:hAnsiTheme="minorEastAsia" w:eastAsiaTheme="minorEastAsia" w:cstheme="minorEastAsia"/>
          <w:b/>
          <w:bCs w:val="0"/>
          <w:color w:val="auto"/>
          <w:sz w:val="44"/>
          <w:szCs w:val="44"/>
          <w:highlight w:val="none"/>
        </w:rPr>
      </w:pPr>
    </w:p>
    <w:p w14:paraId="72EA1902">
      <w:pPr>
        <w:pStyle w:val="8"/>
        <w:keepNext w:val="0"/>
        <w:keepLines w:val="0"/>
        <w:pageBreakBefore w:val="0"/>
        <w:widowControl w:val="0"/>
        <w:kinsoku/>
        <w:wordWrap/>
        <w:overflowPunct/>
        <w:topLinePunct w:val="0"/>
        <w:bidi w:val="0"/>
        <w:snapToGrid/>
        <w:spacing w:line="360" w:lineRule="auto"/>
        <w:ind w:left="0" w:leftChars="0" w:firstLine="0" w:firstLineChars="0"/>
        <w:jc w:val="center"/>
        <w:textAlignment w:val="auto"/>
        <w:rPr>
          <w:rFonts w:hint="eastAsia" w:asciiTheme="minorEastAsia" w:hAnsiTheme="minorEastAsia" w:eastAsiaTheme="minorEastAsia" w:cstheme="minorEastAsia"/>
          <w:b/>
          <w:bCs w:val="0"/>
          <w:color w:val="auto"/>
          <w:sz w:val="36"/>
          <w:szCs w:val="36"/>
          <w:highlight w:val="none"/>
          <w:lang w:val="en-US" w:eastAsia="zh-CN"/>
        </w:rPr>
      </w:pPr>
      <w:r>
        <w:rPr>
          <w:rFonts w:hint="eastAsia" w:asciiTheme="minorEastAsia" w:hAnsiTheme="minorEastAsia" w:eastAsiaTheme="minorEastAsia" w:cstheme="minorEastAsia"/>
          <w:b/>
          <w:bCs w:val="0"/>
          <w:color w:val="auto"/>
          <w:sz w:val="36"/>
          <w:szCs w:val="36"/>
          <w:highlight w:val="none"/>
        </w:rPr>
        <w:t>项目编号：</w:t>
      </w:r>
      <w:r>
        <w:rPr>
          <w:rFonts w:hint="eastAsia" w:asciiTheme="minorEastAsia" w:hAnsiTheme="minorEastAsia" w:eastAsiaTheme="minorEastAsia" w:cstheme="minorEastAsia"/>
          <w:b/>
          <w:bCs w:val="0"/>
          <w:color w:val="auto"/>
          <w:sz w:val="36"/>
          <w:szCs w:val="36"/>
          <w:highlight w:val="none"/>
          <w:lang w:val="en-US" w:eastAsia="zh-CN"/>
        </w:rPr>
        <w:t>XJWSH(JZXTP)2025-03号</w:t>
      </w:r>
    </w:p>
    <w:p w14:paraId="5C125CA4">
      <w:pPr>
        <w:pStyle w:val="8"/>
        <w:pageBreakBefore w:val="0"/>
        <w:kinsoku/>
        <w:wordWrap/>
        <w:overflowPunct/>
        <w:topLinePunct w:val="0"/>
        <w:bidi w:val="0"/>
        <w:spacing w:line="500" w:lineRule="exact"/>
        <w:ind w:left="0" w:leftChars="0" w:firstLine="0" w:firstLineChars="0"/>
        <w:jc w:val="both"/>
        <w:textAlignment w:val="auto"/>
        <w:rPr>
          <w:rFonts w:hint="eastAsia" w:asciiTheme="minorEastAsia" w:hAnsiTheme="minorEastAsia" w:eastAsiaTheme="minorEastAsia" w:cstheme="minorEastAsia"/>
          <w:b/>
          <w:bCs w:val="0"/>
          <w:color w:val="auto"/>
          <w:sz w:val="36"/>
          <w:szCs w:val="36"/>
          <w:highlight w:val="none"/>
        </w:rPr>
      </w:pPr>
    </w:p>
    <w:p w14:paraId="6CE1BB32">
      <w:pPr>
        <w:pStyle w:val="8"/>
        <w:pageBreakBefore w:val="0"/>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val="0"/>
          <w:bCs/>
          <w:color w:val="auto"/>
          <w:sz w:val="28"/>
          <w:szCs w:val="28"/>
          <w:highlight w:val="none"/>
        </w:rPr>
      </w:pPr>
      <w:r>
        <w:rPr>
          <w:rFonts w:hint="eastAsia" w:asciiTheme="minorEastAsia" w:hAnsiTheme="minorEastAsia" w:eastAsiaTheme="minorEastAsia" w:cstheme="minorEastAsia"/>
          <w:b/>
          <w:bCs w:val="0"/>
          <w:color w:val="auto"/>
          <w:sz w:val="48"/>
          <w:szCs w:val="48"/>
          <w:highlight w:val="none"/>
        </w:rPr>
        <w:t>竞争性谈判文件</w:t>
      </w:r>
    </w:p>
    <w:p w14:paraId="53053718">
      <w:pPr>
        <w:pageBreakBefore w:val="0"/>
        <w:kinsoku/>
        <w:wordWrap/>
        <w:overflowPunct/>
        <w:topLinePunct w:val="0"/>
        <w:bidi w:val="0"/>
        <w:spacing w:line="500" w:lineRule="exact"/>
        <w:ind w:firstLine="960" w:firstLineChars="400"/>
        <w:textAlignment w:val="auto"/>
        <w:rPr>
          <w:rFonts w:hint="eastAsia" w:asciiTheme="minorEastAsia" w:hAnsiTheme="minorEastAsia" w:eastAsiaTheme="minorEastAsia" w:cstheme="minorEastAsia"/>
          <w:b w:val="0"/>
          <w:bCs/>
          <w:color w:val="auto"/>
          <w:sz w:val="24"/>
          <w:szCs w:val="24"/>
          <w:highlight w:val="none"/>
        </w:rPr>
      </w:pPr>
    </w:p>
    <w:p w14:paraId="0E967A26">
      <w:pPr>
        <w:pStyle w:val="4"/>
        <w:rPr>
          <w:rFonts w:hint="eastAsia" w:asciiTheme="minorEastAsia" w:hAnsiTheme="minorEastAsia" w:eastAsiaTheme="minorEastAsia" w:cstheme="minorEastAsia"/>
          <w:color w:val="auto"/>
          <w:highlight w:val="none"/>
        </w:rPr>
      </w:pPr>
    </w:p>
    <w:p w14:paraId="19CB4C1E">
      <w:pPr>
        <w:pStyle w:val="43"/>
        <w:rPr>
          <w:rFonts w:hint="eastAsia" w:asciiTheme="minorEastAsia" w:hAnsiTheme="minorEastAsia" w:eastAsiaTheme="minorEastAsia" w:cstheme="minorEastAsia"/>
          <w:color w:val="auto"/>
          <w:highlight w:val="none"/>
        </w:rPr>
      </w:pPr>
    </w:p>
    <w:p w14:paraId="416B4E46">
      <w:pPr>
        <w:pageBreakBefore w:val="0"/>
        <w:kinsoku/>
        <w:wordWrap/>
        <w:overflowPunct/>
        <w:topLinePunct w:val="0"/>
        <w:bidi w:val="0"/>
        <w:spacing w:line="500" w:lineRule="exact"/>
        <w:ind w:firstLine="1124" w:firstLineChars="400"/>
        <w:textAlignment w:val="auto"/>
        <w:rPr>
          <w:rFonts w:hint="eastAsia" w:asciiTheme="minorEastAsia" w:hAnsiTheme="minorEastAsia" w:eastAsiaTheme="minorEastAsia" w:cstheme="minorEastAsia"/>
          <w:b/>
          <w:bCs w:val="0"/>
          <w:color w:val="auto"/>
          <w:sz w:val="28"/>
          <w:szCs w:val="28"/>
          <w:highlight w:val="none"/>
          <w:u w:val="single"/>
          <w:lang w:val="en-US" w:eastAsia="zh-CN"/>
        </w:rPr>
      </w:pPr>
      <w:r>
        <w:rPr>
          <w:rFonts w:hint="eastAsia" w:asciiTheme="minorEastAsia" w:hAnsiTheme="minorEastAsia" w:eastAsiaTheme="minorEastAsia" w:cstheme="minorEastAsia"/>
          <w:b/>
          <w:bCs w:val="0"/>
          <w:color w:val="auto"/>
          <w:sz w:val="28"/>
          <w:szCs w:val="28"/>
          <w:highlight w:val="none"/>
        </w:rPr>
        <w:t>采</w:t>
      </w:r>
      <w:r>
        <w:rPr>
          <w:rFonts w:hint="eastAsia" w:asciiTheme="minorEastAsia" w:hAnsiTheme="minorEastAsia" w:eastAsiaTheme="minorEastAsia" w:cstheme="minorEastAsia"/>
          <w:b/>
          <w:bCs w:val="0"/>
          <w:color w:val="auto"/>
          <w:sz w:val="28"/>
          <w:szCs w:val="28"/>
          <w:highlight w:val="none"/>
          <w:lang w:val="en-US" w:eastAsia="zh-CN"/>
        </w:rPr>
        <w:t xml:space="preserve"> </w:t>
      </w:r>
      <w:r>
        <w:rPr>
          <w:rFonts w:hint="eastAsia" w:asciiTheme="minorEastAsia" w:hAnsiTheme="minorEastAsia" w:eastAsiaTheme="minorEastAsia" w:cstheme="minorEastAsia"/>
          <w:b/>
          <w:bCs w:val="0"/>
          <w:color w:val="auto"/>
          <w:sz w:val="28"/>
          <w:szCs w:val="28"/>
          <w:highlight w:val="none"/>
        </w:rPr>
        <w:t>购</w:t>
      </w:r>
      <w:r>
        <w:rPr>
          <w:rFonts w:hint="eastAsia" w:asciiTheme="minorEastAsia" w:hAnsiTheme="minorEastAsia" w:eastAsiaTheme="minorEastAsia" w:cstheme="minorEastAsia"/>
          <w:b/>
          <w:bCs w:val="0"/>
          <w:color w:val="auto"/>
          <w:sz w:val="28"/>
          <w:szCs w:val="28"/>
          <w:highlight w:val="none"/>
          <w:lang w:val="en-US" w:eastAsia="zh-CN"/>
        </w:rPr>
        <w:t xml:space="preserve"> 人</w:t>
      </w:r>
      <w:r>
        <w:rPr>
          <w:rFonts w:hint="eastAsia" w:asciiTheme="minorEastAsia" w:hAnsiTheme="minorEastAsia" w:eastAsiaTheme="minorEastAsia" w:cstheme="minorEastAsia"/>
          <w:b/>
          <w:bCs w:val="0"/>
          <w:color w:val="auto"/>
          <w:sz w:val="28"/>
          <w:szCs w:val="28"/>
          <w:highlight w:val="none"/>
        </w:rPr>
        <w:t>：</w:t>
      </w:r>
      <w:r>
        <w:rPr>
          <w:rFonts w:hint="eastAsia" w:asciiTheme="minorEastAsia" w:hAnsiTheme="minorEastAsia" w:eastAsiaTheme="minorEastAsia" w:cstheme="minorEastAsia"/>
          <w:b/>
          <w:bCs w:val="0"/>
          <w:color w:val="auto"/>
          <w:sz w:val="28"/>
          <w:szCs w:val="28"/>
          <w:highlight w:val="none"/>
          <w:u w:val="single"/>
          <w:lang w:val="en-US" w:eastAsia="zh-CN"/>
        </w:rPr>
        <w:t xml:space="preserve">       莎车县市场监督管理局      </w:t>
      </w:r>
    </w:p>
    <w:p w14:paraId="0324FCF0">
      <w:pPr>
        <w:pageBreakBefore w:val="0"/>
        <w:kinsoku/>
        <w:wordWrap/>
        <w:overflowPunct/>
        <w:topLinePunct w:val="0"/>
        <w:bidi w:val="0"/>
        <w:spacing w:line="500" w:lineRule="exact"/>
        <w:ind w:firstLine="1124" w:firstLineChars="400"/>
        <w:textAlignment w:val="auto"/>
        <w:rPr>
          <w:rFonts w:hint="eastAsia" w:asciiTheme="minorEastAsia" w:hAnsiTheme="minorEastAsia" w:eastAsiaTheme="minorEastAsia" w:cstheme="minorEastAsia"/>
          <w:b/>
          <w:bCs w:val="0"/>
          <w:color w:val="auto"/>
          <w:sz w:val="28"/>
          <w:szCs w:val="28"/>
          <w:highlight w:val="none"/>
          <w:u w:val="single"/>
          <w:lang w:val="en-US"/>
        </w:rPr>
      </w:pPr>
      <w:r>
        <w:rPr>
          <w:rFonts w:hint="eastAsia" w:asciiTheme="minorEastAsia" w:hAnsiTheme="minorEastAsia" w:eastAsiaTheme="minorEastAsia" w:cstheme="minorEastAsia"/>
          <w:b/>
          <w:bCs w:val="0"/>
          <w:color w:val="auto"/>
          <w:sz w:val="28"/>
          <w:szCs w:val="28"/>
          <w:highlight w:val="none"/>
        </w:rPr>
        <w:t>联</w:t>
      </w:r>
      <w:r>
        <w:rPr>
          <w:rFonts w:hint="eastAsia" w:asciiTheme="minorEastAsia" w:hAnsiTheme="minorEastAsia" w:eastAsiaTheme="minorEastAsia" w:cstheme="minorEastAsia"/>
          <w:b/>
          <w:bCs w:val="0"/>
          <w:color w:val="auto"/>
          <w:sz w:val="28"/>
          <w:szCs w:val="28"/>
          <w:highlight w:val="none"/>
          <w:lang w:val="en-US" w:eastAsia="zh-CN"/>
        </w:rPr>
        <w:t xml:space="preserve"> </w:t>
      </w:r>
      <w:r>
        <w:rPr>
          <w:rFonts w:hint="eastAsia" w:asciiTheme="minorEastAsia" w:hAnsiTheme="minorEastAsia" w:eastAsiaTheme="minorEastAsia" w:cstheme="minorEastAsia"/>
          <w:b/>
          <w:bCs w:val="0"/>
          <w:color w:val="auto"/>
          <w:sz w:val="28"/>
          <w:szCs w:val="28"/>
          <w:highlight w:val="none"/>
        </w:rPr>
        <w:t>系</w:t>
      </w:r>
      <w:r>
        <w:rPr>
          <w:rFonts w:hint="eastAsia" w:asciiTheme="minorEastAsia" w:hAnsiTheme="minorEastAsia" w:eastAsiaTheme="minorEastAsia" w:cstheme="minorEastAsia"/>
          <w:b/>
          <w:bCs w:val="0"/>
          <w:color w:val="auto"/>
          <w:sz w:val="28"/>
          <w:szCs w:val="28"/>
          <w:highlight w:val="none"/>
          <w:lang w:val="en-US" w:eastAsia="zh-CN"/>
        </w:rPr>
        <w:t xml:space="preserve"> </w:t>
      </w:r>
      <w:r>
        <w:rPr>
          <w:rFonts w:hint="eastAsia" w:asciiTheme="minorEastAsia" w:hAnsiTheme="minorEastAsia" w:eastAsiaTheme="minorEastAsia" w:cstheme="minorEastAsia"/>
          <w:b/>
          <w:bCs w:val="0"/>
          <w:color w:val="auto"/>
          <w:sz w:val="28"/>
          <w:szCs w:val="28"/>
          <w:highlight w:val="none"/>
        </w:rPr>
        <w:t>人：</w:t>
      </w:r>
      <w:r>
        <w:rPr>
          <w:rFonts w:hint="eastAsia" w:asciiTheme="minorEastAsia" w:hAnsiTheme="minorEastAsia" w:eastAsiaTheme="minorEastAsia" w:cstheme="minorEastAsia"/>
          <w:b/>
          <w:bCs w:val="0"/>
          <w:color w:val="auto"/>
          <w:sz w:val="28"/>
          <w:szCs w:val="28"/>
          <w:highlight w:val="none"/>
          <w:u w:val="single"/>
          <w:lang w:val="en-US" w:eastAsia="zh-CN"/>
        </w:rPr>
        <w:t xml:space="preserve">               杨林              </w:t>
      </w:r>
    </w:p>
    <w:p w14:paraId="0378F494">
      <w:pPr>
        <w:pageBreakBefore w:val="0"/>
        <w:kinsoku/>
        <w:wordWrap/>
        <w:overflowPunct/>
        <w:topLinePunct w:val="0"/>
        <w:bidi w:val="0"/>
        <w:spacing w:line="500" w:lineRule="exact"/>
        <w:ind w:firstLine="1124" w:firstLineChars="400"/>
        <w:textAlignment w:val="auto"/>
        <w:rPr>
          <w:rFonts w:hint="eastAsia" w:asciiTheme="minorEastAsia" w:hAnsiTheme="minorEastAsia" w:eastAsiaTheme="minorEastAsia" w:cstheme="minorEastAsia"/>
          <w:b/>
          <w:bCs/>
          <w:color w:val="auto"/>
          <w:kern w:val="0"/>
          <w:sz w:val="28"/>
          <w:szCs w:val="28"/>
          <w:highlight w:val="none"/>
          <w:u w:val="single"/>
          <w:lang w:val="en-US" w:eastAsia="zh-CN" w:bidi="ar"/>
        </w:rPr>
      </w:pPr>
      <w:r>
        <w:rPr>
          <w:rFonts w:hint="eastAsia" w:asciiTheme="minorEastAsia" w:hAnsiTheme="minorEastAsia" w:eastAsiaTheme="minorEastAsia" w:cstheme="minorEastAsia"/>
          <w:b/>
          <w:bCs w:val="0"/>
          <w:color w:val="auto"/>
          <w:sz w:val="28"/>
          <w:szCs w:val="28"/>
          <w:highlight w:val="none"/>
        </w:rPr>
        <w:t>联系电话：</w:t>
      </w:r>
      <w:r>
        <w:rPr>
          <w:rFonts w:hint="eastAsia" w:asciiTheme="minorEastAsia" w:hAnsiTheme="minorEastAsia" w:eastAsiaTheme="minorEastAsia" w:cstheme="minorEastAsia"/>
          <w:b/>
          <w:bCs w:val="0"/>
          <w:color w:val="auto"/>
          <w:sz w:val="28"/>
          <w:szCs w:val="28"/>
          <w:highlight w:val="none"/>
          <w:u w:val="single"/>
          <w:lang w:val="en-US" w:eastAsia="zh-CN"/>
        </w:rPr>
        <w:t xml:space="preserve">          15001471701</w:t>
      </w:r>
      <w:r>
        <w:rPr>
          <w:rFonts w:hint="eastAsia" w:asciiTheme="minorEastAsia" w:hAnsiTheme="minorEastAsia" w:eastAsiaTheme="minorEastAsia" w:cstheme="minorEastAsia"/>
          <w:b/>
          <w:bCs/>
          <w:color w:val="auto"/>
          <w:kern w:val="0"/>
          <w:sz w:val="28"/>
          <w:szCs w:val="28"/>
          <w:highlight w:val="none"/>
          <w:u w:val="single"/>
          <w:lang w:val="en-US" w:eastAsia="zh-CN" w:bidi="ar"/>
        </w:rPr>
        <w:t xml:space="preserve">            </w:t>
      </w:r>
    </w:p>
    <w:p w14:paraId="27E63D8B">
      <w:pPr>
        <w:pStyle w:val="11"/>
        <w:rPr>
          <w:rFonts w:hint="eastAsia" w:asciiTheme="minorEastAsia" w:hAnsiTheme="minorEastAsia" w:eastAsiaTheme="minorEastAsia" w:cstheme="minorEastAsia"/>
          <w:color w:val="auto"/>
          <w:highlight w:val="none"/>
        </w:rPr>
      </w:pPr>
    </w:p>
    <w:p w14:paraId="3536EEA5">
      <w:pPr>
        <w:pageBreakBefore w:val="0"/>
        <w:kinsoku/>
        <w:wordWrap/>
        <w:overflowPunct/>
        <w:topLinePunct w:val="0"/>
        <w:bidi w:val="0"/>
        <w:spacing w:line="500" w:lineRule="exact"/>
        <w:ind w:firstLine="1124" w:firstLineChars="400"/>
        <w:textAlignment w:val="auto"/>
        <w:rPr>
          <w:rFonts w:hint="eastAsia" w:asciiTheme="minorEastAsia" w:hAnsiTheme="minorEastAsia" w:eastAsiaTheme="minorEastAsia" w:cstheme="minorEastAsia"/>
          <w:b/>
          <w:bCs w:val="0"/>
          <w:color w:val="auto"/>
          <w:sz w:val="28"/>
          <w:szCs w:val="28"/>
          <w:highlight w:val="none"/>
        </w:rPr>
      </w:pPr>
    </w:p>
    <w:p w14:paraId="1D5887B5">
      <w:pPr>
        <w:pageBreakBefore w:val="0"/>
        <w:kinsoku/>
        <w:wordWrap/>
        <w:overflowPunct/>
        <w:topLinePunct w:val="0"/>
        <w:bidi w:val="0"/>
        <w:spacing w:line="500" w:lineRule="exact"/>
        <w:ind w:firstLine="1124" w:firstLineChars="400"/>
        <w:textAlignment w:val="auto"/>
        <w:rPr>
          <w:rFonts w:hint="eastAsia" w:asciiTheme="minorEastAsia" w:hAnsiTheme="minorEastAsia" w:eastAsiaTheme="minorEastAsia" w:cstheme="minorEastAsia"/>
          <w:b/>
          <w:bCs w:val="0"/>
          <w:color w:val="auto"/>
          <w:sz w:val="28"/>
          <w:szCs w:val="28"/>
          <w:highlight w:val="none"/>
        </w:rPr>
      </w:pPr>
    </w:p>
    <w:p w14:paraId="4FD47891">
      <w:pPr>
        <w:pageBreakBefore w:val="0"/>
        <w:kinsoku/>
        <w:wordWrap/>
        <w:overflowPunct/>
        <w:topLinePunct w:val="0"/>
        <w:bidi w:val="0"/>
        <w:spacing w:line="500" w:lineRule="exact"/>
        <w:ind w:firstLine="1124" w:firstLineChars="400"/>
        <w:textAlignment w:val="auto"/>
        <w:rPr>
          <w:rFonts w:hint="eastAsia" w:asciiTheme="minorEastAsia" w:hAnsiTheme="minorEastAsia" w:eastAsiaTheme="minorEastAsia" w:cstheme="minorEastAsia"/>
          <w:b/>
          <w:bCs w:val="0"/>
          <w:color w:val="auto"/>
          <w:sz w:val="28"/>
          <w:szCs w:val="28"/>
          <w:highlight w:val="none"/>
        </w:rPr>
      </w:pPr>
    </w:p>
    <w:p w14:paraId="1C6E8D91">
      <w:pPr>
        <w:pageBreakBefore w:val="0"/>
        <w:kinsoku/>
        <w:wordWrap/>
        <w:overflowPunct/>
        <w:topLinePunct w:val="0"/>
        <w:bidi w:val="0"/>
        <w:spacing w:line="500" w:lineRule="exact"/>
        <w:ind w:firstLine="1124" w:firstLineChars="400"/>
        <w:textAlignment w:val="auto"/>
        <w:rPr>
          <w:rFonts w:hint="eastAsia" w:asciiTheme="minorEastAsia" w:hAnsiTheme="minorEastAsia" w:eastAsiaTheme="minorEastAsia" w:cstheme="minorEastAsia"/>
          <w:b/>
          <w:bCs w:val="0"/>
          <w:color w:val="auto"/>
          <w:sz w:val="28"/>
          <w:szCs w:val="28"/>
          <w:highlight w:val="none"/>
          <w:lang w:val="en-US"/>
        </w:rPr>
      </w:pPr>
      <w:r>
        <w:rPr>
          <w:rFonts w:hint="eastAsia" w:asciiTheme="minorEastAsia" w:hAnsiTheme="minorEastAsia" w:eastAsiaTheme="minorEastAsia" w:cstheme="minorEastAsia"/>
          <w:b/>
          <w:bCs w:val="0"/>
          <w:color w:val="auto"/>
          <w:sz w:val="28"/>
          <w:szCs w:val="28"/>
          <w:highlight w:val="none"/>
        </w:rPr>
        <w:t>代理机构：</w:t>
      </w:r>
      <w:r>
        <w:rPr>
          <w:rFonts w:hint="eastAsia" w:asciiTheme="minorEastAsia" w:hAnsiTheme="minorEastAsia" w:eastAsiaTheme="minorEastAsia" w:cstheme="minorEastAsia"/>
          <w:b/>
          <w:bCs w:val="0"/>
          <w:color w:val="auto"/>
          <w:sz w:val="28"/>
          <w:szCs w:val="28"/>
          <w:highlight w:val="none"/>
          <w:u w:val="single"/>
          <w:lang w:val="en-US" w:eastAsia="zh-CN"/>
        </w:rPr>
        <w:t xml:space="preserve">   </w:t>
      </w:r>
      <w:r>
        <w:rPr>
          <w:rFonts w:hint="eastAsia" w:asciiTheme="minorEastAsia" w:hAnsiTheme="minorEastAsia" w:eastAsiaTheme="minorEastAsia" w:cstheme="minorEastAsia"/>
          <w:b/>
          <w:bCs w:val="0"/>
          <w:color w:val="auto"/>
          <w:sz w:val="28"/>
          <w:szCs w:val="28"/>
          <w:highlight w:val="none"/>
          <w:u w:val="single"/>
        </w:rPr>
        <w:t xml:space="preserve"> </w:t>
      </w:r>
      <w:r>
        <w:rPr>
          <w:rFonts w:hint="eastAsia" w:asciiTheme="minorEastAsia" w:hAnsiTheme="minorEastAsia" w:eastAsiaTheme="minorEastAsia" w:cstheme="minorEastAsia"/>
          <w:b/>
          <w:bCs w:val="0"/>
          <w:color w:val="auto"/>
          <w:sz w:val="28"/>
          <w:szCs w:val="28"/>
          <w:highlight w:val="none"/>
          <w:u w:val="single"/>
          <w:lang w:val="en-US" w:eastAsia="zh-CN"/>
        </w:rPr>
        <w:t xml:space="preserve">新疆万士和项目管理有限公司   </w:t>
      </w:r>
    </w:p>
    <w:p w14:paraId="7B59E843">
      <w:pPr>
        <w:pageBreakBefore w:val="0"/>
        <w:kinsoku/>
        <w:wordWrap/>
        <w:overflowPunct/>
        <w:topLinePunct w:val="0"/>
        <w:bidi w:val="0"/>
        <w:spacing w:line="500" w:lineRule="exact"/>
        <w:ind w:firstLine="1124" w:firstLineChars="400"/>
        <w:textAlignment w:val="auto"/>
        <w:rPr>
          <w:rFonts w:hint="eastAsia" w:asciiTheme="minorEastAsia" w:hAnsiTheme="minorEastAsia" w:eastAsiaTheme="minorEastAsia" w:cstheme="minorEastAsia"/>
          <w:b/>
          <w:bCs w:val="0"/>
          <w:color w:val="auto"/>
          <w:sz w:val="28"/>
          <w:szCs w:val="28"/>
          <w:highlight w:val="none"/>
          <w:lang w:val="en-US" w:eastAsia="zh-CN"/>
        </w:rPr>
      </w:pPr>
      <w:r>
        <w:rPr>
          <w:rFonts w:hint="eastAsia" w:asciiTheme="minorEastAsia" w:hAnsiTheme="minorEastAsia" w:eastAsiaTheme="minorEastAsia" w:cstheme="minorEastAsia"/>
          <w:b/>
          <w:bCs w:val="0"/>
          <w:color w:val="auto"/>
          <w:sz w:val="28"/>
          <w:szCs w:val="28"/>
          <w:highlight w:val="none"/>
        </w:rPr>
        <w:t>联</w:t>
      </w:r>
      <w:r>
        <w:rPr>
          <w:rFonts w:hint="eastAsia" w:asciiTheme="minorEastAsia" w:hAnsiTheme="minorEastAsia" w:eastAsiaTheme="minorEastAsia" w:cstheme="minorEastAsia"/>
          <w:b/>
          <w:bCs w:val="0"/>
          <w:color w:val="auto"/>
          <w:sz w:val="28"/>
          <w:szCs w:val="28"/>
          <w:highlight w:val="none"/>
          <w:lang w:val="en-US" w:eastAsia="zh-CN"/>
        </w:rPr>
        <w:t xml:space="preserve"> </w:t>
      </w:r>
      <w:r>
        <w:rPr>
          <w:rFonts w:hint="eastAsia" w:asciiTheme="minorEastAsia" w:hAnsiTheme="minorEastAsia" w:eastAsiaTheme="minorEastAsia" w:cstheme="minorEastAsia"/>
          <w:b/>
          <w:bCs w:val="0"/>
          <w:color w:val="auto"/>
          <w:sz w:val="28"/>
          <w:szCs w:val="28"/>
          <w:highlight w:val="none"/>
        </w:rPr>
        <w:t>系</w:t>
      </w:r>
      <w:r>
        <w:rPr>
          <w:rFonts w:hint="eastAsia" w:asciiTheme="minorEastAsia" w:hAnsiTheme="minorEastAsia" w:eastAsiaTheme="minorEastAsia" w:cstheme="minorEastAsia"/>
          <w:b/>
          <w:bCs w:val="0"/>
          <w:color w:val="auto"/>
          <w:sz w:val="28"/>
          <w:szCs w:val="28"/>
          <w:highlight w:val="none"/>
          <w:lang w:val="en-US" w:eastAsia="zh-CN"/>
        </w:rPr>
        <w:t xml:space="preserve"> </w:t>
      </w:r>
      <w:r>
        <w:rPr>
          <w:rFonts w:hint="eastAsia" w:asciiTheme="minorEastAsia" w:hAnsiTheme="minorEastAsia" w:eastAsiaTheme="minorEastAsia" w:cstheme="minorEastAsia"/>
          <w:b/>
          <w:bCs w:val="0"/>
          <w:color w:val="auto"/>
          <w:sz w:val="28"/>
          <w:szCs w:val="28"/>
          <w:highlight w:val="none"/>
        </w:rPr>
        <w:t xml:space="preserve">人： </w:t>
      </w:r>
      <w:r>
        <w:rPr>
          <w:rFonts w:hint="eastAsia" w:asciiTheme="minorEastAsia" w:hAnsiTheme="minorEastAsia" w:eastAsiaTheme="minorEastAsia" w:cstheme="minorEastAsia"/>
          <w:b/>
          <w:bCs w:val="0"/>
          <w:color w:val="auto"/>
          <w:sz w:val="28"/>
          <w:szCs w:val="28"/>
          <w:highlight w:val="none"/>
          <w:u w:val="single"/>
        </w:rPr>
        <w:t xml:space="preserve">      </w:t>
      </w:r>
      <w:r>
        <w:rPr>
          <w:rFonts w:hint="eastAsia" w:asciiTheme="minorEastAsia" w:hAnsiTheme="minorEastAsia" w:eastAsiaTheme="minorEastAsia" w:cstheme="minorEastAsia"/>
          <w:b/>
          <w:bCs w:val="0"/>
          <w:color w:val="auto"/>
          <w:sz w:val="28"/>
          <w:szCs w:val="28"/>
          <w:highlight w:val="none"/>
          <w:u w:val="single"/>
          <w:lang w:val="en-US" w:eastAsia="zh-CN"/>
        </w:rPr>
        <w:t xml:space="preserve">   麦热丹·麦麦提       </w:t>
      </w:r>
      <w:r>
        <w:rPr>
          <w:rFonts w:hint="eastAsia" w:asciiTheme="minorEastAsia" w:hAnsiTheme="minorEastAsia" w:eastAsiaTheme="minorEastAsia" w:cstheme="minorEastAsia"/>
          <w:b/>
          <w:bCs w:val="0"/>
          <w:color w:val="auto"/>
          <w:sz w:val="28"/>
          <w:szCs w:val="28"/>
          <w:highlight w:val="none"/>
          <w:u w:val="single"/>
        </w:rPr>
        <w:t xml:space="preserve">  </w:t>
      </w:r>
    </w:p>
    <w:p w14:paraId="6B209D9A">
      <w:pPr>
        <w:pageBreakBefore w:val="0"/>
        <w:kinsoku/>
        <w:wordWrap/>
        <w:overflowPunct/>
        <w:topLinePunct w:val="0"/>
        <w:bidi w:val="0"/>
        <w:spacing w:line="500" w:lineRule="exact"/>
        <w:ind w:firstLine="1124" w:firstLineChars="400"/>
        <w:textAlignment w:val="auto"/>
        <w:rPr>
          <w:rFonts w:hint="eastAsia" w:asciiTheme="minorEastAsia" w:hAnsiTheme="minorEastAsia" w:eastAsiaTheme="minorEastAsia" w:cstheme="minorEastAsia"/>
          <w:b/>
          <w:bCs w:val="0"/>
          <w:color w:val="auto"/>
          <w:sz w:val="28"/>
          <w:szCs w:val="28"/>
          <w:highlight w:val="none"/>
        </w:rPr>
      </w:pPr>
      <w:r>
        <w:rPr>
          <w:rFonts w:hint="eastAsia" w:asciiTheme="minorEastAsia" w:hAnsiTheme="minorEastAsia" w:eastAsiaTheme="minorEastAsia" w:cstheme="minorEastAsia"/>
          <w:b/>
          <w:bCs w:val="0"/>
          <w:color w:val="auto"/>
          <w:sz w:val="28"/>
          <w:szCs w:val="28"/>
          <w:highlight w:val="none"/>
        </w:rPr>
        <w:t xml:space="preserve">联系电话： </w:t>
      </w:r>
      <w:r>
        <w:rPr>
          <w:rFonts w:hint="eastAsia" w:asciiTheme="minorEastAsia" w:hAnsiTheme="minorEastAsia" w:eastAsiaTheme="minorEastAsia" w:cstheme="minorEastAsia"/>
          <w:b/>
          <w:bCs w:val="0"/>
          <w:color w:val="auto"/>
          <w:sz w:val="28"/>
          <w:szCs w:val="28"/>
          <w:highlight w:val="none"/>
          <w:u w:val="single"/>
        </w:rPr>
        <w:t xml:space="preserve">    </w:t>
      </w:r>
      <w:r>
        <w:rPr>
          <w:rFonts w:hint="eastAsia" w:asciiTheme="minorEastAsia" w:hAnsiTheme="minorEastAsia" w:eastAsiaTheme="minorEastAsia" w:cstheme="minorEastAsia"/>
          <w:b/>
          <w:bCs w:val="0"/>
          <w:color w:val="auto"/>
          <w:sz w:val="28"/>
          <w:szCs w:val="28"/>
          <w:highlight w:val="none"/>
          <w:u w:val="single"/>
          <w:lang w:eastAsia="zh-CN"/>
        </w:rPr>
        <w:t xml:space="preserve"> </w:t>
      </w:r>
      <w:r>
        <w:rPr>
          <w:rFonts w:hint="eastAsia" w:asciiTheme="minorEastAsia" w:hAnsiTheme="minorEastAsia" w:eastAsiaTheme="minorEastAsia" w:cstheme="minorEastAsia"/>
          <w:b/>
          <w:bCs w:val="0"/>
          <w:color w:val="auto"/>
          <w:sz w:val="28"/>
          <w:szCs w:val="28"/>
          <w:highlight w:val="none"/>
          <w:u w:val="single"/>
          <w:lang w:val="en-US" w:eastAsia="zh-CN"/>
        </w:rPr>
        <w:t xml:space="preserve">     13565380155</w:t>
      </w:r>
      <w:r>
        <w:rPr>
          <w:rFonts w:hint="eastAsia" w:asciiTheme="minorEastAsia" w:hAnsiTheme="minorEastAsia" w:eastAsiaTheme="minorEastAsia" w:cstheme="minorEastAsia"/>
          <w:b/>
          <w:bCs w:val="0"/>
          <w:color w:val="auto"/>
          <w:sz w:val="28"/>
          <w:szCs w:val="28"/>
          <w:highlight w:val="none"/>
          <w:u w:val="single"/>
          <w:lang w:eastAsia="zh-CN"/>
        </w:rPr>
        <w:t xml:space="preserve"> </w:t>
      </w:r>
      <w:r>
        <w:rPr>
          <w:rFonts w:hint="eastAsia" w:asciiTheme="minorEastAsia" w:hAnsiTheme="minorEastAsia" w:eastAsiaTheme="minorEastAsia" w:cstheme="minorEastAsia"/>
          <w:b/>
          <w:bCs w:val="0"/>
          <w:color w:val="auto"/>
          <w:sz w:val="28"/>
          <w:szCs w:val="28"/>
          <w:highlight w:val="none"/>
          <w:u w:val="single"/>
        </w:rPr>
        <w:t xml:space="preserve">   </w:t>
      </w:r>
      <w:r>
        <w:rPr>
          <w:rFonts w:hint="eastAsia" w:asciiTheme="minorEastAsia" w:hAnsiTheme="minorEastAsia" w:eastAsiaTheme="minorEastAsia" w:cstheme="minorEastAsia"/>
          <w:b/>
          <w:bCs w:val="0"/>
          <w:color w:val="auto"/>
          <w:sz w:val="28"/>
          <w:szCs w:val="28"/>
          <w:highlight w:val="none"/>
          <w:u w:val="single"/>
          <w:lang w:val="en-US" w:eastAsia="zh-CN"/>
        </w:rPr>
        <w:t xml:space="preserve">    </w:t>
      </w:r>
      <w:r>
        <w:rPr>
          <w:rFonts w:hint="eastAsia" w:asciiTheme="minorEastAsia" w:hAnsiTheme="minorEastAsia" w:eastAsiaTheme="minorEastAsia" w:cstheme="minorEastAsia"/>
          <w:b/>
          <w:bCs w:val="0"/>
          <w:color w:val="auto"/>
          <w:sz w:val="28"/>
          <w:szCs w:val="28"/>
          <w:highlight w:val="none"/>
          <w:u w:val="single"/>
        </w:rPr>
        <w:t xml:space="preserve"> </w:t>
      </w:r>
      <w:r>
        <w:rPr>
          <w:rFonts w:hint="eastAsia" w:asciiTheme="minorEastAsia" w:hAnsiTheme="minorEastAsia" w:eastAsiaTheme="minorEastAsia" w:cstheme="minorEastAsia"/>
          <w:b/>
          <w:bCs w:val="0"/>
          <w:color w:val="auto"/>
          <w:sz w:val="28"/>
          <w:szCs w:val="28"/>
          <w:highlight w:val="none"/>
          <w:u w:val="single"/>
          <w:lang w:val="en-US" w:eastAsia="zh-CN"/>
        </w:rPr>
        <w:t xml:space="preserve">  </w:t>
      </w:r>
      <w:r>
        <w:rPr>
          <w:rFonts w:hint="eastAsia" w:asciiTheme="minorEastAsia" w:hAnsiTheme="minorEastAsia" w:eastAsiaTheme="minorEastAsia" w:cstheme="minorEastAsia"/>
          <w:b/>
          <w:bCs w:val="0"/>
          <w:color w:val="auto"/>
          <w:sz w:val="28"/>
          <w:szCs w:val="28"/>
          <w:highlight w:val="none"/>
        </w:rPr>
        <w:t xml:space="preserve">  </w:t>
      </w:r>
    </w:p>
    <w:p w14:paraId="624B4516">
      <w:pPr>
        <w:pStyle w:val="21"/>
        <w:rPr>
          <w:rFonts w:hint="eastAsia" w:asciiTheme="minorEastAsia" w:hAnsiTheme="minorEastAsia" w:eastAsiaTheme="minorEastAsia" w:cstheme="minorEastAsia"/>
          <w:b/>
          <w:bCs w:val="0"/>
          <w:color w:val="auto"/>
          <w:sz w:val="28"/>
          <w:szCs w:val="28"/>
          <w:highlight w:val="none"/>
        </w:rPr>
      </w:pPr>
    </w:p>
    <w:p w14:paraId="2EFB5E75">
      <w:pPr>
        <w:pStyle w:val="21"/>
        <w:rPr>
          <w:rFonts w:hint="eastAsia" w:asciiTheme="minorEastAsia" w:hAnsiTheme="minorEastAsia" w:eastAsiaTheme="minorEastAsia" w:cstheme="minorEastAsia"/>
          <w:b/>
          <w:bCs w:val="0"/>
          <w:color w:val="auto"/>
          <w:sz w:val="28"/>
          <w:szCs w:val="28"/>
          <w:highlight w:val="none"/>
        </w:rPr>
      </w:pPr>
    </w:p>
    <w:p w14:paraId="2FA8A29C">
      <w:pPr>
        <w:pStyle w:val="21"/>
        <w:rPr>
          <w:rFonts w:hint="eastAsia" w:asciiTheme="minorEastAsia" w:hAnsiTheme="minorEastAsia" w:eastAsiaTheme="minorEastAsia" w:cstheme="minorEastAsia"/>
          <w:b/>
          <w:bCs w:val="0"/>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40" w:right="1080" w:bottom="1440" w:left="1080" w:header="851" w:footer="850" w:gutter="0"/>
          <w:pgNumType w:fmt="decimal"/>
          <w:cols w:space="720" w:num="1"/>
          <w:rtlGutter w:val="0"/>
          <w:docGrid w:type="lines" w:linePitch="317" w:charSpace="0"/>
        </w:sectPr>
      </w:pPr>
    </w:p>
    <w:p w14:paraId="125DC7E9">
      <w:pPr>
        <w:pStyle w:val="36"/>
        <w:rPr>
          <w:rFonts w:hint="eastAsia" w:asciiTheme="minorEastAsia" w:hAnsiTheme="minorEastAsia" w:eastAsiaTheme="minorEastAsia" w:cstheme="minorEastAsia"/>
          <w:highlight w:val="none"/>
        </w:rPr>
      </w:pPr>
    </w:p>
    <w:p w14:paraId="43A3DF13">
      <w:pPr>
        <w:pStyle w:val="21"/>
        <w:rPr>
          <w:rFonts w:hint="eastAsia" w:asciiTheme="minorEastAsia" w:hAnsiTheme="minorEastAsia" w:eastAsiaTheme="minorEastAsia" w:cstheme="minorEastAsia"/>
          <w:b/>
          <w:bCs w:val="0"/>
          <w:color w:val="auto"/>
          <w:sz w:val="28"/>
          <w:szCs w:val="28"/>
          <w:highlight w:val="none"/>
          <w:lang w:val="en-US" w:eastAsia="zh-CN"/>
        </w:rPr>
      </w:pPr>
    </w:p>
    <w:p w14:paraId="1942D5AE">
      <w:pPr>
        <w:pageBreakBefore w:val="0"/>
        <w:widowControl w:val="0"/>
        <w:kinsoku/>
        <w:wordWrap/>
        <w:overflowPunct/>
        <w:topLinePunct w:val="0"/>
        <w:bidi w:val="0"/>
        <w:snapToGrid/>
        <w:spacing w:line="460" w:lineRule="exact"/>
        <w:jc w:val="center"/>
        <w:textAlignment w:val="auto"/>
        <w:rPr>
          <w:rFonts w:hint="eastAsia" w:asciiTheme="minorEastAsia" w:hAnsiTheme="minorEastAsia" w:eastAsiaTheme="minorEastAsia" w:cstheme="minorEastAsia"/>
          <w:b/>
          <w:bCs w:val="0"/>
          <w:color w:val="auto"/>
          <w:sz w:val="28"/>
          <w:szCs w:val="28"/>
          <w:highlight w:val="none"/>
        </w:rPr>
      </w:pPr>
      <w:r>
        <w:rPr>
          <w:rFonts w:hint="eastAsia" w:asciiTheme="minorEastAsia" w:hAnsiTheme="minorEastAsia" w:eastAsiaTheme="minorEastAsia" w:cstheme="minorEastAsia"/>
          <w:b/>
          <w:bCs w:val="0"/>
          <w:color w:val="auto"/>
          <w:sz w:val="28"/>
          <w:szCs w:val="28"/>
          <w:highlight w:val="none"/>
        </w:rPr>
        <w:t>目  录</w:t>
      </w:r>
    </w:p>
    <w:p w14:paraId="3CCDA777">
      <w:pPr>
        <w:pStyle w:val="30"/>
        <w:keepNext w:val="0"/>
        <w:keepLines w:val="0"/>
        <w:pageBreakBefore w:val="0"/>
        <w:widowControl w:val="0"/>
        <w:tabs>
          <w:tab w:val="right" w:leader="dot" w:pos="9747"/>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color w:val="auto"/>
          <w:kern w:val="0"/>
          <w:sz w:val="24"/>
          <w:szCs w:val="24"/>
          <w:highlight w:val="none"/>
        </w:rPr>
        <w:fldChar w:fldCharType="begin"/>
      </w:r>
      <w:r>
        <w:rPr>
          <w:rFonts w:hint="eastAsia" w:asciiTheme="minorEastAsia" w:hAnsiTheme="minorEastAsia" w:eastAsiaTheme="minorEastAsia" w:cstheme="minorEastAsia"/>
          <w:b w:val="0"/>
          <w:bCs/>
          <w:color w:val="auto"/>
          <w:kern w:val="0"/>
          <w:sz w:val="24"/>
          <w:szCs w:val="24"/>
          <w:highlight w:val="none"/>
        </w:rPr>
        <w:instrText xml:space="preserve"> TOC \o "1-3" \h \z \u </w:instrText>
      </w:r>
      <w:r>
        <w:rPr>
          <w:rFonts w:hint="eastAsia" w:asciiTheme="minorEastAsia" w:hAnsiTheme="minorEastAsia" w:eastAsiaTheme="minorEastAsia" w:cstheme="minorEastAsia"/>
          <w:b w:val="0"/>
          <w:bCs/>
          <w:color w:val="auto"/>
          <w:kern w:val="0"/>
          <w:sz w:val="24"/>
          <w:szCs w:val="24"/>
          <w:highlight w:val="none"/>
        </w:rPr>
        <w:fldChar w:fldCharType="separate"/>
      </w:r>
      <w:r>
        <w:rPr>
          <w:rFonts w:hint="eastAsia" w:asciiTheme="minorEastAsia" w:hAnsiTheme="minorEastAsia" w:eastAsiaTheme="minorEastAsia" w:cstheme="minorEastAsia"/>
          <w:bCs/>
          <w:color w:val="auto"/>
          <w:kern w:val="0"/>
          <w:szCs w:val="24"/>
          <w:highlight w:val="none"/>
        </w:rPr>
        <w:fldChar w:fldCharType="begin"/>
      </w:r>
      <w:r>
        <w:rPr>
          <w:rFonts w:hint="eastAsia" w:asciiTheme="minorEastAsia" w:hAnsiTheme="minorEastAsia" w:eastAsiaTheme="minorEastAsia" w:cstheme="minorEastAsia"/>
          <w:bCs/>
          <w:color w:val="auto"/>
          <w:kern w:val="0"/>
          <w:szCs w:val="24"/>
          <w:highlight w:val="none"/>
        </w:rPr>
        <w:instrText xml:space="preserve"> HYPERLINK \l _Toc5755 </w:instrText>
      </w:r>
      <w:r>
        <w:rPr>
          <w:rFonts w:hint="eastAsia" w:asciiTheme="minorEastAsia" w:hAnsiTheme="minorEastAsia" w:eastAsiaTheme="minorEastAsia" w:cstheme="minorEastAsia"/>
          <w:bCs/>
          <w:color w:val="auto"/>
          <w:kern w:val="0"/>
          <w:szCs w:val="24"/>
          <w:highlight w:val="none"/>
        </w:rPr>
        <w:fldChar w:fldCharType="separate"/>
      </w:r>
      <w:r>
        <w:rPr>
          <w:rFonts w:hint="eastAsia" w:asciiTheme="minorEastAsia" w:hAnsiTheme="minorEastAsia" w:eastAsiaTheme="minorEastAsia" w:cstheme="minorEastAsia"/>
          <w:bCs w:val="0"/>
          <w:color w:val="auto"/>
          <w:szCs w:val="28"/>
          <w:highlight w:val="none"/>
          <w:lang w:val="en-US" w:eastAsia="zh-CN"/>
        </w:rPr>
        <w:t>第1章  供应商须知</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_Toc5755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kern w:val="0"/>
          <w:szCs w:val="24"/>
          <w:highlight w:val="none"/>
        </w:rPr>
        <w:fldChar w:fldCharType="end"/>
      </w:r>
    </w:p>
    <w:p w14:paraId="7AC71AD2">
      <w:pPr>
        <w:pStyle w:val="37"/>
        <w:keepNext w:val="0"/>
        <w:keepLines w:val="0"/>
        <w:pageBreakBefore w:val="0"/>
        <w:widowControl w:val="0"/>
        <w:tabs>
          <w:tab w:val="right" w:leader="dot" w:pos="9747"/>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kern w:val="0"/>
          <w:szCs w:val="24"/>
          <w:highlight w:val="none"/>
        </w:rPr>
        <w:fldChar w:fldCharType="begin"/>
      </w:r>
      <w:r>
        <w:rPr>
          <w:rFonts w:hint="eastAsia" w:asciiTheme="minorEastAsia" w:hAnsiTheme="minorEastAsia" w:eastAsiaTheme="minorEastAsia" w:cstheme="minorEastAsia"/>
          <w:bCs/>
          <w:color w:val="auto"/>
          <w:kern w:val="0"/>
          <w:szCs w:val="24"/>
          <w:highlight w:val="none"/>
        </w:rPr>
        <w:instrText xml:space="preserve"> HYPERLINK \l _Toc31727 </w:instrText>
      </w:r>
      <w:r>
        <w:rPr>
          <w:rFonts w:hint="eastAsia" w:asciiTheme="minorEastAsia" w:hAnsiTheme="minorEastAsia" w:eastAsiaTheme="minorEastAsia" w:cstheme="minorEastAsia"/>
          <w:bCs/>
          <w:color w:val="auto"/>
          <w:kern w:val="0"/>
          <w:szCs w:val="24"/>
          <w:highlight w:val="none"/>
        </w:rPr>
        <w:fldChar w:fldCharType="separate"/>
      </w:r>
      <w:r>
        <w:rPr>
          <w:rFonts w:hint="eastAsia" w:asciiTheme="minorEastAsia" w:hAnsiTheme="minorEastAsia" w:eastAsiaTheme="minorEastAsia" w:cstheme="minorEastAsia"/>
          <w:bCs w:val="0"/>
          <w:color w:val="auto"/>
          <w:szCs w:val="24"/>
          <w:highlight w:val="none"/>
        </w:rPr>
        <w:t xml:space="preserve">一   总 </w:t>
      </w:r>
      <w:r>
        <w:rPr>
          <w:rFonts w:hint="eastAsia" w:asciiTheme="minorEastAsia" w:hAnsiTheme="minorEastAsia" w:eastAsiaTheme="minorEastAsia" w:cstheme="minorEastAsia"/>
          <w:bCs w:val="0"/>
          <w:color w:val="auto"/>
          <w:szCs w:val="24"/>
          <w:highlight w:val="none"/>
          <w:lang w:val="en-US" w:eastAsia="zh-CN"/>
        </w:rPr>
        <w:t xml:space="preserve"> </w:t>
      </w:r>
      <w:r>
        <w:rPr>
          <w:rFonts w:hint="eastAsia" w:asciiTheme="minorEastAsia" w:hAnsiTheme="minorEastAsia" w:eastAsiaTheme="minorEastAsia" w:cstheme="minorEastAsia"/>
          <w:bCs w:val="0"/>
          <w:color w:val="auto"/>
          <w:szCs w:val="24"/>
          <w:highlight w:val="none"/>
        </w:rPr>
        <w:t>则</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_Toc31727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kern w:val="0"/>
          <w:szCs w:val="24"/>
          <w:highlight w:val="none"/>
        </w:rPr>
        <w:fldChar w:fldCharType="end"/>
      </w:r>
    </w:p>
    <w:p w14:paraId="5AD9643A">
      <w:pPr>
        <w:pStyle w:val="37"/>
        <w:keepNext w:val="0"/>
        <w:keepLines w:val="0"/>
        <w:pageBreakBefore w:val="0"/>
        <w:widowControl w:val="0"/>
        <w:tabs>
          <w:tab w:val="right" w:leader="dot" w:pos="9747"/>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kern w:val="0"/>
          <w:szCs w:val="24"/>
          <w:highlight w:val="none"/>
        </w:rPr>
        <w:fldChar w:fldCharType="begin"/>
      </w:r>
      <w:r>
        <w:rPr>
          <w:rFonts w:hint="eastAsia" w:asciiTheme="minorEastAsia" w:hAnsiTheme="minorEastAsia" w:eastAsiaTheme="minorEastAsia" w:cstheme="minorEastAsia"/>
          <w:bCs/>
          <w:color w:val="auto"/>
          <w:kern w:val="0"/>
          <w:szCs w:val="24"/>
          <w:highlight w:val="none"/>
        </w:rPr>
        <w:instrText xml:space="preserve"> HYPERLINK \l _Toc3993 </w:instrText>
      </w:r>
      <w:r>
        <w:rPr>
          <w:rFonts w:hint="eastAsia" w:asciiTheme="minorEastAsia" w:hAnsiTheme="minorEastAsia" w:eastAsiaTheme="minorEastAsia" w:cstheme="minorEastAsia"/>
          <w:bCs/>
          <w:color w:val="auto"/>
          <w:kern w:val="0"/>
          <w:szCs w:val="24"/>
          <w:highlight w:val="none"/>
        </w:rPr>
        <w:fldChar w:fldCharType="separate"/>
      </w:r>
      <w:r>
        <w:rPr>
          <w:rFonts w:hint="eastAsia" w:asciiTheme="minorEastAsia" w:hAnsiTheme="minorEastAsia" w:eastAsiaTheme="minorEastAsia" w:cstheme="minorEastAsia"/>
          <w:bCs w:val="0"/>
          <w:color w:val="auto"/>
          <w:szCs w:val="24"/>
          <w:highlight w:val="none"/>
        </w:rPr>
        <w:t xml:space="preserve">二   </w:t>
      </w:r>
      <w:r>
        <w:rPr>
          <w:rFonts w:hint="eastAsia" w:asciiTheme="minorEastAsia" w:hAnsiTheme="minorEastAsia" w:eastAsiaTheme="minorEastAsia" w:cstheme="minorEastAsia"/>
          <w:bCs w:val="0"/>
          <w:color w:val="auto"/>
          <w:szCs w:val="24"/>
          <w:highlight w:val="none"/>
          <w:lang w:eastAsia="zh-CN"/>
        </w:rPr>
        <w:t>谈判文件</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_Toc3993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4</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kern w:val="0"/>
          <w:szCs w:val="24"/>
          <w:highlight w:val="none"/>
        </w:rPr>
        <w:fldChar w:fldCharType="end"/>
      </w:r>
    </w:p>
    <w:p w14:paraId="7463C3FC">
      <w:pPr>
        <w:pStyle w:val="37"/>
        <w:keepNext w:val="0"/>
        <w:keepLines w:val="0"/>
        <w:pageBreakBefore w:val="0"/>
        <w:widowControl w:val="0"/>
        <w:tabs>
          <w:tab w:val="right" w:leader="dot" w:pos="9747"/>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kern w:val="0"/>
          <w:szCs w:val="24"/>
          <w:highlight w:val="none"/>
        </w:rPr>
        <w:fldChar w:fldCharType="begin"/>
      </w:r>
      <w:r>
        <w:rPr>
          <w:rFonts w:hint="eastAsia" w:asciiTheme="minorEastAsia" w:hAnsiTheme="minorEastAsia" w:eastAsiaTheme="minorEastAsia" w:cstheme="minorEastAsia"/>
          <w:bCs/>
          <w:color w:val="auto"/>
          <w:kern w:val="0"/>
          <w:szCs w:val="24"/>
          <w:highlight w:val="none"/>
        </w:rPr>
        <w:instrText xml:space="preserve"> HYPERLINK \l _Toc2975 </w:instrText>
      </w:r>
      <w:r>
        <w:rPr>
          <w:rFonts w:hint="eastAsia" w:asciiTheme="minorEastAsia" w:hAnsiTheme="minorEastAsia" w:eastAsiaTheme="minorEastAsia" w:cstheme="minorEastAsia"/>
          <w:bCs/>
          <w:color w:val="auto"/>
          <w:kern w:val="0"/>
          <w:szCs w:val="24"/>
          <w:highlight w:val="none"/>
        </w:rPr>
        <w:fldChar w:fldCharType="separate"/>
      </w:r>
      <w:r>
        <w:rPr>
          <w:rFonts w:hint="eastAsia" w:asciiTheme="minorEastAsia" w:hAnsiTheme="minorEastAsia" w:eastAsiaTheme="minorEastAsia" w:cstheme="minorEastAsia"/>
          <w:bCs w:val="0"/>
          <w:color w:val="auto"/>
          <w:szCs w:val="24"/>
          <w:highlight w:val="none"/>
        </w:rPr>
        <w:t xml:space="preserve">三   </w:t>
      </w:r>
      <w:r>
        <w:rPr>
          <w:rFonts w:hint="eastAsia" w:asciiTheme="minorEastAsia" w:hAnsiTheme="minorEastAsia" w:eastAsiaTheme="minorEastAsia" w:cstheme="minorEastAsia"/>
          <w:bCs w:val="0"/>
          <w:color w:val="auto"/>
          <w:szCs w:val="24"/>
          <w:highlight w:val="none"/>
          <w:lang w:eastAsia="zh-CN"/>
        </w:rPr>
        <w:t>响应文件</w:t>
      </w:r>
      <w:r>
        <w:rPr>
          <w:rFonts w:hint="eastAsia" w:asciiTheme="minorEastAsia" w:hAnsiTheme="minorEastAsia" w:eastAsiaTheme="minorEastAsia" w:cstheme="minorEastAsia"/>
          <w:bCs w:val="0"/>
          <w:color w:val="auto"/>
          <w:szCs w:val="24"/>
          <w:highlight w:val="none"/>
        </w:rPr>
        <w:t>的编制</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_Toc2975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kern w:val="0"/>
          <w:szCs w:val="24"/>
          <w:highlight w:val="none"/>
        </w:rPr>
        <w:fldChar w:fldCharType="end"/>
      </w:r>
    </w:p>
    <w:p w14:paraId="5303A5FF">
      <w:pPr>
        <w:pStyle w:val="37"/>
        <w:keepNext w:val="0"/>
        <w:keepLines w:val="0"/>
        <w:pageBreakBefore w:val="0"/>
        <w:widowControl w:val="0"/>
        <w:tabs>
          <w:tab w:val="right" w:leader="dot" w:pos="9747"/>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kern w:val="0"/>
          <w:szCs w:val="24"/>
          <w:highlight w:val="none"/>
        </w:rPr>
        <w:fldChar w:fldCharType="begin"/>
      </w:r>
      <w:r>
        <w:rPr>
          <w:rFonts w:hint="eastAsia" w:asciiTheme="minorEastAsia" w:hAnsiTheme="minorEastAsia" w:eastAsiaTheme="minorEastAsia" w:cstheme="minorEastAsia"/>
          <w:bCs/>
          <w:color w:val="auto"/>
          <w:kern w:val="0"/>
          <w:szCs w:val="24"/>
          <w:highlight w:val="none"/>
        </w:rPr>
        <w:instrText xml:space="preserve"> HYPERLINK \l _Toc4819 </w:instrText>
      </w:r>
      <w:r>
        <w:rPr>
          <w:rFonts w:hint="eastAsia" w:asciiTheme="minorEastAsia" w:hAnsiTheme="minorEastAsia" w:eastAsiaTheme="minorEastAsia" w:cstheme="minorEastAsia"/>
          <w:bCs/>
          <w:color w:val="auto"/>
          <w:kern w:val="0"/>
          <w:szCs w:val="24"/>
          <w:highlight w:val="none"/>
        </w:rPr>
        <w:fldChar w:fldCharType="separate"/>
      </w:r>
      <w:r>
        <w:rPr>
          <w:rFonts w:hint="eastAsia" w:asciiTheme="minorEastAsia" w:hAnsiTheme="minorEastAsia" w:eastAsiaTheme="minorEastAsia" w:cstheme="minorEastAsia"/>
          <w:bCs w:val="0"/>
          <w:color w:val="auto"/>
          <w:szCs w:val="24"/>
          <w:highlight w:val="none"/>
        </w:rPr>
        <w:t xml:space="preserve">四   </w:t>
      </w:r>
      <w:r>
        <w:rPr>
          <w:rFonts w:hint="eastAsia" w:asciiTheme="minorEastAsia" w:hAnsiTheme="minorEastAsia" w:eastAsiaTheme="minorEastAsia" w:cstheme="minorEastAsia"/>
          <w:bCs w:val="0"/>
          <w:color w:val="auto"/>
          <w:szCs w:val="24"/>
          <w:highlight w:val="none"/>
          <w:lang w:eastAsia="zh-CN"/>
        </w:rPr>
        <w:t>响应文件</w:t>
      </w:r>
      <w:r>
        <w:rPr>
          <w:rFonts w:hint="eastAsia" w:asciiTheme="minorEastAsia" w:hAnsiTheme="minorEastAsia" w:eastAsiaTheme="minorEastAsia" w:cstheme="minorEastAsia"/>
          <w:bCs w:val="0"/>
          <w:color w:val="auto"/>
          <w:szCs w:val="24"/>
          <w:highlight w:val="none"/>
        </w:rPr>
        <w:t>的递交</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_Toc4819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8</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kern w:val="0"/>
          <w:szCs w:val="24"/>
          <w:highlight w:val="none"/>
        </w:rPr>
        <w:fldChar w:fldCharType="end"/>
      </w:r>
    </w:p>
    <w:p w14:paraId="22842312">
      <w:pPr>
        <w:pStyle w:val="37"/>
        <w:keepNext w:val="0"/>
        <w:keepLines w:val="0"/>
        <w:pageBreakBefore w:val="0"/>
        <w:widowControl w:val="0"/>
        <w:tabs>
          <w:tab w:val="right" w:leader="dot" w:pos="9747"/>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kern w:val="0"/>
          <w:szCs w:val="24"/>
          <w:highlight w:val="none"/>
        </w:rPr>
        <w:fldChar w:fldCharType="begin"/>
      </w:r>
      <w:r>
        <w:rPr>
          <w:rFonts w:hint="eastAsia" w:asciiTheme="minorEastAsia" w:hAnsiTheme="minorEastAsia" w:eastAsiaTheme="minorEastAsia" w:cstheme="minorEastAsia"/>
          <w:bCs/>
          <w:color w:val="auto"/>
          <w:kern w:val="0"/>
          <w:szCs w:val="24"/>
          <w:highlight w:val="none"/>
        </w:rPr>
        <w:instrText xml:space="preserve"> HYPERLINK \l _Toc11802 </w:instrText>
      </w:r>
      <w:r>
        <w:rPr>
          <w:rFonts w:hint="eastAsia" w:asciiTheme="minorEastAsia" w:hAnsiTheme="minorEastAsia" w:eastAsiaTheme="minorEastAsia" w:cstheme="minorEastAsia"/>
          <w:bCs/>
          <w:color w:val="auto"/>
          <w:kern w:val="0"/>
          <w:szCs w:val="24"/>
          <w:highlight w:val="none"/>
        </w:rPr>
        <w:fldChar w:fldCharType="separate"/>
      </w:r>
      <w:r>
        <w:rPr>
          <w:rFonts w:hint="eastAsia" w:asciiTheme="minorEastAsia" w:hAnsiTheme="minorEastAsia" w:eastAsiaTheme="minorEastAsia" w:cstheme="minorEastAsia"/>
          <w:bCs w:val="0"/>
          <w:color w:val="auto"/>
          <w:szCs w:val="24"/>
          <w:highlight w:val="none"/>
        </w:rPr>
        <w:t xml:space="preserve">五   </w:t>
      </w:r>
      <w:r>
        <w:rPr>
          <w:rFonts w:hint="eastAsia" w:asciiTheme="minorEastAsia" w:hAnsiTheme="minorEastAsia" w:eastAsiaTheme="minorEastAsia" w:cstheme="minorEastAsia"/>
          <w:bCs w:val="0"/>
          <w:color w:val="auto"/>
          <w:szCs w:val="24"/>
          <w:highlight w:val="none"/>
          <w:lang w:val="en-US" w:eastAsia="zh-CN"/>
        </w:rPr>
        <w:t>竞争性谈判</w:t>
      </w:r>
      <w:r>
        <w:rPr>
          <w:rFonts w:hint="eastAsia" w:asciiTheme="minorEastAsia" w:hAnsiTheme="minorEastAsia" w:eastAsiaTheme="minorEastAsia" w:cstheme="minorEastAsia"/>
          <w:bCs w:val="0"/>
          <w:color w:val="auto"/>
          <w:szCs w:val="24"/>
          <w:highlight w:val="none"/>
        </w:rPr>
        <w:t>及评</w:t>
      </w:r>
      <w:r>
        <w:rPr>
          <w:rFonts w:hint="eastAsia" w:asciiTheme="minorEastAsia" w:hAnsiTheme="minorEastAsia" w:eastAsiaTheme="minorEastAsia" w:cstheme="minorEastAsia"/>
          <w:bCs w:val="0"/>
          <w:color w:val="auto"/>
          <w:szCs w:val="24"/>
          <w:highlight w:val="none"/>
          <w:lang w:val="en-US" w:eastAsia="zh-CN"/>
        </w:rPr>
        <w:t>审</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_Toc11802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kern w:val="0"/>
          <w:szCs w:val="24"/>
          <w:highlight w:val="none"/>
        </w:rPr>
        <w:fldChar w:fldCharType="end"/>
      </w:r>
    </w:p>
    <w:p w14:paraId="6AFB783B">
      <w:pPr>
        <w:pStyle w:val="37"/>
        <w:keepNext w:val="0"/>
        <w:keepLines w:val="0"/>
        <w:pageBreakBefore w:val="0"/>
        <w:widowControl w:val="0"/>
        <w:tabs>
          <w:tab w:val="right" w:leader="dot" w:pos="9747"/>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kern w:val="0"/>
          <w:szCs w:val="24"/>
          <w:highlight w:val="none"/>
        </w:rPr>
        <w:fldChar w:fldCharType="begin"/>
      </w:r>
      <w:r>
        <w:rPr>
          <w:rFonts w:hint="eastAsia" w:asciiTheme="minorEastAsia" w:hAnsiTheme="minorEastAsia" w:eastAsiaTheme="minorEastAsia" w:cstheme="minorEastAsia"/>
          <w:bCs/>
          <w:color w:val="auto"/>
          <w:kern w:val="0"/>
          <w:szCs w:val="24"/>
          <w:highlight w:val="none"/>
        </w:rPr>
        <w:instrText xml:space="preserve"> HYPERLINK \l _Toc17982 </w:instrText>
      </w:r>
      <w:r>
        <w:rPr>
          <w:rFonts w:hint="eastAsia" w:asciiTheme="minorEastAsia" w:hAnsiTheme="minorEastAsia" w:eastAsiaTheme="minorEastAsia" w:cstheme="minorEastAsia"/>
          <w:bCs/>
          <w:color w:val="auto"/>
          <w:kern w:val="0"/>
          <w:szCs w:val="24"/>
          <w:highlight w:val="none"/>
        </w:rPr>
        <w:fldChar w:fldCharType="separate"/>
      </w:r>
      <w:r>
        <w:rPr>
          <w:rFonts w:hint="eastAsia" w:asciiTheme="minorEastAsia" w:hAnsiTheme="minorEastAsia" w:eastAsiaTheme="minorEastAsia" w:cstheme="minorEastAsia"/>
          <w:bCs w:val="0"/>
          <w:color w:val="auto"/>
          <w:szCs w:val="24"/>
          <w:highlight w:val="none"/>
        </w:rPr>
        <w:t>六   确定</w:t>
      </w:r>
      <w:r>
        <w:rPr>
          <w:rFonts w:hint="eastAsia" w:asciiTheme="minorEastAsia" w:hAnsiTheme="minorEastAsia" w:eastAsiaTheme="minorEastAsia" w:cstheme="minorEastAsia"/>
          <w:bCs w:val="0"/>
          <w:color w:val="auto"/>
          <w:szCs w:val="24"/>
          <w:highlight w:val="none"/>
          <w:lang w:val="en-US" w:eastAsia="zh-CN"/>
        </w:rPr>
        <w:t>成交</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_Toc17982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13</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kern w:val="0"/>
          <w:szCs w:val="24"/>
          <w:highlight w:val="none"/>
        </w:rPr>
        <w:fldChar w:fldCharType="end"/>
      </w:r>
    </w:p>
    <w:p w14:paraId="3F10EE39">
      <w:pPr>
        <w:pStyle w:val="30"/>
        <w:keepNext w:val="0"/>
        <w:keepLines w:val="0"/>
        <w:pageBreakBefore w:val="0"/>
        <w:widowControl w:val="0"/>
        <w:tabs>
          <w:tab w:val="right" w:leader="dot" w:pos="9747"/>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kern w:val="0"/>
          <w:szCs w:val="24"/>
          <w:highlight w:val="none"/>
        </w:rPr>
        <w:fldChar w:fldCharType="begin"/>
      </w:r>
      <w:r>
        <w:rPr>
          <w:rFonts w:hint="eastAsia" w:asciiTheme="minorEastAsia" w:hAnsiTheme="minorEastAsia" w:eastAsiaTheme="minorEastAsia" w:cstheme="minorEastAsia"/>
          <w:bCs/>
          <w:color w:val="auto"/>
          <w:kern w:val="0"/>
          <w:szCs w:val="24"/>
          <w:highlight w:val="none"/>
        </w:rPr>
        <w:instrText xml:space="preserve"> HYPERLINK \l _Toc26214 </w:instrText>
      </w:r>
      <w:r>
        <w:rPr>
          <w:rFonts w:hint="eastAsia" w:asciiTheme="minorEastAsia" w:hAnsiTheme="minorEastAsia" w:eastAsiaTheme="minorEastAsia" w:cstheme="minorEastAsia"/>
          <w:bCs/>
          <w:color w:val="auto"/>
          <w:kern w:val="0"/>
          <w:szCs w:val="24"/>
          <w:highlight w:val="none"/>
        </w:rPr>
        <w:fldChar w:fldCharType="separate"/>
      </w:r>
      <w:r>
        <w:rPr>
          <w:rFonts w:hint="eastAsia" w:asciiTheme="minorEastAsia" w:hAnsiTheme="minorEastAsia" w:eastAsiaTheme="minorEastAsia" w:cstheme="minorEastAsia"/>
          <w:bCs w:val="0"/>
          <w:color w:val="auto"/>
          <w:szCs w:val="28"/>
          <w:highlight w:val="none"/>
          <w:lang w:val="en-US" w:eastAsia="zh-CN"/>
        </w:rPr>
        <w:t>第2章  响应文件格式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_Toc26214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kern w:val="0"/>
          <w:szCs w:val="24"/>
          <w:highlight w:val="none"/>
        </w:rPr>
        <w:fldChar w:fldCharType="end"/>
      </w:r>
    </w:p>
    <w:p w14:paraId="5B0509C2">
      <w:pPr>
        <w:pStyle w:val="37"/>
        <w:keepNext w:val="0"/>
        <w:keepLines w:val="0"/>
        <w:pageBreakBefore w:val="0"/>
        <w:widowControl w:val="0"/>
        <w:tabs>
          <w:tab w:val="right" w:leader="dot" w:pos="9747"/>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kern w:val="0"/>
          <w:szCs w:val="24"/>
          <w:highlight w:val="none"/>
        </w:rPr>
        <w:fldChar w:fldCharType="begin"/>
      </w:r>
      <w:r>
        <w:rPr>
          <w:rFonts w:hint="eastAsia" w:asciiTheme="minorEastAsia" w:hAnsiTheme="minorEastAsia" w:eastAsiaTheme="minorEastAsia" w:cstheme="minorEastAsia"/>
          <w:bCs/>
          <w:color w:val="auto"/>
          <w:kern w:val="0"/>
          <w:szCs w:val="24"/>
          <w:highlight w:val="none"/>
        </w:rPr>
        <w:instrText xml:space="preserve"> HYPERLINK \l _Toc29469 </w:instrText>
      </w:r>
      <w:r>
        <w:rPr>
          <w:rFonts w:hint="eastAsia" w:asciiTheme="minorEastAsia" w:hAnsiTheme="minorEastAsia" w:eastAsiaTheme="minorEastAsia" w:cstheme="minorEastAsia"/>
          <w:bCs/>
          <w:color w:val="auto"/>
          <w:kern w:val="0"/>
          <w:szCs w:val="24"/>
          <w:highlight w:val="none"/>
        </w:rPr>
        <w:fldChar w:fldCharType="separate"/>
      </w:r>
      <w:r>
        <w:rPr>
          <w:rFonts w:hint="eastAsia" w:asciiTheme="minorEastAsia" w:hAnsiTheme="minorEastAsia" w:eastAsiaTheme="minorEastAsia" w:cstheme="minorEastAsia"/>
          <w:bCs w:val="0"/>
          <w:color w:val="auto"/>
          <w:szCs w:val="24"/>
          <w:highlight w:val="none"/>
        </w:rPr>
        <w:t xml:space="preserve">第一部分 </w:t>
      </w:r>
      <w:r>
        <w:rPr>
          <w:rFonts w:hint="eastAsia" w:asciiTheme="minorEastAsia" w:hAnsiTheme="minorEastAsia" w:eastAsiaTheme="minorEastAsia" w:cstheme="minorEastAsia"/>
          <w:bCs w:val="0"/>
          <w:color w:val="auto"/>
          <w:szCs w:val="24"/>
          <w:highlight w:val="none"/>
          <w:lang w:eastAsia="zh-CN"/>
        </w:rPr>
        <w:t>报价一览表</w:t>
      </w:r>
      <w:r>
        <w:rPr>
          <w:rFonts w:hint="eastAsia" w:asciiTheme="minorEastAsia" w:hAnsiTheme="minorEastAsia" w:eastAsiaTheme="minorEastAsia" w:cstheme="minorEastAsia"/>
          <w:bCs w:val="0"/>
          <w:color w:val="auto"/>
          <w:szCs w:val="24"/>
          <w:highlight w:val="none"/>
        </w:rPr>
        <w:t>及资格证明文件</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_Toc29469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kern w:val="0"/>
          <w:szCs w:val="24"/>
          <w:highlight w:val="none"/>
        </w:rPr>
        <w:fldChar w:fldCharType="end"/>
      </w:r>
    </w:p>
    <w:p w14:paraId="333712A8">
      <w:pPr>
        <w:pStyle w:val="37"/>
        <w:keepNext w:val="0"/>
        <w:keepLines w:val="0"/>
        <w:pageBreakBefore w:val="0"/>
        <w:widowControl w:val="0"/>
        <w:tabs>
          <w:tab w:val="right" w:leader="dot" w:pos="9747"/>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kern w:val="0"/>
          <w:szCs w:val="24"/>
          <w:highlight w:val="none"/>
        </w:rPr>
        <w:fldChar w:fldCharType="begin"/>
      </w:r>
      <w:r>
        <w:rPr>
          <w:rFonts w:hint="eastAsia" w:asciiTheme="minorEastAsia" w:hAnsiTheme="minorEastAsia" w:eastAsiaTheme="minorEastAsia" w:cstheme="minorEastAsia"/>
          <w:bCs/>
          <w:color w:val="auto"/>
          <w:kern w:val="0"/>
          <w:szCs w:val="24"/>
          <w:highlight w:val="none"/>
        </w:rPr>
        <w:instrText xml:space="preserve"> HYPERLINK \l _Toc26651 </w:instrText>
      </w:r>
      <w:r>
        <w:rPr>
          <w:rFonts w:hint="eastAsia" w:asciiTheme="minorEastAsia" w:hAnsiTheme="minorEastAsia" w:eastAsiaTheme="minorEastAsia" w:cstheme="minorEastAsia"/>
          <w:bCs/>
          <w:color w:val="auto"/>
          <w:kern w:val="0"/>
          <w:szCs w:val="24"/>
          <w:highlight w:val="none"/>
        </w:rPr>
        <w:fldChar w:fldCharType="separate"/>
      </w:r>
      <w:r>
        <w:rPr>
          <w:rFonts w:hint="eastAsia" w:asciiTheme="minorEastAsia" w:hAnsiTheme="minorEastAsia" w:eastAsiaTheme="minorEastAsia" w:cstheme="minorEastAsia"/>
          <w:bCs w:val="0"/>
          <w:color w:val="auto"/>
          <w:szCs w:val="24"/>
          <w:highlight w:val="none"/>
        </w:rPr>
        <w:t>第二部分  商务及技术文件</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_Toc26651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kern w:val="0"/>
          <w:szCs w:val="24"/>
          <w:highlight w:val="none"/>
        </w:rPr>
        <w:fldChar w:fldCharType="end"/>
      </w:r>
    </w:p>
    <w:p w14:paraId="7A427156">
      <w:pPr>
        <w:pStyle w:val="30"/>
        <w:keepNext w:val="0"/>
        <w:keepLines w:val="0"/>
        <w:pageBreakBefore w:val="0"/>
        <w:widowControl w:val="0"/>
        <w:tabs>
          <w:tab w:val="right" w:leader="dot" w:pos="9747"/>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kern w:val="0"/>
          <w:szCs w:val="24"/>
          <w:highlight w:val="none"/>
        </w:rPr>
        <w:fldChar w:fldCharType="begin"/>
      </w:r>
      <w:r>
        <w:rPr>
          <w:rFonts w:hint="eastAsia" w:asciiTheme="minorEastAsia" w:hAnsiTheme="minorEastAsia" w:eastAsiaTheme="minorEastAsia" w:cstheme="minorEastAsia"/>
          <w:bCs/>
          <w:color w:val="auto"/>
          <w:kern w:val="0"/>
          <w:szCs w:val="24"/>
          <w:highlight w:val="none"/>
        </w:rPr>
        <w:instrText xml:space="preserve"> HYPERLINK \l _Toc16891 </w:instrText>
      </w:r>
      <w:r>
        <w:rPr>
          <w:rFonts w:hint="eastAsia" w:asciiTheme="minorEastAsia" w:hAnsiTheme="minorEastAsia" w:eastAsiaTheme="minorEastAsia" w:cstheme="minorEastAsia"/>
          <w:bCs/>
          <w:color w:val="auto"/>
          <w:kern w:val="0"/>
          <w:szCs w:val="24"/>
          <w:highlight w:val="none"/>
        </w:rPr>
        <w:fldChar w:fldCharType="separate"/>
      </w:r>
      <w:r>
        <w:rPr>
          <w:rFonts w:hint="eastAsia" w:asciiTheme="minorEastAsia" w:hAnsiTheme="minorEastAsia" w:eastAsiaTheme="minorEastAsia" w:cstheme="minorEastAsia"/>
          <w:bCs w:val="0"/>
          <w:color w:val="auto"/>
          <w:szCs w:val="28"/>
          <w:highlight w:val="none"/>
          <w:lang w:val="en-US" w:eastAsia="zh-CN"/>
        </w:rPr>
        <w:t>第3章  谈判邀请</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_Toc16891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41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kern w:val="0"/>
          <w:szCs w:val="24"/>
          <w:highlight w:val="none"/>
        </w:rPr>
        <w:fldChar w:fldCharType="end"/>
      </w:r>
    </w:p>
    <w:p w14:paraId="4026B1A2">
      <w:pPr>
        <w:pStyle w:val="30"/>
        <w:keepNext w:val="0"/>
        <w:keepLines w:val="0"/>
        <w:pageBreakBefore w:val="0"/>
        <w:widowControl w:val="0"/>
        <w:tabs>
          <w:tab w:val="right" w:leader="dot" w:pos="9747"/>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kern w:val="0"/>
          <w:szCs w:val="24"/>
          <w:highlight w:val="none"/>
        </w:rPr>
        <w:fldChar w:fldCharType="begin"/>
      </w:r>
      <w:r>
        <w:rPr>
          <w:rFonts w:hint="eastAsia" w:asciiTheme="minorEastAsia" w:hAnsiTheme="minorEastAsia" w:eastAsiaTheme="minorEastAsia" w:cstheme="minorEastAsia"/>
          <w:bCs/>
          <w:color w:val="auto"/>
          <w:kern w:val="0"/>
          <w:szCs w:val="24"/>
          <w:highlight w:val="none"/>
        </w:rPr>
        <w:instrText xml:space="preserve"> HYPERLINK \l _Toc29496 </w:instrText>
      </w:r>
      <w:r>
        <w:rPr>
          <w:rFonts w:hint="eastAsia" w:asciiTheme="minorEastAsia" w:hAnsiTheme="minorEastAsia" w:eastAsiaTheme="minorEastAsia" w:cstheme="minorEastAsia"/>
          <w:bCs/>
          <w:color w:val="auto"/>
          <w:kern w:val="0"/>
          <w:szCs w:val="24"/>
          <w:highlight w:val="none"/>
        </w:rPr>
        <w:fldChar w:fldCharType="separate"/>
      </w:r>
      <w:r>
        <w:rPr>
          <w:rFonts w:hint="eastAsia" w:asciiTheme="minorEastAsia" w:hAnsiTheme="minorEastAsia" w:eastAsiaTheme="minorEastAsia" w:cstheme="minorEastAsia"/>
          <w:bCs w:val="0"/>
          <w:color w:val="auto"/>
          <w:szCs w:val="28"/>
          <w:highlight w:val="none"/>
          <w:lang w:val="en-US" w:eastAsia="zh-CN"/>
        </w:rPr>
        <w:t>第4章  供应商须知资料表</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_Toc29496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43</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kern w:val="0"/>
          <w:szCs w:val="24"/>
          <w:highlight w:val="none"/>
        </w:rPr>
        <w:fldChar w:fldCharType="end"/>
      </w:r>
    </w:p>
    <w:p w14:paraId="252AC226">
      <w:pPr>
        <w:pStyle w:val="30"/>
        <w:keepNext w:val="0"/>
        <w:keepLines w:val="0"/>
        <w:pageBreakBefore w:val="0"/>
        <w:widowControl w:val="0"/>
        <w:tabs>
          <w:tab w:val="right" w:leader="dot" w:pos="9747"/>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kern w:val="0"/>
          <w:szCs w:val="24"/>
          <w:highlight w:val="none"/>
        </w:rPr>
        <w:fldChar w:fldCharType="begin"/>
      </w:r>
      <w:r>
        <w:rPr>
          <w:rFonts w:hint="eastAsia" w:asciiTheme="minorEastAsia" w:hAnsiTheme="minorEastAsia" w:eastAsiaTheme="minorEastAsia" w:cstheme="minorEastAsia"/>
          <w:bCs/>
          <w:color w:val="auto"/>
          <w:kern w:val="0"/>
          <w:szCs w:val="24"/>
          <w:highlight w:val="none"/>
        </w:rPr>
        <w:instrText xml:space="preserve"> HYPERLINK \l _Toc20758 </w:instrText>
      </w:r>
      <w:r>
        <w:rPr>
          <w:rFonts w:hint="eastAsia" w:asciiTheme="minorEastAsia" w:hAnsiTheme="minorEastAsia" w:eastAsiaTheme="minorEastAsia" w:cstheme="minorEastAsia"/>
          <w:bCs/>
          <w:color w:val="auto"/>
          <w:kern w:val="0"/>
          <w:szCs w:val="24"/>
          <w:highlight w:val="none"/>
        </w:rPr>
        <w:fldChar w:fldCharType="separate"/>
      </w:r>
      <w:r>
        <w:rPr>
          <w:rFonts w:hint="eastAsia" w:asciiTheme="minorEastAsia" w:hAnsiTheme="minorEastAsia" w:eastAsiaTheme="minorEastAsia" w:cstheme="minorEastAsia"/>
          <w:bCs w:val="0"/>
          <w:color w:val="auto"/>
          <w:szCs w:val="28"/>
          <w:highlight w:val="none"/>
          <w:lang w:val="en-US" w:eastAsia="zh-CN"/>
        </w:rPr>
        <w:t>第5章   服务需求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_Toc20758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48</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kern w:val="0"/>
          <w:szCs w:val="24"/>
          <w:highlight w:val="none"/>
        </w:rPr>
        <w:fldChar w:fldCharType="end"/>
      </w:r>
    </w:p>
    <w:p w14:paraId="4D11F854">
      <w:pPr>
        <w:pStyle w:val="30"/>
        <w:keepNext w:val="0"/>
        <w:keepLines w:val="0"/>
        <w:pageBreakBefore w:val="0"/>
        <w:widowControl w:val="0"/>
        <w:tabs>
          <w:tab w:val="right" w:leader="dot" w:pos="9747"/>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kern w:val="0"/>
          <w:szCs w:val="24"/>
          <w:highlight w:val="none"/>
        </w:rPr>
        <w:fldChar w:fldCharType="begin"/>
      </w:r>
      <w:r>
        <w:rPr>
          <w:rFonts w:hint="eastAsia" w:asciiTheme="minorEastAsia" w:hAnsiTheme="minorEastAsia" w:eastAsiaTheme="minorEastAsia" w:cstheme="minorEastAsia"/>
          <w:bCs/>
          <w:color w:val="auto"/>
          <w:kern w:val="0"/>
          <w:szCs w:val="24"/>
          <w:highlight w:val="none"/>
        </w:rPr>
        <w:instrText xml:space="preserve"> HYPERLINK \l _Toc10687 </w:instrText>
      </w:r>
      <w:r>
        <w:rPr>
          <w:rFonts w:hint="eastAsia" w:asciiTheme="minorEastAsia" w:hAnsiTheme="minorEastAsia" w:eastAsiaTheme="minorEastAsia" w:cstheme="minorEastAsia"/>
          <w:bCs/>
          <w:color w:val="auto"/>
          <w:kern w:val="0"/>
          <w:szCs w:val="24"/>
          <w:highlight w:val="none"/>
        </w:rPr>
        <w:fldChar w:fldCharType="separate"/>
      </w:r>
      <w:r>
        <w:rPr>
          <w:rFonts w:hint="eastAsia" w:asciiTheme="minorEastAsia" w:hAnsiTheme="minorEastAsia" w:eastAsiaTheme="minorEastAsia" w:cstheme="minorEastAsia"/>
          <w:bCs w:val="0"/>
          <w:color w:val="auto"/>
          <w:szCs w:val="28"/>
          <w:highlight w:val="none"/>
          <w:lang w:val="en-US" w:eastAsia="zh-CN"/>
        </w:rPr>
        <w:t>第6章 评审方法和标准</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_Toc10687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48</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kern w:val="0"/>
          <w:szCs w:val="24"/>
          <w:highlight w:val="none"/>
        </w:rPr>
        <w:fldChar w:fldCharType="end"/>
      </w:r>
    </w:p>
    <w:p w14:paraId="489FB290">
      <w:pPr>
        <w:pStyle w:val="20"/>
        <w:keepNext w:val="0"/>
        <w:keepLines w:val="0"/>
        <w:pageBreakBefore w:val="0"/>
        <w:widowControl w:val="0"/>
        <w:tabs>
          <w:tab w:val="right" w:leader="dot" w:pos="9747"/>
          <w:tab w:val="clear" w:pos="1260"/>
          <w:tab w:val="clear" w:pos="863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kern w:val="0"/>
          <w:szCs w:val="24"/>
          <w:highlight w:val="none"/>
        </w:rPr>
        <w:fldChar w:fldCharType="begin"/>
      </w:r>
      <w:r>
        <w:rPr>
          <w:rFonts w:hint="eastAsia" w:asciiTheme="minorEastAsia" w:hAnsiTheme="minorEastAsia" w:eastAsiaTheme="minorEastAsia" w:cstheme="minorEastAsia"/>
          <w:bCs/>
          <w:color w:val="auto"/>
          <w:kern w:val="0"/>
          <w:szCs w:val="24"/>
          <w:highlight w:val="none"/>
        </w:rPr>
        <w:instrText xml:space="preserve"> HYPERLINK \l _Toc11056 </w:instrText>
      </w:r>
      <w:r>
        <w:rPr>
          <w:rFonts w:hint="eastAsia" w:asciiTheme="minorEastAsia" w:hAnsiTheme="minorEastAsia" w:eastAsiaTheme="minorEastAsia" w:cstheme="minorEastAsia"/>
          <w:bCs/>
          <w:color w:val="auto"/>
          <w:kern w:val="0"/>
          <w:szCs w:val="24"/>
          <w:highlight w:val="none"/>
        </w:rPr>
        <w:fldChar w:fldCharType="separate"/>
      </w:r>
      <w:r>
        <w:rPr>
          <w:rFonts w:hint="eastAsia" w:asciiTheme="minorEastAsia" w:hAnsiTheme="minorEastAsia" w:eastAsiaTheme="minorEastAsia" w:cstheme="minorEastAsia"/>
          <w:bCs/>
          <w:color w:val="auto"/>
          <w:szCs w:val="24"/>
          <w:highlight w:val="none"/>
        </w:rPr>
        <w:t>响应文件</w:t>
      </w:r>
      <w:r>
        <w:rPr>
          <w:rFonts w:hint="eastAsia" w:asciiTheme="minorEastAsia" w:hAnsiTheme="minorEastAsia" w:eastAsiaTheme="minorEastAsia" w:cstheme="minorEastAsia"/>
          <w:bCs/>
          <w:color w:val="auto"/>
          <w:szCs w:val="24"/>
          <w:highlight w:val="none"/>
          <w:lang w:val="en-US" w:eastAsia="zh-CN"/>
        </w:rPr>
        <w:t>-</w:t>
      </w:r>
      <w:r>
        <w:rPr>
          <w:rFonts w:hint="eastAsia" w:asciiTheme="minorEastAsia" w:hAnsiTheme="minorEastAsia" w:eastAsiaTheme="minorEastAsia" w:cstheme="minorEastAsia"/>
          <w:bCs/>
          <w:color w:val="auto"/>
          <w:szCs w:val="24"/>
          <w:highlight w:val="none"/>
        </w:rPr>
        <w:t>资格性审查表</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_Toc11056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72</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kern w:val="0"/>
          <w:szCs w:val="24"/>
          <w:highlight w:val="none"/>
        </w:rPr>
        <w:fldChar w:fldCharType="end"/>
      </w:r>
    </w:p>
    <w:p w14:paraId="457505C1">
      <w:pPr>
        <w:pStyle w:val="20"/>
        <w:keepNext w:val="0"/>
        <w:keepLines w:val="0"/>
        <w:pageBreakBefore w:val="0"/>
        <w:widowControl w:val="0"/>
        <w:tabs>
          <w:tab w:val="right" w:leader="dot" w:pos="9747"/>
          <w:tab w:val="clear" w:pos="1260"/>
          <w:tab w:val="clear" w:pos="863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kern w:val="0"/>
          <w:szCs w:val="24"/>
          <w:highlight w:val="none"/>
        </w:rPr>
        <w:fldChar w:fldCharType="begin"/>
      </w:r>
      <w:r>
        <w:rPr>
          <w:rFonts w:hint="eastAsia" w:asciiTheme="minorEastAsia" w:hAnsiTheme="minorEastAsia" w:eastAsiaTheme="minorEastAsia" w:cstheme="minorEastAsia"/>
          <w:bCs/>
          <w:color w:val="auto"/>
          <w:kern w:val="0"/>
          <w:szCs w:val="24"/>
          <w:highlight w:val="none"/>
        </w:rPr>
        <w:instrText xml:space="preserve"> HYPERLINK \l _Toc16127 </w:instrText>
      </w:r>
      <w:r>
        <w:rPr>
          <w:rFonts w:hint="eastAsia" w:asciiTheme="minorEastAsia" w:hAnsiTheme="minorEastAsia" w:eastAsiaTheme="minorEastAsia" w:cstheme="minorEastAsia"/>
          <w:bCs/>
          <w:color w:val="auto"/>
          <w:kern w:val="0"/>
          <w:szCs w:val="24"/>
          <w:highlight w:val="none"/>
        </w:rPr>
        <w:fldChar w:fldCharType="separate"/>
      </w:r>
      <w:r>
        <w:rPr>
          <w:rFonts w:hint="eastAsia" w:asciiTheme="minorEastAsia" w:hAnsiTheme="minorEastAsia" w:eastAsiaTheme="minorEastAsia" w:cstheme="minorEastAsia"/>
          <w:bCs/>
          <w:color w:val="auto"/>
          <w:szCs w:val="24"/>
          <w:highlight w:val="none"/>
        </w:rPr>
        <w:t>响应文件</w:t>
      </w:r>
      <w:r>
        <w:rPr>
          <w:rFonts w:hint="eastAsia" w:asciiTheme="minorEastAsia" w:hAnsiTheme="minorEastAsia" w:eastAsiaTheme="minorEastAsia" w:cstheme="minorEastAsia"/>
          <w:bCs/>
          <w:color w:val="auto"/>
          <w:szCs w:val="24"/>
          <w:highlight w:val="none"/>
          <w:lang w:val="en-US" w:eastAsia="zh-CN"/>
        </w:rPr>
        <w:t>-</w:t>
      </w:r>
      <w:r>
        <w:rPr>
          <w:rFonts w:hint="eastAsia" w:asciiTheme="minorEastAsia" w:hAnsiTheme="minorEastAsia" w:eastAsiaTheme="minorEastAsia" w:cstheme="minorEastAsia"/>
          <w:bCs/>
          <w:color w:val="auto"/>
          <w:szCs w:val="24"/>
          <w:highlight w:val="none"/>
        </w:rPr>
        <w:t>符合性审查表</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_Toc16127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73</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kern w:val="0"/>
          <w:szCs w:val="24"/>
          <w:highlight w:val="none"/>
        </w:rPr>
        <w:fldChar w:fldCharType="end"/>
      </w:r>
    </w:p>
    <w:p w14:paraId="3148AA6C">
      <w:pPr>
        <w:pStyle w:val="30"/>
        <w:keepNext w:val="0"/>
        <w:keepLines w:val="0"/>
        <w:pageBreakBefore w:val="0"/>
        <w:widowControl w:val="0"/>
        <w:tabs>
          <w:tab w:val="right" w:leader="dot" w:pos="9747"/>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Cs/>
          <w:color w:val="auto"/>
          <w:kern w:val="0"/>
          <w:szCs w:val="24"/>
          <w:highlight w:val="none"/>
        </w:rPr>
        <w:fldChar w:fldCharType="begin"/>
      </w:r>
      <w:r>
        <w:rPr>
          <w:rFonts w:hint="eastAsia" w:asciiTheme="minorEastAsia" w:hAnsiTheme="minorEastAsia" w:eastAsiaTheme="minorEastAsia" w:cstheme="minorEastAsia"/>
          <w:bCs/>
          <w:color w:val="auto"/>
          <w:kern w:val="0"/>
          <w:szCs w:val="24"/>
          <w:highlight w:val="none"/>
        </w:rPr>
        <w:instrText xml:space="preserve"> HYPERLINK \l _Toc31257 </w:instrText>
      </w:r>
      <w:r>
        <w:rPr>
          <w:rFonts w:hint="eastAsia" w:asciiTheme="minorEastAsia" w:hAnsiTheme="minorEastAsia" w:eastAsiaTheme="minorEastAsia" w:cstheme="minorEastAsia"/>
          <w:bCs/>
          <w:color w:val="auto"/>
          <w:kern w:val="0"/>
          <w:szCs w:val="24"/>
          <w:highlight w:val="none"/>
        </w:rPr>
        <w:fldChar w:fldCharType="separate"/>
      </w:r>
      <w:r>
        <w:rPr>
          <w:rFonts w:hint="eastAsia" w:asciiTheme="minorEastAsia" w:hAnsiTheme="minorEastAsia" w:eastAsiaTheme="minorEastAsia" w:cstheme="minorEastAsia"/>
          <w:bCs w:val="0"/>
          <w:color w:val="auto"/>
          <w:szCs w:val="28"/>
          <w:highlight w:val="none"/>
          <w:lang w:val="en-US" w:eastAsia="zh-CN"/>
        </w:rPr>
        <w:t>第7章 政府采购合同</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bCs/>
          <w:color w:val="auto"/>
          <w:kern w:val="0"/>
          <w:szCs w:val="24"/>
          <w:highlight w:val="none"/>
        </w:rPr>
        <w:fldChar w:fldCharType="end"/>
      </w:r>
      <w:r>
        <w:rPr>
          <w:rFonts w:hint="eastAsia" w:asciiTheme="minorEastAsia" w:hAnsiTheme="minorEastAsia" w:eastAsiaTheme="minorEastAsia" w:cstheme="minorEastAsia"/>
          <w:bCs/>
          <w:color w:val="auto"/>
          <w:kern w:val="0"/>
          <w:szCs w:val="24"/>
          <w:highlight w:val="none"/>
          <w:lang w:val="en-US" w:eastAsia="zh-CN"/>
        </w:rPr>
        <w:t>4</w:t>
      </w:r>
    </w:p>
    <w:p w14:paraId="433A7EFC">
      <w:pPr>
        <w:pStyle w:val="30"/>
        <w:tabs>
          <w:tab w:val="right" w:leader="dot" w:pos="9747"/>
        </w:tabs>
        <w:rPr>
          <w:rFonts w:hint="eastAsia" w:asciiTheme="minorEastAsia" w:hAnsiTheme="minorEastAsia" w:eastAsiaTheme="minorEastAsia" w:cstheme="minorEastAsia"/>
          <w:color w:val="auto"/>
          <w:highlight w:val="none"/>
        </w:rPr>
      </w:pPr>
    </w:p>
    <w:p w14:paraId="6B3D7BAA">
      <w:pPr>
        <w:pStyle w:val="30"/>
        <w:tabs>
          <w:tab w:val="right" w:leader="dot" w:pos="9747"/>
        </w:tabs>
        <w:rPr>
          <w:rFonts w:hint="eastAsia" w:asciiTheme="minorEastAsia" w:hAnsiTheme="minorEastAsia" w:eastAsiaTheme="minorEastAsia" w:cstheme="minorEastAsia"/>
          <w:color w:val="auto"/>
          <w:highlight w:val="none"/>
        </w:rPr>
      </w:pPr>
    </w:p>
    <w:p w14:paraId="453D9F40">
      <w:pPr>
        <w:pStyle w:val="30"/>
        <w:tabs>
          <w:tab w:val="right" w:leader="dot" w:pos="9747"/>
        </w:tabs>
        <w:rPr>
          <w:rFonts w:hint="eastAsia" w:asciiTheme="minorEastAsia" w:hAnsiTheme="minorEastAsia" w:eastAsiaTheme="minorEastAsia" w:cstheme="minorEastAsia"/>
          <w:color w:val="auto"/>
          <w:highlight w:val="none"/>
        </w:rPr>
      </w:pPr>
    </w:p>
    <w:p w14:paraId="61280401">
      <w:pP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bCs/>
          <w:color w:val="auto"/>
          <w:kern w:val="0"/>
          <w:szCs w:val="24"/>
          <w:highlight w:val="none"/>
        </w:rPr>
        <w:fldChar w:fldCharType="end"/>
      </w:r>
      <w:bookmarkStart w:id="0" w:name="_Toc22782"/>
      <w:bookmarkStart w:id="1" w:name="_Toc25817"/>
      <w:bookmarkStart w:id="2" w:name="_Toc17230"/>
      <w:bookmarkStart w:id="3" w:name="_Toc216582804"/>
      <w:r>
        <w:rPr>
          <w:rFonts w:hint="eastAsia" w:asciiTheme="minorEastAsia" w:hAnsiTheme="minorEastAsia" w:eastAsiaTheme="minorEastAsia" w:cstheme="minorEastAsia"/>
          <w:b/>
          <w:bCs w:val="0"/>
          <w:color w:val="auto"/>
          <w:sz w:val="24"/>
          <w:szCs w:val="24"/>
          <w:highlight w:val="none"/>
          <w:lang w:val="en-US" w:eastAsia="zh-CN"/>
        </w:rPr>
        <w:t xml:space="preserve"> </w:t>
      </w:r>
      <w:bookmarkStart w:id="4" w:name="_Toc515647756"/>
    </w:p>
    <w:p w14:paraId="2BD6D3BD">
      <w:pPr>
        <w:pStyle w:val="2"/>
        <w:pageBreakBefore w:val="0"/>
        <w:numPr>
          <w:ilvl w:val="0"/>
          <w:numId w:val="0"/>
        </w:numPr>
        <w:kinsoku/>
        <w:wordWrap/>
        <w:overflowPunct/>
        <w:topLinePunct w:val="0"/>
        <w:bidi w:val="0"/>
        <w:spacing w:before="0" w:after="0" w:line="500" w:lineRule="exact"/>
        <w:jc w:val="center"/>
        <w:textAlignment w:val="auto"/>
        <w:rPr>
          <w:rFonts w:hint="eastAsia" w:asciiTheme="minorEastAsia" w:hAnsiTheme="minorEastAsia" w:eastAsiaTheme="minorEastAsia" w:cstheme="minorEastAsia"/>
          <w:b/>
          <w:bCs w:val="0"/>
          <w:color w:val="auto"/>
          <w:sz w:val="28"/>
          <w:szCs w:val="28"/>
          <w:highlight w:val="none"/>
          <w:lang w:val="en-US" w:eastAsia="zh-CN"/>
        </w:rPr>
      </w:pPr>
      <w:bookmarkStart w:id="5" w:name="_Toc5755"/>
    </w:p>
    <w:p w14:paraId="27F4351D">
      <w:pPr>
        <w:rPr>
          <w:rFonts w:hint="eastAsia" w:asciiTheme="minorEastAsia" w:hAnsiTheme="minorEastAsia" w:eastAsiaTheme="minorEastAsia" w:cstheme="minorEastAsia"/>
          <w:b/>
          <w:bCs w:val="0"/>
          <w:color w:val="auto"/>
          <w:sz w:val="28"/>
          <w:szCs w:val="28"/>
          <w:highlight w:val="none"/>
          <w:lang w:val="en-US" w:eastAsia="zh-CN"/>
        </w:rPr>
      </w:pPr>
    </w:p>
    <w:p w14:paraId="4D0D4FAB">
      <w:pPr>
        <w:pStyle w:val="21"/>
        <w:rPr>
          <w:rFonts w:hint="eastAsia" w:asciiTheme="minorEastAsia" w:hAnsiTheme="minorEastAsia" w:eastAsiaTheme="minorEastAsia" w:cstheme="minorEastAsia"/>
          <w:b/>
          <w:bCs w:val="0"/>
          <w:color w:val="auto"/>
          <w:sz w:val="28"/>
          <w:szCs w:val="28"/>
          <w:highlight w:val="none"/>
          <w:lang w:val="en-US" w:eastAsia="zh-CN"/>
        </w:rPr>
      </w:pPr>
    </w:p>
    <w:p w14:paraId="0FE590A7">
      <w:pPr>
        <w:pStyle w:val="21"/>
        <w:rPr>
          <w:rFonts w:hint="eastAsia" w:asciiTheme="minorEastAsia" w:hAnsiTheme="minorEastAsia" w:eastAsiaTheme="minorEastAsia" w:cstheme="minorEastAsia"/>
          <w:b/>
          <w:bCs w:val="0"/>
          <w:color w:val="auto"/>
          <w:sz w:val="28"/>
          <w:szCs w:val="28"/>
          <w:highlight w:val="none"/>
          <w:lang w:val="en-US" w:eastAsia="zh-CN"/>
        </w:rPr>
      </w:pPr>
    </w:p>
    <w:p w14:paraId="684EE5BC">
      <w:pPr>
        <w:pStyle w:val="21"/>
        <w:rPr>
          <w:rFonts w:hint="eastAsia" w:asciiTheme="minorEastAsia" w:hAnsiTheme="minorEastAsia" w:eastAsiaTheme="minorEastAsia" w:cstheme="minorEastAsia"/>
          <w:b/>
          <w:bCs w:val="0"/>
          <w:color w:val="auto"/>
          <w:sz w:val="28"/>
          <w:szCs w:val="28"/>
          <w:highlight w:val="none"/>
          <w:lang w:val="en-US" w:eastAsia="zh-CN"/>
        </w:rPr>
      </w:pPr>
    </w:p>
    <w:p w14:paraId="6D6A1A57">
      <w:pPr>
        <w:pStyle w:val="2"/>
        <w:pageBreakBefore w:val="0"/>
        <w:numPr>
          <w:ilvl w:val="0"/>
          <w:numId w:val="0"/>
        </w:numPr>
        <w:kinsoku/>
        <w:wordWrap/>
        <w:overflowPunct/>
        <w:topLinePunct w:val="0"/>
        <w:bidi w:val="0"/>
        <w:spacing w:before="0" w:after="0" w:line="500" w:lineRule="exact"/>
        <w:jc w:val="center"/>
        <w:textAlignment w:val="auto"/>
        <w:rPr>
          <w:rFonts w:hint="eastAsia" w:asciiTheme="minorEastAsia" w:hAnsiTheme="minorEastAsia" w:eastAsiaTheme="minorEastAsia" w:cstheme="minorEastAsia"/>
          <w:b/>
          <w:bCs w:val="0"/>
          <w:color w:val="auto"/>
          <w:sz w:val="28"/>
          <w:szCs w:val="28"/>
          <w:highlight w:val="none"/>
          <w:lang w:val="en-US" w:eastAsia="zh-CN"/>
        </w:rPr>
      </w:pPr>
    </w:p>
    <w:p w14:paraId="321B8B36">
      <w:pPr>
        <w:rPr>
          <w:rFonts w:hint="eastAsia" w:asciiTheme="minorEastAsia" w:hAnsiTheme="minorEastAsia" w:eastAsiaTheme="minorEastAsia" w:cstheme="minorEastAsia"/>
          <w:b/>
          <w:bCs w:val="0"/>
          <w:color w:val="auto"/>
          <w:sz w:val="28"/>
          <w:szCs w:val="28"/>
          <w:highlight w:val="none"/>
          <w:lang w:val="en-US" w:eastAsia="zh-CN"/>
        </w:rPr>
      </w:pPr>
    </w:p>
    <w:p w14:paraId="5E8F0195">
      <w:pPr>
        <w:rPr>
          <w:rFonts w:hint="eastAsia" w:asciiTheme="minorEastAsia" w:hAnsiTheme="minorEastAsia" w:eastAsiaTheme="minorEastAsia" w:cstheme="minorEastAsia"/>
          <w:b/>
          <w:bCs w:val="0"/>
          <w:color w:val="auto"/>
          <w:sz w:val="28"/>
          <w:szCs w:val="28"/>
          <w:highlight w:val="none"/>
          <w:lang w:val="en-US" w:eastAsia="zh-CN"/>
        </w:rPr>
      </w:pPr>
    </w:p>
    <w:p w14:paraId="4ECDA184">
      <w:pPr>
        <w:pStyle w:val="2"/>
        <w:pageBreakBefore w:val="0"/>
        <w:numPr>
          <w:ilvl w:val="0"/>
          <w:numId w:val="0"/>
        </w:numPr>
        <w:kinsoku/>
        <w:wordWrap/>
        <w:overflowPunct/>
        <w:topLinePunct w:val="0"/>
        <w:bidi w:val="0"/>
        <w:spacing w:before="0" w:after="0" w:line="500" w:lineRule="exact"/>
        <w:jc w:val="center"/>
        <w:textAlignment w:val="auto"/>
        <w:rPr>
          <w:rFonts w:hint="eastAsia" w:asciiTheme="minorEastAsia" w:hAnsiTheme="minorEastAsia" w:eastAsiaTheme="minorEastAsia" w:cstheme="minorEastAsia"/>
          <w:b/>
          <w:bCs w:val="0"/>
          <w:color w:val="auto"/>
          <w:sz w:val="28"/>
          <w:szCs w:val="28"/>
          <w:highlight w:val="none"/>
          <w:lang w:val="en-US" w:eastAsia="zh-CN"/>
        </w:rPr>
      </w:pPr>
      <w:r>
        <w:rPr>
          <w:rFonts w:hint="eastAsia" w:asciiTheme="minorEastAsia" w:hAnsiTheme="minorEastAsia" w:eastAsiaTheme="minorEastAsia" w:cstheme="minorEastAsia"/>
          <w:b/>
          <w:bCs w:val="0"/>
          <w:color w:val="auto"/>
          <w:sz w:val="28"/>
          <w:szCs w:val="28"/>
          <w:highlight w:val="none"/>
          <w:lang w:val="en-US" w:eastAsia="zh-CN"/>
        </w:rPr>
        <w:t>第1章  供应商须知</w:t>
      </w:r>
      <w:bookmarkEnd w:id="0"/>
      <w:bookmarkEnd w:id="1"/>
      <w:bookmarkEnd w:id="2"/>
      <w:bookmarkEnd w:id="3"/>
      <w:bookmarkEnd w:id="4"/>
      <w:bookmarkEnd w:id="5"/>
    </w:p>
    <w:p w14:paraId="02C6D9F0">
      <w:pPr>
        <w:pStyle w:val="3"/>
        <w:pageBreakBefore w:val="0"/>
        <w:kinsoku/>
        <w:wordWrap/>
        <w:overflowPunct/>
        <w:topLinePunct w:val="0"/>
        <w:bidi w:val="0"/>
        <w:spacing w:before="0" w:line="500" w:lineRule="exact"/>
        <w:ind w:left="1157" w:leftChars="257" w:hanging="540"/>
        <w:textAlignment w:val="auto"/>
        <w:outlineLvl w:val="1"/>
        <w:rPr>
          <w:rFonts w:hint="eastAsia" w:asciiTheme="minorEastAsia" w:hAnsiTheme="minorEastAsia" w:eastAsiaTheme="minorEastAsia" w:cstheme="minorEastAsia"/>
          <w:b/>
          <w:bCs w:val="0"/>
          <w:color w:val="auto"/>
          <w:sz w:val="24"/>
          <w:szCs w:val="24"/>
          <w:highlight w:val="none"/>
        </w:rPr>
      </w:pPr>
      <w:bookmarkStart w:id="6" w:name="_Toc216582805"/>
      <w:bookmarkStart w:id="7" w:name="_Toc520356143"/>
      <w:bookmarkStart w:id="8" w:name="_Toc515647757"/>
      <w:bookmarkStart w:id="9" w:name="_Toc21215"/>
      <w:bookmarkStart w:id="10" w:name="_Toc10096_WPSOffice_Level1"/>
      <w:bookmarkStart w:id="11" w:name="_Toc31727"/>
      <w:bookmarkStart w:id="12" w:name="_Toc21015"/>
      <w:bookmarkStart w:id="13" w:name="_Toc22145"/>
      <w:r>
        <w:rPr>
          <w:rFonts w:hint="eastAsia" w:asciiTheme="minorEastAsia" w:hAnsiTheme="minorEastAsia" w:eastAsiaTheme="minorEastAsia" w:cstheme="minorEastAsia"/>
          <w:b/>
          <w:bCs w:val="0"/>
          <w:color w:val="auto"/>
          <w:sz w:val="24"/>
          <w:szCs w:val="24"/>
          <w:highlight w:val="none"/>
        </w:rPr>
        <w:t>一</w:t>
      </w:r>
      <w:bookmarkEnd w:id="6"/>
      <w:bookmarkEnd w:id="7"/>
      <w:bookmarkEnd w:id="8"/>
      <w:r>
        <w:rPr>
          <w:rFonts w:hint="eastAsia" w:asciiTheme="minorEastAsia" w:hAnsiTheme="minorEastAsia" w:eastAsiaTheme="minorEastAsia" w:cstheme="minorEastAsia"/>
          <w:b/>
          <w:bCs w:val="0"/>
          <w:color w:val="auto"/>
          <w:sz w:val="24"/>
          <w:szCs w:val="24"/>
          <w:highlight w:val="none"/>
          <w:lang w:val="en-US" w:eastAsia="zh-CN"/>
        </w:rPr>
        <w:t xml:space="preserve">  </w:t>
      </w:r>
      <w:r>
        <w:rPr>
          <w:rFonts w:hint="eastAsia" w:asciiTheme="minorEastAsia" w:hAnsiTheme="minorEastAsia" w:eastAsiaTheme="minorEastAsia" w:cstheme="minorEastAsia"/>
          <w:b/>
          <w:bCs w:val="0"/>
          <w:color w:val="auto"/>
          <w:sz w:val="24"/>
          <w:szCs w:val="24"/>
          <w:highlight w:val="none"/>
        </w:rPr>
        <w:t>总则</w:t>
      </w:r>
      <w:bookmarkEnd w:id="9"/>
      <w:bookmarkEnd w:id="10"/>
      <w:bookmarkEnd w:id="11"/>
      <w:bookmarkEnd w:id="12"/>
      <w:bookmarkEnd w:id="13"/>
    </w:p>
    <w:p w14:paraId="3C8BC0D6">
      <w:pPr>
        <w:pStyle w:val="4"/>
        <w:pageBreakBefore w:val="0"/>
        <w:kinsoku/>
        <w:wordWrap/>
        <w:overflowPunct/>
        <w:topLinePunct w:val="0"/>
        <w:bidi w:val="0"/>
        <w:spacing w:before="0" w:after="0" w:line="500" w:lineRule="exact"/>
        <w:textAlignment w:val="auto"/>
        <w:outlineLvl w:val="1"/>
        <w:rPr>
          <w:rFonts w:hint="eastAsia" w:asciiTheme="minorEastAsia" w:hAnsiTheme="minorEastAsia" w:eastAsiaTheme="minorEastAsia" w:cstheme="minorEastAsia"/>
          <w:b/>
          <w:bCs w:val="0"/>
          <w:color w:val="auto"/>
          <w:sz w:val="24"/>
          <w:szCs w:val="24"/>
          <w:highlight w:val="none"/>
          <w:u w:val="none"/>
          <w:lang w:eastAsia="zh-CN"/>
        </w:rPr>
      </w:pPr>
      <w:bookmarkStart w:id="14" w:name="_Toc520356144"/>
      <w:bookmarkStart w:id="15" w:name="_Toc32623"/>
      <w:bookmarkStart w:id="16" w:name="_Toc5999"/>
      <w:bookmarkStart w:id="17" w:name="_Toc32189"/>
      <w:bookmarkStart w:id="18" w:name="_Toc515647758"/>
      <w:bookmarkStart w:id="19" w:name="_Toc14589"/>
      <w:bookmarkStart w:id="20" w:name="_Toc8456"/>
      <w:bookmarkStart w:id="21" w:name="_Toc20814"/>
      <w:bookmarkStart w:id="22" w:name="_Toc15459"/>
      <w:bookmarkStart w:id="23" w:name="_Toc25632"/>
      <w:bookmarkStart w:id="24" w:name="_Toc24029"/>
      <w:bookmarkStart w:id="25" w:name="_Toc16302"/>
      <w:bookmarkStart w:id="26" w:name="_Toc12501_WPSOffice_Level2"/>
      <w:bookmarkStart w:id="27" w:name="_Toc29540"/>
      <w:bookmarkStart w:id="28" w:name="_Toc1806"/>
      <w:bookmarkStart w:id="29" w:name="_Toc760"/>
      <w:r>
        <w:rPr>
          <w:rFonts w:hint="eastAsia" w:asciiTheme="minorEastAsia" w:hAnsiTheme="minorEastAsia" w:eastAsiaTheme="minorEastAsia" w:cstheme="minorEastAsia"/>
          <w:b/>
          <w:bCs w:val="0"/>
          <w:color w:val="auto"/>
          <w:sz w:val="24"/>
          <w:szCs w:val="24"/>
          <w:highlight w:val="none"/>
          <w:u w:val="none"/>
        </w:rPr>
        <w:t>1.采购人、采购代理机构及</w:t>
      </w:r>
      <w:bookmarkEnd w:id="14"/>
      <w:bookmarkEnd w:id="15"/>
      <w:bookmarkEnd w:id="16"/>
      <w:bookmarkEnd w:id="17"/>
      <w:bookmarkEnd w:id="18"/>
      <w:r>
        <w:rPr>
          <w:rFonts w:hint="eastAsia" w:asciiTheme="minorEastAsia" w:hAnsiTheme="minorEastAsia" w:eastAsiaTheme="minorEastAsia" w:cstheme="minorEastAsia"/>
          <w:b/>
          <w:bCs w:val="0"/>
          <w:color w:val="auto"/>
          <w:sz w:val="24"/>
          <w:szCs w:val="24"/>
          <w:highlight w:val="none"/>
          <w:u w:val="none"/>
          <w:lang w:val="en-US" w:eastAsia="zh-CN"/>
        </w:rPr>
        <w:t>供应商</w:t>
      </w:r>
      <w:bookmarkEnd w:id="19"/>
      <w:bookmarkEnd w:id="20"/>
      <w:bookmarkEnd w:id="21"/>
      <w:bookmarkEnd w:id="22"/>
      <w:bookmarkEnd w:id="23"/>
      <w:bookmarkEnd w:id="24"/>
      <w:bookmarkEnd w:id="25"/>
      <w:bookmarkEnd w:id="26"/>
      <w:bookmarkEnd w:id="27"/>
      <w:bookmarkEnd w:id="28"/>
      <w:bookmarkEnd w:id="29"/>
    </w:p>
    <w:p w14:paraId="2A77B010">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kern w:val="2"/>
          <w:sz w:val="24"/>
          <w:szCs w:val="24"/>
          <w:highlight w:val="none"/>
          <w:lang w:val="en-US" w:eastAsia="zh-CN" w:bidi="ar-SA"/>
        </w:rPr>
        <w:t>1.1</w:t>
      </w:r>
      <w:r>
        <w:rPr>
          <w:rFonts w:hint="eastAsia" w:asciiTheme="minorEastAsia" w:hAnsiTheme="minorEastAsia" w:eastAsiaTheme="minorEastAsia" w:cstheme="minorEastAsia"/>
          <w:b w:val="0"/>
          <w:bCs/>
          <w:color w:val="auto"/>
          <w:sz w:val="24"/>
          <w:szCs w:val="24"/>
          <w:highlight w:val="none"/>
        </w:rPr>
        <w:t xml:space="preserve"> 采购人：是指依法开展政府采购活动的国家机关、事业单位、团体组织。本项目的采购人见</w:t>
      </w:r>
      <w:r>
        <w:rPr>
          <w:rFonts w:hint="eastAsia" w:asciiTheme="minorEastAsia" w:hAnsiTheme="minorEastAsia" w:eastAsiaTheme="minorEastAsia" w:cstheme="minorEastAsia"/>
          <w:b w:val="0"/>
          <w:bCs/>
          <w:color w:val="auto"/>
          <w:sz w:val="24"/>
          <w:szCs w:val="24"/>
          <w:highlight w:val="none"/>
          <w:u w:val="single"/>
        </w:rPr>
        <w:t>供应商须知资料表</w:t>
      </w:r>
      <w:r>
        <w:rPr>
          <w:rFonts w:hint="eastAsia" w:asciiTheme="minorEastAsia" w:hAnsiTheme="minorEastAsia" w:eastAsiaTheme="minorEastAsia" w:cstheme="minorEastAsia"/>
          <w:b w:val="0"/>
          <w:bCs/>
          <w:color w:val="auto"/>
          <w:sz w:val="24"/>
          <w:szCs w:val="24"/>
          <w:highlight w:val="none"/>
        </w:rPr>
        <w:t>。</w:t>
      </w:r>
    </w:p>
    <w:p w14:paraId="0613D2CB">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kern w:val="2"/>
          <w:sz w:val="24"/>
          <w:szCs w:val="24"/>
          <w:highlight w:val="none"/>
          <w:lang w:val="en-US" w:eastAsia="zh-CN" w:bidi="ar-SA"/>
        </w:rPr>
        <w:t>1.2</w:t>
      </w:r>
      <w:r>
        <w:rPr>
          <w:rFonts w:hint="eastAsia" w:asciiTheme="minorEastAsia" w:hAnsiTheme="minorEastAsia" w:eastAsiaTheme="minorEastAsia" w:cstheme="minorEastAsia"/>
          <w:b w:val="0"/>
          <w:bCs/>
          <w:color w:val="auto"/>
          <w:sz w:val="24"/>
          <w:szCs w:val="24"/>
          <w:highlight w:val="none"/>
        </w:rPr>
        <w:t xml:space="preserve"> 采购代理机构：是指在集中采购机构或从事采购代理业务的社会中介机构。本项目的采购代理机构见供应商须知资料表。</w:t>
      </w:r>
    </w:p>
    <w:p w14:paraId="47E2E995">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kern w:val="2"/>
          <w:sz w:val="24"/>
          <w:szCs w:val="24"/>
          <w:highlight w:val="none"/>
          <w:lang w:val="en-US" w:eastAsia="zh-CN" w:bidi="ar-SA"/>
        </w:rPr>
        <w:t>1.3</w:t>
      </w:r>
      <w:r>
        <w:rPr>
          <w:rFonts w:hint="eastAsia" w:asciiTheme="minorEastAsia" w:hAnsiTheme="minorEastAsia" w:eastAsiaTheme="minorEastAsia" w:cstheme="minorEastAsia"/>
          <w:b w:val="0"/>
          <w:bCs/>
          <w:color w:val="auto"/>
          <w:sz w:val="24"/>
          <w:szCs w:val="24"/>
          <w:highlight w:val="none"/>
        </w:rPr>
        <w:t>供应商：是指向采购人提供货物、工程或者服务的法人、非法人组织或者自然人。本项目的供应商及其所投货物须满足以下条件：</w:t>
      </w:r>
    </w:p>
    <w:p w14:paraId="795C4889">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1.3.1在中华人民共和国境内注册，能够独立承担民事责任，有生产或供应能力的本国供应商。</w:t>
      </w:r>
    </w:p>
    <w:p w14:paraId="23BF9313">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1.3.2具备《中华人民共和国政府采购法》第二十二条关于供应商条件的规定，遵守本项目采购人本级和上级财政部门政府采购的有关规定。</w:t>
      </w:r>
    </w:p>
    <w:p w14:paraId="15873589">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1.3.3以采购代理机构认可的方式获得了本项目的谈判文件。</w:t>
      </w:r>
    </w:p>
    <w:p w14:paraId="0B89B92F">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1.3.4符合供应商须知资料表中规定的其他要求。</w:t>
      </w:r>
    </w:p>
    <w:p w14:paraId="28540CA7">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1.3.5若供应商须知资料表中写明允许采购进口产品，供应商应保证所投产品可履行合法报通关手续进入中国关境内。</w:t>
      </w:r>
    </w:p>
    <w:p w14:paraId="47BA540C">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1.3.6若供应商须知资料表中写明专门面向中小企业采购的，如供应商为非中小企业且所投产品为非中小企业产品，其谈判资格将被认定为无效。</w:t>
      </w:r>
    </w:p>
    <w:p w14:paraId="25FFEBFC">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1.4 如供应商须知资料表中允许联合体参加，对联合体规定如下：</w:t>
      </w:r>
    </w:p>
    <w:p w14:paraId="7CFF88FF">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1.4.1两个以上供应商可以组成一个谈判联合体，以一个供应商的身份谈判。</w:t>
      </w:r>
    </w:p>
    <w:p w14:paraId="6D88F51E">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1.4.2联合体各方均应符合《中华人民共和国政府采购法》第二十二条规定的条件。</w:t>
      </w:r>
    </w:p>
    <w:p w14:paraId="36D4F832">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1.4.3采购人根据采购项目对供应商的特殊要求，联合体中至少应当有一方符合相关规定。</w:t>
      </w:r>
    </w:p>
    <w:p w14:paraId="2EBB413A">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1.4.4联合体各方应签订共同参加谈判协议，明确约定联合体各方承担的工作和相应的责任，并将共同参加谈判协议连同作为响应文件第一部分的内容提交。</w:t>
      </w:r>
    </w:p>
    <w:p w14:paraId="5FB9F38A">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1.4.5大中型企业、其他自然人、法人或者非法人组织与小型、微型企业组成联合体共同参加谈判，共同谈判协议中应写明小型、微型企业的协议合同金额占到共同谈判协议报价总金额的比例。</w:t>
      </w:r>
    </w:p>
    <w:p w14:paraId="6181A5CC">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1.4.6联合体中有同类资质的供应商按照联合体分工承担相同工作的，按照较低的资质等级确定联合体的资质等级。</w:t>
      </w:r>
    </w:p>
    <w:p w14:paraId="54F9E431">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1.4.7以联合体形式参加政府采购活动的，联合体各方不得再单独参加或者与其他供应商另外组成联合体参加本项目谈判，否则相关谈判资格将被认定为无效。</w:t>
      </w:r>
    </w:p>
    <w:p w14:paraId="507CFF9D">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1.4.8对联合体参加谈判的其他资格要求见供应商须知资料表。</w:t>
      </w:r>
    </w:p>
    <w:p w14:paraId="45303C78">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1.5 </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单位负责人为同一人或者存在直接控股、管理关系的不同供应商，其相关谈判资格将被认定为无效。</w:t>
      </w:r>
    </w:p>
    <w:p w14:paraId="7FFB3EEF">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1.6 </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本项目提供过整体设计、规范编制或者项目管理、监理、检测等服务的供应商，不得再参加本项目上述服务以外的其他采购活动。否则其谈判资格将被认定为无效。</w:t>
      </w:r>
    </w:p>
    <w:p w14:paraId="1CDD1483">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1.7</w:t>
      </w:r>
      <w:r>
        <w:rPr>
          <w:rFonts w:hint="eastAsia" w:asciiTheme="minorEastAsia" w:hAnsiTheme="minorEastAsia" w:eastAsiaTheme="minorEastAsia" w:cstheme="minorEastAsia"/>
          <w:b w:val="0"/>
          <w:bCs/>
          <w:color w:val="auto"/>
          <w:sz w:val="24"/>
          <w:szCs w:val="24"/>
          <w:highlight w:val="none"/>
        </w:rPr>
        <w:tab/>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供应商在谈判过程中不得向采购人提供、给予任何有价值的物品，影响其正常决策行为。一经发现，其将被认定为无效。</w:t>
      </w:r>
    </w:p>
    <w:p w14:paraId="5C7F32F0">
      <w:pPr>
        <w:pStyle w:val="4"/>
        <w:pageBreakBefore w:val="0"/>
        <w:kinsoku/>
        <w:wordWrap/>
        <w:overflowPunct/>
        <w:topLinePunct w:val="0"/>
        <w:bidi w:val="0"/>
        <w:spacing w:before="0" w:after="0" w:line="500" w:lineRule="exac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30" w:name="_Toc32193"/>
      <w:bookmarkStart w:id="31" w:name="_Toc11272_WPSOffice_Level2"/>
      <w:bookmarkStart w:id="32" w:name="_Toc12139"/>
      <w:bookmarkStart w:id="33" w:name="_Toc3184"/>
      <w:bookmarkStart w:id="34" w:name="_Toc26506"/>
      <w:bookmarkStart w:id="35" w:name="_Toc5286"/>
      <w:bookmarkStart w:id="36" w:name="_Toc515647759"/>
      <w:bookmarkStart w:id="37" w:name="_Toc28303"/>
      <w:bookmarkStart w:id="38" w:name="_Toc3026"/>
      <w:bookmarkStart w:id="39" w:name="_Toc4322"/>
      <w:bookmarkStart w:id="40" w:name="_Toc12364"/>
      <w:bookmarkStart w:id="41" w:name="_Toc20792"/>
      <w:bookmarkStart w:id="42" w:name="_Toc14622"/>
      <w:bookmarkStart w:id="43" w:name="_Toc7400"/>
      <w:bookmarkStart w:id="44" w:name="_Toc11567"/>
      <w:r>
        <w:rPr>
          <w:rFonts w:hint="eastAsia" w:asciiTheme="minorEastAsia" w:hAnsiTheme="minorEastAsia" w:eastAsiaTheme="minorEastAsia" w:cstheme="minorEastAsia"/>
          <w:b/>
          <w:bCs w:val="0"/>
          <w:color w:val="auto"/>
          <w:sz w:val="24"/>
          <w:szCs w:val="24"/>
          <w:highlight w:val="none"/>
          <w:u w:val="none"/>
        </w:rPr>
        <w:t>2.资金来源</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095CE1E1">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2.1</w:t>
      </w:r>
      <w:r>
        <w:rPr>
          <w:rFonts w:hint="eastAsia" w:asciiTheme="minorEastAsia" w:hAnsiTheme="minorEastAsia" w:eastAsiaTheme="minorEastAsia" w:cstheme="minorEastAsia"/>
          <w:b w:val="0"/>
          <w:bCs/>
          <w:color w:val="auto"/>
          <w:sz w:val="24"/>
          <w:szCs w:val="24"/>
          <w:highlight w:val="none"/>
        </w:rPr>
        <w:tab/>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本项目的采购人已获得足以支付本次谈判后所签订的合同项下的资金（包括财政性资金和本项目采购中无法与财政性资金分割的非财政性资金）。</w:t>
      </w:r>
    </w:p>
    <w:p w14:paraId="28293557">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2.2 </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项目预算金额和分项或分包最高限价见</w:t>
      </w:r>
      <w:r>
        <w:rPr>
          <w:rFonts w:hint="eastAsia" w:asciiTheme="minorEastAsia" w:hAnsiTheme="minorEastAsia" w:eastAsiaTheme="minorEastAsia" w:cstheme="minorEastAsia"/>
          <w:b w:val="0"/>
          <w:bCs/>
          <w:color w:val="auto"/>
          <w:sz w:val="24"/>
          <w:szCs w:val="24"/>
          <w:highlight w:val="none"/>
          <w:u w:val="single"/>
        </w:rPr>
        <w:t>供应商须知资料表</w:t>
      </w:r>
      <w:r>
        <w:rPr>
          <w:rFonts w:hint="eastAsia" w:asciiTheme="minorEastAsia" w:hAnsiTheme="minorEastAsia" w:eastAsiaTheme="minorEastAsia" w:cstheme="minorEastAsia"/>
          <w:b w:val="0"/>
          <w:bCs/>
          <w:color w:val="auto"/>
          <w:sz w:val="24"/>
          <w:szCs w:val="24"/>
          <w:highlight w:val="none"/>
        </w:rPr>
        <w:t>。</w:t>
      </w:r>
    </w:p>
    <w:p w14:paraId="52FFA968">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2.3 </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供应商报价超过谈判文件规定的预算金额或者分项、分包最高限价的，其报价将被认定为无效。</w:t>
      </w:r>
    </w:p>
    <w:p w14:paraId="4ED2D4F8">
      <w:pPr>
        <w:pStyle w:val="4"/>
        <w:pageBreakBefore w:val="0"/>
        <w:widowControl w:val="0"/>
        <w:kinsoku/>
        <w:wordWrap/>
        <w:overflowPunct/>
        <w:topLinePunct w:val="0"/>
        <w:bidi w:val="0"/>
        <w:spacing w:before="0" w:after="0" w:line="440" w:lineRule="exac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45" w:name="_Toc21982"/>
      <w:bookmarkStart w:id="46" w:name="_Toc23859"/>
      <w:bookmarkStart w:id="47" w:name="_Toc11916"/>
      <w:bookmarkStart w:id="48" w:name="_Toc21733"/>
      <w:bookmarkStart w:id="49" w:name="_Toc15936"/>
      <w:bookmarkStart w:id="50" w:name="_Toc19127_WPSOffice_Level2"/>
      <w:bookmarkStart w:id="51" w:name="_Toc28134"/>
      <w:bookmarkStart w:id="52" w:name="_Toc3102"/>
      <w:bookmarkStart w:id="53" w:name="_Toc9050"/>
      <w:bookmarkStart w:id="54" w:name="_Toc23381"/>
      <w:bookmarkStart w:id="55" w:name="_Toc4037"/>
      <w:bookmarkStart w:id="56" w:name="_Toc520356145"/>
      <w:bookmarkStart w:id="57" w:name="_Toc515647760"/>
      <w:bookmarkStart w:id="58" w:name="_Toc13828"/>
      <w:bookmarkStart w:id="59" w:name="_Toc20526"/>
      <w:bookmarkStart w:id="60" w:name="_Toc22210"/>
      <w:r>
        <w:rPr>
          <w:rFonts w:hint="eastAsia" w:asciiTheme="minorEastAsia" w:hAnsiTheme="minorEastAsia" w:eastAsiaTheme="minorEastAsia" w:cstheme="minorEastAsia"/>
          <w:b/>
          <w:bCs w:val="0"/>
          <w:color w:val="auto"/>
          <w:sz w:val="24"/>
          <w:szCs w:val="24"/>
          <w:highlight w:val="none"/>
          <w:u w:val="none"/>
        </w:rPr>
        <w:t>3.</w:t>
      </w:r>
      <w:r>
        <w:rPr>
          <w:rFonts w:hint="eastAsia" w:asciiTheme="minorEastAsia" w:hAnsiTheme="minorEastAsia" w:eastAsiaTheme="minorEastAsia" w:cstheme="minorEastAsia"/>
          <w:b/>
          <w:bCs w:val="0"/>
          <w:color w:val="auto"/>
          <w:sz w:val="24"/>
          <w:szCs w:val="24"/>
          <w:highlight w:val="none"/>
          <w:u w:val="none"/>
          <w:lang w:val="en-US" w:eastAsia="zh-CN"/>
        </w:rPr>
        <w:t>谈判</w:t>
      </w:r>
      <w:r>
        <w:rPr>
          <w:rFonts w:hint="eastAsia" w:asciiTheme="minorEastAsia" w:hAnsiTheme="minorEastAsia" w:eastAsiaTheme="minorEastAsia" w:cstheme="minorEastAsia"/>
          <w:b/>
          <w:bCs w:val="0"/>
          <w:color w:val="auto"/>
          <w:sz w:val="24"/>
          <w:szCs w:val="24"/>
          <w:highlight w:val="none"/>
          <w:u w:val="none"/>
        </w:rPr>
        <w:t>费用</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03C1B866">
      <w:pPr>
        <w:pageBreakBefore w:val="0"/>
        <w:widowControl w:val="0"/>
        <w:kinsoku/>
        <w:wordWrap/>
        <w:overflowPunct/>
        <w:topLinePunct w:val="0"/>
        <w:bidi w:val="0"/>
        <w:spacing w:line="440" w:lineRule="exact"/>
        <w:ind w:left="900" w:leftChars="200" w:hanging="420" w:hangingChars="175"/>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不论谈判的结果如何，供应商应承担所有与准备和参加谈判有关的费用。</w:t>
      </w:r>
    </w:p>
    <w:p w14:paraId="2385FD35">
      <w:pPr>
        <w:pStyle w:val="4"/>
        <w:pageBreakBefore w:val="0"/>
        <w:widowControl w:val="0"/>
        <w:kinsoku/>
        <w:wordWrap/>
        <w:overflowPunct/>
        <w:topLinePunct w:val="0"/>
        <w:bidi w:val="0"/>
        <w:spacing w:before="0" w:after="0" w:line="440" w:lineRule="exac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61" w:name="_Toc25105"/>
      <w:bookmarkStart w:id="62" w:name="_Toc31490"/>
      <w:bookmarkStart w:id="63" w:name="_Toc31363_WPSOffice_Level2"/>
      <w:bookmarkStart w:id="64" w:name="_Toc5305"/>
      <w:bookmarkStart w:id="65" w:name="_Toc24795"/>
      <w:bookmarkStart w:id="66" w:name="_Toc32665"/>
      <w:bookmarkStart w:id="67" w:name="_Toc13228"/>
      <w:bookmarkStart w:id="68" w:name="_Toc21689"/>
      <w:bookmarkStart w:id="69" w:name="_Toc4463"/>
      <w:bookmarkStart w:id="70" w:name="_Toc26293"/>
      <w:bookmarkStart w:id="71" w:name="_Toc6262"/>
      <w:bookmarkStart w:id="72" w:name="_Toc3649"/>
      <w:bookmarkStart w:id="73" w:name="_Toc6116"/>
      <w:bookmarkStart w:id="74" w:name="_Toc515647761"/>
      <w:bookmarkStart w:id="75" w:name="_Toc5714"/>
      <w:r>
        <w:rPr>
          <w:rFonts w:hint="eastAsia" w:asciiTheme="minorEastAsia" w:hAnsiTheme="minorEastAsia" w:eastAsiaTheme="minorEastAsia" w:cstheme="minorEastAsia"/>
          <w:b/>
          <w:bCs w:val="0"/>
          <w:color w:val="auto"/>
          <w:sz w:val="24"/>
          <w:szCs w:val="24"/>
          <w:highlight w:val="none"/>
          <w:u w:val="none"/>
        </w:rPr>
        <w:t>4.适用法律</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4B3CC505">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    本项目采购人、采购代理机构、供应商、谈判小组的相关行为均受《中华人民共和国政府采购法》、《中华人民共和国政府采购法实施条例》及《政府采购非招标采购方式管理办法》</w:t>
      </w:r>
      <w:r>
        <w:rPr>
          <w:rFonts w:hint="eastAsia" w:asciiTheme="minorEastAsia" w:hAnsiTheme="minorEastAsia" w:eastAsiaTheme="minorEastAsia" w:cstheme="minorEastAsia"/>
          <w:b w:val="0"/>
          <w:bCs/>
          <w:color w:val="auto"/>
          <w:sz w:val="24"/>
          <w:szCs w:val="24"/>
          <w:highlight w:val="none"/>
          <w:lang w:val="en-US" w:eastAsia="zh-CN"/>
        </w:rPr>
        <w:t>-74号令</w:t>
      </w:r>
      <w:r>
        <w:rPr>
          <w:rFonts w:hint="eastAsia" w:asciiTheme="minorEastAsia" w:hAnsiTheme="minorEastAsia" w:eastAsiaTheme="minorEastAsia" w:cstheme="minorEastAsia"/>
          <w:b w:val="0"/>
          <w:bCs/>
          <w:color w:val="auto"/>
          <w:sz w:val="24"/>
          <w:szCs w:val="24"/>
          <w:highlight w:val="none"/>
        </w:rPr>
        <w:t>本项目本级和上级财政部门政府采购有关规定的约束，其权利受到上述法律法规的保护。</w:t>
      </w:r>
    </w:p>
    <w:p w14:paraId="261138DE">
      <w:pPr>
        <w:pStyle w:val="3"/>
        <w:pageBreakBefore w:val="0"/>
        <w:widowControl w:val="0"/>
        <w:kinsoku/>
        <w:wordWrap/>
        <w:overflowPunct/>
        <w:topLinePunct w:val="0"/>
        <w:bidi w:val="0"/>
        <w:spacing w:before="0" w:line="440" w:lineRule="exact"/>
        <w:ind w:left="1157" w:leftChars="257" w:hanging="540"/>
        <w:textAlignment w:val="auto"/>
        <w:outlineLvl w:val="1"/>
        <w:rPr>
          <w:rFonts w:hint="eastAsia" w:asciiTheme="minorEastAsia" w:hAnsiTheme="minorEastAsia" w:eastAsiaTheme="minorEastAsia" w:cstheme="minorEastAsia"/>
          <w:b/>
          <w:bCs w:val="0"/>
          <w:color w:val="auto"/>
          <w:sz w:val="24"/>
          <w:szCs w:val="24"/>
          <w:highlight w:val="none"/>
        </w:rPr>
      </w:pPr>
      <w:bookmarkStart w:id="76" w:name="_Toc28572"/>
      <w:bookmarkStart w:id="77" w:name="_Toc21566"/>
      <w:bookmarkStart w:id="78" w:name="_Toc520356146"/>
      <w:bookmarkStart w:id="79" w:name="_Toc216582806"/>
      <w:bookmarkStart w:id="80" w:name="_Toc4365"/>
      <w:bookmarkStart w:id="81" w:name="_Toc515647762"/>
      <w:bookmarkStart w:id="82" w:name="_Toc20867_WPSOffice_Level1"/>
      <w:bookmarkStart w:id="83" w:name="_Toc3993"/>
      <w:r>
        <w:rPr>
          <w:rFonts w:hint="eastAsia" w:asciiTheme="minorEastAsia" w:hAnsiTheme="minorEastAsia" w:eastAsiaTheme="minorEastAsia" w:cstheme="minorEastAsia"/>
          <w:b/>
          <w:bCs w:val="0"/>
          <w:color w:val="auto"/>
          <w:sz w:val="24"/>
          <w:szCs w:val="24"/>
          <w:highlight w:val="none"/>
        </w:rPr>
        <w:t>二</w:t>
      </w:r>
      <w:bookmarkEnd w:id="76"/>
      <w:bookmarkEnd w:id="77"/>
      <w:bookmarkEnd w:id="78"/>
      <w:bookmarkEnd w:id="79"/>
      <w:bookmarkEnd w:id="80"/>
      <w:bookmarkEnd w:id="81"/>
      <w:r>
        <w:rPr>
          <w:rFonts w:hint="eastAsia" w:asciiTheme="minorEastAsia" w:hAnsiTheme="minorEastAsia" w:eastAsiaTheme="minorEastAsia" w:cstheme="minorEastAsia"/>
          <w:b/>
          <w:bCs w:val="0"/>
          <w:color w:val="auto"/>
          <w:sz w:val="24"/>
          <w:szCs w:val="24"/>
          <w:highlight w:val="none"/>
          <w:lang w:val="en-US" w:eastAsia="zh-CN"/>
        </w:rPr>
        <w:t xml:space="preserve">  </w:t>
      </w:r>
      <w:r>
        <w:rPr>
          <w:rFonts w:hint="eastAsia" w:asciiTheme="minorEastAsia" w:hAnsiTheme="minorEastAsia" w:eastAsiaTheme="minorEastAsia" w:cstheme="minorEastAsia"/>
          <w:b/>
          <w:bCs w:val="0"/>
          <w:color w:val="auto"/>
          <w:sz w:val="24"/>
          <w:szCs w:val="24"/>
          <w:highlight w:val="none"/>
          <w:lang w:eastAsia="zh-CN"/>
        </w:rPr>
        <w:t>谈判文件</w:t>
      </w:r>
      <w:bookmarkEnd w:id="82"/>
      <w:bookmarkEnd w:id="83"/>
    </w:p>
    <w:p w14:paraId="4FAED3CC">
      <w:pPr>
        <w:pStyle w:val="4"/>
        <w:pageBreakBefore w:val="0"/>
        <w:widowControl w:val="0"/>
        <w:kinsoku/>
        <w:wordWrap/>
        <w:overflowPunct/>
        <w:topLinePunct w:val="0"/>
        <w:bidi w:val="0"/>
        <w:spacing w:before="0" w:after="0" w:line="440" w:lineRule="exac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84" w:name="_Toc456"/>
      <w:bookmarkStart w:id="85" w:name="_Toc520356147"/>
      <w:bookmarkStart w:id="86" w:name="_Toc9330"/>
      <w:bookmarkStart w:id="87" w:name="_Toc2270"/>
      <w:bookmarkStart w:id="88" w:name="_Toc17820"/>
      <w:bookmarkStart w:id="89" w:name="_Toc15244_WPSOffice_Level2"/>
      <w:bookmarkStart w:id="90" w:name="_Toc22924"/>
      <w:bookmarkStart w:id="91" w:name="_Toc27898"/>
      <w:bookmarkStart w:id="92" w:name="_Toc515647763"/>
      <w:bookmarkStart w:id="93" w:name="_Toc4973"/>
      <w:bookmarkStart w:id="94" w:name="_Toc2530"/>
      <w:bookmarkStart w:id="95" w:name="_Toc14084"/>
      <w:bookmarkStart w:id="96" w:name="_Toc4671"/>
      <w:bookmarkStart w:id="97" w:name="_Toc25743"/>
      <w:bookmarkStart w:id="98" w:name="_Toc24272"/>
      <w:bookmarkStart w:id="99" w:name="_Toc14130"/>
      <w:r>
        <w:rPr>
          <w:rFonts w:hint="eastAsia" w:asciiTheme="minorEastAsia" w:hAnsiTheme="minorEastAsia" w:eastAsiaTheme="minorEastAsia" w:cstheme="minorEastAsia"/>
          <w:b/>
          <w:bCs w:val="0"/>
          <w:color w:val="auto"/>
          <w:sz w:val="24"/>
          <w:szCs w:val="24"/>
          <w:highlight w:val="none"/>
          <w:u w:val="none"/>
        </w:rPr>
        <w:t>5.</w:t>
      </w:r>
      <w:r>
        <w:rPr>
          <w:rFonts w:hint="eastAsia" w:asciiTheme="minorEastAsia" w:hAnsiTheme="minorEastAsia" w:eastAsiaTheme="minorEastAsia" w:cstheme="minorEastAsia"/>
          <w:b/>
          <w:bCs w:val="0"/>
          <w:color w:val="auto"/>
          <w:sz w:val="24"/>
          <w:szCs w:val="24"/>
          <w:highlight w:val="none"/>
          <w:u w:val="none"/>
          <w:lang w:eastAsia="zh-CN"/>
        </w:rPr>
        <w:t>谈判文件</w:t>
      </w:r>
      <w:r>
        <w:rPr>
          <w:rFonts w:hint="eastAsia" w:asciiTheme="minorEastAsia" w:hAnsiTheme="minorEastAsia" w:eastAsiaTheme="minorEastAsia" w:cstheme="minorEastAsia"/>
          <w:b/>
          <w:bCs w:val="0"/>
          <w:color w:val="auto"/>
          <w:sz w:val="24"/>
          <w:szCs w:val="24"/>
          <w:highlight w:val="none"/>
          <w:u w:val="none"/>
        </w:rPr>
        <w:t>构成</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696D2FD9">
      <w:pPr>
        <w:pageBreakBefore w:val="0"/>
        <w:widowControl w:val="0"/>
        <w:kinsoku/>
        <w:wordWrap/>
        <w:overflowPunct/>
        <w:topLinePunct w:val="0"/>
        <w:bidi w:val="0"/>
        <w:spacing w:line="440" w:lineRule="exact"/>
        <w:ind w:left="825" w:hanging="900" w:hangingChars="375"/>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5.1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谈判文件分为三册共7章，内容如下：</w:t>
      </w:r>
    </w:p>
    <w:p w14:paraId="5213B271">
      <w:pPr>
        <w:pageBreakBefore w:val="0"/>
        <w:widowControl w:val="0"/>
        <w:kinsoku/>
        <w:wordWrap/>
        <w:overflowPunct/>
        <w:topLinePunct w:val="0"/>
        <w:bidi w:val="0"/>
        <w:spacing w:line="440" w:lineRule="exact"/>
        <w:ind w:firstLine="720" w:firstLineChars="300"/>
        <w:textAlignment w:val="auto"/>
        <w:rPr>
          <w:rFonts w:hint="eastAsia" w:asciiTheme="minorEastAsia" w:hAnsiTheme="minorEastAsia" w:eastAsiaTheme="minorEastAsia" w:cstheme="minorEastAsia"/>
          <w:b w:val="0"/>
          <w:bCs/>
          <w:color w:val="auto"/>
          <w:sz w:val="24"/>
          <w:szCs w:val="24"/>
          <w:highlight w:val="none"/>
        </w:rPr>
      </w:pPr>
      <w:bookmarkStart w:id="100" w:name="_Toc2506_WPSOffice_Level3"/>
      <w:r>
        <w:rPr>
          <w:rFonts w:hint="eastAsia" w:asciiTheme="minorEastAsia" w:hAnsiTheme="minorEastAsia" w:eastAsiaTheme="minorEastAsia" w:cstheme="minorEastAsia"/>
          <w:b w:val="0"/>
          <w:bCs/>
          <w:color w:val="auto"/>
          <w:sz w:val="24"/>
          <w:szCs w:val="24"/>
          <w:highlight w:val="none"/>
        </w:rPr>
        <w:t>第一册</w:t>
      </w:r>
      <w:bookmarkEnd w:id="100"/>
    </w:p>
    <w:p w14:paraId="0F711801">
      <w:pPr>
        <w:pageBreakBefore w:val="0"/>
        <w:widowControl w:val="0"/>
        <w:numPr>
          <w:ilvl w:val="0"/>
          <w:numId w:val="0"/>
        </w:numPr>
        <w:kinsoku/>
        <w:wordWrap/>
        <w:overflowPunct/>
        <w:topLinePunct w:val="0"/>
        <w:bidi w:val="0"/>
        <w:spacing w:line="440" w:lineRule="exact"/>
        <w:ind w:firstLine="720" w:firstLineChars="3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kern w:val="2"/>
          <w:sz w:val="24"/>
          <w:szCs w:val="24"/>
          <w:highlight w:val="none"/>
          <w:lang w:val="en-US" w:eastAsia="zh-CN" w:bidi="ar-SA"/>
        </w:rPr>
        <w:t>第1章</w:t>
      </w:r>
      <w:r>
        <w:rPr>
          <w:rFonts w:hint="eastAsia" w:asciiTheme="minorEastAsia" w:hAnsiTheme="minorEastAsia" w:eastAsiaTheme="minorEastAsia" w:cstheme="minorEastAsia"/>
          <w:b w:val="0"/>
          <w:bCs/>
          <w:color w:val="auto"/>
          <w:sz w:val="24"/>
          <w:szCs w:val="24"/>
          <w:highlight w:val="none"/>
        </w:rPr>
        <w:t>供应商须知</w:t>
      </w:r>
    </w:p>
    <w:p w14:paraId="5916E34D">
      <w:pPr>
        <w:pageBreakBefore w:val="0"/>
        <w:widowControl w:val="0"/>
        <w:numPr>
          <w:ilvl w:val="0"/>
          <w:numId w:val="0"/>
        </w:numPr>
        <w:kinsoku/>
        <w:wordWrap/>
        <w:overflowPunct/>
        <w:topLinePunct w:val="0"/>
        <w:bidi w:val="0"/>
        <w:spacing w:line="440" w:lineRule="exact"/>
        <w:ind w:firstLine="720" w:firstLineChars="3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kern w:val="2"/>
          <w:sz w:val="24"/>
          <w:szCs w:val="24"/>
          <w:highlight w:val="none"/>
          <w:lang w:val="en-US" w:eastAsia="zh-CN" w:bidi="ar-SA"/>
        </w:rPr>
        <w:t>第2章第2章</w:t>
      </w:r>
      <w:r>
        <w:rPr>
          <w:rFonts w:hint="eastAsia" w:asciiTheme="minorEastAsia" w:hAnsiTheme="minorEastAsia" w:eastAsiaTheme="minorEastAsia" w:cstheme="minorEastAsia"/>
          <w:b w:val="0"/>
          <w:bCs/>
          <w:color w:val="auto"/>
          <w:sz w:val="24"/>
          <w:szCs w:val="24"/>
          <w:highlight w:val="none"/>
        </w:rPr>
        <w:t xml:space="preserve"> 响应文件格式</w:t>
      </w:r>
      <w:bookmarkStart w:id="101" w:name="_Toc11700_WPSOffice_Level3"/>
    </w:p>
    <w:p w14:paraId="22C3E5AC">
      <w:pPr>
        <w:pageBreakBefore w:val="0"/>
        <w:widowControl w:val="0"/>
        <w:numPr>
          <w:ilvl w:val="0"/>
          <w:numId w:val="0"/>
        </w:numPr>
        <w:kinsoku/>
        <w:wordWrap/>
        <w:overflowPunct/>
        <w:topLinePunct w:val="0"/>
        <w:bidi w:val="0"/>
        <w:spacing w:line="440" w:lineRule="exact"/>
        <w:ind w:firstLine="720" w:firstLineChars="3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第二册</w:t>
      </w:r>
      <w:bookmarkEnd w:id="101"/>
    </w:p>
    <w:p w14:paraId="3D8692C4">
      <w:pPr>
        <w:pageBreakBefore w:val="0"/>
        <w:widowControl w:val="0"/>
        <w:numPr>
          <w:ilvl w:val="0"/>
          <w:numId w:val="0"/>
        </w:numPr>
        <w:kinsoku/>
        <w:wordWrap/>
        <w:overflowPunct/>
        <w:topLinePunct w:val="0"/>
        <w:bidi w:val="0"/>
        <w:spacing w:line="440" w:lineRule="exact"/>
        <w:ind w:left="0" w:leftChars="0" w:firstLine="720" w:firstLineChars="3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kern w:val="2"/>
          <w:sz w:val="24"/>
          <w:szCs w:val="24"/>
          <w:highlight w:val="none"/>
          <w:lang w:val="en-US" w:eastAsia="zh-CN" w:bidi="ar-SA"/>
        </w:rPr>
        <w:t>第3章</w:t>
      </w:r>
      <w:r>
        <w:rPr>
          <w:rFonts w:hint="eastAsia" w:asciiTheme="minorEastAsia" w:hAnsiTheme="minorEastAsia" w:eastAsiaTheme="minorEastAsia" w:cstheme="minorEastAsia"/>
          <w:b w:val="0"/>
          <w:bCs/>
          <w:color w:val="auto"/>
          <w:sz w:val="24"/>
          <w:szCs w:val="24"/>
          <w:highlight w:val="none"/>
        </w:rPr>
        <w:t>谈判邀请</w:t>
      </w:r>
    </w:p>
    <w:p w14:paraId="0460BFBE">
      <w:pPr>
        <w:pageBreakBefore w:val="0"/>
        <w:widowControl w:val="0"/>
        <w:numPr>
          <w:ilvl w:val="0"/>
          <w:numId w:val="1"/>
        </w:numPr>
        <w:kinsoku/>
        <w:wordWrap/>
        <w:overflowPunct/>
        <w:topLinePunct w:val="0"/>
        <w:bidi w:val="0"/>
        <w:spacing w:line="440" w:lineRule="exact"/>
        <w:ind w:left="0" w:leftChars="0" w:firstLine="720" w:firstLineChars="3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供应商须知资料表</w:t>
      </w:r>
    </w:p>
    <w:p w14:paraId="30216EC7">
      <w:pPr>
        <w:pageBreakBefore w:val="0"/>
        <w:widowControl w:val="0"/>
        <w:numPr>
          <w:ilvl w:val="0"/>
          <w:numId w:val="1"/>
        </w:numPr>
        <w:kinsoku/>
        <w:wordWrap/>
        <w:overflowPunct/>
        <w:topLinePunct w:val="0"/>
        <w:bidi w:val="0"/>
        <w:spacing w:line="440" w:lineRule="exact"/>
        <w:ind w:left="0" w:leftChars="0" w:firstLine="720" w:firstLineChars="3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货物需求</w:t>
      </w:r>
    </w:p>
    <w:p w14:paraId="1F5FAA74">
      <w:pPr>
        <w:pageBreakBefore w:val="0"/>
        <w:widowControl w:val="0"/>
        <w:numPr>
          <w:ilvl w:val="0"/>
          <w:numId w:val="1"/>
        </w:numPr>
        <w:kinsoku/>
        <w:wordWrap/>
        <w:overflowPunct/>
        <w:topLinePunct w:val="0"/>
        <w:bidi w:val="0"/>
        <w:spacing w:line="440" w:lineRule="exact"/>
        <w:ind w:left="0" w:leftChars="0" w:firstLine="720" w:firstLineChars="3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评审方法和标准</w:t>
      </w:r>
    </w:p>
    <w:p w14:paraId="7629FBD5">
      <w:pPr>
        <w:pageBreakBefore w:val="0"/>
        <w:widowControl w:val="0"/>
        <w:kinsoku/>
        <w:wordWrap/>
        <w:overflowPunct/>
        <w:topLinePunct w:val="0"/>
        <w:bidi w:val="0"/>
        <w:spacing w:line="440" w:lineRule="exact"/>
        <w:ind w:left="901"/>
        <w:textAlignment w:val="auto"/>
        <w:rPr>
          <w:rFonts w:hint="eastAsia" w:asciiTheme="minorEastAsia" w:hAnsiTheme="minorEastAsia" w:eastAsiaTheme="minorEastAsia" w:cstheme="minorEastAsia"/>
          <w:b w:val="0"/>
          <w:bCs/>
          <w:color w:val="auto"/>
          <w:sz w:val="24"/>
          <w:szCs w:val="24"/>
          <w:highlight w:val="none"/>
        </w:rPr>
      </w:pPr>
      <w:bookmarkStart w:id="102" w:name="_Toc15095_WPSOffice_Level3"/>
      <w:r>
        <w:rPr>
          <w:rFonts w:hint="eastAsia" w:asciiTheme="minorEastAsia" w:hAnsiTheme="minorEastAsia" w:eastAsiaTheme="minorEastAsia" w:cstheme="minorEastAsia"/>
          <w:b w:val="0"/>
          <w:bCs/>
          <w:color w:val="auto"/>
          <w:sz w:val="24"/>
          <w:szCs w:val="24"/>
          <w:highlight w:val="none"/>
        </w:rPr>
        <w:t>第三册</w:t>
      </w:r>
      <w:bookmarkEnd w:id="102"/>
    </w:p>
    <w:p w14:paraId="7F6E2636">
      <w:pPr>
        <w:pageBreakBefore w:val="0"/>
        <w:widowControl w:val="0"/>
        <w:kinsoku/>
        <w:wordWrap/>
        <w:overflowPunct/>
        <w:topLinePunct w:val="0"/>
        <w:bidi w:val="0"/>
        <w:spacing w:line="440" w:lineRule="exact"/>
        <w:ind w:left="901"/>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第7章  </w:t>
      </w:r>
      <w:r>
        <w:rPr>
          <w:rFonts w:hint="eastAsia" w:asciiTheme="minorEastAsia" w:hAnsiTheme="minorEastAsia" w:eastAsiaTheme="minorEastAsia" w:cstheme="minorEastAsia"/>
          <w:b w:val="0"/>
          <w:bCs/>
          <w:color w:val="auto"/>
          <w:sz w:val="24"/>
          <w:szCs w:val="24"/>
          <w:highlight w:val="none"/>
        </w:rPr>
        <w:t>政府采购合同格式</w:t>
      </w:r>
    </w:p>
    <w:p w14:paraId="76A9414D">
      <w:pPr>
        <w:keepNext w:val="0"/>
        <w:keepLines w:val="0"/>
        <w:pageBreakBefore w:val="0"/>
        <w:widowControl w:val="0"/>
        <w:kinsoku/>
        <w:wordWrap/>
        <w:overflowPunct/>
        <w:topLinePunct w:val="0"/>
        <w:autoSpaceDE/>
        <w:autoSpaceDN/>
        <w:bidi w:val="0"/>
        <w:adjustRightInd/>
        <w:snapToGrid/>
        <w:spacing w:line="440" w:lineRule="exact"/>
        <w:ind w:left="825" w:hanging="900" w:hangingChars="375"/>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5.2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如本文件的前后内容不一致，以最后描述为准。</w:t>
      </w:r>
    </w:p>
    <w:p w14:paraId="77C086A0">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5.</w:t>
      </w:r>
      <w:r>
        <w:rPr>
          <w:rFonts w:hint="eastAsia" w:asciiTheme="minorEastAsia" w:hAnsiTheme="minorEastAsia" w:eastAsiaTheme="minorEastAsia" w:cstheme="minorEastAsia"/>
          <w:b w:val="0"/>
          <w:bCs/>
          <w:color w:val="auto"/>
          <w:sz w:val="24"/>
          <w:szCs w:val="24"/>
          <w:highlight w:val="none"/>
          <w:lang w:val="en-US" w:eastAsia="zh-CN"/>
        </w:rPr>
        <w:t xml:space="preserve">3  </w:t>
      </w:r>
      <w:r>
        <w:rPr>
          <w:rFonts w:hint="eastAsia" w:asciiTheme="minorEastAsia" w:hAnsiTheme="minorEastAsia" w:eastAsiaTheme="minorEastAsia" w:cstheme="minorEastAsia"/>
          <w:b w:val="0"/>
          <w:bCs/>
          <w:color w:val="auto"/>
          <w:sz w:val="24"/>
          <w:szCs w:val="24"/>
          <w:highlight w:val="none"/>
        </w:rPr>
        <w:t>供应商应认真阅读谈判文件所有的事项、格式、条款和技术规范等。如供应商没有按照谈判文件要求提交全部资料，或者响应文件没有对谈判文件在各方面都做出实质性响应，可能导致其响应文件将被认定为无效。</w:t>
      </w:r>
    </w:p>
    <w:p w14:paraId="25C46208">
      <w:pPr>
        <w:pStyle w:val="4"/>
        <w:pageBreakBefore w:val="0"/>
        <w:widowControl w:val="0"/>
        <w:kinsoku/>
        <w:wordWrap/>
        <w:overflowPunct/>
        <w:topLinePunct w:val="0"/>
        <w:bidi w:val="0"/>
        <w:spacing w:before="0" w:after="0" w:line="440" w:lineRule="exac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103" w:name="_Toc520356148"/>
      <w:bookmarkStart w:id="104" w:name="_Toc515904805"/>
      <w:bookmarkStart w:id="105" w:name="_Toc8599"/>
      <w:bookmarkStart w:id="106" w:name="_Toc1922"/>
      <w:bookmarkStart w:id="107" w:name="_Toc27908"/>
      <w:bookmarkStart w:id="108" w:name="_Toc26044"/>
      <w:bookmarkStart w:id="109" w:name="_Toc8040"/>
      <w:bookmarkStart w:id="110" w:name="_Toc24349"/>
      <w:bookmarkStart w:id="111" w:name="_Toc3601"/>
      <w:bookmarkStart w:id="112" w:name="_Toc31062_WPSOffice_Level2"/>
      <w:bookmarkStart w:id="113" w:name="_Toc18624"/>
      <w:bookmarkStart w:id="114" w:name="_Toc23345"/>
      <w:bookmarkStart w:id="115" w:name="_Toc3480"/>
      <w:bookmarkStart w:id="116" w:name="_Toc9232"/>
      <w:bookmarkStart w:id="117" w:name="_Toc12361"/>
      <w:bookmarkStart w:id="118" w:name="_Toc3401"/>
      <w:r>
        <w:rPr>
          <w:rFonts w:hint="eastAsia" w:asciiTheme="minorEastAsia" w:hAnsiTheme="minorEastAsia" w:eastAsiaTheme="minorEastAsia" w:cstheme="minorEastAsia"/>
          <w:b/>
          <w:bCs w:val="0"/>
          <w:color w:val="auto"/>
          <w:sz w:val="24"/>
          <w:szCs w:val="24"/>
          <w:highlight w:val="none"/>
          <w:u w:val="none"/>
        </w:rPr>
        <w:t>6.</w:t>
      </w:r>
      <w:r>
        <w:rPr>
          <w:rFonts w:hint="eastAsia" w:asciiTheme="minorEastAsia" w:hAnsiTheme="minorEastAsia" w:eastAsiaTheme="minorEastAsia" w:cstheme="minorEastAsia"/>
          <w:b/>
          <w:bCs w:val="0"/>
          <w:color w:val="auto"/>
          <w:sz w:val="24"/>
          <w:szCs w:val="24"/>
          <w:highlight w:val="none"/>
          <w:u w:val="none"/>
          <w:lang w:eastAsia="zh-CN"/>
        </w:rPr>
        <w:t>谈判文件</w:t>
      </w:r>
      <w:r>
        <w:rPr>
          <w:rFonts w:hint="eastAsia" w:asciiTheme="minorEastAsia" w:hAnsiTheme="minorEastAsia" w:eastAsiaTheme="minorEastAsia" w:cstheme="minorEastAsia"/>
          <w:b/>
          <w:bCs w:val="0"/>
          <w:color w:val="auto"/>
          <w:sz w:val="24"/>
          <w:szCs w:val="24"/>
          <w:highlight w:val="none"/>
          <w:u w:val="none"/>
        </w:rPr>
        <w:t>的澄清</w:t>
      </w:r>
      <w:bookmarkEnd w:id="103"/>
      <w:bookmarkEnd w:id="104"/>
      <w:r>
        <w:rPr>
          <w:rFonts w:hint="eastAsia" w:asciiTheme="minorEastAsia" w:hAnsiTheme="minorEastAsia" w:eastAsiaTheme="minorEastAsia" w:cstheme="minorEastAsia"/>
          <w:b/>
          <w:bCs w:val="0"/>
          <w:color w:val="auto"/>
          <w:sz w:val="24"/>
          <w:szCs w:val="24"/>
          <w:highlight w:val="none"/>
          <w:u w:val="none"/>
        </w:rPr>
        <w:t>与修改</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5870821F">
      <w:pPr>
        <w:pStyle w:val="8"/>
        <w:keepNext w:val="0"/>
        <w:keepLines w:val="0"/>
        <w:pageBreakBefore w:val="0"/>
        <w:widowControl w:val="0"/>
        <w:kinsoku/>
        <w:wordWrap/>
        <w:overflowPunct/>
        <w:topLinePunct w:val="0"/>
        <w:autoSpaceDE w:val="0"/>
        <w:autoSpaceDN w:val="0"/>
        <w:bidi w:val="0"/>
        <w:adjustRightInd w:val="0"/>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6.1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为了保证对谈判文件的澄清和修改满足法律的时限要求，任何要求对谈判文件进行澄清的供应商，均应在递交响应文件截止之日3个工作日前，以书面形式将澄清要求通知采购人或采购代理机构。</w:t>
      </w:r>
    </w:p>
    <w:p w14:paraId="10037155">
      <w:pPr>
        <w:pStyle w:val="8"/>
        <w:keepNext w:val="0"/>
        <w:keepLines w:val="0"/>
        <w:pageBreakBefore w:val="0"/>
        <w:widowControl w:val="0"/>
        <w:kinsoku/>
        <w:wordWrap/>
        <w:overflowPunct/>
        <w:topLinePunct w:val="0"/>
        <w:autoSpaceDE w:val="0"/>
        <w:autoSpaceDN w:val="0"/>
        <w:bidi w:val="0"/>
        <w:adjustRightInd w:val="0"/>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bookmarkStart w:id="119" w:name="_Ref467378678"/>
      <w:bookmarkStart w:id="120" w:name="_Toc515904806"/>
      <w:bookmarkStart w:id="121" w:name="_Toc520356149"/>
      <w:r>
        <w:rPr>
          <w:rFonts w:hint="eastAsia" w:asciiTheme="minorEastAsia" w:hAnsiTheme="minorEastAsia" w:eastAsiaTheme="minorEastAsia" w:cstheme="minorEastAsia"/>
          <w:b w:val="0"/>
          <w:bCs/>
          <w:color w:val="auto"/>
          <w:sz w:val="24"/>
          <w:szCs w:val="24"/>
          <w:highlight w:val="none"/>
        </w:rPr>
        <w:t>6.2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采购人可主动地或在解答供应商提出的澄清问题时对谈判文件进行澄清或修改。采购代理机构将以发布澄清（更正）公告的方式，澄清或修改谈判文件，澄清或修改内容作为谈判文件的组成部分。</w:t>
      </w:r>
    </w:p>
    <w:p w14:paraId="5A3E71CF">
      <w:pPr>
        <w:pStyle w:val="8"/>
        <w:keepNext w:val="0"/>
        <w:keepLines w:val="0"/>
        <w:pageBreakBefore w:val="0"/>
        <w:widowControl w:val="0"/>
        <w:kinsoku/>
        <w:wordWrap/>
        <w:overflowPunct/>
        <w:topLinePunct w:val="0"/>
        <w:autoSpaceDE w:val="0"/>
        <w:autoSpaceDN w:val="0"/>
        <w:bidi w:val="0"/>
        <w:adjustRightInd w:val="0"/>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6.3</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澄清或者修改的内容可能影响响应文件编制的，采购代理机构将以书面形式通知所有购买谈判文件的潜在供应商，并对其具有约束力。供应商在收到上述通知后，应及时向采购代理机构回函确认。</w:t>
      </w:r>
    </w:p>
    <w:p w14:paraId="13B5DB0D">
      <w:pPr>
        <w:pStyle w:val="4"/>
        <w:pageBreakBefore w:val="0"/>
        <w:widowControl w:val="0"/>
        <w:kinsoku/>
        <w:wordWrap/>
        <w:overflowPunct/>
        <w:topLinePunct w:val="0"/>
        <w:bidi w:val="0"/>
        <w:spacing w:before="0" w:after="0" w:line="440" w:lineRule="exac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122" w:name="_Toc21261"/>
      <w:bookmarkStart w:id="123" w:name="_Toc26413"/>
      <w:bookmarkStart w:id="124" w:name="_Toc7819"/>
      <w:bookmarkStart w:id="125" w:name="_Toc22578_WPSOffice_Level2"/>
      <w:bookmarkStart w:id="126" w:name="_Toc30331"/>
      <w:bookmarkStart w:id="127" w:name="_Toc8242"/>
      <w:bookmarkStart w:id="128" w:name="_Toc12448"/>
      <w:bookmarkStart w:id="129" w:name="_Toc25822"/>
      <w:bookmarkStart w:id="130" w:name="_Toc25635"/>
      <w:bookmarkStart w:id="131" w:name="_Toc30802"/>
      <w:bookmarkStart w:id="132" w:name="_Toc32508"/>
      <w:bookmarkStart w:id="133" w:name="_Toc14569"/>
      <w:bookmarkStart w:id="134" w:name="_Toc29893"/>
      <w:bookmarkStart w:id="135" w:name="_Toc1738"/>
      <w:r>
        <w:rPr>
          <w:rFonts w:hint="eastAsia" w:asciiTheme="minorEastAsia" w:hAnsiTheme="minorEastAsia" w:eastAsiaTheme="minorEastAsia" w:cstheme="minorEastAsia"/>
          <w:b/>
          <w:bCs w:val="0"/>
          <w:color w:val="auto"/>
          <w:sz w:val="24"/>
          <w:szCs w:val="24"/>
          <w:highlight w:val="none"/>
          <w:u w:val="none"/>
        </w:rPr>
        <w:t>7</w:t>
      </w:r>
      <w:bookmarkEnd w:id="119"/>
      <w:bookmarkEnd w:id="120"/>
      <w:bookmarkEnd w:id="121"/>
      <w:r>
        <w:rPr>
          <w:rFonts w:hint="eastAsia" w:asciiTheme="minorEastAsia" w:hAnsiTheme="minorEastAsia" w:eastAsiaTheme="minorEastAsia" w:cstheme="minorEastAsia"/>
          <w:b/>
          <w:bCs w:val="0"/>
          <w:color w:val="auto"/>
          <w:sz w:val="24"/>
          <w:szCs w:val="24"/>
          <w:highlight w:val="none"/>
          <w:u w:val="none"/>
        </w:rPr>
        <w:t>.</w:t>
      </w:r>
      <w:r>
        <w:rPr>
          <w:rFonts w:hint="eastAsia" w:asciiTheme="minorEastAsia" w:hAnsiTheme="minorEastAsia" w:eastAsiaTheme="minorEastAsia" w:cstheme="minorEastAsia"/>
          <w:b/>
          <w:bCs w:val="0"/>
          <w:color w:val="auto"/>
          <w:sz w:val="24"/>
          <w:szCs w:val="24"/>
          <w:highlight w:val="none"/>
          <w:u w:val="none"/>
          <w:lang w:val="en-US" w:eastAsia="zh-CN"/>
        </w:rPr>
        <w:t>上传</w:t>
      </w:r>
      <w:r>
        <w:rPr>
          <w:rFonts w:hint="eastAsia" w:asciiTheme="minorEastAsia" w:hAnsiTheme="minorEastAsia" w:eastAsiaTheme="minorEastAsia" w:cstheme="minorEastAsia"/>
          <w:b/>
          <w:bCs w:val="0"/>
          <w:color w:val="auto"/>
          <w:sz w:val="24"/>
          <w:szCs w:val="24"/>
          <w:highlight w:val="none"/>
          <w:u w:val="none"/>
          <w:lang w:eastAsia="zh-CN"/>
        </w:rPr>
        <w:t>响应文件截止时间</w:t>
      </w:r>
      <w:r>
        <w:rPr>
          <w:rFonts w:hint="eastAsia" w:asciiTheme="minorEastAsia" w:hAnsiTheme="minorEastAsia" w:eastAsiaTheme="minorEastAsia" w:cstheme="minorEastAsia"/>
          <w:b/>
          <w:bCs w:val="0"/>
          <w:color w:val="auto"/>
          <w:sz w:val="24"/>
          <w:szCs w:val="24"/>
          <w:highlight w:val="none"/>
          <w:u w:val="none"/>
        </w:rPr>
        <w:t>的顺延</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33A16377">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ab/>
      </w:r>
      <w:r>
        <w:rPr>
          <w:rFonts w:hint="eastAsia" w:asciiTheme="minorEastAsia" w:hAnsiTheme="minorEastAsia" w:eastAsiaTheme="minorEastAsia" w:cstheme="minorEastAsia"/>
          <w:b w:val="0"/>
          <w:bCs/>
          <w:color w:val="auto"/>
          <w:kern w:val="0"/>
          <w:sz w:val="24"/>
          <w:szCs w:val="24"/>
          <w:highlight w:val="none"/>
          <w:lang w:val="en-US" w:eastAsia="zh-CN" w:bidi="ar-SA"/>
        </w:rPr>
        <w:t>为使供应商准备谈判时有足够的时间对谈判文件的澄清或者修改部分进行研究，采购人将依法决定是否顺延上传响应文件截止时间。</w:t>
      </w:r>
    </w:p>
    <w:p w14:paraId="71ABDD2F">
      <w:pPr>
        <w:pStyle w:val="3"/>
        <w:pageBreakBefore w:val="0"/>
        <w:widowControl w:val="0"/>
        <w:kinsoku/>
        <w:wordWrap/>
        <w:overflowPunct/>
        <w:topLinePunct w:val="0"/>
        <w:bidi w:val="0"/>
        <w:spacing w:before="0" w:line="440" w:lineRule="exact"/>
        <w:ind w:left="1157" w:leftChars="257" w:hanging="540"/>
        <w:textAlignment w:val="auto"/>
        <w:outlineLvl w:val="1"/>
        <w:rPr>
          <w:rFonts w:hint="eastAsia" w:asciiTheme="minorEastAsia" w:hAnsiTheme="minorEastAsia" w:eastAsiaTheme="minorEastAsia" w:cstheme="minorEastAsia"/>
          <w:b/>
          <w:bCs w:val="0"/>
          <w:color w:val="auto"/>
          <w:sz w:val="24"/>
          <w:szCs w:val="24"/>
          <w:highlight w:val="none"/>
        </w:rPr>
      </w:pPr>
      <w:bookmarkStart w:id="136" w:name="_Toc516367020"/>
      <w:bookmarkStart w:id="137" w:name="_Toc515647766"/>
      <w:bookmarkStart w:id="138" w:name="_Toc18537_WPSOffice_Level1"/>
      <w:bookmarkStart w:id="139" w:name="_Toc7636"/>
      <w:bookmarkStart w:id="140" w:name="_Toc31039"/>
      <w:bookmarkStart w:id="141" w:name="_Toc520356150"/>
      <w:bookmarkStart w:id="142" w:name="_Toc30808"/>
      <w:bookmarkStart w:id="143" w:name="_Toc2975"/>
      <w:bookmarkStart w:id="144" w:name="_Toc216582807"/>
      <w:r>
        <w:rPr>
          <w:rFonts w:hint="eastAsia" w:asciiTheme="minorEastAsia" w:hAnsiTheme="minorEastAsia" w:eastAsiaTheme="minorEastAsia" w:cstheme="minorEastAsia"/>
          <w:b/>
          <w:bCs w:val="0"/>
          <w:color w:val="auto"/>
          <w:sz w:val="24"/>
          <w:szCs w:val="24"/>
          <w:highlight w:val="none"/>
        </w:rPr>
        <w:t xml:space="preserve">三   </w:t>
      </w:r>
      <w:bookmarkEnd w:id="136"/>
      <w:r>
        <w:rPr>
          <w:rFonts w:hint="eastAsia" w:asciiTheme="minorEastAsia" w:hAnsiTheme="minorEastAsia" w:eastAsiaTheme="minorEastAsia" w:cstheme="minorEastAsia"/>
          <w:b/>
          <w:bCs w:val="0"/>
          <w:color w:val="auto"/>
          <w:sz w:val="24"/>
          <w:szCs w:val="24"/>
          <w:highlight w:val="none"/>
          <w:lang w:eastAsia="zh-CN"/>
        </w:rPr>
        <w:t>响应文件</w:t>
      </w:r>
      <w:r>
        <w:rPr>
          <w:rFonts w:hint="eastAsia" w:asciiTheme="minorEastAsia" w:hAnsiTheme="minorEastAsia" w:eastAsiaTheme="minorEastAsia" w:cstheme="minorEastAsia"/>
          <w:b/>
          <w:bCs w:val="0"/>
          <w:color w:val="auto"/>
          <w:sz w:val="24"/>
          <w:szCs w:val="24"/>
          <w:highlight w:val="none"/>
        </w:rPr>
        <w:t>的编制</w:t>
      </w:r>
      <w:bookmarkEnd w:id="137"/>
      <w:bookmarkEnd w:id="138"/>
      <w:bookmarkEnd w:id="139"/>
      <w:bookmarkEnd w:id="140"/>
      <w:bookmarkEnd w:id="141"/>
      <w:bookmarkEnd w:id="142"/>
      <w:bookmarkEnd w:id="143"/>
      <w:bookmarkEnd w:id="144"/>
    </w:p>
    <w:p w14:paraId="0AAB978A">
      <w:pPr>
        <w:pStyle w:val="4"/>
        <w:pageBreakBefore w:val="0"/>
        <w:widowControl w:val="0"/>
        <w:kinsoku/>
        <w:wordWrap/>
        <w:overflowPunct/>
        <w:topLinePunct w:val="0"/>
        <w:bidi w:val="0"/>
        <w:spacing w:before="0" w:after="0" w:line="440" w:lineRule="exac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145" w:name="_Toc7786"/>
      <w:bookmarkStart w:id="146" w:name="_Toc30570"/>
      <w:bookmarkStart w:id="147" w:name="_Toc27977"/>
      <w:bookmarkStart w:id="148" w:name="_Toc16119"/>
      <w:bookmarkStart w:id="149" w:name="_Toc10141"/>
      <w:bookmarkStart w:id="150" w:name="_Toc515647767"/>
      <w:bookmarkStart w:id="151" w:name="_Toc11939"/>
      <w:bookmarkStart w:id="152" w:name="_Toc337_WPSOffice_Level2"/>
      <w:bookmarkStart w:id="153" w:name="_Toc5158"/>
      <w:bookmarkStart w:id="154" w:name="_Toc20481"/>
      <w:bookmarkStart w:id="155" w:name="_Toc27230"/>
      <w:bookmarkStart w:id="156" w:name="_Toc21169"/>
      <w:bookmarkStart w:id="157" w:name="_Toc520356151"/>
      <w:bookmarkStart w:id="158" w:name="_Toc8492"/>
      <w:bookmarkStart w:id="159" w:name="_Toc25767"/>
      <w:bookmarkStart w:id="160" w:name="_Toc516367021"/>
      <w:bookmarkStart w:id="161" w:name="_Toc3553"/>
      <w:r>
        <w:rPr>
          <w:rFonts w:hint="eastAsia" w:asciiTheme="minorEastAsia" w:hAnsiTheme="minorEastAsia" w:eastAsiaTheme="minorEastAsia" w:cstheme="minorEastAsia"/>
          <w:b/>
          <w:bCs w:val="0"/>
          <w:color w:val="auto"/>
          <w:sz w:val="24"/>
          <w:szCs w:val="24"/>
          <w:highlight w:val="none"/>
          <w:u w:val="none"/>
        </w:rPr>
        <w:t>8.</w:t>
      </w:r>
      <w:r>
        <w:rPr>
          <w:rFonts w:hint="eastAsia" w:asciiTheme="minorEastAsia" w:hAnsiTheme="minorEastAsia" w:eastAsiaTheme="minorEastAsia" w:cstheme="minorEastAsia"/>
          <w:b/>
          <w:bCs w:val="0"/>
          <w:color w:val="auto"/>
          <w:sz w:val="24"/>
          <w:szCs w:val="24"/>
          <w:highlight w:val="none"/>
          <w:u w:val="none"/>
        </w:rPr>
        <w:tab/>
      </w:r>
      <w:r>
        <w:rPr>
          <w:rFonts w:hint="eastAsia" w:asciiTheme="minorEastAsia" w:hAnsiTheme="minorEastAsia" w:eastAsiaTheme="minorEastAsia" w:cstheme="minorEastAsia"/>
          <w:b/>
          <w:bCs w:val="0"/>
          <w:color w:val="auto"/>
          <w:sz w:val="24"/>
          <w:szCs w:val="24"/>
          <w:highlight w:val="none"/>
          <w:u w:val="none"/>
          <w:lang w:val="en-US" w:eastAsia="zh-CN"/>
        </w:rPr>
        <w:t>谈判报价</w:t>
      </w:r>
      <w:r>
        <w:rPr>
          <w:rFonts w:hint="eastAsia" w:asciiTheme="minorEastAsia" w:hAnsiTheme="minorEastAsia" w:eastAsiaTheme="minorEastAsia" w:cstheme="minorEastAsia"/>
          <w:b/>
          <w:bCs w:val="0"/>
          <w:color w:val="auto"/>
          <w:sz w:val="24"/>
          <w:szCs w:val="24"/>
          <w:highlight w:val="none"/>
          <w:u w:val="none"/>
        </w:rPr>
        <w:t>范围及</w:t>
      </w:r>
      <w:r>
        <w:rPr>
          <w:rFonts w:hint="eastAsia" w:asciiTheme="minorEastAsia" w:hAnsiTheme="minorEastAsia" w:eastAsiaTheme="minorEastAsia" w:cstheme="minorEastAsia"/>
          <w:b/>
          <w:bCs w:val="0"/>
          <w:color w:val="auto"/>
          <w:sz w:val="24"/>
          <w:szCs w:val="24"/>
          <w:highlight w:val="none"/>
          <w:u w:val="none"/>
          <w:lang w:eastAsia="zh-CN"/>
        </w:rPr>
        <w:t>响应文件成交</w:t>
      </w:r>
      <w:r>
        <w:rPr>
          <w:rFonts w:hint="eastAsia" w:asciiTheme="minorEastAsia" w:hAnsiTheme="minorEastAsia" w:eastAsiaTheme="minorEastAsia" w:cstheme="minorEastAsia"/>
          <w:b/>
          <w:bCs w:val="0"/>
          <w:color w:val="auto"/>
          <w:sz w:val="24"/>
          <w:szCs w:val="24"/>
          <w:highlight w:val="none"/>
          <w:u w:val="none"/>
        </w:rPr>
        <w:t>准和计量单位的使用</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34E24149">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8.1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项目有分包的，供应商可对谈判文件其中某一个或几个分包货物进行</w:t>
      </w:r>
      <w:r>
        <w:rPr>
          <w:rFonts w:hint="eastAsia" w:asciiTheme="minorEastAsia" w:hAnsiTheme="minorEastAsia" w:eastAsiaTheme="minorEastAsia" w:cstheme="minorEastAsia"/>
          <w:b w:val="0"/>
          <w:bCs/>
          <w:color w:val="auto"/>
          <w:sz w:val="24"/>
          <w:szCs w:val="24"/>
          <w:highlight w:val="none"/>
          <w:lang w:eastAsia="zh-CN"/>
        </w:rPr>
        <w:t>响应</w:t>
      </w:r>
      <w:r>
        <w:rPr>
          <w:rFonts w:hint="eastAsia" w:asciiTheme="minorEastAsia" w:hAnsiTheme="minorEastAsia" w:eastAsiaTheme="minorEastAsia" w:cstheme="minorEastAsia"/>
          <w:b w:val="0"/>
          <w:bCs/>
          <w:color w:val="auto"/>
          <w:sz w:val="24"/>
          <w:szCs w:val="24"/>
          <w:highlight w:val="none"/>
        </w:rPr>
        <w:t>，除非在</w:t>
      </w:r>
      <w:r>
        <w:rPr>
          <w:rFonts w:hint="eastAsia" w:asciiTheme="minorEastAsia" w:hAnsiTheme="minorEastAsia" w:eastAsiaTheme="minorEastAsia" w:cstheme="minorEastAsia"/>
          <w:b w:val="0"/>
          <w:bCs/>
          <w:color w:val="auto"/>
          <w:sz w:val="24"/>
          <w:szCs w:val="24"/>
          <w:highlight w:val="none"/>
          <w:u w:val="single"/>
        </w:rPr>
        <w:t>供应商须知资料表</w:t>
      </w:r>
      <w:r>
        <w:rPr>
          <w:rFonts w:hint="eastAsia" w:asciiTheme="minorEastAsia" w:hAnsiTheme="minorEastAsia" w:eastAsiaTheme="minorEastAsia" w:cstheme="minorEastAsia"/>
          <w:b w:val="0"/>
          <w:bCs/>
          <w:color w:val="auto"/>
          <w:sz w:val="24"/>
          <w:szCs w:val="24"/>
          <w:highlight w:val="none"/>
        </w:rPr>
        <w:t>中另有规定。</w:t>
      </w:r>
    </w:p>
    <w:p w14:paraId="73264661">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8.2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供应商应当对所投分包谈判文件中“</w:t>
      </w:r>
      <w:r>
        <w:rPr>
          <w:rFonts w:hint="eastAsia" w:asciiTheme="minorEastAsia" w:hAnsiTheme="minorEastAsia" w:eastAsiaTheme="minorEastAsia" w:cstheme="minorEastAsia"/>
          <w:b w:val="0"/>
          <w:bCs/>
          <w:color w:val="auto"/>
          <w:sz w:val="24"/>
          <w:szCs w:val="24"/>
          <w:highlight w:val="none"/>
          <w:lang w:val="en-US" w:eastAsia="zh-CN"/>
        </w:rPr>
        <w:t>货物需求一览表</w:t>
      </w:r>
      <w:r>
        <w:rPr>
          <w:rFonts w:hint="eastAsia" w:asciiTheme="minorEastAsia" w:hAnsiTheme="minorEastAsia" w:eastAsiaTheme="minorEastAsia" w:cstheme="minorEastAsia"/>
          <w:b w:val="0"/>
          <w:bCs/>
          <w:color w:val="auto"/>
          <w:sz w:val="24"/>
          <w:szCs w:val="24"/>
          <w:highlight w:val="none"/>
        </w:rPr>
        <w:t>”所列的所有内容进行报价，如仅响应某一包中的部分内容，其该包将被认定为无效。</w:t>
      </w:r>
    </w:p>
    <w:p w14:paraId="3073D5C6">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8.3</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无论谈判文件第5章货物需求一览表及项目要求中是否要求，供应商所投货物均应符合国家强制性标准。</w:t>
      </w:r>
    </w:p>
    <w:p w14:paraId="41FD722E">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8.4</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除谈判文件中有特殊要求外，响应文件中所使用的计量单位，应采用中华人民共和国法定计量单位。</w:t>
      </w:r>
    </w:p>
    <w:p w14:paraId="3B962C25">
      <w:pPr>
        <w:pStyle w:val="4"/>
        <w:pageBreakBefore w:val="0"/>
        <w:widowControl w:val="0"/>
        <w:kinsoku/>
        <w:wordWrap/>
        <w:overflowPunct/>
        <w:topLinePunct w:val="0"/>
        <w:bidi w:val="0"/>
        <w:spacing w:before="0" w:after="0" w:line="440" w:lineRule="exac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162" w:name="_Ref467306195"/>
      <w:bookmarkStart w:id="163" w:name="_Ref467306676"/>
      <w:bookmarkStart w:id="164" w:name="_Toc516367022"/>
      <w:bookmarkStart w:id="165" w:name="_Toc7246"/>
      <w:bookmarkStart w:id="166" w:name="_Toc12651"/>
      <w:bookmarkStart w:id="167" w:name="_Toc27167_WPSOffice_Level2"/>
      <w:bookmarkStart w:id="168" w:name="_Toc11014"/>
      <w:bookmarkStart w:id="169" w:name="_Toc15478"/>
      <w:bookmarkStart w:id="170" w:name="_Toc28307"/>
      <w:bookmarkStart w:id="171" w:name="_Toc27941"/>
      <w:bookmarkStart w:id="172" w:name="_Toc10364"/>
      <w:bookmarkStart w:id="173" w:name="_Toc20228"/>
      <w:bookmarkStart w:id="174" w:name="_Toc515647768"/>
      <w:bookmarkStart w:id="175" w:name="_Toc25203"/>
      <w:bookmarkStart w:id="176" w:name="_Toc20797"/>
      <w:bookmarkStart w:id="177" w:name="_Toc8226"/>
      <w:bookmarkStart w:id="178" w:name="_Toc18692"/>
      <w:bookmarkStart w:id="179" w:name="_Toc520356152"/>
      <w:bookmarkStart w:id="180" w:name="_Toc2332"/>
      <w:r>
        <w:rPr>
          <w:rFonts w:hint="eastAsia" w:asciiTheme="minorEastAsia" w:hAnsiTheme="minorEastAsia" w:eastAsiaTheme="minorEastAsia" w:cstheme="minorEastAsia"/>
          <w:b/>
          <w:bCs w:val="0"/>
          <w:color w:val="auto"/>
          <w:sz w:val="24"/>
          <w:szCs w:val="24"/>
          <w:highlight w:val="none"/>
          <w:u w:val="none"/>
        </w:rPr>
        <w:t>9.</w:t>
      </w:r>
      <w:bookmarkEnd w:id="162"/>
      <w:bookmarkEnd w:id="163"/>
      <w:bookmarkEnd w:id="164"/>
      <w:r>
        <w:rPr>
          <w:rFonts w:hint="eastAsia" w:asciiTheme="minorEastAsia" w:hAnsiTheme="minorEastAsia" w:eastAsiaTheme="minorEastAsia" w:cstheme="minorEastAsia"/>
          <w:b/>
          <w:bCs w:val="0"/>
          <w:color w:val="auto"/>
          <w:sz w:val="24"/>
          <w:szCs w:val="24"/>
          <w:highlight w:val="none"/>
          <w:u w:val="none"/>
          <w:lang w:eastAsia="zh-CN"/>
        </w:rPr>
        <w:t>响应文件</w:t>
      </w:r>
      <w:r>
        <w:rPr>
          <w:rFonts w:hint="eastAsia" w:asciiTheme="minorEastAsia" w:hAnsiTheme="minorEastAsia" w:eastAsiaTheme="minorEastAsia" w:cstheme="minorEastAsia"/>
          <w:b/>
          <w:bCs w:val="0"/>
          <w:color w:val="auto"/>
          <w:sz w:val="24"/>
          <w:szCs w:val="24"/>
          <w:highlight w:val="none"/>
          <w:u w:val="none"/>
        </w:rPr>
        <w:t>构成</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10E9C3CF">
      <w:pPr>
        <w:keepNext w:val="0"/>
        <w:keepLines w:val="0"/>
        <w:pageBreakBefore w:val="0"/>
        <w:widowControl w:val="0"/>
        <w:tabs>
          <w:tab w:val="left" w:pos="900"/>
          <w:tab w:val="left" w:pos="5580"/>
        </w:tabs>
        <w:kinsoku/>
        <w:wordWrap/>
        <w:overflowPunct/>
        <w:topLinePunct w:val="0"/>
        <w:autoSpaceDE/>
        <w:autoSpaceDN/>
        <w:bidi w:val="0"/>
        <w:adjustRightInd/>
        <w:snapToGrid/>
        <w:spacing w:line="440" w:lineRule="exact"/>
        <w:ind w:left="0" w:firstLine="0" w:firstLineChars="0"/>
        <w:jc w:val="left"/>
        <w:textAlignment w:val="auto"/>
        <w:rPr>
          <w:rFonts w:hint="eastAsia" w:asciiTheme="minorEastAsia" w:hAnsiTheme="minorEastAsia" w:eastAsiaTheme="minorEastAsia" w:cstheme="minorEastAsia"/>
          <w:b w:val="0"/>
          <w:bCs/>
          <w:color w:val="auto"/>
          <w:sz w:val="24"/>
          <w:szCs w:val="24"/>
          <w:highlight w:val="none"/>
          <w:u w:val="single"/>
        </w:rPr>
      </w:pPr>
      <w:bookmarkStart w:id="181" w:name="_Ref467052588"/>
      <w:r>
        <w:rPr>
          <w:rFonts w:hint="eastAsia" w:asciiTheme="minorEastAsia" w:hAnsiTheme="minorEastAsia" w:eastAsiaTheme="minorEastAsia" w:cstheme="minorEastAsia"/>
          <w:b w:val="0"/>
          <w:bCs/>
          <w:color w:val="auto"/>
          <w:sz w:val="24"/>
          <w:szCs w:val="24"/>
          <w:highlight w:val="none"/>
        </w:rPr>
        <w:t>9.1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bCs w:val="0"/>
          <w:color w:val="auto"/>
          <w:sz w:val="24"/>
          <w:szCs w:val="24"/>
          <w:highlight w:val="none"/>
          <w:u w:val="single"/>
        </w:rPr>
        <w:t>供应商应完整地按</w:t>
      </w:r>
      <w:r>
        <w:rPr>
          <w:rFonts w:hint="eastAsia" w:asciiTheme="minorEastAsia" w:hAnsiTheme="minorEastAsia" w:eastAsiaTheme="minorEastAsia" w:cstheme="minorEastAsia"/>
          <w:b/>
          <w:bCs w:val="0"/>
          <w:color w:val="auto"/>
          <w:sz w:val="24"/>
          <w:szCs w:val="24"/>
          <w:highlight w:val="none"/>
          <w:u w:val="single"/>
          <w:lang w:eastAsia="zh-CN"/>
        </w:rPr>
        <w:t>谈判文件</w:t>
      </w:r>
      <w:r>
        <w:rPr>
          <w:rFonts w:hint="eastAsia" w:asciiTheme="minorEastAsia" w:hAnsiTheme="minorEastAsia" w:eastAsiaTheme="minorEastAsia" w:cstheme="minorEastAsia"/>
          <w:b/>
          <w:bCs w:val="0"/>
          <w:color w:val="auto"/>
          <w:sz w:val="24"/>
          <w:szCs w:val="24"/>
          <w:highlight w:val="none"/>
          <w:u w:val="single"/>
        </w:rPr>
        <w:t>提供的</w:t>
      </w:r>
      <w:r>
        <w:rPr>
          <w:rFonts w:hint="eastAsia" w:asciiTheme="minorEastAsia" w:hAnsiTheme="minorEastAsia" w:eastAsiaTheme="minorEastAsia" w:cstheme="minorEastAsia"/>
          <w:b/>
          <w:bCs w:val="0"/>
          <w:color w:val="auto"/>
          <w:sz w:val="24"/>
          <w:szCs w:val="24"/>
          <w:highlight w:val="none"/>
          <w:u w:val="single"/>
          <w:lang w:eastAsia="zh-CN"/>
        </w:rPr>
        <w:t>响应文件</w:t>
      </w:r>
      <w:r>
        <w:rPr>
          <w:rFonts w:hint="eastAsia" w:asciiTheme="minorEastAsia" w:hAnsiTheme="minorEastAsia" w:eastAsiaTheme="minorEastAsia" w:cstheme="minorEastAsia"/>
          <w:b/>
          <w:bCs w:val="0"/>
          <w:color w:val="auto"/>
          <w:sz w:val="24"/>
          <w:szCs w:val="24"/>
          <w:highlight w:val="none"/>
          <w:u w:val="single"/>
        </w:rPr>
        <w:t>格式及要求编写</w:t>
      </w:r>
      <w:r>
        <w:rPr>
          <w:rFonts w:hint="eastAsia" w:asciiTheme="minorEastAsia" w:hAnsiTheme="minorEastAsia" w:eastAsiaTheme="minorEastAsia" w:cstheme="minorEastAsia"/>
          <w:b/>
          <w:bCs w:val="0"/>
          <w:color w:val="auto"/>
          <w:sz w:val="24"/>
          <w:szCs w:val="24"/>
          <w:highlight w:val="none"/>
          <w:u w:val="single"/>
          <w:lang w:eastAsia="zh-CN"/>
        </w:rPr>
        <w:t>响应文件</w:t>
      </w:r>
      <w:r>
        <w:rPr>
          <w:rFonts w:hint="eastAsia" w:asciiTheme="minorEastAsia" w:hAnsiTheme="minorEastAsia" w:eastAsiaTheme="minorEastAsia" w:cstheme="minorEastAsia"/>
          <w:b/>
          <w:bCs w:val="0"/>
          <w:color w:val="auto"/>
          <w:sz w:val="24"/>
          <w:szCs w:val="24"/>
          <w:highlight w:val="none"/>
          <w:u w:val="single"/>
        </w:rPr>
        <w:t>，根据平台关联点上传对应佐证资料，</w:t>
      </w:r>
      <w:r>
        <w:rPr>
          <w:rFonts w:hint="eastAsia" w:asciiTheme="minorEastAsia" w:hAnsiTheme="minorEastAsia" w:eastAsiaTheme="minorEastAsia" w:cstheme="minorEastAsia"/>
          <w:b/>
          <w:bCs w:val="0"/>
          <w:color w:val="auto"/>
          <w:sz w:val="24"/>
          <w:szCs w:val="24"/>
          <w:highlight w:val="none"/>
          <w:u w:val="single"/>
          <w:lang w:eastAsia="zh-CN"/>
        </w:rPr>
        <w:t>响应文件</w:t>
      </w:r>
      <w:r>
        <w:rPr>
          <w:rFonts w:hint="eastAsia" w:asciiTheme="minorEastAsia" w:hAnsiTheme="minorEastAsia" w:eastAsiaTheme="minorEastAsia" w:cstheme="minorEastAsia"/>
          <w:b/>
          <w:bCs w:val="0"/>
          <w:color w:val="auto"/>
          <w:sz w:val="24"/>
          <w:szCs w:val="24"/>
          <w:highlight w:val="none"/>
          <w:u w:val="single"/>
        </w:rPr>
        <w:t>应包括“</w:t>
      </w:r>
      <w:r>
        <w:rPr>
          <w:rFonts w:hint="eastAsia" w:asciiTheme="minorEastAsia" w:hAnsiTheme="minorEastAsia" w:eastAsiaTheme="minorEastAsia" w:cstheme="minorEastAsia"/>
          <w:b/>
          <w:bCs w:val="0"/>
          <w:color w:val="auto"/>
          <w:sz w:val="24"/>
          <w:szCs w:val="24"/>
          <w:highlight w:val="none"/>
          <w:u w:val="single"/>
          <w:lang w:val="en-US" w:eastAsia="zh-CN"/>
        </w:rPr>
        <w:t>报价</w:t>
      </w:r>
      <w:r>
        <w:rPr>
          <w:rFonts w:hint="eastAsia" w:asciiTheme="minorEastAsia" w:hAnsiTheme="minorEastAsia" w:eastAsiaTheme="minorEastAsia" w:cstheme="minorEastAsia"/>
          <w:b/>
          <w:bCs w:val="0"/>
          <w:color w:val="auto"/>
          <w:sz w:val="24"/>
          <w:szCs w:val="24"/>
          <w:highlight w:val="none"/>
          <w:u w:val="single"/>
        </w:rPr>
        <w:t>一览表及资格证明文件”和“商务及技术文件”两部分，两部分合并成完整一册上传至政采云平台。供应商应承担上传失误产生的任何后果。</w:t>
      </w:r>
    </w:p>
    <w:p w14:paraId="0C403632">
      <w:pPr>
        <w:pageBreakBefore w:val="0"/>
        <w:widowControl w:val="0"/>
        <w:kinsoku/>
        <w:wordWrap/>
        <w:overflowPunct/>
        <w:topLinePunct w:val="0"/>
        <w:bidi w:val="0"/>
        <w:spacing w:line="440" w:lineRule="exact"/>
        <w:ind w:left="825" w:hanging="900" w:hangingChars="375"/>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9.2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上述文件应按照谈判文件规定的格式填写、签署和盖章。</w:t>
      </w:r>
    </w:p>
    <w:bookmarkEnd w:id="181"/>
    <w:p w14:paraId="4365C60D">
      <w:pPr>
        <w:pStyle w:val="4"/>
        <w:pageBreakBefore w:val="0"/>
        <w:widowControl w:val="0"/>
        <w:kinsoku/>
        <w:wordWrap/>
        <w:overflowPunct/>
        <w:topLinePunct w:val="0"/>
        <w:bidi w:val="0"/>
        <w:spacing w:before="0" w:after="0" w:line="440" w:lineRule="exac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182" w:name="_Toc12510"/>
      <w:bookmarkStart w:id="183" w:name="_Toc4601"/>
      <w:bookmarkStart w:id="184" w:name="_Toc24622"/>
      <w:bookmarkStart w:id="185" w:name="_Toc22628"/>
      <w:bookmarkStart w:id="186" w:name="_Toc16655"/>
      <w:bookmarkStart w:id="187" w:name="_Toc515647769"/>
      <w:bookmarkStart w:id="188" w:name="_Toc11195"/>
      <w:bookmarkStart w:id="189" w:name="_Toc26402"/>
      <w:bookmarkStart w:id="190" w:name="_Toc516367023"/>
      <w:bookmarkStart w:id="191" w:name="_Toc17989"/>
      <w:bookmarkStart w:id="192" w:name="_Toc520356153"/>
      <w:bookmarkStart w:id="193" w:name="_Toc13143"/>
      <w:bookmarkStart w:id="194" w:name="_Toc9364_WPSOffice_Level2"/>
      <w:bookmarkStart w:id="195" w:name="_Toc6057"/>
      <w:bookmarkStart w:id="196" w:name="_Toc10379"/>
      <w:bookmarkStart w:id="197" w:name="_Toc30712"/>
      <w:bookmarkStart w:id="198" w:name="_Toc4212"/>
      <w:r>
        <w:rPr>
          <w:rFonts w:hint="eastAsia" w:asciiTheme="minorEastAsia" w:hAnsiTheme="minorEastAsia" w:eastAsiaTheme="minorEastAsia" w:cstheme="minorEastAsia"/>
          <w:b/>
          <w:bCs w:val="0"/>
          <w:color w:val="auto"/>
          <w:sz w:val="24"/>
          <w:szCs w:val="24"/>
          <w:highlight w:val="none"/>
          <w:u w:val="none"/>
        </w:rPr>
        <w:t>10.</w:t>
      </w:r>
      <w:r>
        <w:rPr>
          <w:rFonts w:hint="eastAsia" w:asciiTheme="minorEastAsia" w:hAnsiTheme="minorEastAsia" w:eastAsiaTheme="minorEastAsia" w:cstheme="minorEastAsia"/>
          <w:b/>
          <w:bCs w:val="0"/>
          <w:color w:val="auto"/>
          <w:sz w:val="24"/>
          <w:szCs w:val="24"/>
          <w:highlight w:val="none"/>
          <w:u w:val="none"/>
        </w:rPr>
        <w:tab/>
      </w:r>
      <w:r>
        <w:rPr>
          <w:rFonts w:hint="eastAsia" w:asciiTheme="minorEastAsia" w:hAnsiTheme="minorEastAsia" w:eastAsiaTheme="minorEastAsia" w:cstheme="minorEastAsia"/>
          <w:b/>
          <w:bCs w:val="0"/>
          <w:color w:val="auto"/>
          <w:sz w:val="24"/>
          <w:szCs w:val="24"/>
          <w:highlight w:val="none"/>
          <w:u w:val="none"/>
        </w:rPr>
        <w:t>证明</w:t>
      </w:r>
      <w:r>
        <w:rPr>
          <w:rFonts w:hint="eastAsia" w:asciiTheme="minorEastAsia" w:hAnsiTheme="minorEastAsia" w:eastAsiaTheme="minorEastAsia" w:cstheme="minorEastAsia"/>
          <w:b/>
          <w:bCs w:val="0"/>
          <w:color w:val="auto"/>
          <w:sz w:val="24"/>
          <w:szCs w:val="24"/>
          <w:highlight w:val="none"/>
          <w:u w:val="none"/>
          <w:lang w:val="en-US" w:eastAsia="zh-CN"/>
        </w:rPr>
        <w:t>报价</w:t>
      </w:r>
      <w:r>
        <w:rPr>
          <w:rFonts w:hint="eastAsia" w:asciiTheme="minorEastAsia" w:hAnsiTheme="minorEastAsia" w:eastAsiaTheme="minorEastAsia" w:cstheme="minorEastAsia"/>
          <w:b/>
          <w:bCs w:val="0"/>
          <w:color w:val="auto"/>
          <w:sz w:val="24"/>
          <w:szCs w:val="24"/>
          <w:highlight w:val="none"/>
          <w:u w:val="none"/>
        </w:rPr>
        <w:t>标的的合格性和符合</w:t>
      </w:r>
      <w:r>
        <w:rPr>
          <w:rFonts w:hint="eastAsia" w:asciiTheme="minorEastAsia" w:hAnsiTheme="minorEastAsia" w:eastAsiaTheme="minorEastAsia" w:cstheme="minorEastAsia"/>
          <w:b/>
          <w:bCs w:val="0"/>
          <w:color w:val="auto"/>
          <w:sz w:val="24"/>
          <w:szCs w:val="24"/>
          <w:highlight w:val="none"/>
          <w:u w:val="none"/>
          <w:lang w:eastAsia="zh-CN"/>
        </w:rPr>
        <w:t>谈判文件</w:t>
      </w:r>
      <w:r>
        <w:rPr>
          <w:rFonts w:hint="eastAsia" w:asciiTheme="minorEastAsia" w:hAnsiTheme="minorEastAsia" w:eastAsiaTheme="minorEastAsia" w:cstheme="minorEastAsia"/>
          <w:b/>
          <w:bCs w:val="0"/>
          <w:color w:val="auto"/>
          <w:sz w:val="24"/>
          <w:szCs w:val="24"/>
          <w:highlight w:val="none"/>
          <w:u w:val="none"/>
        </w:rPr>
        <w:t>规定的技术文件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4BE76835">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10.1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供应商应提交证明文件，证明其谈判报价内容符合谈判文件规定。该证明文件是响应文件的一部分。</w:t>
      </w:r>
    </w:p>
    <w:p w14:paraId="5BBB332F">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bookmarkStart w:id="199" w:name="_Ref467306244"/>
      <w:r>
        <w:rPr>
          <w:rFonts w:hint="eastAsia" w:asciiTheme="minorEastAsia" w:hAnsiTheme="minorEastAsia" w:eastAsiaTheme="minorEastAsia" w:cstheme="minorEastAsia"/>
          <w:b w:val="0"/>
          <w:bCs/>
          <w:color w:val="auto"/>
          <w:sz w:val="24"/>
          <w:szCs w:val="24"/>
          <w:highlight w:val="none"/>
        </w:rPr>
        <w:t>10.2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上款所述的证明文件，可以是文字资料、图纸和数据，</w:t>
      </w:r>
      <w:bookmarkEnd w:id="199"/>
      <w:r>
        <w:rPr>
          <w:rFonts w:hint="eastAsia" w:asciiTheme="minorEastAsia" w:hAnsiTheme="minorEastAsia" w:eastAsiaTheme="minorEastAsia" w:cstheme="minorEastAsia"/>
          <w:b w:val="0"/>
          <w:bCs/>
          <w:color w:val="auto"/>
          <w:sz w:val="24"/>
          <w:szCs w:val="24"/>
          <w:highlight w:val="none"/>
        </w:rPr>
        <w:t>它包括：</w:t>
      </w:r>
    </w:p>
    <w:p w14:paraId="0B7A13B4">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10.2.1货物主要技术指标和性能的详细说明；</w:t>
      </w:r>
    </w:p>
    <w:p w14:paraId="3822DA1D">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10.2.2货物从买方开始使用至谈判文件规定的保质期内正常、连续地使用所必须的备件和专用工具清单，包括备件和专用工具的货源及现行价格；</w:t>
      </w:r>
    </w:p>
    <w:p w14:paraId="6BFFFF0B">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10.2.3对照谈判文件技术规格，逐条说明所提供货物及伴随的工程和服务已对谈判文件的技术规格做出了实质性的响应，或申明与技术规格条文的偏差和例外。</w:t>
      </w:r>
    </w:p>
    <w:p w14:paraId="4FB8D7F0">
      <w:pPr>
        <w:pStyle w:val="4"/>
        <w:pageBreakBefore w:val="0"/>
        <w:widowControl w:val="0"/>
        <w:kinsoku/>
        <w:wordWrap/>
        <w:overflowPunct/>
        <w:topLinePunct w:val="0"/>
        <w:bidi w:val="0"/>
        <w:spacing w:before="0" w:after="0" w:line="440" w:lineRule="exac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200" w:name="_Toc18499_WPSOffice_Level2"/>
      <w:bookmarkStart w:id="201" w:name="_Toc20904"/>
      <w:bookmarkStart w:id="202" w:name="_Toc2248"/>
      <w:bookmarkStart w:id="203" w:name="_Toc5787"/>
      <w:bookmarkStart w:id="204" w:name="_Toc701"/>
      <w:bookmarkStart w:id="205" w:name="_Toc18014"/>
      <w:bookmarkStart w:id="206" w:name="_Toc515647770"/>
      <w:bookmarkStart w:id="207" w:name="_Toc1336"/>
      <w:bookmarkStart w:id="208" w:name="_Toc520356155"/>
      <w:bookmarkStart w:id="209" w:name="_Toc17197"/>
      <w:bookmarkStart w:id="210" w:name="_Toc4925"/>
      <w:bookmarkStart w:id="211" w:name="_Toc5508"/>
      <w:bookmarkStart w:id="212" w:name="_Toc19624"/>
      <w:bookmarkStart w:id="213" w:name="_Toc9551"/>
      <w:bookmarkStart w:id="214" w:name="_Toc23231"/>
      <w:bookmarkStart w:id="215" w:name="_Toc4651"/>
      <w:r>
        <w:rPr>
          <w:rFonts w:hint="eastAsia" w:asciiTheme="minorEastAsia" w:hAnsiTheme="minorEastAsia" w:eastAsiaTheme="minorEastAsia" w:cstheme="minorEastAsia"/>
          <w:b/>
          <w:bCs w:val="0"/>
          <w:color w:val="auto"/>
          <w:sz w:val="24"/>
          <w:szCs w:val="24"/>
          <w:highlight w:val="none"/>
          <w:u w:val="none"/>
          <w:lang w:val="en-US" w:eastAsia="zh-CN"/>
        </w:rPr>
        <w:t>11.谈判</w:t>
      </w:r>
      <w:r>
        <w:rPr>
          <w:rFonts w:hint="eastAsia" w:asciiTheme="minorEastAsia" w:hAnsiTheme="minorEastAsia" w:eastAsiaTheme="minorEastAsia" w:cstheme="minorEastAsia"/>
          <w:b/>
          <w:bCs w:val="0"/>
          <w:color w:val="auto"/>
          <w:sz w:val="24"/>
          <w:szCs w:val="24"/>
          <w:highlight w:val="none"/>
          <w:u w:val="none"/>
        </w:rPr>
        <w:t>报价</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2378A73D">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11.1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所有谈判报价均以人民币报价。供应商的谈判报价应遵守《中华人民共和国价格法》。同时，根据《中华人民共和国政府采购法》第二条的规定，为保证公平竞争，如有货物主体部分的赠与行为，其响应文件将被认定为无效。</w:t>
      </w:r>
    </w:p>
    <w:p w14:paraId="12B11ECB">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11.2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供应商应在标的分项报价表上标明所投货物及相关服务的单价（如适用）和总价，并由法定代表人签署。</w:t>
      </w:r>
    </w:p>
    <w:p w14:paraId="2B9D209E">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11.3</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标的分项报价表上的价格应按下列方式填写：</w:t>
      </w:r>
    </w:p>
    <w:p w14:paraId="396128F9">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11.3.1标的货物（包括备品备件、专用工具等）的出厂价（包括已在中国国内的进口货物完税后的仓库交货价、展室交货价或货架交货价），标的标货物安装、调试、检验、技术服务和培训等费用；</w:t>
      </w:r>
    </w:p>
    <w:p w14:paraId="298A4643">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11.3.2货物运至最终目的地的运输费和保险费用。</w:t>
      </w:r>
    </w:p>
    <w:p w14:paraId="2B8493D0">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11.4</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供应商所报的各分项单价在合同履行过程中是固定不变的，不得以任何理由予以变更。任何包含价格调整要求的报价，其报价将被认定为无效。</w:t>
      </w:r>
    </w:p>
    <w:p w14:paraId="3E4A43BB">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11.5</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每种货物只能有一个谈判报价。采购人不接受具有附加条件的报价。</w:t>
      </w:r>
    </w:p>
    <w:p w14:paraId="5A9C46D0">
      <w:pPr>
        <w:pStyle w:val="4"/>
        <w:pageBreakBefore w:val="0"/>
        <w:widowControl w:val="0"/>
        <w:kinsoku/>
        <w:wordWrap/>
        <w:overflowPunct/>
        <w:topLinePunct w:val="0"/>
        <w:bidi w:val="0"/>
        <w:spacing w:before="0" w:after="0" w:line="440" w:lineRule="exac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216" w:name="_Toc11138"/>
      <w:bookmarkStart w:id="217" w:name="_Toc23282"/>
      <w:bookmarkStart w:id="218" w:name="_Ref467306513"/>
      <w:bookmarkStart w:id="219" w:name="_Toc15123"/>
      <w:bookmarkStart w:id="220" w:name="_Toc11514"/>
      <w:bookmarkStart w:id="221" w:name="_Toc515647771"/>
      <w:bookmarkStart w:id="222" w:name="_Toc30646"/>
      <w:bookmarkStart w:id="223" w:name="_Toc17788"/>
      <w:bookmarkStart w:id="224" w:name="_Toc9850"/>
      <w:bookmarkStart w:id="225" w:name="_Toc3837_WPSOffice_Level2"/>
      <w:bookmarkStart w:id="226" w:name="_Toc520356156"/>
      <w:bookmarkStart w:id="227" w:name="_Toc22212"/>
      <w:bookmarkStart w:id="228" w:name="_Toc6638"/>
      <w:bookmarkStart w:id="229" w:name="_Toc9652"/>
      <w:bookmarkStart w:id="230" w:name="_Toc13097"/>
      <w:bookmarkStart w:id="231" w:name="_Toc20304"/>
      <w:bookmarkStart w:id="232" w:name="_Toc27882"/>
      <w:r>
        <w:rPr>
          <w:rFonts w:hint="eastAsia" w:asciiTheme="minorEastAsia" w:hAnsiTheme="minorEastAsia" w:eastAsiaTheme="minorEastAsia" w:cstheme="minorEastAsia"/>
          <w:b/>
          <w:bCs w:val="0"/>
          <w:color w:val="auto"/>
          <w:sz w:val="24"/>
          <w:szCs w:val="24"/>
          <w:highlight w:val="none"/>
          <w:u w:val="none"/>
        </w:rPr>
        <w:t>12.</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Pr>
          <w:rFonts w:hint="eastAsia" w:asciiTheme="minorEastAsia" w:hAnsiTheme="minorEastAsia" w:eastAsiaTheme="minorEastAsia" w:cstheme="minorEastAsia"/>
          <w:b/>
          <w:bCs w:val="0"/>
          <w:color w:val="auto"/>
          <w:sz w:val="24"/>
          <w:szCs w:val="24"/>
          <w:highlight w:val="none"/>
          <w:u w:val="none"/>
          <w:lang w:val="en-US" w:eastAsia="zh-CN"/>
        </w:rPr>
        <w:t>响应保证金</w:t>
      </w:r>
    </w:p>
    <w:p w14:paraId="5D7CB68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bookmarkStart w:id="233" w:name="_Ref467306302"/>
      <w:r>
        <w:rPr>
          <w:rFonts w:hint="eastAsia" w:asciiTheme="minorEastAsia" w:hAnsiTheme="minorEastAsia" w:eastAsiaTheme="minorEastAsia" w:cstheme="minorEastAsia"/>
          <w:b w:val="0"/>
          <w:bCs/>
          <w:color w:val="auto"/>
          <w:sz w:val="24"/>
          <w:szCs w:val="24"/>
          <w:highlight w:val="none"/>
        </w:rPr>
        <w:t>12.1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供应商应提交</w:t>
      </w:r>
      <w:r>
        <w:rPr>
          <w:rFonts w:hint="eastAsia" w:asciiTheme="minorEastAsia" w:hAnsiTheme="minorEastAsia" w:eastAsiaTheme="minorEastAsia" w:cstheme="minorEastAsia"/>
          <w:b w:val="0"/>
          <w:bCs/>
          <w:color w:val="auto"/>
          <w:sz w:val="24"/>
          <w:szCs w:val="24"/>
          <w:highlight w:val="none"/>
          <w:u w:val="single"/>
        </w:rPr>
        <w:t>供应商须知资料表</w:t>
      </w:r>
      <w:r>
        <w:rPr>
          <w:rFonts w:hint="eastAsia" w:asciiTheme="minorEastAsia" w:hAnsiTheme="minorEastAsia" w:eastAsiaTheme="minorEastAsia" w:cstheme="minorEastAsia"/>
          <w:b w:val="0"/>
          <w:bCs/>
          <w:color w:val="auto"/>
          <w:sz w:val="24"/>
          <w:szCs w:val="24"/>
          <w:highlight w:val="none"/>
        </w:rPr>
        <w:t>中规定的</w:t>
      </w:r>
      <w:bookmarkEnd w:id="233"/>
      <w:r>
        <w:rPr>
          <w:rFonts w:hint="eastAsia" w:asciiTheme="minorEastAsia" w:hAnsiTheme="minorEastAsia" w:eastAsiaTheme="minorEastAsia" w:cstheme="minorEastAsia"/>
          <w:b w:val="0"/>
          <w:bCs/>
          <w:color w:val="auto"/>
          <w:sz w:val="24"/>
          <w:szCs w:val="24"/>
          <w:highlight w:val="none"/>
          <w:lang w:eastAsia="zh-CN"/>
        </w:rPr>
        <w:t>响应保证金</w:t>
      </w:r>
      <w:r>
        <w:rPr>
          <w:rFonts w:hint="eastAsia" w:asciiTheme="minorEastAsia" w:hAnsiTheme="minorEastAsia" w:eastAsiaTheme="minorEastAsia" w:cstheme="minorEastAsia"/>
          <w:b w:val="0"/>
          <w:bCs/>
          <w:color w:val="auto"/>
          <w:sz w:val="24"/>
          <w:szCs w:val="24"/>
          <w:highlight w:val="none"/>
        </w:rPr>
        <w:t>，并作为其谈判响应的一部分。</w:t>
      </w:r>
    </w:p>
    <w:p w14:paraId="1192446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rPr>
        <w:t>12.2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供应商存在下列情形的，</w:t>
      </w:r>
      <w:r>
        <w:rPr>
          <w:rFonts w:hint="eastAsia" w:asciiTheme="minorEastAsia" w:hAnsiTheme="minorEastAsia" w:eastAsiaTheme="minorEastAsia" w:cstheme="minorEastAsia"/>
          <w:b w:val="0"/>
          <w:bCs/>
          <w:color w:val="auto"/>
          <w:sz w:val="24"/>
          <w:szCs w:val="24"/>
          <w:highlight w:val="none"/>
          <w:lang w:eastAsia="zh-CN"/>
        </w:rPr>
        <w:t>响应保证金</w:t>
      </w:r>
      <w:r>
        <w:rPr>
          <w:rFonts w:hint="eastAsia" w:asciiTheme="minorEastAsia" w:hAnsiTheme="minorEastAsia" w:eastAsiaTheme="minorEastAsia" w:cstheme="minorEastAsia"/>
          <w:b w:val="0"/>
          <w:bCs/>
          <w:color w:val="auto"/>
          <w:sz w:val="24"/>
          <w:szCs w:val="24"/>
          <w:highlight w:val="none"/>
        </w:rPr>
        <w:t>不予退还</w:t>
      </w:r>
      <w:r>
        <w:rPr>
          <w:rFonts w:hint="eastAsia" w:asciiTheme="minorEastAsia" w:hAnsiTheme="minorEastAsia" w:eastAsiaTheme="minorEastAsia" w:cstheme="minorEastAsia"/>
          <w:b w:val="0"/>
          <w:bCs/>
          <w:color w:val="auto"/>
          <w:sz w:val="24"/>
          <w:szCs w:val="24"/>
          <w:highlight w:val="none"/>
          <w:lang w:eastAsia="zh-CN"/>
        </w:rPr>
        <w:t>：</w:t>
      </w:r>
    </w:p>
    <w:p w14:paraId="4F9D6FD3">
      <w:pPr>
        <w:pStyle w:val="21"/>
        <w:keepNext w:val="0"/>
        <w:keepLines w:val="0"/>
        <w:pageBreakBefore w:val="0"/>
        <w:widowControl w:val="0"/>
        <w:tabs>
          <w:tab w:val="left" w:pos="2240"/>
        </w:tabs>
        <w:kinsoku/>
        <w:wordWrap/>
        <w:overflowPunct/>
        <w:topLinePunct w:val="0"/>
        <w:autoSpaceDE/>
        <w:autoSpaceDN/>
        <w:bidi w:val="0"/>
        <w:adjustRightInd/>
        <w:snapToGrid/>
        <w:spacing w:line="440" w:lineRule="exact"/>
        <w:ind w:firstLine="240" w:firstLineChars="100"/>
        <w:textAlignment w:val="auto"/>
        <w:rPr>
          <w:rFonts w:hint="eastAsia" w:asciiTheme="minorEastAsia" w:hAnsiTheme="minorEastAsia" w:eastAsiaTheme="minorEastAsia" w:cstheme="minorEastAsia"/>
          <w:b w:val="0"/>
          <w:bCs/>
          <w:color w:val="auto"/>
          <w:sz w:val="24"/>
          <w:szCs w:val="24"/>
          <w:highlight w:val="none"/>
        </w:rPr>
      </w:pPr>
      <w:bookmarkStart w:id="234" w:name="_Toc25773_WPSOffice_Level3"/>
      <w:r>
        <w:rPr>
          <w:rFonts w:hint="eastAsia" w:asciiTheme="minorEastAsia" w:hAnsiTheme="minorEastAsia" w:eastAsiaTheme="minorEastAsia" w:cstheme="minorEastAsia"/>
          <w:b w:val="0"/>
          <w:bCs/>
          <w:color w:val="auto"/>
          <w:sz w:val="24"/>
          <w:szCs w:val="24"/>
          <w:highlight w:val="none"/>
        </w:rPr>
        <w:t>（1）在</w:t>
      </w:r>
      <w:r>
        <w:rPr>
          <w:rFonts w:hint="eastAsia" w:asciiTheme="minorEastAsia" w:hAnsiTheme="minorEastAsia" w:eastAsiaTheme="minorEastAsia" w:cstheme="minorEastAsia"/>
          <w:b w:val="0"/>
          <w:bCs/>
          <w:color w:val="auto"/>
          <w:sz w:val="24"/>
          <w:szCs w:val="24"/>
          <w:highlight w:val="none"/>
          <w:lang w:val="en-US" w:eastAsia="zh-CN"/>
        </w:rPr>
        <w:t>谈判</w:t>
      </w:r>
      <w:r>
        <w:rPr>
          <w:rFonts w:hint="eastAsia" w:asciiTheme="minorEastAsia" w:hAnsiTheme="minorEastAsia" w:eastAsiaTheme="minorEastAsia" w:cstheme="minorEastAsia"/>
          <w:b w:val="0"/>
          <w:bCs/>
          <w:color w:val="auto"/>
          <w:sz w:val="24"/>
          <w:szCs w:val="24"/>
          <w:highlight w:val="none"/>
        </w:rPr>
        <w:t>有效期内，撤销</w:t>
      </w:r>
      <w:r>
        <w:rPr>
          <w:rFonts w:hint="eastAsia" w:asciiTheme="minorEastAsia" w:hAnsiTheme="minorEastAsia" w:eastAsiaTheme="minorEastAsia" w:cstheme="minorEastAsia"/>
          <w:b w:val="0"/>
          <w:bCs/>
          <w:color w:val="auto"/>
          <w:sz w:val="24"/>
          <w:szCs w:val="24"/>
          <w:highlight w:val="none"/>
          <w:lang w:eastAsia="zh-CN"/>
        </w:rPr>
        <w:t>响应文件</w:t>
      </w:r>
      <w:r>
        <w:rPr>
          <w:rFonts w:hint="eastAsia" w:asciiTheme="minorEastAsia" w:hAnsiTheme="minorEastAsia" w:eastAsiaTheme="minorEastAsia" w:cstheme="minorEastAsia"/>
          <w:b w:val="0"/>
          <w:bCs/>
          <w:color w:val="auto"/>
          <w:sz w:val="24"/>
          <w:szCs w:val="24"/>
          <w:highlight w:val="none"/>
        </w:rPr>
        <w:t>的；</w:t>
      </w:r>
      <w:bookmarkEnd w:id="234"/>
    </w:p>
    <w:p w14:paraId="517B82E7">
      <w:pPr>
        <w:pStyle w:val="21"/>
        <w:keepNext w:val="0"/>
        <w:keepLines w:val="0"/>
        <w:pageBreakBefore w:val="0"/>
        <w:widowControl w:val="0"/>
        <w:tabs>
          <w:tab w:val="left" w:pos="2240"/>
        </w:tabs>
        <w:kinsoku/>
        <w:wordWrap/>
        <w:overflowPunct/>
        <w:topLinePunct w:val="0"/>
        <w:autoSpaceDE/>
        <w:autoSpaceDN/>
        <w:bidi w:val="0"/>
        <w:adjustRightInd/>
        <w:snapToGrid/>
        <w:spacing w:line="440" w:lineRule="exact"/>
        <w:ind w:firstLine="240" w:firstLineChars="100"/>
        <w:textAlignment w:val="auto"/>
        <w:rPr>
          <w:rFonts w:hint="eastAsia" w:asciiTheme="minorEastAsia" w:hAnsiTheme="minorEastAsia" w:eastAsiaTheme="minorEastAsia" w:cstheme="minorEastAsia"/>
          <w:b w:val="0"/>
          <w:bCs/>
          <w:color w:val="auto"/>
          <w:sz w:val="24"/>
          <w:szCs w:val="24"/>
          <w:highlight w:val="none"/>
        </w:rPr>
      </w:pPr>
      <w:bookmarkStart w:id="235" w:name="_Toc26738_WPSOffice_Level3"/>
      <w:r>
        <w:rPr>
          <w:rFonts w:hint="eastAsia" w:asciiTheme="minorEastAsia" w:hAnsiTheme="minorEastAsia" w:eastAsiaTheme="minorEastAsia" w:cstheme="minorEastAsia"/>
          <w:b w:val="0"/>
          <w:bCs/>
          <w:color w:val="auto"/>
          <w:sz w:val="24"/>
          <w:szCs w:val="24"/>
          <w:highlight w:val="none"/>
        </w:rPr>
        <w:t>（2）</w:t>
      </w:r>
      <w:r>
        <w:rPr>
          <w:rFonts w:hint="eastAsia" w:asciiTheme="minorEastAsia" w:hAnsiTheme="minorEastAsia" w:eastAsiaTheme="minorEastAsia" w:cstheme="minorEastAsia"/>
          <w:b w:val="0"/>
          <w:bCs/>
          <w:color w:val="auto"/>
          <w:sz w:val="24"/>
          <w:szCs w:val="24"/>
          <w:highlight w:val="none"/>
          <w:lang w:eastAsia="zh-CN"/>
        </w:rPr>
        <w:t>成交后</w:t>
      </w:r>
      <w:r>
        <w:rPr>
          <w:rFonts w:hint="eastAsia" w:asciiTheme="minorEastAsia" w:hAnsiTheme="minorEastAsia" w:eastAsiaTheme="minorEastAsia" w:cstheme="minorEastAsia"/>
          <w:b w:val="0"/>
          <w:bCs/>
          <w:color w:val="auto"/>
          <w:sz w:val="24"/>
          <w:szCs w:val="24"/>
          <w:highlight w:val="none"/>
        </w:rPr>
        <w:t>不按本须知第30条的规定与采购人签订合同的；</w:t>
      </w:r>
      <w:bookmarkEnd w:id="235"/>
      <w:bookmarkStart w:id="236" w:name="_Toc1873_WPSOffice_Level3"/>
    </w:p>
    <w:p w14:paraId="741AC54B">
      <w:pPr>
        <w:pStyle w:val="21"/>
        <w:keepNext w:val="0"/>
        <w:keepLines w:val="0"/>
        <w:pageBreakBefore w:val="0"/>
        <w:widowControl w:val="0"/>
        <w:tabs>
          <w:tab w:val="left" w:pos="2240"/>
        </w:tabs>
        <w:kinsoku/>
        <w:wordWrap/>
        <w:overflowPunct/>
        <w:topLinePunct w:val="0"/>
        <w:autoSpaceDE/>
        <w:autoSpaceDN/>
        <w:bidi w:val="0"/>
        <w:adjustRightInd/>
        <w:snapToGrid/>
        <w:spacing w:line="440" w:lineRule="exact"/>
        <w:ind w:firstLine="240" w:firstLineChars="1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w:t>
      </w:r>
      <w:r>
        <w:rPr>
          <w:rFonts w:hint="eastAsia" w:asciiTheme="minorEastAsia" w:hAnsiTheme="minorEastAsia" w:eastAsiaTheme="minorEastAsia" w:cstheme="minorEastAsia"/>
          <w:b w:val="0"/>
          <w:bCs/>
          <w:color w:val="auto"/>
          <w:sz w:val="24"/>
          <w:szCs w:val="24"/>
          <w:highlight w:val="none"/>
          <w:lang w:eastAsia="zh-CN"/>
        </w:rPr>
        <w:t>成交后</w:t>
      </w:r>
      <w:r>
        <w:rPr>
          <w:rFonts w:hint="eastAsia" w:asciiTheme="minorEastAsia" w:hAnsiTheme="minorEastAsia" w:eastAsiaTheme="minorEastAsia" w:cstheme="minorEastAsia"/>
          <w:b w:val="0"/>
          <w:bCs/>
          <w:color w:val="auto"/>
          <w:sz w:val="24"/>
          <w:szCs w:val="24"/>
          <w:highlight w:val="none"/>
        </w:rPr>
        <w:t>不按本须知第31条的规定提交履约保证金的；</w:t>
      </w:r>
      <w:bookmarkEnd w:id="236"/>
      <w:bookmarkStart w:id="237" w:name="_Toc16927_WPSOffice_Level3"/>
    </w:p>
    <w:p w14:paraId="7533BEB6">
      <w:pPr>
        <w:pStyle w:val="21"/>
        <w:keepNext w:val="0"/>
        <w:keepLines w:val="0"/>
        <w:pageBreakBefore w:val="0"/>
        <w:widowControl w:val="0"/>
        <w:tabs>
          <w:tab w:val="left" w:pos="2240"/>
        </w:tabs>
        <w:kinsoku/>
        <w:wordWrap/>
        <w:overflowPunct/>
        <w:topLinePunct w:val="0"/>
        <w:autoSpaceDE/>
        <w:autoSpaceDN/>
        <w:bidi w:val="0"/>
        <w:adjustRightInd/>
        <w:snapToGrid/>
        <w:spacing w:line="440" w:lineRule="exact"/>
        <w:ind w:firstLine="240" w:firstLineChars="1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（4）</w:t>
      </w:r>
      <w:r>
        <w:rPr>
          <w:rFonts w:hint="eastAsia" w:asciiTheme="minorEastAsia" w:hAnsiTheme="minorEastAsia" w:eastAsiaTheme="minorEastAsia" w:cstheme="minorEastAsia"/>
          <w:b w:val="0"/>
          <w:bCs/>
          <w:color w:val="auto"/>
          <w:sz w:val="24"/>
          <w:szCs w:val="24"/>
          <w:highlight w:val="none"/>
          <w:lang w:eastAsia="zh-CN"/>
        </w:rPr>
        <w:t>成交后</w:t>
      </w:r>
      <w:r>
        <w:rPr>
          <w:rFonts w:hint="eastAsia" w:asciiTheme="minorEastAsia" w:hAnsiTheme="minorEastAsia" w:eastAsiaTheme="minorEastAsia" w:cstheme="minorEastAsia"/>
          <w:b w:val="0"/>
          <w:bCs/>
          <w:color w:val="auto"/>
          <w:sz w:val="24"/>
          <w:szCs w:val="24"/>
          <w:highlight w:val="none"/>
        </w:rPr>
        <w:t>不按本须知第32条的规定缴纳</w:t>
      </w:r>
      <w:r>
        <w:rPr>
          <w:rFonts w:hint="eastAsia" w:asciiTheme="minorEastAsia" w:hAnsiTheme="minorEastAsia" w:eastAsiaTheme="minorEastAsia" w:cstheme="minorEastAsia"/>
          <w:b w:val="0"/>
          <w:bCs/>
          <w:color w:val="auto"/>
          <w:sz w:val="24"/>
          <w:szCs w:val="24"/>
          <w:highlight w:val="none"/>
          <w:lang w:eastAsia="zh-CN"/>
        </w:rPr>
        <w:t>成交服务费</w:t>
      </w:r>
      <w:r>
        <w:rPr>
          <w:rFonts w:hint="eastAsia" w:asciiTheme="minorEastAsia" w:hAnsiTheme="minorEastAsia" w:eastAsiaTheme="minorEastAsia" w:cstheme="minorEastAsia"/>
          <w:b w:val="0"/>
          <w:bCs/>
          <w:color w:val="auto"/>
          <w:sz w:val="24"/>
          <w:szCs w:val="24"/>
          <w:highlight w:val="none"/>
        </w:rPr>
        <w:t>的；</w:t>
      </w:r>
      <w:bookmarkEnd w:id="237"/>
      <w:bookmarkStart w:id="238" w:name="_Toc18854_WPSOffice_Level3"/>
    </w:p>
    <w:p w14:paraId="12F3A4F3">
      <w:pPr>
        <w:pStyle w:val="21"/>
        <w:keepNext w:val="0"/>
        <w:keepLines w:val="0"/>
        <w:pageBreakBefore w:val="0"/>
        <w:widowControl w:val="0"/>
        <w:tabs>
          <w:tab w:val="left" w:pos="2240"/>
        </w:tabs>
        <w:kinsoku/>
        <w:wordWrap/>
        <w:overflowPunct/>
        <w:topLinePunct w:val="0"/>
        <w:autoSpaceDE/>
        <w:autoSpaceDN/>
        <w:bidi w:val="0"/>
        <w:adjustRightInd/>
        <w:snapToGrid/>
        <w:spacing w:line="440" w:lineRule="exact"/>
        <w:ind w:firstLine="240" w:firstLineChars="1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（5）存在其他违法违规行为的。</w:t>
      </w:r>
      <w:bookmarkEnd w:id="238"/>
    </w:p>
    <w:p w14:paraId="79604DC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bookmarkStart w:id="239" w:name="_Ref467306336"/>
      <w:r>
        <w:rPr>
          <w:rFonts w:hint="eastAsia" w:asciiTheme="minorEastAsia" w:hAnsiTheme="minorEastAsia" w:eastAsiaTheme="minorEastAsia" w:cstheme="minorEastAsia"/>
          <w:b w:val="0"/>
          <w:bCs/>
          <w:color w:val="auto"/>
          <w:sz w:val="24"/>
          <w:szCs w:val="24"/>
          <w:highlight w:val="none"/>
        </w:rPr>
        <w:t>12.3</w:t>
      </w:r>
      <w:bookmarkEnd w:id="239"/>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政府采购信用担保试点范围内的项目，接受符合财政部门规定的政府采购谈判担保函原件。</w:t>
      </w:r>
    </w:p>
    <w:p w14:paraId="300C6C8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12.4</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供应商未按本须知第12.1和12.3条规定提交</w:t>
      </w:r>
      <w:r>
        <w:rPr>
          <w:rFonts w:hint="eastAsia" w:asciiTheme="minorEastAsia" w:hAnsiTheme="minorEastAsia" w:eastAsiaTheme="minorEastAsia" w:cstheme="minorEastAsia"/>
          <w:b w:val="0"/>
          <w:bCs/>
          <w:color w:val="auto"/>
          <w:sz w:val="24"/>
          <w:szCs w:val="24"/>
          <w:highlight w:val="none"/>
          <w:lang w:eastAsia="zh-CN"/>
        </w:rPr>
        <w:t>响应保证金</w:t>
      </w:r>
      <w:r>
        <w:rPr>
          <w:rFonts w:hint="eastAsia" w:asciiTheme="minorEastAsia" w:hAnsiTheme="minorEastAsia" w:eastAsiaTheme="minorEastAsia" w:cstheme="minorEastAsia"/>
          <w:b w:val="0"/>
          <w:bCs/>
          <w:color w:val="auto"/>
          <w:sz w:val="24"/>
          <w:szCs w:val="24"/>
          <w:highlight w:val="none"/>
        </w:rPr>
        <w:t>的，其谈判资格将被认定为无效。</w:t>
      </w:r>
    </w:p>
    <w:p w14:paraId="3598815A">
      <w:pPr>
        <w:keepNext w:val="0"/>
        <w:keepLines w:val="0"/>
        <w:pageBreakBefore w:val="0"/>
        <w:widowControl w:val="0"/>
        <w:kinsoku/>
        <w:wordWrap/>
        <w:overflowPunct/>
        <w:topLinePunct w:val="0"/>
        <w:autoSpaceDE/>
        <w:autoSpaceDN/>
        <w:bidi w:val="0"/>
        <w:adjustRightInd/>
        <w:snapToGrid/>
        <w:spacing w:line="440" w:lineRule="exact"/>
        <w:ind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12.4.1采用电汇形式的，一般可以实时入账。</w:t>
      </w:r>
    </w:p>
    <w:p w14:paraId="6994182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12.4.2采用支票形式的，供应商则应充分考虑支票入账时间，以确保</w:t>
      </w:r>
      <w:r>
        <w:rPr>
          <w:rFonts w:hint="eastAsia" w:asciiTheme="minorEastAsia" w:hAnsiTheme="minorEastAsia" w:eastAsiaTheme="minorEastAsia" w:cstheme="minorEastAsia"/>
          <w:b w:val="0"/>
          <w:bCs/>
          <w:color w:val="auto"/>
          <w:sz w:val="24"/>
          <w:szCs w:val="24"/>
          <w:highlight w:val="none"/>
          <w:lang w:eastAsia="zh-CN"/>
        </w:rPr>
        <w:t>响应保证金</w:t>
      </w:r>
      <w:r>
        <w:rPr>
          <w:rFonts w:hint="eastAsia" w:asciiTheme="minorEastAsia" w:hAnsiTheme="minorEastAsia" w:eastAsiaTheme="minorEastAsia" w:cstheme="minorEastAsia"/>
          <w:b w:val="0"/>
          <w:bCs/>
          <w:color w:val="auto"/>
          <w:sz w:val="24"/>
          <w:szCs w:val="24"/>
          <w:highlight w:val="none"/>
        </w:rPr>
        <w:t>能按时进入指定账户。根据银行信息交换和付款时间，支票从递交至实际入账一般需要4-5个工作日。如供应商未及时提交支票或支票不符合银行委托收款要求（如污损、折叠、胶装等），导致</w:t>
      </w:r>
      <w:r>
        <w:rPr>
          <w:rFonts w:hint="eastAsia" w:asciiTheme="minorEastAsia" w:hAnsiTheme="minorEastAsia" w:eastAsiaTheme="minorEastAsia" w:cstheme="minorEastAsia"/>
          <w:b w:val="0"/>
          <w:bCs/>
          <w:color w:val="auto"/>
          <w:sz w:val="24"/>
          <w:szCs w:val="24"/>
          <w:highlight w:val="none"/>
          <w:lang w:eastAsia="zh-CN"/>
        </w:rPr>
        <w:t>响应保证金</w:t>
      </w:r>
      <w:r>
        <w:rPr>
          <w:rFonts w:hint="eastAsia" w:asciiTheme="minorEastAsia" w:hAnsiTheme="minorEastAsia" w:eastAsiaTheme="minorEastAsia" w:cstheme="minorEastAsia"/>
          <w:b w:val="0"/>
          <w:bCs/>
          <w:color w:val="auto"/>
          <w:sz w:val="24"/>
          <w:szCs w:val="24"/>
          <w:highlight w:val="none"/>
        </w:rPr>
        <w:t>不能按时进入指定账户的，将按照谈判文件的第22.2条相关规定处理。</w:t>
      </w:r>
    </w:p>
    <w:p w14:paraId="5B0D117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12.5</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联合体参加谈判的，可以由联合体中的一方或者共同提交</w:t>
      </w:r>
      <w:r>
        <w:rPr>
          <w:rFonts w:hint="eastAsia" w:asciiTheme="minorEastAsia" w:hAnsiTheme="minorEastAsia" w:eastAsiaTheme="minorEastAsia" w:cstheme="minorEastAsia"/>
          <w:b w:val="0"/>
          <w:bCs/>
          <w:color w:val="auto"/>
          <w:sz w:val="24"/>
          <w:szCs w:val="24"/>
          <w:highlight w:val="none"/>
          <w:lang w:eastAsia="zh-CN"/>
        </w:rPr>
        <w:t>响应保证金</w:t>
      </w:r>
      <w:r>
        <w:rPr>
          <w:rFonts w:hint="eastAsia" w:asciiTheme="minorEastAsia" w:hAnsiTheme="minorEastAsia" w:eastAsiaTheme="minorEastAsia" w:cstheme="minorEastAsia"/>
          <w:b w:val="0"/>
          <w:bCs/>
          <w:color w:val="auto"/>
          <w:sz w:val="24"/>
          <w:szCs w:val="24"/>
          <w:highlight w:val="none"/>
        </w:rPr>
        <w:t>。以一方名义提交</w:t>
      </w:r>
      <w:r>
        <w:rPr>
          <w:rFonts w:hint="eastAsia" w:asciiTheme="minorEastAsia" w:hAnsiTheme="minorEastAsia" w:eastAsiaTheme="minorEastAsia" w:cstheme="minorEastAsia"/>
          <w:b w:val="0"/>
          <w:bCs/>
          <w:color w:val="auto"/>
          <w:sz w:val="24"/>
          <w:szCs w:val="24"/>
          <w:highlight w:val="none"/>
          <w:lang w:eastAsia="zh-CN"/>
        </w:rPr>
        <w:t>响应保证金</w:t>
      </w:r>
      <w:r>
        <w:rPr>
          <w:rFonts w:hint="eastAsia" w:asciiTheme="minorEastAsia" w:hAnsiTheme="minorEastAsia" w:eastAsiaTheme="minorEastAsia" w:cstheme="minorEastAsia"/>
          <w:b w:val="0"/>
          <w:bCs/>
          <w:color w:val="auto"/>
          <w:sz w:val="24"/>
          <w:szCs w:val="24"/>
          <w:highlight w:val="none"/>
        </w:rPr>
        <w:t>的，对联合体各方均具有约束力。</w:t>
      </w:r>
    </w:p>
    <w:p w14:paraId="3F1A0FF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12.6</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保证金的退还</w:t>
      </w:r>
    </w:p>
    <w:p w14:paraId="584D44A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12.6.1成交供应商应在与采购人签订合同之日起5个工作日内，及时联系保证金收受机构办理</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保证金无息退还手续。</w:t>
      </w:r>
    </w:p>
    <w:p w14:paraId="7EE838B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12.6.2 未成交供应商的</w:t>
      </w:r>
      <w:r>
        <w:rPr>
          <w:rFonts w:hint="eastAsia" w:asciiTheme="minorEastAsia" w:hAnsiTheme="minorEastAsia" w:eastAsiaTheme="minorEastAsia" w:cstheme="minorEastAsia"/>
          <w:b w:val="0"/>
          <w:bCs/>
          <w:color w:val="auto"/>
          <w:sz w:val="24"/>
          <w:szCs w:val="24"/>
          <w:highlight w:val="none"/>
          <w:lang w:eastAsia="zh-CN"/>
        </w:rPr>
        <w:t>响应保证金</w:t>
      </w:r>
      <w:r>
        <w:rPr>
          <w:rFonts w:hint="eastAsia" w:asciiTheme="minorEastAsia" w:hAnsiTheme="minorEastAsia" w:eastAsiaTheme="minorEastAsia" w:cstheme="minorEastAsia"/>
          <w:b w:val="0"/>
          <w:bCs/>
          <w:color w:val="auto"/>
          <w:sz w:val="24"/>
          <w:szCs w:val="24"/>
          <w:highlight w:val="none"/>
        </w:rPr>
        <w:t>将在成交通知书发出之日暨成交结果公告公布之日起5个工作日内无息退还。供应商应及时联系保证金收受机构办理退还</w:t>
      </w:r>
      <w:r>
        <w:rPr>
          <w:rFonts w:hint="eastAsia" w:asciiTheme="minorEastAsia" w:hAnsiTheme="minorEastAsia" w:eastAsiaTheme="minorEastAsia" w:cstheme="minorEastAsia"/>
          <w:b w:val="0"/>
          <w:bCs/>
          <w:color w:val="auto"/>
          <w:sz w:val="24"/>
          <w:szCs w:val="24"/>
          <w:highlight w:val="none"/>
          <w:lang w:eastAsia="zh-CN"/>
        </w:rPr>
        <w:t>响应保证金</w:t>
      </w:r>
      <w:r>
        <w:rPr>
          <w:rFonts w:hint="eastAsia" w:asciiTheme="minorEastAsia" w:hAnsiTheme="minorEastAsia" w:eastAsiaTheme="minorEastAsia" w:cstheme="minorEastAsia"/>
          <w:b w:val="0"/>
          <w:bCs/>
          <w:color w:val="auto"/>
          <w:sz w:val="24"/>
          <w:szCs w:val="24"/>
          <w:highlight w:val="none"/>
        </w:rPr>
        <w:t>手续。</w:t>
      </w:r>
    </w:p>
    <w:p w14:paraId="1ADA8EB6">
      <w:pPr>
        <w:keepNext w:val="0"/>
        <w:keepLines w:val="0"/>
        <w:pageBreakBefore w:val="0"/>
        <w:widowControl w:val="0"/>
        <w:kinsoku/>
        <w:wordWrap/>
        <w:overflowPunct/>
        <w:topLinePunct w:val="0"/>
        <w:autoSpaceDE/>
        <w:autoSpaceDN/>
        <w:bidi w:val="0"/>
        <w:adjustRightInd/>
        <w:snapToGrid/>
        <w:spacing w:line="440" w:lineRule="exact"/>
        <w:ind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12.6.3政府采购谈判担保函不予退回。</w:t>
      </w:r>
    </w:p>
    <w:p w14:paraId="3E90B3B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12.7</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因供应商自身原因导致无法及时退还的，采购人或采购代理机构将不承担相应责任。</w:t>
      </w:r>
    </w:p>
    <w:p w14:paraId="6BCC5EF2">
      <w:pPr>
        <w:pStyle w:val="4"/>
        <w:pageBreakBefore w:val="0"/>
        <w:widowControl w:val="0"/>
        <w:kinsoku/>
        <w:wordWrap/>
        <w:overflowPunct/>
        <w:topLinePunct w:val="0"/>
        <w:bidi w:val="0"/>
        <w:spacing w:before="0" w:after="0" w:line="440" w:lineRule="exact"/>
        <w:textAlignment w:val="auto"/>
        <w:outlineLvl w:val="1"/>
        <w:rPr>
          <w:rFonts w:hint="eastAsia" w:asciiTheme="minorEastAsia" w:hAnsiTheme="minorEastAsia" w:eastAsiaTheme="minorEastAsia" w:cstheme="minorEastAsia"/>
          <w:b/>
          <w:bCs w:val="0"/>
          <w:color w:val="auto"/>
          <w:sz w:val="24"/>
          <w:szCs w:val="24"/>
          <w:highlight w:val="none"/>
          <w:u w:val="none"/>
          <w:lang w:eastAsia="zh-CN"/>
        </w:rPr>
      </w:pPr>
      <w:bookmarkStart w:id="240" w:name="_Toc515647772"/>
      <w:bookmarkStart w:id="241" w:name="_Toc32569"/>
      <w:bookmarkStart w:id="242" w:name="_Toc23590"/>
      <w:bookmarkStart w:id="243" w:name="_Toc520356157"/>
      <w:bookmarkStart w:id="244" w:name="_Toc22901"/>
      <w:bookmarkStart w:id="245" w:name="_Toc20651_WPSOffice_Level2"/>
      <w:bookmarkStart w:id="246" w:name="_Toc4783"/>
      <w:bookmarkStart w:id="247" w:name="_Toc31861"/>
      <w:bookmarkStart w:id="248" w:name="_Toc13378"/>
      <w:bookmarkStart w:id="249" w:name="_Toc7927"/>
      <w:bookmarkStart w:id="250" w:name="_Toc11298"/>
      <w:bookmarkStart w:id="251" w:name="_Toc12421"/>
      <w:bookmarkStart w:id="252" w:name="_Toc15613"/>
      <w:bookmarkStart w:id="253" w:name="_Toc7112"/>
      <w:bookmarkStart w:id="254" w:name="_Toc6913"/>
      <w:bookmarkStart w:id="255" w:name="_Toc17816"/>
      <w:r>
        <w:rPr>
          <w:rFonts w:hint="eastAsia" w:asciiTheme="minorEastAsia" w:hAnsiTheme="minorEastAsia" w:eastAsiaTheme="minorEastAsia" w:cstheme="minorEastAsia"/>
          <w:b/>
          <w:bCs w:val="0"/>
          <w:color w:val="auto"/>
          <w:sz w:val="24"/>
          <w:szCs w:val="24"/>
          <w:highlight w:val="none"/>
          <w:u w:val="none"/>
        </w:rPr>
        <w:t>13.</w:t>
      </w:r>
      <w:bookmarkEnd w:id="240"/>
      <w:bookmarkEnd w:id="241"/>
      <w:bookmarkEnd w:id="242"/>
      <w:bookmarkEnd w:id="243"/>
      <w:bookmarkEnd w:id="244"/>
      <w:r>
        <w:rPr>
          <w:rFonts w:hint="eastAsia" w:asciiTheme="minorEastAsia" w:hAnsiTheme="minorEastAsia" w:eastAsiaTheme="minorEastAsia" w:cstheme="minorEastAsia"/>
          <w:b/>
          <w:bCs w:val="0"/>
          <w:color w:val="auto"/>
          <w:sz w:val="24"/>
          <w:szCs w:val="24"/>
          <w:highlight w:val="none"/>
          <w:u w:val="none"/>
          <w:lang w:eastAsia="zh-CN"/>
        </w:rPr>
        <w:t>谈判有效期</w:t>
      </w:r>
      <w:bookmarkEnd w:id="245"/>
      <w:bookmarkEnd w:id="246"/>
      <w:bookmarkEnd w:id="247"/>
      <w:bookmarkEnd w:id="248"/>
      <w:bookmarkEnd w:id="249"/>
      <w:bookmarkEnd w:id="250"/>
      <w:bookmarkEnd w:id="251"/>
      <w:bookmarkEnd w:id="252"/>
      <w:bookmarkEnd w:id="253"/>
      <w:bookmarkEnd w:id="254"/>
      <w:bookmarkEnd w:id="255"/>
    </w:p>
    <w:p w14:paraId="1DF24C57">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13.1谈判应在</w:t>
      </w:r>
      <w:r>
        <w:rPr>
          <w:rFonts w:hint="eastAsia" w:asciiTheme="minorEastAsia" w:hAnsiTheme="minorEastAsia" w:eastAsiaTheme="minorEastAsia" w:cstheme="minorEastAsia"/>
          <w:b w:val="0"/>
          <w:bCs/>
          <w:color w:val="auto"/>
          <w:sz w:val="24"/>
          <w:szCs w:val="24"/>
          <w:highlight w:val="none"/>
          <w:u w:val="single"/>
        </w:rPr>
        <w:t>供应商须知资料表</w:t>
      </w:r>
      <w:r>
        <w:rPr>
          <w:rFonts w:hint="eastAsia" w:asciiTheme="minorEastAsia" w:hAnsiTheme="minorEastAsia" w:eastAsiaTheme="minorEastAsia" w:cstheme="minorEastAsia"/>
          <w:b w:val="0"/>
          <w:bCs/>
          <w:color w:val="auto"/>
          <w:sz w:val="24"/>
          <w:szCs w:val="24"/>
          <w:highlight w:val="none"/>
        </w:rPr>
        <w:t>中规定时间内保持有效。谈判有效期不满足要求的供应商，其响应文件将被认定为无效。</w:t>
      </w:r>
    </w:p>
    <w:p w14:paraId="62F7D00B">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13.2为保证有充分时间签订合同，采购人或采购代理机构可根据实际情况，在原谈判有效期截止之前，要求供应商延长响应文件的有效期。接受该要求的供应商将不会被要求和允许修正其响应文件，且本须知中有关</w:t>
      </w:r>
      <w:r>
        <w:rPr>
          <w:rFonts w:hint="eastAsia" w:asciiTheme="minorEastAsia" w:hAnsiTheme="minorEastAsia" w:eastAsiaTheme="minorEastAsia" w:cstheme="minorEastAsia"/>
          <w:b w:val="0"/>
          <w:bCs/>
          <w:color w:val="auto"/>
          <w:sz w:val="24"/>
          <w:szCs w:val="24"/>
          <w:highlight w:val="none"/>
          <w:lang w:eastAsia="zh-CN"/>
        </w:rPr>
        <w:t>响应保证金</w:t>
      </w:r>
      <w:r>
        <w:rPr>
          <w:rFonts w:hint="eastAsia" w:asciiTheme="minorEastAsia" w:hAnsiTheme="minorEastAsia" w:eastAsiaTheme="minorEastAsia" w:cstheme="minorEastAsia"/>
          <w:b w:val="0"/>
          <w:bCs/>
          <w:color w:val="auto"/>
          <w:sz w:val="24"/>
          <w:szCs w:val="24"/>
          <w:highlight w:val="none"/>
        </w:rPr>
        <w:t>的要求须在延长的有效期内继续有效。供应商可以拒绝延长谈判有效期的要求，其</w:t>
      </w:r>
      <w:r>
        <w:rPr>
          <w:rFonts w:hint="eastAsia" w:asciiTheme="minorEastAsia" w:hAnsiTheme="minorEastAsia" w:eastAsiaTheme="minorEastAsia" w:cstheme="minorEastAsia"/>
          <w:b w:val="0"/>
          <w:bCs/>
          <w:color w:val="auto"/>
          <w:sz w:val="24"/>
          <w:szCs w:val="24"/>
          <w:highlight w:val="none"/>
          <w:lang w:eastAsia="zh-CN"/>
        </w:rPr>
        <w:t>响应保证金</w:t>
      </w:r>
      <w:r>
        <w:rPr>
          <w:rFonts w:hint="eastAsia" w:asciiTheme="minorEastAsia" w:hAnsiTheme="minorEastAsia" w:eastAsiaTheme="minorEastAsia" w:cstheme="minorEastAsia"/>
          <w:b w:val="0"/>
          <w:bCs/>
          <w:color w:val="auto"/>
          <w:sz w:val="24"/>
          <w:szCs w:val="24"/>
          <w:highlight w:val="none"/>
        </w:rPr>
        <w:t>将及时无息退还。上述要求和答复都应以书面形式提交。</w:t>
      </w:r>
    </w:p>
    <w:p w14:paraId="418577A3">
      <w:pPr>
        <w:pStyle w:val="4"/>
        <w:pageBreakBefore w:val="0"/>
        <w:widowControl w:val="0"/>
        <w:kinsoku/>
        <w:wordWrap/>
        <w:overflowPunct/>
        <w:topLinePunct w:val="0"/>
        <w:bidi w:val="0"/>
        <w:spacing w:before="0" w:after="0" w:line="440" w:lineRule="exact"/>
        <w:textAlignment w:val="auto"/>
        <w:outlineLvl w:val="1"/>
        <w:rPr>
          <w:rFonts w:hint="eastAsia" w:asciiTheme="minorEastAsia" w:hAnsiTheme="minorEastAsia" w:eastAsiaTheme="minorEastAsia" w:cstheme="minorEastAsia"/>
          <w:b/>
          <w:bCs w:val="0"/>
          <w:color w:val="auto"/>
          <w:sz w:val="24"/>
          <w:szCs w:val="24"/>
          <w:highlight w:val="none"/>
          <w:u w:val="none"/>
          <w:lang w:val="en-US" w:eastAsia="zh-CN"/>
        </w:rPr>
      </w:pPr>
      <w:bookmarkStart w:id="256" w:name="_Toc520356158"/>
      <w:bookmarkStart w:id="257" w:name="_Toc4425"/>
      <w:bookmarkStart w:id="258" w:name="_Toc3558"/>
      <w:bookmarkStart w:id="259" w:name="_Toc6286"/>
      <w:bookmarkStart w:id="260" w:name="_Toc26601"/>
      <w:bookmarkStart w:id="261" w:name="_Toc493"/>
      <w:bookmarkStart w:id="262" w:name="_Toc30127"/>
      <w:bookmarkStart w:id="263" w:name="_Toc6019"/>
      <w:bookmarkStart w:id="264" w:name="_Toc29619"/>
      <w:bookmarkStart w:id="265" w:name="_Toc6618"/>
      <w:bookmarkStart w:id="266" w:name="_Toc1277"/>
      <w:bookmarkStart w:id="267" w:name="_Toc515647773"/>
      <w:bookmarkStart w:id="268" w:name="_Toc24787"/>
      <w:bookmarkStart w:id="269" w:name="_Toc17074"/>
      <w:bookmarkStart w:id="270" w:name="_Toc10391"/>
      <w:bookmarkStart w:id="271" w:name="_Toc16503"/>
      <w:bookmarkStart w:id="272" w:name="_Toc11669"/>
      <w:bookmarkStart w:id="273" w:name="_Toc9672"/>
      <w:bookmarkStart w:id="274" w:name="_Toc216582808"/>
      <w:bookmarkStart w:id="275" w:name="_Toc11179"/>
      <w:bookmarkStart w:id="276" w:name="_Toc515647774"/>
      <w:bookmarkStart w:id="277" w:name="_Toc16865"/>
      <w:bookmarkStart w:id="278" w:name="_Toc31029_WPSOffice_Level1"/>
      <w:bookmarkStart w:id="279" w:name="_Toc520356159"/>
      <w:bookmarkStart w:id="280" w:name="_Toc25925"/>
      <w:r>
        <w:rPr>
          <w:rFonts w:hint="eastAsia" w:asciiTheme="minorEastAsia" w:hAnsiTheme="minorEastAsia" w:eastAsiaTheme="minorEastAsia" w:cstheme="minorEastAsia"/>
          <w:b/>
          <w:bCs w:val="0"/>
          <w:color w:val="auto"/>
          <w:sz w:val="24"/>
          <w:szCs w:val="24"/>
          <w:highlight w:val="none"/>
          <w:u w:val="none"/>
          <w:lang w:val="en-US" w:eastAsia="zh-CN"/>
        </w:rPr>
        <w:t>14.响应文件的签署</w:t>
      </w:r>
      <w:bookmarkEnd w:id="256"/>
      <w:r>
        <w:rPr>
          <w:rFonts w:hint="eastAsia" w:asciiTheme="minorEastAsia" w:hAnsiTheme="minorEastAsia" w:eastAsiaTheme="minorEastAsia" w:cstheme="minorEastAsia"/>
          <w:b/>
          <w:bCs w:val="0"/>
          <w:color w:val="auto"/>
          <w:sz w:val="24"/>
          <w:szCs w:val="24"/>
          <w:highlight w:val="none"/>
          <w:u w:val="none"/>
          <w:lang w:val="en-US" w:eastAsia="zh-CN"/>
        </w:rPr>
        <w:t>及规定</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4231016A">
      <w:pPr>
        <w:pStyle w:val="11"/>
        <w:spacing w:line="229" w:lineRule="auto"/>
        <w:ind w:left="47"/>
        <w:outlineLvl w:val="2"/>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281" w:name="_Toc4819"/>
      <w:r>
        <w:rPr>
          <w:rFonts w:hint="eastAsia" w:asciiTheme="minorEastAsia" w:hAnsiTheme="minorEastAsia" w:eastAsiaTheme="minorEastAsia" w:cstheme="minorEastAsia"/>
          <w:b w:val="0"/>
          <w:bCs/>
          <w:color w:val="auto"/>
          <w:kern w:val="2"/>
          <w:sz w:val="24"/>
          <w:szCs w:val="24"/>
          <w:highlight w:val="none"/>
          <w:lang w:val="en-US" w:eastAsia="zh-CN" w:bidi="ar-SA"/>
        </w:rPr>
        <w:t>14.响应文件的签署及规定（电子投标以政采云系统生成格式为准）</w:t>
      </w:r>
    </w:p>
    <w:p w14:paraId="4B143671">
      <w:pPr>
        <w:pStyle w:val="11"/>
        <w:spacing w:before="41" w:line="229" w:lineRule="auto"/>
        <w:ind w:left="47" w:firstLine="240" w:firstLineChars="10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14.1 供应商应按供应商须知资料表中的规定 ，准备和递交（加密上传） 电子响应文件。</w:t>
      </w:r>
    </w:p>
    <w:p w14:paraId="05F8D147">
      <w:pPr>
        <w:pStyle w:val="11"/>
        <w:spacing w:before="80" w:line="190" w:lineRule="auto"/>
        <w:ind w:left="47" w:firstLine="240" w:firstLineChars="10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14.2 所有响应文件应按照磋商文件规定的格式填写、签署和盖章。</w:t>
      </w:r>
    </w:p>
    <w:p w14:paraId="6632E804">
      <w:pPr>
        <w:pageBreakBefore w:val="0"/>
        <w:widowControl w:val="0"/>
        <w:kinsoku/>
        <w:wordWrap/>
        <w:overflowPunct/>
        <w:topLinePunct w:val="0"/>
        <w:bidi w:val="0"/>
        <w:spacing w:line="440" w:lineRule="exact"/>
        <w:ind w:left="0" w:leftChars="0" w:firstLine="0" w:firstLineChars="0"/>
        <w:textAlignment w:val="auto"/>
        <w:rPr>
          <w:rFonts w:hint="default"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15.响应文件的上传及责任</w:t>
      </w:r>
    </w:p>
    <w:p w14:paraId="41FE2DE4">
      <w:pPr>
        <w:pageBreakBefore w:val="0"/>
        <w:widowControl w:val="0"/>
        <w:kinsoku/>
        <w:wordWrap/>
        <w:overflowPunct/>
        <w:topLinePunct w:val="0"/>
        <w:bidi w:val="0"/>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15.</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供应商应按供应商须知资料表 中的规定，准备和递交（加密上传） 电子响应文件。</w:t>
      </w:r>
    </w:p>
    <w:p w14:paraId="379FE85C">
      <w:pPr>
        <w:pageBreakBefore w:val="0"/>
        <w:widowControl w:val="0"/>
        <w:kinsoku/>
        <w:wordWrap/>
        <w:overflowPunct/>
        <w:topLinePunct w:val="0"/>
        <w:bidi w:val="0"/>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rPr>
        <w:t>.</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 xml:space="preserve"> 响应文件因字迹潦草、表达不清或未按照磋商文件规定的格式填写、签署和盖章所引起的后果由供应商负责。</w:t>
      </w:r>
    </w:p>
    <w:p w14:paraId="2705F489">
      <w:pPr>
        <w:pStyle w:val="12"/>
        <w:rPr>
          <w:rFonts w:hint="eastAsia"/>
          <w:lang w:val="en-US" w:eastAsia="zh-CN"/>
        </w:rPr>
      </w:pPr>
    </w:p>
    <w:p w14:paraId="6BCBD61F">
      <w:pPr>
        <w:pStyle w:val="3"/>
        <w:pageBreakBefore w:val="0"/>
        <w:widowControl w:val="0"/>
        <w:kinsoku/>
        <w:wordWrap/>
        <w:overflowPunct/>
        <w:topLinePunct w:val="0"/>
        <w:bidi w:val="0"/>
        <w:spacing w:before="0" w:line="440" w:lineRule="exact"/>
        <w:ind w:left="1157" w:leftChars="257" w:hanging="540"/>
        <w:textAlignment w:val="auto"/>
        <w:outlineLvl w:val="1"/>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 xml:space="preserve">四   </w:t>
      </w:r>
      <w:r>
        <w:rPr>
          <w:rFonts w:hint="eastAsia" w:asciiTheme="minorEastAsia" w:hAnsiTheme="minorEastAsia" w:eastAsiaTheme="minorEastAsia" w:cstheme="minorEastAsia"/>
          <w:b/>
          <w:bCs w:val="0"/>
          <w:color w:val="auto"/>
          <w:sz w:val="24"/>
          <w:szCs w:val="24"/>
          <w:highlight w:val="none"/>
          <w:lang w:eastAsia="zh-CN"/>
        </w:rPr>
        <w:t>响应文件</w:t>
      </w:r>
      <w:r>
        <w:rPr>
          <w:rFonts w:hint="eastAsia" w:asciiTheme="minorEastAsia" w:hAnsiTheme="minorEastAsia" w:eastAsiaTheme="minorEastAsia" w:cstheme="minorEastAsia"/>
          <w:b/>
          <w:bCs w:val="0"/>
          <w:color w:val="auto"/>
          <w:sz w:val="24"/>
          <w:szCs w:val="24"/>
          <w:highlight w:val="none"/>
        </w:rPr>
        <w:t>的递交</w:t>
      </w:r>
      <w:bookmarkEnd w:id="274"/>
      <w:bookmarkEnd w:id="275"/>
      <w:bookmarkEnd w:id="276"/>
      <w:bookmarkEnd w:id="277"/>
      <w:bookmarkEnd w:id="278"/>
      <w:bookmarkEnd w:id="279"/>
      <w:bookmarkEnd w:id="280"/>
      <w:bookmarkEnd w:id="281"/>
    </w:p>
    <w:p w14:paraId="1097F3BA">
      <w:pPr>
        <w:pStyle w:val="4"/>
        <w:pageBreakBefore w:val="0"/>
        <w:widowControl w:val="0"/>
        <w:kinsoku/>
        <w:wordWrap/>
        <w:overflowPunct/>
        <w:topLinePunct w:val="0"/>
        <w:bidi w:val="0"/>
        <w:spacing w:before="0" w:after="0" w:line="440" w:lineRule="exac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282" w:name="_Toc13545"/>
      <w:bookmarkStart w:id="283" w:name="_Toc4430"/>
      <w:bookmarkStart w:id="284" w:name="_Toc8734"/>
      <w:bookmarkStart w:id="285" w:name="_Toc21666"/>
      <w:r>
        <w:rPr>
          <w:rFonts w:hint="eastAsia" w:asciiTheme="minorEastAsia" w:hAnsiTheme="minorEastAsia" w:eastAsiaTheme="minorEastAsia" w:cstheme="minorEastAsia"/>
          <w:b/>
          <w:bCs w:val="0"/>
          <w:color w:val="auto"/>
          <w:sz w:val="24"/>
          <w:szCs w:val="24"/>
          <w:highlight w:val="none"/>
          <w:u w:val="none"/>
        </w:rPr>
        <w:t>16.</w:t>
      </w:r>
      <w:r>
        <w:rPr>
          <w:rFonts w:hint="eastAsia" w:asciiTheme="minorEastAsia" w:hAnsiTheme="minorEastAsia" w:eastAsiaTheme="minorEastAsia" w:cstheme="minorEastAsia"/>
          <w:b/>
          <w:bCs w:val="0"/>
          <w:color w:val="auto"/>
          <w:sz w:val="24"/>
          <w:szCs w:val="24"/>
          <w:highlight w:val="none"/>
          <w:u w:val="none"/>
          <w:lang w:val="en-US" w:eastAsia="zh-CN"/>
        </w:rPr>
        <w:t>响应</w:t>
      </w:r>
      <w:r>
        <w:rPr>
          <w:rFonts w:hint="eastAsia" w:asciiTheme="minorEastAsia" w:hAnsiTheme="minorEastAsia" w:eastAsiaTheme="minorEastAsia" w:cstheme="minorEastAsia"/>
          <w:b/>
          <w:bCs w:val="0"/>
          <w:color w:val="auto"/>
          <w:sz w:val="24"/>
          <w:szCs w:val="24"/>
          <w:highlight w:val="none"/>
          <w:u w:val="none"/>
        </w:rPr>
        <w:t>截止</w:t>
      </w:r>
      <w:bookmarkEnd w:id="282"/>
      <w:bookmarkEnd w:id="283"/>
      <w:bookmarkEnd w:id="284"/>
      <w:bookmarkEnd w:id="285"/>
    </w:p>
    <w:p w14:paraId="0606D421">
      <w:pPr>
        <w:pageBreakBefore w:val="0"/>
        <w:widowControl w:val="0"/>
        <w:kinsoku/>
        <w:wordWrap/>
        <w:overflowPunct/>
        <w:topLinePunct w:val="0"/>
        <w:bidi w:val="0"/>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16.1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供应商应在供应商须知资料表中规定的</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截止时间前，将</w:t>
      </w:r>
      <w:r>
        <w:rPr>
          <w:rFonts w:hint="eastAsia" w:asciiTheme="minorEastAsia" w:hAnsiTheme="minorEastAsia" w:eastAsiaTheme="minorEastAsia" w:cstheme="minorEastAsia"/>
          <w:b w:val="0"/>
          <w:bCs/>
          <w:color w:val="auto"/>
          <w:sz w:val="24"/>
          <w:szCs w:val="24"/>
          <w:highlight w:val="none"/>
          <w:lang w:eastAsia="zh-CN"/>
        </w:rPr>
        <w:t>响应文件</w:t>
      </w:r>
      <w:r>
        <w:rPr>
          <w:rFonts w:hint="eastAsia" w:asciiTheme="minorEastAsia" w:hAnsiTheme="minorEastAsia" w:eastAsiaTheme="minorEastAsia" w:cstheme="minorEastAsia"/>
          <w:b w:val="0"/>
          <w:bCs/>
          <w:color w:val="auto"/>
          <w:sz w:val="24"/>
          <w:szCs w:val="24"/>
          <w:highlight w:val="none"/>
        </w:rPr>
        <w:t>上传到</w:t>
      </w:r>
      <w:r>
        <w:rPr>
          <w:rFonts w:hint="eastAsia" w:asciiTheme="minorEastAsia" w:hAnsiTheme="minorEastAsia" w:eastAsiaTheme="minorEastAsia" w:cstheme="minorEastAsia"/>
          <w:b w:val="0"/>
          <w:bCs/>
          <w:color w:val="auto"/>
          <w:sz w:val="24"/>
          <w:szCs w:val="24"/>
          <w:highlight w:val="none"/>
          <w:lang w:val="en-US" w:eastAsia="zh-CN"/>
        </w:rPr>
        <w:t>谈判</w:t>
      </w:r>
      <w:r>
        <w:rPr>
          <w:rFonts w:hint="eastAsia" w:asciiTheme="minorEastAsia" w:hAnsiTheme="minorEastAsia" w:eastAsiaTheme="minorEastAsia" w:cstheme="minorEastAsia"/>
          <w:b w:val="0"/>
          <w:bCs/>
          <w:color w:val="auto"/>
          <w:sz w:val="24"/>
          <w:szCs w:val="24"/>
          <w:highlight w:val="none"/>
        </w:rPr>
        <w:t>公告中规定的地点。</w:t>
      </w:r>
    </w:p>
    <w:p w14:paraId="38EB03D0">
      <w:pPr>
        <w:pageBreakBefore w:val="0"/>
        <w:widowControl w:val="0"/>
        <w:kinsoku/>
        <w:wordWrap/>
        <w:overflowPunct/>
        <w:topLinePunct w:val="0"/>
        <w:bidi w:val="0"/>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16.2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采购人和采购代理机构有权按本须知的规定，延迟</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截止时间。在此情况下，采购人、采购代理机构和供应商受</w:t>
      </w:r>
      <w:r>
        <w:rPr>
          <w:rFonts w:hint="eastAsia" w:asciiTheme="minorEastAsia" w:hAnsiTheme="minorEastAsia" w:eastAsiaTheme="minorEastAsia" w:cstheme="minorEastAsia"/>
          <w:b w:val="0"/>
          <w:bCs/>
          <w:color w:val="auto"/>
          <w:sz w:val="24"/>
          <w:szCs w:val="24"/>
          <w:highlight w:val="none"/>
          <w:lang w:eastAsia="zh-CN"/>
        </w:rPr>
        <w:t>响应</w:t>
      </w:r>
      <w:r>
        <w:rPr>
          <w:rFonts w:hint="eastAsia" w:asciiTheme="minorEastAsia" w:hAnsiTheme="minorEastAsia" w:eastAsiaTheme="minorEastAsia" w:cstheme="minorEastAsia"/>
          <w:b w:val="0"/>
          <w:bCs/>
          <w:color w:val="auto"/>
          <w:sz w:val="24"/>
          <w:szCs w:val="24"/>
          <w:highlight w:val="none"/>
        </w:rPr>
        <w:t>截止时间制约的所有权利和义务均应延长至新的截止时间。</w:t>
      </w:r>
    </w:p>
    <w:p w14:paraId="0CA84DF2">
      <w:pPr>
        <w:pageBreakBefore w:val="0"/>
        <w:widowControl w:val="0"/>
        <w:kinsoku/>
        <w:wordWrap/>
        <w:overflowPunct/>
        <w:topLinePunct w:val="0"/>
        <w:bidi w:val="0"/>
        <w:snapToGrid/>
        <w:spacing w:line="440" w:lineRule="exact"/>
        <w:ind w:left="825" w:hanging="900" w:hangingChars="375"/>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16.3</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采购人和采购代理机构将拒绝接收在</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截止时间后上传的</w:t>
      </w:r>
      <w:r>
        <w:rPr>
          <w:rFonts w:hint="eastAsia" w:asciiTheme="minorEastAsia" w:hAnsiTheme="minorEastAsia" w:eastAsiaTheme="minorEastAsia" w:cstheme="minorEastAsia"/>
          <w:b w:val="0"/>
          <w:bCs/>
          <w:color w:val="auto"/>
          <w:sz w:val="24"/>
          <w:szCs w:val="24"/>
          <w:highlight w:val="none"/>
          <w:lang w:eastAsia="zh-CN"/>
        </w:rPr>
        <w:t>响应文件</w:t>
      </w:r>
      <w:r>
        <w:rPr>
          <w:rFonts w:hint="eastAsia" w:asciiTheme="minorEastAsia" w:hAnsiTheme="minorEastAsia" w:eastAsiaTheme="minorEastAsia" w:cstheme="minorEastAsia"/>
          <w:b w:val="0"/>
          <w:bCs/>
          <w:color w:val="auto"/>
          <w:sz w:val="24"/>
          <w:szCs w:val="24"/>
          <w:highlight w:val="none"/>
        </w:rPr>
        <w:t>。</w:t>
      </w:r>
    </w:p>
    <w:p w14:paraId="01AE4973">
      <w:pPr>
        <w:pStyle w:val="4"/>
        <w:pageBreakBefore w:val="0"/>
        <w:widowControl w:val="0"/>
        <w:kinsoku/>
        <w:wordWrap/>
        <w:overflowPunct/>
        <w:topLinePunct w:val="0"/>
        <w:bidi w:val="0"/>
        <w:snapToGrid/>
        <w:spacing w:before="0" w:after="0" w:line="440" w:lineRule="exac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286" w:name="_Toc13740"/>
      <w:bookmarkStart w:id="287" w:name="_Toc6557"/>
      <w:bookmarkStart w:id="288" w:name="_Toc23662"/>
      <w:bookmarkStart w:id="289" w:name="_Toc22560"/>
      <w:r>
        <w:rPr>
          <w:rFonts w:hint="eastAsia" w:asciiTheme="minorEastAsia" w:hAnsiTheme="minorEastAsia" w:eastAsiaTheme="minorEastAsia" w:cstheme="minorEastAsia"/>
          <w:b/>
          <w:bCs w:val="0"/>
          <w:color w:val="auto"/>
          <w:sz w:val="24"/>
          <w:szCs w:val="24"/>
          <w:highlight w:val="none"/>
          <w:u w:val="none"/>
        </w:rPr>
        <w:t>17.</w:t>
      </w:r>
      <w:r>
        <w:rPr>
          <w:rFonts w:hint="eastAsia" w:asciiTheme="minorEastAsia" w:hAnsiTheme="minorEastAsia" w:eastAsiaTheme="minorEastAsia" w:cstheme="minorEastAsia"/>
          <w:b/>
          <w:bCs w:val="0"/>
          <w:color w:val="auto"/>
          <w:sz w:val="24"/>
          <w:szCs w:val="24"/>
          <w:highlight w:val="none"/>
          <w:u w:val="none"/>
          <w:lang w:eastAsia="zh-CN"/>
        </w:rPr>
        <w:t>响应文件</w:t>
      </w:r>
      <w:r>
        <w:rPr>
          <w:rFonts w:hint="eastAsia" w:asciiTheme="minorEastAsia" w:hAnsiTheme="minorEastAsia" w:eastAsiaTheme="minorEastAsia" w:cstheme="minorEastAsia"/>
          <w:b/>
          <w:bCs w:val="0"/>
          <w:color w:val="auto"/>
          <w:sz w:val="24"/>
          <w:szCs w:val="24"/>
          <w:highlight w:val="none"/>
          <w:u w:val="none"/>
        </w:rPr>
        <w:t>的接收、修改与撤回</w:t>
      </w:r>
      <w:bookmarkEnd w:id="286"/>
      <w:bookmarkEnd w:id="287"/>
      <w:bookmarkEnd w:id="288"/>
      <w:bookmarkEnd w:id="289"/>
    </w:p>
    <w:p w14:paraId="4CAE61DB">
      <w:pPr>
        <w:pageBreakBefore w:val="0"/>
        <w:widowControl w:val="0"/>
        <w:kinsoku/>
        <w:wordWrap/>
        <w:overflowPunct/>
        <w:topLinePunct w:val="0"/>
        <w:bidi w:val="0"/>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17.1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在</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截止时间后上传的</w:t>
      </w:r>
      <w:r>
        <w:rPr>
          <w:rFonts w:hint="eastAsia" w:asciiTheme="minorEastAsia" w:hAnsiTheme="minorEastAsia" w:eastAsiaTheme="minorEastAsia" w:cstheme="minorEastAsia"/>
          <w:b w:val="0"/>
          <w:bCs/>
          <w:color w:val="auto"/>
          <w:sz w:val="24"/>
          <w:szCs w:val="24"/>
          <w:highlight w:val="none"/>
          <w:lang w:eastAsia="zh-CN"/>
        </w:rPr>
        <w:t>响应文件</w:t>
      </w:r>
      <w:r>
        <w:rPr>
          <w:rFonts w:hint="eastAsia" w:asciiTheme="minorEastAsia" w:hAnsiTheme="minorEastAsia" w:eastAsiaTheme="minorEastAsia" w:cstheme="minorEastAsia"/>
          <w:b w:val="0"/>
          <w:bCs/>
          <w:color w:val="auto"/>
          <w:sz w:val="24"/>
          <w:szCs w:val="24"/>
          <w:highlight w:val="none"/>
        </w:rPr>
        <w:t>的，采购人和采购代理机构将拒绝接收。</w:t>
      </w:r>
    </w:p>
    <w:p w14:paraId="7D3DF368">
      <w:pPr>
        <w:pageBreakBefore w:val="0"/>
        <w:widowControl w:val="0"/>
        <w:kinsoku/>
        <w:wordWrap/>
        <w:overflowPunct/>
        <w:topLinePunct w:val="0"/>
        <w:bidi w:val="0"/>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17.2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上传</w:t>
      </w:r>
      <w:r>
        <w:rPr>
          <w:rFonts w:hint="eastAsia" w:asciiTheme="minorEastAsia" w:hAnsiTheme="minorEastAsia" w:eastAsiaTheme="minorEastAsia" w:cstheme="minorEastAsia"/>
          <w:b w:val="0"/>
          <w:bCs/>
          <w:color w:val="auto"/>
          <w:sz w:val="24"/>
          <w:szCs w:val="24"/>
          <w:highlight w:val="none"/>
          <w:lang w:eastAsia="zh-CN"/>
        </w:rPr>
        <w:t>响应文件</w:t>
      </w:r>
      <w:r>
        <w:rPr>
          <w:rFonts w:hint="eastAsia" w:asciiTheme="minorEastAsia" w:hAnsiTheme="minorEastAsia" w:eastAsiaTheme="minorEastAsia" w:cstheme="minorEastAsia"/>
          <w:b w:val="0"/>
          <w:bCs/>
          <w:color w:val="auto"/>
          <w:sz w:val="24"/>
          <w:szCs w:val="24"/>
          <w:highlight w:val="none"/>
        </w:rPr>
        <w:t>以后，如果供应商要进行修改或撤回</w:t>
      </w:r>
      <w:r>
        <w:rPr>
          <w:rFonts w:hint="eastAsia" w:asciiTheme="minorEastAsia" w:hAnsiTheme="minorEastAsia" w:eastAsiaTheme="minorEastAsia" w:cstheme="minorEastAsia"/>
          <w:b w:val="0"/>
          <w:bCs/>
          <w:color w:val="auto"/>
          <w:sz w:val="24"/>
          <w:szCs w:val="24"/>
          <w:highlight w:val="none"/>
          <w:lang w:val="en-US" w:eastAsia="zh-CN"/>
        </w:rPr>
        <w:t>响应文件</w:t>
      </w:r>
      <w:r>
        <w:rPr>
          <w:rFonts w:hint="eastAsia" w:asciiTheme="minorEastAsia" w:hAnsiTheme="minorEastAsia" w:eastAsiaTheme="minorEastAsia" w:cstheme="minorEastAsia"/>
          <w:b w:val="0"/>
          <w:bCs/>
          <w:color w:val="auto"/>
          <w:sz w:val="24"/>
          <w:szCs w:val="24"/>
          <w:highlight w:val="none"/>
        </w:rPr>
        <w:t>，供应商对</w:t>
      </w:r>
      <w:r>
        <w:rPr>
          <w:rFonts w:hint="eastAsia" w:asciiTheme="minorEastAsia" w:hAnsiTheme="minorEastAsia" w:eastAsiaTheme="minorEastAsia" w:cstheme="minorEastAsia"/>
          <w:b w:val="0"/>
          <w:bCs/>
          <w:color w:val="auto"/>
          <w:sz w:val="24"/>
          <w:szCs w:val="24"/>
          <w:highlight w:val="none"/>
          <w:lang w:eastAsia="zh-CN"/>
        </w:rPr>
        <w:t>响应文件</w:t>
      </w:r>
      <w:r>
        <w:rPr>
          <w:rFonts w:hint="eastAsia" w:asciiTheme="minorEastAsia" w:hAnsiTheme="minorEastAsia" w:eastAsiaTheme="minorEastAsia" w:cstheme="minorEastAsia"/>
          <w:b w:val="0"/>
          <w:bCs/>
          <w:color w:val="auto"/>
          <w:sz w:val="24"/>
          <w:szCs w:val="24"/>
          <w:highlight w:val="none"/>
        </w:rPr>
        <w:t>的修改或撤回通知应按本须知规定编制、标记。采购人和采购代理机构将予以接收，并视为</w:t>
      </w:r>
      <w:r>
        <w:rPr>
          <w:rFonts w:hint="eastAsia" w:asciiTheme="minorEastAsia" w:hAnsiTheme="minorEastAsia" w:eastAsiaTheme="minorEastAsia" w:cstheme="minorEastAsia"/>
          <w:b w:val="0"/>
          <w:bCs/>
          <w:color w:val="auto"/>
          <w:sz w:val="24"/>
          <w:szCs w:val="24"/>
          <w:highlight w:val="none"/>
          <w:lang w:eastAsia="zh-CN"/>
        </w:rPr>
        <w:t>响应文件</w:t>
      </w:r>
      <w:r>
        <w:rPr>
          <w:rFonts w:hint="eastAsia" w:asciiTheme="minorEastAsia" w:hAnsiTheme="minorEastAsia" w:eastAsiaTheme="minorEastAsia" w:cstheme="minorEastAsia"/>
          <w:b w:val="0"/>
          <w:bCs/>
          <w:color w:val="auto"/>
          <w:sz w:val="24"/>
          <w:szCs w:val="24"/>
          <w:highlight w:val="none"/>
        </w:rPr>
        <w:t>的组成部分。</w:t>
      </w:r>
    </w:p>
    <w:p w14:paraId="02BE138D">
      <w:pPr>
        <w:pageBreakBefore w:val="0"/>
        <w:widowControl w:val="0"/>
        <w:kinsoku/>
        <w:wordWrap/>
        <w:overflowPunct/>
        <w:topLinePunct w:val="0"/>
        <w:bidi w:val="0"/>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17</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Theme="minorEastAsia" w:hAnsiTheme="minorEastAsia" w:eastAsiaTheme="minorEastAsia" w:cstheme="minorEastAsia"/>
          <w:b w:val="0"/>
          <w:bCs/>
          <w:color w:val="auto"/>
          <w:sz w:val="24"/>
          <w:szCs w:val="24"/>
          <w:highlight w:val="none"/>
        </w:rPr>
        <w:t>3</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在</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截止期之后，采购人和采购代理机构不接受供应商主动对其</w:t>
      </w:r>
      <w:r>
        <w:rPr>
          <w:rFonts w:hint="eastAsia" w:asciiTheme="minorEastAsia" w:hAnsiTheme="minorEastAsia" w:eastAsiaTheme="minorEastAsia" w:cstheme="minorEastAsia"/>
          <w:b w:val="0"/>
          <w:bCs/>
          <w:color w:val="auto"/>
          <w:sz w:val="24"/>
          <w:szCs w:val="24"/>
          <w:highlight w:val="none"/>
          <w:lang w:eastAsia="zh-CN"/>
        </w:rPr>
        <w:t>响应文件</w:t>
      </w:r>
      <w:r>
        <w:rPr>
          <w:rFonts w:hint="eastAsia" w:asciiTheme="minorEastAsia" w:hAnsiTheme="minorEastAsia" w:eastAsiaTheme="minorEastAsia" w:cstheme="minorEastAsia"/>
          <w:b w:val="0"/>
          <w:bCs/>
          <w:color w:val="auto"/>
          <w:sz w:val="24"/>
          <w:szCs w:val="24"/>
          <w:highlight w:val="none"/>
        </w:rPr>
        <w:t>做任何修改。</w:t>
      </w:r>
    </w:p>
    <w:p w14:paraId="65A42F04">
      <w:pPr>
        <w:pageBreakBefore w:val="0"/>
        <w:widowControl w:val="0"/>
        <w:kinsoku/>
        <w:wordWrap/>
        <w:overflowPunct/>
        <w:topLinePunct w:val="0"/>
        <w:bidi w:val="0"/>
        <w:spacing w:line="440" w:lineRule="exact"/>
        <w:ind w:left="825" w:hanging="900" w:hangingChars="375"/>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17.4</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采购人和采购代理机构对所接收</w:t>
      </w:r>
      <w:r>
        <w:rPr>
          <w:rFonts w:hint="eastAsia" w:asciiTheme="minorEastAsia" w:hAnsiTheme="minorEastAsia" w:eastAsiaTheme="minorEastAsia" w:cstheme="minorEastAsia"/>
          <w:b w:val="0"/>
          <w:bCs/>
          <w:color w:val="auto"/>
          <w:sz w:val="24"/>
          <w:szCs w:val="24"/>
          <w:highlight w:val="none"/>
          <w:lang w:eastAsia="zh-CN"/>
        </w:rPr>
        <w:t>响应文件</w:t>
      </w:r>
      <w:r>
        <w:rPr>
          <w:rFonts w:hint="eastAsia" w:asciiTheme="minorEastAsia" w:hAnsiTheme="minorEastAsia" w:eastAsiaTheme="minorEastAsia" w:cstheme="minorEastAsia"/>
          <w:b w:val="0"/>
          <w:bCs/>
          <w:color w:val="auto"/>
          <w:sz w:val="24"/>
          <w:szCs w:val="24"/>
          <w:highlight w:val="none"/>
        </w:rPr>
        <w:t>概不退回。</w:t>
      </w:r>
      <w:bookmarkStart w:id="290" w:name="_Toc28398"/>
      <w:bookmarkStart w:id="291" w:name="_Toc515647778"/>
      <w:bookmarkStart w:id="292" w:name="_Toc520356163"/>
      <w:bookmarkStart w:id="293" w:name="_Toc12436"/>
      <w:bookmarkStart w:id="294" w:name="_Toc216582809"/>
      <w:bookmarkStart w:id="295" w:name="_Toc20246"/>
      <w:bookmarkStart w:id="296" w:name="_Toc21240_WPSOffice_Level1"/>
    </w:p>
    <w:p w14:paraId="5E1AF3D7">
      <w:pPr>
        <w:pStyle w:val="3"/>
        <w:pageBreakBefore w:val="0"/>
        <w:widowControl w:val="0"/>
        <w:kinsoku/>
        <w:wordWrap/>
        <w:overflowPunct/>
        <w:topLinePunct w:val="0"/>
        <w:bidi w:val="0"/>
        <w:spacing w:before="0" w:line="440" w:lineRule="exact"/>
        <w:ind w:left="1157" w:leftChars="257" w:hanging="540"/>
        <w:textAlignment w:val="auto"/>
        <w:outlineLvl w:val="1"/>
        <w:rPr>
          <w:rFonts w:hint="eastAsia" w:asciiTheme="minorEastAsia" w:hAnsiTheme="minorEastAsia" w:eastAsiaTheme="minorEastAsia" w:cstheme="minorEastAsia"/>
          <w:b/>
          <w:bCs w:val="0"/>
          <w:color w:val="auto"/>
          <w:sz w:val="24"/>
          <w:szCs w:val="24"/>
          <w:highlight w:val="none"/>
        </w:rPr>
      </w:pPr>
      <w:bookmarkStart w:id="297" w:name="_Toc11802"/>
      <w:r>
        <w:rPr>
          <w:rFonts w:hint="eastAsia" w:asciiTheme="minorEastAsia" w:hAnsiTheme="minorEastAsia" w:eastAsiaTheme="minorEastAsia" w:cstheme="minorEastAsia"/>
          <w:b/>
          <w:bCs w:val="0"/>
          <w:color w:val="auto"/>
          <w:sz w:val="24"/>
          <w:szCs w:val="24"/>
          <w:highlight w:val="none"/>
        </w:rPr>
        <w:t xml:space="preserve">五   </w:t>
      </w:r>
      <w:r>
        <w:rPr>
          <w:rFonts w:hint="eastAsia" w:asciiTheme="minorEastAsia" w:hAnsiTheme="minorEastAsia" w:eastAsiaTheme="minorEastAsia" w:cstheme="minorEastAsia"/>
          <w:b/>
          <w:bCs w:val="0"/>
          <w:color w:val="auto"/>
          <w:sz w:val="24"/>
          <w:szCs w:val="24"/>
          <w:highlight w:val="none"/>
          <w:lang w:val="en-US" w:eastAsia="zh-CN"/>
        </w:rPr>
        <w:t>竞争性谈判</w:t>
      </w:r>
      <w:r>
        <w:rPr>
          <w:rFonts w:hint="eastAsia" w:asciiTheme="minorEastAsia" w:hAnsiTheme="minorEastAsia" w:eastAsiaTheme="minorEastAsia" w:cstheme="minorEastAsia"/>
          <w:b/>
          <w:bCs w:val="0"/>
          <w:color w:val="auto"/>
          <w:sz w:val="24"/>
          <w:szCs w:val="24"/>
          <w:highlight w:val="none"/>
        </w:rPr>
        <w:t>及评</w:t>
      </w:r>
      <w:bookmarkEnd w:id="290"/>
      <w:bookmarkEnd w:id="291"/>
      <w:bookmarkEnd w:id="292"/>
      <w:bookmarkEnd w:id="293"/>
      <w:bookmarkEnd w:id="294"/>
      <w:bookmarkEnd w:id="295"/>
      <w:r>
        <w:rPr>
          <w:rFonts w:hint="eastAsia" w:asciiTheme="minorEastAsia" w:hAnsiTheme="minorEastAsia" w:eastAsiaTheme="minorEastAsia" w:cstheme="minorEastAsia"/>
          <w:b/>
          <w:bCs w:val="0"/>
          <w:color w:val="auto"/>
          <w:sz w:val="24"/>
          <w:szCs w:val="24"/>
          <w:highlight w:val="none"/>
          <w:lang w:val="en-US" w:eastAsia="zh-CN"/>
        </w:rPr>
        <w:t>审</w:t>
      </w:r>
      <w:bookmarkEnd w:id="296"/>
      <w:bookmarkEnd w:id="297"/>
    </w:p>
    <w:p w14:paraId="25939A5B">
      <w:pPr>
        <w:pStyle w:val="4"/>
        <w:pageBreakBefore w:val="0"/>
        <w:widowControl w:val="0"/>
        <w:kinsoku/>
        <w:wordWrap/>
        <w:overflowPunct/>
        <w:topLinePunct w:val="0"/>
        <w:bidi w:val="0"/>
        <w:spacing w:before="0" w:after="0" w:line="440" w:lineRule="exac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298" w:name="_Toc27111"/>
      <w:bookmarkStart w:id="299" w:name="_Toc7093"/>
      <w:bookmarkStart w:id="300" w:name="_Toc5059"/>
      <w:bookmarkStart w:id="301" w:name="_Toc16955"/>
      <w:bookmarkStart w:id="302" w:name="_Toc1440"/>
      <w:bookmarkStart w:id="303" w:name="_Toc27011_WPSOffice_Level2"/>
      <w:r>
        <w:rPr>
          <w:rFonts w:hint="eastAsia" w:asciiTheme="minorEastAsia" w:hAnsiTheme="minorEastAsia" w:eastAsiaTheme="minorEastAsia" w:cstheme="minorEastAsia"/>
          <w:b/>
          <w:bCs w:val="0"/>
          <w:color w:val="auto"/>
          <w:sz w:val="24"/>
          <w:szCs w:val="24"/>
          <w:highlight w:val="none"/>
          <w:u w:val="none"/>
          <w:lang w:val="en-US" w:eastAsia="zh-CN"/>
        </w:rPr>
        <w:t>18.谈判开启</w:t>
      </w:r>
      <w:bookmarkEnd w:id="298"/>
      <w:bookmarkEnd w:id="299"/>
      <w:bookmarkEnd w:id="300"/>
      <w:bookmarkEnd w:id="301"/>
      <w:bookmarkEnd w:id="302"/>
    </w:p>
    <w:p w14:paraId="30A2B1D1">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Theme="minorEastAsia" w:hAnsiTheme="minorEastAsia" w:eastAsiaTheme="minorEastAsia" w:cstheme="minorEastAsia"/>
          <w:b w:val="0"/>
          <w:bCs/>
          <w:color w:val="auto"/>
          <w:sz w:val="24"/>
          <w:szCs w:val="24"/>
          <w:highlight w:val="none"/>
          <w:lang w:eastAsia="zh-CN"/>
        </w:rPr>
      </w:pPr>
      <w:bookmarkStart w:id="304" w:name="_Toc520356165"/>
      <w:bookmarkStart w:id="305" w:name="_Toc19296"/>
      <w:bookmarkStart w:id="306" w:name="_Toc21372"/>
      <w:bookmarkStart w:id="307" w:name="_Toc31290"/>
      <w:bookmarkStart w:id="308" w:name="_Toc515647780"/>
      <w:bookmarkStart w:id="309" w:name="_Toc30927"/>
      <w:r>
        <w:rPr>
          <w:rFonts w:hint="eastAsia" w:asciiTheme="minorEastAsia" w:hAnsiTheme="minorEastAsia" w:eastAsiaTheme="minorEastAsia" w:cstheme="minorEastAsia"/>
          <w:b w:val="0"/>
          <w:bCs/>
          <w:color w:val="auto"/>
          <w:sz w:val="24"/>
          <w:szCs w:val="24"/>
          <w:highlight w:val="none"/>
          <w:lang w:eastAsia="zh-CN"/>
        </w:rPr>
        <w:t>18.1供应商按照须知资料表中规定的开标时间和地点，在规定时间内上传响应文件。</w:t>
      </w:r>
    </w:p>
    <w:p w14:paraId="4F749649">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eastAsia="zh-CN"/>
        </w:rPr>
        <w:t>18.2到</w:t>
      </w:r>
      <w:r>
        <w:rPr>
          <w:rFonts w:hint="eastAsia" w:asciiTheme="minorEastAsia" w:hAnsiTheme="minorEastAsia" w:eastAsiaTheme="minorEastAsia" w:cstheme="minorEastAsia"/>
          <w:b w:val="0"/>
          <w:bCs/>
          <w:color w:val="auto"/>
          <w:sz w:val="24"/>
          <w:szCs w:val="24"/>
          <w:highlight w:val="none"/>
          <w:lang w:val="en-US" w:eastAsia="zh-CN"/>
        </w:rPr>
        <w:t>谈判</w:t>
      </w:r>
      <w:r>
        <w:rPr>
          <w:rFonts w:hint="eastAsia" w:asciiTheme="minorEastAsia" w:hAnsiTheme="minorEastAsia" w:eastAsiaTheme="minorEastAsia" w:cstheme="minorEastAsia"/>
          <w:b w:val="0"/>
          <w:bCs/>
          <w:color w:val="auto"/>
          <w:sz w:val="24"/>
          <w:szCs w:val="24"/>
          <w:highlight w:val="none"/>
          <w:lang w:eastAsia="zh-CN"/>
        </w:rPr>
        <w:t>截止时间</w:t>
      </w:r>
      <w:r>
        <w:rPr>
          <w:rFonts w:hint="eastAsia" w:asciiTheme="minorEastAsia" w:hAnsiTheme="minorEastAsia" w:eastAsiaTheme="minorEastAsia" w:cstheme="minorEastAsia"/>
          <w:b w:val="0"/>
          <w:bCs/>
          <w:color w:val="auto"/>
          <w:sz w:val="24"/>
          <w:szCs w:val="24"/>
          <w:highlight w:val="none"/>
          <w:lang w:val="en-US" w:eastAsia="zh-CN"/>
        </w:rPr>
        <w:t>前</w:t>
      </w:r>
      <w:r>
        <w:rPr>
          <w:rFonts w:hint="eastAsia" w:asciiTheme="minorEastAsia" w:hAnsiTheme="minorEastAsia" w:eastAsiaTheme="minorEastAsia" w:cstheme="minorEastAsia"/>
          <w:b w:val="0"/>
          <w:bCs/>
          <w:color w:val="auto"/>
          <w:sz w:val="24"/>
          <w:szCs w:val="24"/>
          <w:highlight w:val="none"/>
          <w:lang w:eastAsia="zh-CN"/>
        </w:rPr>
        <w:t>，对供应商上传的响应文件进行解密，解密时长为30分钟。供应商须在规定时间内使用CA锁在政采云平台解密，解密失败或未在规定时间内解密，将无法参加下一阶段的</w:t>
      </w:r>
      <w:r>
        <w:rPr>
          <w:rFonts w:hint="eastAsia" w:asciiTheme="minorEastAsia" w:hAnsiTheme="minorEastAsia" w:eastAsiaTheme="minorEastAsia" w:cstheme="minorEastAsia"/>
          <w:b w:val="0"/>
          <w:bCs/>
          <w:color w:val="auto"/>
          <w:sz w:val="24"/>
          <w:szCs w:val="24"/>
          <w:highlight w:val="none"/>
          <w:lang w:val="en-US" w:eastAsia="zh-CN"/>
        </w:rPr>
        <w:t>报价</w:t>
      </w:r>
      <w:r>
        <w:rPr>
          <w:rFonts w:hint="eastAsia" w:asciiTheme="minorEastAsia" w:hAnsiTheme="minorEastAsia" w:eastAsiaTheme="minorEastAsia" w:cstheme="minorEastAsia"/>
          <w:b w:val="0"/>
          <w:bCs/>
          <w:color w:val="auto"/>
          <w:sz w:val="24"/>
          <w:szCs w:val="24"/>
          <w:highlight w:val="none"/>
          <w:lang w:eastAsia="zh-CN"/>
        </w:rPr>
        <w:t>，将被认定为无效</w:t>
      </w:r>
      <w:r>
        <w:rPr>
          <w:rFonts w:hint="eastAsia" w:asciiTheme="minorEastAsia" w:hAnsiTheme="minorEastAsia" w:eastAsiaTheme="minorEastAsia" w:cstheme="minorEastAsia"/>
          <w:b w:val="0"/>
          <w:bCs/>
          <w:color w:val="auto"/>
          <w:sz w:val="24"/>
          <w:szCs w:val="24"/>
          <w:highlight w:val="none"/>
          <w:lang w:val="en-US" w:eastAsia="zh-CN"/>
        </w:rPr>
        <w:t>报价</w:t>
      </w:r>
      <w:r>
        <w:rPr>
          <w:rFonts w:hint="eastAsia" w:asciiTheme="minorEastAsia" w:hAnsiTheme="minorEastAsia" w:eastAsiaTheme="minorEastAsia" w:cstheme="minorEastAsia"/>
          <w:b w:val="0"/>
          <w:bCs/>
          <w:color w:val="auto"/>
          <w:sz w:val="24"/>
          <w:szCs w:val="24"/>
          <w:highlight w:val="none"/>
          <w:lang w:eastAsia="zh-CN"/>
        </w:rPr>
        <w:t xml:space="preserve">。请供应商提前调试好CA锁，确定在操作时能正常使用。  </w:t>
      </w:r>
    </w:p>
    <w:p w14:paraId="48C4230C">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eastAsia="zh-CN"/>
        </w:rPr>
        <w:t>18.3在</w:t>
      </w:r>
      <w:r>
        <w:rPr>
          <w:rFonts w:hint="eastAsia" w:asciiTheme="minorEastAsia" w:hAnsiTheme="minorEastAsia" w:eastAsiaTheme="minorEastAsia" w:cstheme="minorEastAsia"/>
          <w:b w:val="0"/>
          <w:bCs/>
          <w:color w:val="auto"/>
          <w:sz w:val="24"/>
          <w:szCs w:val="24"/>
          <w:highlight w:val="none"/>
          <w:lang w:val="en-US" w:eastAsia="zh-CN"/>
        </w:rPr>
        <w:t>开启报价</w:t>
      </w:r>
      <w:r>
        <w:rPr>
          <w:rFonts w:hint="eastAsia" w:asciiTheme="minorEastAsia" w:hAnsiTheme="minorEastAsia" w:eastAsiaTheme="minorEastAsia" w:cstheme="minorEastAsia"/>
          <w:b w:val="0"/>
          <w:bCs/>
          <w:color w:val="auto"/>
          <w:sz w:val="24"/>
          <w:szCs w:val="24"/>
          <w:highlight w:val="none"/>
          <w:lang w:eastAsia="zh-CN"/>
        </w:rPr>
        <w:t>时，代理机构开启签字时段，须供应商使用CA锁在政采云平台进行签字确认报价。</w:t>
      </w:r>
    </w:p>
    <w:p w14:paraId="1F9563B3">
      <w:pPr>
        <w:pageBreakBefore w:val="0"/>
        <w:widowControl w:val="0"/>
        <w:kinsoku/>
        <w:wordWrap/>
        <w:overflowPunct/>
        <w:topLinePunct w:val="0"/>
        <w:bidi w:val="0"/>
        <w:spacing w:line="440" w:lineRule="exact"/>
        <w:ind w:left="825" w:hanging="900" w:hangingChars="375"/>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eastAsia="zh-CN"/>
        </w:rPr>
        <w:t>18.4采购人登录政采云平台对供应商的资格证明材料进行审查。</w:t>
      </w:r>
    </w:p>
    <w:p w14:paraId="24D15424">
      <w:pPr>
        <w:pStyle w:val="4"/>
        <w:pageBreakBefore w:val="0"/>
        <w:widowControl w:val="0"/>
        <w:kinsoku/>
        <w:wordWrap/>
        <w:overflowPunct/>
        <w:topLinePunct w:val="0"/>
        <w:bidi w:val="0"/>
        <w:spacing w:before="0" w:after="0" w:line="440" w:lineRule="exact"/>
        <w:textAlignment w:val="auto"/>
        <w:outlineLvl w:val="1"/>
        <w:rPr>
          <w:rFonts w:hint="eastAsia" w:asciiTheme="minorEastAsia" w:hAnsiTheme="minorEastAsia" w:eastAsiaTheme="minorEastAsia" w:cstheme="minorEastAsia"/>
          <w:b/>
          <w:bCs w:val="0"/>
          <w:color w:val="auto"/>
          <w:sz w:val="24"/>
          <w:szCs w:val="24"/>
          <w:highlight w:val="none"/>
          <w:u w:val="none"/>
          <w:lang w:val="en-US" w:eastAsia="zh-CN"/>
        </w:rPr>
      </w:pPr>
      <w:bookmarkStart w:id="310" w:name="_Toc18100"/>
      <w:bookmarkStart w:id="311" w:name="_Toc19163"/>
      <w:bookmarkStart w:id="312" w:name="_Toc12214"/>
      <w:bookmarkStart w:id="313" w:name="_Toc25634"/>
      <w:bookmarkStart w:id="314" w:name="_Toc5548"/>
      <w:r>
        <w:rPr>
          <w:rFonts w:hint="eastAsia" w:asciiTheme="minorEastAsia" w:hAnsiTheme="minorEastAsia" w:eastAsiaTheme="minorEastAsia" w:cstheme="minorEastAsia"/>
          <w:b/>
          <w:bCs w:val="0"/>
          <w:color w:val="auto"/>
          <w:sz w:val="24"/>
          <w:szCs w:val="24"/>
          <w:highlight w:val="none"/>
          <w:u w:val="none"/>
        </w:rPr>
        <w:t>19.</w:t>
      </w:r>
      <w:bookmarkEnd w:id="304"/>
      <w:r>
        <w:rPr>
          <w:rFonts w:hint="eastAsia" w:asciiTheme="minorEastAsia" w:hAnsiTheme="minorEastAsia" w:eastAsiaTheme="minorEastAsia" w:cstheme="minorEastAsia"/>
          <w:b/>
          <w:bCs w:val="0"/>
          <w:color w:val="auto"/>
          <w:sz w:val="24"/>
          <w:szCs w:val="24"/>
          <w:highlight w:val="none"/>
          <w:u w:val="none"/>
        </w:rPr>
        <w:t>资格审查及组建</w:t>
      </w:r>
      <w:bookmarkEnd w:id="305"/>
      <w:bookmarkEnd w:id="306"/>
      <w:bookmarkEnd w:id="307"/>
      <w:bookmarkEnd w:id="308"/>
      <w:r>
        <w:rPr>
          <w:rFonts w:hint="eastAsia" w:asciiTheme="minorEastAsia" w:hAnsiTheme="minorEastAsia" w:eastAsiaTheme="minorEastAsia" w:cstheme="minorEastAsia"/>
          <w:b/>
          <w:bCs w:val="0"/>
          <w:color w:val="auto"/>
          <w:sz w:val="24"/>
          <w:szCs w:val="24"/>
          <w:highlight w:val="none"/>
          <w:u w:val="none"/>
          <w:lang w:val="en-US" w:eastAsia="zh-CN"/>
        </w:rPr>
        <w:t>谈判小组</w:t>
      </w:r>
      <w:bookmarkEnd w:id="309"/>
      <w:bookmarkEnd w:id="310"/>
      <w:bookmarkEnd w:id="311"/>
      <w:bookmarkEnd w:id="312"/>
      <w:bookmarkEnd w:id="313"/>
      <w:bookmarkEnd w:id="314"/>
    </w:p>
    <w:p w14:paraId="0A1B7F43">
      <w:pPr>
        <w:pageBreakBefore w:val="0"/>
        <w:widowControl w:val="0"/>
        <w:kinsoku/>
        <w:wordWrap/>
        <w:overflowPunct/>
        <w:topLinePunct w:val="0"/>
        <w:bidi w:val="0"/>
        <w:spacing w:line="440" w:lineRule="exact"/>
        <w:ind w:left="825" w:hanging="900" w:hangingChars="375"/>
        <w:jc w:val="left"/>
        <w:textAlignment w:val="auto"/>
        <w:outlineLvl w:val="9"/>
        <w:rPr>
          <w:rFonts w:hint="eastAsia" w:asciiTheme="minorEastAsia" w:hAnsiTheme="minorEastAsia" w:eastAsiaTheme="minorEastAsia" w:cstheme="minorEastAsia"/>
          <w:b w:val="0"/>
          <w:bCs/>
          <w:color w:val="auto"/>
          <w:sz w:val="24"/>
          <w:szCs w:val="24"/>
          <w:highlight w:val="none"/>
          <w:lang w:eastAsia="zh-CN"/>
        </w:rPr>
      </w:pPr>
      <w:bookmarkStart w:id="315" w:name="_Toc28363"/>
      <w:r>
        <w:rPr>
          <w:rFonts w:hint="eastAsia" w:asciiTheme="minorEastAsia" w:hAnsiTheme="minorEastAsia" w:eastAsiaTheme="minorEastAsia" w:cstheme="minorEastAsia"/>
          <w:b w:val="0"/>
          <w:bCs/>
          <w:color w:val="auto"/>
          <w:sz w:val="24"/>
          <w:szCs w:val="24"/>
          <w:highlight w:val="none"/>
        </w:rPr>
        <w:t xml:space="preserve">19.1  </w:t>
      </w:r>
      <w:r>
        <w:rPr>
          <w:rFonts w:hint="eastAsia" w:asciiTheme="minorEastAsia" w:hAnsiTheme="minorEastAsia" w:eastAsiaTheme="minorEastAsia" w:cstheme="minorEastAsia"/>
          <w:b w:val="0"/>
          <w:bCs/>
          <w:color w:val="auto"/>
          <w:sz w:val="24"/>
          <w:szCs w:val="24"/>
          <w:highlight w:val="none"/>
          <w:lang w:val="en-US" w:eastAsia="zh-CN"/>
        </w:rPr>
        <w:t>采购人</w:t>
      </w:r>
      <w:r>
        <w:rPr>
          <w:rFonts w:hint="eastAsia" w:asciiTheme="minorEastAsia" w:hAnsiTheme="minorEastAsia" w:eastAsiaTheme="minorEastAsia" w:cstheme="minorEastAsia"/>
          <w:b w:val="0"/>
          <w:bCs/>
          <w:color w:val="auto"/>
          <w:sz w:val="24"/>
          <w:szCs w:val="24"/>
          <w:highlight w:val="none"/>
          <w:lang w:eastAsia="zh-CN"/>
        </w:rPr>
        <w:t>依据法律法规和谈判文件中规定的内容，对供应商及其服务的资格进行审查。</w:t>
      </w:r>
      <w:bookmarkEnd w:id="315"/>
    </w:p>
    <w:p w14:paraId="489C71CE">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bCs/>
          <w:i w:val="0"/>
          <w:caps w:val="0"/>
          <w:color w:val="auto"/>
          <w:spacing w:val="0"/>
          <w:w w:val="100"/>
          <w:sz w:val="24"/>
          <w:szCs w:val="24"/>
          <w:highlight w:val="none"/>
        </w:rPr>
        <w:t>本项目</w:t>
      </w:r>
      <w:r>
        <w:rPr>
          <w:rFonts w:hint="eastAsia" w:asciiTheme="minorEastAsia" w:hAnsiTheme="minorEastAsia" w:eastAsiaTheme="minorEastAsia" w:cstheme="minorEastAsia"/>
          <w:b/>
          <w:bCs/>
          <w:i w:val="0"/>
          <w:caps w:val="0"/>
          <w:color w:val="auto"/>
          <w:spacing w:val="0"/>
          <w:w w:val="100"/>
          <w:sz w:val="24"/>
          <w:szCs w:val="24"/>
          <w:highlight w:val="none"/>
          <w:lang w:val="en-US" w:eastAsia="zh-CN"/>
        </w:rPr>
        <w:t>资格审查资料须附在响应文件中</w:t>
      </w:r>
      <w:r>
        <w:rPr>
          <w:rFonts w:hint="eastAsia" w:asciiTheme="minorEastAsia" w:hAnsiTheme="minorEastAsia" w:eastAsiaTheme="minorEastAsia" w:cstheme="minorEastAsia"/>
          <w:b/>
          <w:bCs/>
          <w:i w:val="0"/>
          <w:caps w:val="0"/>
          <w:color w:val="auto"/>
          <w:spacing w:val="0"/>
          <w:w w:val="100"/>
          <w:sz w:val="24"/>
          <w:szCs w:val="24"/>
          <w:highlight w:val="none"/>
        </w:rPr>
        <w:t>：</w:t>
      </w:r>
    </w:p>
    <w:p w14:paraId="4361BCB8">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2" w:firstLineChars="2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1．具有有效的营业执照；</w:t>
      </w:r>
    </w:p>
    <w:p w14:paraId="1D734483">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2" w:firstLineChars="2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2．法人本人投标需提供法人身份证明，委托代理人投标需提供法人授权委托书和身份证明；</w:t>
      </w:r>
    </w:p>
    <w:p w14:paraId="7D4FBDDC">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2" w:firstLineChars="2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3．依法缴纳近三个月任意一个月的社会保险的凭据；</w:t>
      </w:r>
    </w:p>
    <w:p w14:paraId="630C7EFE">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2" w:firstLineChars="2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4．税务部门出具的近三个月任意一个月的完税证明（依法免缴的应提供依法免缴的相关证明文件或零申报报表）；</w:t>
      </w:r>
    </w:p>
    <w:p w14:paraId="5AED1DBB">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2" w:firstLineChars="2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5．提供2024年完整的财务审计报告（成立不满一年的可提供近三个月内任意一个月的银行资信证明）；</w:t>
      </w:r>
    </w:p>
    <w:p w14:paraId="5D776741">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2" w:firstLineChars="2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6．参与政府采购活动前3年内未被列入失信、重大税收违法案件、财政部门禁止参加政府采购活动的承诺书；</w:t>
      </w:r>
    </w:p>
    <w:p w14:paraId="431F3A49">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2" w:firstLineChars="2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7．提供针对本次项目的反商业贿赂承诺书；</w:t>
      </w:r>
    </w:p>
    <w:p w14:paraId="286BB49E">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2" w:firstLineChars="2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8．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w:t>
      </w:r>
    </w:p>
    <w:p w14:paraId="623CEC8F">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9.响应保证金有效凭证</w:t>
      </w:r>
      <w:r>
        <w:rPr>
          <w:rFonts w:hint="eastAsia" w:asciiTheme="minorEastAsia" w:hAnsiTheme="minorEastAsia" w:eastAsiaTheme="minorEastAsia" w:cstheme="minorEastAsia"/>
          <w:b/>
          <w:bCs/>
          <w:sz w:val="24"/>
          <w:szCs w:val="24"/>
          <w:highlight w:val="none"/>
        </w:rPr>
        <w:t>。</w:t>
      </w:r>
    </w:p>
    <w:p w14:paraId="2510B587">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2" w:firstLineChars="200"/>
        <w:rPr>
          <w:rFonts w:hint="default"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10.提供本项目的中小企业声明函</w:t>
      </w:r>
    </w:p>
    <w:p w14:paraId="0041E0C5">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baseline"/>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提示：①、完税证明中“税种”非养老保险、医疗保险、失业保险、工伤保险和生育保险。请各供应商注意！</w:t>
      </w:r>
    </w:p>
    <w:p w14:paraId="4225BF02">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82" w:firstLineChars="200"/>
        <w:textAlignment w:val="baseline"/>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②未通过资格审查的供应商不进入评标；</w:t>
      </w:r>
    </w:p>
    <w:p w14:paraId="0F6C9A59">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82" w:firstLineChars="200"/>
        <w:textAlignment w:val="baseline"/>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③上述资质能够通过官方网络查证的，均视为合格资料。</w:t>
      </w:r>
    </w:p>
    <w:p w14:paraId="3A5935A0">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19.2  采购人或采购代理机构将在谈判开启前1个工作日至递交响应文件截止后1小时的期间内查询供应商的信用记录。供应商存在不良信用记录的，其谈判资格将被认定为无效。</w:t>
      </w:r>
    </w:p>
    <w:p w14:paraId="5DFD05BD">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19.2.1 不良信用记录指：</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color w:val="auto"/>
          <w:sz w:val="24"/>
          <w:highlight w:val="none"/>
        </w:rPr>
        <w:t>将拒绝其参加本次</w:t>
      </w:r>
      <w:r>
        <w:rPr>
          <w:rFonts w:hint="eastAsia" w:asciiTheme="minorEastAsia" w:hAnsiTheme="minorEastAsia" w:eastAsiaTheme="minorEastAsia" w:cstheme="minorEastAsia"/>
          <w:color w:val="auto"/>
          <w:sz w:val="24"/>
          <w:highlight w:val="none"/>
          <w:lang w:eastAsia="zh-CN"/>
        </w:rPr>
        <w:t>谈判</w:t>
      </w:r>
      <w:r>
        <w:rPr>
          <w:rFonts w:hint="eastAsia" w:asciiTheme="minorEastAsia" w:hAnsiTheme="minorEastAsia" w:eastAsiaTheme="minorEastAsia" w:cstheme="minorEastAsia"/>
          <w:color w:val="auto"/>
          <w:sz w:val="24"/>
          <w:highlight w:val="none"/>
        </w:rPr>
        <w:t>活动。</w:t>
      </w:r>
    </w:p>
    <w:p w14:paraId="3F93EA99">
      <w:pPr>
        <w:pStyle w:val="8"/>
        <w:pageBreakBefore w:val="0"/>
        <w:widowControl w:val="0"/>
        <w:kinsoku/>
        <w:wordWrap/>
        <w:overflowPunct/>
        <w:topLinePunct w:val="0"/>
        <w:bidi w:val="0"/>
        <w:snapToGrid/>
        <w:spacing w:line="440" w:lineRule="exact"/>
        <w:ind w:left="0" w:leftChars="0" w:firstLine="0" w:firstLineChars="0"/>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19.2.2 查询及记录方式：采购人或采购代理机构经办人将查询网页打印、签字并存档备查。供应商不良信用记录以采购人或采购代理机构查询结果为准。</w:t>
      </w:r>
    </w:p>
    <w:p w14:paraId="139F3008">
      <w:pPr>
        <w:pStyle w:val="8"/>
        <w:pageBreakBefore w:val="0"/>
        <w:widowControl w:val="0"/>
        <w:kinsoku/>
        <w:wordWrap/>
        <w:overflowPunct/>
        <w:topLinePunct w:val="0"/>
        <w:bidi w:val="0"/>
        <w:snapToGrid/>
        <w:spacing w:line="440" w:lineRule="exact"/>
        <w:ind w:left="0" w:leftChars="0" w:firstLine="482" w:firstLineChars="200"/>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bCs/>
          <w:color w:val="auto"/>
          <w:highlight w:val="none"/>
        </w:rPr>
        <w:t>在本</w:t>
      </w:r>
      <w:r>
        <w:rPr>
          <w:rFonts w:hint="eastAsia" w:asciiTheme="minorEastAsia" w:hAnsiTheme="minorEastAsia" w:eastAsiaTheme="minorEastAsia" w:cstheme="minorEastAsia"/>
          <w:b/>
          <w:bCs/>
          <w:color w:val="auto"/>
          <w:highlight w:val="none"/>
          <w:lang w:eastAsia="zh-CN"/>
        </w:rPr>
        <w:t>谈判</w:t>
      </w:r>
      <w:r>
        <w:rPr>
          <w:rFonts w:hint="eastAsia" w:asciiTheme="minorEastAsia" w:hAnsiTheme="minorEastAsia" w:eastAsiaTheme="minorEastAsia" w:cstheme="minorEastAsia"/>
          <w:b/>
          <w:bCs/>
          <w:color w:val="auto"/>
          <w:highlight w:val="none"/>
        </w:rPr>
        <w:t>文件规定的查询时间之后，网站信息发生的任何变更均不再作为评审依据。供应商自行提供的与网站信息不一致的其他证明材料亦不作为资格审查的依据。</w:t>
      </w:r>
    </w:p>
    <w:p w14:paraId="6D5E3711">
      <w:pPr>
        <w:keepNext w:val="0"/>
        <w:keepLines w:val="0"/>
        <w:widowControl/>
        <w:suppressLineNumbers w:val="0"/>
        <w:jc w:val="left"/>
        <w:rPr>
          <w:u w:val="single"/>
        </w:rPr>
      </w:pPr>
      <w:r>
        <w:rPr>
          <w:rFonts w:hint="eastAsia" w:asciiTheme="minorEastAsia" w:hAnsiTheme="minorEastAsia" w:eastAsiaTheme="minorEastAsia" w:cstheme="minorEastAsia"/>
          <w:b/>
          <w:bCs w:val="0"/>
          <w:color w:val="auto"/>
          <w:sz w:val="24"/>
          <w:szCs w:val="24"/>
          <w:highlight w:val="none"/>
        </w:rPr>
        <w:t>19.3</w:t>
      </w:r>
      <w:bookmarkStart w:id="316" w:name="_Toc520356166"/>
      <w:r>
        <w:rPr>
          <w:rFonts w:hint="eastAsia" w:asciiTheme="minorEastAsia" w:hAnsiTheme="minorEastAsia" w:eastAsiaTheme="minorEastAsia" w:cstheme="minorEastAsia"/>
          <w:b/>
          <w:bCs w:val="0"/>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highlight w:val="none"/>
        </w:rPr>
        <w:t>按照《中华人民共和国政府采购法》、《中华人民共和国政府采购法实施条例》、《政府采购非招标采购方式管理办法》中华人民共和国财政部令第74号</w:t>
      </w:r>
      <w:r>
        <w:rPr>
          <w:rFonts w:hint="eastAsia" w:asciiTheme="minorEastAsia" w:hAnsiTheme="minorEastAsia" w:eastAsiaTheme="minorEastAsia" w:cstheme="minorEastAsia"/>
          <w:b/>
          <w:bCs/>
          <w:color w:val="auto"/>
          <w:sz w:val="24"/>
          <w:highlight w:val="none"/>
          <w:lang w:eastAsia="zh-CN"/>
        </w:rPr>
        <w:t>的</w:t>
      </w:r>
      <w:r>
        <w:rPr>
          <w:rFonts w:hint="eastAsia" w:asciiTheme="minorEastAsia" w:hAnsiTheme="minorEastAsia" w:eastAsiaTheme="minorEastAsia" w:cstheme="minorEastAsia"/>
          <w:b/>
          <w:bCs/>
          <w:color w:val="auto"/>
          <w:sz w:val="24"/>
          <w:highlight w:val="none"/>
          <w:lang w:val="en-US" w:eastAsia="zh-CN"/>
        </w:rPr>
        <w:t>规定专家确定方式：</w:t>
      </w:r>
      <w:r>
        <w:rPr>
          <w:rFonts w:hint="eastAsia" w:asciiTheme="minorEastAsia" w:hAnsiTheme="minorEastAsia" w:eastAsiaTheme="minorEastAsia" w:cstheme="minorEastAsia"/>
          <w:b/>
          <w:bCs/>
          <w:color w:val="auto"/>
          <w:sz w:val="24"/>
          <w:highlight w:val="none"/>
          <w:u w:val="single"/>
          <w:lang w:val="en-US" w:eastAsia="zh-CN"/>
        </w:rPr>
        <w:t>采购人代表及由省级以上财政部门设立的政府采购评审专家库中随机抽取的专家3人组成。</w:t>
      </w:r>
    </w:p>
    <w:p w14:paraId="1130C1A2">
      <w:pPr>
        <w:pStyle w:val="4"/>
        <w:pageBreakBefore w:val="0"/>
        <w:widowControl w:val="0"/>
        <w:kinsoku/>
        <w:wordWrap/>
        <w:overflowPunct/>
        <w:topLinePunct w:val="0"/>
        <w:bidi w:val="0"/>
        <w:snapToGrid/>
        <w:spacing w:before="0" w:after="0" w:line="440" w:lineRule="exact"/>
        <w:ind w:leftChars="0" w:firstLine="0" w:firstLineChars="0"/>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317" w:name="_Toc6224"/>
      <w:bookmarkStart w:id="318" w:name="_Toc5576"/>
      <w:bookmarkStart w:id="319" w:name="_Toc28479"/>
      <w:bookmarkStart w:id="320" w:name="_Toc19949"/>
      <w:bookmarkStart w:id="321" w:name="_Toc21407"/>
      <w:bookmarkStart w:id="322" w:name="_Toc20017"/>
      <w:bookmarkStart w:id="323" w:name="_Toc26332"/>
      <w:bookmarkStart w:id="324" w:name="_Toc18814"/>
      <w:bookmarkStart w:id="325" w:name="_Toc515647781"/>
      <w:bookmarkStart w:id="326" w:name="_Toc10351"/>
      <w:r>
        <w:rPr>
          <w:rFonts w:hint="eastAsia" w:asciiTheme="minorEastAsia" w:hAnsiTheme="minorEastAsia" w:eastAsiaTheme="minorEastAsia" w:cstheme="minorEastAsia"/>
          <w:b/>
          <w:bCs w:val="0"/>
          <w:color w:val="auto"/>
          <w:sz w:val="24"/>
          <w:szCs w:val="24"/>
          <w:highlight w:val="none"/>
          <w:u w:val="none"/>
        </w:rPr>
        <w:t>20.</w:t>
      </w:r>
      <w:r>
        <w:rPr>
          <w:rFonts w:hint="eastAsia" w:asciiTheme="minorEastAsia" w:hAnsiTheme="minorEastAsia" w:eastAsiaTheme="minorEastAsia" w:cstheme="minorEastAsia"/>
          <w:b/>
          <w:bCs w:val="0"/>
          <w:color w:val="auto"/>
          <w:sz w:val="24"/>
          <w:szCs w:val="24"/>
          <w:highlight w:val="none"/>
          <w:u w:val="none"/>
          <w:lang w:val="en-US" w:eastAsia="zh-CN"/>
        </w:rPr>
        <w:t>响应</w:t>
      </w:r>
      <w:r>
        <w:rPr>
          <w:rFonts w:hint="eastAsia" w:asciiTheme="minorEastAsia" w:hAnsiTheme="minorEastAsia" w:eastAsiaTheme="minorEastAsia" w:cstheme="minorEastAsia"/>
          <w:b/>
          <w:bCs w:val="0"/>
          <w:color w:val="auto"/>
          <w:sz w:val="24"/>
          <w:szCs w:val="24"/>
          <w:highlight w:val="none"/>
          <w:u w:val="none"/>
        </w:rPr>
        <w:t>文件</w:t>
      </w:r>
      <w:bookmarkEnd w:id="316"/>
      <w:r>
        <w:rPr>
          <w:rFonts w:hint="eastAsia" w:asciiTheme="minorEastAsia" w:hAnsiTheme="minorEastAsia" w:eastAsiaTheme="minorEastAsia" w:cstheme="minorEastAsia"/>
          <w:b/>
          <w:bCs w:val="0"/>
          <w:color w:val="auto"/>
          <w:sz w:val="24"/>
          <w:szCs w:val="24"/>
          <w:highlight w:val="none"/>
          <w:u w:val="none"/>
        </w:rPr>
        <w:t>符合性审查与澄清</w:t>
      </w:r>
      <w:bookmarkEnd w:id="317"/>
      <w:bookmarkEnd w:id="318"/>
      <w:bookmarkEnd w:id="319"/>
      <w:bookmarkEnd w:id="320"/>
      <w:bookmarkEnd w:id="321"/>
      <w:bookmarkEnd w:id="322"/>
      <w:bookmarkEnd w:id="323"/>
      <w:bookmarkEnd w:id="324"/>
      <w:bookmarkEnd w:id="325"/>
      <w:bookmarkEnd w:id="326"/>
    </w:p>
    <w:p w14:paraId="4708F63E">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20.1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 xml:space="preserve"> 符合性审查是指依据谈判文件的规定，从响应文件的有效性和完整性对谈判文件的响应程度进行审查，以确定是否对谈判文件的实质性要求做出响应。</w:t>
      </w:r>
      <w:bookmarkStart w:id="327" w:name="_Toc520356167"/>
    </w:p>
    <w:p w14:paraId="3D2F4ACF">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20.2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响应文件的澄清</w:t>
      </w:r>
    </w:p>
    <w:p w14:paraId="6A495562">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20.2.1在评审期间，谈判小组将以书面方式要求供应商对其响应文件中含义不明确、对同类问题表述不一致或者有明显文字和计算错误的内容，以及谈判小组认为供应商的报价明显低于其他通过符合性检查供应商的报价，有可能影响履约的情况作必要的澄清、说明或补正。供应商的澄清、说明或补正应在谈判小组规定的时间内以书面方式进行，并不得超出响应文件范围或者改变响应文件的实质性内容。</w:t>
      </w:r>
    </w:p>
    <w:p w14:paraId="55562A44">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20.2.2投供应商的的澄清、说明或补正将作为响应文件的一部分。</w:t>
      </w:r>
    </w:p>
    <w:p w14:paraId="2C9800FC">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20.3</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响应文件报价出现前后不一致的，按照下列规定修正：</w:t>
      </w:r>
    </w:p>
    <w:p w14:paraId="75E6E5A9">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（一）响应文件中报价一览表（报价表）内容与响应文件中相应内容不一致的，以报价一览表（报价表）为准；</w:t>
      </w:r>
    </w:p>
    <w:p w14:paraId="1329EC06">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（二）大写金额和小写金额不一致的，以大写金额为准；</w:t>
      </w:r>
    </w:p>
    <w:p w14:paraId="4797DD1A">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（三）单价金额小数点或者百分比有明显错位的，以报价一览表的总价为准，并修改单价；</w:t>
      </w:r>
    </w:p>
    <w:p w14:paraId="00215B6B">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（四）总价金额与按单价汇总金额不一致的，以单价金额计算结果为准。同时出现两种以上不一致的，按照前款规定的顺序修正。修正后的报价按照第</w:t>
      </w:r>
    </w:p>
    <w:p w14:paraId="42433EB4">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20.2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条的规定经供应商确认后产生约束力，供应商不确认的，其谈判资格将被认定为无效。</w:t>
      </w:r>
    </w:p>
    <w:p w14:paraId="5887EB06">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对不同文字文本响应文件的解释发生异议的，以中文文本为准。</w:t>
      </w:r>
    </w:p>
    <w:p w14:paraId="67F7001C">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20.4</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如一个分包内只有一种产品，不同供应商所投产品为同一品牌的，按如下方式处理：</w:t>
      </w:r>
    </w:p>
    <w:p w14:paraId="41E8405D">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20.4.1如本项目使用最低评</w:t>
      </w:r>
      <w:r>
        <w:rPr>
          <w:rFonts w:hint="eastAsia" w:asciiTheme="minorEastAsia" w:hAnsiTheme="minorEastAsia" w:eastAsiaTheme="minorEastAsia" w:cstheme="minorEastAsia"/>
          <w:b w:val="0"/>
          <w:bCs/>
          <w:color w:val="auto"/>
          <w:sz w:val="24"/>
          <w:szCs w:val="24"/>
          <w:highlight w:val="none"/>
          <w:lang w:eastAsia="zh-CN"/>
        </w:rPr>
        <w:t>标</w:t>
      </w:r>
      <w:r>
        <w:rPr>
          <w:rFonts w:hint="eastAsia" w:asciiTheme="minorEastAsia" w:hAnsiTheme="minorEastAsia" w:eastAsiaTheme="minorEastAsia" w:cstheme="minorEastAsia"/>
          <w:b w:val="0"/>
          <w:bCs/>
          <w:color w:val="auto"/>
          <w:sz w:val="24"/>
          <w:szCs w:val="24"/>
          <w:highlight w:val="none"/>
        </w:rPr>
        <w:t>价法，提供相同品牌产品的不同供应商人以其中通过资格审查、符合性审查且报价最低的参加评审；报价相同的，由采购人或者采购人委托谈判小组按照谈判文件中评审办法规定的方式确定一个参加评审的</w:t>
      </w:r>
      <w:r>
        <w:rPr>
          <w:rFonts w:hint="eastAsia" w:asciiTheme="minorEastAsia" w:hAnsiTheme="minorEastAsia" w:eastAsiaTheme="minorEastAsia" w:cstheme="minorEastAsia"/>
          <w:b w:val="0"/>
          <w:bCs/>
          <w:color w:val="auto"/>
          <w:sz w:val="24"/>
          <w:szCs w:val="24"/>
          <w:highlight w:val="none"/>
          <w:lang w:eastAsia="zh-CN"/>
        </w:rPr>
        <w:t>供应商</w:t>
      </w:r>
      <w:r>
        <w:rPr>
          <w:rFonts w:hint="eastAsia" w:asciiTheme="minorEastAsia" w:hAnsiTheme="minorEastAsia" w:eastAsiaTheme="minorEastAsia" w:cstheme="minorEastAsia"/>
          <w:b w:val="0"/>
          <w:bCs/>
          <w:color w:val="auto"/>
          <w:sz w:val="24"/>
          <w:szCs w:val="24"/>
          <w:highlight w:val="none"/>
        </w:rPr>
        <w:t>；未规定的采取随机抽取方式确定，其他谈判资格将被认定为无效。</w:t>
      </w:r>
    </w:p>
    <w:p w14:paraId="122251AE">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20.5</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供应商所投产品如被列入财政部与国家主管部门颁发的节能产品目录或环境标志产品目录或无线局域网产品目录，应提供相关证明，在评审时予以优先采购，具体优先采购办法见第六章评审方法和标准。如采购人所采购产品为政府强制采购的节能产品，</w:t>
      </w:r>
      <w:r>
        <w:rPr>
          <w:rFonts w:hint="eastAsia" w:asciiTheme="minorEastAsia" w:hAnsiTheme="minorEastAsia" w:eastAsiaTheme="minorEastAsia" w:cstheme="minorEastAsia"/>
          <w:b w:val="0"/>
          <w:bCs/>
          <w:color w:val="auto"/>
          <w:sz w:val="24"/>
          <w:szCs w:val="24"/>
          <w:highlight w:val="none"/>
          <w:lang w:eastAsia="zh-CN"/>
        </w:rPr>
        <w:t>供应商</w:t>
      </w:r>
      <w:r>
        <w:rPr>
          <w:rFonts w:hint="eastAsia" w:asciiTheme="minorEastAsia" w:hAnsiTheme="minorEastAsia" w:eastAsiaTheme="minorEastAsia" w:cstheme="minorEastAsia"/>
          <w:b w:val="0"/>
          <w:bCs/>
          <w:color w:val="auto"/>
          <w:sz w:val="24"/>
          <w:szCs w:val="24"/>
          <w:highlight w:val="none"/>
        </w:rPr>
        <w:t>所投产品的品牌及型号必须为清单中有效期内产品并提供证明文件，否则其谈判资格将被认定为无效。</w:t>
      </w:r>
    </w:p>
    <w:p w14:paraId="7CB0315E">
      <w:pPr>
        <w:pStyle w:val="4"/>
        <w:pageBreakBefore w:val="0"/>
        <w:widowControl w:val="0"/>
        <w:kinsoku/>
        <w:wordWrap/>
        <w:overflowPunct/>
        <w:topLinePunct w:val="0"/>
        <w:bidi w:val="0"/>
        <w:spacing w:before="0" w:after="0" w:line="440" w:lineRule="exac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328" w:name="_Toc9469"/>
      <w:bookmarkStart w:id="329" w:name="_Toc20455"/>
      <w:bookmarkStart w:id="330" w:name="_Toc842"/>
      <w:bookmarkStart w:id="331" w:name="_Toc28930"/>
      <w:bookmarkStart w:id="332" w:name="_Toc6722"/>
      <w:bookmarkStart w:id="333" w:name="_Toc515647782"/>
      <w:bookmarkStart w:id="334" w:name="_Toc20440"/>
      <w:bookmarkStart w:id="335" w:name="_Toc24437"/>
      <w:bookmarkStart w:id="336" w:name="_Toc6364"/>
      <w:bookmarkStart w:id="337" w:name="_Toc21292"/>
      <w:bookmarkStart w:id="338" w:name="_Toc18529"/>
      <w:bookmarkStart w:id="339" w:name="_Toc23637"/>
      <w:bookmarkStart w:id="340" w:name="_Toc7928"/>
      <w:bookmarkStart w:id="341" w:name="_Toc10187"/>
      <w:r>
        <w:rPr>
          <w:rFonts w:hint="eastAsia" w:asciiTheme="minorEastAsia" w:hAnsiTheme="minorEastAsia" w:eastAsiaTheme="minorEastAsia" w:cstheme="minorEastAsia"/>
          <w:b/>
          <w:bCs w:val="0"/>
          <w:color w:val="auto"/>
          <w:sz w:val="24"/>
          <w:szCs w:val="24"/>
          <w:highlight w:val="none"/>
          <w:u w:val="none"/>
        </w:rPr>
        <w:t>21.</w:t>
      </w:r>
      <w:r>
        <w:rPr>
          <w:rFonts w:hint="eastAsia" w:asciiTheme="minorEastAsia" w:hAnsiTheme="minorEastAsia" w:eastAsiaTheme="minorEastAsia" w:cstheme="minorEastAsia"/>
          <w:b/>
          <w:bCs w:val="0"/>
          <w:color w:val="auto"/>
          <w:sz w:val="24"/>
          <w:szCs w:val="24"/>
          <w:highlight w:val="none"/>
          <w:u w:val="none"/>
          <w:lang w:val="en-US" w:eastAsia="zh-CN"/>
        </w:rPr>
        <w:t>响应</w:t>
      </w:r>
      <w:r>
        <w:rPr>
          <w:rFonts w:hint="eastAsia" w:asciiTheme="minorEastAsia" w:hAnsiTheme="minorEastAsia" w:eastAsiaTheme="minorEastAsia" w:cstheme="minorEastAsia"/>
          <w:b/>
          <w:bCs w:val="0"/>
          <w:color w:val="auto"/>
          <w:sz w:val="24"/>
          <w:szCs w:val="24"/>
          <w:highlight w:val="none"/>
          <w:u w:val="none"/>
        </w:rPr>
        <w:t>偏离</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159BEB47">
      <w:pPr>
        <w:pageBreakBefore w:val="0"/>
        <w:widowControl w:val="0"/>
        <w:kinsoku/>
        <w:wordWrap/>
        <w:overflowPunct/>
        <w:topLinePunct w:val="0"/>
        <w:bidi w:val="0"/>
        <w:spacing w:line="440" w:lineRule="exact"/>
        <w:ind w:left="878" w:leftChars="99" w:hanging="640" w:hangingChars="267"/>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 谈判小组可以接受响应文件中不构成实质性偏离的不正规或不一致。</w:t>
      </w:r>
    </w:p>
    <w:p w14:paraId="103CF3F5">
      <w:pPr>
        <w:pStyle w:val="4"/>
        <w:pageBreakBefore w:val="0"/>
        <w:widowControl w:val="0"/>
        <w:kinsoku/>
        <w:wordWrap/>
        <w:overflowPunct/>
        <w:topLinePunct w:val="0"/>
        <w:bidi w:val="0"/>
        <w:spacing w:before="0" w:after="0" w:line="440" w:lineRule="exact"/>
        <w:jc w:val="lef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342" w:name="_Toc515647783"/>
      <w:bookmarkStart w:id="343" w:name="_Toc7771"/>
      <w:bookmarkStart w:id="344" w:name="_Toc15559"/>
      <w:bookmarkStart w:id="345" w:name="_Toc11777"/>
      <w:bookmarkStart w:id="346" w:name="_Toc11303"/>
      <w:bookmarkStart w:id="347" w:name="_Toc4950"/>
      <w:bookmarkStart w:id="348" w:name="_Toc29862"/>
      <w:bookmarkStart w:id="349" w:name="_Toc16539"/>
      <w:bookmarkStart w:id="350" w:name="_Toc6092"/>
      <w:bookmarkStart w:id="351" w:name="_Toc23936"/>
      <w:bookmarkStart w:id="352" w:name="_Toc29038"/>
      <w:bookmarkStart w:id="353" w:name="_Toc11351"/>
      <w:bookmarkStart w:id="354" w:name="_Toc24027"/>
      <w:bookmarkStart w:id="355" w:name="_Toc20946"/>
      <w:r>
        <w:rPr>
          <w:rFonts w:hint="eastAsia" w:asciiTheme="minorEastAsia" w:hAnsiTheme="minorEastAsia" w:eastAsiaTheme="minorEastAsia" w:cstheme="minorEastAsia"/>
          <w:b/>
          <w:bCs w:val="0"/>
          <w:color w:val="auto"/>
          <w:sz w:val="24"/>
          <w:szCs w:val="24"/>
          <w:highlight w:val="none"/>
          <w:u w:val="none"/>
        </w:rPr>
        <w:t>22.</w:t>
      </w:r>
      <w:bookmarkEnd w:id="342"/>
      <w:r>
        <w:rPr>
          <w:rFonts w:hint="eastAsia" w:asciiTheme="minorEastAsia" w:hAnsiTheme="minorEastAsia" w:eastAsiaTheme="minorEastAsia" w:cstheme="minorEastAsia"/>
          <w:b/>
          <w:bCs w:val="0"/>
          <w:color w:val="auto"/>
          <w:sz w:val="24"/>
          <w:szCs w:val="24"/>
          <w:highlight w:val="none"/>
          <w:u w:val="none"/>
          <w:lang w:val="en-US" w:eastAsia="zh-CN"/>
        </w:rPr>
        <w:t>谈判</w:t>
      </w:r>
      <w:r>
        <w:rPr>
          <w:rFonts w:hint="eastAsia" w:asciiTheme="minorEastAsia" w:hAnsiTheme="minorEastAsia" w:eastAsiaTheme="minorEastAsia" w:cstheme="minorEastAsia"/>
          <w:b/>
          <w:bCs w:val="0"/>
          <w:color w:val="auto"/>
          <w:sz w:val="24"/>
          <w:szCs w:val="24"/>
          <w:highlight w:val="none"/>
          <w:u w:val="none"/>
        </w:rPr>
        <w:t>无效</w:t>
      </w:r>
      <w:bookmarkEnd w:id="343"/>
      <w:bookmarkEnd w:id="344"/>
      <w:bookmarkEnd w:id="345"/>
      <w:bookmarkEnd w:id="346"/>
      <w:bookmarkEnd w:id="347"/>
      <w:bookmarkEnd w:id="348"/>
      <w:bookmarkEnd w:id="349"/>
      <w:bookmarkEnd w:id="350"/>
      <w:bookmarkEnd w:id="351"/>
      <w:bookmarkEnd w:id="352"/>
      <w:bookmarkEnd w:id="353"/>
      <w:bookmarkEnd w:id="354"/>
      <w:bookmarkEnd w:id="355"/>
    </w:p>
    <w:p w14:paraId="5A100A4D">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22.1  在比较与评价之前，根据本须知的规定，谈判小组要审查每份响应文件是否实质上响应了谈判文件的要求。实质上响应的谈判响应文件应该是与谈判文件要求的全部条款、条件和规格相符，没有重大偏离的响应文件。对关键条款的偏离，将被认定为响应无效。供应商不得通过修正或撤销不符合要求的偏离，从而使其响应文件成为实质上响应。</w:t>
      </w:r>
    </w:p>
    <w:p w14:paraId="67FA528B">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谈判小组决定响应文件的响应性只根据谈判文件要求、响应文件内容及财政主管部门指定相关信息发布媒体。</w:t>
      </w:r>
    </w:p>
    <w:p w14:paraId="23966CA8">
      <w:pPr>
        <w:pageBreakBefore w:val="0"/>
        <w:widowControl w:val="0"/>
        <w:kinsoku/>
        <w:wordWrap/>
        <w:overflowPunct/>
        <w:topLinePunct w:val="0"/>
        <w:bidi w:val="0"/>
        <w:spacing w:line="440" w:lineRule="exact"/>
        <w:ind w:left="825" w:hanging="904" w:hangingChars="375"/>
        <w:jc w:val="left"/>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22.2</w:t>
      </w:r>
      <w:r>
        <w:rPr>
          <w:rFonts w:hint="eastAsia" w:asciiTheme="minorEastAsia" w:hAnsiTheme="minorEastAsia" w:eastAsiaTheme="minorEastAsia" w:cstheme="minorEastAsia"/>
          <w:b/>
          <w:bCs w:val="0"/>
          <w:color w:val="auto"/>
          <w:sz w:val="24"/>
          <w:szCs w:val="24"/>
          <w:highlight w:val="none"/>
          <w:lang w:val="en-US" w:eastAsia="zh-CN"/>
        </w:rPr>
        <w:t xml:space="preserve"> </w:t>
      </w:r>
      <w:r>
        <w:rPr>
          <w:rFonts w:hint="eastAsia" w:asciiTheme="minorEastAsia" w:hAnsiTheme="minorEastAsia" w:eastAsiaTheme="minorEastAsia" w:cstheme="minorEastAsia"/>
          <w:b/>
          <w:bCs w:val="0"/>
          <w:color w:val="auto"/>
          <w:sz w:val="24"/>
          <w:szCs w:val="24"/>
          <w:highlight w:val="none"/>
        </w:rPr>
        <w:t>如发现下列情况之一的，其谈判资格将被认定为无效：</w:t>
      </w:r>
    </w:p>
    <w:p w14:paraId="7A110B6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jc w:val="left"/>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lang w:val="en-US" w:eastAsia="zh-CN"/>
        </w:rPr>
        <w:t>1</w:t>
      </w: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rPr>
        <w:t>未按谈判文件规定的形式和金额提交</w:t>
      </w:r>
      <w:r>
        <w:rPr>
          <w:rFonts w:hint="eastAsia" w:asciiTheme="minorEastAsia" w:hAnsiTheme="minorEastAsia" w:eastAsiaTheme="minorEastAsia" w:cstheme="minorEastAsia"/>
          <w:b/>
          <w:bCs w:val="0"/>
          <w:color w:val="auto"/>
          <w:sz w:val="24"/>
          <w:szCs w:val="24"/>
          <w:highlight w:val="none"/>
          <w:lang w:eastAsia="zh-CN"/>
        </w:rPr>
        <w:t>响应保证金</w:t>
      </w:r>
      <w:r>
        <w:rPr>
          <w:rFonts w:hint="eastAsia" w:asciiTheme="minorEastAsia" w:hAnsiTheme="minorEastAsia" w:eastAsiaTheme="minorEastAsia" w:cstheme="minorEastAsia"/>
          <w:b/>
          <w:bCs w:val="0"/>
          <w:color w:val="auto"/>
          <w:sz w:val="24"/>
          <w:szCs w:val="24"/>
          <w:highlight w:val="none"/>
        </w:rPr>
        <w:t>的；</w:t>
      </w:r>
    </w:p>
    <w:p w14:paraId="25D7549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jc w:val="left"/>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lang w:val="en-US" w:eastAsia="zh-CN"/>
        </w:rPr>
        <w:t>2</w:t>
      </w: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rPr>
        <w:t>未按照谈判文件规定要求签署、盖章的；</w:t>
      </w:r>
    </w:p>
    <w:p w14:paraId="5696773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jc w:val="left"/>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lang w:val="en-US" w:eastAsia="zh-CN"/>
        </w:rPr>
        <w:t>3</w:t>
      </w: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rPr>
        <w:t>未满足谈判文件中技术条款的实质性要求；</w:t>
      </w:r>
    </w:p>
    <w:p w14:paraId="44B4F9E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jc w:val="left"/>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lang w:val="en-US" w:eastAsia="zh-CN"/>
        </w:rPr>
        <w:t>3</w:t>
      </w: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rPr>
        <w:t>与其他供应商串通参加谈判，或者与采购人串通参加谈判的；</w:t>
      </w:r>
    </w:p>
    <w:p w14:paraId="4E54A48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jc w:val="left"/>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lang w:val="en-US" w:eastAsia="zh-CN"/>
        </w:rPr>
        <w:t>4</w:t>
      </w: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rPr>
        <w:t>属于谈判文件规定的其他谈判资格无效情形；</w:t>
      </w:r>
    </w:p>
    <w:p w14:paraId="350C3D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jc w:val="left"/>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lang w:val="en-US" w:eastAsia="zh-CN"/>
        </w:rPr>
        <w:t>5</w:t>
      </w: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rPr>
        <w:t>谈判小组认为供应商的报价明显低于其他通过符合性检查供应商的报价，有可能影响履约的，且供应商未按照规定证明其报价合理性的；</w:t>
      </w:r>
    </w:p>
    <w:p w14:paraId="5CE7CE9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jc w:val="left"/>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lang w:val="en-US" w:eastAsia="zh-CN"/>
        </w:rPr>
        <w:t>6</w:t>
      </w: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rPr>
        <w:t>响应文件含有采购人不能接受的附加条件的；</w:t>
      </w:r>
    </w:p>
    <w:p w14:paraId="42F3113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jc w:val="left"/>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lang w:val="en-US" w:eastAsia="zh-CN"/>
        </w:rPr>
        <w:t>7</w:t>
      </w: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rPr>
        <w:t>不符合法规和谈判文件中规定的其他实质性要求的。</w:t>
      </w:r>
    </w:p>
    <w:p w14:paraId="494046C1">
      <w:pPr>
        <w:pStyle w:val="4"/>
        <w:pageBreakBefore w:val="0"/>
        <w:widowControl w:val="0"/>
        <w:kinsoku/>
        <w:wordWrap/>
        <w:overflowPunct/>
        <w:topLinePunct w:val="0"/>
        <w:bidi w:val="0"/>
        <w:spacing w:before="0" w:after="0" w:line="440" w:lineRule="exact"/>
        <w:jc w:val="lef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356" w:name="_Toc7259"/>
      <w:bookmarkStart w:id="357" w:name="_Toc22941"/>
      <w:bookmarkStart w:id="358" w:name="_Toc13652"/>
      <w:bookmarkStart w:id="359" w:name="_Toc16488"/>
      <w:bookmarkStart w:id="360" w:name="_Toc8521"/>
      <w:bookmarkStart w:id="361" w:name="_Toc515647784"/>
      <w:bookmarkStart w:id="362" w:name="_Toc25003"/>
      <w:bookmarkStart w:id="363" w:name="_Toc32654"/>
      <w:r>
        <w:rPr>
          <w:rFonts w:hint="eastAsia" w:asciiTheme="minorEastAsia" w:hAnsiTheme="minorEastAsia" w:eastAsiaTheme="minorEastAsia" w:cstheme="minorEastAsia"/>
          <w:b/>
          <w:bCs w:val="0"/>
          <w:color w:val="auto"/>
          <w:sz w:val="24"/>
          <w:szCs w:val="24"/>
          <w:highlight w:val="none"/>
          <w:u w:val="none"/>
        </w:rPr>
        <w:t>23.</w:t>
      </w:r>
      <w:bookmarkEnd w:id="327"/>
      <w:r>
        <w:rPr>
          <w:rFonts w:hint="eastAsia" w:asciiTheme="minorEastAsia" w:hAnsiTheme="minorEastAsia" w:eastAsiaTheme="minorEastAsia" w:cstheme="minorEastAsia"/>
          <w:b/>
          <w:bCs w:val="0"/>
          <w:color w:val="auto"/>
          <w:sz w:val="24"/>
          <w:szCs w:val="24"/>
          <w:highlight w:val="none"/>
          <w:u w:val="none"/>
        </w:rPr>
        <w:t>比较与评价</w:t>
      </w:r>
      <w:bookmarkEnd w:id="356"/>
      <w:bookmarkEnd w:id="357"/>
      <w:bookmarkEnd w:id="358"/>
      <w:bookmarkEnd w:id="359"/>
      <w:bookmarkEnd w:id="360"/>
      <w:bookmarkEnd w:id="361"/>
      <w:bookmarkEnd w:id="362"/>
      <w:bookmarkEnd w:id="363"/>
    </w:p>
    <w:p w14:paraId="10A96F70">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23.1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经符合性审查合格的响应文件，谈判小组将根据谈判文件确定的评审方法和标准，对其技术部分和商务部分作进一步的比较和评价。</w:t>
      </w:r>
    </w:p>
    <w:p w14:paraId="3F807B6B">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23.2 评审严格按照谈判文件的要求和条件进行。根据实际情况，在</w:t>
      </w:r>
      <w:r>
        <w:rPr>
          <w:rFonts w:hint="eastAsia" w:asciiTheme="minorEastAsia" w:hAnsiTheme="minorEastAsia" w:eastAsiaTheme="minorEastAsia" w:cstheme="minorEastAsia"/>
          <w:b w:val="0"/>
          <w:bCs/>
          <w:color w:val="auto"/>
          <w:sz w:val="24"/>
          <w:szCs w:val="24"/>
          <w:highlight w:val="none"/>
          <w:u w:val="single"/>
        </w:rPr>
        <w:t>供应商须</w:t>
      </w:r>
      <w:r>
        <w:rPr>
          <w:rFonts w:hint="eastAsia" w:asciiTheme="minorEastAsia" w:hAnsiTheme="minorEastAsia" w:eastAsiaTheme="minorEastAsia" w:cstheme="minorEastAsia"/>
          <w:b w:val="0"/>
          <w:bCs/>
          <w:color w:val="auto"/>
          <w:sz w:val="24"/>
          <w:szCs w:val="24"/>
          <w:highlight w:val="none"/>
        </w:rPr>
        <w:t>知资料表中规定采用下列一种评审方法，详细评审标准见谈判文件第六章：</w:t>
      </w:r>
    </w:p>
    <w:p w14:paraId="666E5B9F">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（1）最低评标价法，是指响应文件满足谈判文件全部实质性要求，且响应报价最低的供应商为成交候选人的评标方法。</w:t>
      </w:r>
    </w:p>
    <w:p w14:paraId="7444E0FB">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（2）综合评分法，是指响应文件满足谈判文件全部实质性要求，且按照评审因素的量化指标评审得分最高的供应商为成交候选人的评标方法。</w:t>
      </w:r>
    </w:p>
    <w:p w14:paraId="25F63AFB">
      <w:pPr>
        <w:pageBreakBefore w:val="0"/>
        <w:widowControl w:val="0"/>
        <w:kinsoku/>
        <w:wordWrap/>
        <w:overflowPunct/>
        <w:topLinePunct w:val="0"/>
        <w:bidi w:val="0"/>
        <w:spacing w:line="440" w:lineRule="exact"/>
        <w:ind w:left="849" w:leftChars="-23" w:hanging="904" w:hangingChars="375"/>
        <w:jc w:val="lef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本项目采用最低评标价法。</w:t>
      </w:r>
    </w:p>
    <w:p w14:paraId="121877FF">
      <w:pPr>
        <w:pStyle w:val="8"/>
        <w:pageBreakBefore w:val="0"/>
        <w:widowControl w:val="0"/>
        <w:kinsoku/>
        <w:wordWrap/>
        <w:overflowPunct/>
        <w:topLinePunct w:val="0"/>
        <w:bidi w:val="0"/>
        <w:spacing w:line="440" w:lineRule="exact"/>
        <w:ind w:left="0" w:leftChars="0" w:firstLine="480" w:firstLineChars="200"/>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p>
    <w:p w14:paraId="2AE70556">
      <w:pPr>
        <w:pStyle w:val="21"/>
        <w:pageBreakBefore w:val="0"/>
        <w:widowControl w:val="0"/>
        <w:kinsoku/>
        <w:wordWrap/>
        <w:overflowPunct/>
        <w:topLinePunct w:val="0"/>
        <w:bidi w:val="0"/>
        <w:spacing w:line="440" w:lineRule="exact"/>
        <w:jc w:val="left"/>
        <w:rPr>
          <w:rFonts w:hint="eastAsia" w:asciiTheme="minorEastAsia" w:hAnsiTheme="minorEastAsia" w:eastAsiaTheme="minorEastAsia" w:cstheme="minorEastAsia"/>
          <w:b/>
          <w:bCs w:val="0"/>
          <w:color w:val="auto"/>
          <w:kern w:val="0"/>
          <w:sz w:val="24"/>
          <w:szCs w:val="24"/>
          <w:highlight w:val="none"/>
          <w:lang w:val="en-US" w:eastAsia="zh-CN" w:bidi="ar-SA"/>
        </w:rPr>
      </w:pPr>
      <w:r>
        <w:rPr>
          <w:rFonts w:hint="eastAsia" w:asciiTheme="minorEastAsia" w:hAnsiTheme="minorEastAsia" w:eastAsiaTheme="minorEastAsia" w:cstheme="minorEastAsia"/>
          <w:b/>
          <w:bCs w:val="0"/>
          <w:color w:val="auto"/>
          <w:kern w:val="0"/>
          <w:sz w:val="24"/>
          <w:szCs w:val="24"/>
          <w:highlight w:val="none"/>
          <w:lang w:val="en-US" w:eastAsia="zh-CN" w:bidi="ar-SA"/>
        </w:rPr>
        <w:t>23.3 本项目专门面向中小企业采购。根据《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的小微、微型企业且在响应文件中提交了《供应商企业类型声明函》或省级以上监狱管理局、戒毒管理局（含新疆生产建设兵团）出具的属于监狱企业的证明文件的供应商，其谈判报价不进行扣除。具体办法详见谈判文件第6章。</w:t>
      </w:r>
    </w:p>
    <w:p w14:paraId="5B98EEA4">
      <w:pPr>
        <w:pStyle w:val="4"/>
        <w:pageBreakBefore w:val="0"/>
        <w:widowControl w:val="0"/>
        <w:kinsoku/>
        <w:wordWrap/>
        <w:overflowPunct/>
        <w:topLinePunct w:val="0"/>
        <w:bidi w:val="0"/>
        <w:spacing w:before="0" w:after="0" w:line="440" w:lineRule="exact"/>
        <w:jc w:val="lef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364" w:name="_Toc520356168"/>
      <w:bookmarkStart w:id="365" w:name="_Toc20227"/>
      <w:bookmarkStart w:id="366" w:name="_Toc1049"/>
      <w:bookmarkStart w:id="367" w:name="_Toc23379"/>
      <w:bookmarkStart w:id="368" w:name="_Toc32474"/>
      <w:bookmarkStart w:id="369" w:name="_Toc19257"/>
      <w:bookmarkStart w:id="370" w:name="_Toc22026"/>
      <w:bookmarkStart w:id="371" w:name="_Toc18183"/>
      <w:bookmarkStart w:id="372" w:name="_Toc25593"/>
      <w:bookmarkStart w:id="373" w:name="_Toc1045"/>
      <w:bookmarkStart w:id="374" w:name="_Toc31728"/>
      <w:bookmarkStart w:id="375" w:name="_Toc9378"/>
      <w:bookmarkStart w:id="376" w:name="_Toc515647785"/>
      <w:bookmarkStart w:id="377" w:name="_Toc16002"/>
      <w:bookmarkStart w:id="378" w:name="_Toc29920"/>
      <w:r>
        <w:rPr>
          <w:rFonts w:hint="eastAsia" w:asciiTheme="minorEastAsia" w:hAnsiTheme="minorEastAsia" w:eastAsiaTheme="minorEastAsia" w:cstheme="minorEastAsia"/>
          <w:b/>
          <w:bCs w:val="0"/>
          <w:color w:val="auto"/>
          <w:sz w:val="24"/>
          <w:szCs w:val="24"/>
          <w:highlight w:val="none"/>
          <w:u w:val="none"/>
        </w:rPr>
        <w:t>24</w:t>
      </w:r>
      <w:bookmarkEnd w:id="364"/>
      <w:r>
        <w:rPr>
          <w:rFonts w:hint="eastAsia" w:asciiTheme="minorEastAsia" w:hAnsiTheme="minorEastAsia" w:eastAsiaTheme="minorEastAsia" w:cstheme="minorEastAsia"/>
          <w:b/>
          <w:bCs w:val="0"/>
          <w:color w:val="auto"/>
          <w:sz w:val="24"/>
          <w:szCs w:val="24"/>
          <w:highlight w:val="none"/>
          <w:u w:val="none"/>
        </w:rPr>
        <w:t>.废标</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0E42A881">
      <w:pPr>
        <w:pageBreakBefore w:val="0"/>
        <w:widowControl w:val="0"/>
        <w:kinsoku/>
        <w:wordWrap/>
        <w:overflowPunct/>
        <w:topLinePunct w:val="0"/>
        <w:bidi w:val="0"/>
        <w:spacing w:line="440" w:lineRule="exact"/>
        <w:jc w:val="left"/>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 xml:space="preserve">出现下列情形之一，将导致项目作废： </w:t>
      </w:r>
    </w:p>
    <w:p w14:paraId="4C3A2152">
      <w:pPr>
        <w:pageBreakBefore w:val="0"/>
        <w:widowControl w:val="0"/>
        <w:kinsoku/>
        <w:wordWrap/>
        <w:overflowPunct/>
        <w:topLinePunct w:val="0"/>
        <w:bidi w:val="0"/>
        <w:spacing w:line="440" w:lineRule="exact"/>
        <w:ind w:left="825" w:hanging="904" w:hangingChars="375"/>
        <w:jc w:val="left"/>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（1）符合专业条件的供应商或者对谈判文件做实质性响应的供应商不足三家；</w:t>
      </w:r>
    </w:p>
    <w:p w14:paraId="56141308">
      <w:pPr>
        <w:pageBreakBefore w:val="0"/>
        <w:widowControl w:val="0"/>
        <w:kinsoku/>
        <w:wordWrap/>
        <w:overflowPunct/>
        <w:topLinePunct w:val="0"/>
        <w:bidi w:val="0"/>
        <w:spacing w:line="440" w:lineRule="exact"/>
        <w:ind w:left="825" w:hanging="904" w:hangingChars="375"/>
        <w:jc w:val="left"/>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（2）出现影响采购公正的违法、违规行为的；</w:t>
      </w:r>
    </w:p>
    <w:p w14:paraId="727FC61D">
      <w:pPr>
        <w:pageBreakBefore w:val="0"/>
        <w:widowControl w:val="0"/>
        <w:kinsoku/>
        <w:wordWrap/>
        <w:overflowPunct/>
        <w:topLinePunct w:val="0"/>
        <w:bidi w:val="0"/>
        <w:spacing w:line="440" w:lineRule="exact"/>
        <w:jc w:val="left"/>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（3）供应商的报价均超过了采购预算，采购人不能支付的；</w:t>
      </w:r>
    </w:p>
    <w:p w14:paraId="5BF7848E">
      <w:pPr>
        <w:pageBreakBefore w:val="0"/>
        <w:widowControl w:val="0"/>
        <w:kinsoku/>
        <w:wordWrap/>
        <w:overflowPunct/>
        <w:topLinePunct w:val="0"/>
        <w:bidi w:val="0"/>
        <w:spacing w:line="440" w:lineRule="exact"/>
        <w:jc w:val="left"/>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 xml:space="preserve">（4）因重大变故，采购任务取消的。   </w:t>
      </w:r>
    </w:p>
    <w:p w14:paraId="01C9C812">
      <w:pPr>
        <w:pStyle w:val="4"/>
        <w:pageBreakBefore w:val="0"/>
        <w:widowControl w:val="0"/>
        <w:kinsoku/>
        <w:wordWrap/>
        <w:overflowPunct/>
        <w:topLinePunct w:val="0"/>
        <w:bidi w:val="0"/>
        <w:spacing w:before="0" w:after="0" w:line="440" w:lineRule="exact"/>
        <w:jc w:val="lef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379" w:name="_Toc24016"/>
      <w:bookmarkStart w:id="380" w:name="_Toc11632"/>
      <w:bookmarkStart w:id="381" w:name="_Toc12786"/>
      <w:bookmarkStart w:id="382" w:name="_Toc6922"/>
      <w:bookmarkStart w:id="383" w:name="_Toc17695"/>
      <w:bookmarkStart w:id="384" w:name="_Toc725"/>
      <w:bookmarkStart w:id="385" w:name="_Toc4370"/>
      <w:bookmarkStart w:id="386" w:name="_Toc30326"/>
      <w:bookmarkStart w:id="387" w:name="_Toc13106"/>
      <w:bookmarkStart w:id="388" w:name="_Toc17366"/>
      <w:r>
        <w:rPr>
          <w:rFonts w:hint="eastAsia" w:asciiTheme="minorEastAsia" w:hAnsiTheme="minorEastAsia" w:eastAsiaTheme="minorEastAsia" w:cstheme="minorEastAsia"/>
          <w:b/>
          <w:bCs w:val="0"/>
          <w:color w:val="auto"/>
          <w:sz w:val="24"/>
          <w:szCs w:val="24"/>
          <w:highlight w:val="none"/>
          <w:u w:val="none"/>
        </w:rPr>
        <w:t>25.保密原则</w:t>
      </w:r>
      <w:bookmarkEnd w:id="379"/>
      <w:bookmarkEnd w:id="380"/>
      <w:bookmarkEnd w:id="381"/>
      <w:bookmarkEnd w:id="382"/>
      <w:bookmarkEnd w:id="383"/>
      <w:bookmarkEnd w:id="384"/>
      <w:bookmarkEnd w:id="385"/>
      <w:bookmarkEnd w:id="386"/>
      <w:bookmarkEnd w:id="387"/>
      <w:bookmarkEnd w:id="388"/>
    </w:p>
    <w:p w14:paraId="39C1AC0F">
      <w:pPr>
        <w:pageBreakBefore w:val="0"/>
        <w:widowControl w:val="0"/>
        <w:kinsoku/>
        <w:wordWrap/>
        <w:overflowPunct/>
        <w:topLinePunct w:val="0"/>
        <w:bidi w:val="0"/>
        <w:spacing w:line="440" w:lineRule="exact"/>
        <w:ind w:left="825" w:hanging="900" w:hangingChars="375"/>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25.1评审将在严格保密的情况下进行。</w:t>
      </w:r>
    </w:p>
    <w:p w14:paraId="275995A2">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25.2政府采购评审专家应当遵守评审工作纪律，不得泄露评审文件、评审情况和评审中获悉的商业秘密。</w:t>
      </w:r>
    </w:p>
    <w:p w14:paraId="2E659D28">
      <w:pPr>
        <w:pStyle w:val="3"/>
        <w:pageBreakBefore w:val="0"/>
        <w:widowControl w:val="0"/>
        <w:kinsoku/>
        <w:wordWrap/>
        <w:overflowPunct/>
        <w:topLinePunct w:val="0"/>
        <w:bidi w:val="0"/>
        <w:spacing w:before="0" w:line="440" w:lineRule="exact"/>
        <w:ind w:left="1157" w:leftChars="257" w:hanging="540"/>
        <w:jc w:val="center"/>
        <w:textAlignment w:val="auto"/>
        <w:outlineLvl w:val="1"/>
        <w:rPr>
          <w:rFonts w:hint="eastAsia" w:asciiTheme="minorEastAsia" w:hAnsiTheme="minorEastAsia" w:eastAsiaTheme="minorEastAsia" w:cstheme="minorEastAsia"/>
          <w:b/>
          <w:bCs w:val="0"/>
          <w:color w:val="auto"/>
          <w:sz w:val="24"/>
          <w:szCs w:val="24"/>
          <w:highlight w:val="none"/>
        </w:rPr>
      </w:pPr>
      <w:bookmarkStart w:id="389" w:name="_Toc17982"/>
      <w:r>
        <w:rPr>
          <w:rFonts w:hint="eastAsia" w:asciiTheme="minorEastAsia" w:hAnsiTheme="minorEastAsia" w:eastAsiaTheme="minorEastAsia" w:cstheme="minorEastAsia"/>
          <w:b/>
          <w:bCs w:val="0"/>
          <w:color w:val="auto"/>
          <w:sz w:val="24"/>
          <w:szCs w:val="24"/>
          <w:highlight w:val="none"/>
        </w:rPr>
        <w:t>六   确定</w:t>
      </w:r>
      <w:r>
        <w:rPr>
          <w:rFonts w:hint="eastAsia" w:asciiTheme="minorEastAsia" w:hAnsiTheme="minorEastAsia" w:eastAsiaTheme="minorEastAsia" w:cstheme="minorEastAsia"/>
          <w:b/>
          <w:bCs w:val="0"/>
          <w:color w:val="auto"/>
          <w:sz w:val="24"/>
          <w:szCs w:val="24"/>
          <w:highlight w:val="none"/>
          <w:lang w:val="en-US" w:eastAsia="zh-CN"/>
        </w:rPr>
        <w:t>成交</w:t>
      </w:r>
      <w:bookmarkEnd w:id="389"/>
    </w:p>
    <w:p w14:paraId="79FCF32B">
      <w:pPr>
        <w:pStyle w:val="4"/>
        <w:pageBreakBefore w:val="0"/>
        <w:widowControl w:val="0"/>
        <w:kinsoku/>
        <w:wordWrap/>
        <w:overflowPunct/>
        <w:topLinePunct w:val="0"/>
        <w:bidi w:val="0"/>
        <w:spacing w:before="0" w:after="0" w:line="440" w:lineRule="exact"/>
        <w:jc w:val="lef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390" w:name="_Toc8589"/>
      <w:bookmarkStart w:id="391" w:name="_Toc17728"/>
      <w:bookmarkStart w:id="392" w:name="_Toc10847"/>
      <w:bookmarkStart w:id="393" w:name="_Toc17011"/>
      <w:bookmarkStart w:id="394" w:name="_Toc26143"/>
      <w:bookmarkStart w:id="395" w:name="_Toc22020"/>
      <w:bookmarkStart w:id="396" w:name="_Toc4197"/>
      <w:bookmarkStart w:id="397" w:name="_Toc12945"/>
      <w:bookmarkStart w:id="398" w:name="_Toc11969"/>
      <w:bookmarkStart w:id="399" w:name="_Toc14042"/>
      <w:r>
        <w:rPr>
          <w:rFonts w:hint="eastAsia" w:asciiTheme="minorEastAsia" w:hAnsiTheme="minorEastAsia" w:eastAsiaTheme="minorEastAsia" w:cstheme="minorEastAsia"/>
          <w:b/>
          <w:bCs w:val="0"/>
          <w:color w:val="auto"/>
          <w:sz w:val="24"/>
          <w:szCs w:val="24"/>
          <w:highlight w:val="none"/>
          <w:u w:val="none"/>
        </w:rPr>
        <w:t>26.</w:t>
      </w:r>
      <w:r>
        <w:rPr>
          <w:rFonts w:hint="eastAsia" w:asciiTheme="minorEastAsia" w:hAnsiTheme="minorEastAsia" w:eastAsiaTheme="minorEastAsia" w:cstheme="minorEastAsia"/>
          <w:b/>
          <w:bCs w:val="0"/>
          <w:color w:val="auto"/>
          <w:sz w:val="24"/>
          <w:szCs w:val="24"/>
          <w:highlight w:val="none"/>
          <w:u w:val="none"/>
          <w:lang w:eastAsia="zh-CN"/>
        </w:rPr>
        <w:t>成交候选人</w:t>
      </w:r>
      <w:r>
        <w:rPr>
          <w:rFonts w:hint="eastAsia" w:asciiTheme="minorEastAsia" w:hAnsiTheme="minorEastAsia" w:eastAsiaTheme="minorEastAsia" w:cstheme="minorEastAsia"/>
          <w:b/>
          <w:bCs w:val="0"/>
          <w:color w:val="auto"/>
          <w:sz w:val="24"/>
          <w:szCs w:val="24"/>
          <w:highlight w:val="none"/>
          <w:u w:val="none"/>
        </w:rPr>
        <w:t>的确定原则及标准</w:t>
      </w:r>
      <w:bookmarkEnd w:id="390"/>
      <w:bookmarkEnd w:id="391"/>
      <w:bookmarkEnd w:id="392"/>
      <w:bookmarkEnd w:id="393"/>
      <w:bookmarkEnd w:id="394"/>
      <w:bookmarkEnd w:id="395"/>
      <w:bookmarkEnd w:id="396"/>
      <w:bookmarkEnd w:id="397"/>
      <w:bookmarkEnd w:id="398"/>
      <w:bookmarkEnd w:id="399"/>
    </w:p>
    <w:p w14:paraId="094AD479">
      <w:pPr>
        <w:keepNext w:val="0"/>
        <w:keepLines w:val="0"/>
        <w:pageBreakBefore w:val="0"/>
        <w:widowControl w:val="0"/>
        <w:kinsoku/>
        <w:wordWrap/>
        <w:overflowPunct/>
        <w:topLinePunct w:val="0"/>
        <w:autoSpaceDE/>
        <w:autoSpaceDN/>
        <w:bidi w:val="0"/>
        <w:adjustRightInd/>
        <w:snapToGrid/>
        <w:spacing w:line="440" w:lineRule="exact"/>
        <w:ind w:left="825" w:hanging="900" w:hangingChars="375"/>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除第28条规定外，对实质上响应谈判文件的供应商按下列方法进行排序，确定</w:t>
      </w:r>
      <w:r>
        <w:rPr>
          <w:rFonts w:hint="eastAsia" w:asciiTheme="minorEastAsia" w:hAnsiTheme="minorEastAsia" w:eastAsiaTheme="minorEastAsia" w:cstheme="minorEastAsia"/>
          <w:b w:val="0"/>
          <w:bCs/>
          <w:color w:val="auto"/>
          <w:sz w:val="24"/>
          <w:szCs w:val="24"/>
          <w:highlight w:val="none"/>
          <w:lang w:eastAsia="zh-CN"/>
        </w:rPr>
        <w:t>成交</w:t>
      </w:r>
      <w:r>
        <w:rPr>
          <w:rFonts w:hint="eastAsia" w:asciiTheme="minorEastAsia" w:hAnsiTheme="minorEastAsia" w:eastAsiaTheme="minorEastAsia" w:cstheme="minorEastAsia"/>
          <w:b w:val="0"/>
          <w:bCs/>
          <w:color w:val="auto"/>
          <w:sz w:val="24"/>
          <w:szCs w:val="24"/>
          <w:highlight w:val="none"/>
        </w:rPr>
        <w:t>候选人：</w:t>
      </w:r>
    </w:p>
    <w:p w14:paraId="4DD11968">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（1）采用最低评标价法的，除了算术修正和落实政府采购政策需进行的价格扣除外，不对供应商的</w:t>
      </w:r>
      <w:r>
        <w:rPr>
          <w:rFonts w:hint="eastAsia" w:asciiTheme="minorEastAsia" w:hAnsiTheme="minorEastAsia" w:eastAsiaTheme="minorEastAsia" w:cstheme="minorEastAsia"/>
          <w:b w:val="0"/>
          <w:bCs/>
          <w:color w:val="auto"/>
          <w:sz w:val="24"/>
          <w:szCs w:val="24"/>
          <w:highlight w:val="none"/>
          <w:lang w:eastAsia="zh-CN"/>
        </w:rPr>
        <w:t>响应</w:t>
      </w:r>
      <w:r>
        <w:rPr>
          <w:rFonts w:hint="eastAsia" w:asciiTheme="minorEastAsia" w:hAnsiTheme="minorEastAsia" w:eastAsiaTheme="minorEastAsia" w:cstheme="minorEastAsia"/>
          <w:b w:val="0"/>
          <w:bCs/>
          <w:color w:val="auto"/>
          <w:sz w:val="24"/>
          <w:szCs w:val="24"/>
          <w:highlight w:val="none"/>
        </w:rPr>
        <w:t>价格进行任何调整。评标结果按修正和扣除后的</w:t>
      </w:r>
      <w:r>
        <w:rPr>
          <w:rFonts w:hint="eastAsia" w:asciiTheme="minorEastAsia" w:hAnsiTheme="minorEastAsia" w:eastAsiaTheme="minorEastAsia" w:cstheme="minorEastAsia"/>
          <w:b w:val="0"/>
          <w:bCs/>
          <w:color w:val="auto"/>
          <w:sz w:val="24"/>
          <w:szCs w:val="24"/>
          <w:highlight w:val="none"/>
          <w:lang w:eastAsia="zh-CN"/>
        </w:rPr>
        <w:t>响应</w:t>
      </w:r>
      <w:r>
        <w:rPr>
          <w:rFonts w:hint="eastAsia" w:asciiTheme="minorEastAsia" w:hAnsiTheme="minorEastAsia" w:eastAsiaTheme="minorEastAsia" w:cstheme="minorEastAsia"/>
          <w:b w:val="0"/>
          <w:bCs/>
          <w:color w:val="auto"/>
          <w:sz w:val="24"/>
          <w:szCs w:val="24"/>
          <w:highlight w:val="none"/>
        </w:rPr>
        <w:t>报价由低到高顺序排列。报价相同的处理方式详见</w:t>
      </w:r>
      <w:r>
        <w:rPr>
          <w:rFonts w:hint="eastAsia" w:asciiTheme="minorEastAsia" w:hAnsiTheme="minorEastAsia" w:eastAsiaTheme="minorEastAsia" w:cstheme="minorEastAsia"/>
          <w:b w:val="0"/>
          <w:bCs/>
          <w:color w:val="auto"/>
          <w:sz w:val="24"/>
          <w:szCs w:val="24"/>
          <w:highlight w:val="none"/>
          <w:lang w:eastAsia="zh-CN"/>
        </w:rPr>
        <w:t>谈判文件</w:t>
      </w:r>
      <w:r>
        <w:rPr>
          <w:rFonts w:hint="eastAsia" w:asciiTheme="minorEastAsia" w:hAnsiTheme="minorEastAsia" w:eastAsiaTheme="minorEastAsia" w:cstheme="minorEastAsia"/>
          <w:b w:val="0"/>
          <w:bCs/>
          <w:color w:val="auto"/>
          <w:sz w:val="24"/>
          <w:szCs w:val="24"/>
          <w:highlight w:val="none"/>
        </w:rPr>
        <w:t>第6章。</w:t>
      </w:r>
    </w:p>
    <w:p w14:paraId="7260AF7C">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（2）采用综合评分法的，评标结果按评审后得分由高到低顺序排列。得分相同的，按修正和扣除后的</w:t>
      </w:r>
      <w:r>
        <w:rPr>
          <w:rFonts w:hint="eastAsia" w:asciiTheme="minorEastAsia" w:hAnsiTheme="minorEastAsia" w:eastAsiaTheme="minorEastAsia" w:cstheme="minorEastAsia"/>
          <w:b w:val="0"/>
          <w:bCs/>
          <w:color w:val="auto"/>
          <w:sz w:val="24"/>
          <w:szCs w:val="24"/>
          <w:highlight w:val="none"/>
          <w:lang w:eastAsia="zh-CN"/>
        </w:rPr>
        <w:t>响应</w:t>
      </w:r>
      <w:r>
        <w:rPr>
          <w:rFonts w:hint="eastAsia" w:asciiTheme="minorEastAsia" w:hAnsiTheme="minorEastAsia" w:eastAsiaTheme="minorEastAsia" w:cstheme="minorEastAsia"/>
          <w:b w:val="0"/>
          <w:bCs/>
          <w:color w:val="auto"/>
          <w:sz w:val="24"/>
          <w:szCs w:val="24"/>
          <w:highlight w:val="none"/>
        </w:rPr>
        <w:t>报价由低到高顺序排列。得分与</w:t>
      </w:r>
      <w:r>
        <w:rPr>
          <w:rFonts w:hint="eastAsia" w:asciiTheme="minorEastAsia" w:hAnsiTheme="minorEastAsia" w:eastAsiaTheme="minorEastAsia" w:cstheme="minorEastAsia"/>
          <w:b w:val="0"/>
          <w:bCs/>
          <w:color w:val="auto"/>
          <w:sz w:val="24"/>
          <w:szCs w:val="24"/>
          <w:highlight w:val="none"/>
          <w:lang w:eastAsia="zh-CN"/>
        </w:rPr>
        <w:t>响应</w:t>
      </w:r>
      <w:r>
        <w:rPr>
          <w:rFonts w:hint="eastAsia" w:asciiTheme="minorEastAsia" w:hAnsiTheme="minorEastAsia" w:eastAsiaTheme="minorEastAsia" w:cstheme="minorEastAsia"/>
          <w:b w:val="0"/>
          <w:bCs/>
          <w:color w:val="auto"/>
          <w:sz w:val="24"/>
          <w:szCs w:val="24"/>
          <w:highlight w:val="none"/>
        </w:rPr>
        <w:t>报价均相同的处理方式详见</w:t>
      </w:r>
      <w:r>
        <w:rPr>
          <w:rFonts w:hint="eastAsia" w:asciiTheme="minorEastAsia" w:hAnsiTheme="minorEastAsia" w:eastAsiaTheme="minorEastAsia" w:cstheme="minorEastAsia"/>
          <w:b w:val="0"/>
          <w:bCs/>
          <w:color w:val="auto"/>
          <w:sz w:val="24"/>
          <w:szCs w:val="24"/>
          <w:highlight w:val="none"/>
          <w:lang w:eastAsia="zh-CN"/>
        </w:rPr>
        <w:t>谈判文件</w:t>
      </w:r>
      <w:r>
        <w:rPr>
          <w:rFonts w:hint="eastAsia" w:asciiTheme="minorEastAsia" w:hAnsiTheme="minorEastAsia" w:eastAsiaTheme="minorEastAsia" w:cstheme="minorEastAsia"/>
          <w:b w:val="0"/>
          <w:bCs/>
          <w:color w:val="auto"/>
          <w:sz w:val="24"/>
          <w:szCs w:val="24"/>
          <w:highlight w:val="none"/>
        </w:rPr>
        <w:t>第6章。</w:t>
      </w:r>
    </w:p>
    <w:p w14:paraId="042F175E">
      <w:pPr>
        <w:pStyle w:val="33"/>
        <w:pageBreakBefore w:val="0"/>
        <w:widowControl w:val="0"/>
        <w:kinsoku/>
        <w:wordWrap/>
        <w:overflowPunct/>
        <w:topLinePunct w:val="0"/>
        <w:bidi w:val="0"/>
        <w:spacing w:line="440" w:lineRule="exact"/>
        <w:ind w:firstLine="241" w:firstLineChars="100"/>
        <w:jc w:val="left"/>
        <w:rPr>
          <w:rFonts w:hint="eastAsia" w:asciiTheme="minorEastAsia" w:hAnsiTheme="minorEastAsia" w:eastAsiaTheme="minorEastAsia" w:cstheme="minorEastAsia"/>
          <w:b/>
          <w:bCs w:val="0"/>
          <w:color w:val="auto"/>
          <w:sz w:val="24"/>
          <w:szCs w:val="24"/>
          <w:highlight w:val="none"/>
          <w:lang w:eastAsia="zh-CN"/>
        </w:rPr>
      </w:pPr>
      <w:r>
        <w:rPr>
          <w:rFonts w:hint="eastAsia" w:asciiTheme="minorEastAsia" w:hAnsiTheme="minorEastAsia" w:eastAsiaTheme="minorEastAsia" w:cstheme="minorEastAsia"/>
          <w:b/>
          <w:bCs w:val="0"/>
          <w:color w:val="auto"/>
          <w:sz w:val="24"/>
          <w:szCs w:val="24"/>
          <w:highlight w:val="none"/>
          <w:lang w:eastAsia="zh-CN"/>
        </w:rPr>
        <w:t>本项目采用</w:t>
      </w:r>
      <w:r>
        <w:rPr>
          <w:rFonts w:hint="eastAsia" w:asciiTheme="minorEastAsia" w:hAnsiTheme="minorEastAsia" w:eastAsiaTheme="minorEastAsia" w:cstheme="minorEastAsia"/>
          <w:b/>
          <w:bCs w:val="0"/>
          <w:color w:val="auto"/>
          <w:sz w:val="24"/>
          <w:szCs w:val="24"/>
          <w:highlight w:val="none"/>
        </w:rPr>
        <w:t>最低评标价法</w:t>
      </w:r>
      <w:r>
        <w:rPr>
          <w:rFonts w:hint="eastAsia" w:asciiTheme="minorEastAsia" w:hAnsiTheme="minorEastAsia" w:eastAsiaTheme="minorEastAsia" w:cstheme="minorEastAsia"/>
          <w:b/>
          <w:bCs w:val="0"/>
          <w:color w:val="auto"/>
          <w:sz w:val="24"/>
          <w:szCs w:val="24"/>
          <w:highlight w:val="none"/>
          <w:lang w:eastAsia="zh-CN"/>
        </w:rPr>
        <w:t>。</w:t>
      </w:r>
    </w:p>
    <w:p w14:paraId="4172AC8C">
      <w:pPr>
        <w:pStyle w:val="4"/>
        <w:pageBreakBefore w:val="0"/>
        <w:widowControl w:val="0"/>
        <w:kinsoku/>
        <w:wordWrap/>
        <w:overflowPunct/>
        <w:topLinePunct w:val="0"/>
        <w:bidi w:val="0"/>
        <w:spacing w:before="0" w:after="0" w:line="440" w:lineRule="exact"/>
        <w:jc w:val="left"/>
        <w:textAlignment w:val="auto"/>
        <w:outlineLvl w:val="1"/>
        <w:rPr>
          <w:rFonts w:hint="eastAsia" w:asciiTheme="minorEastAsia" w:hAnsiTheme="minorEastAsia" w:eastAsiaTheme="minorEastAsia" w:cstheme="minorEastAsia"/>
          <w:b/>
          <w:bCs w:val="0"/>
          <w:color w:val="auto"/>
          <w:sz w:val="24"/>
          <w:szCs w:val="24"/>
          <w:highlight w:val="none"/>
          <w:u w:val="none"/>
          <w:lang w:eastAsia="zh-CN"/>
        </w:rPr>
      </w:pPr>
      <w:bookmarkStart w:id="400" w:name="_Toc27810"/>
      <w:bookmarkStart w:id="401" w:name="_Toc16443"/>
      <w:bookmarkStart w:id="402" w:name="_Toc31648"/>
      <w:bookmarkStart w:id="403" w:name="_Toc10283"/>
      <w:bookmarkStart w:id="404" w:name="_Toc29477"/>
      <w:bookmarkStart w:id="405" w:name="_Toc4254"/>
      <w:bookmarkStart w:id="406" w:name="_Toc17349"/>
      <w:bookmarkStart w:id="407" w:name="_Toc18089"/>
      <w:bookmarkStart w:id="408" w:name="_Toc25215"/>
      <w:bookmarkStart w:id="409" w:name="_Toc27885"/>
      <w:r>
        <w:rPr>
          <w:rFonts w:hint="eastAsia" w:asciiTheme="minorEastAsia" w:hAnsiTheme="minorEastAsia" w:eastAsiaTheme="minorEastAsia" w:cstheme="minorEastAsia"/>
          <w:b/>
          <w:bCs w:val="0"/>
          <w:color w:val="auto"/>
          <w:sz w:val="24"/>
          <w:szCs w:val="24"/>
          <w:highlight w:val="none"/>
          <w:u w:val="none"/>
        </w:rPr>
        <w:t>27.确定</w:t>
      </w:r>
      <w:r>
        <w:rPr>
          <w:rFonts w:hint="eastAsia" w:asciiTheme="minorEastAsia" w:hAnsiTheme="minorEastAsia" w:eastAsiaTheme="minorEastAsia" w:cstheme="minorEastAsia"/>
          <w:b/>
          <w:bCs w:val="0"/>
          <w:color w:val="auto"/>
          <w:sz w:val="24"/>
          <w:szCs w:val="24"/>
          <w:highlight w:val="none"/>
          <w:u w:val="none"/>
          <w:lang w:eastAsia="zh-CN"/>
        </w:rPr>
        <w:t>成交候选人</w:t>
      </w:r>
      <w:r>
        <w:rPr>
          <w:rFonts w:hint="eastAsia" w:asciiTheme="minorEastAsia" w:hAnsiTheme="minorEastAsia" w:eastAsiaTheme="minorEastAsia" w:cstheme="minorEastAsia"/>
          <w:b/>
          <w:bCs w:val="0"/>
          <w:color w:val="auto"/>
          <w:sz w:val="24"/>
          <w:szCs w:val="24"/>
          <w:highlight w:val="none"/>
          <w:u w:val="none"/>
        </w:rPr>
        <w:t>和</w:t>
      </w:r>
      <w:r>
        <w:rPr>
          <w:rFonts w:hint="eastAsia" w:asciiTheme="minorEastAsia" w:hAnsiTheme="minorEastAsia" w:eastAsiaTheme="minorEastAsia" w:cstheme="minorEastAsia"/>
          <w:b/>
          <w:bCs w:val="0"/>
          <w:color w:val="auto"/>
          <w:sz w:val="24"/>
          <w:szCs w:val="24"/>
          <w:highlight w:val="none"/>
          <w:u w:val="none"/>
          <w:lang w:eastAsia="zh-CN"/>
        </w:rPr>
        <w:t>成交供应商</w:t>
      </w:r>
      <w:bookmarkEnd w:id="400"/>
      <w:bookmarkEnd w:id="401"/>
      <w:bookmarkEnd w:id="402"/>
      <w:bookmarkEnd w:id="403"/>
      <w:bookmarkEnd w:id="404"/>
      <w:bookmarkEnd w:id="405"/>
      <w:bookmarkEnd w:id="406"/>
      <w:bookmarkEnd w:id="407"/>
      <w:bookmarkEnd w:id="408"/>
      <w:bookmarkEnd w:id="409"/>
    </w:p>
    <w:p w14:paraId="4995B226">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谈判小组将根据评审标准，按</w:t>
      </w:r>
      <w:r>
        <w:rPr>
          <w:rFonts w:hint="eastAsia" w:asciiTheme="minorEastAsia" w:hAnsiTheme="minorEastAsia" w:eastAsiaTheme="minorEastAsia" w:cstheme="minorEastAsia"/>
          <w:b w:val="0"/>
          <w:bCs/>
          <w:color w:val="auto"/>
          <w:sz w:val="24"/>
          <w:szCs w:val="24"/>
          <w:highlight w:val="none"/>
          <w:u w:val="single"/>
        </w:rPr>
        <w:t>供应商须知资料表中</w:t>
      </w:r>
      <w:r>
        <w:rPr>
          <w:rFonts w:hint="eastAsia" w:asciiTheme="minorEastAsia" w:hAnsiTheme="minorEastAsia" w:eastAsiaTheme="minorEastAsia" w:cstheme="minorEastAsia"/>
          <w:b w:val="0"/>
          <w:bCs/>
          <w:color w:val="auto"/>
          <w:sz w:val="24"/>
          <w:szCs w:val="24"/>
          <w:highlight w:val="none"/>
        </w:rPr>
        <w:t>规定数量推荐成交候选人；或根据采购人的委托，直接确定成交供应商。</w:t>
      </w:r>
    </w:p>
    <w:p w14:paraId="566C8249">
      <w:pPr>
        <w:pStyle w:val="4"/>
        <w:pageBreakBefore w:val="0"/>
        <w:widowControl w:val="0"/>
        <w:kinsoku/>
        <w:wordWrap/>
        <w:overflowPunct/>
        <w:topLinePunct w:val="0"/>
        <w:bidi w:val="0"/>
        <w:spacing w:before="0" w:after="0" w:line="440" w:lineRule="exact"/>
        <w:jc w:val="lef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410" w:name="_Toc10628"/>
      <w:bookmarkStart w:id="411" w:name="_Toc28016"/>
      <w:bookmarkStart w:id="412" w:name="_Toc23405"/>
      <w:bookmarkStart w:id="413" w:name="_Toc18382"/>
      <w:bookmarkStart w:id="414" w:name="_Toc8113"/>
      <w:bookmarkStart w:id="415" w:name="_Toc23808"/>
      <w:bookmarkStart w:id="416" w:name="_Toc32272"/>
      <w:bookmarkStart w:id="417" w:name="_Toc24346"/>
      <w:bookmarkStart w:id="418" w:name="_Toc2921"/>
      <w:bookmarkStart w:id="419" w:name="_Toc30844"/>
      <w:r>
        <w:rPr>
          <w:rFonts w:hint="eastAsia" w:asciiTheme="minorEastAsia" w:hAnsiTheme="minorEastAsia" w:eastAsiaTheme="minorEastAsia" w:cstheme="minorEastAsia"/>
          <w:b/>
          <w:bCs w:val="0"/>
          <w:color w:val="auto"/>
          <w:sz w:val="24"/>
          <w:szCs w:val="24"/>
          <w:highlight w:val="none"/>
          <w:u w:val="none"/>
        </w:rPr>
        <w:t>28.采购任务取消</w:t>
      </w:r>
      <w:bookmarkEnd w:id="410"/>
      <w:bookmarkEnd w:id="411"/>
      <w:bookmarkEnd w:id="412"/>
      <w:bookmarkEnd w:id="413"/>
      <w:bookmarkEnd w:id="414"/>
      <w:bookmarkEnd w:id="415"/>
      <w:bookmarkEnd w:id="416"/>
      <w:bookmarkEnd w:id="417"/>
      <w:bookmarkEnd w:id="418"/>
      <w:bookmarkEnd w:id="419"/>
    </w:p>
    <w:p w14:paraId="334DB3EF">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因重大变故采购任务取消时，采购人有权拒绝任何供应商成交，且对受影响的供应商不承担任何责任。</w:t>
      </w:r>
    </w:p>
    <w:p w14:paraId="70486468">
      <w:pPr>
        <w:pStyle w:val="4"/>
        <w:pageBreakBefore w:val="0"/>
        <w:widowControl w:val="0"/>
        <w:kinsoku/>
        <w:wordWrap/>
        <w:overflowPunct/>
        <w:topLinePunct w:val="0"/>
        <w:bidi w:val="0"/>
        <w:spacing w:before="0" w:after="0" w:line="440" w:lineRule="exac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420" w:name="_Toc8763"/>
      <w:bookmarkStart w:id="421" w:name="_Toc5920"/>
      <w:bookmarkStart w:id="422" w:name="_Toc23977"/>
      <w:bookmarkStart w:id="423" w:name="_Toc17431"/>
      <w:bookmarkStart w:id="424" w:name="_Toc4324"/>
      <w:bookmarkStart w:id="425" w:name="_Toc25657"/>
      <w:bookmarkStart w:id="426" w:name="_Toc27119"/>
      <w:bookmarkStart w:id="427" w:name="_Toc18439"/>
      <w:bookmarkStart w:id="428" w:name="_Toc11073"/>
      <w:bookmarkStart w:id="429" w:name="_Toc27020"/>
      <w:r>
        <w:rPr>
          <w:rFonts w:hint="eastAsia" w:asciiTheme="minorEastAsia" w:hAnsiTheme="minorEastAsia" w:eastAsiaTheme="minorEastAsia" w:cstheme="minorEastAsia"/>
          <w:b/>
          <w:bCs w:val="0"/>
          <w:color w:val="auto"/>
          <w:sz w:val="24"/>
          <w:szCs w:val="24"/>
          <w:highlight w:val="none"/>
          <w:u w:val="none"/>
        </w:rPr>
        <w:t>29.</w:t>
      </w:r>
      <w:r>
        <w:rPr>
          <w:rFonts w:hint="eastAsia" w:asciiTheme="minorEastAsia" w:hAnsiTheme="minorEastAsia" w:eastAsiaTheme="minorEastAsia" w:cstheme="minorEastAsia"/>
          <w:b/>
          <w:bCs w:val="0"/>
          <w:color w:val="auto"/>
          <w:sz w:val="24"/>
          <w:szCs w:val="24"/>
          <w:highlight w:val="none"/>
          <w:u w:val="none"/>
          <w:lang w:eastAsia="zh-CN"/>
        </w:rPr>
        <w:t>成交通知书</w:t>
      </w:r>
      <w:r>
        <w:rPr>
          <w:rFonts w:hint="eastAsia" w:asciiTheme="minorEastAsia" w:hAnsiTheme="minorEastAsia" w:eastAsiaTheme="minorEastAsia" w:cstheme="minorEastAsia"/>
          <w:b/>
          <w:bCs w:val="0"/>
          <w:color w:val="auto"/>
          <w:sz w:val="24"/>
          <w:szCs w:val="24"/>
          <w:highlight w:val="none"/>
          <w:u w:val="none"/>
        </w:rPr>
        <w:t>和</w:t>
      </w:r>
      <w:r>
        <w:rPr>
          <w:rFonts w:hint="eastAsia" w:asciiTheme="minorEastAsia" w:hAnsiTheme="minorEastAsia" w:eastAsiaTheme="minorEastAsia" w:cstheme="minorEastAsia"/>
          <w:b/>
          <w:bCs w:val="0"/>
          <w:color w:val="auto"/>
          <w:sz w:val="24"/>
          <w:szCs w:val="24"/>
          <w:highlight w:val="none"/>
          <w:u w:val="none"/>
          <w:lang w:val="en-US" w:eastAsia="zh-CN"/>
        </w:rPr>
        <w:t>采购</w:t>
      </w:r>
      <w:r>
        <w:rPr>
          <w:rFonts w:hint="eastAsia" w:asciiTheme="minorEastAsia" w:hAnsiTheme="minorEastAsia" w:eastAsiaTheme="minorEastAsia" w:cstheme="minorEastAsia"/>
          <w:b/>
          <w:bCs w:val="0"/>
          <w:color w:val="auto"/>
          <w:sz w:val="24"/>
          <w:szCs w:val="24"/>
          <w:highlight w:val="none"/>
          <w:u w:val="none"/>
        </w:rPr>
        <w:t>结果通知书</w:t>
      </w:r>
      <w:bookmarkEnd w:id="420"/>
      <w:bookmarkEnd w:id="421"/>
      <w:bookmarkEnd w:id="422"/>
      <w:bookmarkEnd w:id="423"/>
      <w:bookmarkEnd w:id="424"/>
      <w:bookmarkEnd w:id="425"/>
      <w:bookmarkEnd w:id="426"/>
      <w:bookmarkEnd w:id="427"/>
      <w:bookmarkEnd w:id="428"/>
      <w:bookmarkEnd w:id="429"/>
    </w:p>
    <w:p w14:paraId="375104EA">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29.1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在谈判有效期内，成交供应商确定后，采购人或者采购代理机构发布成交通知书公告，同时以书面形式向成交供应商发出成交通知书。</w:t>
      </w:r>
    </w:p>
    <w:p w14:paraId="38CE6E59">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29.2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成交通知书是合同的组成部分。</w:t>
      </w:r>
    </w:p>
    <w:p w14:paraId="68EF8EAE">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29.3</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采购结果通知书和成交通知书同时发出。采购结果通知书中将告知未通过资格审查的</w:t>
      </w:r>
      <w:r>
        <w:rPr>
          <w:rFonts w:hint="eastAsia" w:asciiTheme="minorEastAsia" w:hAnsiTheme="minorEastAsia" w:eastAsiaTheme="minorEastAsia" w:cstheme="minorEastAsia"/>
          <w:b w:val="0"/>
          <w:bCs/>
          <w:color w:val="auto"/>
          <w:sz w:val="24"/>
          <w:szCs w:val="24"/>
          <w:highlight w:val="none"/>
          <w:lang w:eastAsia="zh-CN"/>
        </w:rPr>
        <w:t>供应商</w:t>
      </w:r>
      <w:r>
        <w:rPr>
          <w:rFonts w:hint="eastAsia" w:asciiTheme="minorEastAsia" w:hAnsiTheme="minorEastAsia" w:eastAsiaTheme="minorEastAsia" w:cstheme="minorEastAsia"/>
          <w:b w:val="0"/>
          <w:bCs/>
          <w:color w:val="auto"/>
          <w:sz w:val="24"/>
          <w:szCs w:val="24"/>
          <w:highlight w:val="none"/>
        </w:rPr>
        <w:t>未通过的原因；采用综合评分法评审的，还将告知未成交供应商本人的评审得分和排序。</w:t>
      </w:r>
    </w:p>
    <w:p w14:paraId="360ADD79">
      <w:pPr>
        <w:pStyle w:val="4"/>
        <w:pageBreakBefore w:val="0"/>
        <w:widowControl w:val="0"/>
        <w:kinsoku/>
        <w:wordWrap/>
        <w:overflowPunct/>
        <w:topLinePunct w:val="0"/>
        <w:bidi w:val="0"/>
        <w:spacing w:before="0" w:after="0" w:line="440" w:lineRule="exac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430" w:name="_Toc23884"/>
      <w:bookmarkStart w:id="431" w:name="_Toc8203"/>
      <w:bookmarkStart w:id="432" w:name="_Toc24094"/>
      <w:bookmarkStart w:id="433" w:name="_Toc4236"/>
      <w:bookmarkStart w:id="434" w:name="_Toc23669"/>
      <w:bookmarkStart w:id="435" w:name="_Toc2895"/>
      <w:bookmarkStart w:id="436" w:name="_Toc31209"/>
      <w:bookmarkStart w:id="437" w:name="_Toc30055"/>
      <w:bookmarkStart w:id="438" w:name="_Toc18638"/>
      <w:bookmarkStart w:id="439" w:name="_Toc27021"/>
      <w:r>
        <w:rPr>
          <w:rFonts w:hint="eastAsia" w:asciiTheme="minorEastAsia" w:hAnsiTheme="minorEastAsia" w:eastAsiaTheme="minorEastAsia" w:cstheme="minorEastAsia"/>
          <w:b/>
          <w:bCs w:val="0"/>
          <w:color w:val="auto"/>
          <w:sz w:val="24"/>
          <w:szCs w:val="24"/>
          <w:highlight w:val="none"/>
          <w:u w:val="none"/>
        </w:rPr>
        <w:t>30.签订合同</w:t>
      </w:r>
      <w:bookmarkEnd w:id="430"/>
      <w:bookmarkEnd w:id="431"/>
      <w:bookmarkEnd w:id="432"/>
      <w:bookmarkEnd w:id="433"/>
      <w:bookmarkEnd w:id="434"/>
      <w:bookmarkEnd w:id="435"/>
      <w:bookmarkEnd w:id="436"/>
      <w:bookmarkEnd w:id="437"/>
      <w:bookmarkEnd w:id="438"/>
      <w:bookmarkEnd w:id="439"/>
    </w:p>
    <w:p w14:paraId="14B0BF74">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30.1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成交供应商应当自发出成交通知书之日起30日内，与采购人签订合同。</w:t>
      </w:r>
    </w:p>
    <w:p w14:paraId="76D3353C">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30.2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谈判文件、成交供应商的响应文件及其澄清文件等，均为签订合同的依据。</w:t>
      </w:r>
    </w:p>
    <w:p w14:paraId="0CAA809E">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30.3  成交供应商拒绝与采购人签订合同的，采购人可以按照评审报告推荐的成交候选人名单排序，确定下一成交候选人为成交供应商，也可以重新开展政府采购活动。</w:t>
      </w:r>
    </w:p>
    <w:p w14:paraId="58574D71">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30.4 </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当出现法规规定的成交通知书无效或成交通知书结果无效情形时，采购人可与排名下一位的成交候选人另行签订合同，或依法重新开展采购活动。</w:t>
      </w:r>
    </w:p>
    <w:p w14:paraId="65D9FF54">
      <w:pPr>
        <w:pStyle w:val="4"/>
        <w:pageBreakBefore w:val="0"/>
        <w:widowControl w:val="0"/>
        <w:kinsoku/>
        <w:wordWrap/>
        <w:overflowPunct/>
        <w:topLinePunct w:val="0"/>
        <w:bidi w:val="0"/>
        <w:spacing w:before="0" w:after="0" w:line="440" w:lineRule="exac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440" w:name="_Toc30779"/>
      <w:bookmarkStart w:id="441" w:name="_Toc29448"/>
      <w:bookmarkStart w:id="442" w:name="_Toc14425"/>
      <w:bookmarkStart w:id="443" w:name="_Toc31248"/>
      <w:bookmarkStart w:id="444" w:name="_Toc11132"/>
      <w:bookmarkStart w:id="445" w:name="_Toc14901"/>
      <w:bookmarkStart w:id="446" w:name="_Toc5162"/>
      <w:bookmarkStart w:id="447" w:name="_Toc31891"/>
      <w:bookmarkStart w:id="448" w:name="_Toc11003"/>
      <w:bookmarkStart w:id="449" w:name="_Toc20723"/>
      <w:r>
        <w:rPr>
          <w:rFonts w:hint="eastAsia" w:asciiTheme="minorEastAsia" w:hAnsiTheme="minorEastAsia" w:eastAsiaTheme="minorEastAsia" w:cstheme="minorEastAsia"/>
          <w:b/>
          <w:bCs w:val="0"/>
          <w:color w:val="auto"/>
          <w:sz w:val="24"/>
          <w:szCs w:val="24"/>
          <w:highlight w:val="none"/>
          <w:u w:val="none"/>
        </w:rPr>
        <w:t>31.履约保证金</w:t>
      </w:r>
      <w:bookmarkEnd w:id="440"/>
      <w:bookmarkEnd w:id="441"/>
      <w:bookmarkEnd w:id="442"/>
      <w:bookmarkEnd w:id="443"/>
      <w:bookmarkEnd w:id="444"/>
      <w:bookmarkEnd w:id="445"/>
      <w:bookmarkEnd w:id="446"/>
      <w:bookmarkEnd w:id="447"/>
      <w:bookmarkEnd w:id="448"/>
      <w:bookmarkEnd w:id="449"/>
    </w:p>
    <w:p w14:paraId="257E9341">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31.1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成交供应商应按照</w:t>
      </w:r>
      <w:r>
        <w:rPr>
          <w:rFonts w:hint="eastAsia" w:asciiTheme="minorEastAsia" w:hAnsiTheme="minorEastAsia" w:eastAsiaTheme="minorEastAsia" w:cstheme="minorEastAsia"/>
          <w:b w:val="0"/>
          <w:bCs/>
          <w:color w:val="auto"/>
          <w:sz w:val="24"/>
          <w:szCs w:val="24"/>
          <w:highlight w:val="none"/>
          <w:u w:val="single"/>
        </w:rPr>
        <w:t>供应商须知资料表</w:t>
      </w:r>
      <w:r>
        <w:rPr>
          <w:rFonts w:hint="eastAsia" w:asciiTheme="minorEastAsia" w:hAnsiTheme="minorEastAsia" w:eastAsiaTheme="minorEastAsia" w:cstheme="minorEastAsia"/>
          <w:b w:val="0"/>
          <w:bCs/>
          <w:color w:val="auto"/>
          <w:sz w:val="24"/>
          <w:szCs w:val="24"/>
          <w:highlight w:val="none"/>
        </w:rPr>
        <w:t>规定向采购人缴纳履约保证金（如采用保函形式，格式见本章附件1）。</w:t>
      </w:r>
    </w:p>
    <w:p w14:paraId="0375E348">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31.2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政府采购利用担保试点范围内的项目，除31.1规定的情形外，成交供应商也可以按照财政部门的规定，向采购人提供合格的履约担保函（格式见本章附件2）。</w:t>
      </w:r>
    </w:p>
    <w:p w14:paraId="23176613">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31.3 如果成交供应商没有按照上述履约保证金的规定执行，将视为放弃成交通知书资格，成交供应商的</w:t>
      </w:r>
      <w:r>
        <w:rPr>
          <w:rFonts w:hint="eastAsia" w:asciiTheme="minorEastAsia" w:hAnsiTheme="minorEastAsia" w:eastAsiaTheme="minorEastAsia" w:cstheme="minorEastAsia"/>
          <w:b w:val="0"/>
          <w:bCs/>
          <w:color w:val="auto"/>
          <w:sz w:val="24"/>
          <w:szCs w:val="24"/>
          <w:highlight w:val="none"/>
          <w:lang w:eastAsia="zh-CN"/>
        </w:rPr>
        <w:t>响应保证金</w:t>
      </w:r>
      <w:r>
        <w:rPr>
          <w:rFonts w:hint="eastAsia" w:asciiTheme="minorEastAsia" w:hAnsiTheme="minorEastAsia" w:eastAsiaTheme="minorEastAsia" w:cstheme="minorEastAsia"/>
          <w:b w:val="0"/>
          <w:bCs/>
          <w:color w:val="auto"/>
          <w:sz w:val="24"/>
          <w:szCs w:val="24"/>
          <w:highlight w:val="none"/>
        </w:rPr>
        <w:t>将不予退还。在此情况下，采购人可确定下一候选人为成交供应商，也可以重新开展采购活动。</w:t>
      </w:r>
    </w:p>
    <w:p w14:paraId="6B56CFF3">
      <w:pPr>
        <w:pStyle w:val="4"/>
        <w:pageBreakBefore w:val="0"/>
        <w:widowControl w:val="0"/>
        <w:kinsoku/>
        <w:wordWrap/>
        <w:overflowPunct/>
        <w:topLinePunct w:val="0"/>
        <w:bidi w:val="0"/>
        <w:spacing w:before="0" w:after="0" w:line="440" w:lineRule="exac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450" w:name="_Toc26510"/>
      <w:bookmarkStart w:id="451" w:name="_Toc10944"/>
      <w:bookmarkStart w:id="452" w:name="_Toc15847"/>
      <w:bookmarkStart w:id="453" w:name="_Toc2935"/>
      <w:bookmarkStart w:id="454" w:name="_Toc14740"/>
      <w:bookmarkStart w:id="455" w:name="_Toc19977"/>
      <w:bookmarkStart w:id="456" w:name="_Toc1444"/>
      <w:bookmarkStart w:id="457" w:name="_Toc11809"/>
      <w:bookmarkStart w:id="458" w:name="_Toc21968"/>
      <w:bookmarkStart w:id="459" w:name="_Toc6660"/>
      <w:r>
        <w:rPr>
          <w:rFonts w:hint="eastAsia" w:asciiTheme="minorEastAsia" w:hAnsiTheme="minorEastAsia" w:eastAsiaTheme="minorEastAsia" w:cstheme="minorEastAsia"/>
          <w:b/>
          <w:bCs w:val="0"/>
          <w:color w:val="auto"/>
          <w:sz w:val="24"/>
          <w:szCs w:val="24"/>
          <w:highlight w:val="none"/>
          <w:u w:val="none"/>
        </w:rPr>
        <w:t>32.</w:t>
      </w:r>
      <w:r>
        <w:rPr>
          <w:rFonts w:hint="eastAsia" w:asciiTheme="minorEastAsia" w:hAnsiTheme="minorEastAsia" w:eastAsiaTheme="minorEastAsia" w:cstheme="minorEastAsia"/>
          <w:b/>
          <w:bCs w:val="0"/>
          <w:color w:val="auto"/>
          <w:sz w:val="24"/>
          <w:szCs w:val="24"/>
          <w:highlight w:val="none"/>
          <w:u w:val="none"/>
          <w:lang w:eastAsia="zh-CN"/>
        </w:rPr>
        <w:t>成交通知书</w:t>
      </w:r>
      <w:r>
        <w:rPr>
          <w:rFonts w:hint="eastAsia" w:asciiTheme="minorEastAsia" w:hAnsiTheme="minorEastAsia" w:eastAsiaTheme="minorEastAsia" w:cstheme="minorEastAsia"/>
          <w:b/>
          <w:bCs w:val="0"/>
          <w:color w:val="auto"/>
          <w:sz w:val="24"/>
          <w:szCs w:val="24"/>
          <w:highlight w:val="none"/>
          <w:u w:val="none"/>
        </w:rPr>
        <w:t>服务费</w:t>
      </w:r>
      <w:bookmarkEnd w:id="450"/>
      <w:bookmarkEnd w:id="451"/>
      <w:bookmarkEnd w:id="452"/>
      <w:bookmarkEnd w:id="453"/>
      <w:bookmarkEnd w:id="454"/>
      <w:bookmarkEnd w:id="455"/>
      <w:bookmarkEnd w:id="456"/>
      <w:bookmarkEnd w:id="457"/>
      <w:bookmarkEnd w:id="458"/>
      <w:bookmarkEnd w:id="459"/>
    </w:p>
    <w:p w14:paraId="62607729">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成交供应商须按照</w:t>
      </w:r>
      <w:r>
        <w:rPr>
          <w:rFonts w:hint="eastAsia" w:asciiTheme="minorEastAsia" w:hAnsiTheme="minorEastAsia" w:eastAsiaTheme="minorEastAsia" w:cstheme="minorEastAsia"/>
          <w:b w:val="0"/>
          <w:bCs/>
          <w:color w:val="auto"/>
          <w:sz w:val="24"/>
          <w:szCs w:val="24"/>
          <w:highlight w:val="none"/>
          <w:u w:val="single"/>
        </w:rPr>
        <w:t>须知资料表</w:t>
      </w:r>
      <w:r>
        <w:rPr>
          <w:rFonts w:hint="eastAsia" w:asciiTheme="minorEastAsia" w:hAnsiTheme="minorEastAsia" w:eastAsiaTheme="minorEastAsia" w:cstheme="minorEastAsia"/>
          <w:b w:val="0"/>
          <w:bCs/>
          <w:color w:val="auto"/>
          <w:sz w:val="24"/>
          <w:szCs w:val="24"/>
          <w:highlight w:val="none"/>
        </w:rPr>
        <w:t>规定，向采购代理机构支付成交通知书服务费。</w:t>
      </w:r>
    </w:p>
    <w:p w14:paraId="5B5CCA8F">
      <w:pPr>
        <w:pStyle w:val="4"/>
        <w:pageBreakBefore w:val="0"/>
        <w:widowControl w:val="0"/>
        <w:kinsoku/>
        <w:wordWrap/>
        <w:overflowPunct/>
        <w:topLinePunct w:val="0"/>
        <w:bidi w:val="0"/>
        <w:spacing w:before="0" w:after="0" w:line="440" w:lineRule="exac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460" w:name="_Toc12458"/>
      <w:bookmarkStart w:id="461" w:name="_Toc28024"/>
      <w:bookmarkStart w:id="462" w:name="_Toc31783"/>
      <w:bookmarkStart w:id="463" w:name="_Toc26767"/>
      <w:bookmarkStart w:id="464" w:name="_Toc27677"/>
      <w:bookmarkStart w:id="465" w:name="_Toc23850"/>
      <w:bookmarkStart w:id="466" w:name="_Toc13755"/>
      <w:bookmarkStart w:id="467" w:name="_Toc17103"/>
      <w:bookmarkStart w:id="468" w:name="_Toc15854"/>
      <w:bookmarkStart w:id="469" w:name="_Toc27387"/>
      <w:r>
        <w:rPr>
          <w:rFonts w:hint="eastAsia" w:asciiTheme="minorEastAsia" w:hAnsiTheme="minorEastAsia" w:eastAsiaTheme="minorEastAsia" w:cstheme="minorEastAsia"/>
          <w:b/>
          <w:bCs w:val="0"/>
          <w:color w:val="auto"/>
          <w:sz w:val="24"/>
          <w:szCs w:val="24"/>
          <w:highlight w:val="none"/>
          <w:u w:val="none"/>
        </w:rPr>
        <w:t>33.政府采购信用担保</w:t>
      </w:r>
      <w:bookmarkEnd w:id="460"/>
      <w:bookmarkEnd w:id="461"/>
      <w:bookmarkEnd w:id="462"/>
      <w:bookmarkEnd w:id="463"/>
      <w:bookmarkEnd w:id="464"/>
      <w:bookmarkEnd w:id="465"/>
      <w:bookmarkEnd w:id="466"/>
      <w:bookmarkEnd w:id="467"/>
      <w:bookmarkEnd w:id="468"/>
      <w:bookmarkEnd w:id="469"/>
    </w:p>
    <w:p w14:paraId="5C84947B">
      <w:pPr>
        <w:keepNext w:val="0"/>
        <w:keepLines w:val="0"/>
        <w:pageBreakBefore w:val="0"/>
        <w:widowControl w:val="0"/>
        <w:kinsoku/>
        <w:wordWrap/>
        <w:overflowPunct/>
        <w:topLinePunct w:val="0"/>
        <w:autoSpaceDE/>
        <w:autoSpaceDN/>
        <w:bidi w:val="0"/>
        <w:adjustRightInd/>
        <w:snapToGrid/>
        <w:spacing w:line="440" w:lineRule="exact"/>
        <w:ind w:left="825" w:hanging="900" w:hangingChars="375"/>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33.1  本项目是否属于信用担保试点范围见</w:t>
      </w:r>
      <w:r>
        <w:rPr>
          <w:rFonts w:hint="eastAsia" w:asciiTheme="minorEastAsia" w:hAnsiTheme="minorEastAsia" w:eastAsiaTheme="minorEastAsia" w:cstheme="minorEastAsia"/>
          <w:b w:val="0"/>
          <w:bCs/>
          <w:color w:val="auto"/>
          <w:sz w:val="24"/>
          <w:szCs w:val="24"/>
          <w:highlight w:val="none"/>
          <w:u w:val="single"/>
        </w:rPr>
        <w:t>供应商须知资料表</w:t>
      </w:r>
      <w:r>
        <w:rPr>
          <w:rFonts w:hint="eastAsia" w:asciiTheme="minorEastAsia" w:hAnsiTheme="minorEastAsia" w:eastAsiaTheme="minorEastAsia" w:cstheme="minorEastAsia"/>
          <w:b w:val="0"/>
          <w:bCs/>
          <w:color w:val="auto"/>
          <w:sz w:val="24"/>
          <w:szCs w:val="24"/>
          <w:highlight w:val="none"/>
        </w:rPr>
        <w:t>。</w:t>
      </w:r>
    </w:p>
    <w:p w14:paraId="09CDEFC6">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33.2  如属于政府采购信用担保试点范围内，中小型企业供应商可以自由按照财政部门的规定，采用谈判担保、履约担保和融资担保。</w:t>
      </w:r>
    </w:p>
    <w:p w14:paraId="526A68EA">
      <w:pPr>
        <w:pageBreakBefore w:val="0"/>
        <w:widowControl w:val="0"/>
        <w:kinsoku/>
        <w:wordWrap/>
        <w:overflowPunct/>
        <w:topLinePunct w:val="0"/>
        <w:bidi w:val="0"/>
        <w:spacing w:line="440" w:lineRule="exact"/>
        <w:ind w:left="825" w:hanging="900" w:hangingChars="375"/>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33.2.1 供应商递交的谈判担保函和履约担保函应符合本谈判文件的规定。</w:t>
      </w:r>
    </w:p>
    <w:p w14:paraId="2CB56CC8">
      <w:pPr>
        <w:pageBreakBefore w:val="0"/>
        <w:widowControl w:val="0"/>
        <w:kinsoku/>
        <w:wordWrap/>
        <w:overflowPunct/>
        <w:topLinePunct w:val="0"/>
        <w:bidi w:val="0"/>
        <w:spacing w:line="440" w:lineRule="exact"/>
        <w:ind w:left="825" w:hanging="900" w:hangingChars="375"/>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33.2.2 成交供应商可以采取融资担保的形式为政府采购项目履约进行融资。</w:t>
      </w:r>
    </w:p>
    <w:p w14:paraId="7F7BFAB2">
      <w:pPr>
        <w:pageBreakBefore w:val="0"/>
        <w:widowControl w:val="0"/>
        <w:kinsoku/>
        <w:wordWrap/>
        <w:overflowPunct/>
        <w:topLinePunct w:val="0"/>
        <w:bidi w:val="0"/>
        <w:spacing w:line="440" w:lineRule="exact"/>
        <w:ind w:left="825" w:hanging="900" w:hangingChars="375"/>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33.2.3 合格的政府采购专业信用担保机构名单见</w:t>
      </w:r>
      <w:r>
        <w:rPr>
          <w:rFonts w:hint="eastAsia" w:asciiTheme="minorEastAsia" w:hAnsiTheme="minorEastAsia" w:eastAsiaTheme="minorEastAsia" w:cstheme="minorEastAsia"/>
          <w:b w:val="0"/>
          <w:bCs/>
          <w:color w:val="auto"/>
          <w:sz w:val="24"/>
          <w:szCs w:val="24"/>
          <w:highlight w:val="none"/>
          <w:u w:val="single"/>
        </w:rPr>
        <w:t>供应商须知资料表</w:t>
      </w:r>
      <w:r>
        <w:rPr>
          <w:rFonts w:hint="eastAsia" w:asciiTheme="minorEastAsia" w:hAnsiTheme="minorEastAsia" w:eastAsiaTheme="minorEastAsia" w:cstheme="minorEastAsia"/>
          <w:b w:val="0"/>
          <w:bCs/>
          <w:color w:val="auto"/>
          <w:sz w:val="24"/>
          <w:szCs w:val="24"/>
          <w:highlight w:val="none"/>
        </w:rPr>
        <w:t>。</w:t>
      </w:r>
    </w:p>
    <w:p w14:paraId="63C506AF">
      <w:pPr>
        <w:pStyle w:val="4"/>
        <w:pageBreakBefore w:val="0"/>
        <w:widowControl w:val="0"/>
        <w:kinsoku/>
        <w:wordWrap/>
        <w:overflowPunct/>
        <w:topLinePunct w:val="0"/>
        <w:bidi w:val="0"/>
        <w:snapToGrid/>
        <w:spacing w:before="0" w:after="0" w:line="440" w:lineRule="exact"/>
        <w:ind w:leftChars="0" w:firstLine="0" w:firstLineChars="0"/>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470" w:name="_Toc20961"/>
      <w:bookmarkStart w:id="471" w:name="_Toc24491"/>
      <w:bookmarkStart w:id="472" w:name="_Toc27594"/>
      <w:bookmarkStart w:id="473" w:name="_Toc15769"/>
      <w:bookmarkStart w:id="474" w:name="_Toc11425"/>
      <w:bookmarkStart w:id="475" w:name="_Toc29069"/>
      <w:bookmarkStart w:id="476" w:name="_Toc12684"/>
      <w:bookmarkStart w:id="477" w:name="_Toc15778"/>
      <w:bookmarkStart w:id="478" w:name="_Toc10850"/>
      <w:bookmarkStart w:id="479" w:name="_Toc26528"/>
      <w:r>
        <w:rPr>
          <w:rFonts w:hint="eastAsia" w:asciiTheme="minorEastAsia" w:hAnsiTheme="minorEastAsia" w:eastAsiaTheme="minorEastAsia" w:cstheme="minorEastAsia"/>
          <w:b/>
          <w:bCs w:val="0"/>
          <w:color w:val="auto"/>
          <w:sz w:val="24"/>
          <w:szCs w:val="24"/>
          <w:highlight w:val="none"/>
          <w:u w:val="none"/>
        </w:rPr>
        <w:t>34.廉洁自律规定</w:t>
      </w:r>
      <w:bookmarkEnd w:id="470"/>
      <w:bookmarkEnd w:id="471"/>
      <w:bookmarkEnd w:id="472"/>
      <w:bookmarkEnd w:id="473"/>
      <w:bookmarkEnd w:id="474"/>
      <w:bookmarkEnd w:id="475"/>
      <w:bookmarkEnd w:id="476"/>
      <w:bookmarkEnd w:id="477"/>
      <w:bookmarkEnd w:id="478"/>
      <w:bookmarkEnd w:id="479"/>
    </w:p>
    <w:p w14:paraId="7D1F6B3A">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34.1  采购代理机构工作人员不得以不正当手段获取政府采购代理业务，不得与采购人、供应商恶意串通操纵政府采购活动。</w:t>
      </w:r>
    </w:p>
    <w:p w14:paraId="7B041F97">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34.2  采购代理机构工作人员不得接受采购人或者供应商组织的宴请、旅游、娱乐，不得收受礼品、现金、有价证券等，不得向采购人或者供应商报销应当由个人承担的费用。</w:t>
      </w:r>
    </w:p>
    <w:p w14:paraId="4B2C42C5">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34.3  为强化采购代理机构内部监督机制，供应商可按</w:t>
      </w:r>
      <w:r>
        <w:rPr>
          <w:rFonts w:hint="eastAsia" w:asciiTheme="minorEastAsia" w:hAnsiTheme="minorEastAsia" w:eastAsiaTheme="minorEastAsia" w:cstheme="minorEastAsia"/>
          <w:b w:val="0"/>
          <w:bCs/>
          <w:color w:val="auto"/>
          <w:sz w:val="24"/>
          <w:szCs w:val="24"/>
          <w:highlight w:val="none"/>
          <w:u w:val="single"/>
        </w:rPr>
        <w:t>供应商须知资料表中的</w:t>
      </w:r>
      <w:r>
        <w:rPr>
          <w:rFonts w:hint="eastAsia" w:asciiTheme="minorEastAsia" w:hAnsiTheme="minorEastAsia" w:eastAsiaTheme="minorEastAsia" w:cstheme="minorEastAsia"/>
          <w:b w:val="0"/>
          <w:bCs/>
          <w:color w:val="auto"/>
          <w:sz w:val="24"/>
          <w:szCs w:val="24"/>
          <w:highlight w:val="none"/>
        </w:rPr>
        <w:t>监督电话和邮箱，反映采购代理机构的廉洁自律等问题。</w:t>
      </w:r>
    </w:p>
    <w:p w14:paraId="2032DB58">
      <w:pPr>
        <w:pStyle w:val="4"/>
        <w:pageBreakBefore w:val="0"/>
        <w:widowControl w:val="0"/>
        <w:kinsoku/>
        <w:wordWrap/>
        <w:overflowPunct/>
        <w:topLinePunct w:val="0"/>
        <w:bidi w:val="0"/>
        <w:snapToGrid/>
        <w:spacing w:before="0" w:after="0" w:line="440" w:lineRule="exact"/>
        <w:ind w:leftChars="0" w:firstLine="0" w:firstLineChars="0"/>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480" w:name="_Toc15545"/>
      <w:bookmarkStart w:id="481" w:name="_Toc32595"/>
      <w:bookmarkStart w:id="482" w:name="_Toc12416"/>
      <w:bookmarkStart w:id="483" w:name="_Toc17490"/>
      <w:bookmarkStart w:id="484" w:name="_Toc28441"/>
      <w:bookmarkStart w:id="485" w:name="_Toc1090"/>
      <w:bookmarkStart w:id="486" w:name="_Toc13797"/>
      <w:bookmarkStart w:id="487" w:name="_Toc6828"/>
      <w:bookmarkStart w:id="488" w:name="_Toc17480"/>
      <w:bookmarkStart w:id="489" w:name="_Toc28887"/>
      <w:r>
        <w:rPr>
          <w:rFonts w:hint="eastAsia" w:asciiTheme="minorEastAsia" w:hAnsiTheme="minorEastAsia" w:eastAsiaTheme="minorEastAsia" w:cstheme="minorEastAsia"/>
          <w:b/>
          <w:bCs w:val="0"/>
          <w:color w:val="auto"/>
          <w:sz w:val="24"/>
          <w:szCs w:val="24"/>
          <w:highlight w:val="none"/>
          <w:u w:val="none"/>
        </w:rPr>
        <w:t>35.人员回避</w:t>
      </w:r>
      <w:bookmarkEnd w:id="480"/>
      <w:bookmarkEnd w:id="481"/>
      <w:bookmarkEnd w:id="482"/>
      <w:bookmarkEnd w:id="483"/>
      <w:bookmarkEnd w:id="484"/>
      <w:bookmarkEnd w:id="485"/>
      <w:bookmarkEnd w:id="486"/>
      <w:bookmarkEnd w:id="487"/>
      <w:bookmarkEnd w:id="488"/>
      <w:bookmarkEnd w:id="489"/>
    </w:p>
    <w:p w14:paraId="4A7A3612">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供应商认为采购人员及其相关人员有法律法规所列与其他供应商有利害关系的，可以向采购人或采购代理机构书面提出回避申请，并说明理由。</w:t>
      </w:r>
    </w:p>
    <w:p w14:paraId="185F962C">
      <w:pPr>
        <w:pStyle w:val="4"/>
        <w:pageBreakBefore w:val="0"/>
        <w:widowControl w:val="0"/>
        <w:kinsoku/>
        <w:wordWrap/>
        <w:overflowPunct/>
        <w:topLinePunct w:val="0"/>
        <w:bidi w:val="0"/>
        <w:snapToGrid/>
        <w:spacing w:before="0" w:after="0" w:line="440" w:lineRule="exact"/>
        <w:ind w:leftChars="0" w:firstLine="0" w:firstLineChars="0"/>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490" w:name="_Toc25179"/>
      <w:bookmarkStart w:id="491" w:name="_Toc3833"/>
      <w:bookmarkStart w:id="492" w:name="_Toc30379"/>
      <w:bookmarkStart w:id="493" w:name="_Toc27696"/>
      <w:bookmarkStart w:id="494" w:name="_Toc135"/>
      <w:bookmarkStart w:id="495" w:name="_Toc22128"/>
      <w:bookmarkStart w:id="496" w:name="_Toc9285"/>
      <w:bookmarkStart w:id="497" w:name="_Toc26317"/>
      <w:bookmarkStart w:id="498" w:name="_Toc13557"/>
      <w:bookmarkStart w:id="499" w:name="_Toc26155"/>
      <w:r>
        <w:rPr>
          <w:rFonts w:hint="eastAsia" w:asciiTheme="minorEastAsia" w:hAnsiTheme="minorEastAsia" w:eastAsiaTheme="minorEastAsia" w:cstheme="minorEastAsia"/>
          <w:b/>
          <w:bCs w:val="0"/>
          <w:color w:val="auto"/>
          <w:sz w:val="24"/>
          <w:szCs w:val="24"/>
          <w:highlight w:val="none"/>
          <w:u w:val="none"/>
        </w:rPr>
        <w:t>36.质疑与接收</w:t>
      </w:r>
      <w:bookmarkEnd w:id="490"/>
      <w:bookmarkEnd w:id="491"/>
      <w:bookmarkEnd w:id="492"/>
      <w:bookmarkEnd w:id="493"/>
      <w:bookmarkEnd w:id="494"/>
      <w:bookmarkEnd w:id="495"/>
      <w:bookmarkEnd w:id="496"/>
      <w:bookmarkEnd w:id="497"/>
      <w:bookmarkEnd w:id="498"/>
      <w:bookmarkEnd w:id="499"/>
    </w:p>
    <w:p w14:paraId="57D488D5">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36.1  供应商认为谈判文件、谈判过程和成交通知书结果使自己的权益受到损害的，可以根据《中华人民共和国政府采购法》、《中华人民共和国政府采购法实施条例》</w:t>
      </w:r>
      <w:r>
        <w:rPr>
          <w:rFonts w:hint="eastAsia" w:asciiTheme="minorEastAsia" w:hAnsiTheme="minorEastAsia" w:eastAsiaTheme="minorEastAsia" w:cstheme="minorEastAsia"/>
          <w:b w:val="0"/>
          <w:bCs/>
          <w:color w:val="auto"/>
          <w:sz w:val="24"/>
          <w:szCs w:val="24"/>
          <w:highlight w:val="none"/>
          <w:lang w:eastAsia="zh-CN"/>
        </w:rPr>
        <w:t>、《政府采购非招标采购方式管理办法》中华人民共和国财政部令第74号</w:t>
      </w:r>
      <w:r>
        <w:rPr>
          <w:rFonts w:hint="eastAsia" w:asciiTheme="minorEastAsia" w:hAnsiTheme="minorEastAsia" w:eastAsiaTheme="minorEastAsia" w:cstheme="minorEastAsia"/>
          <w:b w:val="0"/>
          <w:bCs/>
          <w:color w:val="auto"/>
          <w:sz w:val="24"/>
          <w:szCs w:val="24"/>
          <w:highlight w:val="none"/>
        </w:rPr>
        <w:t>和《政府采购质疑和投诉办法》的有关规定，依法向采购人或其委托的采购代理机构提出质疑。</w:t>
      </w:r>
    </w:p>
    <w:p w14:paraId="315238F3">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6E6C03CC">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超出法定质疑期的、重复提出的、分次提出的或内容、形式不符合《政府采购质疑和投诉办法》的，质疑供应商将依法承担不利后果。</w:t>
      </w:r>
    </w:p>
    <w:p w14:paraId="0E3425DF">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201E8F3E">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36.4 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7D413E2D">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36.5 采购代理机构质疑函接收部门、联系电话和通讯地址, 见供应商须知资料表。</w:t>
      </w:r>
    </w:p>
    <w:p w14:paraId="51E4FF6E">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36.6 供应商认为采购文件、采购过程和</w:t>
      </w:r>
      <w:r>
        <w:rPr>
          <w:rFonts w:hint="eastAsia" w:asciiTheme="minorEastAsia" w:hAnsiTheme="minorEastAsia" w:eastAsiaTheme="minorEastAsia" w:cstheme="minorEastAsia"/>
          <w:b w:val="0"/>
          <w:bCs/>
          <w:color w:val="auto"/>
          <w:sz w:val="24"/>
          <w:szCs w:val="24"/>
          <w:highlight w:val="none"/>
          <w:lang w:eastAsia="zh-CN"/>
        </w:rPr>
        <w:t>成交结果</w:t>
      </w:r>
      <w:r>
        <w:rPr>
          <w:rFonts w:hint="eastAsia" w:asciiTheme="minorEastAsia" w:hAnsiTheme="minorEastAsia" w:eastAsiaTheme="minorEastAsia" w:cstheme="minorEastAsia"/>
          <w:b w:val="0"/>
          <w:bCs/>
          <w:color w:val="auto"/>
          <w:sz w:val="24"/>
          <w:szCs w:val="24"/>
          <w:highlight w:val="none"/>
        </w:rPr>
        <w:t>使自己的权益受到损害的，可以在知道或者应知其权益受到损害之日起7个工作日内，以书面形式向采购方提出质疑。供应商应知其权益受到损害之日，是指：</w:t>
      </w:r>
    </w:p>
    <w:p w14:paraId="698010D1">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（一）对可以质疑的采购文件提出质疑的，为收到采购文件之日或者采购文件公告期限届满之日；</w:t>
      </w:r>
    </w:p>
    <w:p w14:paraId="3FFAECBF">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（二）对采购过程提出质疑的，为各采购程序环节结束之日；</w:t>
      </w:r>
    </w:p>
    <w:p w14:paraId="0F395917">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（三）对</w:t>
      </w:r>
      <w:r>
        <w:rPr>
          <w:rFonts w:hint="eastAsia" w:asciiTheme="minorEastAsia" w:hAnsiTheme="minorEastAsia" w:eastAsiaTheme="minorEastAsia" w:cstheme="minorEastAsia"/>
          <w:b w:val="0"/>
          <w:bCs/>
          <w:color w:val="auto"/>
          <w:sz w:val="24"/>
          <w:szCs w:val="24"/>
          <w:highlight w:val="none"/>
          <w:lang w:eastAsia="zh-CN"/>
        </w:rPr>
        <w:t>成交结果</w:t>
      </w:r>
      <w:r>
        <w:rPr>
          <w:rFonts w:hint="eastAsia" w:asciiTheme="minorEastAsia" w:hAnsiTheme="minorEastAsia" w:eastAsiaTheme="minorEastAsia" w:cstheme="minorEastAsia"/>
          <w:b w:val="0"/>
          <w:bCs/>
          <w:color w:val="auto"/>
          <w:sz w:val="24"/>
          <w:szCs w:val="24"/>
          <w:highlight w:val="none"/>
        </w:rPr>
        <w:t>提出质疑的，为</w:t>
      </w:r>
      <w:r>
        <w:rPr>
          <w:rFonts w:hint="eastAsia" w:asciiTheme="minorEastAsia" w:hAnsiTheme="minorEastAsia" w:eastAsiaTheme="minorEastAsia" w:cstheme="minorEastAsia"/>
          <w:b w:val="0"/>
          <w:bCs/>
          <w:color w:val="auto"/>
          <w:sz w:val="24"/>
          <w:szCs w:val="24"/>
          <w:highlight w:val="none"/>
          <w:lang w:eastAsia="zh-CN"/>
        </w:rPr>
        <w:t>成交结果</w:t>
      </w:r>
      <w:r>
        <w:rPr>
          <w:rFonts w:hint="eastAsia" w:asciiTheme="minorEastAsia" w:hAnsiTheme="minorEastAsia" w:eastAsiaTheme="minorEastAsia" w:cstheme="minorEastAsia"/>
          <w:b w:val="0"/>
          <w:bCs/>
          <w:color w:val="auto"/>
          <w:sz w:val="24"/>
          <w:szCs w:val="24"/>
          <w:highlight w:val="none"/>
        </w:rPr>
        <w:t>公告期限届满之日。</w:t>
      </w:r>
    </w:p>
    <w:p w14:paraId="58FE0D7E">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36.7 供应商有权提出一次质疑，不能多次提出。</w:t>
      </w:r>
    </w:p>
    <w:p w14:paraId="45977B64">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36.8 对可以质疑的采购文件提出质疑的，质疑人为参与本项目的报价方或潜在报价方。可质疑的文件为采购公告以及采购文件（包括属于其组成部分的澄清、修改、补充文件和评审标准、合同文本等）。</w:t>
      </w:r>
    </w:p>
    <w:p w14:paraId="30F45EAB">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36.9 对采购过程和</w:t>
      </w:r>
      <w:r>
        <w:rPr>
          <w:rFonts w:hint="eastAsia" w:asciiTheme="minorEastAsia" w:hAnsiTheme="minorEastAsia" w:eastAsiaTheme="minorEastAsia" w:cstheme="minorEastAsia"/>
          <w:b w:val="0"/>
          <w:bCs/>
          <w:color w:val="auto"/>
          <w:sz w:val="24"/>
          <w:szCs w:val="24"/>
          <w:highlight w:val="none"/>
          <w:lang w:eastAsia="zh-CN"/>
        </w:rPr>
        <w:t>成交结果</w:t>
      </w:r>
      <w:r>
        <w:rPr>
          <w:rFonts w:hint="eastAsia" w:asciiTheme="minorEastAsia" w:hAnsiTheme="minorEastAsia" w:eastAsiaTheme="minorEastAsia" w:cstheme="minorEastAsia"/>
          <w:b w:val="0"/>
          <w:bCs/>
          <w:color w:val="auto"/>
          <w:sz w:val="24"/>
          <w:szCs w:val="24"/>
          <w:highlight w:val="none"/>
        </w:rPr>
        <w:t>提出质疑的，质疑人为直接参与本项目的报价方。采购过程,即从采购项目信息公告发布起到</w:t>
      </w:r>
      <w:r>
        <w:rPr>
          <w:rFonts w:hint="eastAsia" w:asciiTheme="minorEastAsia" w:hAnsiTheme="minorEastAsia" w:eastAsiaTheme="minorEastAsia" w:cstheme="minorEastAsia"/>
          <w:b w:val="0"/>
          <w:bCs/>
          <w:color w:val="auto"/>
          <w:sz w:val="24"/>
          <w:szCs w:val="24"/>
          <w:highlight w:val="none"/>
          <w:lang w:eastAsia="zh-CN"/>
        </w:rPr>
        <w:t>成交结果</w:t>
      </w:r>
      <w:r>
        <w:rPr>
          <w:rFonts w:hint="eastAsia" w:asciiTheme="minorEastAsia" w:hAnsiTheme="minorEastAsia" w:eastAsiaTheme="minorEastAsia" w:cstheme="minorEastAsia"/>
          <w:b w:val="0"/>
          <w:bCs/>
          <w:color w:val="auto"/>
          <w:sz w:val="24"/>
          <w:szCs w:val="24"/>
          <w:highlight w:val="none"/>
        </w:rPr>
        <w:t>公告止，包括采购文件的发出、提交</w:t>
      </w:r>
      <w:r>
        <w:rPr>
          <w:rFonts w:hint="eastAsia" w:asciiTheme="minorEastAsia" w:hAnsiTheme="minorEastAsia" w:eastAsiaTheme="minorEastAsia" w:cstheme="minorEastAsia"/>
          <w:b w:val="0"/>
          <w:bCs/>
          <w:color w:val="auto"/>
          <w:sz w:val="24"/>
          <w:szCs w:val="24"/>
          <w:highlight w:val="none"/>
          <w:lang w:eastAsia="zh-CN"/>
        </w:rPr>
        <w:t>响应文件</w:t>
      </w:r>
      <w:r>
        <w:rPr>
          <w:rFonts w:hint="eastAsia" w:asciiTheme="minorEastAsia" w:hAnsiTheme="minorEastAsia" w:eastAsiaTheme="minorEastAsia" w:cstheme="minorEastAsia"/>
          <w:b w:val="0"/>
          <w:bCs/>
          <w:color w:val="auto"/>
          <w:sz w:val="24"/>
          <w:szCs w:val="24"/>
          <w:highlight w:val="none"/>
        </w:rPr>
        <w:t>、</w:t>
      </w:r>
      <w:r>
        <w:rPr>
          <w:rFonts w:hint="eastAsia" w:asciiTheme="minorEastAsia" w:hAnsiTheme="minorEastAsia" w:eastAsiaTheme="minorEastAsia" w:cstheme="minorEastAsia"/>
          <w:b w:val="0"/>
          <w:bCs/>
          <w:color w:val="auto"/>
          <w:sz w:val="24"/>
          <w:szCs w:val="24"/>
          <w:highlight w:val="none"/>
          <w:lang w:eastAsia="zh-CN"/>
        </w:rPr>
        <w:t>响应文件</w:t>
      </w:r>
      <w:r>
        <w:rPr>
          <w:rFonts w:hint="eastAsia" w:asciiTheme="minorEastAsia" w:hAnsiTheme="minorEastAsia" w:eastAsiaTheme="minorEastAsia" w:cstheme="minorEastAsia"/>
          <w:b w:val="0"/>
          <w:bCs/>
          <w:color w:val="auto"/>
          <w:sz w:val="24"/>
          <w:szCs w:val="24"/>
          <w:highlight w:val="none"/>
        </w:rPr>
        <w:t>开启、评审等各个采购程序环节。</w:t>
      </w:r>
    </w:p>
    <w:p w14:paraId="190901D7">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36.10  提出质疑应当符合下列条件：</w:t>
      </w:r>
    </w:p>
    <w:p w14:paraId="07AF8C8D">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（一）质疑主体应当符合有关规定；</w:t>
      </w:r>
    </w:p>
    <w:p w14:paraId="5A86BD9A">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（二）在质疑法定期限内提出；</w:t>
      </w:r>
    </w:p>
    <w:p w14:paraId="634B502A">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（三）属于可以提出质疑的政府采购事项受理范围和本项目采购人的管辖权范围；</w:t>
      </w:r>
    </w:p>
    <w:p w14:paraId="59EC5FFE">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（四）政府采购法律、法规、规章规定的其他条件。</w:t>
      </w:r>
    </w:p>
    <w:p w14:paraId="1BC4B6D2">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36.11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2D19B67B">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36.12 质疑人所提供的证明材料应当具有真实性、合法性以及与质疑事项的关联性和证明力，否则不能作为认定该质疑事项成立的依据。</w:t>
      </w:r>
    </w:p>
    <w:p w14:paraId="525FDE3E">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36.13 质疑人提出质疑时应当提交质疑函。质疑函包括下列内容：</w:t>
      </w:r>
    </w:p>
    <w:p w14:paraId="35C8AE0F">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（一）提出质疑的质疑人的名称、地址、邮编、联系人及联系电话等；</w:t>
      </w:r>
    </w:p>
    <w:p w14:paraId="7C22BECB">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（二）质疑项目的名称、编号；</w:t>
      </w:r>
    </w:p>
    <w:p w14:paraId="53390DDA">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（三）质疑事项；</w:t>
      </w:r>
    </w:p>
    <w:p w14:paraId="1647FF4C">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（四）事实依据和证明材料；</w:t>
      </w:r>
    </w:p>
    <w:p w14:paraId="2496B268">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（五）法律依据；</w:t>
      </w:r>
    </w:p>
    <w:p w14:paraId="2125401C">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（六）提出质疑的日期。</w:t>
      </w:r>
    </w:p>
    <w:p w14:paraId="4B7A7086">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27E9CCA8">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36.14 质疑人可以委托代理人进行质疑。代理人应当提交授权委托书。授权委托书应当载明委托代理的具体权限、期限和相关事项。</w:t>
      </w:r>
    </w:p>
    <w:p w14:paraId="0BDF0247">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36.15 质疑的审查和受理</w:t>
      </w:r>
    </w:p>
    <w:p w14:paraId="3A3AE7C0">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采购方在收到质疑函后应当及时审查是否符合质疑受理条件，对符合质疑受理条件的，及时予以受理。</w:t>
      </w:r>
    </w:p>
    <w:p w14:paraId="47B9B42E">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36.16 对不符合质疑受理条件的，分别按照下列不同情形予以处理：</w:t>
      </w:r>
    </w:p>
    <w:p w14:paraId="00C72C78">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（一）质疑函内容不符合规定的，告知质疑人进行修改并重新提出质疑。修改后质疑事项仍不具体、不明确或者最终递交质疑函的时间超过质疑法定期限的，不予受理；</w:t>
      </w:r>
    </w:p>
    <w:p w14:paraId="536AD3CD">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（二）质疑主体不符合有关规定的，告知质疑人不予受理；</w:t>
      </w:r>
    </w:p>
    <w:p w14:paraId="69795041">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（三）超过质疑法定期限提出质疑的，告知质疑人不予受理；</w:t>
      </w:r>
    </w:p>
    <w:p w14:paraId="78021099">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（四）对不属于可以提出质疑的政府采购事项提出质疑的，告知质疑人不予受理；</w:t>
      </w:r>
    </w:p>
    <w:p w14:paraId="05D03B00">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（五）质疑不属于本项目采购方管辖的，告知质疑人向有管辖权的采购人提出质疑；</w:t>
      </w:r>
    </w:p>
    <w:p w14:paraId="660D5E56">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（六）质疑不符合其他条件的，告知质疑人不予受理。</w:t>
      </w:r>
    </w:p>
    <w:p w14:paraId="09049247">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36.17 质疑的处理和答复</w:t>
      </w:r>
    </w:p>
    <w:p w14:paraId="2D56579D">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36.18 采购方受理质疑后，将及时把质疑函发送给被质疑人，并要求其在一定限期内提交书面答复，同时提供有关证据、依据和相关材料。</w:t>
      </w:r>
    </w:p>
    <w:p w14:paraId="37B61197">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36.19 对于质疑事项中涉及的问题较多、情况比较复杂的，为了全面查清事实、取得充分的证据，采购方认为有必要时，可以进行调查取证或者组织质证。</w:t>
      </w:r>
    </w:p>
    <w:p w14:paraId="30EC1F4F">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36.20 对评审过程、</w:t>
      </w:r>
      <w:r>
        <w:rPr>
          <w:rFonts w:hint="eastAsia" w:asciiTheme="minorEastAsia" w:hAnsiTheme="minorEastAsia" w:eastAsiaTheme="minorEastAsia" w:cstheme="minorEastAsia"/>
          <w:b w:val="0"/>
          <w:bCs/>
          <w:color w:val="auto"/>
          <w:sz w:val="24"/>
          <w:szCs w:val="24"/>
          <w:highlight w:val="none"/>
          <w:lang w:eastAsia="zh-CN"/>
        </w:rPr>
        <w:t>成交结果</w:t>
      </w:r>
      <w:r>
        <w:rPr>
          <w:rFonts w:hint="eastAsia" w:asciiTheme="minorEastAsia" w:hAnsiTheme="minorEastAsia" w:eastAsiaTheme="minorEastAsia" w:cstheme="minorEastAsia"/>
          <w:b w:val="0"/>
          <w:bCs/>
          <w:color w:val="auto"/>
          <w:sz w:val="24"/>
          <w:szCs w:val="24"/>
          <w:highlight w:val="none"/>
        </w:rPr>
        <w:t>提出质疑的，采购方可以组织原评审委员会协助答复质疑。</w:t>
      </w:r>
    </w:p>
    <w:p w14:paraId="3BCBC854">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36.21 质疑处理过程中，质疑人书面申请撤回质疑的，将终止质疑处理程序。</w:t>
      </w:r>
    </w:p>
    <w:p w14:paraId="02083F84">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36.22 质疑人拒绝配合采购方依法对质疑进行调查处理的，采购方将按质疑人自动撤回质疑处理；被质疑人拒绝配合采购方依法对质疑进行调查处理的，采购方将视同其认可质疑事项。</w:t>
      </w:r>
    </w:p>
    <w:p w14:paraId="5851DF8E">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36.23 质疑人拒绝配合采购方依法对质疑进行调查处理的，采购方将按质疑人自动撤回质疑处理；被质疑人拒绝配合采购方依法对质疑进行调查处理的，采购方将视同其认可质疑事项。</w:t>
      </w:r>
    </w:p>
    <w:p w14:paraId="454F6A55">
      <w:pPr>
        <w:pageBreakBefore w:val="0"/>
        <w:widowControl w:val="0"/>
        <w:kinsoku/>
        <w:wordWrap/>
        <w:overflowPunct/>
        <w:topLinePunct w:val="0"/>
        <w:bidi w:val="0"/>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36.24 采购方将在正式受理质疑后7个工作日内作出答复。 </w:t>
      </w:r>
    </w:p>
    <w:p w14:paraId="026DB695">
      <w:pPr>
        <w:pageBreakBefore w:val="0"/>
        <w:widowControl w:val="0"/>
        <w:kinsoku/>
        <w:wordWrap/>
        <w:overflowPunct/>
        <w:topLinePunct w:val="0"/>
        <w:bidi w:val="0"/>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36.25 质疑答复应当包括下列内容：</w:t>
      </w:r>
    </w:p>
    <w:p w14:paraId="308C9C41">
      <w:pPr>
        <w:pageBreakBefore w:val="0"/>
        <w:widowControl w:val="0"/>
        <w:kinsoku/>
        <w:wordWrap/>
        <w:overflowPunct/>
        <w:topLinePunct w:val="0"/>
        <w:bidi w:val="0"/>
        <w:spacing w:line="440" w:lineRule="exact"/>
        <w:ind w:left="871" w:leftChars="68" w:hanging="708" w:hangingChars="295"/>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（一）质疑人的姓名或者名称；</w:t>
      </w:r>
    </w:p>
    <w:p w14:paraId="71845F52">
      <w:pPr>
        <w:pageBreakBefore w:val="0"/>
        <w:widowControl w:val="0"/>
        <w:kinsoku/>
        <w:wordWrap/>
        <w:overflowPunct/>
        <w:topLinePunct w:val="0"/>
        <w:bidi w:val="0"/>
        <w:spacing w:line="440" w:lineRule="exact"/>
        <w:ind w:left="871" w:leftChars="68" w:hanging="708" w:hangingChars="295"/>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（二）收到质疑函的日期、质疑项目名称及编号；</w:t>
      </w:r>
    </w:p>
    <w:p w14:paraId="21D0AD16">
      <w:pPr>
        <w:pageBreakBefore w:val="0"/>
        <w:widowControl w:val="0"/>
        <w:kinsoku/>
        <w:wordWrap/>
        <w:overflowPunct/>
        <w:topLinePunct w:val="0"/>
        <w:bidi w:val="0"/>
        <w:spacing w:line="440" w:lineRule="exact"/>
        <w:ind w:left="871" w:leftChars="68" w:hanging="708" w:hangingChars="295"/>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（三）质疑事项、质疑答复的具体内容、事实依据和法律依据；</w:t>
      </w:r>
    </w:p>
    <w:p w14:paraId="0989553D">
      <w:pPr>
        <w:pageBreakBefore w:val="0"/>
        <w:widowControl w:val="0"/>
        <w:kinsoku/>
        <w:wordWrap/>
        <w:overflowPunct/>
        <w:topLinePunct w:val="0"/>
        <w:bidi w:val="0"/>
        <w:spacing w:line="440" w:lineRule="exact"/>
        <w:ind w:left="871" w:leftChars="68" w:hanging="708" w:hangingChars="295"/>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（四）告知质疑供应商依法投诉的权利；</w:t>
      </w:r>
    </w:p>
    <w:p w14:paraId="20C277A2">
      <w:pPr>
        <w:pageBreakBefore w:val="0"/>
        <w:widowControl w:val="0"/>
        <w:kinsoku/>
        <w:wordWrap/>
        <w:overflowPunct/>
        <w:topLinePunct w:val="0"/>
        <w:bidi w:val="0"/>
        <w:spacing w:line="440" w:lineRule="exact"/>
        <w:ind w:left="871" w:leftChars="68" w:hanging="708" w:hangingChars="295"/>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（五）质疑答复人名称；</w:t>
      </w:r>
    </w:p>
    <w:p w14:paraId="34974A19">
      <w:pPr>
        <w:pageBreakBefore w:val="0"/>
        <w:widowControl w:val="0"/>
        <w:kinsoku/>
        <w:wordWrap/>
        <w:overflowPunct/>
        <w:topLinePunct w:val="0"/>
        <w:bidi w:val="0"/>
        <w:spacing w:line="440" w:lineRule="exact"/>
        <w:ind w:left="871" w:leftChars="68" w:hanging="708" w:hangingChars="295"/>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（六）答复质疑的日期。</w:t>
      </w:r>
    </w:p>
    <w:p w14:paraId="1493DEBF">
      <w:pPr>
        <w:bidi w:val="0"/>
        <w:rPr>
          <w:rFonts w:hint="eastAsia" w:asciiTheme="minorEastAsia" w:hAnsiTheme="minorEastAsia" w:eastAsiaTheme="minorEastAsia" w:cstheme="minorEastAsia"/>
          <w:color w:val="auto"/>
          <w:sz w:val="24"/>
          <w:szCs w:val="24"/>
          <w:highlight w:val="none"/>
        </w:rPr>
      </w:pPr>
      <w:bookmarkStart w:id="500" w:name="_Toc12088"/>
      <w:bookmarkStart w:id="501" w:name="_Toc25636"/>
      <w:bookmarkStart w:id="502" w:name="_Toc14412"/>
      <w:bookmarkStart w:id="503" w:name="_Toc29320"/>
      <w:bookmarkStart w:id="504" w:name="_Toc8353"/>
      <w:bookmarkStart w:id="505" w:name="_Toc23411"/>
      <w:bookmarkStart w:id="506" w:name="_Toc14893"/>
      <w:bookmarkStart w:id="507" w:name="_Toc26628"/>
      <w:bookmarkStart w:id="508" w:name="_Toc27601"/>
      <w:bookmarkStart w:id="509" w:name="_Toc16553"/>
      <w:bookmarkStart w:id="510" w:name="_Toc30093"/>
      <w:bookmarkStart w:id="511" w:name="_Toc9437"/>
      <w:bookmarkStart w:id="512" w:name="_Toc13698"/>
      <w:bookmarkStart w:id="513" w:name="_Toc11297"/>
      <w:bookmarkStart w:id="514" w:name="_Toc32049"/>
    </w:p>
    <w:p w14:paraId="3D60132E">
      <w:pPr>
        <w:pStyle w:val="4"/>
        <w:pageBreakBefore w:val="0"/>
        <w:kinsoku/>
        <w:wordWrap/>
        <w:overflowPunct/>
        <w:topLinePunct w:val="0"/>
        <w:bidi w:val="0"/>
        <w:spacing w:before="0" w:after="0" w:line="500" w:lineRule="exact"/>
        <w:jc w:val="center"/>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515" w:name="_Toc22255"/>
      <w:bookmarkStart w:id="516" w:name="_Toc30267"/>
      <w:bookmarkStart w:id="517" w:name="_Toc6425"/>
      <w:bookmarkStart w:id="518" w:name="_Toc19065"/>
      <w:bookmarkStart w:id="519" w:name="_Toc17540"/>
      <w:bookmarkStart w:id="520" w:name="_Toc26269"/>
      <w:bookmarkStart w:id="521" w:name="_Toc27413"/>
      <w:bookmarkStart w:id="522" w:name="_Toc3229"/>
      <w:bookmarkStart w:id="523" w:name="_Toc21961"/>
      <w:r>
        <w:rPr>
          <w:rFonts w:hint="eastAsia" w:asciiTheme="minorEastAsia" w:hAnsiTheme="minorEastAsia" w:eastAsiaTheme="minorEastAsia" w:cstheme="minorEastAsia"/>
          <w:b/>
          <w:bCs w:val="0"/>
          <w:color w:val="auto"/>
          <w:sz w:val="24"/>
          <w:szCs w:val="24"/>
          <w:highlight w:val="none"/>
          <w:u w:val="none"/>
        </w:rPr>
        <w:t>质疑函范本</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1DE0306D">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一、质疑供应商基本信息</w:t>
      </w:r>
    </w:p>
    <w:p w14:paraId="082248BF">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质疑供应商：</w:t>
      </w:r>
      <w:r>
        <w:rPr>
          <w:rFonts w:hint="eastAsia" w:asciiTheme="minorEastAsia" w:hAnsiTheme="minorEastAsia" w:eastAsiaTheme="minorEastAsia" w:cstheme="minorEastAsia"/>
          <w:color w:val="auto"/>
          <w:sz w:val="24"/>
          <w:szCs w:val="24"/>
          <w:highlight w:val="none"/>
          <w:u w:val="dotted"/>
        </w:rPr>
        <w:t xml:space="preserve">                                        </w:t>
      </w:r>
    </w:p>
    <w:p w14:paraId="3B8F6393">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14:paraId="3AD69E96">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14:paraId="29739F73">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授权代表：</w:t>
      </w:r>
      <w:r>
        <w:rPr>
          <w:rFonts w:hint="eastAsia" w:asciiTheme="minorEastAsia" w:hAnsiTheme="minorEastAsia" w:eastAsiaTheme="minorEastAsia" w:cstheme="minorEastAsia"/>
          <w:color w:val="auto"/>
          <w:sz w:val="24"/>
          <w:szCs w:val="24"/>
          <w:highlight w:val="none"/>
          <w:u w:val="dotted"/>
        </w:rPr>
        <w:t xml:space="preserve">                                          </w:t>
      </w:r>
    </w:p>
    <w:p w14:paraId="17691F04">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5E46F82E">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地址： </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14:paraId="3A8E00FE">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二、质疑项目基本情况</w:t>
      </w:r>
    </w:p>
    <w:p w14:paraId="5EB89E03">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质疑项目的名称：</w:t>
      </w:r>
      <w:r>
        <w:rPr>
          <w:rFonts w:hint="eastAsia" w:asciiTheme="minorEastAsia" w:hAnsiTheme="minorEastAsia" w:eastAsiaTheme="minorEastAsia" w:cstheme="minorEastAsia"/>
          <w:color w:val="auto"/>
          <w:sz w:val="24"/>
          <w:szCs w:val="24"/>
          <w:highlight w:val="none"/>
          <w:u w:val="dotted"/>
        </w:rPr>
        <w:t xml:space="preserve">                                      </w:t>
      </w:r>
    </w:p>
    <w:p w14:paraId="706549C2">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质疑项目的编号：</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包号：</w:t>
      </w:r>
      <w:r>
        <w:rPr>
          <w:rFonts w:hint="eastAsia" w:asciiTheme="minorEastAsia" w:hAnsiTheme="minorEastAsia" w:eastAsiaTheme="minorEastAsia" w:cstheme="minorEastAsia"/>
          <w:color w:val="auto"/>
          <w:sz w:val="24"/>
          <w:szCs w:val="24"/>
          <w:highlight w:val="none"/>
          <w:u w:val="dotted"/>
        </w:rPr>
        <w:t xml:space="preserve">                 </w:t>
      </w:r>
    </w:p>
    <w:p w14:paraId="2F418ED7">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采购人名称：</w:t>
      </w:r>
      <w:r>
        <w:rPr>
          <w:rFonts w:hint="eastAsia" w:asciiTheme="minorEastAsia" w:hAnsiTheme="minorEastAsia" w:eastAsiaTheme="minorEastAsia" w:cstheme="minorEastAsia"/>
          <w:color w:val="auto"/>
          <w:sz w:val="24"/>
          <w:szCs w:val="24"/>
          <w:highlight w:val="none"/>
          <w:u w:val="dotted"/>
        </w:rPr>
        <w:t xml:space="preserve">                                         </w:t>
      </w:r>
    </w:p>
    <w:p w14:paraId="1377A0E1">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采购文件获取日期：</w:t>
      </w:r>
      <w:r>
        <w:rPr>
          <w:rFonts w:hint="eastAsia" w:asciiTheme="minorEastAsia" w:hAnsiTheme="minorEastAsia" w:eastAsiaTheme="minorEastAsia" w:cstheme="minorEastAsia"/>
          <w:color w:val="auto"/>
          <w:sz w:val="24"/>
          <w:szCs w:val="24"/>
          <w:highlight w:val="none"/>
          <w:u w:val="dotted"/>
        </w:rPr>
        <w:t xml:space="preserve">                                           </w:t>
      </w:r>
    </w:p>
    <w:p w14:paraId="7ACC3473">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三、质疑事项具体内容</w:t>
      </w:r>
    </w:p>
    <w:p w14:paraId="1C74941B">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质疑事项1：</w:t>
      </w:r>
      <w:r>
        <w:rPr>
          <w:rFonts w:hint="eastAsia" w:asciiTheme="minorEastAsia" w:hAnsiTheme="minorEastAsia" w:eastAsiaTheme="minorEastAsia" w:cstheme="minorEastAsia"/>
          <w:color w:val="auto"/>
          <w:sz w:val="24"/>
          <w:szCs w:val="24"/>
          <w:highlight w:val="none"/>
          <w:u w:val="dotted"/>
        </w:rPr>
        <w:t xml:space="preserve">                                         </w:t>
      </w:r>
    </w:p>
    <w:p w14:paraId="79CF850B">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事实依据：</w:t>
      </w:r>
      <w:r>
        <w:rPr>
          <w:rFonts w:hint="eastAsia" w:asciiTheme="minorEastAsia" w:hAnsiTheme="minorEastAsia" w:eastAsiaTheme="minorEastAsia" w:cstheme="minorEastAsia"/>
          <w:color w:val="auto"/>
          <w:sz w:val="24"/>
          <w:szCs w:val="24"/>
          <w:highlight w:val="none"/>
          <w:u w:val="dotted"/>
        </w:rPr>
        <w:t xml:space="preserve">                                          </w:t>
      </w:r>
    </w:p>
    <w:p w14:paraId="56267B91">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法律依据：</w:t>
      </w:r>
      <w:r>
        <w:rPr>
          <w:rFonts w:hint="eastAsia" w:asciiTheme="minorEastAsia" w:hAnsiTheme="minorEastAsia" w:eastAsiaTheme="minorEastAsia" w:cstheme="minorEastAsia"/>
          <w:color w:val="auto"/>
          <w:sz w:val="24"/>
          <w:szCs w:val="24"/>
          <w:highlight w:val="none"/>
          <w:u w:val="dotted"/>
        </w:rPr>
        <w:t xml:space="preserve">                                          </w:t>
      </w:r>
    </w:p>
    <w:p w14:paraId="04FBE1E7">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质疑事项2……</w:t>
      </w:r>
    </w:p>
    <w:p w14:paraId="64D0E2EC">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四、与质疑事项相关的质疑请求</w:t>
      </w:r>
    </w:p>
    <w:p w14:paraId="01CAFF18">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请求：</w:t>
      </w:r>
      <w:r>
        <w:rPr>
          <w:rFonts w:hint="eastAsia" w:asciiTheme="minorEastAsia" w:hAnsiTheme="minorEastAsia" w:eastAsiaTheme="minorEastAsia" w:cstheme="minorEastAsia"/>
          <w:color w:val="auto"/>
          <w:sz w:val="24"/>
          <w:szCs w:val="24"/>
          <w:highlight w:val="none"/>
          <w:u w:val="dotted"/>
        </w:rPr>
        <w:t xml:space="preserve">                                               </w:t>
      </w:r>
    </w:p>
    <w:p w14:paraId="116DAF62">
      <w:pPr>
        <w:keepNext w:val="0"/>
        <w:keepLines w:val="0"/>
        <w:pageBreakBefore w:val="0"/>
        <w:widowControl w:val="0"/>
        <w:shd w:val="clear" w:color="auto" w:fill="auto"/>
        <w:kinsoku/>
        <w:wordWrap/>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签字(签章)：                   公章：                      </w:t>
      </w:r>
    </w:p>
    <w:p w14:paraId="48902A0A">
      <w:pPr>
        <w:keepNext w:val="0"/>
        <w:keepLines w:val="0"/>
        <w:pageBreakBefore w:val="0"/>
        <w:widowControl w:val="0"/>
        <w:shd w:val="clear" w:color="auto" w:fill="auto"/>
        <w:kinsoku/>
        <w:wordWrap/>
        <w:overflowPunct/>
        <w:topLinePunct w:val="0"/>
        <w:autoSpaceDE/>
        <w:autoSpaceDN/>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日期：    </w:t>
      </w:r>
    </w:p>
    <w:p w14:paraId="08943FD2">
      <w:pPr>
        <w:pageBreakBefore w:val="0"/>
        <w:kinsoku/>
        <w:wordWrap/>
        <w:overflowPunct/>
        <w:topLinePunct w:val="0"/>
        <w:bidi w:val="0"/>
        <w:spacing w:line="500" w:lineRule="exact"/>
        <w:ind w:left="871" w:leftChars="68" w:hanging="708" w:hangingChars="295"/>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质疑函制作说明：</w:t>
      </w:r>
    </w:p>
    <w:p w14:paraId="3CF8E5B7">
      <w:pPr>
        <w:pageBreakBefore w:val="0"/>
        <w:kinsoku/>
        <w:wordWrap/>
        <w:overflowPunct/>
        <w:topLinePunct w:val="0"/>
        <w:bidi w:val="0"/>
        <w:spacing w:line="500" w:lineRule="exact"/>
        <w:ind w:left="871" w:leftChars="68" w:hanging="708" w:hangingChars="295"/>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1.供应商提出质疑时，应提交质疑函和必要的证明材料。</w:t>
      </w:r>
    </w:p>
    <w:p w14:paraId="616EE578">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9F4C9EF">
      <w:pPr>
        <w:pageBreakBefore w:val="0"/>
        <w:kinsoku/>
        <w:wordWrap/>
        <w:overflowPunct/>
        <w:topLinePunct w:val="0"/>
        <w:bidi w:val="0"/>
        <w:spacing w:line="500" w:lineRule="exact"/>
        <w:ind w:left="871" w:leftChars="68" w:hanging="708" w:hangingChars="295"/>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3.质疑供应商若对项目的某一分包进行质疑，质疑函中应列明具体分包号。</w:t>
      </w:r>
    </w:p>
    <w:p w14:paraId="62CC0240">
      <w:pPr>
        <w:pageBreakBefore w:val="0"/>
        <w:kinsoku/>
        <w:wordWrap/>
        <w:overflowPunct/>
        <w:topLinePunct w:val="0"/>
        <w:bidi w:val="0"/>
        <w:spacing w:line="500" w:lineRule="exact"/>
        <w:ind w:left="871" w:leftChars="68" w:hanging="708" w:hangingChars="295"/>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4.质疑函的质疑事项应具体、明确，并有必要的事实依据和法律依据。</w:t>
      </w:r>
    </w:p>
    <w:p w14:paraId="07223E95">
      <w:pPr>
        <w:pageBreakBefore w:val="0"/>
        <w:kinsoku/>
        <w:wordWrap/>
        <w:overflowPunct/>
        <w:topLinePunct w:val="0"/>
        <w:bidi w:val="0"/>
        <w:spacing w:line="500" w:lineRule="exact"/>
        <w:ind w:left="871" w:leftChars="68" w:hanging="708" w:hangingChars="295"/>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5.质疑函的质疑请求应与质疑事项相关。</w:t>
      </w:r>
    </w:p>
    <w:p w14:paraId="47428DB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3AA724BC">
      <w:pPr>
        <w:pStyle w:val="33"/>
        <w:rPr>
          <w:rFonts w:hint="eastAsia" w:asciiTheme="minorEastAsia" w:hAnsiTheme="minorEastAsia" w:eastAsiaTheme="minorEastAsia" w:cstheme="minorEastAsia"/>
          <w:color w:val="auto"/>
          <w:sz w:val="24"/>
          <w:szCs w:val="24"/>
          <w:highlight w:val="none"/>
        </w:rPr>
      </w:pPr>
    </w:p>
    <w:bookmarkEnd w:id="303"/>
    <w:p w14:paraId="4FFBBA71">
      <w:pPr>
        <w:pStyle w:val="2"/>
        <w:pageBreakBefore w:val="0"/>
        <w:numPr>
          <w:ilvl w:val="0"/>
          <w:numId w:val="0"/>
        </w:numPr>
        <w:kinsoku/>
        <w:wordWrap/>
        <w:overflowPunct/>
        <w:topLinePunct w:val="0"/>
        <w:bidi w:val="0"/>
        <w:spacing w:before="0" w:after="0" w:line="500" w:lineRule="exact"/>
        <w:jc w:val="center"/>
        <w:textAlignment w:val="auto"/>
        <w:rPr>
          <w:rFonts w:hint="eastAsia" w:asciiTheme="minorEastAsia" w:hAnsiTheme="minorEastAsia" w:eastAsiaTheme="minorEastAsia" w:cstheme="minorEastAsia"/>
          <w:b/>
          <w:bCs w:val="0"/>
          <w:color w:val="auto"/>
          <w:sz w:val="28"/>
          <w:szCs w:val="28"/>
          <w:highlight w:val="none"/>
          <w:lang w:val="en-US" w:eastAsia="zh-CN"/>
        </w:rPr>
      </w:pPr>
      <w:bookmarkStart w:id="524" w:name="_Toc11469"/>
      <w:bookmarkStart w:id="525" w:name="_Toc16186"/>
      <w:bookmarkStart w:id="526" w:name="_Toc515647799"/>
      <w:bookmarkStart w:id="527" w:name="_Toc21748"/>
      <w:r>
        <w:rPr>
          <w:rFonts w:hint="eastAsia" w:asciiTheme="minorEastAsia" w:hAnsiTheme="minorEastAsia" w:eastAsiaTheme="minorEastAsia" w:cstheme="minorEastAsia"/>
          <w:color w:val="auto"/>
          <w:sz w:val="24"/>
          <w:szCs w:val="24"/>
          <w:highlight w:val="none"/>
        </w:rPr>
        <w:br w:type="page"/>
      </w:r>
      <w:bookmarkEnd w:id="524"/>
      <w:bookmarkEnd w:id="525"/>
      <w:bookmarkEnd w:id="526"/>
      <w:bookmarkEnd w:id="527"/>
      <w:bookmarkStart w:id="528" w:name="_Toc19692"/>
      <w:bookmarkStart w:id="529" w:name="_Toc216582812"/>
      <w:bookmarkStart w:id="530" w:name="_Toc515647802"/>
      <w:bookmarkStart w:id="531" w:name="_Toc26214"/>
      <w:bookmarkStart w:id="532" w:name="_Toc702"/>
      <w:bookmarkStart w:id="533" w:name="_Toc728"/>
      <w:r>
        <w:rPr>
          <w:rFonts w:hint="eastAsia" w:asciiTheme="minorEastAsia" w:hAnsiTheme="minorEastAsia" w:eastAsiaTheme="minorEastAsia" w:cstheme="minorEastAsia"/>
          <w:b/>
          <w:bCs w:val="0"/>
          <w:color w:val="auto"/>
          <w:sz w:val="28"/>
          <w:szCs w:val="28"/>
          <w:highlight w:val="none"/>
          <w:lang w:val="en-US" w:eastAsia="zh-CN"/>
        </w:rPr>
        <w:t>第2章  响应文件格式</w:t>
      </w:r>
      <w:bookmarkEnd w:id="528"/>
      <w:bookmarkEnd w:id="529"/>
      <w:bookmarkEnd w:id="530"/>
      <w:bookmarkEnd w:id="531"/>
      <w:bookmarkEnd w:id="532"/>
      <w:bookmarkEnd w:id="533"/>
    </w:p>
    <w:p w14:paraId="18A13BE4">
      <w:pPr>
        <w:pStyle w:val="3"/>
        <w:pageBreakBefore w:val="0"/>
        <w:widowControl w:val="0"/>
        <w:kinsoku/>
        <w:wordWrap/>
        <w:overflowPunct/>
        <w:topLinePunct w:val="0"/>
        <w:bidi w:val="0"/>
        <w:snapToGrid/>
        <w:spacing w:before="0" w:line="380" w:lineRule="exact"/>
        <w:ind w:left="1157" w:leftChars="257" w:hanging="540"/>
        <w:textAlignment w:val="auto"/>
        <w:rPr>
          <w:rFonts w:hint="eastAsia" w:asciiTheme="minorEastAsia" w:hAnsiTheme="minorEastAsia" w:eastAsiaTheme="minorEastAsia" w:cstheme="minorEastAsia"/>
          <w:b/>
          <w:bCs w:val="0"/>
          <w:color w:val="auto"/>
          <w:sz w:val="24"/>
          <w:szCs w:val="24"/>
          <w:highlight w:val="none"/>
        </w:rPr>
      </w:pPr>
      <w:bookmarkStart w:id="534" w:name="_Toc18974"/>
      <w:bookmarkStart w:id="535" w:name="_Toc31193"/>
      <w:bookmarkStart w:id="536" w:name="_Toc29469"/>
      <w:bookmarkStart w:id="537" w:name="_Toc515647803"/>
      <w:bookmarkStart w:id="538" w:name="_Toc19017"/>
      <w:bookmarkStart w:id="539" w:name="_Toc6220"/>
      <w:bookmarkStart w:id="540" w:name="_Toc18694"/>
      <w:r>
        <w:rPr>
          <w:rFonts w:hint="eastAsia" w:asciiTheme="minorEastAsia" w:hAnsiTheme="minorEastAsia" w:eastAsiaTheme="minorEastAsia" w:cstheme="minorEastAsia"/>
          <w:b/>
          <w:bCs w:val="0"/>
          <w:color w:val="auto"/>
          <w:sz w:val="24"/>
          <w:szCs w:val="24"/>
          <w:highlight w:val="none"/>
        </w:rPr>
        <w:t xml:space="preserve">第一部分 </w:t>
      </w:r>
      <w:r>
        <w:rPr>
          <w:rFonts w:hint="eastAsia" w:asciiTheme="minorEastAsia" w:hAnsiTheme="minorEastAsia" w:eastAsiaTheme="minorEastAsia" w:cstheme="minorEastAsia"/>
          <w:b/>
          <w:bCs w:val="0"/>
          <w:color w:val="auto"/>
          <w:sz w:val="24"/>
          <w:szCs w:val="24"/>
          <w:highlight w:val="none"/>
          <w:lang w:eastAsia="zh-CN"/>
        </w:rPr>
        <w:t>报价一览表</w:t>
      </w:r>
      <w:r>
        <w:rPr>
          <w:rFonts w:hint="eastAsia" w:asciiTheme="minorEastAsia" w:hAnsiTheme="minorEastAsia" w:eastAsiaTheme="minorEastAsia" w:cstheme="minorEastAsia"/>
          <w:b/>
          <w:bCs w:val="0"/>
          <w:color w:val="auto"/>
          <w:sz w:val="24"/>
          <w:szCs w:val="24"/>
          <w:highlight w:val="none"/>
        </w:rPr>
        <w:t>及资格证明文件</w:t>
      </w:r>
      <w:bookmarkEnd w:id="534"/>
      <w:bookmarkEnd w:id="535"/>
      <w:bookmarkEnd w:id="536"/>
      <w:bookmarkEnd w:id="537"/>
      <w:bookmarkEnd w:id="538"/>
      <w:bookmarkEnd w:id="539"/>
      <w:bookmarkEnd w:id="540"/>
    </w:p>
    <w:p w14:paraId="3AE515AA">
      <w:pPr>
        <w:pageBreakBefore w:val="0"/>
        <w:widowControl w:val="0"/>
        <w:kinsoku/>
        <w:wordWrap/>
        <w:overflowPunct/>
        <w:topLinePunct w:val="0"/>
        <w:bidi w:val="0"/>
        <w:snapToGrid/>
        <w:spacing w:line="38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val="en-US" w:eastAsia="zh-CN"/>
        </w:rPr>
        <w:t>1、谈判</w:t>
      </w:r>
      <w:r>
        <w:rPr>
          <w:rFonts w:hint="eastAsia" w:asciiTheme="minorEastAsia" w:hAnsiTheme="minorEastAsia" w:eastAsiaTheme="minorEastAsia" w:cstheme="minorEastAsia"/>
          <w:b w:val="0"/>
          <w:bCs/>
          <w:color w:val="auto"/>
          <w:sz w:val="24"/>
          <w:szCs w:val="24"/>
          <w:highlight w:val="none"/>
        </w:rPr>
        <w:t>报价一览表</w:t>
      </w:r>
      <w:r>
        <w:rPr>
          <w:rFonts w:hint="eastAsia" w:asciiTheme="minorEastAsia" w:hAnsiTheme="minorEastAsia" w:eastAsiaTheme="minorEastAsia" w:cstheme="minorEastAsia"/>
          <w:b w:val="0"/>
          <w:bCs/>
          <w:color w:val="auto"/>
          <w:sz w:val="24"/>
          <w:szCs w:val="24"/>
          <w:highlight w:val="none"/>
          <w:lang w:eastAsia="zh-CN"/>
        </w:rPr>
        <w:t>；</w:t>
      </w:r>
    </w:p>
    <w:p w14:paraId="046F1E9A">
      <w:pPr>
        <w:pageBreakBefore w:val="0"/>
        <w:widowControl w:val="0"/>
        <w:kinsoku/>
        <w:wordWrap/>
        <w:overflowPunct/>
        <w:topLinePunct w:val="0"/>
        <w:bidi w:val="0"/>
        <w:snapToGrid/>
        <w:spacing w:before="0" w:line="380" w:lineRule="exact"/>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2．具有有效的营业执照；</w:t>
      </w:r>
    </w:p>
    <w:p w14:paraId="787121DC">
      <w:pPr>
        <w:pageBreakBefore w:val="0"/>
        <w:widowControl w:val="0"/>
        <w:kinsoku/>
        <w:wordWrap/>
        <w:overflowPunct/>
        <w:topLinePunct w:val="0"/>
        <w:bidi w:val="0"/>
        <w:snapToGrid/>
        <w:spacing w:before="0" w:line="380" w:lineRule="exact"/>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3．，被授权委托人须提供法定代表人资格证明书、法定代表人授权委托书及身份证复印件；</w:t>
      </w:r>
    </w:p>
    <w:p w14:paraId="02F5EC21">
      <w:pPr>
        <w:pageBreakBefore w:val="0"/>
        <w:widowControl w:val="0"/>
        <w:kinsoku/>
        <w:wordWrap/>
        <w:overflowPunct/>
        <w:topLinePunct w:val="0"/>
        <w:bidi w:val="0"/>
        <w:snapToGrid/>
        <w:spacing w:before="0" w:line="380" w:lineRule="exact"/>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4．依法缴纳近三个月任意一个月的社会保险的凭据；</w:t>
      </w:r>
    </w:p>
    <w:p w14:paraId="5DA5E5B4">
      <w:pPr>
        <w:pageBreakBefore w:val="0"/>
        <w:widowControl w:val="0"/>
        <w:kinsoku/>
        <w:wordWrap/>
        <w:overflowPunct/>
        <w:topLinePunct w:val="0"/>
        <w:bidi w:val="0"/>
        <w:snapToGrid/>
        <w:spacing w:before="0" w:line="380" w:lineRule="exact"/>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5．税务部门出具的近三个月任意一个月的完税证明（依法免缴的应提供依法免缴的相关证明文件或零申报报表）；</w:t>
      </w:r>
    </w:p>
    <w:p w14:paraId="221F144D">
      <w:pPr>
        <w:pageBreakBefore w:val="0"/>
        <w:widowControl w:val="0"/>
        <w:kinsoku/>
        <w:wordWrap/>
        <w:overflowPunct/>
        <w:topLinePunct w:val="0"/>
        <w:bidi w:val="0"/>
        <w:snapToGrid/>
        <w:spacing w:before="0" w:line="380" w:lineRule="exact"/>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6．提供2024年完整的财务审计报告（成立不满一年的可提供近三个月内任意一个月的银行资信证明）；</w:t>
      </w:r>
    </w:p>
    <w:p w14:paraId="07EEE705">
      <w:pPr>
        <w:pageBreakBefore w:val="0"/>
        <w:widowControl w:val="0"/>
        <w:kinsoku/>
        <w:wordWrap/>
        <w:overflowPunct/>
        <w:topLinePunct w:val="0"/>
        <w:bidi w:val="0"/>
        <w:snapToGrid/>
        <w:spacing w:before="0" w:line="380" w:lineRule="exact"/>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7．参与政府采购活动前3年内未被列入失信、重大税收违法案件、财政部门禁止参加政府采购活动的承诺书；</w:t>
      </w:r>
    </w:p>
    <w:p w14:paraId="6651D77B">
      <w:pPr>
        <w:pageBreakBefore w:val="0"/>
        <w:widowControl w:val="0"/>
        <w:kinsoku/>
        <w:wordWrap/>
        <w:overflowPunct/>
        <w:topLinePunct w:val="0"/>
        <w:bidi w:val="0"/>
        <w:snapToGrid/>
        <w:spacing w:before="0" w:line="380" w:lineRule="exact"/>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8．提供针对本次项目的反商业贿赂承诺书。</w:t>
      </w:r>
    </w:p>
    <w:p w14:paraId="2570D759">
      <w:pPr>
        <w:pageBreakBefore w:val="0"/>
        <w:widowControl w:val="0"/>
        <w:kinsoku/>
        <w:wordWrap/>
        <w:overflowPunct/>
        <w:topLinePunct w:val="0"/>
        <w:bidi w:val="0"/>
        <w:snapToGrid/>
        <w:spacing w:before="0" w:line="380" w:lineRule="exact"/>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b w:val="0"/>
          <w:bCs w:val="0"/>
          <w:color w:val="auto"/>
          <w:kern w:val="0"/>
          <w:sz w:val="24"/>
          <w:szCs w:val="24"/>
          <w:highlight w:val="none"/>
          <w:lang w:val="en-US" w:eastAsia="zh-CN" w:bidi="ar-SA"/>
        </w:rPr>
        <w:t>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w:t>
      </w:r>
    </w:p>
    <w:p w14:paraId="6ABE434C">
      <w:pPr>
        <w:pageBreakBefore w:val="0"/>
        <w:widowControl w:val="0"/>
        <w:kinsoku/>
        <w:wordWrap/>
        <w:overflowPunct/>
        <w:topLinePunct w:val="0"/>
        <w:bidi w:val="0"/>
        <w:snapToGrid/>
        <w:spacing w:before="0" w:line="380" w:lineRule="exact"/>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10．响应保证金有效凭证。</w:t>
      </w:r>
    </w:p>
    <w:p w14:paraId="593DE7CE">
      <w:pPr>
        <w:pageBreakBefore w:val="0"/>
        <w:widowControl w:val="0"/>
        <w:kinsoku/>
        <w:wordWrap/>
        <w:overflowPunct/>
        <w:topLinePunct w:val="0"/>
        <w:bidi w:val="0"/>
        <w:snapToGrid/>
        <w:spacing w:before="0" w:line="380" w:lineRule="exact"/>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11．供应商可提供有利于响应的其他资格证明材料。</w:t>
      </w:r>
    </w:p>
    <w:p w14:paraId="61C4CEA8">
      <w:pPr>
        <w:pStyle w:val="43"/>
        <w:rPr>
          <w:rFonts w:hint="eastAsia" w:asciiTheme="minorEastAsia" w:hAnsiTheme="minorEastAsia" w:eastAsiaTheme="minorEastAsia" w:cstheme="minorEastAsia"/>
          <w:b/>
          <w:bCs/>
          <w:color w:val="auto"/>
          <w:sz w:val="24"/>
          <w:szCs w:val="24"/>
          <w:highlight w:val="none"/>
        </w:rPr>
      </w:pPr>
    </w:p>
    <w:p w14:paraId="27711684">
      <w:pPr>
        <w:pStyle w:val="3"/>
        <w:pageBreakBefore w:val="0"/>
        <w:kinsoku/>
        <w:wordWrap/>
        <w:overflowPunct/>
        <w:topLinePunct w:val="0"/>
        <w:bidi w:val="0"/>
        <w:spacing w:before="0" w:line="500" w:lineRule="exact"/>
        <w:ind w:left="1157" w:leftChars="257" w:hanging="540"/>
        <w:textAlignment w:val="auto"/>
        <w:rPr>
          <w:rFonts w:hint="eastAsia" w:asciiTheme="minorEastAsia" w:hAnsiTheme="minorEastAsia" w:eastAsiaTheme="minorEastAsia" w:cstheme="minorEastAsia"/>
          <w:b/>
          <w:bCs w:val="0"/>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br w:type="page"/>
      </w:r>
      <w:bookmarkStart w:id="541" w:name="_Toc23342"/>
      <w:bookmarkStart w:id="542" w:name="_Toc515647804"/>
      <w:bookmarkStart w:id="543" w:name="_Toc10172"/>
      <w:bookmarkStart w:id="544" w:name="_Toc16568"/>
      <w:bookmarkStart w:id="545" w:name="_Toc21398"/>
      <w:bookmarkStart w:id="546" w:name="_Toc26135"/>
      <w:bookmarkStart w:id="547" w:name="_Toc14309"/>
      <w:bookmarkStart w:id="548" w:name="_Toc30524"/>
      <w:r>
        <w:rPr>
          <w:rFonts w:hint="eastAsia" w:asciiTheme="minorEastAsia" w:hAnsiTheme="minorEastAsia" w:eastAsiaTheme="minorEastAsia" w:cstheme="minorEastAsia"/>
          <w:b/>
          <w:bCs w:val="0"/>
          <w:color w:val="auto"/>
          <w:sz w:val="24"/>
          <w:szCs w:val="24"/>
          <w:highlight w:val="none"/>
        </w:rPr>
        <w:t>1</w:t>
      </w:r>
      <w:r>
        <w:rPr>
          <w:rFonts w:hint="eastAsia" w:asciiTheme="minorEastAsia" w:hAnsiTheme="minorEastAsia" w:eastAsiaTheme="minorEastAsia" w:cstheme="minorEastAsia"/>
          <w:b/>
          <w:bCs w:val="0"/>
          <w:color w:val="auto"/>
          <w:sz w:val="24"/>
          <w:szCs w:val="24"/>
          <w:highlight w:val="none"/>
          <w:lang w:val="en-US" w:eastAsia="zh-CN"/>
        </w:rPr>
        <w:t>、谈判</w:t>
      </w:r>
      <w:r>
        <w:rPr>
          <w:rFonts w:hint="eastAsia" w:asciiTheme="minorEastAsia" w:hAnsiTheme="minorEastAsia" w:eastAsiaTheme="minorEastAsia" w:cstheme="minorEastAsia"/>
          <w:b/>
          <w:bCs w:val="0"/>
          <w:color w:val="auto"/>
          <w:sz w:val="24"/>
          <w:szCs w:val="24"/>
          <w:highlight w:val="none"/>
          <w:lang w:eastAsia="zh-CN"/>
        </w:rPr>
        <w:t>报价一览表</w:t>
      </w:r>
      <w:bookmarkEnd w:id="541"/>
      <w:bookmarkEnd w:id="542"/>
      <w:bookmarkEnd w:id="543"/>
      <w:bookmarkEnd w:id="544"/>
      <w:bookmarkEnd w:id="545"/>
      <w:bookmarkEnd w:id="546"/>
      <w:bookmarkEnd w:id="547"/>
      <w:bookmarkEnd w:id="548"/>
    </w:p>
    <w:p w14:paraId="67E37D17">
      <w:pPr>
        <w:rPr>
          <w:rFonts w:hint="eastAsia" w:asciiTheme="minorEastAsia" w:hAnsiTheme="minorEastAsia" w:eastAsiaTheme="minorEastAsia" w:cstheme="minorEastAsia"/>
          <w:color w:val="auto"/>
          <w:sz w:val="21"/>
          <w:szCs w:val="21"/>
          <w:highlight w:val="none"/>
        </w:rPr>
      </w:pPr>
    </w:p>
    <w:p w14:paraId="3E12B3D6">
      <w:pPr>
        <w:tabs>
          <w:tab w:val="left" w:pos="1800"/>
          <w:tab w:val="left" w:pos="5580"/>
        </w:tabs>
        <w:spacing w:line="440" w:lineRule="exact"/>
        <w:ind w:right="-991" w:rightChars="-413"/>
        <w:rPr>
          <w:rFonts w:hint="eastAsia" w:asciiTheme="minorEastAsia" w:hAnsiTheme="minorEastAsia" w:eastAsiaTheme="minorEastAsia" w:cstheme="minorEastAsia"/>
          <w:bCs/>
          <w:color w:val="auto"/>
          <w:sz w:val="24"/>
          <w:szCs w:val="24"/>
          <w:highlight w:val="none"/>
        </w:rPr>
      </w:pPr>
      <w:bookmarkStart w:id="549" w:name="_Hlt520356241"/>
      <w:bookmarkEnd w:id="549"/>
      <w:bookmarkStart w:id="550" w:name="_Toc520356217"/>
      <w:bookmarkStart w:id="551" w:name="_Toc216582813"/>
      <w:bookmarkStart w:id="552" w:name="_Ref467988698"/>
      <w:bookmarkStart w:id="553" w:name="_Toc480942349"/>
      <w:r>
        <w:rPr>
          <w:rFonts w:hint="eastAsia" w:asciiTheme="minorEastAsia" w:hAnsiTheme="minorEastAsia" w:eastAsiaTheme="minorEastAsia" w:cstheme="minorEastAsia"/>
          <w:bCs/>
          <w:color w:val="auto"/>
          <w:sz w:val="24"/>
          <w:szCs w:val="24"/>
          <w:highlight w:val="none"/>
        </w:rPr>
        <w:t xml:space="preserve">项目名称：　              </w:t>
      </w:r>
      <w:r>
        <w:rPr>
          <w:rFonts w:hint="eastAsia" w:asciiTheme="minorEastAsia" w:hAnsiTheme="minorEastAsia" w:eastAsiaTheme="minorEastAsia" w:cstheme="minorEastAsia"/>
          <w:bCs/>
          <w:color w:val="auto"/>
          <w:sz w:val="24"/>
          <w:szCs w:val="24"/>
          <w:highlight w:val="none"/>
          <w:lang w:val="en-US" w:eastAsia="zh-CN"/>
        </w:rPr>
        <w:t xml:space="preserve">     </w:t>
      </w:r>
      <w:r>
        <w:rPr>
          <w:rFonts w:hint="eastAsia" w:asciiTheme="minorEastAsia" w:hAnsiTheme="minorEastAsia" w:eastAsiaTheme="minorEastAsia" w:cstheme="minorEastAsia"/>
          <w:bCs/>
          <w:color w:val="auto"/>
          <w:sz w:val="24"/>
          <w:szCs w:val="24"/>
          <w:highlight w:val="none"/>
        </w:rPr>
        <w:t xml:space="preserve">   </w:t>
      </w:r>
      <w:r>
        <w:rPr>
          <w:rFonts w:hint="eastAsia" w:asciiTheme="minorEastAsia" w:hAnsiTheme="minorEastAsia" w:eastAsiaTheme="minorEastAsia" w:cstheme="minorEastAsia"/>
          <w:bCs/>
          <w:color w:val="auto"/>
          <w:sz w:val="24"/>
          <w:szCs w:val="24"/>
          <w:highlight w:val="none"/>
          <w:lang w:val="en-US" w:eastAsia="zh-CN"/>
        </w:rPr>
        <w:t xml:space="preserve">                 </w:t>
      </w:r>
      <w:r>
        <w:rPr>
          <w:rFonts w:hint="eastAsia" w:asciiTheme="minorEastAsia" w:hAnsiTheme="minorEastAsia" w:eastAsiaTheme="minorEastAsia" w:cstheme="minorEastAsia"/>
          <w:bCs/>
          <w:color w:val="auto"/>
          <w:sz w:val="24"/>
          <w:szCs w:val="24"/>
          <w:highlight w:val="none"/>
        </w:rPr>
        <w:t xml:space="preserve"> </w:t>
      </w:r>
      <w:r>
        <w:rPr>
          <w:rFonts w:hint="eastAsia" w:asciiTheme="minorEastAsia" w:hAnsiTheme="minorEastAsia" w:eastAsiaTheme="minorEastAsia" w:cstheme="minorEastAsia"/>
          <w:bCs/>
          <w:color w:val="auto"/>
          <w:sz w:val="24"/>
          <w:szCs w:val="24"/>
          <w:highlight w:val="none"/>
          <w:lang w:eastAsia="zh-CN"/>
        </w:rPr>
        <w:t>项目编号</w:t>
      </w:r>
      <w:r>
        <w:rPr>
          <w:rFonts w:hint="eastAsia" w:asciiTheme="minorEastAsia" w:hAnsiTheme="minorEastAsia" w:eastAsiaTheme="minorEastAsia" w:cstheme="minorEastAsia"/>
          <w:bCs/>
          <w:color w:val="auto"/>
          <w:sz w:val="24"/>
          <w:szCs w:val="24"/>
          <w:highlight w:val="none"/>
        </w:rPr>
        <w:t xml:space="preserve">：                          </w:t>
      </w:r>
    </w:p>
    <w:p w14:paraId="280AA938">
      <w:pPr>
        <w:tabs>
          <w:tab w:val="left" w:pos="1800"/>
          <w:tab w:val="left" w:pos="5580"/>
        </w:tabs>
        <w:spacing w:line="440" w:lineRule="exact"/>
        <w:ind w:right="-991" w:rightChars="-413"/>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 xml:space="preserve">标项号：                                            </w:t>
      </w:r>
      <w:r>
        <w:rPr>
          <w:rFonts w:hint="eastAsia" w:asciiTheme="minorEastAsia" w:hAnsiTheme="minorEastAsia" w:eastAsiaTheme="minorEastAsia" w:cstheme="minorEastAsia"/>
          <w:bCs/>
          <w:color w:val="auto"/>
          <w:sz w:val="24"/>
          <w:szCs w:val="24"/>
          <w:highlight w:val="none"/>
        </w:rPr>
        <w:t>报价单位：人民币      元</w:t>
      </w:r>
    </w:p>
    <w:tbl>
      <w:tblPr>
        <w:tblStyle w:val="98"/>
        <w:tblW w:w="5356"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88"/>
        <w:gridCol w:w="1542"/>
        <w:gridCol w:w="978"/>
        <w:gridCol w:w="1495"/>
        <w:gridCol w:w="1248"/>
        <w:gridCol w:w="1175"/>
        <w:gridCol w:w="1319"/>
        <w:gridCol w:w="635"/>
      </w:tblGrid>
      <w:tr w14:paraId="7202A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5" w:hRule="atLeast"/>
          <w:jc w:val="center"/>
        </w:trPr>
        <w:tc>
          <w:tcPr>
            <w:tcW w:w="275" w:type="pct"/>
            <w:tcBorders>
              <w:bottom w:val="single" w:color="000000" w:sz="6" w:space="0"/>
            </w:tcBorders>
            <w:vAlign w:val="top"/>
          </w:tcPr>
          <w:p w14:paraId="5AD43E63">
            <w:pPr>
              <w:tabs>
                <w:tab w:val="left" w:pos="1800"/>
                <w:tab w:val="left" w:pos="5580"/>
              </w:tabs>
              <w:spacing w:line="440" w:lineRule="exact"/>
              <w:ind w:right="-991" w:rightChars="-413"/>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序号</w:t>
            </w:r>
          </w:p>
        </w:tc>
        <w:tc>
          <w:tcPr>
            <w:tcW w:w="868" w:type="pct"/>
            <w:tcBorders>
              <w:top w:val="single" w:color="000000" w:sz="6" w:space="0"/>
              <w:bottom w:val="single" w:color="000000" w:sz="6" w:space="0"/>
            </w:tcBorders>
            <w:vAlign w:val="top"/>
          </w:tcPr>
          <w:p w14:paraId="2F80B507">
            <w:pPr>
              <w:tabs>
                <w:tab w:val="left" w:pos="1800"/>
                <w:tab w:val="left" w:pos="5580"/>
              </w:tabs>
              <w:spacing w:line="440" w:lineRule="exact"/>
              <w:ind w:right="-991" w:rightChars="-413"/>
              <w:jc w:val="both"/>
              <w:rPr>
                <w:rFonts w:hint="default" w:asciiTheme="minorEastAsia" w:hAnsiTheme="minorEastAsia" w:eastAsiaTheme="minorEastAsia" w:cstheme="minorEastAsia"/>
                <w:bCs/>
                <w:color w:val="auto"/>
                <w:sz w:val="24"/>
                <w:szCs w:val="24"/>
                <w:highlight w:val="none"/>
                <w:lang w:val="en-US"/>
              </w:rPr>
            </w:pPr>
            <w:r>
              <w:rPr>
                <w:rFonts w:hint="eastAsia" w:asciiTheme="minorEastAsia" w:hAnsiTheme="minorEastAsia" w:eastAsiaTheme="minorEastAsia" w:cstheme="minorEastAsia"/>
                <w:bCs/>
                <w:color w:val="auto"/>
                <w:sz w:val="24"/>
                <w:szCs w:val="24"/>
                <w:highlight w:val="none"/>
                <w:lang w:val="en-US" w:eastAsia="zh-CN"/>
              </w:rPr>
              <w:t>项目名称</w:t>
            </w:r>
          </w:p>
        </w:tc>
        <w:tc>
          <w:tcPr>
            <w:tcW w:w="550" w:type="pct"/>
            <w:tcBorders>
              <w:top w:val="single" w:color="000000" w:sz="6" w:space="0"/>
              <w:bottom w:val="single" w:color="000000" w:sz="6" w:space="0"/>
            </w:tcBorders>
            <w:vAlign w:val="top"/>
          </w:tcPr>
          <w:p w14:paraId="3AE6EA81">
            <w:pPr>
              <w:tabs>
                <w:tab w:val="left" w:pos="1800"/>
                <w:tab w:val="left" w:pos="5580"/>
              </w:tabs>
              <w:spacing w:line="440" w:lineRule="exact"/>
              <w:ind w:right="-991" w:rightChars="-413"/>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数量</w:t>
            </w:r>
          </w:p>
        </w:tc>
        <w:tc>
          <w:tcPr>
            <w:tcW w:w="841" w:type="pct"/>
            <w:tcBorders>
              <w:top w:val="single" w:color="000000" w:sz="6" w:space="0"/>
              <w:bottom w:val="single" w:color="000000" w:sz="6" w:space="0"/>
            </w:tcBorders>
            <w:vAlign w:val="top"/>
          </w:tcPr>
          <w:p w14:paraId="6D148EB2">
            <w:pPr>
              <w:tabs>
                <w:tab w:val="left" w:pos="1800"/>
                <w:tab w:val="left" w:pos="5580"/>
              </w:tabs>
              <w:spacing w:line="440" w:lineRule="exact"/>
              <w:ind w:right="-991" w:rightChars="-413"/>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总</w:t>
            </w:r>
            <w:r>
              <w:rPr>
                <w:rFonts w:hint="eastAsia" w:asciiTheme="minorEastAsia" w:hAnsiTheme="minorEastAsia" w:eastAsiaTheme="minorEastAsia" w:cstheme="minorEastAsia"/>
                <w:bCs/>
                <w:color w:val="auto"/>
                <w:sz w:val="24"/>
                <w:szCs w:val="24"/>
                <w:highlight w:val="none"/>
                <w:lang w:val="en-US" w:eastAsia="zh-CN"/>
              </w:rPr>
              <w:t>报</w:t>
            </w:r>
            <w:r>
              <w:rPr>
                <w:rFonts w:hint="eastAsia" w:asciiTheme="minorEastAsia" w:hAnsiTheme="minorEastAsia" w:eastAsiaTheme="minorEastAsia" w:cstheme="minorEastAsia"/>
                <w:bCs/>
                <w:color w:val="auto"/>
                <w:sz w:val="24"/>
                <w:szCs w:val="24"/>
                <w:highlight w:val="none"/>
              </w:rPr>
              <w:t>价（元）</w:t>
            </w:r>
          </w:p>
        </w:tc>
        <w:tc>
          <w:tcPr>
            <w:tcW w:w="702" w:type="pct"/>
            <w:tcBorders>
              <w:top w:val="single" w:color="000000" w:sz="6" w:space="0"/>
              <w:bottom w:val="single" w:color="000000" w:sz="6" w:space="0"/>
            </w:tcBorders>
            <w:vAlign w:val="top"/>
          </w:tcPr>
          <w:p w14:paraId="76A87B90">
            <w:pPr>
              <w:tabs>
                <w:tab w:val="left" w:pos="1800"/>
                <w:tab w:val="left" w:pos="5580"/>
              </w:tabs>
              <w:spacing w:line="440" w:lineRule="exact"/>
              <w:ind w:right="-991" w:rightChars="-413"/>
              <w:jc w:val="both"/>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响应保证金</w:t>
            </w:r>
          </w:p>
          <w:p w14:paraId="5548E574">
            <w:pPr>
              <w:tabs>
                <w:tab w:val="left" w:pos="1800"/>
                <w:tab w:val="left" w:pos="5580"/>
              </w:tabs>
              <w:spacing w:line="440" w:lineRule="exact"/>
              <w:ind w:right="-991" w:rightChars="-413"/>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缴纳方式</w:t>
            </w:r>
          </w:p>
        </w:tc>
        <w:tc>
          <w:tcPr>
            <w:tcW w:w="661" w:type="pct"/>
            <w:tcBorders>
              <w:top w:val="single" w:color="000000" w:sz="6" w:space="0"/>
              <w:bottom w:val="single" w:color="000000" w:sz="6" w:space="0"/>
            </w:tcBorders>
            <w:vAlign w:val="top"/>
          </w:tcPr>
          <w:p w14:paraId="6A236522">
            <w:pPr>
              <w:tabs>
                <w:tab w:val="left" w:pos="1800"/>
                <w:tab w:val="left" w:pos="5580"/>
              </w:tabs>
              <w:spacing w:line="440" w:lineRule="exact"/>
              <w:ind w:right="-991" w:rightChars="-413"/>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交货期限</w:t>
            </w:r>
          </w:p>
        </w:tc>
        <w:tc>
          <w:tcPr>
            <w:tcW w:w="742" w:type="pct"/>
            <w:tcBorders>
              <w:top w:val="single" w:color="000000" w:sz="6" w:space="0"/>
              <w:bottom w:val="single" w:color="000000" w:sz="6" w:space="0"/>
            </w:tcBorders>
            <w:vAlign w:val="top"/>
          </w:tcPr>
          <w:p w14:paraId="7DC90D3F">
            <w:pPr>
              <w:tabs>
                <w:tab w:val="left" w:pos="1800"/>
                <w:tab w:val="left" w:pos="5580"/>
              </w:tabs>
              <w:spacing w:line="440" w:lineRule="exact"/>
              <w:ind w:right="-991" w:rightChars="-413"/>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交货地点</w:t>
            </w:r>
          </w:p>
        </w:tc>
        <w:tc>
          <w:tcPr>
            <w:tcW w:w="357" w:type="pct"/>
            <w:tcBorders>
              <w:top w:val="single" w:color="000000" w:sz="6" w:space="0"/>
              <w:bottom w:val="single" w:color="000000" w:sz="6" w:space="0"/>
              <w:right w:val="single" w:color="000000" w:sz="6" w:space="0"/>
            </w:tcBorders>
            <w:vAlign w:val="top"/>
          </w:tcPr>
          <w:p w14:paraId="3C2C7F4D">
            <w:pPr>
              <w:tabs>
                <w:tab w:val="left" w:pos="1800"/>
                <w:tab w:val="left" w:pos="5580"/>
              </w:tabs>
              <w:spacing w:line="440" w:lineRule="exact"/>
              <w:ind w:right="-991" w:rightChars="-413"/>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备注</w:t>
            </w:r>
          </w:p>
        </w:tc>
      </w:tr>
      <w:tr w14:paraId="73FBD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4" w:hRule="atLeast"/>
          <w:jc w:val="center"/>
        </w:trPr>
        <w:tc>
          <w:tcPr>
            <w:tcW w:w="275" w:type="pct"/>
            <w:tcBorders>
              <w:top w:val="single" w:color="000000" w:sz="6" w:space="0"/>
            </w:tcBorders>
            <w:vAlign w:val="top"/>
          </w:tcPr>
          <w:p w14:paraId="7617D63D">
            <w:pPr>
              <w:pStyle w:val="99"/>
              <w:spacing w:line="360" w:lineRule="auto"/>
              <w:jc w:val="both"/>
              <w:rPr>
                <w:rFonts w:hint="eastAsia" w:asciiTheme="minorEastAsia" w:hAnsiTheme="minorEastAsia" w:eastAsiaTheme="minorEastAsia" w:cstheme="minorEastAsia"/>
                <w:bCs/>
                <w:color w:val="auto"/>
                <w:kern w:val="2"/>
                <w:sz w:val="24"/>
                <w:szCs w:val="24"/>
                <w:highlight w:val="none"/>
                <w:lang w:val="en-US" w:eastAsia="zh-CN" w:bidi="ar-SA"/>
              </w:rPr>
            </w:pPr>
          </w:p>
          <w:p w14:paraId="157FA26F">
            <w:pPr>
              <w:spacing w:before="103" w:line="360" w:lineRule="auto"/>
              <w:jc w:val="center"/>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1</w:t>
            </w:r>
          </w:p>
        </w:tc>
        <w:tc>
          <w:tcPr>
            <w:tcW w:w="868" w:type="pct"/>
            <w:tcBorders>
              <w:top w:val="single" w:color="000000" w:sz="6" w:space="0"/>
            </w:tcBorders>
            <w:vAlign w:val="top"/>
          </w:tcPr>
          <w:p w14:paraId="1E3DB1FC">
            <w:pPr>
              <w:pStyle w:val="99"/>
              <w:spacing w:line="360" w:lineRule="auto"/>
              <w:jc w:val="center"/>
              <w:rPr>
                <w:rFonts w:hint="eastAsia" w:asciiTheme="minorEastAsia" w:hAnsiTheme="minorEastAsia" w:eastAsiaTheme="minorEastAsia" w:cstheme="minorEastAsia"/>
                <w:bCs/>
                <w:color w:val="auto"/>
                <w:kern w:val="2"/>
                <w:sz w:val="24"/>
                <w:szCs w:val="24"/>
                <w:highlight w:val="none"/>
                <w:lang w:val="en-US" w:eastAsia="zh-CN" w:bidi="ar-SA"/>
              </w:rPr>
            </w:pPr>
          </w:p>
          <w:p w14:paraId="24324C75">
            <w:pPr>
              <w:spacing w:before="103" w:line="360" w:lineRule="auto"/>
              <w:ind w:left="5"/>
              <w:jc w:val="both"/>
              <w:rPr>
                <w:rFonts w:hint="eastAsia" w:asciiTheme="minorEastAsia" w:hAnsiTheme="minorEastAsia" w:eastAsiaTheme="minorEastAsia" w:cstheme="minorEastAsia"/>
                <w:bCs/>
                <w:color w:val="auto"/>
                <w:kern w:val="2"/>
                <w:sz w:val="24"/>
                <w:szCs w:val="24"/>
                <w:highlight w:val="none"/>
                <w:lang w:val="en-US" w:eastAsia="zh-CN" w:bidi="ar-SA"/>
              </w:rPr>
            </w:pPr>
          </w:p>
        </w:tc>
        <w:tc>
          <w:tcPr>
            <w:tcW w:w="550" w:type="pct"/>
            <w:tcBorders>
              <w:top w:val="single" w:color="000000" w:sz="6" w:space="0"/>
            </w:tcBorders>
            <w:vAlign w:val="top"/>
          </w:tcPr>
          <w:p w14:paraId="34270190">
            <w:pPr>
              <w:spacing w:before="103" w:line="360" w:lineRule="auto"/>
              <w:jc w:val="both"/>
              <w:rPr>
                <w:rFonts w:hint="eastAsia" w:asciiTheme="minorEastAsia" w:hAnsiTheme="minorEastAsia" w:eastAsiaTheme="minorEastAsia" w:cstheme="minorEastAsia"/>
                <w:bCs/>
                <w:color w:val="auto"/>
                <w:kern w:val="2"/>
                <w:sz w:val="24"/>
                <w:szCs w:val="24"/>
                <w:highlight w:val="none"/>
                <w:lang w:val="en-US" w:eastAsia="zh-CN" w:bidi="ar-SA"/>
              </w:rPr>
            </w:pPr>
          </w:p>
        </w:tc>
        <w:tc>
          <w:tcPr>
            <w:tcW w:w="841" w:type="pct"/>
            <w:tcBorders>
              <w:top w:val="single" w:color="000000" w:sz="6" w:space="0"/>
            </w:tcBorders>
            <w:vAlign w:val="top"/>
          </w:tcPr>
          <w:p w14:paraId="5A6BE221">
            <w:pPr>
              <w:spacing w:before="103" w:line="360" w:lineRule="auto"/>
              <w:ind w:left="4"/>
              <w:jc w:val="both"/>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大写：</w:t>
            </w:r>
          </w:p>
          <w:p w14:paraId="1D4908A4">
            <w:pPr>
              <w:pStyle w:val="99"/>
              <w:spacing w:line="360" w:lineRule="auto"/>
              <w:jc w:val="center"/>
              <w:rPr>
                <w:rFonts w:hint="eastAsia" w:asciiTheme="minorEastAsia" w:hAnsiTheme="minorEastAsia" w:eastAsiaTheme="minorEastAsia" w:cstheme="minorEastAsia"/>
                <w:bCs/>
                <w:color w:val="auto"/>
                <w:kern w:val="2"/>
                <w:sz w:val="24"/>
                <w:szCs w:val="24"/>
                <w:highlight w:val="none"/>
                <w:lang w:val="en-US" w:eastAsia="zh-CN" w:bidi="ar-SA"/>
              </w:rPr>
            </w:pPr>
          </w:p>
          <w:p w14:paraId="22D203D1">
            <w:pPr>
              <w:spacing w:before="103" w:line="360" w:lineRule="auto"/>
              <w:ind w:left="5"/>
              <w:jc w:val="both"/>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小写：</w:t>
            </w:r>
          </w:p>
        </w:tc>
        <w:tc>
          <w:tcPr>
            <w:tcW w:w="702" w:type="pct"/>
            <w:tcBorders>
              <w:top w:val="single" w:color="000000" w:sz="6" w:space="0"/>
            </w:tcBorders>
            <w:vAlign w:val="top"/>
          </w:tcPr>
          <w:p w14:paraId="0F248467">
            <w:pPr>
              <w:pStyle w:val="99"/>
              <w:spacing w:line="360" w:lineRule="auto"/>
              <w:jc w:val="both"/>
              <w:rPr>
                <w:rFonts w:hint="eastAsia" w:asciiTheme="minorEastAsia" w:hAnsiTheme="minorEastAsia" w:eastAsiaTheme="minorEastAsia" w:cstheme="minorEastAsia"/>
                <w:bCs/>
                <w:color w:val="auto"/>
                <w:kern w:val="2"/>
                <w:sz w:val="24"/>
                <w:szCs w:val="24"/>
                <w:highlight w:val="none"/>
                <w:lang w:val="en-US" w:eastAsia="zh-CN" w:bidi="ar-SA"/>
              </w:rPr>
            </w:pPr>
          </w:p>
        </w:tc>
        <w:tc>
          <w:tcPr>
            <w:tcW w:w="661" w:type="pct"/>
            <w:tcBorders>
              <w:top w:val="single" w:color="000000" w:sz="6" w:space="0"/>
            </w:tcBorders>
            <w:vAlign w:val="top"/>
          </w:tcPr>
          <w:p w14:paraId="662CFBCD">
            <w:pPr>
              <w:pStyle w:val="99"/>
              <w:spacing w:line="360" w:lineRule="auto"/>
              <w:jc w:val="both"/>
              <w:rPr>
                <w:rFonts w:hint="eastAsia" w:asciiTheme="minorEastAsia" w:hAnsiTheme="minorEastAsia" w:eastAsiaTheme="minorEastAsia" w:cstheme="minorEastAsia"/>
                <w:bCs/>
                <w:color w:val="auto"/>
                <w:kern w:val="2"/>
                <w:sz w:val="24"/>
                <w:szCs w:val="24"/>
                <w:highlight w:val="none"/>
                <w:lang w:val="en-US" w:eastAsia="zh-CN" w:bidi="ar-SA"/>
              </w:rPr>
            </w:pPr>
          </w:p>
        </w:tc>
        <w:tc>
          <w:tcPr>
            <w:tcW w:w="742" w:type="pct"/>
            <w:tcBorders>
              <w:top w:val="single" w:color="000000" w:sz="6" w:space="0"/>
            </w:tcBorders>
            <w:vAlign w:val="top"/>
          </w:tcPr>
          <w:p w14:paraId="566CF5D4">
            <w:pPr>
              <w:pStyle w:val="99"/>
              <w:spacing w:line="360" w:lineRule="auto"/>
              <w:jc w:val="both"/>
              <w:rPr>
                <w:rFonts w:hint="eastAsia" w:asciiTheme="minorEastAsia" w:hAnsiTheme="minorEastAsia" w:eastAsiaTheme="minorEastAsia" w:cstheme="minorEastAsia"/>
                <w:bCs/>
                <w:color w:val="auto"/>
                <w:kern w:val="2"/>
                <w:sz w:val="24"/>
                <w:szCs w:val="24"/>
                <w:highlight w:val="none"/>
                <w:lang w:val="en-US" w:eastAsia="zh-CN" w:bidi="ar-SA"/>
              </w:rPr>
            </w:pPr>
          </w:p>
        </w:tc>
        <w:tc>
          <w:tcPr>
            <w:tcW w:w="357" w:type="pct"/>
            <w:tcBorders>
              <w:top w:val="single" w:color="000000" w:sz="6" w:space="0"/>
              <w:right w:val="single" w:color="000000" w:sz="6" w:space="0"/>
            </w:tcBorders>
            <w:vAlign w:val="top"/>
          </w:tcPr>
          <w:p w14:paraId="0311CB5B">
            <w:pPr>
              <w:pStyle w:val="99"/>
              <w:spacing w:line="360" w:lineRule="auto"/>
              <w:jc w:val="both"/>
              <w:rPr>
                <w:rFonts w:hint="eastAsia" w:asciiTheme="minorEastAsia" w:hAnsiTheme="minorEastAsia" w:eastAsiaTheme="minorEastAsia" w:cstheme="minorEastAsia"/>
                <w:bCs/>
                <w:color w:val="auto"/>
                <w:kern w:val="2"/>
                <w:sz w:val="24"/>
                <w:szCs w:val="24"/>
                <w:highlight w:val="none"/>
                <w:lang w:val="en-US" w:eastAsia="zh-CN" w:bidi="ar-SA"/>
              </w:rPr>
            </w:pPr>
          </w:p>
        </w:tc>
      </w:tr>
    </w:tbl>
    <w:p w14:paraId="3009B827">
      <w:pPr>
        <w:pStyle w:val="21"/>
        <w:tabs>
          <w:tab w:val="left" w:pos="5580"/>
        </w:tabs>
        <w:spacing w:line="440" w:lineRule="exact"/>
        <w:rPr>
          <w:rFonts w:hint="eastAsia" w:asciiTheme="minorEastAsia" w:hAnsiTheme="minorEastAsia" w:eastAsiaTheme="minorEastAsia" w:cstheme="minorEastAsia"/>
          <w:bCs/>
          <w:color w:val="auto"/>
          <w:sz w:val="24"/>
          <w:szCs w:val="24"/>
          <w:highlight w:val="none"/>
          <w:u w:val="single"/>
        </w:rPr>
      </w:pPr>
    </w:p>
    <w:p w14:paraId="1176E465">
      <w:pPr>
        <w:pStyle w:val="21"/>
        <w:tabs>
          <w:tab w:val="left" w:pos="5580"/>
        </w:tabs>
        <w:spacing w:line="440" w:lineRule="exact"/>
        <w:ind w:left="1157" w:leftChars="257" w:hanging="54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供应商名称（公章）：</w:t>
      </w:r>
      <w:r>
        <w:rPr>
          <w:rFonts w:hint="eastAsia" w:asciiTheme="minorEastAsia" w:hAnsiTheme="minorEastAsia" w:eastAsiaTheme="minorEastAsia" w:cstheme="minorEastAsia"/>
          <w:bCs/>
          <w:color w:val="auto"/>
          <w:sz w:val="24"/>
          <w:szCs w:val="24"/>
          <w:highlight w:val="none"/>
          <w:u w:val="single"/>
        </w:rPr>
        <w:t xml:space="preserve">                       </w:t>
      </w:r>
    </w:p>
    <w:p w14:paraId="6FA0EDC3">
      <w:pPr>
        <w:pStyle w:val="21"/>
        <w:tabs>
          <w:tab w:val="left" w:pos="5580"/>
        </w:tabs>
        <w:spacing w:line="440" w:lineRule="exact"/>
        <w:ind w:left="1157" w:leftChars="257" w:hanging="540"/>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法定代表人(签</w:t>
      </w:r>
      <w:r>
        <w:rPr>
          <w:rFonts w:hint="eastAsia" w:asciiTheme="minorEastAsia" w:hAnsiTheme="minorEastAsia" w:eastAsiaTheme="minorEastAsia" w:cstheme="minorEastAsia"/>
          <w:bCs/>
          <w:color w:val="auto"/>
          <w:sz w:val="24"/>
          <w:szCs w:val="24"/>
          <w:highlight w:val="none"/>
          <w:lang w:val="en-US" w:eastAsia="zh-CN"/>
        </w:rPr>
        <w:t>/章</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u w:val="single"/>
        </w:rPr>
        <w:tab/>
      </w:r>
    </w:p>
    <w:p w14:paraId="0C0BE3B8">
      <w:pPr>
        <w:pStyle w:val="21"/>
        <w:tabs>
          <w:tab w:val="left" w:pos="5580"/>
        </w:tabs>
        <w:spacing w:line="440" w:lineRule="exact"/>
        <w:ind w:left="1157" w:leftChars="257" w:hanging="540"/>
        <w:rPr>
          <w:rFonts w:hint="eastAsia" w:asciiTheme="minorEastAsia" w:hAnsiTheme="minorEastAsia" w:eastAsiaTheme="minorEastAsia" w:cstheme="minorEastAsia"/>
          <w:bCs/>
          <w:color w:val="auto"/>
          <w:sz w:val="24"/>
          <w:szCs w:val="24"/>
          <w:highlight w:val="none"/>
        </w:rPr>
      </w:pPr>
    </w:p>
    <w:p w14:paraId="55B023D0">
      <w:pPr>
        <w:pStyle w:val="21"/>
        <w:tabs>
          <w:tab w:val="left" w:pos="5580"/>
        </w:tabs>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、此表中，总</w:t>
      </w:r>
      <w:r>
        <w:rPr>
          <w:rFonts w:hint="eastAsia" w:asciiTheme="minorEastAsia" w:hAnsiTheme="minorEastAsia" w:eastAsiaTheme="minorEastAsia" w:cstheme="minorEastAsia"/>
          <w:color w:val="auto"/>
          <w:sz w:val="24"/>
          <w:szCs w:val="24"/>
          <w:highlight w:val="none"/>
          <w:lang w:val="en-US" w:eastAsia="zh-CN"/>
        </w:rPr>
        <w:t>报</w:t>
      </w:r>
      <w:r>
        <w:rPr>
          <w:rFonts w:hint="eastAsia" w:asciiTheme="minorEastAsia" w:hAnsiTheme="minorEastAsia" w:eastAsiaTheme="minorEastAsia" w:cstheme="minorEastAsia"/>
          <w:color w:val="auto"/>
          <w:sz w:val="24"/>
          <w:szCs w:val="24"/>
          <w:highlight w:val="none"/>
        </w:rPr>
        <w:t>价应和</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分项报价表的总价相一致。</w:t>
      </w:r>
    </w:p>
    <w:p w14:paraId="1FAB7797">
      <w:pPr>
        <w:pStyle w:val="21"/>
        <w:numPr>
          <w:ilvl w:val="0"/>
          <w:numId w:val="2"/>
        </w:numPr>
        <w:tabs>
          <w:tab w:val="left" w:pos="5580"/>
        </w:tabs>
        <w:spacing w:line="240" w:lineRule="atLeas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此报价中包含一切与本项目相关的费用。</w:t>
      </w:r>
    </w:p>
    <w:p w14:paraId="18626157">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1"/>
          <w:szCs w:val="21"/>
          <w:highlight w:val="none"/>
          <w:lang w:val="en-US" w:eastAsia="zh-CN"/>
        </w:rPr>
      </w:pPr>
      <w:bookmarkStart w:id="554" w:name="_Toc608"/>
      <w:bookmarkStart w:id="555" w:name="_Toc515647805"/>
      <w:bookmarkStart w:id="556" w:name="_Toc29899"/>
      <w:bookmarkStart w:id="557" w:name="_Toc17577"/>
    </w:p>
    <w:p w14:paraId="42D36A48">
      <w:pPr>
        <w:rPr>
          <w:rFonts w:hint="eastAsia" w:asciiTheme="minorEastAsia" w:hAnsiTheme="minorEastAsia" w:eastAsiaTheme="minorEastAsia" w:cstheme="minorEastAsia"/>
          <w:b/>
          <w:bCs/>
          <w:color w:val="auto"/>
          <w:sz w:val="21"/>
          <w:szCs w:val="21"/>
          <w:highlight w:val="none"/>
        </w:rPr>
      </w:pPr>
      <w:bookmarkStart w:id="558" w:name="_Toc1156"/>
      <w:r>
        <w:rPr>
          <w:rFonts w:hint="eastAsia" w:asciiTheme="minorEastAsia" w:hAnsiTheme="minorEastAsia" w:eastAsiaTheme="minorEastAsia" w:cstheme="minorEastAsia"/>
          <w:b/>
          <w:bCs/>
          <w:color w:val="auto"/>
          <w:sz w:val="21"/>
          <w:szCs w:val="21"/>
          <w:highlight w:val="none"/>
        </w:rPr>
        <w:br w:type="page"/>
      </w:r>
    </w:p>
    <w:bookmarkEnd w:id="558"/>
    <w:p w14:paraId="6ECA5015">
      <w:pPr>
        <w:pStyle w:val="33"/>
        <w:numPr>
          <w:ilvl w:val="0"/>
          <w:numId w:val="0"/>
        </w:numPr>
        <w:textAlignment w:val="baseline"/>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2、具有有效的营业执照；</w:t>
      </w:r>
    </w:p>
    <w:p w14:paraId="62D00AD0">
      <w:pPr>
        <w:pStyle w:val="33"/>
        <w:numPr>
          <w:ilvl w:val="0"/>
          <w:numId w:val="0"/>
        </w:numPr>
        <w:textAlignment w:val="baseline"/>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说明：具有有效的营业执照正本或副本，须上传扫描件并加盖本单位公章。</w:t>
      </w:r>
    </w:p>
    <w:p w14:paraId="0AEB5DAF">
      <w:pPr>
        <w:pStyle w:val="33"/>
        <w:textAlignment w:val="baseline"/>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3</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法人本人投标需提供法人身份证明，委托代理人投标需提供法人授权委托书和身份证明；</w:t>
      </w:r>
    </w:p>
    <w:p w14:paraId="6029141F">
      <w:pPr>
        <w:snapToGrid w:val="0"/>
        <w:spacing w:before="312" w:after="312" w:line="400" w:lineRule="exact"/>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3.1</w:t>
      </w:r>
      <w:r>
        <w:rPr>
          <w:rFonts w:hint="eastAsia" w:asciiTheme="minorEastAsia" w:hAnsiTheme="minorEastAsia" w:eastAsiaTheme="minorEastAsia" w:cstheme="minorEastAsia"/>
          <w:b/>
          <w:sz w:val="24"/>
        </w:rPr>
        <w:t>法定代表人身份证明</w:t>
      </w:r>
    </w:p>
    <w:p w14:paraId="16063A8F">
      <w:pPr>
        <w:snapToGrid w:val="0"/>
        <w:spacing w:line="400" w:lineRule="exac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同志，现任我单位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职务，为法定代表人，特此证明。</w:t>
      </w:r>
    </w:p>
    <w:p w14:paraId="2209544B">
      <w:pPr>
        <w:snapToGrid w:val="0"/>
        <w:spacing w:line="400" w:lineRule="exact"/>
        <w:ind w:firstLine="240" w:firstLineChars="1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签发日期：                  单位</w:t>
      </w:r>
      <w:r>
        <w:rPr>
          <w:rFonts w:hint="eastAsia" w:asciiTheme="minorEastAsia" w:hAnsiTheme="minorEastAsia" w:eastAsiaTheme="minorEastAsia" w:cstheme="minorEastAsia"/>
          <w:color w:val="auto"/>
          <w:sz w:val="24"/>
          <w:szCs w:val="24"/>
          <w:highlight w:val="none"/>
          <w:lang w:val="en-US" w:eastAsia="zh-CN"/>
        </w:rPr>
        <w:t>（盖章）</w:t>
      </w:r>
      <w:r>
        <w:rPr>
          <w:rFonts w:hint="eastAsia" w:asciiTheme="minorEastAsia" w:hAnsiTheme="minorEastAsia" w:eastAsiaTheme="minorEastAsia" w:cstheme="minorEastAsia"/>
          <w:color w:val="auto"/>
          <w:sz w:val="24"/>
          <w:szCs w:val="24"/>
          <w:highlight w:val="none"/>
        </w:rPr>
        <w:t xml:space="preserve">：         </w:t>
      </w:r>
    </w:p>
    <w:p w14:paraId="5F14E597">
      <w:pPr>
        <w:snapToGrid w:val="0"/>
        <w:spacing w:line="400" w:lineRule="exact"/>
        <w:ind w:firstLine="240" w:firstLineChars="1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附：代表人性别：            年龄：           身份证号码：</w:t>
      </w:r>
    </w:p>
    <w:p w14:paraId="4C3F579C">
      <w:pPr>
        <w:snapToGrid w:val="0"/>
        <w:spacing w:line="400" w:lineRule="exact"/>
        <w:ind w:firstLine="240" w:firstLineChars="1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2A0568D6">
      <w:pPr>
        <w:snapToGrid w:val="0"/>
        <w:spacing w:line="400" w:lineRule="exact"/>
        <w:ind w:firstLine="240" w:firstLineChars="1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营业执照号码：              经济性质：</w:t>
      </w:r>
    </w:p>
    <w:p w14:paraId="2E550368">
      <w:pPr>
        <w:snapToGrid w:val="0"/>
        <w:spacing w:line="400" w:lineRule="exac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p w14:paraId="1D5525BC">
      <w:pPr>
        <w:snapToGrid w:val="0"/>
        <w:spacing w:line="400" w:lineRule="exact"/>
        <w:ind w:firstLine="240" w:firstLineChars="1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1、法定代表人为企业事业单位、国家机关、社会团体的主要行政负责人。</w:t>
      </w:r>
    </w:p>
    <w:p w14:paraId="1CB12226">
      <w:pPr>
        <w:snapToGrid w:val="0"/>
        <w:spacing w:line="400" w:lineRule="exac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2、内容必须填写真实、清楚、涂改无效，不得转让。</w:t>
      </w:r>
    </w:p>
    <w:p w14:paraId="09B3C05A">
      <w:pPr>
        <w:snapToGrid w:val="0"/>
        <w:spacing w:line="400" w:lineRule="exact"/>
        <w:textAlignment w:val="baseline"/>
        <w:rPr>
          <w:rFonts w:hint="eastAsia" w:asciiTheme="minorEastAsia" w:hAnsiTheme="minorEastAsia" w:eastAsiaTheme="minorEastAsia" w:cstheme="minorEastAsia"/>
          <w:color w:val="auto"/>
          <w:sz w:val="24"/>
          <w:szCs w:val="24"/>
          <w:highlight w:val="none"/>
        </w:rPr>
      </w:pPr>
    </w:p>
    <w:p w14:paraId="308C8B9C">
      <w:pPr>
        <w:snapToGrid w:val="0"/>
        <w:spacing w:line="400" w:lineRule="exac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mc:AlternateContent>
          <mc:Choice Requires="wps">
            <w:drawing>
              <wp:anchor distT="0" distB="0" distL="0" distR="0" simplePos="0" relativeHeight="251660288" behindDoc="0" locked="0" layoutInCell="1" allowOverlap="1">
                <wp:simplePos x="0" y="0"/>
                <wp:positionH relativeFrom="column">
                  <wp:posOffset>154305</wp:posOffset>
                </wp:positionH>
                <wp:positionV relativeFrom="paragraph">
                  <wp:posOffset>10795</wp:posOffset>
                </wp:positionV>
                <wp:extent cx="2114550" cy="1375410"/>
                <wp:effectExtent l="4445" t="4445" r="14605" b="10795"/>
                <wp:wrapNone/>
                <wp:docPr id="1026" name="流程图: 可选过程 14"/>
                <wp:cNvGraphicFramePr/>
                <a:graphic xmlns:a="http://schemas.openxmlformats.org/drawingml/2006/main">
                  <a:graphicData uri="http://schemas.microsoft.com/office/word/2010/wordprocessingShape">
                    <wps:wsp>
                      <wps:cNvSpPr/>
                      <wps:spPr>
                        <a:xfrm>
                          <a:off x="0" y="0"/>
                          <a:ext cx="2114550" cy="13754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AFAF95E">
                            <w:pPr>
                              <w:jc w:val="center"/>
                              <w:rPr>
                                <w:rFonts w:hAnsi="宋体"/>
                                <w:szCs w:val="21"/>
                              </w:rPr>
                            </w:pPr>
                          </w:p>
                          <w:p w14:paraId="6B0FDEE9">
                            <w:pPr>
                              <w:jc w:val="center"/>
                              <w:rPr>
                                <w:rFonts w:hint="eastAsia" w:hAnsi="宋体" w:cs="宋体"/>
                              </w:rPr>
                            </w:pPr>
                          </w:p>
                          <w:p w14:paraId="182807B2">
                            <w:pPr>
                              <w:snapToGrid w:val="0"/>
                              <w:spacing w:line="400" w:lineRule="exact"/>
                              <w:jc w:val="center"/>
                              <w:textAlignment w:val="baseline"/>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法定代表人身份证复印件</w:t>
                            </w:r>
                          </w:p>
                          <w:p w14:paraId="79F18A4B">
                            <w:pPr>
                              <w:snapToGrid w:val="0"/>
                              <w:spacing w:line="400" w:lineRule="exact"/>
                              <w:jc w:val="center"/>
                              <w:textAlignment w:val="baseline"/>
                              <w:rPr>
                                <w:rFonts w:hint="eastAsia" w:ascii="微软雅黑" w:hAnsi="微软雅黑" w:eastAsia="微软雅黑" w:cs="微软雅黑"/>
                                <w:color w:val="auto"/>
                                <w:sz w:val="24"/>
                                <w:lang w:eastAsia="zh-CN"/>
                              </w:rPr>
                            </w:pPr>
                            <w:r>
                              <w:rPr>
                                <w:rFonts w:hint="eastAsia" w:ascii="微软雅黑" w:hAnsi="微软雅黑" w:eastAsia="微软雅黑" w:cs="微软雅黑"/>
                                <w:color w:val="auto"/>
                                <w:sz w:val="24"/>
                                <w:lang w:eastAsia="zh-CN"/>
                              </w:rPr>
                              <w:t>（</w:t>
                            </w:r>
                            <w:r>
                              <w:rPr>
                                <w:rFonts w:hint="eastAsia" w:ascii="微软雅黑" w:hAnsi="微软雅黑" w:eastAsia="微软雅黑" w:cs="微软雅黑"/>
                                <w:color w:val="auto"/>
                                <w:sz w:val="24"/>
                                <w:lang w:val="en-US" w:eastAsia="zh-CN"/>
                              </w:rPr>
                              <w:t>正面</w:t>
                            </w:r>
                            <w:r>
                              <w:rPr>
                                <w:rFonts w:hint="eastAsia" w:ascii="微软雅黑" w:hAnsi="微软雅黑" w:eastAsia="微软雅黑" w:cs="微软雅黑"/>
                                <w:color w:val="auto"/>
                                <w:sz w:val="24"/>
                                <w:lang w:eastAsia="zh-CN"/>
                              </w:rPr>
                              <w:t>）</w:t>
                            </w:r>
                          </w:p>
                          <w:p w14:paraId="40890E53">
                            <w:pPr>
                              <w:jc w:val="both"/>
                              <w:rPr>
                                <w:szCs w:val="21"/>
                              </w:rPr>
                            </w:pPr>
                          </w:p>
                        </w:txbxContent>
                      </wps:txbx>
                      <wps:bodyPr upright="1"/>
                    </wps:wsp>
                  </a:graphicData>
                </a:graphic>
              </wp:anchor>
            </w:drawing>
          </mc:Choice>
          <mc:Fallback>
            <w:pict>
              <v:shape id="流程图: 可选过程 14" o:spid="_x0000_s1026" o:spt="176" type="#_x0000_t176" style="position:absolute;left:0pt;margin-left:12.15pt;margin-top:0.85pt;height:108.3pt;width:166.5pt;z-index:251660288;mso-width-relative:page;mso-height-relative:page;" fillcolor="#FFFFFF" filled="t" stroked="t" coordsize="21600,21600" o:gfxdata="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Z14n9UAAAAIAQAADwAAAAAAAAABACAAAAAiAAAAZHJzL2Rvd25yZXYueG1sUEsBAhQA&#10;FAAAAAgAh07iQOgyQHguAgAAVAQAAA4AAAAAAAAAAQAgAAAAJAEAAGRycy9lMm9Eb2MueG1sUEsF&#10;BgAAAAAGAAYAWQEAAMQFAAAAAA==&#10;">
                <v:fill on="t" focussize="0,0"/>
                <v:stroke color="#000000" joinstyle="miter"/>
                <v:imagedata o:title=""/>
                <o:lock v:ext="edit" aspectratio="f"/>
                <v:textbox>
                  <w:txbxContent>
                    <w:p w14:paraId="1AFAF95E">
                      <w:pPr>
                        <w:jc w:val="center"/>
                        <w:rPr>
                          <w:rFonts w:hAnsi="宋体"/>
                          <w:szCs w:val="21"/>
                        </w:rPr>
                      </w:pPr>
                    </w:p>
                    <w:p w14:paraId="6B0FDEE9">
                      <w:pPr>
                        <w:jc w:val="center"/>
                        <w:rPr>
                          <w:rFonts w:hint="eastAsia" w:hAnsi="宋体" w:cs="宋体"/>
                        </w:rPr>
                      </w:pPr>
                    </w:p>
                    <w:p w14:paraId="182807B2">
                      <w:pPr>
                        <w:snapToGrid w:val="0"/>
                        <w:spacing w:line="400" w:lineRule="exact"/>
                        <w:jc w:val="center"/>
                        <w:textAlignment w:val="baseline"/>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法定代表人身份证复印件</w:t>
                      </w:r>
                    </w:p>
                    <w:p w14:paraId="79F18A4B">
                      <w:pPr>
                        <w:snapToGrid w:val="0"/>
                        <w:spacing w:line="400" w:lineRule="exact"/>
                        <w:jc w:val="center"/>
                        <w:textAlignment w:val="baseline"/>
                        <w:rPr>
                          <w:rFonts w:hint="eastAsia" w:ascii="微软雅黑" w:hAnsi="微软雅黑" w:eastAsia="微软雅黑" w:cs="微软雅黑"/>
                          <w:color w:val="auto"/>
                          <w:sz w:val="24"/>
                          <w:lang w:eastAsia="zh-CN"/>
                        </w:rPr>
                      </w:pPr>
                      <w:r>
                        <w:rPr>
                          <w:rFonts w:hint="eastAsia" w:ascii="微软雅黑" w:hAnsi="微软雅黑" w:eastAsia="微软雅黑" w:cs="微软雅黑"/>
                          <w:color w:val="auto"/>
                          <w:sz w:val="24"/>
                          <w:lang w:eastAsia="zh-CN"/>
                        </w:rPr>
                        <w:t>（</w:t>
                      </w:r>
                      <w:r>
                        <w:rPr>
                          <w:rFonts w:hint="eastAsia" w:ascii="微软雅黑" w:hAnsi="微软雅黑" w:eastAsia="微软雅黑" w:cs="微软雅黑"/>
                          <w:color w:val="auto"/>
                          <w:sz w:val="24"/>
                          <w:lang w:val="en-US" w:eastAsia="zh-CN"/>
                        </w:rPr>
                        <w:t>正面</w:t>
                      </w:r>
                      <w:r>
                        <w:rPr>
                          <w:rFonts w:hint="eastAsia" w:ascii="微软雅黑" w:hAnsi="微软雅黑" w:eastAsia="微软雅黑" w:cs="微软雅黑"/>
                          <w:color w:val="auto"/>
                          <w:sz w:val="24"/>
                          <w:lang w:eastAsia="zh-CN"/>
                        </w:rPr>
                        <w:t>）</w:t>
                      </w:r>
                    </w:p>
                    <w:p w14:paraId="40890E53">
                      <w:pPr>
                        <w:jc w:val="both"/>
                        <w:rPr>
                          <w:szCs w:val="21"/>
                        </w:rPr>
                      </w:pPr>
                    </w:p>
                  </w:txbxContent>
                </v:textbox>
              </v:shape>
            </w:pict>
          </mc:Fallback>
        </mc:AlternateContent>
      </w:r>
      <w:r>
        <w:rPr>
          <w:rFonts w:hint="eastAsia" w:asciiTheme="minorEastAsia" w:hAnsiTheme="minorEastAsia" w:eastAsiaTheme="minorEastAsia" w:cstheme="minorEastAsia"/>
          <w:color w:val="auto"/>
          <w:sz w:val="24"/>
          <w:szCs w:val="24"/>
          <w:highlight w:val="none"/>
        </w:rPr>
        <mc:AlternateContent>
          <mc:Choice Requires="wps">
            <w:drawing>
              <wp:anchor distT="0" distB="0" distL="0" distR="0" simplePos="0" relativeHeight="251660288" behindDoc="0" locked="0" layoutInCell="1" allowOverlap="1">
                <wp:simplePos x="0" y="0"/>
                <wp:positionH relativeFrom="column">
                  <wp:posOffset>2918460</wp:posOffset>
                </wp:positionH>
                <wp:positionV relativeFrom="paragraph">
                  <wp:posOffset>28575</wp:posOffset>
                </wp:positionV>
                <wp:extent cx="2077085" cy="1385570"/>
                <wp:effectExtent l="7620" t="7620" r="10795" b="16510"/>
                <wp:wrapNone/>
                <wp:docPr id="1027" name="圆角矩形 18"/>
                <wp:cNvGraphicFramePr/>
                <a:graphic xmlns:a="http://schemas.openxmlformats.org/drawingml/2006/main">
                  <a:graphicData uri="http://schemas.microsoft.com/office/word/2010/wordprocessingShape">
                    <wps:wsp>
                      <wps:cNvSpPr/>
                      <wps:spPr>
                        <a:xfrm>
                          <a:off x="0" y="0"/>
                          <a:ext cx="2077084" cy="138557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2C7B6728">
                            <w:pPr>
                              <w:jc w:val="center"/>
                              <w:rPr>
                                <w:rFonts w:hAnsi="宋体"/>
                                <w:szCs w:val="21"/>
                              </w:rPr>
                            </w:pPr>
                            <w:r>
                              <w:rPr>
                                <w:rFonts w:hint="eastAsia" w:hAnsi="宋体"/>
                                <w:szCs w:val="21"/>
                              </w:rPr>
                              <w:t xml:space="preserve">  </w:t>
                            </w:r>
                          </w:p>
                          <w:p w14:paraId="25F8A512">
                            <w:pPr>
                              <w:jc w:val="center"/>
                              <w:rPr>
                                <w:rFonts w:hint="eastAsia" w:ascii="Times New Roman" w:hAnsi="宋体" w:eastAsia="宋体" w:cs="宋体"/>
                              </w:rPr>
                            </w:pPr>
                          </w:p>
                          <w:p w14:paraId="67A5AAC8">
                            <w:pPr>
                              <w:snapToGrid w:val="0"/>
                              <w:spacing w:line="400" w:lineRule="exact"/>
                              <w:jc w:val="center"/>
                              <w:textAlignment w:val="baseline"/>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法定代表人身份证复印件</w:t>
                            </w:r>
                          </w:p>
                          <w:p w14:paraId="45DBF6B4">
                            <w:pPr>
                              <w:snapToGrid w:val="0"/>
                              <w:spacing w:line="400" w:lineRule="exact"/>
                              <w:jc w:val="center"/>
                              <w:textAlignment w:val="baseline"/>
                              <w:rPr>
                                <w:rFonts w:hint="eastAsia" w:ascii="微软雅黑" w:hAnsi="微软雅黑" w:eastAsia="微软雅黑" w:cs="微软雅黑"/>
                                <w:color w:val="auto"/>
                                <w:sz w:val="24"/>
                                <w:lang w:eastAsia="zh-CN"/>
                              </w:rPr>
                            </w:pPr>
                            <w:r>
                              <w:rPr>
                                <w:rFonts w:hint="eastAsia" w:ascii="微软雅黑" w:hAnsi="微软雅黑" w:eastAsia="微软雅黑" w:cs="微软雅黑"/>
                                <w:color w:val="auto"/>
                                <w:sz w:val="24"/>
                                <w:lang w:eastAsia="zh-CN"/>
                              </w:rPr>
                              <w:t>（</w:t>
                            </w:r>
                            <w:r>
                              <w:rPr>
                                <w:rFonts w:hint="eastAsia" w:ascii="微软雅黑" w:hAnsi="微软雅黑" w:eastAsia="微软雅黑" w:cs="微软雅黑"/>
                                <w:color w:val="auto"/>
                                <w:sz w:val="24"/>
                                <w:lang w:val="en-US" w:eastAsia="zh-CN"/>
                              </w:rPr>
                              <w:t>反面</w:t>
                            </w:r>
                            <w:r>
                              <w:rPr>
                                <w:rFonts w:hint="eastAsia" w:ascii="微软雅黑" w:hAnsi="微软雅黑" w:eastAsia="微软雅黑" w:cs="微软雅黑"/>
                                <w:color w:val="auto"/>
                                <w:sz w:val="24"/>
                                <w:lang w:eastAsia="zh-CN"/>
                              </w:rPr>
                              <w:t>）</w:t>
                            </w:r>
                          </w:p>
                          <w:p w14:paraId="5CC1A923">
                            <w:pPr>
                              <w:jc w:val="center"/>
                              <w:rPr>
                                <w:rFonts w:hAnsi="宋体"/>
                                <w:szCs w:val="21"/>
                              </w:rPr>
                            </w:pPr>
                          </w:p>
                          <w:p w14:paraId="50327861">
                            <w:pPr>
                              <w:jc w:val="center"/>
                              <w:rPr>
                                <w:szCs w:val="21"/>
                              </w:rPr>
                            </w:pPr>
                          </w:p>
                          <w:p w14:paraId="3E2A1E2F"/>
                          <w:p w14:paraId="196AD0F0">
                            <w:pPr>
                              <w:pStyle w:val="8"/>
                            </w:pPr>
                          </w:p>
                          <w:p w14:paraId="1F115650">
                            <w:pPr>
                              <w:pStyle w:val="8"/>
                            </w:pPr>
                          </w:p>
                          <w:p w14:paraId="7B596C8E">
                            <w:pPr>
                              <w:pStyle w:val="8"/>
                            </w:pPr>
                          </w:p>
                          <w:p w14:paraId="412CD20D">
                            <w:pPr>
                              <w:pStyle w:val="8"/>
                            </w:pPr>
                          </w:p>
                        </w:txbxContent>
                      </wps:txbx>
                      <wps:bodyPr upright="1"/>
                    </wps:wsp>
                  </a:graphicData>
                </a:graphic>
              </wp:anchor>
            </w:drawing>
          </mc:Choice>
          <mc:Fallback>
            <w:pict>
              <v:roundrect id="圆角矩形 18" o:spid="_x0000_s1026" o:spt="2" style="position:absolute;left:0pt;margin-left:229.8pt;margin-top:2.25pt;height:109.1pt;width:163.55pt;z-index:251660288;mso-width-relative:page;mso-height-relative:page;" fillcolor="#FFFFFF" filled="t" stroked="t" coordsize="21600,21600" arcsize="0.166666666666667" o:gfxdata="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P3JNnaAAAACQEAAA8AAAAAAAAAAQAgAAAAIgAAAGRycy9kb3ducmV2LnhtbFBL&#10;AQIUABQAAAAIAIdO4kA2KviDLQIAAGYEAAAOAAAAAAAAAAEAIAAAACkBAABkcnMvZTJvRG9jLnht&#10;bFBLBQYAAAAABgAGAFkBAADIBQAAAAA=&#10;">
                <v:fill on="t" focussize="0,0"/>
                <v:stroke weight="1.25pt" color="#808080" joinstyle="round"/>
                <v:imagedata o:title=""/>
                <o:lock v:ext="edit" aspectratio="f"/>
                <v:textbox>
                  <w:txbxContent>
                    <w:p w14:paraId="2C7B6728">
                      <w:pPr>
                        <w:jc w:val="center"/>
                        <w:rPr>
                          <w:rFonts w:hAnsi="宋体"/>
                          <w:szCs w:val="21"/>
                        </w:rPr>
                      </w:pPr>
                      <w:r>
                        <w:rPr>
                          <w:rFonts w:hint="eastAsia" w:hAnsi="宋体"/>
                          <w:szCs w:val="21"/>
                        </w:rPr>
                        <w:t xml:space="preserve">  </w:t>
                      </w:r>
                    </w:p>
                    <w:p w14:paraId="25F8A512">
                      <w:pPr>
                        <w:jc w:val="center"/>
                        <w:rPr>
                          <w:rFonts w:hint="eastAsia" w:ascii="Times New Roman" w:hAnsi="宋体" w:eastAsia="宋体" w:cs="宋体"/>
                        </w:rPr>
                      </w:pPr>
                    </w:p>
                    <w:p w14:paraId="67A5AAC8">
                      <w:pPr>
                        <w:snapToGrid w:val="0"/>
                        <w:spacing w:line="400" w:lineRule="exact"/>
                        <w:jc w:val="center"/>
                        <w:textAlignment w:val="baseline"/>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法定代表人身份证复印件</w:t>
                      </w:r>
                    </w:p>
                    <w:p w14:paraId="45DBF6B4">
                      <w:pPr>
                        <w:snapToGrid w:val="0"/>
                        <w:spacing w:line="400" w:lineRule="exact"/>
                        <w:jc w:val="center"/>
                        <w:textAlignment w:val="baseline"/>
                        <w:rPr>
                          <w:rFonts w:hint="eastAsia" w:ascii="微软雅黑" w:hAnsi="微软雅黑" w:eastAsia="微软雅黑" w:cs="微软雅黑"/>
                          <w:color w:val="auto"/>
                          <w:sz w:val="24"/>
                          <w:lang w:eastAsia="zh-CN"/>
                        </w:rPr>
                      </w:pPr>
                      <w:r>
                        <w:rPr>
                          <w:rFonts w:hint="eastAsia" w:ascii="微软雅黑" w:hAnsi="微软雅黑" w:eastAsia="微软雅黑" w:cs="微软雅黑"/>
                          <w:color w:val="auto"/>
                          <w:sz w:val="24"/>
                          <w:lang w:eastAsia="zh-CN"/>
                        </w:rPr>
                        <w:t>（</w:t>
                      </w:r>
                      <w:r>
                        <w:rPr>
                          <w:rFonts w:hint="eastAsia" w:ascii="微软雅黑" w:hAnsi="微软雅黑" w:eastAsia="微软雅黑" w:cs="微软雅黑"/>
                          <w:color w:val="auto"/>
                          <w:sz w:val="24"/>
                          <w:lang w:val="en-US" w:eastAsia="zh-CN"/>
                        </w:rPr>
                        <w:t>反面</w:t>
                      </w:r>
                      <w:r>
                        <w:rPr>
                          <w:rFonts w:hint="eastAsia" w:ascii="微软雅黑" w:hAnsi="微软雅黑" w:eastAsia="微软雅黑" w:cs="微软雅黑"/>
                          <w:color w:val="auto"/>
                          <w:sz w:val="24"/>
                          <w:lang w:eastAsia="zh-CN"/>
                        </w:rPr>
                        <w:t>）</w:t>
                      </w:r>
                    </w:p>
                    <w:p w14:paraId="5CC1A923">
                      <w:pPr>
                        <w:jc w:val="center"/>
                        <w:rPr>
                          <w:rFonts w:hAnsi="宋体"/>
                          <w:szCs w:val="21"/>
                        </w:rPr>
                      </w:pPr>
                    </w:p>
                    <w:p w14:paraId="50327861">
                      <w:pPr>
                        <w:jc w:val="center"/>
                        <w:rPr>
                          <w:szCs w:val="21"/>
                        </w:rPr>
                      </w:pPr>
                    </w:p>
                    <w:p w14:paraId="3E2A1E2F"/>
                    <w:p w14:paraId="196AD0F0">
                      <w:pPr>
                        <w:pStyle w:val="8"/>
                      </w:pPr>
                    </w:p>
                    <w:p w14:paraId="1F115650">
                      <w:pPr>
                        <w:pStyle w:val="8"/>
                      </w:pPr>
                    </w:p>
                    <w:p w14:paraId="7B596C8E">
                      <w:pPr>
                        <w:pStyle w:val="8"/>
                      </w:pPr>
                    </w:p>
                    <w:p w14:paraId="412CD20D">
                      <w:pPr>
                        <w:pStyle w:val="8"/>
                      </w:pPr>
                    </w:p>
                  </w:txbxContent>
                </v:textbox>
              </v:roundrect>
            </w:pict>
          </mc:Fallback>
        </mc:AlternateContent>
      </w:r>
    </w:p>
    <w:p w14:paraId="56EBD18B">
      <w:pPr>
        <w:snapToGrid w:val="0"/>
        <w:spacing w:line="400" w:lineRule="exact"/>
        <w:textAlignment w:val="baseline"/>
        <w:rPr>
          <w:rFonts w:hint="eastAsia" w:asciiTheme="minorEastAsia" w:hAnsiTheme="minorEastAsia" w:eastAsiaTheme="minorEastAsia" w:cstheme="minorEastAsia"/>
          <w:color w:val="auto"/>
          <w:sz w:val="24"/>
          <w:szCs w:val="24"/>
          <w:highlight w:val="none"/>
        </w:rPr>
      </w:pPr>
    </w:p>
    <w:p w14:paraId="55ED9B15">
      <w:pPr>
        <w:snapToGrid w:val="0"/>
        <w:spacing w:line="400" w:lineRule="exact"/>
        <w:textAlignment w:val="baseline"/>
        <w:rPr>
          <w:rFonts w:hint="eastAsia" w:asciiTheme="minorEastAsia" w:hAnsiTheme="minorEastAsia" w:eastAsiaTheme="minorEastAsia" w:cstheme="minorEastAsia"/>
          <w:color w:val="auto"/>
          <w:sz w:val="24"/>
          <w:szCs w:val="24"/>
          <w:highlight w:val="none"/>
        </w:rPr>
      </w:pPr>
    </w:p>
    <w:p w14:paraId="6062E0D6">
      <w:pPr>
        <w:pStyle w:val="33"/>
        <w:spacing w:line="400" w:lineRule="exact"/>
        <w:rPr>
          <w:rFonts w:hint="eastAsia" w:asciiTheme="minorEastAsia" w:hAnsiTheme="minorEastAsia" w:eastAsiaTheme="minorEastAsia" w:cstheme="minorEastAsia"/>
          <w:color w:val="auto"/>
          <w:sz w:val="24"/>
          <w:szCs w:val="24"/>
          <w:highlight w:val="none"/>
        </w:rPr>
      </w:pPr>
    </w:p>
    <w:p w14:paraId="3F037F78">
      <w:pPr>
        <w:pStyle w:val="33"/>
        <w:spacing w:line="400" w:lineRule="exact"/>
        <w:rPr>
          <w:rFonts w:hint="eastAsia" w:asciiTheme="minorEastAsia" w:hAnsiTheme="minorEastAsia" w:eastAsiaTheme="minorEastAsia" w:cstheme="minorEastAsia"/>
          <w:color w:val="auto"/>
          <w:sz w:val="24"/>
          <w:szCs w:val="24"/>
          <w:highlight w:val="none"/>
        </w:rPr>
      </w:pPr>
    </w:p>
    <w:p w14:paraId="5BEDEEEE">
      <w:pPr>
        <w:snapToGrid w:val="0"/>
        <w:spacing w:line="400" w:lineRule="exact"/>
        <w:ind w:right="246"/>
        <w:textAlignment w:val="baseline"/>
        <w:rPr>
          <w:rFonts w:hint="eastAsia" w:asciiTheme="minorEastAsia" w:hAnsiTheme="minorEastAsia" w:eastAsiaTheme="minorEastAsia" w:cstheme="minorEastAsia"/>
          <w:color w:val="auto"/>
          <w:sz w:val="24"/>
          <w:szCs w:val="24"/>
          <w:highlight w:val="none"/>
        </w:rPr>
      </w:pPr>
    </w:p>
    <w:p w14:paraId="4A743092">
      <w:pPr>
        <w:snapToGrid w:val="0"/>
        <w:spacing w:line="400" w:lineRule="exact"/>
        <w:ind w:right="246" w:firstLine="784" w:firstLineChars="327"/>
        <w:textAlignment w:val="baseline"/>
        <w:rPr>
          <w:rFonts w:hint="eastAsia" w:asciiTheme="minorEastAsia" w:hAnsiTheme="minorEastAsia" w:eastAsiaTheme="minorEastAsia" w:cstheme="minorEastAsia"/>
          <w:color w:val="auto"/>
          <w:sz w:val="24"/>
          <w:szCs w:val="24"/>
          <w:highlight w:val="none"/>
        </w:rPr>
      </w:pPr>
    </w:p>
    <w:p w14:paraId="098ABA13">
      <w:pPr>
        <w:snapToGrid w:val="0"/>
        <w:spacing w:line="400" w:lineRule="exact"/>
        <w:ind w:right="246" w:firstLine="784" w:firstLineChars="327"/>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供应商（盖章）：                              </w:t>
      </w:r>
    </w:p>
    <w:p w14:paraId="310C5EB3">
      <w:pPr>
        <w:snapToGrid w:val="0"/>
        <w:spacing w:line="400" w:lineRule="exact"/>
        <w:ind w:firstLine="784" w:firstLineChars="327"/>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签字或盖章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w:t>
      </w:r>
    </w:p>
    <w:p w14:paraId="202FCBC5">
      <w:pPr>
        <w:snapToGrid w:val="0"/>
        <w:spacing w:line="400" w:lineRule="exact"/>
        <w:ind w:firstLine="784" w:firstLineChars="327"/>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highlight w:val="none"/>
        </w:rPr>
        <w:t xml:space="preserve">日期：                                       </w:t>
      </w:r>
    </w:p>
    <w:p w14:paraId="49F24B58">
      <w:pPr>
        <w:ind w:firstLine="480" w:firstLineChars="200"/>
        <w:rPr>
          <w:rFonts w:hint="eastAsia" w:asciiTheme="minorEastAsia" w:hAnsiTheme="minorEastAsia" w:eastAsiaTheme="minorEastAsia" w:cstheme="minorEastAsia"/>
          <w:b w:val="0"/>
          <w:bCs w:val="0"/>
          <w:color w:val="auto"/>
          <w:sz w:val="24"/>
          <w:szCs w:val="24"/>
          <w:highlight w:val="none"/>
        </w:rPr>
      </w:pPr>
    </w:p>
    <w:p w14:paraId="3D223D62">
      <w:pPr>
        <w:ind w:firstLine="480"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注：身份证印有国徽的一面是正面，人像的一面为反面。</w:t>
      </w:r>
    </w:p>
    <w:p w14:paraId="6043DEBC">
      <w:pPr>
        <w:snapToGrid w:val="0"/>
        <w:spacing w:line="400" w:lineRule="exact"/>
        <w:ind w:left="1157" w:leftChars="257" w:hanging="540"/>
        <w:jc w:val="center"/>
        <w:textAlignment w:val="baseline"/>
        <w:rPr>
          <w:rFonts w:hint="eastAsia" w:asciiTheme="minorEastAsia" w:hAnsiTheme="minorEastAsia" w:eastAsiaTheme="minorEastAsia" w:cstheme="minorEastAsia"/>
          <w:b/>
          <w:bCs/>
          <w:color w:val="auto"/>
          <w:sz w:val="24"/>
          <w:szCs w:val="24"/>
          <w:highlight w:val="none"/>
        </w:rPr>
      </w:pPr>
    </w:p>
    <w:p w14:paraId="38A71ACA">
      <w:pPr>
        <w:snapToGrid w:val="0"/>
        <w:spacing w:line="400" w:lineRule="exact"/>
        <w:ind w:left="1157" w:leftChars="257" w:hanging="540"/>
        <w:jc w:val="center"/>
        <w:textAlignment w:val="baseline"/>
        <w:rPr>
          <w:rFonts w:hint="eastAsia" w:asciiTheme="minorEastAsia" w:hAnsiTheme="minorEastAsia" w:eastAsiaTheme="minorEastAsia" w:cstheme="minorEastAsia"/>
          <w:b/>
          <w:bCs/>
          <w:color w:val="auto"/>
          <w:sz w:val="24"/>
          <w:szCs w:val="24"/>
          <w:highlight w:val="none"/>
        </w:rPr>
      </w:pPr>
    </w:p>
    <w:p w14:paraId="5DEC0BB3">
      <w:pPr>
        <w:snapToGrid w:val="0"/>
        <w:spacing w:line="400" w:lineRule="exact"/>
        <w:ind w:left="1157" w:leftChars="257" w:hanging="540"/>
        <w:jc w:val="center"/>
        <w:textAlignment w:val="baseline"/>
        <w:rPr>
          <w:rFonts w:hint="eastAsia" w:asciiTheme="minorEastAsia" w:hAnsiTheme="minorEastAsia" w:eastAsiaTheme="minorEastAsia" w:cstheme="minorEastAsia"/>
          <w:b/>
          <w:bCs/>
          <w:color w:val="auto"/>
          <w:sz w:val="24"/>
          <w:szCs w:val="24"/>
          <w:highlight w:val="none"/>
        </w:rPr>
      </w:pPr>
    </w:p>
    <w:p w14:paraId="4E16241C">
      <w:pPr>
        <w:snapToGrid w:val="0"/>
        <w:spacing w:line="400" w:lineRule="exact"/>
        <w:ind w:left="1157" w:leftChars="257" w:hanging="540"/>
        <w:jc w:val="center"/>
        <w:textAlignment w:val="baseline"/>
        <w:rPr>
          <w:rFonts w:hint="eastAsia" w:asciiTheme="minorEastAsia" w:hAnsiTheme="minorEastAsia" w:eastAsiaTheme="minorEastAsia" w:cstheme="minorEastAsia"/>
          <w:b/>
          <w:bCs/>
          <w:color w:val="auto"/>
          <w:sz w:val="24"/>
          <w:szCs w:val="24"/>
          <w:highlight w:val="none"/>
        </w:rPr>
      </w:pPr>
    </w:p>
    <w:p w14:paraId="617EB2A6">
      <w:pPr>
        <w:snapToGrid w:val="0"/>
        <w:spacing w:line="400" w:lineRule="exact"/>
        <w:ind w:left="1157" w:leftChars="257" w:hanging="540"/>
        <w:jc w:val="center"/>
        <w:textAlignment w:val="baseline"/>
        <w:rPr>
          <w:rFonts w:hint="eastAsia" w:asciiTheme="minorEastAsia" w:hAnsiTheme="minorEastAsia" w:eastAsiaTheme="minorEastAsia" w:cstheme="minorEastAsia"/>
          <w:b/>
          <w:bCs/>
          <w:color w:val="auto"/>
          <w:sz w:val="24"/>
          <w:szCs w:val="24"/>
          <w:highlight w:val="none"/>
        </w:rPr>
      </w:pPr>
    </w:p>
    <w:p w14:paraId="3B661B02">
      <w:pPr>
        <w:snapToGrid w:val="0"/>
        <w:spacing w:line="400" w:lineRule="exact"/>
        <w:ind w:left="1157" w:leftChars="257" w:hanging="540"/>
        <w:jc w:val="center"/>
        <w:textAlignment w:val="baseline"/>
        <w:rPr>
          <w:rFonts w:hint="eastAsia" w:asciiTheme="minorEastAsia" w:hAnsiTheme="minorEastAsia" w:eastAsiaTheme="minorEastAsia" w:cstheme="minorEastAsia"/>
          <w:b/>
          <w:bCs/>
          <w:color w:val="auto"/>
          <w:sz w:val="24"/>
          <w:szCs w:val="24"/>
          <w:highlight w:val="none"/>
        </w:rPr>
      </w:pPr>
    </w:p>
    <w:p w14:paraId="542288F0">
      <w:pPr>
        <w:snapToGrid w:val="0"/>
        <w:spacing w:line="400" w:lineRule="exact"/>
        <w:ind w:left="1157" w:leftChars="257" w:hanging="540"/>
        <w:jc w:val="center"/>
        <w:textAlignment w:val="baseline"/>
        <w:rPr>
          <w:rFonts w:hint="eastAsia" w:asciiTheme="minorEastAsia" w:hAnsiTheme="minorEastAsia" w:eastAsiaTheme="minorEastAsia" w:cstheme="minorEastAsia"/>
          <w:b/>
          <w:bCs/>
          <w:color w:val="auto"/>
          <w:sz w:val="24"/>
          <w:szCs w:val="24"/>
          <w:highlight w:val="none"/>
        </w:rPr>
      </w:pPr>
    </w:p>
    <w:p w14:paraId="428C08A8">
      <w:pPr>
        <w:snapToGrid w:val="0"/>
        <w:spacing w:line="400" w:lineRule="exact"/>
        <w:jc w:val="both"/>
        <w:textAlignment w:val="baseline"/>
        <w:rPr>
          <w:rFonts w:hint="eastAsia" w:asciiTheme="minorEastAsia" w:hAnsiTheme="minorEastAsia" w:eastAsiaTheme="minorEastAsia" w:cstheme="minorEastAsia"/>
          <w:b/>
          <w:bCs/>
          <w:color w:val="auto"/>
          <w:sz w:val="24"/>
          <w:szCs w:val="24"/>
          <w:highlight w:val="none"/>
        </w:rPr>
      </w:pPr>
    </w:p>
    <w:p w14:paraId="754237F3">
      <w:pPr>
        <w:snapToGrid w:val="0"/>
        <w:spacing w:line="400" w:lineRule="exact"/>
        <w:ind w:left="1157" w:leftChars="257" w:hanging="540"/>
        <w:jc w:val="center"/>
        <w:textAlignment w:val="baseline"/>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lang w:val="en-US" w:eastAsia="zh-CN"/>
        </w:rPr>
        <w:t>3.2</w:t>
      </w:r>
      <w:r>
        <w:rPr>
          <w:rFonts w:hint="eastAsia" w:asciiTheme="minorEastAsia" w:hAnsiTheme="minorEastAsia" w:eastAsiaTheme="minorEastAsia" w:cstheme="minorEastAsia"/>
          <w:b/>
          <w:bCs/>
          <w:color w:val="auto"/>
          <w:sz w:val="24"/>
          <w:szCs w:val="24"/>
          <w:highlight w:val="none"/>
        </w:rPr>
        <w:t>法定代表人授权委托书</w:t>
      </w:r>
    </w:p>
    <w:p w14:paraId="72432B23">
      <w:pPr>
        <w:pStyle w:val="21"/>
        <w:tabs>
          <w:tab w:val="left" w:pos="5580"/>
        </w:tabs>
        <w:snapToGrid w:val="0"/>
        <w:spacing w:line="400" w:lineRule="exact"/>
        <w:textAlignment w:val="baseline"/>
        <w:rPr>
          <w:rFonts w:hint="eastAsia" w:asciiTheme="minorEastAsia" w:hAnsiTheme="minorEastAsia" w:eastAsiaTheme="minorEastAsia" w:cstheme="minorEastAsia"/>
          <w:color w:val="auto"/>
          <w:sz w:val="24"/>
          <w:szCs w:val="24"/>
          <w:highlight w:val="none"/>
        </w:rPr>
      </w:pPr>
      <w:bookmarkStart w:id="559" w:name="_Toc7039"/>
      <w:bookmarkStart w:id="560" w:name="_Toc515647808"/>
      <w:bookmarkStart w:id="561" w:name="_Toc32520"/>
      <w:r>
        <w:rPr>
          <w:rFonts w:hint="eastAsia" w:asciiTheme="minorEastAsia" w:hAnsiTheme="minorEastAsia" w:eastAsiaTheme="minorEastAsia" w:cstheme="minorEastAsia"/>
          <w:color w:val="auto"/>
          <w:sz w:val="24"/>
          <w:szCs w:val="24"/>
          <w:highlight w:val="none"/>
        </w:rPr>
        <w:cr/>
      </w:r>
      <w:r>
        <w:rPr>
          <w:rFonts w:hint="eastAsia" w:asciiTheme="minorEastAsia" w:hAnsiTheme="minorEastAsia" w:eastAsiaTheme="minorEastAsia" w:cstheme="minorEastAsia"/>
          <w:color w:val="auto"/>
          <w:sz w:val="24"/>
          <w:szCs w:val="24"/>
          <w:highlight w:val="none"/>
        </w:rPr>
        <w:t xml:space="preserve">    本授权书声明：注册于（国家或地区的名称）的（供应商）的在下面签字的（法人代表姓名、职务）代表我单位授权（单位名称）的在下面签字的（被授权人的姓名、职务）为我单位的合法代理人，就（项目名称）的</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，以我单位名义处理一切与之有关的事务。　　</w:t>
      </w:r>
    </w:p>
    <w:p w14:paraId="32AA4CD6">
      <w:pPr>
        <w:pStyle w:val="21"/>
        <w:tabs>
          <w:tab w:val="left" w:pos="5580"/>
        </w:tabs>
        <w:snapToGrid w:val="0"/>
        <w:spacing w:line="400" w:lineRule="exact"/>
        <w:ind w:left="1157" w:leftChars="257" w:hanging="54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本授权书于           年     月     日签字生效</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特此声明。</w:t>
      </w:r>
    </w:p>
    <w:p w14:paraId="4D646157">
      <w:pPr>
        <w:pStyle w:val="21"/>
        <w:tabs>
          <w:tab w:val="left" w:pos="5580"/>
        </w:tabs>
        <w:snapToGrid w:val="0"/>
        <w:spacing w:line="400" w:lineRule="exact"/>
        <w:ind w:left="1157" w:leftChars="257" w:hanging="54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mc:AlternateContent>
          <mc:Choice Requires="wps">
            <w:drawing>
              <wp:anchor distT="0" distB="0" distL="0" distR="0" simplePos="0" relativeHeight="251661312" behindDoc="0" locked="0" layoutInCell="1" allowOverlap="1">
                <wp:simplePos x="0" y="0"/>
                <wp:positionH relativeFrom="column">
                  <wp:posOffset>3039110</wp:posOffset>
                </wp:positionH>
                <wp:positionV relativeFrom="paragraph">
                  <wp:posOffset>97155</wp:posOffset>
                </wp:positionV>
                <wp:extent cx="2478405" cy="1387475"/>
                <wp:effectExtent l="7620" t="7620" r="9525" b="14605"/>
                <wp:wrapNone/>
                <wp:docPr id="1028" name="圆角矩形 15"/>
                <wp:cNvGraphicFramePr/>
                <a:graphic xmlns:a="http://schemas.openxmlformats.org/drawingml/2006/main">
                  <a:graphicData uri="http://schemas.microsoft.com/office/word/2010/wordprocessingShape">
                    <wps:wsp>
                      <wps:cNvSpPr/>
                      <wps:spPr>
                        <a:xfrm>
                          <a:off x="0" y="0"/>
                          <a:ext cx="2478405" cy="138747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3EBEE40E">
                            <w:pPr>
                              <w:rPr>
                                <w:rFonts w:hAnsi="宋体"/>
                              </w:rPr>
                            </w:pPr>
                          </w:p>
                          <w:p w14:paraId="6F34548C">
                            <w:pPr>
                              <w:rPr>
                                <w:rFonts w:hint="eastAsia" w:ascii="微软雅黑" w:hAnsi="微软雅黑" w:eastAsia="微软雅黑" w:cs="微软雅黑"/>
                                <w:color w:val="auto"/>
                                <w:kern w:val="2"/>
                                <w:sz w:val="24"/>
                                <w:szCs w:val="24"/>
                                <w:lang w:val="en-US" w:eastAsia="zh-CN" w:bidi="ar-SA"/>
                              </w:rPr>
                            </w:pPr>
                          </w:p>
                          <w:p w14:paraId="5F58E14A">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授权委托人身份证复印件反面</w:t>
                            </w:r>
                          </w:p>
                          <w:p w14:paraId="3C77D3F5"/>
                        </w:txbxContent>
                      </wps:txbx>
                      <wps:bodyPr upright="1"/>
                    </wps:wsp>
                  </a:graphicData>
                </a:graphic>
              </wp:anchor>
            </w:drawing>
          </mc:Choice>
          <mc:Fallback>
            <w:pict>
              <v:roundrect id="圆角矩形 15" o:spid="_x0000_s1026" o:spt="2" style="position:absolute;left:0pt;margin-left:239.3pt;margin-top:7.65pt;height:109.25pt;width:195.15pt;z-index:251661312;mso-width-relative:page;mso-height-relative:page;" fillcolor="#FFFFFF" filled="t" stroked="t" coordsize="21600,21600" arcsize="0.166666666666667" o:gfxdata="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Bk62fbAAAACgEAAA8AAAAAAAAAAQAgAAAAIgAAAGRycy9kb3ducmV2LnhtbFBL&#10;AQIUABQAAAAIAIdO4kC/extPLAIAAGYEAAAOAAAAAAAAAAEAIAAAACoBAABkcnMvZTJvRG9jLnht&#10;bFBLBQYAAAAABgAGAFkBAADIBQAAAAA=&#10;">
                <v:fill on="t" focussize="0,0"/>
                <v:stroke weight="1.25pt" color="#808080" joinstyle="round"/>
                <v:imagedata o:title=""/>
                <o:lock v:ext="edit" aspectratio="f"/>
                <v:textbox>
                  <w:txbxContent>
                    <w:p w14:paraId="3EBEE40E">
                      <w:pPr>
                        <w:rPr>
                          <w:rFonts w:hAnsi="宋体"/>
                        </w:rPr>
                      </w:pPr>
                    </w:p>
                    <w:p w14:paraId="6F34548C">
                      <w:pPr>
                        <w:rPr>
                          <w:rFonts w:hint="eastAsia" w:ascii="微软雅黑" w:hAnsi="微软雅黑" w:eastAsia="微软雅黑" w:cs="微软雅黑"/>
                          <w:color w:val="auto"/>
                          <w:kern w:val="2"/>
                          <w:sz w:val="24"/>
                          <w:szCs w:val="24"/>
                          <w:lang w:val="en-US" w:eastAsia="zh-CN" w:bidi="ar-SA"/>
                        </w:rPr>
                      </w:pPr>
                    </w:p>
                    <w:p w14:paraId="5F58E14A">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授权委托人身份证复印件反面</w:t>
                      </w:r>
                    </w:p>
                    <w:p w14:paraId="3C77D3F5"/>
                  </w:txbxContent>
                </v:textbox>
              </v:roundrect>
            </w:pict>
          </mc:Fallback>
        </mc:AlternateContent>
      </w:r>
      <w:r>
        <w:rPr>
          <w:rFonts w:hint="eastAsia" w:asciiTheme="minorEastAsia" w:hAnsiTheme="minorEastAsia" w:eastAsiaTheme="minorEastAsia" w:cstheme="minorEastAsia"/>
          <w:color w:val="auto"/>
          <w:sz w:val="24"/>
          <w:szCs w:val="24"/>
          <w:highlight w:val="none"/>
        </w:rPr>
        <mc:AlternateContent>
          <mc:Choice Requires="wps">
            <w:drawing>
              <wp:anchor distT="0" distB="0" distL="0" distR="0" simplePos="0" relativeHeight="251661312" behindDoc="0" locked="0" layoutInCell="1" allowOverlap="1">
                <wp:simplePos x="0" y="0"/>
                <wp:positionH relativeFrom="column">
                  <wp:posOffset>20955</wp:posOffset>
                </wp:positionH>
                <wp:positionV relativeFrom="paragraph">
                  <wp:posOffset>135890</wp:posOffset>
                </wp:positionV>
                <wp:extent cx="2507615" cy="1405890"/>
                <wp:effectExtent l="4445" t="4445" r="21590" b="18415"/>
                <wp:wrapNone/>
                <wp:docPr id="1029" name="流程图: 可选过程 19"/>
                <wp:cNvGraphicFramePr/>
                <a:graphic xmlns:a="http://schemas.openxmlformats.org/drawingml/2006/main">
                  <a:graphicData uri="http://schemas.microsoft.com/office/word/2010/wordprocessingShape">
                    <wps:wsp>
                      <wps:cNvSpPr/>
                      <wps:spPr>
                        <a:xfrm>
                          <a:off x="0" y="0"/>
                          <a:ext cx="2507615" cy="14058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D2039A0">
                            <w:pPr>
                              <w:jc w:val="center"/>
                              <w:rPr>
                                <w:rFonts w:hAnsi="宋体"/>
                              </w:rPr>
                            </w:pPr>
                          </w:p>
                          <w:p w14:paraId="2CCAF0C6">
                            <w:pPr>
                              <w:jc w:val="both"/>
                              <w:rPr>
                                <w:rFonts w:hint="eastAsia" w:ascii="微软雅黑" w:hAnsi="微软雅黑" w:eastAsia="微软雅黑" w:cs="微软雅黑"/>
                                <w:color w:val="auto"/>
                                <w:kern w:val="2"/>
                                <w:sz w:val="24"/>
                                <w:szCs w:val="24"/>
                                <w:lang w:val="en-US" w:eastAsia="zh-CN" w:bidi="ar-SA"/>
                              </w:rPr>
                            </w:pPr>
                          </w:p>
                          <w:p w14:paraId="7C814518">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授权委托人身份证复印件正面</w:t>
                            </w:r>
                          </w:p>
                        </w:txbxContent>
                      </wps:txbx>
                      <wps:bodyPr upright="1"/>
                    </wps:wsp>
                  </a:graphicData>
                </a:graphic>
              </wp:anchor>
            </w:drawing>
          </mc:Choice>
          <mc:Fallback>
            <w:pict>
              <v:shape id="流程图: 可选过程 19" o:spid="_x0000_s1026" o:spt="176" type="#_x0000_t176" style="position:absolute;left:0pt;margin-left:1.65pt;margin-top:10.7pt;height:110.7pt;width:197.45pt;z-index:251661312;mso-width-relative:page;mso-height-relative:page;" fillcolor="#FFFFFF" filled="t" stroked="t" coordsize="21600,21600" o:gfxdata="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OS6tt1wAAAAgBAAAPAAAAAAAAAAEAIAAAACIAAABkcnMvZG93bnJldi54bWxQSwEC&#10;FAAUAAAACACHTuJAbjjyqS4CAABUBAAADgAAAAAAAAABACAAAAAmAQAAZHJzL2Uyb0RvYy54bWxQ&#10;SwUGAAAAAAYABgBZAQAAxgUAAAAA&#10;">
                <v:fill on="t" focussize="0,0"/>
                <v:stroke color="#000000" joinstyle="miter"/>
                <v:imagedata o:title=""/>
                <o:lock v:ext="edit" aspectratio="f"/>
                <v:textbox>
                  <w:txbxContent>
                    <w:p w14:paraId="7D2039A0">
                      <w:pPr>
                        <w:jc w:val="center"/>
                        <w:rPr>
                          <w:rFonts w:hAnsi="宋体"/>
                        </w:rPr>
                      </w:pPr>
                    </w:p>
                    <w:p w14:paraId="2CCAF0C6">
                      <w:pPr>
                        <w:jc w:val="both"/>
                        <w:rPr>
                          <w:rFonts w:hint="eastAsia" w:ascii="微软雅黑" w:hAnsi="微软雅黑" w:eastAsia="微软雅黑" w:cs="微软雅黑"/>
                          <w:color w:val="auto"/>
                          <w:kern w:val="2"/>
                          <w:sz w:val="24"/>
                          <w:szCs w:val="24"/>
                          <w:lang w:val="en-US" w:eastAsia="zh-CN" w:bidi="ar-SA"/>
                        </w:rPr>
                      </w:pPr>
                    </w:p>
                    <w:p w14:paraId="7C814518">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授权委托人身份证复印件正面</w:t>
                      </w:r>
                    </w:p>
                  </w:txbxContent>
                </v:textbox>
              </v:shape>
            </w:pict>
          </mc:Fallback>
        </mc:AlternateContent>
      </w:r>
    </w:p>
    <w:p w14:paraId="537F78E5">
      <w:pPr>
        <w:pStyle w:val="21"/>
        <w:tabs>
          <w:tab w:val="left" w:pos="5580"/>
        </w:tabs>
        <w:snapToGrid w:val="0"/>
        <w:spacing w:line="400" w:lineRule="exact"/>
        <w:ind w:left="1157" w:leftChars="257" w:hanging="540"/>
        <w:textAlignment w:val="baseline"/>
        <w:rPr>
          <w:rFonts w:hint="eastAsia" w:asciiTheme="minorEastAsia" w:hAnsiTheme="minorEastAsia" w:eastAsiaTheme="minorEastAsia" w:cstheme="minorEastAsia"/>
          <w:color w:val="auto"/>
          <w:sz w:val="24"/>
          <w:szCs w:val="24"/>
          <w:highlight w:val="none"/>
        </w:rPr>
      </w:pPr>
    </w:p>
    <w:p w14:paraId="16D72DBB">
      <w:pPr>
        <w:pStyle w:val="21"/>
        <w:tabs>
          <w:tab w:val="left" w:pos="5580"/>
        </w:tabs>
        <w:snapToGrid w:val="0"/>
        <w:spacing w:line="400" w:lineRule="exact"/>
        <w:textAlignment w:val="baseline"/>
        <w:rPr>
          <w:rFonts w:hint="eastAsia" w:asciiTheme="minorEastAsia" w:hAnsiTheme="minorEastAsia" w:eastAsiaTheme="minorEastAsia" w:cstheme="minorEastAsia"/>
          <w:color w:val="auto"/>
          <w:sz w:val="24"/>
          <w:szCs w:val="24"/>
          <w:highlight w:val="none"/>
        </w:rPr>
      </w:pPr>
    </w:p>
    <w:p w14:paraId="5F16804A">
      <w:pPr>
        <w:pStyle w:val="21"/>
        <w:tabs>
          <w:tab w:val="left" w:pos="5580"/>
        </w:tabs>
        <w:snapToGrid w:val="0"/>
        <w:spacing w:line="400" w:lineRule="exact"/>
        <w:textAlignment w:val="baseline"/>
        <w:rPr>
          <w:rFonts w:hint="eastAsia" w:asciiTheme="minorEastAsia" w:hAnsiTheme="minorEastAsia" w:eastAsiaTheme="minorEastAsia" w:cstheme="minorEastAsia"/>
          <w:color w:val="auto"/>
          <w:sz w:val="24"/>
          <w:szCs w:val="24"/>
          <w:highlight w:val="none"/>
        </w:rPr>
      </w:pPr>
    </w:p>
    <w:p w14:paraId="28EF386D">
      <w:pPr>
        <w:pStyle w:val="21"/>
        <w:tabs>
          <w:tab w:val="left" w:pos="5580"/>
        </w:tabs>
        <w:snapToGrid w:val="0"/>
        <w:spacing w:line="400" w:lineRule="exact"/>
        <w:textAlignment w:val="baseline"/>
        <w:rPr>
          <w:rFonts w:hint="eastAsia" w:asciiTheme="minorEastAsia" w:hAnsiTheme="minorEastAsia" w:eastAsiaTheme="minorEastAsia" w:cstheme="minorEastAsia"/>
          <w:color w:val="auto"/>
          <w:sz w:val="24"/>
          <w:szCs w:val="24"/>
          <w:highlight w:val="none"/>
        </w:rPr>
      </w:pPr>
    </w:p>
    <w:p w14:paraId="0624E77D">
      <w:pPr>
        <w:pStyle w:val="21"/>
        <w:tabs>
          <w:tab w:val="left" w:pos="5580"/>
        </w:tabs>
        <w:snapToGrid w:val="0"/>
        <w:spacing w:line="400" w:lineRule="exact"/>
        <w:textAlignment w:val="baseline"/>
        <w:rPr>
          <w:rFonts w:hint="eastAsia" w:asciiTheme="minorEastAsia" w:hAnsiTheme="minorEastAsia" w:eastAsiaTheme="minorEastAsia" w:cstheme="minorEastAsia"/>
          <w:color w:val="auto"/>
          <w:sz w:val="24"/>
          <w:szCs w:val="24"/>
          <w:highlight w:val="none"/>
        </w:rPr>
      </w:pPr>
    </w:p>
    <w:p w14:paraId="5666403D">
      <w:pPr>
        <w:pStyle w:val="21"/>
        <w:tabs>
          <w:tab w:val="left" w:pos="5580"/>
        </w:tabs>
        <w:snapToGrid w:val="0"/>
        <w:spacing w:line="400" w:lineRule="exact"/>
        <w:textAlignment w:val="baseline"/>
        <w:rPr>
          <w:rFonts w:hint="eastAsia" w:asciiTheme="minorEastAsia" w:hAnsiTheme="minorEastAsia" w:eastAsiaTheme="minorEastAsia" w:cstheme="minorEastAsia"/>
          <w:color w:val="auto"/>
          <w:sz w:val="24"/>
          <w:szCs w:val="24"/>
          <w:highlight w:val="none"/>
        </w:rPr>
      </w:pPr>
    </w:p>
    <w:p w14:paraId="12114D2F">
      <w:pPr>
        <w:pStyle w:val="21"/>
        <w:tabs>
          <w:tab w:val="left" w:pos="5580"/>
        </w:tabs>
        <w:snapToGrid w:val="0"/>
        <w:spacing w:line="400" w:lineRule="exac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mc:AlternateContent>
          <mc:Choice Requires="wps">
            <w:drawing>
              <wp:anchor distT="0" distB="0" distL="0" distR="0" simplePos="0" relativeHeight="251661312" behindDoc="0" locked="0" layoutInCell="1" allowOverlap="1">
                <wp:simplePos x="0" y="0"/>
                <wp:positionH relativeFrom="column">
                  <wp:posOffset>29845</wp:posOffset>
                </wp:positionH>
                <wp:positionV relativeFrom="paragraph">
                  <wp:posOffset>235585</wp:posOffset>
                </wp:positionV>
                <wp:extent cx="2555240" cy="1409065"/>
                <wp:effectExtent l="7620" t="7620" r="8890" b="12065"/>
                <wp:wrapNone/>
                <wp:docPr id="1030" name="圆角矩形 16"/>
                <wp:cNvGraphicFramePr/>
                <a:graphic xmlns:a="http://schemas.openxmlformats.org/drawingml/2006/main">
                  <a:graphicData uri="http://schemas.microsoft.com/office/word/2010/wordprocessingShape">
                    <wps:wsp>
                      <wps:cNvSpPr/>
                      <wps:spPr>
                        <a:xfrm>
                          <a:off x="0" y="0"/>
                          <a:ext cx="2555240" cy="140906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43D718B6">
                            <w:pPr>
                              <w:jc w:val="center"/>
                              <w:rPr>
                                <w:rFonts w:hAnsi="宋体"/>
                              </w:rPr>
                            </w:pPr>
                          </w:p>
                          <w:p w14:paraId="02F6517C">
                            <w:pPr>
                              <w:jc w:val="center"/>
                              <w:rPr>
                                <w:rFonts w:hAnsi="宋体"/>
                              </w:rPr>
                            </w:pPr>
                          </w:p>
                          <w:p w14:paraId="2BF79634">
                            <w:pPr>
                              <w:jc w:val="center"/>
                              <w:rPr>
                                <w:rFonts w:hAnsi="宋体"/>
                              </w:rPr>
                            </w:pPr>
                          </w:p>
                          <w:p w14:paraId="4657C978">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法人身份证复印件正面</w:t>
                            </w:r>
                          </w:p>
                          <w:p w14:paraId="5DE3D29D"/>
                        </w:txbxContent>
                      </wps:txbx>
                      <wps:bodyPr upright="1"/>
                    </wps:wsp>
                  </a:graphicData>
                </a:graphic>
              </wp:anchor>
            </w:drawing>
          </mc:Choice>
          <mc:Fallback>
            <w:pict>
              <v:roundrect id="圆角矩形 16" o:spid="_x0000_s1026" o:spt="2" style="position:absolute;left:0pt;margin-left:2.35pt;margin-top:18.55pt;height:110.95pt;width:201.2pt;z-index:251661312;mso-width-relative:page;mso-height-relative:page;" fillcolor="#FFFFFF" filled="t" stroked="t" coordsize="21600,21600" arcsize="0.166666666666667" o:gfxdata="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1cJUzZAAAACAEAAA8AAAAAAAAAAQAgAAAAIgAAAGRycy9kb3ducmV2LnhtbFBLAQIU&#10;ABQAAAAIAIdO4kAwn2ooKwIAAGYEAAAOAAAAAAAAAAEAIAAAACgBAABkcnMvZTJvRG9jLnhtbFBL&#10;BQYAAAAABgAGAFkBAADFBQAAAAA=&#10;">
                <v:fill on="t" focussize="0,0"/>
                <v:stroke weight="1.25pt" color="#808080" joinstyle="round"/>
                <v:imagedata o:title=""/>
                <o:lock v:ext="edit" aspectratio="f"/>
                <v:textbox>
                  <w:txbxContent>
                    <w:p w14:paraId="43D718B6">
                      <w:pPr>
                        <w:jc w:val="center"/>
                        <w:rPr>
                          <w:rFonts w:hAnsi="宋体"/>
                        </w:rPr>
                      </w:pPr>
                    </w:p>
                    <w:p w14:paraId="02F6517C">
                      <w:pPr>
                        <w:jc w:val="center"/>
                        <w:rPr>
                          <w:rFonts w:hAnsi="宋体"/>
                        </w:rPr>
                      </w:pPr>
                    </w:p>
                    <w:p w14:paraId="2BF79634">
                      <w:pPr>
                        <w:jc w:val="center"/>
                        <w:rPr>
                          <w:rFonts w:hAnsi="宋体"/>
                        </w:rPr>
                      </w:pPr>
                    </w:p>
                    <w:p w14:paraId="4657C978">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法人身份证复印件正面</w:t>
                      </w:r>
                    </w:p>
                    <w:p w14:paraId="5DE3D29D"/>
                  </w:txbxContent>
                </v:textbox>
              </v:roundrect>
            </w:pict>
          </mc:Fallback>
        </mc:AlternateContent>
      </w:r>
    </w:p>
    <w:p w14:paraId="3129F15B">
      <w:pPr>
        <w:pStyle w:val="21"/>
        <w:tabs>
          <w:tab w:val="left" w:pos="5580"/>
        </w:tabs>
        <w:snapToGrid w:val="0"/>
        <w:spacing w:line="400" w:lineRule="exac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mc:AlternateContent>
          <mc:Choice Requires="wps">
            <w:drawing>
              <wp:anchor distT="0" distB="0" distL="0" distR="0" simplePos="0" relativeHeight="251661312" behindDoc="0" locked="0" layoutInCell="1" allowOverlap="1">
                <wp:simplePos x="0" y="0"/>
                <wp:positionH relativeFrom="column">
                  <wp:posOffset>3028315</wp:posOffset>
                </wp:positionH>
                <wp:positionV relativeFrom="paragraph">
                  <wp:posOffset>140335</wp:posOffset>
                </wp:positionV>
                <wp:extent cx="2535555" cy="1252220"/>
                <wp:effectExtent l="7620" t="7620" r="9525" b="16510"/>
                <wp:wrapNone/>
                <wp:docPr id="1031" name="圆角矩形 13"/>
                <wp:cNvGraphicFramePr/>
                <a:graphic xmlns:a="http://schemas.openxmlformats.org/drawingml/2006/main">
                  <a:graphicData uri="http://schemas.microsoft.com/office/word/2010/wordprocessingShape">
                    <wps:wsp>
                      <wps:cNvSpPr/>
                      <wps:spPr>
                        <a:xfrm>
                          <a:off x="0" y="0"/>
                          <a:ext cx="2535554" cy="125222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76B34DF3">
                            <w:pPr>
                              <w:jc w:val="center"/>
                              <w:rPr>
                                <w:rFonts w:hAnsi="宋体"/>
                              </w:rPr>
                            </w:pPr>
                            <w:r>
                              <w:rPr>
                                <w:rFonts w:hint="eastAsia" w:hAnsi="宋体"/>
                              </w:rPr>
                              <w:t xml:space="preserve">  </w:t>
                            </w:r>
                          </w:p>
                          <w:p w14:paraId="40C562B3">
                            <w:pPr>
                              <w:jc w:val="center"/>
                              <w:rPr>
                                <w:rFonts w:hAnsi="宋体"/>
                              </w:rPr>
                            </w:pPr>
                          </w:p>
                          <w:p w14:paraId="224AED82">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法人身份证复印件反面</w:t>
                            </w:r>
                          </w:p>
                          <w:p w14:paraId="34D7CF51"/>
                        </w:txbxContent>
                      </wps:txbx>
                      <wps:bodyPr upright="1"/>
                    </wps:wsp>
                  </a:graphicData>
                </a:graphic>
              </wp:anchor>
            </w:drawing>
          </mc:Choice>
          <mc:Fallback>
            <w:pict>
              <v:roundrect id="圆角矩形 13" o:spid="_x0000_s1026" o:spt="2" style="position:absolute;left:0pt;margin-left:238.45pt;margin-top:11.05pt;height:98.6pt;width:199.65pt;z-index:251661312;mso-width-relative:page;mso-height-relative:page;" fillcolor="#FFFFFF" filled="t" stroked="t" coordsize="21600,21600" arcsize="0.166666666666667" o:gfxdata="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bhb8+2wAAAAoBAAAPAAAAAAAAAAEAIAAAACIAAABkcnMvZG93bnJldi54bWxQ&#10;SwECFAAUAAAACACHTuJA1/Zebi0CAABmBAAADgAAAAAAAAABACAAAAAqAQAAZHJzL2Uyb0RvYy54&#10;bWxQSwUGAAAAAAYABgBZAQAAyQUAAAAA&#10;">
                <v:fill on="t" focussize="0,0"/>
                <v:stroke weight="1.25pt" color="#808080" joinstyle="round"/>
                <v:imagedata o:title=""/>
                <o:lock v:ext="edit" aspectratio="f"/>
                <v:textbox>
                  <w:txbxContent>
                    <w:p w14:paraId="76B34DF3">
                      <w:pPr>
                        <w:jc w:val="center"/>
                        <w:rPr>
                          <w:rFonts w:hAnsi="宋体"/>
                        </w:rPr>
                      </w:pPr>
                      <w:r>
                        <w:rPr>
                          <w:rFonts w:hint="eastAsia" w:hAnsi="宋体"/>
                        </w:rPr>
                        <w:t xml:space="preserve">  </w:t>
                      </w:r>
                    </w:p>
                    <w:p w14:paraId="40C562B3">
                      <w:pPr>
                        <w:jc w:val="center"/>
                        <w:rPr>
                          <w:rFonts w:hAnsi="宋体"/>
                        </w:rPr>
                      </w:pPr>
                    </w:p>
                    <w:p w14:paraId="224AED82">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法人身份证复印件反面</w:t>
                      </w:r>
                    </w:p>
                    <w:p w14:paraId="34D7CF51"/>
                  </w:txbxContent>
                </v:textbox>
              </v:roundrect>
            </w:pict>
          </mc:Fallback>
        </mc:AlternateContent>
      </w:r>
    </w:p>
    <w:p w14:paraId="57363647">
      <w:pPr>
        <w:pStyle w:val="21"/>
        <w:tabs>
          <w:tab w:val="left" w:pos="5580"/>
        </w:tabs>
        <w:snapToGrid w:val="0"/>
        <w:spacing w:line="400" w:lineRule="exact"/>
        <w:textAlignment w:val="baseline"/>
        <w:rPr>
          <w:rFonts w:hint="eastAsia" w:asciiTheme="minorEastAsia" w:hAnsiTheme="minorEastAsia" w:eastAsiaTheme="minorEastAsia" w:cstheme="minorEastAsia"/>
          <w:color w:val="auto"/>
          <w:sz w:val="24"/>
          <w:szCs w:val="24"/>
          <w:highlight w:val="none"/>
        </w:rPr>
      </w:pPr>
    </w:p>
    <w:p w14:paraId="0E8AE357">
      <w:pPr>
        <w:pStyle w:val="21"/>
        <w:tabs>
          <w:tab w:val="left" w:pos="5580"/>
        </w:tabs>
        <w:snapToGrid w:val="0"/>
        <w:spacing w:line="400" w:lineRule="exact"/>
        <w:textAlignment w:val="baseline"/>
        <w:rPr>
          <w:rFonts w:hint="eastAsia" w:asciiTheme="minorEastAsia" w:hAnsiTheme="minorEastAsia" w:eastAsiaTheme="minorEastAsia" w:cstheme="minorEastAsia"/>
          <w:color w:val="auto"/>
          <w:sz w:val="24"/>
          <w:szCs w:val="24"/>
          <w:highlight w:val="none"/>
        </w:rPr>
      </w:pPr>
    </w:p>
    <w:p w14:paraId="59296682">
      <w:pPr>
        <w:pStyle w:val="21"/>
        <w:tabs>
          <w:tab w:val="left" w:pos="5580"/>
        </w:tabs>
        <w:snapToGrid w:val="0"/>
        <w:spacing w:line="400" w:lineRule="exact"/>
        <w:ind w:left="1157" w:leftChars="257" w:hanging="54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供应商（盖单位章）;               </w:t>
      </w:r>
    </w:p>
    <w:p w14:paraId="7CAAEDE9">
      <w:pPr>
        <w:pStyle w:val="21"/>
        <w:tabs>
          <w:tab w:val="left" w:pos="5580"/>
        </w:tabs>
        <w:snapToGrid w:val="0"/>
        <w:spacing w:line="400" w:lineRule="exact"/>
        <w:ind w:left="1157" w:leftChars="257" w:hanging="540"/>
        <w:textAlignment w:val="baseline"/>
        <w:rPr>
          <w:rFonts w:hint="eastAsia" w:asciiTheme="minorEastAsia" w:hAnsiTheme="minorEastAsia" w:eastAsiaTheme="minorEastAsia" w:cstheme="minorEastAsia"/>
          <w:color w:val="auto"/>
          <w:sz w:val="24"/>
          <w:szCs w:val="24"/>
          <w:highlight w:val="none"/>
        </w:rPr>
      </w:pPr>
    </w:p>
    <w:p w14:paraId="22289E53">
      <w:pPr>
        <w:pStyle w:val="21"/>
        <w:tabs>
          <w:tab w:val="left" w:pos="5580"/>
        </w:tabs>
        <w:snapToGrid w:val="0"/>
        <w:spacing w:line="400" w:lineRule="exact"/>
        <w:ind w:left="1157" w:leftChars="257" w:hanging="54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bookmarkEnd w:id="559"/>
    <w:bookmarkEnd w:id="560"/>
    <w:bookmarkEnd w:id="561"/>
    <w:p w14:paraId="3A38D4D6">
      <w:pPr>
        <w:rPr>
          <w:rFonts w:hint="eastAsia" w:asciiTheme="minorEastAsia" w:hAnsiTheme="minorEastAsia" w:eastAsiaTheme="minorEastAsia" w:cstheme="minorEastAsia"/>
          <w:color w:val="auto"/>
          <w:sz w:val="24"/>
          <w:szCs w:val="24"/>
          <w:highlight w:val="none"/>
        </w:rPr>
      </w:pPr>
    </w:p>
    <w:p w14:paraId="731903CF">
      <w:pPr>
        <w:keepNext w:val="0"/>
        <w:keepLines w:val="0"/>
        <w:pageBreakBefore w:val="0"/>
        <w:widowControl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供应商（公章）：                         </w:t>
      </w:r>
    </w:p>
    <w:p w14:paraId="6A83AA41">
      <w:pPr>
        <w:keepNext w:val="0"/>
        <w:keepLines w:val="0"/>
        <w:pageBreakBefore w:val="0"/>
        <w:widowControl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法定代表人（签字或盖章）：                     </w:t>
      </w:r>
    </w:p>
    <w:p w14:paraId="72FA6F85">
      <w:pPr>
        <w:keepNext w:val="0"/>
        <w:keepLines w:val="0"/>
        <w:pageBreakBefore w:val="0"/>
        <w:widowControl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身份证号码：</w:t>
      </w:r>
    </w:p>
    <w:p w14:paraId="5D974BCA">
      <w:pPr>
        <w:keepNext w:val="0"/>
        <w:keepLines w:val="0"/>
        <w:pageBreakBefore w:val="0"/>
        <w:widowControl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委托代理人（签字或盖章）：                                   </w:t>
      </w:r>
    </w:p>
    <w:p w14:paraId="5A5E90E8">
      <w:pPr>
        <w:keepNext w:val="0"/>
        <w:keepLines w:val="0"/>
        <w:pageBreakBefore w:val="0"/>
        <w:widowControl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身份证号码：                                   </w:t>
      </w:r>
    </w:p>
    <w:p w14:paraId="17A0A8D4">
      <w:pPr>
        <w:keepNext w:val="0"/>
        <w:keepLines w:val="0"/>
        <w:pageBreakBefore w:val="0"/>
        <w:widowControl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详细通讯地址：                                 </w:t>
      </w:r>
    </w:p>
    <w:p w14:paraId="6487A298">
      <w:pPr>
        <w:keepNext w:val="0"/>
        <w:keepLines w:val="0"/>
        <w:pageBreakBefore w:val="0"/>
        <w:widowControl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邮 政 编 码 ：                                 </w:t>
      </w:r>
    </w:p>
    <w:p w14:paraId="2D2E4B44">
      <w:pPr>
        <w:keepNext w:val="0"/>
        <w:keepLines w:val="0"/>
        <w:pageBreakBefore w:val="0"/>
        <w:widowControl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传　　　　真：                                  </w:t>
      </w:r>
    </w:p>
    <w:p w14:paraId="0D0E640A">
      <w:pPr>
        <w:keepNext w:val="0"/>
        <w:keepLines w:val="0"/>
        <w:pageBreakBefore w:val="0"/>
        <w:widowControl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电　　　　话：                                 </w:t>
      </w:r>
    </w:p>
    <w:p w14:paraId="06E3170E">
      <w:pPr>
        <w:keepNext w:val="0"/>
        <w:keepLines w:val="0"/>
        <w:pageBreakBefore w:val="0"/>
        <w:widowControl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p>
    <w:p w14:paraId="1F7D2239">
      <w:pPr>
        <w:keepNext w:val="0"/>
        <w:keepLines w:val="0"/>
        <w:pageBreakBefore w:val="0"/>
        <w:widowControl w:val="0"/>
        <w:kinsoku/>
        <w:wordWrap/>
        <w:overflowPunct/>
        <w:topLinePunct w:val="0"/>
        <w:bidi w:val="0"/>
        <w:snapToGrid/>
        <w:spacing w:line="400" w:lineRule="exact"/>
        <w:jc w:val="righ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年   月   日 </w:t>
      </w:r>
    </w:p>
    <w:p w14:paraId="0E10B76B">
      <w:pPr>
        <w:pStyle w:val="8"/>
        <w:keepNext w:val="0"/>
        <w:keepLines w:val="0"/>
        <w:pageBreakBefore w:val="0"/>
        <w:widowControl w:val="0"/>
        <w:numPr>
          <w:ilvl w:val="0"/>
          <w:numId w:val="0"/>
        </w:numPr>
        <w:kinsoku/>
        <w:wordWrap/>
        <w:overflowPunct/>
        <w:topLinePunct w:val="0"/>
        <w:bidi w:val="0"/>
        <w:snapToGrid/>
        <w:spacing w:line="400" w:lineRule="exact"/>
        <w:textAlignment w:val="auto"/>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注：身份证印有国徽的一面是正面，人像的一面为反面。</w:t>
      </w:r>
      <w:bookmarkStart w:id="562" w:name="_Toc28753"/>
      <w:bookmarkStart w:id="563" w:name="_Toc24623"/>
      <w:bookmarkStart w:id="564" w:name="_Toc1138"/>
    </w:p>
    <w:bookmarkEnd w:id="562"/>
    <w:bookmarkEnd w:id="563"/>
    <w:bookmarkEnd w:id="564"/>
    <w:p w14:paraId="55800F08">
      <w:pPr>
        <w:pStyle w:val="9"/>
        <w:outlineLvl w:val="9"/>
        <w:rPr>
          <w:rFonts w:hint="eastAsia" w:asciiTheme="minorEastAsia" w:hAnsiTheme="minorEastAsia" w:eastAsiaTheme="minorEastAsia" w:cstheme="minorEastAsia"/>
          <w:color w:val="auto"/>
          <w:sz w:val="21"/>
          <w:szCs w:val="21"/>
          <w:highlight w:val="none"/>
        </w:rPr>
      </w:pPr>
      <w:bookmarkStart w:id="565" w:name="_Toc1083"/>
      <w:bookmarkStart w:id="566" w:name="_Toc6911"/>
      <w:bookmarkStart w:id="567" w:name="_Toc21867"/>
      <w:bookmarkStart w:id="568" w:name="_Toc22472"/>
      <w:bookmarkStart w:id="569" w:name="_Toc15201"/>
      <w:bookmarkStart w:id="570" w:name="_Toc14483"/>
      <w:bookmarkStart w:id="571" w:name="_Toc6829"/>
      <w:bookmarkStart w:id="572" w:name="_Toc13107"/>
      <w:bookmarkStart w:id="573" w:name="_Toc5436"/>
      <w:bookmarkStart w:id="574" w:name="_Toc16640"/>
      <w:bookmarkStart w:id="575" w:name="_Toc515647807"/>
      <w:bookmarkStart w:id="576" w:name="_Toc20267"/>
      <w:bookmarkStart w:id="577" w:name="_Toc26999"/>
      <w:r>
        <w:rPr>
          <w:rFonts w:hint="eastAsia" w:asciiTheme="minorEastAsia" w:hAnsiTheme="minorEastAsia" w:eastAsiaTheme="minorEastAsia" w:cstheme="minorEastAsia"/>
          <w:color w:val="auto"/>
          <w:sz w:val="21"/>
          <w:szCs w:val="21"/>
          <w:highlight w:val="none"/>
        </w:rPr>
        <w:br w:type="page"/>
      </w:r>
      <w:bookmarkEnd w:id="565"/>
      <w:bookmarkEnd w:id="566"/>
      <w:bookmarkEnd w:id="567"/>
      <w:bookmarkEnd w:id="568"/>
      <w:bookmarkEnd w:id="569"/>
      <w:bookmarkEnd w:id="570"/>
      <w:bookmarkEnd w:id="571"/>
      <w:bookmarkEnd w:id="572"/>
      <w:bookmarkEnd w:id="573"/>
      <w:bookmarkEnd w:id="574"/>
      <w:bookmarkEnd w:id="575"/>
      <w:bookmarkEnd w:id="576"/>
      <w:bookmarkEnd w:id="577"/>
    </w:p>
    <w:bookmarkEnd w:id="554"/>
    <w:bookmarkEnd w:id="555"/>
    <w:bookmarkEnd w:id="556"/>
    <w:bookmarkEnd w:id="557"/>
    <w:p w14:paraId="32985492">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textAlignment w:val="auto"/>
        <w:rPr>
          <w:rFonts w:hint="eastAsia" w:asciiTheme="minorEastAsia" w:hAnsiTheme="minorEastAsia" w:eastAsiaTheme="minorEastAsia" w:cstheme="minorEastAsia"/>
          <w:b/>
          <w:color w:val="auto"/>
          <w:kern w:val="2"/>
          <w:sz w:val="24"/>
          <w:szCs w:val="24"/>
          <w:highlight w:val="none"/>
          <w:lang w:val="en-US" w:eastAsia="zh-CN" w:bidi="ar-SA"/>
        </w:rPr>
      </w:pPr>
      <w:bookmarkStart w:id="578" w:name="_Toc26651"/>
      <w:bookmarkStart w:id="579" w:name="_Toc19031"/>
      <w:bookmarkStart w:id="580" w:name="_Toc22967"/>
      <w:bookmarkStart w:id="581" w:name="_Toc30317"/>
      <w:bookmarkStart w:id="582" w:name="_Toc515647816"/>
      <w:bookmarkStart w:id="583" w:name="_Toc11180"/>
      <w:bookmarkStart w:id="584" w:name="_Toc7263"/>
      <w:r>
        <w:rPr>
          <w:rFonts w:hint="eastAsia" w:asciiTheme="minorEastAsia" w:hAnsiTheme="minorEastAsia" w:eastAsiaTheme="minorEastAsia" w:cstheme="minorEastAsia"/>
          <w:b/>
          <w:color w:val="auto"/>
          <w:kern w:val="2"/>
          <w:sz w:val="24"/>
          <w:szCs w:val="24"/>
          <w:highlight w:val="none"/>
          <w:lang w:val="en-US" w:eastAsia="zh-CN" w:bidi="ar-SA"/>
        </w:rPr>
        <w:t>4、依法缴纳近三个月任意一个月的社会保险的凭据；</w:t>
      </w:r>
    </w:p>
    <w:p w14:paraId="735E1058">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说明：1、社保证明可含：社保缴费凭证或社保缴费证明或社保缴费汇总单或依法缴纳社保的完税证明。</w:t>
      </w:r>
    </w:p>
    <w:p w14:paraId="209C5F26">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firstLine="720" w:firstLineChars="30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2、扫描件上应加盖本单位章。</w:t>
      </w:r>
    </w:p>
    <w:p w14:paraId="76C08CA3">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firstLine="720" w:firstLineChars="300"/>
        <w:textAlignment w:val="auto"/>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3、近三个月是指谈判公告发布之日起前的三个月。</w:t>
      </w:r>
    </w:p>
    <w:p w14:paraId="34331ABC">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textAlignment w:val="auto"/>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5、税务部门出具的近三个月任意一个月的完税证明（依法免缴的应提供依法免缴的相关证明文件或零申报报表）；</w:t>
      </w:r>
    </w:p>
    <w:p w14:paraId="06972C0B">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说明：1、新成立公司若无纳税记录，可开具无欠税证明或零申报报表。</w:t>
      </w:r>
    </w:p>
    <w:p w14:paraId="7A5D0D7C">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firstLine="720" w:firstLineChars="30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2、完税证明中“税种”非养老保险、医疗保险、失业保险、工伤保险和生育保险。</w:t>
      </w:r>
    </w:p>
    <w:p w14:paraId="38D160EF">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firstLine="720" w:firstLineChars="30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3、近三个月是指谈判公告发布之日起前的三个月。</w:t>
      </w:r>
    </w:p>
    <w:p w14:paraId="547F800C">
      <w:pPr>
        <w:pStyle w:val="16"/>
        <w:ind w:left="0" w:leftChars="0" w:firstLine="720" w:firstLineChars="30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4、说明：扫描件上应加盖本单位章。</w:t>
      </w:r>
    </w:p>
    <w:p w14:paraId="29673F5A">
      <w:pPr>
        <w:pStyle w:val="16"/>
        <w:ind w:left="0" w:leftChars="0" w:firstLine="0" w:firstLineChars="0"/>
        <w:rPr>
          <w:rFonts w:hint="default"/>
          <w:lang w:val="en-US" w:eastAsia="zh-CN"/>
        </w:rPr>
      </w:pPr>
    </w:p>
    <w:p w14:paraId="3F7B1C01">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textAlignment w:val="auto"/>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6、提供2024年完整的财务审计报告（成立不满一年的可提供近三个月内任意一个月的银行资信证明）；</w:t>
      </w:r>
    </w:p>
    <w:p w14:paraId="619F5C7E">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说明：1、提供会计师事务所出具的财务审计报告书扫描件须加盖本单位财务章。</w:t>
      </w:r>
    </w:p>
    <w:p w14:paraId="3AD75DB2">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firstLine="720" w:firstLineChars="30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2、如提供银行出具的证明文件。银行证明文件需提供银行在开标日前三个月内开具证明文件的扫描件并盖单位财务章。银行出具的证明文件应能说明该供应商与银行之间业务往来正常，企业信誉良好等。</w:t>
      </w:r>
    </w:p>
    <w:p w14:paraId="6AF4E771">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textAlignment w:val="auto"/>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7、参与政府采购活动前3年内未被列入失信、重大税收违法案件、财政部门禁止参加政府采购活动的承诺书；</w:t>
      </w:r>
    </w:p>
    <w:p w14:paraId="0163183E">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说明：1、供应商应按照相关法规规定如实作出说明，格式自拟。</w:t>
      </w:r>
    </w:p>
    <w:p w14:paraId="542EF34E">
      <w:pPr>
        <w:pStyle w:val="16"/>
        <w:ind w:left="0" w:leftChars="0" w:firstLine="720" w:firstLineChars="300"/>
        <w:rPr>
          <w:rFonts w:hint="default"/>
          <w:lang w:val="en-US" w:eastAsia="zh-CN"/>
        </w:rPr>
      </w:pPr>
      <w:r>
        <w:rPr>
          <w:rFonts w:hint="eastAsia" w:asciiTheme="minorEastAsia" w:hAnsiTheme="minorEastAsia" w:eastAsiaTheme="minorEastAsia" w:cstheme="minorEastAsia"/>
          <w:b w:val="0"/>
          <w:bCs/>
          <w:color w:val="auto"/>
          <w:kern w:val="2"/>
          <w:sz w:val="24"/>
          <w:szCs w:val="24"/>
          <w:highlight w:val="none"/>
          <w:lang w:val="en-US" w:eastAsia="zh-CN" w:bidi="ar-SA"/>
        </w:rPr>
        <w:t>2、扫描件上应加盖本单位章。</w:t>
      </w:r>
    </w:p>
    <w:p w14:paraId="6CBC58C9">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textAlignment w:val="auto"/>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8、提供针对本次项目的反商业贿赂承诺书。</w:t>
      </w:r>
    </w:p>
    <w:p w14:paraId="32500489">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说明：1.供应商应按照相关法规规定如实作出承诺，格式自拟。</w:t>
      </w:r>
    </w:p>
    <w:p w14:paraId="1D115E89">
      <w:pPr>
        <w:pStyle w:val="16"/>
        <w:ind w:left="0" w:leftChars="0" w:firstLine="720" w:firstLineChars="300"/>
        <w:rPr>
          <w:rFonts w:hint="eastAsia"/>
          <w:lang w:val="en-US" w:eastAsia="zh-CN"/>
        </w:rPr>
      </w:pPr>
      <w:r>
        <w:rPr>
          <w:rFonts w:hint="eastAsia" w:asciiTheme="minorEastAsia" w:hAnsiTheme="minorEastAsia" w:eastAsiaTheme="minorEastAsia" w:cstheme="minorEastAsia"/>
          <w:b w:val="0"/>
          <w:bCs/>
          <w:color w:val="auto"/>
          <w:kern w:val="2"/>
          <w:sz w:val="24"/>
          <w:szCs w:val="24"/>
          <w:highlight w:val="none"/>
          <w:lang w:val="en-US" w:eastAsia="zh-CN" w:bidi="ar-SA"/>
        </w:rPr>
        <w:t>2、扫描件上应加盖本单位章。</w:t>
      </w:r>
    </w:p>
    <w:p w14:paraId="35E5E900">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textAlignment w:val="auto"/>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9、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须提供查询记录并加盖公章）。</w:t>
      </w:r>
      <w:bookmarkStart w:id="585" w:name="_Toc23290"/>
      <w:bookmarkStart w:id="586" w:name="_Toc22544"/>
    </w:p>
    <w:p w14:paraId="1910CC37">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textAlignment w:val="auto"/>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10、响应保证金有效凭证并加盖公章；</w:t>
      </w:r>
      <w:bookmarkEnd w:id="585"/>
      <w:bookmarkEnd w:id="586"/>
    </w:p>
    <w:p w14:paraId="010AC6F7">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textAlignment w:val="auto"/>
        <w:rPr>
          <w:rFonts w:hint="eastAsia" w:asciiTheme="minorEastAsia" w:hAnsiTheme="minorEastAsia" w:eastAsiaTheme="minorEastAsia" w:cstheme="minorEastAsia"/>
          <w:b/>
          <w:color w:val="auto"/>
          <w:kern w:val="2"/>
          <w:sz w:val="24"/>
          <w:szCs w:val="24"/>
          <w:highlight w:val="none"/>
          <w:lang w:val="en-US" w:eastAsia="zh-CN" w:bidi="ar-SA"/>
        </w:rPr>
      </w:pPr>
      <w:bookmarkStart w:id="587" w:name="_Toc14039"/>
      <w:bookmarkStart w:id="588" w:name="_Toc6944"/>
      <w:r>
        <w:rPr>
          <w:rFonts w:hint="eastAsia" w:asciiTheme="minorEastAsia" w:hAnsiTheme="minorEastAsia" w:eastAsiaTheme="minorEastAsia" w:cstheme="minorEastAsia"/>
          <w:b/>
          <w:color w:val="auto"/>
          <w:kern w:val="2"/>
          <w:sz w:val="24"/>
          <w:szCs w:val="24"/>
          <w:highlight w:val="none"/>
          <w:lang w:val="en-US" w:eastAsia="zh-CN" w:bidi="ar-SA"/>
        </w:rPr>
        <w:t>11、供应商可提供有利于响应的其他资格证明材料</w:t>
      </w:r>
      <w:bookmarkEnd w:id="587"/>
      <w:r>
        <w:rPr>
          <w:rFonts w:hint="eastAsia" w:asciiTheme="minorEastAsia" w:hAnsiTheme="minorEastAsia" w:eastAsiaTheme="minorEastAsia" w:cstheme="minorEastAsia"/>
          <w:b/>
          <w:color w:val="auto"/>
          <w:kern w:val="2"/>
          <w:sz w:val="24"/>
          <w:szCs w:val="24"/>
          <w:highlight w:val="none"/>
          <w:lang w:val="en-US" w:eastAsia="zh-CN" w:bidi="ar-SA"/>
        </w:rPr>
        <w:t>。</w:t>
      </w:r>
      <w:bookmarkEnd w:id="588"/>
    </w:p>
    <w:p w14:paraId="2855A1ED">
      <w:pPr>
        <w:rPr>
          <w:rFonts w:hint="eastAsia" w:asciiTheme="minorEastAsia" w:hAnsiTheme="minorEastAsia" w:eastAsiaTheme="minorEastAsia" w:cstheme="minorEastAsia"/>
          <w:b/>
          <w:bCs w:val="0"/>
          <w:color w:val="auto"/>
          <w:sz w:val="24"/>
          <w:szCs w:val="24"/>
          <w:highlight w:val="none"/>
        </w:rPr>
      </w:pPr>
    </w:p>
    <w:p w14:paraId="17BE2B9D">
      <w:pPr>
        <w:pStyle w:val="3"/>
        <w:pageBreakBefore w:val="0"/>
        <w:kinsoku/>
        <w:wordWrap/>
        <w:overflowPunct/>
        <w:topLinePunct w:val="0"/>
        <w:bidi w:val="0"/>
        <w:spacing w:before="0" w:line="500" w:lineRule="exact"/>
        <w:ind w:left="1157" w:leftChars="257" w:hanging="54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第二部分  商务及技术文件</w:t>
      </w:r>
      <w:bookmarkEnd w:id="578"/>
      <w:bookmarkEnd w:id="579"/>
      <w:bookmarkEnd w:id="580"/>
      <w:bookmarkEnd w:id="581"/>
      <w:bookmarkEnd w:id="582"/>
      <w:bookmarkEnd w:id="583"/>
      <w:bookmarkEnd w:id="584"/>
    </w:p>
    <w:p w14:paraId="1DB38D1D">
      <w:pPr>
        <w:pStyle w:val="21"/>
        <w:pageBreakBefore w:val="0"/>
        <w:kinsoku/>
        <w:wordWrap/>
        <w:overflowPunct/>
        <w:topLinePunct w:val="0"/>
        <w:bidi w:val="0"/>
        <w:spacing w:line="500" w:lineRule="exact"/>
        <w:ind w:firstLine="720" w:firstLineChars="300"/>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、报价书</w:t>
      </w:r>
    </w:p>
    <w:p w14:paraId="61755926">
      <w:pPr>
        <w:pStyle w:val="21"/>
        <w:pageBreakBefore w:val="0"/>
        <w:kinsoku/>
        <w:wordWrap/>
        <w:overflowPunct/>
        <w:topLinePunct w:val="0"/>
        <w:bidi w:val="0"/>
        <w:spacing w:line="500" w:lineRule="exact"/>
        <w:ind w:firstLine="720" w:firstLineChars="3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2、分项报价表</w:t>
      </w:r>
    </w:p>
    <w:p w14:paraId="4B76B2CE">
      <w:pPr>
        <w:pStyle w:val="21"/>
        <w:pageBreakBefore w:val="0"/>
        <w:kinsoku/>
        <w:wordWrap/>
        <w:overflowPunct/>
        <w:topLinePunct w:val="0"/>
        <w:bidi w:val="0"/>
        <w:spacing w:line="500" w:lineRule="exact"/>
        <w:ind w:firstLine="720" w:firstLineChars="3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3、货物说明一览表</w:t>
      </w:r>
    </w:p>
    <w:p w14:paraId="550891A1">
      <w:pPr>
        <w:pStyle w:val="21"/>
        <w:pageBreakBefore w:val="0"/>
        <w:kinsoku/>
        <w:wordWrap/>
        <w:overflowPunct/>
        <w:topLinePunct w:val="0"/>
        <w:bidi w:val="0"/>
        <w:spacing w:line="500" w:lineRule="exact"/>
        <w:ind w:firstLine="720" w:firstLineChars="3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4、技术规格偏离表</w:t>
      </w:r>
    </w:p>
    <w:p w14:paraId="22AB8BAA">
      <w:pPr>
        <w:pStyle w:val="21"/>
        <w:pageBreakBefore w:val="0"/>
        <w:kinsoku/>
        <w:wordWrap/>
        <w:overflowPunct/>
        <w:topLinePunct w:val="0"/>
        <w:bidi w:val="0"/>
        <w:spacing w:line="50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商务条款偏离表</w:t>
      </w:r>
    </w:p>
    <w:p w14:paraId="7F14AB77">
      <w:pPr>
        <w:pStyle w:val="21"/>
        <w:pageBreakBefore w:val="0"/>
        <w:kinsoku/>
        <w:wordWrap/>
        <w:overflowPunct/>
        <w:topLinePunct w:val="0"/>
        <w:bidi w:val="0"/>
        <w:spacing w:line="500" w:lineRule="exact"/>
        <w:ind w:firstLine="720" w:firstLineChars="3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6、残疾人福利性单位声明函</w:t>
      </w:r>
    </w:p>
    <w:p w14:paraId="06A5F8B3">
      <w:pPr>
        <w:pStyle w:val="21"/>
        <w:pageBreakBefore w:val="0"/>
        <w:kinsoku/>
        <w:wordWrap/>
        <w:overflowPunct/>
        <w:topLinePunct w:val="0"/>
        <w:bidi w:val="0"/>
        <w:spacing w:line="500" w:lineRule="exact"/>
        <w:ind w:firstLine="720" w:firstLineChars="3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7、中小企业声明函（货物）</w:t>
      </w:r>
    </w:p>
    <w:p w14:paraId="11117AB7">
      <w:pPr>
        <w:pStyle w:val="21"/>
        <w:pageBreakBefore w:val="0"/>
        <w:kinsoku/>
        <w:wordWrap/>
        <w:overflowPunct/>
        <w:topLinePunct w:val="0"/>
        <w:bidi w:val="0"/>
        <w:spacing w:line="50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关联单位的说明（格式自拟）</w:t>
      </w:r>
    </w:p>
    <w:p w14:paraId="45AD14BE">
      <w:pPr>
        <w:pStyle w:val="21"/>
        <w:pageBreakBefore w:val="0"/>
        <w:kinsoku/>
        <w:wordWrap/>
        <w:overflowPunct/>
        <w:topLinePunct w:val="0"/>
        <w:bidi w:val="0"/>
        <w:spacing w:line="50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其他有利于</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的技术条件</w:t>
      </w:r>
    </w:p>
    <w:p w14:paraId="6ECCBC58">
      <w:pPr>
        <w:pStyle w:val="21"/>
        <w:pageBreakBefore w:val="0"/>
        <w:kinsoku/>
        <w:wordWrap/>
        <w:overflowPunct/>
        <w:topLinePunct w:val="0"/>
        <w:bidi w:val="0"/>
        <w:spacing w:line="50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格式范本</w:t>
      </w:r>
    </w:p>
    <w:p w14:paraId="282951E4">
      <w:pPr>
        <w:pStyle w:val="21"/>
        <w:pageBreakBefore w:val="0"/>
        <w:tabs>
          <w:tab w:val="left" w:pos="5580"/>
        </w:tabs>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p>
    <w:p w14:paraId="12170667">
      <w:pPr>
        <w:pStyle w:val="21"/>
        <w:pageBreakBefore w:val="0"/>
        <w:tabs>
          <w:tab w:val="left" w:pos="5580"/>
        </w:tabs>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p>
    <w:p w14:paraId="4C2BF9A1">
      <w:pPr>
        <w:pStyle w:val="21"/>
        <w:pageBreakBefore w:val="0"/>
        <w:tabs>
          <w:tab w:val="left" w:pos="5580"/>
        </w:tabs>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p>
    <w:bookmarkEnd w:id="550"/>
    <w:bookmarkEnd w:id="551"/>
    <w:bookmarkEnd w:id="552"/>
    <w:bookmarkEnd w:id="553"/>
    <w:p w14:paraId="028CF0C3">
      <w:pPr>
        <w:pStyle w:val="43"/>
        <w:ind w:left="0" w:leftChars="0" w:firstLine="0" w:firstLineChars="0"/>
        <w:rPr>
          <w:rFonts w:hint="eastAsia" w:asciiTheme="minorEastAsia" w:hAnsiTheme="minorEastAsia" w:eastAsiaTheme="minorEastAsia" w:cstheme="minorEastAsia"/>
          <w:color w:val="auto"/>
          <w:sz w:val="24"/>
          <w:szCs w:val="24"/>
          <w:highlight w:val="none"/>
        </w:rPr>
      </w:pPr>
      <w:bookmarkStart w:id="589" w:name="_Toc8525"/>
      <w:bookmarkStart w:id="590" w:name="_Toc2041"/>
      <w:bookmarkStart w:id="591" w:name="_Toc27787"/>
      <w:bookmarkStart w:id="592" w:name="_Toc515647817"/>
      <w:bookmarkStart w:id="593" w:name="_Toc30658_WPSOffice_Level2"/>
      <w:bookmarkStart w:id="594" w:name="_Toc14915"/>
      <w:bookmarkStart w:id="595" w:name="_Toc3467"/>
      <w:bookmarkStart w:id="596" w:name="_Toc32628"/>
      <w:bookmarkStart w:id="597" w:name="_Toc11664"/>
    </w:p>
    <w:p w14:paraId="312F1C46">
      <w:pPr>
        <w:pStyle w:val="43"/>
        <w:ind w:left="0" w:leftChars="0" w:firstLine="0" w:firstLineChars="0"/>
        <w:rPr>
          <w:rFonts w:hint="eastAsia" w:asciiTheme="minorEastAsia" w:hAnsiTheme="minorEastAsia" w:eastAsiaTheme="minorEastAsia" w:cstheme="minorEastAsia"/>
          <w:color w:val="auto"/>
          <w:sz w:val="24"/>
          <w:szCs w:val="24"/>
          <w:highlight w:val="none"/>
        </w:rPr>
      </w:pPr>
    </w:p>
    <w:p w14:paraId="0CF71103">
      <w:pPr>
        <w:pStyle w:val="43"/>
        <w:ind w:left="0" w:leftChars="0" w:firstLine="0" w:firstLineChars="0"/>
        <w:rPr>
          <w:rFonts w:hint="eastAsia" w:asciiTheme="minorEastAsia" w:hAnsiTheme="minorEastAsia" w:eastAsiaTheme="minorEastAsia" w:cstheme="minorEastAsia"/>
          <w:color w:val="auto"/>
          <w:sz w:val="24"/>
          <w:szCs w:val="24"/>
          <w:highlight w:val="none"/>
        </w:rPr>
      </w:pPr>
    </w:p>
    <w:p w14:paraId="10D44126">
      <w:pPr>
        <w:pStyle w:val="43"/>
        <w:ind w:left="0" w:leftChars="0" w:firstLine="0" w:firstLineChars="0"/>
        <w:rPr>
          <w:rFonts w:hint="eastAsia" w:asciiTheme="minorEastAsia" w:hAnsiTheme="minorEastAsia" w:eastAsiaTheme="minorEastAsia" w:cstheme="minorEastAsia"/>
          <w:color w:val="auto"/>
          <w:sz w:val="24"/>
          <w:szCs w:val="24"/>
          <w:highlight w:val="none"/>
        </w:rPr>
      </w:pPr>
    </w:p>
    <w:p w14:paraId="43FA2450">
      <w:pPr>
        <w:pStyle w:val="43"/>
        <w:ind w:left="0" w:leftChars="0" w:firstLine="0" w:firstLineChars="0"/>
        <w:rPr>
          <w:rFonts w:hint="eastAsia" w:asciiTheme="minorEastAsia" w:hAnsiTheme="minorEastAsia" w:eastAsiaTheme="minorEastAsia" w:cstheme="minorEastAsia"/>
          <w:color w:val="auto"/>
          <w:sz w:val="24"/>
          <w:szCs w:val="24"/>
          <w:highlight w:val="none"/>
        </w:rPr>
      </w:pPr>
    </w:p>
    <w:p w14:paraId="03B3EED6">
      <w:pPr>
        <w:pStyle w:val="43"/>
        <w:ind w:left="0" w:leftChars="0" w:firstLine="0" w:firstLineChars="0"/>
        <w:rPr>
          <w:rFonts w:hint="eastAsia" w:asciiTheme="minorEastAsia" w:hAnsiTheme="minorEastAsia" w:eastAsiaTheme="minorEastAsia" w:cstheme="minorEastAsia"/>
          <w:color w:val="auto"/>
          <w:sz w:val="24"/>
          <w:szCs w:val="24"/>
          <w:highlight w:val="none"/>
        </w:rPr>
      </w:pPr>
    </w:p>
    <w:p w14:paraId="02AF7A75">
      <w:pPr>
        <w:pStyle w:val="43"/>
        <w:ind w:left="0" w:leftChars="0" w:firstLine="0" w:firstLineChars="0"/>
        <w:rPr>
          <w:rFonts w:hint="eastAsia" w:asciiTheme="minorEastAsia" w:hAnsiTheme="minorEastAsia" w:eastAsiaTheme="minorEastAsia" w:cstheme="minorEastAsia"/>
          <w:color w:val="auto"/>
          <w:sz w:val="24"/>
          <w:szCs w:val="24"/>
          <w:highlight w:val="none"/>
        </w:rPr>
      </w:pPr>
    </w:p>
    <w:p w14:paraId="1D3CED9E">
      <w:pPr>
        <w:pStyle w:val="43"/>
        <w:ind w:left="0" w:leftChars="0" w:firstLine="0" w:firstLineChars="0"/>
        <w:rPr>
          <w:rFonts w:hint="eastAsia" w:asciiTheme="minorEastAsia" w:hAnsiTheme="minorEastAsia" w:eastAsiaTheme="minorEastAsia" w:cstheme="minorEastAsia"/>
          <w:color w:val="auto"/>
          <w:sz w:val="24"/>
          <w:szCs w:val="24"/>
          <w:highlight w:val="none"/>
        </w:rPr>
      </w:pPr>
    </w:p>
    <w:p w14:paraId="528EA9EF">
      <w:pPr>
        <w:pStyle w:val="43"/>
        <w:ind w:left="0" w:leftChars="0" w:firstLine="0" w:firstLineChars="0"/>
        <w:rPr>
          <w:rFonts w:hint="eastAsia" w:asciiTheme="minorEastAsia" w:hAnsiTheme="minorEastAsia" w:eastAsiaTheme="minorEastAsia" w:cstheme="minorEastAsia"/>
          <w:color w:val="auto"/>
          <w:sz w:val="24"/>
          <w:szCs w:val="24"/>
          <w:highlight w:val="none"/>
        </w:rPr>
      </w:pPr>
    </w:p>
    <w:p w14:paraId="4C24D08A">
      <w:pPr>
        <w:pStyle w:val="43"/>
        <w:ind w:left="0" w:leftChars="0" w:firstLine="0" w:firstLineChars="0"/>
        <w:rPr>
          <w:rFonts w:hint="eastAsia" w:asciiTheme="minorEastAsia" w:hAnsiTheme="minorEastAsia" w:eastAsiaTheme="minorEastAsia" w:cstheme="minorEastAsia"/>
          <w:color w:val="auto"/>
          <w:sz w:val="24"/>
          <w:szCs w:val="24"/>
          <w:highlight w:val="none"/>
        </w:rPr>
      </w:pPr>
    </w:p>
    <w:p w14:paraId="5A8C8194">
      <w:pPr>
        <w:pStyle w:val="3"/>
        <w:spacing w:before="0" w:line="440" w:lineRule="exact"/>
        <w:jc w:val="center"/>
        <w:rPr>
          <w:rFonts w:hint="eastAsia" w:asciiTheme="minorEastAsia" w:hAnsiTheme="minorEastAsia" w:eastAsiaTheme="minorEastAsia" w:cstheme="minorEastAsia"/>
          <w:bCs/>
          <w:color w:val="auto"/>
          <w:sz w:val="24"/>
          <w:szCs w:val="24"/>
          <w:highlight w:val="none"/>
        </w:rPr>
      </w:pPr>
      <w:bookmarkStart w:id="598" w:name="_Hlt520355504"/>
      <w:bookmarkEnd w:id="598"/>
      <w:bookmarkStart w:id="599" w:name="_Toc20491"/>
      <w:bookmarkStart w:id="600" w:name="_Toc7116"/>
      <w:r>
        <w:rPr>
          <w:rFonts w:hint="eastAsia" w:asciiTheme="minorEastAsia" w:hAnsiTheme="minorEastAsia" w:eastAsiaTheme="minorEastAsia" w:cstheme="minorEastAsia"/>
          <w:b/>
          <w:bCs w:val="0"/>
          <w:color w:val="auto"/>
          <w:sz w:val="24"/>
          <w:szCs w:val="24"/>
          <w:highlight w:val="none"/>
          <w:lang w:val="en-US" w:eastAsia="zh-CN"/>
        </w:rPr>
        <w:br w:type="page"/>
      </w:r>
      <w:bookmarkStart w:id="601" w:name="_Toc4575"/>
      <w:bookmarkStart w:id="602" w:name="_Toc2314"/>
      <w:r>
        <w:rPr>
          <w:rFonts w:hint="eastAsia" w:asciiTheme="minorEastAsia" w:hAnsiTheme="minorEastAsia" w:eastAsiaTheme="minorEastAsia" w:cstheme="minorEastAsia"/>
          <w:b/>
          <w:bCs w:val="0"/>
          <w:color w:val="auto"/>
          <w:sz w:val="24"/>
          <w:szCs w:val="24"/>
          <w:highlight w:val="none"/>
          <w:lang w:val="en-US" w:eastAsia="zh-CN"/>
        </w:rPr>
        <w:t>1、</w:t>
      </w:r>
      <w:r>
        <w:rPr>
          <w:rFonts w:hint="eastAsia" w:asciiTheme="minorEastAsia" w:hAnsiTheme="minorEastAsia" w:eastAsiaTheme="minorEastAsia" w:cstheme="minorEastAsia"/>
          <w:b/>
          <w:bCs w:val="0"/>
          <w:color w:val="auto"/>
          <w:sz w:val="24"/>
          <w:szCs w:val="24"/>
          <w:highlight w:val="none"/>
        </w:rPr>
        <w:t>谈判报价书</w:t>
      </w:r>
      <w:bookmarkEnd w:id="589"/>
      <w:bookmarkEnd w:id="590"/>
      <w:bookmarkEnd w:id="591"/>
      <w:bookmarkEnd w:id="592"/>
      <w:bookmarkEnd w:id="593"/>
      <w:bookmarkEnd w:id="594"/>
      <w:bookmarkEnd w:id="599"/>
      <w:bookmarkEnd w:id="600"/>
      <w:bookmarkEnd w:id="601"/>
      <w:bookmarkEnd w:id="602"/>
    </w:p>
    <w:p w14:paraId="3EFE1AE8">
      <w:pPr>
        <w:tabs>
          <w:tab w:val="left" w:pos="5580"/>
        </w:tabs>
        <w:spacing w:line="440" w:lineRule="exact"/>
        <w:ind w:left="1080" w:hanging="10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致</w:t>
      </w:r>
      <w:r>
        <w:rPr>
          <w:rFonts w:hint="eastAsia" w:asciiTheme="minorEastAsia" w:hAnsiTheme="minorEastAsia" w:eastAsiaTheme="minorEastAsia" w:cstheme="minorEastAsia"/>
          <w:bCs/>
          <w:color w:val="auto"/>
          <w:sz w:val="24"/>
          <w:szCs w:val="24"/>
          <w:highlight w:val="none"/>
          <w:lang w:val="en-US" w:eastAsia="zh-CN"/>
        </w:rPr>
        <w:t>采购人</w:t>
      </w:r>
      <w:r>
        <w:rPr>
          <w:rFonts w:hint="eastAsia" w:asciiTheme="minorEastAsia" w:hAnsiTheme="minorEastAsia" w:eastAsiaTheme="minorEastAsia" w:cstheme="minorEastAsia"/>
          <w:bCs/>
          <w:color w:val="auto"/>
          <w:sz w:val="24"/>
          <w:szCs w:val="24"/>
          <w:highlight w:val="none"/>
        </w:rPr>
        <w:t>：</w:t>
      </w:r>
    </w:p>
    <w:p w14:paraId="6E73A14C">
      <w:pPr>
        <w:pStyle w:val="21"/>
        <w:tabs>
          <w:tab w:val="left" w:pos="5580"/>
        </w:tabs>
        <w:spacing w:line="440" w:lineRule="exact"/>
        <w:ind w:left="2" w:leftChars="1" w:firstLine="480" w:firstLineChars="200"/>
        <w:rPr>
          <w:rFonts w:hint="eastAsia" w:asciiTheme="minorEastAsia" w:hAnsiTheme="minorEastAsia" w:eastAsiaTheme="minorEastAsia" w:cstheme="minorEastAsia"/>
          <w:bCs/>
          <w:i w:val="0"/>
          <w:iCs w:val="0"/>
          <w:color w:val="auto"/>
          <w:sz w:val="24"/>
          <w:szCs w:val="24"/>
          <w:highlight w:val="none"/>
        </w:rPr>
      </w:pPr>
      <w:r>
        <w:rPr>
          <w:rFonts w:hint="eastAsia" w:asciiTheme="minorEastAsia" w:hAnsiTheme="minorEastAsia" w:eastAsiaTheme="minorEastAsia" w:cstheme="minorEastAsia"/>
          <w:bCs/>
          <w:color w:val="auto"/>
          <w:sz w:val="24"/>
          <w:szCs w:val="24"/>
          <w:highlight w:val="none"/>
        </w:rPr>
        <w:t>根据贵方</w:t>
      </w:r>
      <w:r>
        <w:rPr>
          <w:rFonts w:hint="eastAsia" w:asciiTheme="minorEastAsia" w:hAnsiTheme="minorEastAsia" w:eastAsiaTheme="minorEastAsia" w:cstheme="minorEastAsia"/>
          <w:bCs/>
          <w:i w:val="0"/>
          <w:iCs w:val="0"/>
          <w:color w:val="auto"/>
          <w:sz w:val="24"/>
          <w:szCs w:val="24"/>
          <w:highlight w:val="none"/>
        </w:rPr>
        <w:t>(</w:t>
      </w:r>
      <w:r>
        <w:rPr>
          <w:rFonts w:hint="eastAsia" w:asciiTheme="minorEastAsia" w:hAnsiTheme="minorEastAsia" w:eastAsiaTheme="minorEastAsia" w:cstheme="minorEastAsia"/>
          <w:bCs/>
          <w:i w:val="0"/>
          <w:iCs w:val="0"/>
          <w:color w:val="auto"/>
          <w:sz w:val="24"/>
          <w:szCs w:val="24"/>
          <w:highlight w:val="none"/>
          <w:u w:val="single"/>
        </w:rPr>
        <w:t>项目名称</w:t>
      </w:r>
      <w:r>
        <w:rPr>
          <w:rFonts w:hint="eastAsia" w:asciiTheme="minorEastAsia" w:hAnsiTheme="minorEastAsia" w:eastAsiaTheme="minorEastAsia" w:cstheme="minorEastAsia"/>
          <w:bCs/>
          <w:i w:val="0"/>
          <w:iCs w:val="0"/>
          <w:color w:val="auto"/>
          <w:sz w:val="24"/>
          <w:szCs w:val="24"/>
          <w:highlight w:val="none"/>
        </w:rPr>
        <w:t>)项目的谈判邀请(</w:t>
      </w:r>
      <w:r>
        <w:rPr>
          <w:rFonts w:hint="eastAsia" w:asciiTheme="minorEastAsia" w:hAnsiTheme="minorEastAsia" w:eastAsiaTheme="minorEastAsia" w:cstheme="minorEastAsia"/>
          <w:bCs/>
          <w:i w:val="0"/>
          <w:iCs w:val="0"/>
          <w:color w:val="auto"/>
          <w:sz w:val="24"/>
          <w:szCs w:val="24"/>
          <w:highlight w:val="none"/>
          <w:u w:val="single"/>
          <w:lang w:eastAsia="zh-CN"/>
        </w:rPr>
        <w:t>项目编号</w:t>
      </w:r>
      <w:r>
        <w:rPr>
          <w:rFonts w:hint="eastAsia" w:asciiTheme="minorEastAsia" w:hAnsiTheme="minorEastAsia" w:eastAsiaTheme="minorEastAsia" w:cstheme="minorEastAsia"/>
          <w:bCs/>
          <w:i w:val="0"/>
          <w:iCs w:val="0"/>
          <w:color w:val="auto"/>
          <w:sz w:val="24"/>
          <w:szCs w:val="24"/>
          <w:highlight w:val="none"/>
        </w:rPr>
        <w:t>),签</w:t>
      </w:r>
      <w:r>
        <w:rPr>
          <w:rFonts w:hint="eastAsia" w:asciiTheme="minorEastAsia" w:hAnsiTheme="minorEastAsia" w:eastAsiaTheme="minorEastAsia" w:cstheme="minorEastAsia"/>
          <w:bCs/>
          <w:i w:val="0"/>
          <w:iCs w:val="0"/>
          <w:color w:val="auto"/>
          <w:sz w:val="24"/>
          <w:szCs w:val="24"/>
          <w:highlight w:val="none"/>
          <w:lang w:val="en-US" w:eastAsia="zh-CN"/>
        </w:rPr>
        <w:t>/</w:t>
      </w:r>
      <w:r>
        <w:rPr>
          <w:rFonts w:hint="eastAsia" w:asciiTheme="minorEastAsia" w:hAnsiTheme="minorEastAsia" w:eastAsiaTheme="minorEastAsia" w:cstheme="minorEastAsia"/>
          <w:bCs/>
          <w:i w:val="0"/>
          <w:iCs w:val="0"/>
          <w:color w:val="auto"/>
          <w:sz w:val="24"/>
          <w:szCs w:val="24"/>
          <w:highlight w:val="none"/>
          <w:lang w:eastAsia="zh-CN"/>
        </w:rPr>
        <w:t>章</w:t>
      </w:r>
      <w:r>
        <w:rPr>
          <w:rFonts w:hint="eastAsia" w:asciiTheme="minorEastAsia" w:hAnsiTheme="minorEastAsia" w:eastAsiaTheme="minorEastAsia" w:cstheme="minorEastAsia"/>
          <w:bCs/>
          <w:i w:val="0"/>
          <w:iCs w:val="0"/>
          <w:color w:val="auto"/>
          <w:sz w:val="24"/>
          <w:szCs w:val="24"/>
          <w:highlight w:val="none"/>
        </w:rPr>
        <w:t>代表(</w:t>
      </w:r>
      <w:r>
        <w:rPr>
          <w:rFonts w:hint="eastAsia" w:asciiTheme="minorEastAsia" w:hAnsiTheme="minorEastAsia" w:eastAsiaTheme="minorEastAsia" w:cstheme="minorEastAsia"/>
          <w:bCs/>
          <w:i w:val="0"/>
          <w:iCs w:val="0"/>
          <w:color w:val="auto"/>
          <w:sz w:val="24"/>
          <w:szCs w:val="24"/>
          <w:highlight w:val="none"/>
          <w:u w:val="single"/>
        </w:rPr>
        <w:t>姓名、职务</w:t>
      </w:r>
      <w:r>
        <w:rPr>
          <w:rFonts w:hint="eastAsia" w:asciiTheme="minorEastAsia" w:hAnsiTheme="minorEastAsia" w:eastAsiaTheme="minorEastAsia" w:cstheme="minorEastAsia"/>
          <w:bCs/>
          <w:i w:val="0"/>
          <w:iCs w:val="0"/>
          <w:color w:val="auto"/>
          <w:sz w:val="24"/>
          <w:szCs w:val="24"/>
          <w:highlight w:val="none"/>
        </w:rPr>
        <w:t>)经正式授权并代表供应商（</w:t>
      </w:r>
      <w:r>
        <w:rPr>
          <w:rFonts w:hint="eastAsia" w:asciiTheme="minorEastAsia" w:hAnsiTheme="minorEastAsia" w:eastAsiaTheme="minorEastAsia" w:cstheme="minorEastAsia"/>
          <w:bCs/>
          <w:i w:val="0"/>
          <w:iCs w:val="0"/>
          <w:color w:val="auto"/>
          <w:sz w:val="24"/>
          <w:szCs w:val="24"/>
          <w:highlight w:val="none"/>
          <w:u w:val="single"/>
        </w:rPr>
        <w:t>名称、地址</w:t>
      </w:r>
      <w:r>
        <w:rPr>
          <w:rFonts w:hint="eastAsia" w:asciiTheme="minorEastAsia" w:hAnsiTheme="minorEastAsia" w:eastAsiaTheme="minorEastAsia" w:cstheme="minorEastAsia"/>
          <w:bCs/>
          <w:i w:val="0"/>
          <w:iCs w:val="0"/>
          <w:color w:val="auto"/>
          <w:sz w:val="24"/>
          <w:szCs w:val="24"/>
          <w:highlight w:val="none"/>
        </w:rPr>
        <w:t>）</w:t>
      </w:r>
      <w:r>
        <w:rPr>
          <w:rFonts w:hint="eastAsia" w:asciiTheme="minorEastAsia" w:hAnsiTheme="minorEastAsia" w:eastAsiaTheme="minorEastAsia" w:cstheme="minorEastAsia"/>
          <w:bCs/>
          <w:i w:val="0"/>
          <w:iCs w:val="0"/>
          <w:color w:val="auto"/>
          <w:sz w:val="24"/>
          <w:szCs w:val="24"/>
          <w:highlight w:val="none"/>
          <w:lang w:eastAsia="zh-CN"/>
        </w:rPr>
        <w:t>上传</w:t>
      </w:r>
      <w:r>
        <w:rPr>
          <w:rFonts w:hint="eastAsia" w:asciiTheme="minorEastAsia" w:hAnsiTheme="minorEastAsia" w:eastAsiaTheme="minorEastAsia" w:cstheme="minorEastAsia"/>
          <w:bCs/>
          <w:i w:val="0"/>
          <w:iCs w:val="0"/>
          <w:color w:val="auto"/>
          <w:sz w:val="24"/>
          <w:szCs w:val="24"/>
          <w:highlight w:val="none"/>
        </w:rPr>
        <w:t>下述</w:t>
      </w:r>
      <w:r>
        <w:rPr>
          <w:rFonts w:hint="eastAsia" w:asciiTheme="minorEastAsia" w:hAnsiTheme="minorEastAsia" w:eastAsiaTheme="minorEastAsia" w:cstheme="minorEastAsia"/>
          <w:bCs/>
          <w:i w:val="0"/>
          <w:iCs w:val="0"/>
          <w:color w:val="auto"/>
          <w:sz w:val="24"/>
          <w:szCs w:val="24"/>
          <w:highlight w:val="none"/>
          <w:lang w:eastAsia="zh-CN"/>
        </w:rPr>
        <w:t>电子响应文件</w:t>
      </w:r>
      <w:r>
        <w:rPr>
          <w:rFonts w:hint="eastAsia" w:asciiTheme="minorEastAsia" w:hAnsiTheme="minorEastAsia" w:eastAsiaTheme="minorEastAsia" w:cstheme="minorEastAsia"/>
          <w:bCs/>
          <w:i w:val="0"/>
          <w:iCs w:val="0"/>
          <w:color w:val="auto"/>
          <w:sz w:val="24"/>
          <w:szCs w:val="24"/>
          <w:highlight w:val="none"/>
        </w:rPr>
        <w:t>，并以</w:t>
      </w:r>
      <w:r>
        <w:rPr>
          <w:rFonts w:hint="eastAsia" w:asciiTheme="minorEastAsia" w:hAnsiTheme="minorEastAsia" w:eastAsiaTheme="minorEastAsia" w:cstheme="minorEastAsia"/>
          <w:bCs/>
          <w:i w:val="0"/>
          <w:iCs w:val="0"/>
          <w:color w:val="auto"/>
          <w:sz w:val="24"/>
          <w:szCs w:val="24"/>
          <w:highlight w:val="none"/>
          <w:u w:val="single"/>
        </w:rPr>
        <w:t xml:space="preserve">         </w:t>
      </w:r>
      <w:r>
        <w:rPr>
          <w:rFonts w:hint="eastAsia" w:asciiTheme="minorEastAsia" w:hAnsiTheme="minorEastAsia" w:eastAsiaTheme="minorEastAsia" w:cstheme="minorEastAsia"/>
          <w:bCs/>
          <w:i w:val="0"/>
          <w:iCs w:val="0"/>
          <w:color w:val="auto"/>
          <w:sz w:val="24"/>
          <w:szCs w:val="24"/>
          <w:highlight w:val="none"/>
        </w:rPr>
        <w:t>形式出具的金额为人民币</w:t>
      </w:r>
      <w:r>
        <w:rPr>
          <w:rFonts w:hint="eastAsia" w:asciiTheme="minorEastAsia" w:hAnsiTheme="minorEastAsia" w:eastAsiaTheme="minorEastAsia" w:cstheme="minorEastAsia"/>
          <w:bCs/>
          <w:i w:val="0"/>
          <w:iCs w:val="0"/>
          <w:color w:val="auto"/>
          <w:sz w:val="24"/>
          <w:szCs w:val="24"/>
          <w:highlight w:val="none"/>
          <w:u w:val="single"/>
        </w:rPr>
        <w:t>　　　　</w:t>
      </w:r>
      <w:r>
        <w:rPr>
          <w:rFonts w:hint="eastAsia" w:asciiTheme="minorEastAsia" w:hAnsiTheme="minorEastAsia" w:eastAsiaTheme="minorEastAsia" w:cstheme="minorEastAsia"/>
          <w:bCs/>
          <w:i w:val="0"/>
          <w:iCs w:val="0"/>
          <w:color w:val="auto"/>
          <w:sz w:val="24"/>
          <w:szCs w:val="24"/>
          <w:highlight w:val="none"/>
        </w:rPr>
        <w:t>元的</w:t>
      </w:r>
      <w:r>
        <w:rPr>
          <w:rFonts w:hint="eastAsia" w:asciiTheme="minorEastAsia" w:hAnsiTheme="minorEastAsia" w:eastAsiaTheme="minorEastAsia" w:cstheme="minorEastAsia"/>
          <w:bCs/>
          <w:i w:val="0"/>
          <w:iCs w:val="0"/>
          <w:color w:val="auto"/>
          <w:sz w:val="24"/>
          <w:szCs w:val="24"/>
          <w:highlight w:val="none"/>
          <w:lang w:eastAsia="zh-CN"/>
        </w:rPr>
        <w:t>响应保证金</w:t>
      </w:r>
      <w:r>
        <w:rPr>
          <w:rFonts w:hint="eastAsia" w:asciiTheme="minorEastAsia" w:hAnsiTheme="minorEastAsia" w:eastAsiaTheme="minorEastAsia" w:cstheme="minorEastAsia"/>
          <w:bCs/>
          <w:i w:val="0"/>
          <w:iCs w:val="0"/>
          <w:color w:val="auto"/>
          <w:sz w:val="24"/>
          <w:szCs w:val="24"/>
          <w:highlight w:val="none"/>
        </w:rPr>
        <w:t>。</w:t>
      </w:r>
    </w:p>
    <w:p w14:paraId="1BBF1EE7">
      <w:pPr>
        <w:pStyle w:val="21"/>
        <w:tabs>
          <w:tab w:val="left" w:pos="5580"/>
        </w:tabs>
        <w:spacing w:line="440" w:lineRule="exact"/>
        <w:ind w:left="1157" w:leftChars="257" w:hanging="540"/>
        <w:rPr>
          <w:rFonts w:hint="eastAsia" w:asciiTheme="minorEastAsia" w:hAnsiTheme="minorEastAsia" w:eastAsiaTheme="minorEastAsia" w:cstheme="minorEastAsia"/>
          <w:bCs/>
          <w:i w:val="0"/>
          <w:iCs w:val="0"/>
          <w:color w:val="auto"/>
          <w:sz w:val="24"/>
          <w:szCs w:val="24"/>
          <w:highlight w:val="none"/>
        </w:rPr>
      </w:pPr>
      <w:r>
        <w:rPr>
          <w:rFonts w:hint="eastAsia" w:asciiTheme="minorEastAsia" w:hAnsiTheme="minorEastAsia" w:eastAsiaTheme="minorEastAsia" w:cstheme="minorEastAsia"/>
          <w:bCs/>
          <w:i w:val="0"/>
          <w:iCs w:val="0"/>
          <w:color w:val="auto"/>
          <w:sz w:val="24"/>
          <w:szCs w:val="24"/>
          <w:highlight w:val="none"/>
        </w:rPr>
        <w:t>据此，签</w:t>
      </w:r>
      <w:r>
        <w:rPr>
          <w:rFonts w:hint="eastAsia" w:asciiTheme="minorEastAsia" w:hAnsiTheme="minorEastAsia" w:eastAsiaTheme="minorEastAsia" w:cstheme="minorEastAsia"/>
          <w:bCs/>
          <w:i w:val="0"/>
          <w:iCs w:val="0"/>
          <w:color w:val="auto"/>
          <w:sz w:val="24"/>
          <w:szCs w:val="24"/>
          <w:highlight w:val="none"/>
          <w:lang w:val="en-US" w:eastAsia="zh-CN"/>
        </w:rPr>
        <w:t>/</w:t>
      </w:r>
      <w:r>
        <w:rPr>
          <w:rFonts w:hint="eastAsia" w:asciiTheme="minorEastAsia" w:hAnsiTheme="minorEastAsia" w:eastAsiaTheme="minorEastAsia" w:cstheme="minorEastAsia"/>
          <w:bCs/>
          <w:i w:val="0"/>
          <w:iCs w:val="0"/>
          <w:color w:val="auto"/>
          <w:sz w:val="24"/>
          <w:szCs w:val="24"/>
          <w:highlight w:val="none"/>
          <w:lang w:eastAsia="zh-CN"/>
        </w:rPr>
        <w:t>章</w:t>
      </w:r>
      <w:r>
        <w:rPr>
          <w:rFonts w:hint="eastAsia" w:asciiTheme="minorEastAsia" w:hAnsiTheme="minorEastAsia" w:eastAsiaTheme="minorEastAsia" w:cstheme="minorEastAsia"/>
          <w:bCs/>
          <w:i w:val="0"/>
          <w:iCs w:val="0"/>
          <w:color w:val="auto"/>
          <w:sz w:val="24"/>
          <w:szCs w:val="24"/>
          <w:highlight w:val="none"/>
        </w:rPr>
        <w:t>代表宣布同意如下：</w:t>
      </w:r>
    </w:p>
    <w:p w14:paraId="52EC6854">
      <w:pPr>
        <w:pStyle w:val="21"/>
        <w:tabs>
          <w:tab w:val="left" w:pos="720"/>
          <w:tab w:val="left" w:pos="900"/>
        </w:tabs>
        <w:spacing w:line="440" w:lineRule="exact"/>
        <w:ind w:left="846" w:leftChars="257" w:hanging="229"/>
        <w:rPr>
          <w:rFonts w:hint="eastAsia" w:asciiTheme="minorEastAsia" w:hAnsiTheme="minorEastAsia" w:eastAsiaTheme="minorEastAsia" w:cstheme="minorEastAsia"/>
          <w:bCs/>
          <w:i w:val="0"/>
          <w:iCs w:val="0"/>
          <w:color w:val="auto"/>
          <w:sz w:val="24"/>
          <w:szCs w:val="24"/>
          <w:highlight w:val="none"/>
          <w:u w:val="single"/>
        </w:rPr>
      </w:pPr>
      <w:r>
        <w:rPr>
          <w:rFonts w:hint="eastAsia" w:asciiTheme="minorEastAsia" w:hAnsiTheme="minorEastAsia" w:eastAsiaTheme="minorEastAsia" w:cstheme="minorEastAsia"/>
          <w:bCs/>
          <w:i w:val="0"/>
          <w:iCs w:val="0"/>
          <w:color w:val="auto"/>
          <w:sz w:val="24"/>
          <w:szCs w:val="24"/>
          <w:highlight w:val="none"/>
        </w:rPr>
        <w:t>（1）附标的价格表中规定的应提供</w:t>
      </w:r>
      <w:r>
        <w:rPr>
          <w:rFonts w:hint="eastAsia" w:asciiTheme="minorEastAsia" w:hAnsiTheme="minorEastAsia" w:eastAsiaTheme="minorEastAsia" w:cstheme="minorEastAsia"/>
          <w:bCs/>
          <w:i w:val="0"/>
          <w:iCs w:val="0"/>
          <w:color w:val="auto"/>
          <w:sz w:val="24"/>
          <w:szCs w:val="24"/>
          <w:highlight w:val="none"/>
          <w:lang w:val="en-US" w:eastAsia="zh-CN"/>
        </w:rPr>
        <w:t>货物</w:t>
      </w:r>
      <w:r>
        <w:rPr>
          <w:rFonts w:hint="eastAsia" w:asciiTheme="minorEastAsia" w:hAnsiTheme="minorEastAsia" w:eastAsiaTheme="minorEastAsia" w:cstheme="minorEastAsia"/>
          <w:bCs/>
          <w:i w:val="0"/>
          <w:iCs w:val="0"/>
          <w:color w:val="auto"/>
          <w:sz w:val="24"/>
          <w:szCs w:val="24"/>
          <w:highlight w:val="none"/>
        </w:rPr>
        <w:t>的总价详见报价一览表，</w:t>
      </w:r>
      <w:r>
        <w:rPr>
          <w:rFonts w:hint="eastAsia" w:asciiTheme="minorEastAsia" w:hAnsiTheme="minorEastAsia" w:eastAsiaTheme="minorEastAsia" w:cstheme="minorEastAsia"/>
          <w:bCs/>
          <w:i w:val="0"/>
          <w:iCs w:val="0"/>
          <w:color w:val="auto"/>
          <w:sz w:val="24"/>
          <w:szCs w:val="24"/>
          <w:highlight w:val="none"/>
          <w:u w:val="single"/>
        </w:rPr>
        <w:t>其中由小型和</w:t>
      </w:r>
      <w:r>
        <w:rPr>
          <w:rFonts w:hint="eastAsia" w:asciiTheme="minorEastAsia" w:hAnsiTheme="minorEastAsia" w:eastAsiaTheme="minorEastAsia" w:cstheme="minorEastAsia"/>
          <w:bCs/>
          <w:i w:val="0"/>
          <w:iCs w:val="0"/>
          <w:color w:val="auto"/>
          <w:sz w:val="24"/>
          <w:szCs w:val="24"/>
          <w:highlight w:val="none"/>
        </w:rPr>
        <w:t>微型企</w:t>
      </w:r>
      <w:r>
        <w:rPr>
          <w:rFonts w:hint="eastAsia" w:asciiTheme="minorEastAsia" w:hAnsiTheme="minorEastAsia" w:eastAsiaTheme="minorEastAsia" w:cstheme="minorEastAsia"/>
          <w:bCs/>
          <w:i w:val="0"/>
          <w:iCs w:val="0"/>
          <w:color w:val="auto"/>
          <w:sz w:val="24"/>
          <w:szCs w:val="24"/>
          <w:highlight w:val="none"/>
          <w:lang w:val="en-US" w:eastAsia="zh-CN"/>
        </w:rPr>
        <w:t>项目承接商</w:t>
      </w:r>
      <w:r>
        <w:rPr>
          <w:rFonts w:hint="eastAsia" w:asciiTheme="minorEastAsia" w:hAnsiTheme="minorEastAsia" w:eastAsiaTheme="minorEastAsia" w:cstheme="minorEastAsia"/>
          <w:bCs/>
          <w:i w:val="0"/>
          <w:iCs w:val="0"/>
          <w:color w:val="auto"/>
          <w:sz w:val="24"/>
          <w:szCs w:val="24"/>
          <w:highlight w:val="none"/>
        </w:rPr>
        <w:t>的价格为</w:t>
      </w:r>
      <w:r>
        <w:rPr>
          <w:rFonts w:hint="eastAsia" w:asciiTheme="minorEastAsia" w:hAnsiTheme="minorEastAsia" w:eastAsiaTheme="minorEastAsia" w:cstheme="minorEastAsia"/>
          <w:bCs/>
          <w:i w:val="0"/>
          <w:iCs w:val="0"/>
          <w:color w:val="auto"/>
          <w:sz w:val="24"/>
          <w:szCs w:val="24"/>
          <w:highlight w:val="none"/>
          <w:u w:val="single"/>
        </w:rPr>
        <w:t>　　  （用文字和数字表示），占</w:t>
      </w:r>
      <w:r>
        <w:rPr>
          <w:rFonts w:hint="eastAsia" w:asciiTheme="minorEastAsia" w:hAnsiTheme="minorEastAsia" w:eastAsiaTheme="minorEastAsia" w:cstheme="minorEastAsia"/>
          <w:bCs/>
          <w:i w:val="0"/>
          <w:iCs w:val="0"/>
          <w:color w:val="auto"/>
          <w:sz w:val="24"/>
          <w:szCs w:val="24"/>
          <w:highlight w:val="none"/>
          <w:u w:val="single"/>
          <w:lang w:eastAsia="zh-CN"/>
        </w:rPr>
        <w:t>响应</w:t>
      </w:r>
      <w:r>
        <w:rPr>
          <w:rFonts w:hint="eastAsia" w:asciiTheme="minorEastAsia" w:hAnsiTheme="minorEastAsia" w:eastAsiaTheme="minorEastAsia" w:cstheme="minorEastAsia"/>
          <w:bCs/>
          <w:i w:val="0"/>
          <w:iCs w:val="0"/>
          <w:color w:val="auto"/>
          <w:sz w:val="24"/>
          <w:szCs w:val="24"/>
          <w:highlight w:val="none"/>
          <w:u w:val="single"/>
        </w:rPr>
        <w:t>总价   %</w:t>
      </w:r>
      <w:r>
        <w:rPr>
          <w:rFonts w:hint="eastAsia" w:asciiTheme="minorEastAsia" w:hAnsiTheme="minorEastAsia" w:eastAsiaTheme="minorEastAsia" w:cstheme="minorEastAsia"/>
          <w:bCs/>
          <w:i w:val="0"/>
          <w:iCs w:val="0"/>
          <w:color w:val="auto"/>
          <w:sz w:val="24"/>
          <w:szCs w:val="24"/>
          <w:highlight w:val="none"/>
        </w:rPr>
        <w:t>。</w:t>
      </w:r>
    </w:p>
    <w:p w14:paraId="0B94C599">
      <w:pPr>
        <w:pStyle w:val="21"/>
        <w:tabs>
          <w:tab w:val="left" w:pos="5580"/>
        </w:tabs>
        <w:spacing w:line="440" w:lineRule="exact"/>
        <w:ind w:left="1157" w:leftChars="257" w:hanging="54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i w:val="0"/>
          <w:iCs w:val="0"/>
          <w:color w:val="auto"/>
          <w:sz w:val="24"/>
          <w:szCs w:val="24"/>
          <w:highlight w:val="none"/>
        </w:rPr>
        <w:t>（2）本谈判有效期为自递交响应文件截止之日起</w:t>
      </w:r>
      <w:r>
        <w:rPr>
          <w:rFonts w:hint="eastAsia" w:asciiTheme="minorEastAsia" w:hAnsiTheme="minorEastAsia" w:eastAsiaTheme="minorEastAsia" w:cstheme="minorEastAsia"/>
          <w:bCs/>
          <w:i w:val="0"/>
          <w:iCs w:val="0"/>
          <w:color w:val="auto"/>
          <w:sz w:val="24"/>
          <w:szCs w:val="24"/>
          <w:highlight w:val="none"/>
          <w:u w:val="single"/>
        </w:rPr>
        <w:t xml:space="preserve">          </w:t>
      </w:r>
      <w:r>
        <w:rPr>
          <w:rFonts w:hint="eastAsia" w:asciiTheme="minorEastAsia" w:hAnsiTheme="minorEastAsia" w:eastAsiaTheme="minorEastAsia" w:cstheme="minorEastAsia"/>
          <w:bCs/>
          <w:i w:val="0"/>
          <w:iCs w:val="0"/>
          <w:color w:val="auto"/>
          <w:sz w:val="24"/>
          <w:szCs w:val="24"/>
          <w:highlight w:val="none"/>
        </w:rPr>
        <w:t>个日历日。</w:t>
      </w:r>
    </w:p>
    <w:p w14:paraId="277CFFC5">
      <w:pPr>
        <w:pStyle w:val="21"/>
        <w:tabs>
          <w:tab w:val="left" w:pos="5580"/>
        </w:tabs>
        <w:spacing w:line="440" w:lineRule="exact"/>
        <w:ind w:left="1157" w:leftChars="257" w:hanging="54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（3）联合体中的大中型企业和其他自然人、法人或者非法人组织，与联合体中的小型、微型企业之间</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存在、不存在）投资关系（如果是联合体的话）。</w:t>
      </w:r>
    </w:p>
    <w:p w14:paraId="283234E9">
      <w:pPr>
        <w:pStyle w:val="21"/>
        <w:tabs>
          <w:tab w:val="left" w:pos="5580"/>
        </w:tabs>
        <w:spacing w:line="440" w:lineRule="exact"/>
        <w:ind w:left="1157" w:leftChars="257" w:hanging="54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（4）已详细审查全部谈判文件，包括所有补充通知（如果有的话），完全理解并同意放弃对这方面有不明、误解和质疑的权力。</w:t>
      </w:r>
    </w:p>
    <w:p w14:paraId="4C3C6D7A">
      <w:pPr>
        <w:pStyle w:val="21"/>
        <w:tabs>
          <w:tab w:val="left" w:pos="5580"/>
        </w:tabs>
        <w:spacing w:line="440" w:lineRule="exact"/>
        <w:ind w:left="1157" w:leftChars="257" w:hanging="54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（5）在规定的谈判报价开启时间后，遵守谈判文件中有关保证金的规定。</w:t>
      </w:r>
    </w:p>
    <w:p w14:paraId="742DA57B">
      <w:pPr>
        <w:pStyle w:val="21"/>
        <w:tabs>
          <w:tab w:val="left" w:pos="5580"/>
        </w:tabs>
        <w:spacing w:line="440" w:lineRule="exact"/>
        <w:ind w:left="1157" w:leftChars="257" w:hanging="54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（6）我方不是为本项目提供整体设计、规范编制或者项目管理、监理、检测等服务的供应商，我方不是采购代理机构的附属机构。</w:t>
      </w:r>
    </w:p>
    <w:p w14:paraId="6DEA9403">
      <w:pPr>
        <w:pStyle w:val="21"/>
        <w:tabs>
          <w:tab w:val="left" w:pos="5580"/>
        </w:tabs>
        <w:spacing w:line="440" w:lineRule="exact"/>
        <w:ind w:left="1157" w:leftChars="257" w:hanging="54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（7）在领取成交通知书的同时按谈判文件规定的形式，向贵方一次性支付成交服务费。</w:t>
      </w:r>
    </w:p>
    <w:p w14:paraId="41732F17">
      <w:pPr>
        <w:pStyle w:val="21"/>
        <w:tabs>
          <w:tab w:val="left" w:pos="5580"/>
        </w:tabs>
        <w:spacing w:line="440" w:lineRule="exact"/>
        <w:ind w:left="1157" w:leftChars="257" w:hanging="54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（8）按照贵方可能要求，提供与其</w:t>
      </w:r>
      <w:r>
        <w:rPr>
          <w:rFonts w:hint="eastAsia" w:asciiTheme="minorEastAsia" w:hAnsiTheme="minorEastAsia" w:eastAsiaTheme="minorEastAsia" w:cstheme="minorEastAsia"/>
          <w:bCs/>
          <w:color w:val="auto"/>
          <w:sz w:val="24"/>
          <w:szCs w:val="24"/>
          <w:highlight w:val="none"/>
          <w:lang w:eastAsia="zh-CN"/>
        </w:rPr>
        <w:t>采购</w:t>
      </w:r>
      <w:r>
        <w:rPr>
          <w:rFonts w:hint="eastAsia" w:asciiTheme="minorEastAsia" w:hAnsiTheme="minorEastAsia" w:eastAsiaTheme="minorEastAsia" w:cstheme="minorEastAsia"/>
          <w:bCs/>
          <w:color w:val="auto"/>
          <w:sz w:val="24"/>
          <w:szCs w:val="24"/>
          <w:highlight w:val="none"/>
        </w:rPr>
        <w:t>有关的一切数据或资料，完全理解贵方不一定接受最低价的谈判报价或收到的任何谈判报价。</w:t>
      </w:r>
    </w:p>
    <w:p w14:paraId="5D79BAA2">
      <w:pPr>
        <w:pStyle w:val="21"/>
        <w:tabs>
          <w:tab w:val="left" w:pos="5580"/>
        </w:tabs>
        <w:spacing w:line="440" w:lineRule="exact"/>
        <w:ind w:left="1157" w:leftChars="257" w:hanging="54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（9）按照谈判文件的规定履行合同责任和义务。</w:t>
      </w:r>
    </w:p>
    <w:p w14:paraId="13CB024E">
      <w:pPr>
        <w:pStyle w:val="21"/>
        <w:tabs>
          <w:tab w:val="left" w:pos="5580"/>
        </w:tabs>
        <w:spacing w:line="440" w:lineRule="exact"/>
        <w:ind w:left="379" w:leftChars="68" w:hanging="216" w:hangingChars="9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  与本次谈判有关的一切正式往来信函请寄：</w:t>
      </w:r>
    </w:p>
    <w:p w14:paraId="4B204A01">
      <w:pPr>
        <w:pStyle w:val="21"/>
        <w:tabs>
          <w:tab w:val="left" w:pos="5580"/>
        </w:tabs>
        <w:spacing w:line="440" w:lineRule="exact"/>
        <w:ind w:left="1157" w:leftChars="257" w:hanging="54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传真</w:t>
      </w:r>
      <w:r>
        <w:rPr>
          <w:rFonts w:hint="eastAsia" w:asciiTheme="minorEastAsia" w:hAnsiTheme="minorEastAsia" w:eastAsiaTheme="minorEastAsia" w:cstheme="minorEastAsia"/>
          <w:bCs/>
          <w:color w:val="auto"/>
          <w:sz w:val="24"/>
          <w:szCs w:val="24"/>
          <w:highlight w:val="none"/>
          <w:u w:val="single"/>
        </w:rPr>
        <w:t xml:space="preserve">                             </w:t>
      </w:r>
    </w:p>
    <w:p w14:paraId="3C8A3D0B">
      <w:pPr>
        <w:pStyle w:val="21"/>
        <w:tabs>
          <w:tab w:val="left" w:pos="5580"/>
        </w:tabs>
        <w:spacing w:line="440" w:lineRule="exact"/>
        <w:ind w:left="1157" w:leftChars="257" w:hanging="54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电话</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电子函件</w:t>
      </w:r>
      <w:r>
        <w:rPr>
          <w:rFonts w:hint="eastAsia" w:asciiTheme="minorEastAsia" w:hAnsiTheme="minorEastAsia" w:eastAsiaTheme="minorEastAsia" w:cstheme="minorEastAsia"/>
          <w:bCs/>
          <w:color w:val="auto"/>
          <w:sz w:val="24"/>
          <w:szCs w:val="24"/>
          <w:highlight w:val="none"/>
          <w:u w:val="single"/>
        </w:rPr>
        <w:t xml:space="preserve">                         </w:t>
      </w:r>
    </w:p>
    <w:p w14:paraId="0C67CC00">
      <w:pPr>
        <w:pStyle w:val="21"/>
        <w:tabs>
          <w:tab w:val="left" w:pos="5580"/>
        </w:tabs>
        <w:spacing w:line="440" w:lineRule="exact"/>
        <w:ind w:left="1157" w:leftChars="257" w:hanging="540"/>
        <w:rPr>
          <w:rFonts w:hint="eastAsia" w:asciiTheme="minorEastAsia" w:hAnsiTheme="minorEastAsia" w:eastAsiaTheme="minorEastAsia" w:cstheme="minorEastAsia"/>
          <w:bCs/>
          <w:color w:val="auto"/>
          <w:sz w:val="24"/>
          <w:szCs w:val="24"/>
          <w:highlight w:val="none"/>
          <w:u w:val="single"/>
          <w:lang w:val="en-US" w:eastAsia="zh-CN"/>
        </w:rPr>
      </w:pPr>
      <w:r>
        <w:rPr>
          <w:rFonts w:hint="eastAsia" w:asciiTheme="minorEastAsia" w:hAnsiTheme="minorEastAsia" w:eastAsiaTheme="minorEastAsia" w:cstheme="minorEastAsia"/>
          <w:bCs/>
          <w:color w:val="auto"/>
          <w:sz w:val="24"/>
          <w:szCs w:val="24"/>
          <w:highlight w:val="none"/>
        </w:rPr>
        <w:t>法定代表人（</w:t>
      </w:r>
      <w:r>
        <w:rPr>
          <w:rFonts w:hint="eastAsia" w:asciiTheme="minorEastAsia" w:hAnsiTheme="minorEastAsia" w:eastAsiaTheme="minorEastAsia" w:cstheme="minorEastAsia"/>
          <w:color w:val="auto"/>
          <w:sz w:val="24"/>
          <w:szCs w:val="24"/>
          <w:highlight w:val="none"/>
          <w:lang w:eastAsia="zh-CN"/>
        </w:rPr>
        <w:t>签字或盖章</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u w:val="single"/>
          <w:lang w:val="en-US" w:eastAsia="zh-CN"/>
        </w:rPr>
        <w:t xml:space="preserve">                            </w:t>
      </w:r>
    </w:p>
    <w:p w14:paraId="338F60ED">
      <w:pPr>
        <w:pStyle w:val="21"/>
        <w:tabs>
          <w:tab w:val="left" w:pos="5580"/>
        </w:tabs>
        <w:spacing w:line="440" w:lineRule="exact"/>
        <w:ind w:left="1157" w:leftChars="257" w:hanging="540"/>
        <w:rPr>
          <w:rFonts w:hint="eastAsia" w:asciiTheme="minorEastAsia" w:hAnsiTheme="minorEastAsia" w:eastAsiaTheme="minorEastAsia" w:cstheme="minorEastAsia"/>
          <w:bCs/>
          <w:color w:val="auto"/>
          <w:sz w:val="24"/>
          <w:szCs w:val="24"/>
          <w:highlight w:val="none"/>
          <w:u w:val="single"/>
          <w:lang w:val="en-US" w:eastAsia="zh-CN"/>
        </w:rPr>
      </w:pPr>
      <w:r>
        <w:rPr>
          <w:rFonts w:hint="eastAsia" w:asciiTheme="minorEastAsia" w:hAnsiTheme="minorEastAsia" w:eastAsiaTheme="minorEastAsia" w:cstheme="minorEastAsia"/>
          <w:bCs/>
          <w:color w:val="auto"/>
          <w:sz w:val="24"/>
          <w:szCs w:val="24"/>
          <w:highlight w:val="none"/>
        </w:rPr>
        <w:t>供应商名称(公章)</w:t>
      </w:r>
      <w:r>
        <w:rPr>
          <w:rFonts w:hint="eastAsia" w:asciiTheme="minorEastAsia" w:hAnsiTheme="minorEastAsia" w:eastAsiaTheme="minorEastAsia" w:cstheme="minorEastAsia"/>
          <w:bCs/>
          <w:color w:val="auto"/>
          <w:sz w:val="24"/>
          <w:szCs w:val="24"/>
          <w:highlight w:val="none"/>
          <w:u w:val="single"/>
          <w:lang w:val="en-US" w:eastAsia="zh-CN"/>
        </w:rPr>
        <w:t xml:space="preserve">                        </w:t>
      </w:r>
    </w:p>
    <w:p w14:paraId="74C9410B">
      <w:pPr>
        <w:pStyle w:val="21"/>
        <w:tabs>
          <w:tab w:val="left" w:pos="5580"/>
        </w:tabs>
        <w:spacing w:line="440" w:lineRule="exact"/>
        <w:ind w:left="1157" w:leftChars="257" w:hanging="54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供应商开户银行（全称）</w:t>
      </w:r>
      <w:r>
        <w:rPr>
          <w:rFonts w:hint="eastAsia" w:asciiTheme="minorEastAsia" w:hAnsiTheme="minorEastAsia" w:eastAsiaTheme="minorEastAsia" w:cstheme="minorEastAsia"/>
          <w:bCs/>
          <w:color w:val="auto"/>
          <w:sz w:val="24"/>
          <w:szCs w:val="24"/>
          <w:highlight w:val="none"/>
          <w:u w:val="single"/>
        </w:rPr>
        <w:t xml:space="preserve">　　　　　　 </w:t>
      </w:r>
    </w:p>
    <w:p w14:paraId="2DDE1843">
      <w:pPr>
        <w:pStyle w:val="21"/>
        <w:tabs>
          <w:tab w:val="left" w:pos="5580"/>
        </w:tabs>
        <w:spacing w:line="440" w:lineRule="exact"/>
        <w:ind w:left="1157" w:leftChars="257" w:hanging="54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供应商银行帐号</w:t>
      </w:r>
      <w:r>
        <w:rPr>
          <w:rFonts w:hint="eastAsia" w:asciiTheme="minorEastAsia" w:hAnsiTheme="minorEastAsia" w:eastAsiaTheme="minorEastAsia" w:cstheme="minorEastAsia"/>
          <w:bCs/>
          <w:color w:val="auto"/>
          <w:sz w:val="24"/>
          <w:szCs w:val="24"/>
          <w:highlight w:val="none"/>
          <w:u w:val="single"/>
        </w:rPr>
        <w:t>　　　　　　　　 　　</w:t>
      </w:r>
    </w:p>
    <w:p w14:paraId="1B30A57E">
      <w:pPr>
        <w:pStyle w:val="21"/>
        <w:tabs>
          <w:tab w:val="left" w:pos="5580"/>
        </w:tabs>
        <w:spacing w:line="440" w:lineRule="exact"/>
        <w:ind w:left="1157" w:leftChars="257" w:hanging="540"/>
        <w:rPr>
          <w:rFonts w:hint="eastAsia" w:asciiTheme="minorEastAsia" w:hAnsiTheme="minorEastAsia" w:eastAsiaTheme="minorEastAsia" w:cstheme="minorEastAsia"/>
          <w:bCs/>
          <w:color w:val="auto"/>
          <w:sz w:val="24"/>
          <w:szCs w:val="24"/>
          <w:highlight w:val="none"/>
          <w:u w:val="single"/>
          <w:lang w:val="en-US" w:eastAsia="zh-CN"/>
        </w:rPr>
      </w:pPr>
      <w:r>
        <w:rPr>
          <w:rFonts w:hint="eastAsia" w:asciiTheme="minorEastAsia" w:hAnsiTheme="minorEastAsia" w:eastAsiaTheme="minorEastAsia" w:cstheme="minorEastAsia"/>
          <w:bCs/>
          <w:color w:val="auto"/>
          <w:sz w:val="24"/>
          <w:szCs w:val="24"/>
          <w:highlight w:val="none"/>
        </w:rPr>
        <w:t>日期</w:t>
      </w:r>
      <w:r>
        <w:rPr>
          <w:rFonts w:hint="eastAsia" w:asciiTheme="minorEastAsia" w:hAnsiTheme="minorEastAsia" w:eastAsiaTheme="minorEastAsia" w:cstheme="minorEastAsia"/>
          <w:bCs/>
          <w:color w:val="auto"/>
          <w:sz w:val="24"/>
          <w:szCs w:val="24"/>
          <w:highlight w:val="none"/>
          <w:u w:val="single"/>
          <w:lang w:val="en-US" w:eastAsia="zh-CN"/>
        </w:rPr>
        <w:t xml:space="preserve">                     </w:t>
      </w:r>
    </w:p>
    <w:p w14:paraId="41800E1A">
      <w:pPr>
        <w:pStyle w:val="3"/>
        <w:spacing w:before="0" w:line="440" w:lineRule="exact"/>
        <w:jc w:val="center"/>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rPr>
        <w:br w:type="page"/>
      </w:r>
      <w:bookmarkStart w:id="603" w:name="_Toc23305_WPSOffice_Level2"/>
      <w:bookmarkStart w:id="604" w:name="_Toc19943"/>
      <w:bookmarkStart w:id="605" w:name="_Toc15712"/>
      <w:bookmarkStart w:id="606" w:name="_Toc23473"/>
      <w:bookmarkStart w:id="607" w:name="_Toc1266"/>
      <w:bookmarkStart w:id="608" w:name="_Toc3335"/>
      <w:bookmarkStart w:id="609" w:name="_Toc17493"/>
      <w:bookmarkStart w:id="610" w:name="_Toc2927"/>
      <w:bookmarkStart w:id="611" w:name="_Toc2880"/>
      <w:r>
        <w:rPr>
          <w:rFonts w:hint="eastAsia" w:asciiTheme="minorEastAsia" w:hAnsiTheme="minorEastAsia" w:eastAsiaTheme="minorEastAsia" w:cstheme="minorEastAsia"/>
          <w:b/>
          <w:bCs w:val="0"/>
          <w:color w:val="auto"/>
          <w:sz w:val="24"/>
          <w:szCs w:val="24"/>
          <w:highlight w:val="none"/>
        </w:rPr>
        <w:t>2</w:t>
      </w:r>
      <w:bookmarkEnd w:id="603"/>
      <w:bookmarkEnd w:id="604"/>
      <w:bookmarkEnd w:id="605"/>
      <w:bookmarkEnd w:id="606"/>
      <w:bookmarkEnd w:id="607"/>
      <w:r>
        <w:rPr>
          <w:rFonts w:hint="eastAsia" w:asciiTheme="minorEastAsia" w:hAnsiTheme="minorEastAsia" w:eastAsiaTheme="minorEastAsia" w:cstheme="minorEastAsia"/>
          <w:b/>
          <w:bCs w:val="0"/>
          <w:color w:val="auto"/>
          <w:sz w:val="24"/>
          <w:szCs w:val="24"/>
          <w:highlight w:val="none"/>
          <w:lang w:val="en-US" w:eastAsia="zh-CN"/>
        </w:rPr>
        <w:t>、分项报价表</w:t>
      </w:r>
      <w:bookmarkEnd w:id="608"/>
      <w:bookmarkEnd w:id="609"/>
      <w:bookmarkEnd w:id="610"/>
      <w:bookmarkEnd w:id="611"/>
    </w:p>
    <w:tbl>
      <w:tblPr>
        <w:tblStyle w:val="98"/>
        <w:tblpPr w:leftFromText="180" w:rightFromText="180" w:vertAnchor="text" w:horzAnchor="page" w:tblpX="991" w:tblpY="1326"/>
        <w:tblOverlap w:val="never"/>
        <w:tblW w:w="1021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6"/>
        <w:gridCol w:w="1170"/>
        <w:gridCol w:w="1237"/>
        <w:gridCol w:w="1300"/>
        <w:gridCol w:w="1150"/>
        <w:gridCol w:w="1638"/>
        <w:gridCol w:w="837"/>
        <w:gridCol w:w="488"/>
        <w:gridCol w:w="425"/>
        <w:gridCol w:w="450"/>
        <w:gridCol w:w="459"/>
        <w:gridCol w:w="285"/>
      </w:tblGrid>
      <w:tr w14:paraId="6FF55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8" w:hRule="atLeast"/>
        </w:trPr>
        <w:tc>
          <w:tcPr>
            <w:tcW w:w="776" w:type="dxa"/>
            <w:vAlign w:val="center"/>
          </w:tcPr>
          <w:p w14:paraId="5EDFC64C">
            <w:pPr>
              <w:spacing w:before="188" w:line="360" w:lineRule="auto"/>
              <w:jc w:val="center"/>
              <w:rPr>
                <w:rFonts w:hint="eastAsia" w:ascii="宋体" w:hAnsi="宋体" w:eastAsia="宋体" w:cs="宋体"/>
                <w:sz w:val="24"/>
                <w:szCs w:val="24"/>
              </w:rPr>
            </w:pPr>
            <w:r>
              <w:rPr>
                <w:rFonts w:hint="eastAsia" w:ascii="宋体" w:hAnsi="宋体" w:eastAsia="宋体" w:cs="宋体"/>
                <w:spacing w:val="1"/>
                <w:sz w:val="24"/>
                <w:szCs w:val="24"/>
              </w:rPr>
              <w:t>编</w:t>
            </w:r>
            <w:r>
              <w:rPr>
                <w:rFonts w:hint="eastAsia" w:ascii="宋体" w:hAnsi="宋体" w:eastAsia="宋体" w:cs="宋体"/>
                <w:spacing w:val="22"/>
                <w:w w:val="101"/>
                <w:sz w:val="24"/>
                <w:szCs w:val="24"/>
              </w:rPr>
              <w:t xml:space="preserve"> </w:t>
            </w:r>
            <w:r>
              <w:rPr>
                <w:rFonts w:hint="eastAsia" w:ascii="宋体" w:hAnsi="宋体" w:eastAsia="宋体" w:cs="宋体"/>
                <w:spacing w:val="1"/>
                <w:sz w:val="24"/>
                <w:szCs w:val="24"/>
              </w:rPr>
              <w:t>号</w:t>
            </w:r>
          </w:p>
        </w:tc>
        <w:tc>
          <w:tcPr>
            <w:tcW w:w="1170" w:type="dxa"/>
            <w:vAlign w:val="center"/>
          </w:tcPr>
          <w:p w14:paraId="7FB7421A">
            <w:pPr>
              <w:spacing w:before="103" w:line="360" w:lineRule="auto"/>
              <w:jc w:val="center"/>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标的名称</w:t>
            </w:r>
          </w:p>
        </w:tc>
        <w:tc>
          <w:tcPr>
            <w:tcW w:w="1237" w:type="dxa"/>
            <w:vAlign w:val="center"/>
          </w:tcPr>
          <w:p w14:paraId="36547C75">
            <w:pPr>
              <w:spacing w:before="185" w:line="360" w:lineRule="auto"/>
              <w:jc w:val="center"/>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所属行业</w:t>
            </w:r>
          </w:p>
        </w:tc>
        <w:tc>
          <w:tcPr>
            <w:tcW w:w="1300" w:type="dxa"/>
            <w:vAlign w:val="center"/>
          </w:tcPr>
          <w:p w14:paraId="73ABFB3D">
            <w:pPr>
              <w:spacing w:before="103" w:line="360" w:lineRule="auto"/>
              <w:jc w:val="center"/>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品牌</w:t>
            </w:r>
          </w:p>
        </w:tc>
        <w:tc>
          <w:tcPr>
            <w:tcW w:w="1150" w:type="dxa"/>
            <w:vAlign w:val="center"/>
          </w:tcPr>
          <w:p w14:paraId="0DDAC409">
            <w:pPr>
              <w:spacing w:before="103" w:line="360" w:lineRule="auto"/>
              <w:ind w:right="1" w:rightChars="0"/>
              <w:jc w:val="center"/>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规格型号</w:t>
            </w:r>
          </w:p>
        </w:tc>
        <w:tc>
          <w:tcPr>
            <w:tcW w:w="1638" w:type="dxa"/>
            <w:vAlign w:val="center"/>
          </w:tcPr>
          <w:p w14:paraId="0B52E781">
            <w:pPr>
              <w:spacing w:before="106" w:line="360" w:lineRule="auto"/>
              <w:jc w:val="center"/>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制造商名称</w:t>
            </w:r>
          </w:p>
        </w:tc>
        <w:tc>
          <w:tcPr>
            <w:tcW w:w="837" w:type="dxa"/>
            <w:vAlign w:val="center"/>
          </w:tcPr>
          <w:p w14:paraId="4BD35F3D">
            <w:pPr>
              <w:spacing w:before="294" w:line="360" w:lineRule="auto"/>
              <w:jc w:val="center"/>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产地</w:t>
            </w:r>
          </w:p>
        </w:tc>
        <w:tc>
          <w:tcPr>
            <w:tcW w:w="488" w:type="dxa"/>
            <w:vAlign w:val="center"/>
          </w:tcPr>
          <w:p w14:paraId="19C5F24D">
            <w:pPr>
              <w:spacing w:before="293" w:line="360" w:lineRule="auto"/>
              <w:jc w:val="center"/>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数量</w:t>
            </w:r>
          </w:p>
        </w:tc>
        <w:tc>
          <w:tcPr>
            <w:tcW w:w="425" w:type="dxa"/>
            <w:vAlign w:val="center"/>
          </w:tcPr>
          <w:p w14:paraId="31FABDA5">
            <w:pPr>
              <w:spacing w:before="265" w:line="360" w:lineRule="auto"/>
              <w:jc w:val="center"/>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单位</w:t>
            </w:r>
          </w:p>
        </w:tc>
        <w:tc>
          <w:tcPr>
            <w:tcW w:w="450" w:type="dxa"/>
            <w:vAlign w:val="center"/>
          </w:tcPr>
          <w:p w14:paraId="37B87683">
            <w:pPr>
              <w:spacing w:before="256" w:line="360" w:lineRule="auto"/>
              <w:jc w:val="center"/>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单价</w:t>
            </w:r>
          </w:p>
        </w:tc>
        <w:tc>
          <w:tcPr>
            <w:tcW w:w="459" w:type="dxa"/>
            <w:vAlign w:val="center"/>
          </w:tcPr>
          <w:p w14:paraId="189FBDFA">
            <w:pPr>
              <w:spacing w:before="222" w:line="360" w:lineRule="auto"/>
              <w:ind w:leftChars="0" w:firstLine="0" w:firstLineChars="0"/>
              <w:jc w:val="center"/>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合</w:t>
            </w:r>
            <w:r>
              <w:rPr>
                <w:rFonts w:hint="eastAsia" w:ascii="宋体" w:hAnsi="宋体" w:eastAsia="宋体" w:cs="宋体"/>
                <w:snapToGrid w:val="0"/>
                <w:color w:val="000000"/>
                <w:spacing w:val="1"/>
                <w:kern w:val="0"/>
                <w:sz w:val="24"/>
                <w:szCs w:val="24"/>
                <w:lang w:val="en-US" w:eastAsia="en-US" w:bidi="ar-SA"/>
              </w:rPr>
              <w:t>价</w:t>
            </w:r>
          </w:p>
        </w:tc>
        <w:tc>
          <w:tcPr>
            <w:tcW w:w="285" w:type="dxa"/>
            <w:vAlign w:val="center"/>
          </w:tcPr>
          <w:p w14:paraId="18FDCDA4">
            <w:pPr>
              <w:spacing w:before="155" w:line="360" w:lineRule="auto"/>
              <w:jc w:val="center"/>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备注</w:t>
            </w:r>
          </w:p>
        </w:tc>
      </w:tr>
      <w:tr w14:paraId="3AC39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776" w:type="dxa"/>
            <w:vAlign w:val="top"/>
          </w:tcPr>
          <w:p w14:paraId="19625A21">
            <w:pPr>
              <w:spacing w:before="108" w:line="360" w:lineRule="auto"/>
              <w:ind w:left="311"/>
              <w:jc w:val="center"/>
              <w:rPr>
                <w:rFonts w:hint="eastAsia" w:ascii="宋体" w:hAnsi="宋体" w:eastAsia="宋体" w:cs="宋体"/>
                <w:sz w:val="24"/>
                <w:szCs w:val="24"/>
              </w:rPr>
            </w:pPr>
            <w:r>
              <w:rPr>
                <w:rFonts w:hint="eastAsia" w:ascii="宋体" w:hAnsi="宋体" w:eastAsia="宋体" w:cs="宋体"/>
                <w:sz w:val="24"/>
                <w:szCs w:val="24"/>
              </w:rPr>
              <w:t>1</w:t>
            </w:r>
          </w:p>
        </w:tc>
        <w:tc>
          <w:tcPr>
            <w:tcW w:w="1170" w:type="dxa"/>
            <w:vAlign w:val="top"/>
          </w:tcPr>
          <w:p w14:paraId="104C7422">
            <w:pPr>
              <w:pStyle w:val="99"/>
              <w:spacing w:line="360" w:lineRule="auto"/>
              <w:jc w:val="center"/>
              <w:rPr>
                <w:rFonts w:hint="eastAsia" w:ascii="宋体" w:hAnsi="宋体" w:eastAsia="宋体" w:cs="宋体"/>
                <w:sz w:val="24"/>
                <w:szCs w:val="24"/>
              </w:rPr>
            </w:pPr>
          </w:p>
        </w:tc>
        <w:tc>
          <w:tcPr>
            <w:tcW w:w="1237" w:type="dxa"/>
            <w:vAlign w:val="top"/>
          </w:tcPr>
          <w:p w14:paraId="7A5CDF45">
            <w:pPr>
              <w:pStyle w:val="99"/>
              <w:spacing w:line="360" w:lineRule="auto"/>
              <w:jc w:val="center"/>
              <w:rPr>
                <w:rFonts w:hint="eastAsia" w:ascii="宋体" w:hAnsi="宋体" w:eastAsia="宋体" w:cs="宋体"/>
                <w:sz w:val="24"/>
                <w:szCs w:val="24"/>
              </w:rPr>
            </w:pPr>
          </w:p>
        </w:tc>
        <w:tc>
          <w:tcPr>
            <w:tcW w:w="1300" w:type="dxa"/>
            <w:vAlign w:val="top"/>
          </w:tcPr>
          <w:p w14:paraId="060A2939">
            <w:pPr>
              <w:pStyle w:val="99"/>
              <w:spacing w:line="360" w:lineRule="auto"/>
              <w:jc w:val="center"/>
              <w:rPr>
                <w:rFonts w:hint="eastAsia" w:ascii="宋体" w:hAnsi="宋体" w:eastAsia="宋体" w:cs="宋体"/>
                <w:sz w:val="24"/>
                <w:szCs w:val="24"/>
              </w:rPr>
            </w:pPr>
          </w:p>
        </w:tc>
        <w:tc>
          <w:tcPr>
            <w:tcW w:w="1150" w:type="dxa"/>
            <w:vAlign w:val="top"/>
          </w:tcPr>
          <w:p w14:paraId="533E2764">
            <w:pPr>
              <w:pStyle w:val="99"/>
              <w:spacing w:line="360" w:lineRule="auto"/>
              <w:jc w:val="center"/>
              <w:rPr>
                <w:rFonts w:hint="eastAsia" w:ascii="宋体" w:hAnsi="宋体" w:eastAsia="宋体" w:cs="宋体"/>
                <w:sz w:val="24"/>
                <w:szCs w:val="24"/>
              </w:rPr>
            </w:pPr>
          </w:p>
        </w:tc>
        <w:tc>
          <w:tcPr>
            <w:tcW w:w="1638" w:type="dxa"/>
            <w:vAlign w:val="top"/>
          </w:tcPr>
          <w:p w14:paraId="2EC0419E">
            <w:pPr>
              <w:pStyle w:val="99"/>
              <w:spacing w:line="360" w:lineRule="auto"/>
              <w:jc w:val="center"/>
              <w:rPr>
                <w:rFonts w:hint="eastAsia" w:ascii="宋体" w:hAnsi="宋体" w:eastAsia="宋体" w:cs="宋体"/>
                <w:sz w:val="24"/>
                <w:szCs w:val="24"/>
              </w:rPr>
            </w:pPr>
          </w:p>
        </w:tc>
        <w:tc>
          <w:tcPr>
            <w:tcW w:w="837" w:type="dxa"/>
            <w:vAlign w:val="top"/>
          </w:tcPr>
          <w:p w14:paraId="1A561850">
            <w:pPr>
              <w:pStyle w:val="99"/>
              <w:spacing w:line="360" w:lineRule="auto"/>
              <w:jc w:val="center"/>
              <w:rPr>
                <w:rFonts w:hint="eastAsia" w:ascii="宋体" w:hAnsi="宋体" w:eastAsia="宋体" w:cs="宋体"/>
                <w:sz w:val="24"/>
                <w:szCs w:val="24"/>
              </w:rPr>
            </w:pPr>
          </w:p>
        </w:tc>
        <w:tc>
          <w:tcPr>
            <w:tcW w:w="488" w:type="dxa"/>
            <w:vAlign w:val="top"/>
          </w:tcPr>
          <w:p w14:paraId="6D00C9DB">
            <w:pPr>
              <w:pStyle w:val="99"/>
              <w:spacing w:line="360" w:lineRule="auto"/>
              <w:jc w:val="center"/>
              <w:rPr>
                <w:rFonts w:hint="eastAsia" w:ascii="宋体" w:hAnsi="宋体" w:eastAsia="宋体" w:cs="宋体"/>
                <w:sz w:val="24"/>
                <w:szCs w:val="24"/>
              </w:rPr>
            </w:pPr>
          </w:p>
        </w:tc>
        <w:tc>
          <w:tcPr>
            <w:tcW w:w="425" w:type="dxa"/>
            <w:vAlign w:val="top"/>
          </w:tcPr>
          <w:p w14:paraId="3992EC83">
            <w:pPr>
              <w:pStyle w:val="99"/>
              <w:spacing w:line="360" w:lineRule="auto"/>
              <w:jc w:val="center"/>
              <w:rPr>
                <w:rFonts w:hint="eastAsia" w:ascii="宋体" w:hAnsi="宋体" w:eastAsia="宋体" w:cs="宋体"/>
                <w:sz w:val="24"/>
                <w:szCs w:val="24"/>
              </w:rPr>
            </w:pPr>
          </w:p>
        </w:tc>
        <w:tc>
          <w:tcPr>
            <w:tcW w:w="450" w:type="dxa"/>
            <w:vAlign w:val="top"/>
          </w:tcPr>
          <w:p w14:paraId="30A09A11">
            <w:pPr>
              <w:pStyle w:val="99"/>
              <w:spacing w:line="360" w:lineRule="auto"/>
              <w:jc w:val="center"/>
              <w:rPr>
                <w:rFonts w:hint="eastAsia" w:ascii="宋体" w:hAnsi="宋体" w:eastAsia="宋体" w:cs="宋体"/>
                <w:sz w:val="24"/>
                <w:szCs w:val="24"/>
              </w:rPr>
            </w:pPr>
          </w:p>
        </w:tc>
        <w:tc>
          <w:tcPr>
            <w:tcW w:w="459" w:type="dxa"/>
            <w:vAlign w:val="top"/>
          </w:tcPr>
          <w:p w14:paraId="334852FE">
            <w:pPr>
              <w:pStyle w:val="99"/>
              <w:spacing w:line="360" w:lineRule="auto"/>
              <w:jc w:val="center"/>
              <w:rPr>
                <w:rFonts w:hint="eastAsia" w:ascii="宋体" w:hAnsi="宋体" w:eastAsia="宋体" w:cs="宋体"/>
                <w:sz w:val="24"/>
                <w:szCs w:val="24"/>
              </w:rPr>
            </w:pPr>
          </w:p>
        </w:tc>
        <w:tc>
          <w:tcPr>
            <w:tcW w:w="285" w:type="dxa"/>
            <w:vAlign w:val="top"/>
          </w:tcPr>
          <w:p w14:paraId="47B833F5">
            <w:pPr>
              <w:pStyle w:val="99"/>
              <w:spacing w:line="360" w:lineRule="auto"/>
              <w:jc w:val="center"/>
              <w:rPr>
                <w:rFonts w:hint="eastAsia" w:ascii="宋体" w:hAnsi="宋体" w:eastAsia="宋体" w:cs="宋体"/>
                <w:sz w:val="24"/>
                <w:szCs w:val="24"/>
              </w:rPr>
            </w:pPr>
          </w:p>
        </w:tc>
      </w:tr>
      <w:tr w14:paraId="6E1D6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776" w:type="dxa"/>
            <w:vAlign w:val="top"/>
          </w:tcPr>
          <w:p w14:paraId="7C096A92">
            <w:pPr>
              <w:spacing w:before="107" w:line="360" w:lineRule="auto"/>
              <w:ind w:left="288"/>
              <w:jc w:val="center"/>
              <w:rPr>
                <w:rFonts w:hint="eastAsia" w:ascii="宋体" w:hAnsi="宋体" w:eastAsia="宋体" w:cs="宋体"/>
                <w:sz w:val="24"/>
                <w:szCs w:val="24"/>
              </w:rPr>
            </w:pPr>
            <w:r>
              <w:rPr>
                <w:rFonts w:hint="eastAsia" w:ascii="宋体" w:hAnsi="宋体" w:eastAsia="宋体" w:cs="宋体"/>
                <w:sz w:val="24"/>
                <w:szCs w:val="24"/>
              </w:rPr>
              <w:t>2</w:t>
            </w:r>
          </w:p>
        </w:tc>
        <w:tc>
          <w:tcPr>
            <w:tcW w:w="1170" w:type="dxa"/>
            <w:vAlign w:val="top"/>
          </w:tcPr>
          <w:p w14:paraId="6EDCF299">
            <w:pPr>
              <w:pStyle w:val="99"/>
              <w:spacing w:line="360" w:lineRule="auto"/>
              <w:jc w:val="center"/>
              <w:rPr>
                <w:rFonts w:hint="eastAsia" w:ascii="宋体" w:hAnsi="宋体" w:eastAsia="宋体" w:cs="宋体"/>
                <w:sz w:val="24"/>
                <w:szCs w:val="24"/>
              </w:rPr>
            </w:pPr>
          </w:p>
        </w:tc>
        <w:tc>
          <w:tcPr>
            <w:tcW w:w="1237" w:type="dxa"/>
            <w:vAlign w:val="top"/>
          </w:tcPr>
          <w:p w14:paraId="10CA4225">
            <w:pPr>
              <w:pStyle w:val="99"/>
              <w:spacing w:line="360" w:lineRule="auto"/>
              <w:jc w:val="center"/>
              <w:rPr>
                <w:rFonts w:hint="eastAsia" w:ascii="宋体" w:hAnsi="宋体" w:eastAsia="宋体" w:cs="宋体"/>
                <w:sz w:val="24"/>
                <w:szCs w:val="24"/>
              </w:rPr>
            </w:pPr>
          </w:p>
        </w:tc>
        <w:tc>
          <w:tcPr>
            <w:tcW w:w="1300" w:type="dxa"/>
            <w:vAlign w:val="top"/>
          </w:tcPr>
          <w:p w14:paraId="4D280FBE">
            <w:pPr>
              <w:pStyle w:val="99"/>
              <w:spacing w:line="360" w:lineRule="auto"/>
              <w:jc w:val="center"/>
              <w:rPr>
                <w:rFonts w:hint="eastAsia" w:ascii="宋体" w:hAnsi="宋体" w:eastAsia="宋体" w:cs="宋体"/>
                <w:sz w:val="24"/>
                <w:szCs w:val="24"/>
              </w:rPr>
            </w:pPr>
          </w:p>
        </w:tc>
        <w:tc>
          <w:tcPr>
            <w:tcW w:w="1150" w:type="dxa"/>
            <w:vAlign w:val="top"/>
          </w:tcPr>
          <w:p w14:paraId="21C30B4F">
            <w:pPr>
              <w:pStyle w:val="99"/>
              <w:spacing w:line="360" w:lineRule="auto"/>
              <w:jc w:val="center"/>
              <w:rPr>
                <w:rFonts w:hint="eastAsia" w:ascii="宋体" w:hAnsi="宋体" w:eastAsia="宋体" w:cs="宋体"/>
                <w:sz w:val="24"/>
                <w:szCs w:val="24"/>
              </w:rPr>
            </w:pPr>
          </w:p>
        </w:tc>
        <w:tc>
          <w:tcPr>
            <w:tcW w:w="1638" w:type="dxa"/>
            <w:vAlign w:val="top"/>
          </w:tcPr>
          <w:p w14:paraId="2BA4C52E">
            <w:pPr>
              <w:pStyle w:val="99"/>
              <w:spacing w:line="360" w:lineRule="auto"/>
              <w:jc w:val="center"/>
              <w:rPr>
                <w:rFonts w:hint="eastAsia" w:ascii="宋体" w:hAnsi="宋体" w:eastAsia="宋体" w:cs="宋体"/>
                <w:sz w:val="24"/>
                <w:szCs w:val="24"/>
              </w:rPr>
            </w:pPr>
          </w:p>
        </w:tc>
        <w:tc>
          <w:tcPr>
            <w:tcW w:w="837" w:type="dxa"/>
            <w:vAlign w:val="top"/>
          </w:tcPr>
          <w:p w14:paraId="3837FF82">
            <w:pPr>
              <w:pStyle w:val="99"/>
              <w:spacing w:line="360" w:lineRule="auto"/>
              <w:jc w:val="center"/>
              <w:rPr>
                <w:rFonts w:hint="eastAsia" w:ascii="宋体" w:hAnsi="宋体" w:eastAsia="宋体" w:cs="宋体"/>
                <w:sz w:val="24"/>
                <w:szCs w:val="24"/>
              </w:rPr>
            </w:pPr>
          </w:p>
        </w:tc>
        <w:tc>
          <w:tcPr>
            <w:tcW w:w="488" w:type="dxa"/>
            <w:vAlign w:val="top"/>
          </w:tcPr>
          <w:p w14:paraId="318FF5D5">
            <w:pPr>
              <w:pStyle w:val="99"/>
              <w:spacing w:line="360" w:lineRule="auto"/>
              <w:jc w:val="center"/>
              <w:rPr>
                <w:rFonts w:hint="eastAsia" w:ascii="宋体" w:hAnsi="宋体" w:eastAsia="宋体" w:cs="宋体"/>
                <w:sz w:val="24"/>
                <w:szCs w:val="24"/>
              </w:rPr>
            </w:pPr>
          </w:p>
        </w:tc>
        <w:tc>
          <w:tcPr>
            <w:tcW w:w="425" w:type="dxa"/>
            <w:vAlign w:val="top"/>
          </w:tcPr>
          <w:p w14:paraId="4EC3D700">
            <w:pPr>
              <w:pStyle w:val="99"/>
              <w:spacing w:line="360" w:lineRule="auto"/>
              <w:jc w:val="center"/>
              <w:rPr>
                <w:rFonts w:hint="eastAsia" w:ascii="宋体" w:hAnsi="宋体" w:eastAsia="宋体" w:cs="宋体"/>
                <w:sz w:val="24"/>
                <w:szCs w:val="24"/>
              </w:rPr>
            </w:pPr>
          </w:p>
        </w:tc>
        <w:tc>
          <w:tcPr>
            <w:tcW w:w="450" w:type="dxa"/>
            <w:vAlign w:val="top"/>
          </w:tcPr>
          <w:p w14:paraId="59D120D9">
            <w:pPr>
              <w:pStyle w:val="99"/>
              <w:spacing w:line="360" w:lineRule="auto"/>
              <w:jc w:val="center"/>
              <w:rPr>
                <w:rFonts w:hint="eastAsia" w:ascii="宋体" w:hAnsi="宋体" w:eastAsia="宋体" w:cs="宋体"/>
                <w:sz w:val="24"/>
                <w:szCs w:val="24"/>
              </w:rPr>
            </w:pPr>
          </w:p>
        </w:tc>
        <w:tc>
          <w:tcPr>
            <w:tcW w:w="459" w:type="dxa"/>
            <w:vAlign w:val="top"/>
          </w:tcPr>
          <w:p w14:paraId="28862770">
            <w:pPr>
              <w:pStyle w:val="99"/>
              <w:spacing w:line="360" w:lineRule="auto"/>
              <w:jc w:val="center"/>
              <w:rPr>
                <w:rFonts w:hint="eastAsia" w:ascii="宋体" w:hAnsi="宋体" w:eastAsia="宋体" w:cs="宋体"/>
                <w:sz w:val="24"/>
                <w:szCs w:val="24"/>
              </w:rPr>
            </w:pPr>
          </w:p>
        </w:tc>
        <w:tc>
          <w:tcPr>
            <w:tcW w:w="285" w:type="dxa"/>
            <w:vAlign w:val="top"/>
          </w:tcPr>
          <w:p w14:paraId="522804A5">
            <w:pPr>
              <w:pStyle w:val="99"/>
              <w:spacing w:line="360" w:lineRule="auto"/>
              <w:jc w:val="center"/>
              <w:rPr>
                <w:rFonts w:hint="eastAsia" w:ascii="宋体" w:hAnsi="宋体" w:eastAsia="宋体" w:cs="宋体"/>
                <w:sz w:val="24"/>
                <w:szCs w:val="24"/>
              </w:rPr>
            </w:pPr>
          </w:p>
        </w:tc>
      </w:tr>
      <w:tr w14:paraId="58C45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776" w:type="dxa"/>
            <w:vAlign w:val="top"/>
          </w:tcPr>
          <w:p w14:paraId="63FD7BDB">
            <w:pPr>
              <w:spacing w:before="112" w:line="360" w:lineRule="auto"/>
              <w:ind w:left="292"/>
              <w:jc w:val="center"/>
              <w:rPr>
                <w:rFonts w:hint="eastAsia" w:ascii="宋体" w:hAnsi="宋体" w:eastAsia="宋体" w:cs="宋体"/>
                <w:sz w:val="24"/>
                <w:szCs w:val="24"/>
              </w:rPr>
            </w:pPr>
            <w:r>
              <w:rPr>
                <w:rFonts w:hint="eastAsia" w:ascii="宋体" w:hAnsi="宋体" w:eastAsia="宋体" w:cs="宋体"/>
                <w:sz w:val="24"/>
                <w:szCs w:val="24"/>
              </w:rPr>
              <w:t>3</w:t>
            </w:r>
          </w:p>
        </w:tc>
        <w:tc>
          <w:tcPr>
            <w:tcW w:w="1170" w:type="dxa"/>
            <w:vAlign w:val="top"/>
          </w:tcPr>
          <w:p w14:paraId="70FD4CA9">
            <w:pPr>
              <w:pStyle w:val="99"/>
              <w:spacing w:line="360" w:lineRule="auto"/>
              <w:jc w:val="center"/>
              <w:rPr>
                <w:rFonts w:hint="eastAsia" w:ascii="宋体" w:hAnsi="宋体" w:eastAsia="宋体" w:cs="宋体"/>
                <w:sz w:val="24"/>
                <w:szCs w:val="24"/>
              </w:rPr>
            </w:pPr>
          </w:p>
        </w:tc>
        <w:tc>
          <w:tcPr>
            <w:tcW w:w="1237" w:type="dxa"/>
            <w:vAlign w:val="top"/>
          </w:tcPr>
          <w:p w14:paraId="1E690C2C">
            <w:pPr>
              <w:pStyle w:val="99"/>
              <w:spacing w:line="360" w:lineRule="auto"/>
              <w:jc w:val="center"/>
              <w:rPr>
                <w:rFonts w:hint="eastAsia" w:ascii="宋体" w:hAnsi="宋体" w:eastAsia="宋体" w:cs="宋体"/>
                <w:sz w:val="24"/>
                <w:szCs w:val="24"/>
              </w:rPr>
            </w:pPr>
          </w:p>
        </w:tc>
        <w:tc>
          <w:tcPr>
            <w:tcW w:w="1300" w:type="dxa"/>
            <w:vAlign w:val="top"/>
          </w:tcPr>
          <w:p w14:paraId="354F17C3">
            <w:pPr>
              <w:pStyle w:val="99"/>
              <w:spacing w:line="360" w:lineRule="auto"/>
              <w:jc w:val="center"/>
              <w:rPr>
                <w:rFonts w:hint="eastAsia" w:ascii="宋体" w:hAnsi="宋体" w:eastAsia="宋体" w:cs="宋体"/>
                <w:sz w:val="24"/>
                <w:szCs w:val="24"/>
              </w:rPr>
            </w:pPr>
          </w:p>
        </w:tc>
        <w:tc>
          <w:tcPr>
            <w:tcW w:w="1150" w:type="dxa"/>
            <w:vAlign w:val="top"/>
          </w:tcPr>
          <w:p w14:paraId="0C0B3417">
            <w:pPr>
              <w:pStyle w:val="99"/>
              <w:spacing w:line="360" w:lineRule="auto"/>
              <w:jc w:val="center"/>
              <w:rPr>
                <w:rFonts w:hint="eastAsia" w:ascii="宋体" w:hAnsi="宋体" w:eastAsia="宋体" w:cs="宋体"/>
                <w:sz w:val="24"/>
                <w:szCs w:val="24"/>
              </w:rPr>
            </w:pPr>
          </w:p>
        </w:tc>
        <w:tc>
          <w:tcPr>
            <w:tcW w:w="1638" w:type="dxa"/>
            <w:vAlign w:val="top"/>
          </w:tcPr>
          <w:p w14:paraId="7890BB18">
            <w:pPr>
              <w:pStyle w:val="99"/>
              <w:spacing w:line="360" w:lineRule="auto"/>
              <w:jc w:val="center"/>
              <w:rPr>
                <w:rFonts w:hint="eastAsia" w:ascii="宋体" w:hAnsi="宋体" w:eastAsia="宋体" w:cs="宋体"/>
                <w:sz w:val="24"/>
                <w:szCs w:val="24"/>
              </w:rPr>
            </w:pPr>
          </w:p>
        </w:tc>
        <w:tc>
          <w:tcPr>
            <w:tcW w:w="837" w:type="dxa"/>
            <w:vAlign w:val="top"/>
          </w:tcPr>
          <w:p w14:paraId="7D2CD00E">
            <w:pPr>
              <w:pStyle w:val="99"/>
              <w:spacing w:line="360" w:lineRule="auto"/>
              <w:jc w:val="center"/>
              <w:rPr>
                <w:rFonts w:hint="eastAsia" w:ascii="宋体" w:hAnsi="宋体" w:eastAsia="宋体" w:cs="宋体"/>
                <w:sz w:val="24"/>
                <w:szCs w:val="24"/>
              </w:rPr>
            </w:pPr>
          </w:p>
        </w:tc>
        <w:tc>
          <w:tcPr>
            <w:tcW w:w="488" w:type="dxa"/>
            <w:vAlign w:val="top"/>
          </w:tcPr>
          <w:p w14:paraId="04E12235">
            <w:pPr>
              <w:pStyle w:val="99"/>
              <w:spacing w:line="360" w:lineRule="auto"/>
              <w:jc w:val="center"/>
              <w:rPr>
                <w:rFonts w:hint="eastAsia" w:ascii="宋体" w:hAnsi="宋体" w:eastAsia="宋体" w:cs="宋体"/>
                <w:sz w:val="24"/>
                <w:szCs w:val="24"/>
              </w:rPr>
            </w:pPr>
          </w:p>
        </w:tc>
        <w:tc>
          <w:tcPr>
            <w:tcW w:w="425" w:type="dxa"/>
            <w:vAlign w:val="top"/>
          </w:tcPr>
          <w:p w14:paraId="16946D51">
            <w:pPr>
              <w:pStyle w:val="99"/>
              <w:spacing w:line="360" w:lineRule="auto"/>
              <w:jc w:val="center"/>
              <w:rPr>
                <w:rFonts w:hint="eastAsia" w:ascii="宋体" w:hAnsi="宋体" w:eastAsia="宋体" w:cs="宋体"/>
                <w:sz w:val="24"/>
                <w:szCs w:val="24"/>
              </w:rPr>
            </w:pPr>
          </w:p>
        </w:tc>
        <w:tc>
          <w:tcPr>
            <w:tcW w:w="450" w:type="dxa"/>
            <w:vAlign w:val="top"/>
          </w:tcPr>
          <w:p w14:paraId="02BA36BD">
            <w:pPr>
              <w:pStyle w:val="99"/>
              <w:spacing w:line="360" w:lineRule="auto"/>
              <w:jc w:val="center"/>
              <w:rPr>
                <w:rFonts w:hint="eastAsia" w:ascii="宋体" w:hAnsi="宋体" w:eastAsia="宋体" w:cs="宋体"/>
                <w:sz w:val="24"/>
                <w:szCs w:val="24"/>
              </w:rPr>
            </w:pPr>
          </w:p>
        </w:tc>
        <w:tc>
          <w:tcPr>
            <w:tcW w:w="459" w:type="dxa"/>
            <w:vAlign w:val="top"/>
          </w:tcPr>
          <w:p w14:paraId="1011A1C6">
            <w:pPr>
              <w:pStyle w:val="99"/>
              <w:spacing w:line="360" w:lineRule="auto"/>
              <w:jc w:val="center"/>
              <w:rPr>
                <w:rFonts w:hint="eastAsia" w:ascii="宋体" w:hAnsi="宋体" w:eastAsia="宋体" w:cs="宋体"/>
                <w:sz w:val="24"/>
                <w:szCs w:val="24"/>
              </w:rPr>
            </w:pPr>
          </w:p>
        </w:tc>
        <w:tc>
          <w:tcPr>
            <w:tcW w:w="285" w:type="dxa"/>
            <w:vAlign w:val="top"/>
          </w:tcPr>
          <w:p w14:paraId="2116F2B5">
            <w:pPr>
              <w:pStyle w:val="99"/>
              <w:spacing w:line="360" w:lineRule="auto"/>
              <w:jc w:val="center"/>
              <w:rPr>
                <w:rFonts w:hint="eastAsia" w:ascii="宋体" w:hAnsi="宋体" w:eastAsia="宋体" w:cs="宋体"/>
                <w:sz w:val="24"/>
                <w:szCs w:val="24"/>
              </w:rPr>
            </w:pPr>
          </w:p>
        </w:tc>
      </w:tr>
      <w:tr w14:paraId="7E7B4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776" w:type="dxa"/>
            <w:vAlign w:val="top"/>
          </w:tcPr>
          <w:p w14:paraId="7522A2B9">
            <w:pPr>
              <w:spacing w:before="115" w:line="360" w:lineRule="auto"/>
              <w:ind w:left="273"/>
              <w:jc w:val="center"/>
              <w:rPr>
                <w:rFonts w:hint="eastAsia" w:ascii="宋体" w:hAnsi="宋体" w:eastAsia="宋体" w:cs="宋体"/>
                <w:sz w:val="24"/>
                <w:szCs w:val="24"/>
              </w:rPr>
            </w:pPr>
            <w:r>
              <w:rPr>
                <w:rFonts w:hint="eastAsia" w:ascii="宋体" w:hAnsi="宋体" w:eastAsia="宋体" w:cs="宋体"/>
                <w:sz w:val="24"/>
                <w:szCs w:val="24"/>
              </w:rPr>
              <w:t>4</w:t>
            </w:r>
          </w:p>
        </w:tc>
        <w:tc>
          <w:tcPr>
            <w:tcW w:w="1170" w:type="dxa"/>
            <w:vAlign w:val="top"/>
          </w:tcPr>
          <w:p w14:paraId="13B730AB">
            <w:pPr>
              <w:pStyle w:val="99"/>
              <w:spacing w:line="360" w:lineRule="auto"/>
              <w:jc w:val="center"/>
              <w:rPr>
                <w:rFonts w:hint="eastAsia" w:ascii="宋体" w:hAnsi="宋体" w:eastAsia="宋体" w:cs="宋体"/>
                <w:sz w:val="24"/>
                <w:szCs w:val="24"/>
              </w:rPr>
            </w:pPr>
          </w:p>
        </w:tc>
        <w:tc>
          <w:tcPr>
            <w:tcW w:w="1237" w:type="dxa"/>
            <w:vAlign w:val="top"/>
          </w:tcPr>
          <w:p w14:paraId="792A27D6">
            <w:pPr>
              <w:pStyle w:val="99"/>
              <w:spacing w:line="360" w:lineRule="auto"/>
              <w:jc w:val="center"/>
              <w:rPr>
                <w:rFonts w:hint="eastAsia" w:ascii="宋体" w:hAnsi="宋体" w:eastAsia="宋体" w:cs="宋体"/>
                <w:sz w:val="24"/>
                <w:szCs w:val="24"/>
              </w:rPr>
            </w:pPr>
          </w:p>
        </w:tc>
        <w:tc>
          <w:tcPr>
            <w:tcW w:w="1300" w:type="dxa"/>
            <w:vAlign w:val="top"/>
          </w:tcPr>
          <w:p w14:paraId="55450D52">
            <w:pPr>
              <w:pStyle w:val="99"/>
              <w:spacing w:line="360" w:lineRule="auto"/>
              <w:jc w:val="center"/>
              <w:rPr>
                <w:rFonts w:hint="eastAsia" w:ascii="宋体" w:hAnsi="宋体" w:eastAsia="宋体" w:cs="宋体"/>
                <w:sz w:val="24"/>
                <w:szCs w:val="24"/>
              </w:rPr>
            </w:pPr>
          </w:p>
        </w:tc>
        <w:tc>
          <w:tcPr>
            <w:tcW w:w="1150" w:type="dxa"/>
            <w:vAlign w:val="top"/>
          </w:tcPr>
          <w:p w14:paraId="36AFA1F5">
            <w:pPr>
              <w:pStyle w:val="99"/>
              <w:spacing w:line="360" w:lineRule="auto"/>
              <w:jc w:val="center"/>
              <w:rPr>
                <w:rFonts w:hint="eastAsia" w:ascii="宋体" w:hAnsi="宋体" w:eastAsia="宋体" w:cs="宋体"/>
                <w:sz w:val="24"/>
                <w:szCs w:val="24"/>
              </w:rPr>
            </w:pPr>
          </w:p>
        </w:tc>
        <w:tc>
          <w:tcPr>
            <w:tcW w:w="1638" w:type="dxa"/>
            <w:vAlign w:val="top"/>
          </w:tcPr>
          <w:p w14:paraId="3827AEAA">
            <w:pPr>
              <w:pStyle w:val="99"/>
              <w:spacing w:line="360" w:lineRule="auto"/>
              <w:jc w:val="center"/>
              <w:rPr>
                <w:rFonts w:hint="eastAsia" w:ascii="宋体" w:hAnsi="宋体" w:eastAsia="宋体" w:cs="宋体"/>
                <w:sz w:val="24"/>
                <w:szCs w:val="24"/>
              </w:rPr>
            </w:pPr>
          </w:p>
        </w:tc>
        <w:tc>
          <w:tcPr>
            <w:tcW w:w="837" w:type="dxa"/>
            <w:vAlign w:val="top"/>
          </w:tcPr>
          <w:p w14:paraId="7EFCCD24">
            <w:pPr>
              <w:pStyle w:val="99"/>
              <w:spacing w:line="360" w:lineRule="auto"/>
              <w:jc w:val="center"/>
              <w:rPr>
                <w:rFonts w:hint="eastAsia" w:ascii="宋体" w:hAnsi="宋体" w:eastAsia="宋体" w:cs="宋体"/>
                <w:sz w:val="24"/>
                <w:szCs w:val="24"/>
              </w:rPr>
            </w:pPr>
          </w:p>
        </w:tc>
        <w:tc>
          <w:tcPr>
            <w:tcW w:w="488" w:type="dxa"/>
            <w:vAlign w:val="top"/>
          </w:tcPr>
          <w:p w14:paraId="70E14B17">
            <w:pPr>
              <w:pStyle w:val="99"/>
              <w:spacing w:line="360" w:lineRule="auto"/>
              <w:jc w:val="center"/>
              <w:rPr>
                <w:rFonts w:hint="eastAsia" w:ascii="宋体" w:hAnsi="宋体" w:eastAsia="宋体" w:cs="宋体"/>
                <w:sz w:val="24"/>
                <w:szCs w:val="24"/>
              </w:rPr>
            </w:pPr>
          </w:p>
        </w:tc>
        <w:tc>
          <w:tcPr>
            <w:tcW w:w="425" w:type="dxa"/>
            <w:vAlign w:val="top"/>
          </w:tcPr>
          <w:p w14:paraId="2CB948F0">
            <w:pPr>
              <w:pStyle w:val="99"/>
              <w:spacing w:line="360" w:lineRule="auto"/>
              <w:jc w:val="center"/>
              <w:rPr>
                <w:rFonts w:hint="eastAsia" w:ascii="宋体" w:hAnsi="宋体" w:eastAsia="宋体" w:cs="宋体"/>
                <w:sz w:val="24"/>
                <w:szCs w:val="24"/>
              </w:rPr>
            </w:pPr>
          </w:p>
        </w:tc>
        <w:tc>
          <w:tcPr>
            <w:tcW w:w="450" w:type="dxa"/>
            <w:vAlign w:val="top"/>
          </w:tcPr>
          <w:p w14:paraId="7B09836C">
            <w:pPr>
              <w:pStyle w:val="99"/>
              <w:spacing w:line="360" w:lineRule="auto"/>
              <w:jc w:val="center"/>
              <w:rPr>
                <w:rFonts w:hint="eastAsia" w:ascii="宋体" w:hAnsi="宋体" w:eastAsia="宋体" w:cs="宋体"/>
                <w:sz w:val="24"/>
                <w:szCs w:val="24"/>
              </w:rPr>
            </w:pPr>
          </w:p>
        </w:tc>
        <w:tc>
          <w:tcPr>
            <w:tcW w:w="459" w:type="dxa"/>
            <w:vAlign w:val="top"/>
          </w:tcPr>
          <w:p w14:paraId="105DB8BF">
            <w:pPr>
              <w:pStyle w:val="99"/>
              <w:spacing w:line="360" w:lineRule="auto"/>
              <w:jc w:val="center"/>
              <w:rPr>
                <w:rFonts w:hint="eastAsia" w:ascii="宋体" w:hAnsi="宋体" w:eastAsia="宋体" w:cs="宋体"/>
                <w:sz w:val="24"/>
                <w:szCs w:val="24"/>
              </w:rPr>
            </w:pPr>
          </w:p>
        </w:tc>
        <w:tc>
          <w:tcPr>
            <w:tcW w:w="285" w:type="dxa"/>
            <w:vAlign w:val="top"/>
          </w:tcPr>
          <w:p w14:paraId="2BE5D569">
            <w:pPr>
              <w:pStyle w:val="99"/>
              <w:spacing w:line="360" w:lineRule="auto"/>
              <w:jc w:val="center"/>
              <w:rPr>
                <w:rFonts w:hint="eastAsia" w:ascii="宋体" w:hAnsi="宋体" w:eastAsia="宋体" w:cs="宋体"/>
                <w:sz w:val="24"/>
                <w:szCs w:val="24"/>
              </w:rPr>
            </w:pPr>
          </w:p>
        </w:tc>
      </w:tr>
      <w:tr w14:paraId="41853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9" w:hRule="atLeast"/>
        </w:trPr>
        <w:tc>
          <w:tcPr>
            <w:tcW w:w="776" w:type="dxa"/>
            <w:vAlign w:val="top"/>
          </w:tcPr>
          <w:p w14:paraId="4E724D21">
            <w:pPr>
              <w:spacing w:before="273" w:line="360" w:lineRule="auto"/>
              <w:ind w:left="109"/>
              <w:jc w:val="center"/>
              <w:rPr>
                <w:rFonts w:hint="eastAsia" w:ascii="宋体" w:hAnsi="宋体" w:eastAsia="宋体" w:cs="宋体"/>
                <w:sz w:val="24"/>
                <w:szCs w:val="24"/>
              </w:rPr>
            </w:pPr>
            <w:r>
              <w:rPr>
                <w:rFonts w:hint="eastAsia" w:ascii="宋体" w:hAnsi="宋体" w:eastAsia="宋体" w:cs="宋体"/>
                <w:spacing w:val="-1"/>
                <w:position w:val="3"/>
                <w:sz w:val="24"/>
                <w:szCs w:val="24"/>
              </w:rPr>
              <w:t>......</w:t>
            </w:r>
          </w:p>
        </w:tc>
        <w:tc>
          <w:tcPr>
            <w:tcW w:w="1170" w:type="dxa"/>
            <w:vAlign w:val="top"/>
          </w:tcPr>
          <w:p w14:paraId="246111B4">
            <w:pPr>
              <w:pStyle w:val="99"/>
              <w:spacing w:line="360" w:lineRule="auto"/>
              <w:jc w:val="center"/>
              <w:rPr>
                <w:rFonts w:hint="eastAsia" w:ascii="宋体" w:hAnsi="宋体" w:eastAsia="宋体" w:cs="宋体"/>
                <w:sz w:val="24"/>
                <w:szCs w:val="24"/>
              </w:rPr>
            </w:pPr>
          </w:p>
        </w:tc>
        <w:tc>
          <w:tcPr>
            <w:tcW w:w="1237" w:type="dxa"/>
            <w:vAlign w:val="top"/>
          </w:tcPr>
          <w:p w14:paraId="7BD35EC6">
            <w:pPr>
              <w:pStyle w:val="99"/>
              <w:spacing w:line="360" w:lineRule="auto"/>
              <w:jc w:val="center"/>
              <w:rPr>
                <w:rFonts w:hint="eastAsia" w:ascii="宋体" w:hAnsi="宋体" w:eastAsia="宋体" w:cs="宋体"/>
                <w:sz w:val="24"/>
                <w:szCs w:val="24"/>
              </w:rPr>
            </w:pPr>
          </w:p>
        </w:tc>
        <w:tc>
          <w:tcPr>
            <w:tcW w:w="1300" w:type="dxa"/>
            <w:vAlign w:val="top"/>
          </w:tcPr>
          <w:p w14:paraId="46CEEA99">
            <w:pPr>
              <w:pStyle w:val="99"/>
              <w:spacing w:line="360" w:lineRule="auto"/>
              <w:jc w:val="center"/>
              <w:rPr>
                <w:rFonts w:hint="eastAsia" w:ascii="宋体" w:hAnsi="宋体" w:eastAsia="宋体" w:cs="宋体"/>
                <w:sz w:val="24"/>
                <w:szCs w:val="24"/>
              </w:rPr>
            </w:pPr>
          </w:p>
        </w:tc>
        <w:tc>
          <w:tcPr>
            <w:tcW w:w="1150" w:type="dxa"/>
            <w:vAlign w:val="top"/>
          </w:tcPr>
          <w:p w14:paraId="7E9947D1">
            <w:pPr>
              <w:pStyle w:val="99"/>
              <w:spacing w:line="360" w:lineRule="auto"/>
              <w:jc w:val="center"/>
              <w:rPr>
                <w:rFonts w:hint="eastAsia" w:ascii="宋体" w:hAnsi="宋体" w:eastAsia="宋体" w:cs="宋体"/>
                <w:sz w:val="24"/>
                <w:szCs w:val="24"/>
              </w:rPr>
            </w:pPr>
          </w:p>
        </w:tc>
        <w:tc>
          <w:tcPr>
            <w:tcW w:w="1638" w:type="dxa"/>
            <w:vAlign w:val="top"/>
          </w:tcPr>
          <w:p w14:paraId="14A87662">
            <w:pPr>
              <w:pStyle w:val="99"/>
              <w:spacing w:line="360" w:lineRule="auto"/>
              <w:jc w:val="center"/>
              <w:rPr>
                <w:rFonts w:hint="eastAsia" w:ascii="宋体" w:hAnsi="宋体" w:eastAsia="宋体" w:cs="宋体"/>
                <w:sz w:val="24"/>
                <w:szCs w:val="24"/>
              </w:rPr>
            </w:pPr>
          </w:p>
        </w:tc>
        <w:tc>
          <w:tcPr>
            <w:tcW w:w="837" w:type="dxa"/>
            <w:vAlign w:val="top"/>
          </w:tcPr>
          <w:p w14:paraId="790968A3">
            <w:pPr>
              <w:pStyle w:val="99"/>
              <w:spacing w:line="360" w:lineRule="auto"/>
              <w:jc w:val="center"/>
              <w:rPr>
                <w:rFonts w:hint="eastAsia" w:ascii="宋体" w:hAnsi="宋体" w:eastAsia="宋体" w:cs="宋体"/>
                <w:sz w:val="24"/>
                <w:szCs w:val="24"/>
              </w:rPr>
            </w:pPr>
          </w:p>
        </w:tc>
        <w:tc>
          <w:tcPr>
            <w:tcW w:w="488" w:type="dxa"/>
            <w:vAlign w:val="top"/>
          </w:tcPr>
          <w:p w14:paraId="70EE7273">
            <w:pPr>
              <w:pStyle w:val="99"/>
              <w:spacing w:line="360" w:lineRule="auto"/>
              <w:jc w:val="center"/>
              <w:rPr>
                <w:rFonts w:hint="eastAsia" w:ascii="宋体" w:hAnsi="宋体" w:eastAsia="宋体" w:cs="宋体"/>
                <w:sz w:val="24"/>
                <w:szCs w:val="24"/>
              </w:rPr>
            </w:pPr>
          </w:p>
        </w:tc>
        <w:tc>
          <w:tcPr>
            <w:tcW w:w="425" w:type="dxa"/>
            <w:vAlign w:val="top"/>
          </w:tcPr>
          <w:p w14:paraId="075DE8F0">
            <w:pPr>
              <w:pStyle w:val="99"/>
              <w:spacing w:line="360" w:lineRule="auto"/>
              <w:jc w:val="center"/>
              <w:rPr>
                <w:rFonts w:hint="eastAsia" w:ascii="宋体" w:hAnsi="宋体" w:eastAsia="宋体" w:cs="宋体"/>
                <w:sz w:val="24"/>
                <w:szCs w:val="24"/>
              </w:rPr>
            </w:pPr>
          </w:p>
        </w:tc>
        <w:tc>
          <w:tcPr>
            <w:tcW w:w="450" w:type="dxa"/>
            <w:vAlign w:val="top"/>
          </w:tcPr>
          <w:p w14:paraId="22FC4B2C">
            <w:pPr>
              <w:pStyle w:val="99"/>
              <w:spacing w:line="360" w:lineRule="auto"/>
              <w:jc w:val="center"/>
              <w:rPr>
                <w:rFonts w:hint="eastAsia" w:ascii="宋体" w:hAnsi="宋体" w:eastAsia="宋体" w:cs="宋体"/>
                <w:sz w:val="24"/>
                <w:szCs w:val="24"/>
              </w:rPr>
            </w:pPr>
          </w:p>
        </w:tc>
        <w:tc>
          <w:tcPr>
            <w:tcW w:w="459" w:type="dxa"/>
            <w:vAlign w:val="top"/>
          </w:tcPr>
          <w:p w14:paraId="13F3A6BB">
            <w:pPr>
              <w:pStyle w:val="99"/>
              <w:spacing w:line="360" w:lineRule="auto"/>
              <w:jc w:val="center"/>
              <w:rPr>
                <w:rFonts w:hint="eastAsia" w:ascii="宋体" w:hAnsi="宋体" w:eastAsia="宋体" w:cs="宋体"/>
                <w:sz w:val="24"/>
                <w:szCs w:val="24"/>
              </w:rPr>
            </w:pPr>
          </w:p>
        </w:tc>
        <w:tc>
          <w:tcPr>
            <w:tcW w:w="285" w:type="dxa"/>
            <w:vAlign w:val="top"/>
          </w:tcPr>
          <w:p w14:paraId="52C34CED">
            <w:pPr>
              <w:pStyle w:val="99"/>
              <w:spacing w:line="360" w:lineRule="auto"/>
              <w:jc w:val="center"/>
              <w:rPr>
                <w:rFonts w:hint="eastAsia" w:ascii="宋体" w:hAnsi="宋体" w:eastAsia="宋体" w:cs="宋体"/>
                <w:sz w:val="24"/>
                <w:szCs w:val="24"/>
              </w:rPr>
            </w:pPr>
          </w:p>
        </w:tc>
      </w:tr>
      <w:tr w14:paraId="39C3A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9930" w:type="dxa"/>
            <w:gridSpan w:val="11"/>
            <w:vAlign w:val="top"/>
          </w:tcPr>
          <w:p w14:paraId="1D8B64EE">
            <w:pPr>
              <w:spacing w:before="64" w:line="360" w:lineRule="auto"/>
              <w:ind w:left="2"/>
              <w:jc w:val="center"/>
              <w:rPr>
                <w:rFonts w:hint="eastAsia" w:ascii="宋体" w:hAnsi="宋体" w:eastAsia="宋体" w:cs="宋体"/>
                <w:sz w:val="24"/>
                <w:szCs w:val="24"/>
                <w:lang w:eastAsia="zh-CN"/>
              </w:rPr>
            </w:pPr>
            <w:r>
              <w:rPr>
                <w:rFonts w:hint="eastAsia" w:ascii="宋体" w:hAnsi="宋体" w:eastAsia="宋体" w:cs="宋体"/>
                <w:spacing w:val="-7"/>
                <w:sz w:val="24"/>
                <w:szCs w:val="24"/>
              </w:rPr>
              <w:t>总价（元</w:t>
            </w:r>
            <w:r>
              <w:rPr>
                <w:rFonts w:hint="eastAsia" w:ascii="宋体" w:hAnsi="宋体" w:eastAsia="宋体" w:cs="宋体"/>
                <w:sz w:val="24"/>
                <w:szCs w:val="24"/>
              </w:rPr>
              <w:t>）</w:t>
            </w:r>
            <w:r>
              <w:rPr>
                <w:rFonts w:hint="eastAsia" w:ascii="宋体" w:hAnsi="宋体" w:eastAsia="宋体" w:cs="宋体"/>
                <w:spacing w:val="-28"/>
                <w:sz w:val="24"/>
                <w:szCs w:val="24"/>
                <w:lang w:eastAsia="zh-CN"/>
              </w:rPr>
              <w:t>：</w:t>
            </w:r>
          </w:p>
        </w:tc>
        <w:tc>
          <w:tcPr>
            <w:tcW w:w="285" w:type="dxa"/>
            <w:vAlign w:val="top"/>
          </w:tcPr>
          <w:p w14:paraId="597F9BE3">
            <w:pPr>
              <w:pStyle w:val="99"/>
              <w:spacing w:line="360" w:lineRule="auto"/>
              <w:jc w:val="center"/>
              <w:rPr>
                <w:rFonts w:hint="eastAsia" w:ascii="宋体" w:hAnsi="宋体" w:eastAsia="宋体" w:cs="宋体"/>
                <w:sz w:val="24"/>
                <w:szCs w:val="24"/>
              </w:rPr>
            </w:pPr>
          </w:p>
        </w:tc>
      </w:tr>
    </w:tbl>
    <w:p w14:paraId="005AA05B">
      <w:pPr>
        <w:pStyle w:val="21"/>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项目名称:                      </w:t>
      </w:r>
      <w:r>
        <w:rPr>
          <w:rFonts w:hint="eastAsia" w:ascii="宋体" w:hAnsi="宋体" w:eastAsia="宋体" w:cs="宋体"/>
          <w:bCs/>
          <w:color w:val="auto"/>
          <w:sz w:val="24"/>
          <w:szCs w:val="24"/>
          <w:highlight w:val="none"/>
          <w:lang w:eastAsia="zh-CN"/>
        </w:rPr>
        <w:t>项目编号</w:t>
      </w:r>
      <w:r>
        <w:rPr>
          <w:rFonts w:hint="eastAsia" w:ascii="宋体" w:hAnsi="宋体" w:eastAsia="宋体" w:cs="宋体"/>
          <w:bCs/>
          <w:color w:val="auto"/>
          <w:sz w:val="24"/>
          <w:szCs w:val="24"/>
          <w:highlight w:val="none"/>
        </w:rPr>
        <w:t xml:space="preserve">:                          　 　         </w:t>
      </w:r>
    </w:p>
    <w:p w14:paraId="5C7470D5">
      <w:pPr>
        <w:pStyle w:val="21"/>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标项号：                       </w:t>
      </w:r>
      <w:r>
        <w:rPr>
          <w:rFonts w:hint="eastAsia" w:ascii="宋体" w:hAnsi="宋体" w:eastAsia="宋体" w:cs="宋体"/>
          <w:bCs/>
          <w:color w:val="auto"/>
          <w:sz w:val="24"/>
          <w:szCs w:val="24"/>
          <w:highlight w:val="none"/>
        </w:rPr>
        <w:t>报价单位：人民币</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元</w:t>
      </w:r>
      <w:r>
        <w:rPr>
          <w:rFonts w:hint="eastAsia" w:ascii="宋体" w:hAnsi="宋体" w:eastAsia="宋体" w:cs="宋体"/>
          <w:bCs/>
          <w:color w:val="auto"/>
          <w:sz w:val="24"/>
          <w:szCs w:val="24"/>
          <w:highlight w:val="none"/>
          <w:lang w:val="en-US" w:eastAsia="zh-CN"/>
        </w:rPr>
        <w:t xml:space="preserve">            </w:t>
      </w:r>
    </w:p>
    <w:p w14:paraId="5F3EF76A">
      <w:pPr>
        <w:pStyle w:val="21"/>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color w:val="auto"/>
          <w:sz w:val="24"/>
          <w:szCs w:val="24"/>
          <w:highlight w:val="none"/>
        </w:rPr>
      </w:pPr>
    </w:p>
    <w:p w14:paraId="67A99582">
      <w:pPr>
        <w:widowControl w:val="0"/>
        <w:spacing w:line="440" w:lineRule="exact"/>
        <w:ind w:left="1157" w:leftChars="257" w:hanging="540"/>
        <w:jc w:val="both"/>
        <w:rPr>
          <w:rFonts w:hint="eastAsia" w:ascii="宋体" w:hAnsi="宋体" w:eastAsia="宋体" w:cs="宋体"/>
          <w:bCs/>
          <w:color w:val="auto"/>
          <w:kern w:val="2"/>
          <w:sz w:val="24"/>
          <w:szCs w:val="24"/>
          <w:highlight w:val="none"/>
          <w:lang w:val="en-US" w:eastAsia="zh-CN" w:bidi="ar-SA"/>
        </w:rPr>
      </w:pPr>
    </w:p>
    <w:p w14:paraId="07248EF4">
      <w:pPr>
        <w:widowControl w:val="0"/>
        <w:spacing w:line="440" w:lineRule="exact"/>
        <w:ind w:left="1157" w:leftChars="257" w:hanging="540"/>
        <w:jc w:val="both"/>
        <w:rPr>
          <w:rFonts w:hint="eastAsia" w:ascii="宋体" w:hAnsi="宋体" w:eastAsia="宋体" w:cs="宋体"/>
          <w:bCs/>
          <w:color w:val="auto"/>
          <w:kern w:val="2"/>
          <w:sz w:val="24"/>
          <w:szCs w:val="24"/>
          <w:highlight w:val="none"/>
          <w:lang w:val="en-US" w:eastAsia="zh-CN" w:bidi="ar-SA"/>
        </w:rPr>
      </w:pPr>
    </w:p>
    <w:p w14:paraId="0EB7F65D">
      <w:pPr>
        <w:widowControl w:val="0"/>
        <w:spacing w:line="440" w:lineRule="exact"/>
        <w:ind w:left="1157" w:leftChars="257" w:hanging="54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法定代表人（</w:t>
      </w:r>
      <w:r>
        <w:rPr>
          <w:rFonts w:hint="eastAsia" w:asciiTheme="minorEastAsia" w:hAnsiTheme="minorEastAsia" w:eastAsiaTheme="minorEastAsia" w:cstheme="minorEastAsia"/>
          <w:color w:val="auto"/>
          <w:sz w:val="24"/>
          <w:szCs w:val="24"/>
          <w:highlight w:val="none"/>
          <w:lang w:eastAsia="zh-CN"/>
        </w:rPr>
        <w:t>签字</w:t>
      </w:r>
      <w:r>
        <w:rPr>
          <w:rFonts w:hint="eastAsia" w:asciiTheme="minorEastAsia" w:hAnsiTheme="minorEastAsia" w:eastAsiaTheme="minorEastAsia" w:cstheme="minorEastAsia"/>
          <w:color w:val="auto"/>
          <w:sz w:val="24"/>
          <w:szCs w:val="24"/>
          <w:highlight w:val="none"/>
          <w:lang w:val="en-US" w:eastAsia="zh-CN"/>
        </w:rPr>
        <w:t>并</w:t>
      </w:r>
      <w:r>
        <w:rPr>
          <w:rFonts w:hint="eastAsia" w:asciiTheme="minorEastAsia" w:hAnsiTheme="minorEastAsia" w:eastAsiaTheme="minorEastAsia" w:cstheme="minorEastAsia"/>
          <w:color w:val="auto"/>
          <w:sz w:val="24"/>
          <w:szCs w:val="24"/>
          <w:highlight w:val="none"/>
          <w:lang w:eastAsia="zh-CN"/>
        </w:rPr>
        <w:t>盖章</w:t>
      </w:r>
      <w:r>
        <w:rPr>
          <w:rFonts w:hint="eastAsia" w:ascii="宋体" w:hAnsi="宋体" w:eastAsia="宋体" w:cs="宋体"/>
          <w:bCs/>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u w:val="single"/>
          <w:lang w:val="en-US" w:eastAsia="zh-CN" w:bidi="ar-SA"/>
        </w:rPr>
        <w:t xml:space="preserve"> </w:t>
      </w:r>
      <w:r>
        <w:rPr>
          <w:rFonts w:hint="eastAsia" w:ascii="宋体" w:hAnsi="宋体" w:eastAsia="宋体" w:cs="宋体"/>
          <w:bCs/>
          <w:color w:val="auto"/>
          <w:kern w:val="2"/>
          <w:sz w:val="24"/>
          <w:szCs w:val="24"/>
          <w:highlight w:val="none"/>
          <w:u w:val="single"/>
          <w:lang w:val="en-US" w:eastAsia="zh-CN" w:bidi="ar-SA"/>
        </w:rPr>
        <w:tab/>
      </w:r>
      <w:r>
        <w:rPr>
          <w:rFonts w:hint="eastAsia" w:ascii="宋体" w:hAnsi="宋体" w:eastAsia="宋体" w:cs="宋体"/>
          <w:bCs/>
          <w:color w:val="auto"/>
          <w:kern w:val="2"/>
          <w:sz w:val="24"/>
          <w:szCs w:val="24"/>
          <w:highlight w:val="none"/>
          <w:u w:val="single"/>
          <w:lang w:val="en-US" w:eastAsia="zh-CN" w:bidi="ar-SA"/>
        </w:rPr>
        <w:t xml:space="preserve">                 </w:t>
      </w:r>
    </w:p>
    <w:p w14:paraId="70493E0A">
      <w:pPr>
        <w:widowControl w:val="0"/>
        <w:tabs>
          <w:tab w:val="left" w:pos="5370"/>
        </w:tabs>
        <w:spacing w:line="440" w:lineRule="exact"/>
        <w:ind w:left="1157" w:leftChars="257" w:hanging="540"/>
        <w:jc w:val="both"/>
        <w:rPr>
          <w:rFonts w:hint="eastAsia" w:ascii="宋体" w:hAnsi="宋体" w:eastAsia="宋体" w:cs="宋体"/>
          <w:bCs/>
          <w:color w:val="auto"/>
          <w:kern w:val="2"/>
          <w:sz w:val="24"/>
          <w:szCs w:val="24"/>
          <w:highlight w:val="none"/>
          <w:u w:val="single"/>
          <w:lang w:val="en-US" w:eastAsia="zh-CN" w:bidi="ar-SA"/>
        </w:rPr>
      </w:pPr>
      <w:r>
        <w:rPr>
          <w:rFonts w:hint="eastAsia" w:ascii="宋体" w:hAnsi="宋体" w:eastAsia="宋体" w:cs="宋体"/>
          <w:bCs/>
          <w:color w:val="auto"/>
          <w:kern w:val="2"/>
          <w:sz w:val="24"/>
          <w:szCs w:val="24"/>
          <w:highlight w:val="none"/>
          <w:lang w:val="en-US" w:eastAsia="zh-CN" w:bidi="ar-SA"/>
        </w:rPr>
        <w:t>供应商(公章):</w:t>
      </w:r>
      <w:r>
        <w:rPr>
          <w:rFonts w:hint="eastAsia" w:ascii="宋体" w:hAnsi="宋体" w:eastAsia="宋体" w:cs="宋体"/>
          <w:bCs/>
          <w:color w:val="auto"/>
          <w:kern w:val="2"/>
          <w:sz w:val="24"/>
          <w:szCs w:val="24"/>
          <w:highlight w:val="none"/>
          <w:u w:val="single"/>
          <w:lang w:val="en-US" w:eastAsia="zh-CN" w:bidi="ar-SA"/>
        </w:rPr>
        <w:tab/>
      </w:r>
    </w:p>
    <w:p w14:paraId="5456E888">
      <w:pPr>
        <w:widowControl w:val="0"/>
        <w:tabs>
          <w:tab w:val="left" w:pos="5370"/>
        </w:tabs>
        <w:spacing w:line="440" w:lineRule="exact"/>
        <w:ind w:left="1157" w:leftChars="257" w:hanging="540"/>
        <w:jc w:val="both"/>
        <w:rPr>
          <w:rFonts w:hint="eastAsia" w:ascii="宋体" w:hAnsi="宋体" w:eastAsia="宋体" w:cs="宋体"/>
          <w:sz w:val="24"/>
          <w:szCs w:val="24"/>
          <w:highlight w:val="none"/>
          <w:lang w:val="en-US" w:eastAsia="zh-CN"/>
        </w:rPr>
      </w:pPr>
      <w:r>
        <w:rPr>
          <w:rFonts w:hint="eastAsia" w:ascii="宋体" w:hAnsi="宋体" w:eastAsia="宋体" w:cs="宋体"/>
          <w:bCs/>
          <w:color w:val="auto"/>
          <w:kern w:val="2"/>
          <w:sz w:val="24"/>
          <w:szCs w:val="24"/>
          <w:highlight w:val="none"/>
          <w:lang w:val="en-US" w:eastAsia="zh-CN" w:bidi="ar-SA"/>
        </w:rPr>
        <w:t>日期：</w:t>
      </w:r>
      <w:r>
        <w:rPr>
          <w:rFonts w:hint="eastAsia" w:ascii="宋体" w:hAnsi="宋体" w:eastAsia="宋体" w:cs="宋体"/>
          <w:bCs/>
          <w:color w:val="auto"/>
          <w:kern w:val="2"/>
          <w:sz w:val="24"/>
          <w:szCs w:val="24"/>
          <w:highlight w:val="none"/>
          <w:u w:val="single"/>
          <w:lang w:val="en-US" w:eastAsia="zh-CN" w:bidi="ar-SA"/>
        </w:rPr>
        <w:t xml:space="preserve">   年    月    日</w:t>
      </w:r>
      <w:r>
        <w:rPr>
          <w:rFonts w:hint="eastAsia" w:ascii="宋体" w:hAnsi="宋体" w:eastAsia="宋体" w:cs="宋体"/>
          <w:bCs/>
          <w:color w:val="auto"/>
          <w:kern w:val="2"/>
          <w:sz w:val="24"/>
          <w:szCs w:val="24"/>
          <w:highlight w:val="none"/>
          <w:lang w:val="en-US" w:eastAsia="zh-CN" w:bidi="ar-SA"/>
        </w:rPr>
        <w:t xml:space="preserve"> </w:t>
      </w:r>
    </w:p>
    <w:p w14:paraId="21251C2E">
      <w:pPr>
        <w:pStyle w:val="21"/>
        <w:pageBreakBefore w:val="0"/>
        <w:kinsoku/>
        <w:wordWrap/>
        <w:overflowPunct/>
        <w:topLinePunct w:val="0"/>
        <w:bidi w:val="0"/>
        <w:spacing w:line="500" w:lineRule="exact"/>
        <w:jc w:val="both"/>
        <w:textAlignment w:val="auto"/>
        <w:outlineLvl w:val="9"/>
        <w:rPr>
          <w:rFonts w:hint="eastAsia" w:ascii="宋体" w:hAnsi="宋体" w:eastAsia="宋体" w:cs="宋体"/>
          <w:b/>
          <w:color w:val="auto"/>
          <w:kern w:val="0"/>
          <w:sz w:val="24"/>
          <w:szCs w:val="24"/>
          <w:highlight w:val="none"/>
          <w:lang w:val="en-US" w:eastAsia="zh-CN" w:bidi="ar-SA"/>
        </w:rPr>
      </w:pPr>
    </w:p>
    <w:p w14:paraId="2BB882E6">
      <w:pPr>
        <w:pStyle w:val="21"/>
        <w:pageBreakBefore w:val="0"/>
        <w:kinsoku/>
        <w:wordWrap/>
        <w:overflowPunct/>
        <w:topLinePunct w:val="0"/>
        <w:bidi w:val="0"/>
        <w:spacing w:line="500" w:lineRule="exact"/>
        <w:jc w:val="both"/>
        <w:textAlignment w:val="auto"/>
        <w:outlineLvl w:val="9"/>
        <w:rPr>
          <w:rFonts w:hint="eastAsia" w:ascii="宋体" w:hAnsi="宋体" w:eastAsia="宋体" w:cs="宋体"/>
          <w:b/>
          <w:color w:val="auto"/>
          <w:kern w:val="0"/>
          <w:sz w:val="24"/>
          <w:szCs w:val="24"/>
          <w:highlight w:val="none"/>
          <w:lang w:val="en-US" w:eastAsia="zh-CN" w:bidi="ar-SA"/>
        </w:rPr>
      </w:pPr>
    </w:p>
    <w:p w14:paraId="32D7E83E">
      <w:pPr>
        <w:pStyle w:val="36"/>
        <w:rPr>
          <w:rFonts w:hint="eastAsia" w:asciiTheme="minorEastAsia" w:hAnsiTheme="minorEastAsia" w:eastAsiaTheme="minorEastAsia" w:cstheme="minorEastAsia"/>
          <w:b/>
          <w:color w:val="auto"/>
          <w:kern w:val="0"/>
          <w:sz w:val="24"/>
          <w:szCs w:val="24"/>
          <w:highlight w:val="none"/>
          <w:lang w:val="en-US" w:eastAsia="zh-CN" w:bidi="ar-SA"/>
        </w:rPr>
      </w:pPr>
    </w:p>
    <w:p w14:paraId="76725DE9">
      <w:pPr>
        <w:rPr>
          <w:rFonts w:hint="eastAsia" w:asciiTheme="minorEastAsia" w:hAnsiTheme="minorEastAsia" w:eastAsiaTheme="minorEastAsia" w:cstheme="minorEastAsia"/>
          <w:b/>
          <w:color w:val="auto"/>
          <w:kern w:val="0"/>
          <w:sz w:val="24"/>
          <w:szCs w:val="24"/>
          <w:highlight w:val="none"/>
          <w:lang w:val="en-US" w:eastAsia="zh-CN" w:bidi="ar-SA"/>
        </w:rPr>
      </w:pPr>
    </w:p>
    <w:p w14:paraId="001AB5EB">
      <w:pPr>
        <w:outlineLvl w:val="9"/>
        <w:rPr>
          <w:rFonts w:hint="eastAsia" w:asciiTheme="minorEastAsia" w:hAnsiTheme="minorEastAsia" w:eastAsiaTheme="minorEastAsia" w:cstheme="minorEastAsia"/>
          <w:b/>
          <w:color w:val="auto"/>
          <w:kern w:val="0"/>
          <w:sz w:val="24"/>
          <w:szCs w:val="24"/>
          <w:highlight w:val="none"/>
          <w:lang w:val="en-US" w:eastAsia="zh-CN" w:bidi="ar-SA"/>
        </w:rPr>
      </w:pPr>
    </w:p>
    <w:p w14:paraId="7C1B303F">
      <w:pPr>
        <w:outlineLvl w:val="9"/>
        <w:rPr>
          <w:rFonts w:hint="eastAsia" w:asciiTheme="minorEastAsia" w:hAnsiTheme="minorEastAsia" w:eastAsiaTheme="minorEastAsia" w:cstheme="minorEastAsia"/>
          <w:color w:val="auto"/>
          <w:highlight w:val="none"/>
          <w:lang w:val="en-US" w:eastAsia="zh-CN"/>
        </w:rPr>
      </w:pPr>
    </w:p>
    <w:p w14:paraId="4BF6E26F">
      <w:pPr>
        <w:pStyle w:val="21"/>
        <w:spacing w:line="360" w:lineRule="exact"/>
        <w:jc w:val="center"/>
        <w:outlineLvl w:val="9"/>
        <w:rPr>
          <w:rFonts w:hint="eastAsia" w:asciiTheme="minorEastAsia" w:hAnsiTheme="minorEastAsia" w:eastAsiaTheme="minorEastAsia" w:cstheme="minorEastAsia"/>
          <w:b/>
          <w:color w:val="auto"/>
          <w:kern w:val="0"/>
          <w:sz w:val="24"/>
          <w:highlight w:val="none"/>
        </w:rPr>
      </w:pPr>
      <w:bookmarkStart w:id="612" w:name="_Toc12459"/>
      <w:bookmarkStart w:id="613" w:name="_Toc2193"/>
      <w:bookmarkStart w:id="614" w:name="_Toc12484"/>
    </w:p>
    <w:p w14:paraId="0A189E71">
      <w:pPr>
        <w:rPr>
          <w:rFonts w:hint="eastAsia" w:asciiTheme="minorEastAsia" w:hAnsiTheme="minorEastAsia" w:eastAsiaTheme="minorEastAsia" w:cstheme="minorEastAsia"/>
          <w:b/>
          <w:color w:val="auto"/>
          <w:kern w:val="0"/>
          <w:sz w:val="24"/>
          <w:highlight w:val="none"/>
        </w:rPr>
      </w:pPr>
      <w:bookmarkStart w:id="615" w:name="_Toc4188"/>
      <w:r>
        <w:rPr>
          <w:rFonts w:hint="eastAsia" w:asciiTheme="minorEastAsia" w:hAnsiTheme="minorEastAsia" w:eastAsiaTheme="minorEastAsia" w:cstheme="minorEastAsia"/>
          <w:b/>
          <w:color w:val="auto"/>
          <w:kern w:val="0"/>
          <w:sz w:val="24"/>
          <w:highlight w:val="none"/>
        </w:rPr>
        <w:br w:type="page"/>
      </w:r>
    </w:p>
    <w:p w14:paraId="6D0318D8">
      <w:pPr>
        <w:pStyle w:val="21"/>
        <w:spacing w:line="360" w:lineRule="exact"/>
        <w:jc w:val="center"/>
        <w:outlineLvl w:val="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kern w:val="0"/>
          <w:sz w:val="24"/>
          <w:highlight w:val="none"/>
        </w:rPr>
        <w:t>3</w:t>
      </w:r>
      <w:r>
        <w:rPr>
          <w:rFonts w:hint="eastAsia" w:asciiTheme="minorEastAsia" w:hAnsiTheme="minorEastAsia" w:eastAsiaTheme="minorEastAsia" w:cstheme="minorEastAsia"/>
          <w:b/>
          <w:color w:val="auto"/>
          <w:kern w:val="0"/>
          <w:sz w:val="24"/>
          <w:highlight w:val="none"/>
          <w:lang w:val="en-US" w:eastAsia="zh-CN"/>
        </w:rPr>
        <w:t>、</w:t>
      </w:r>
      <w:r>
        <w:rPr>
          <w:rFonts w:hint="eastAsia" w:asciiTheme="minorEastAsia" w:hAnsiTheme="minorEastAsia" w:eastAsiaTheme="minorEastAsia" w:cstheme="minorEastAsia"/>
          <w:b/>
          <w:color w:val="auto"/>
          <w:kern w:val="0"/>
          <w:sz w:val="24"/>
          <w:highlight w:val="none"/>
          <w:lang w:eastAsia="zh-CN"/>
        </w:rPr>
        <w:t>货物</w:t>
      </w:r>
      <w:r>
        <w:rPr>
          <w:rFonts w:hint="eastAsia" w:asciiTheme="minorEastAsia" w:hAnsiTheme="minorEastAsia" w:eastAsiaTheme="minorEastAsia" w:cstheme="minorEastAsia"/>
          <w:b/>
          <w:color w:val="auto"/>
          <w:kern w:val="0"/>
          <w:sz w:val="24"/>
          <w:highlight w:val="none"/>
        </w:rPr>
        <w:t>说明一览表</w:t>
      </w:r>
      <w:bookmarkEnd w:id="612"/>
      <w:bookmarkEnd w:id="613"/>
      <w:bookmarkEnd w:id="614"/>
      <w:bookmarkEnd w:id="615"/>
    </w:p>
    <w:p w14:paraId="52925416">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项目名称:                项目编号:                                         </w:t>
      </w:r>
    </w:p>
    <w:p w14:paraId="18DE736C">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标项号：</w:t>
      </w:r>
    </w:p>
    <w:tbl>
      <w:tblPr>
        <w:tblStyle w:val="44"/>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014"/>
        <w:gridCol w:w="1386"/>
        <w:gridCol w:w="1214"/>
        <w:gridCol w:w="1429"/>
        <w:gridCol w:w="1210"/>
        <w:gridCol w:w="1584"/>
      </w:tblGrid>
      <w:tr w14:paraId="178CC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10" w:type="dxa"/>
            <w:noWrap w:val="0"/>
            <w:vAlign w:val="center"/>
          </w:tcPr>
          <w:p w14:paraId="64E9B9EE">
            <w:pPr>
              <w:pStyle w:val="21"/>
              <w:spacing w:line="240" w:lineRule="atLeas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014" w:type="dxa"/>
            <w:noWrap w:val="0"/>
            <w:vAlign w:val="center"/>
          </w:tcPr>
          <w:p w14:paraId="7F5BC64B">
            <w:pPr>
              <w:pStyle w:val="21"/>
              <w:spacing w:line="240" w:lineRule="atLeas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货物</w:t>
            </w:r>
            <w:r>
              <w:rPr>
                <w:rFonts w:hint="eastAsia" w:asciiTheme="minorEastAsia" w:hAnsiTheme="minorEastAsia" w:eastAsiaTheme="minorEastAsia" w:cstheme="minorEastAsia"/>
                <w:color w:val="auto"/>
                <w:sz w:val="24"/>
                <w:szCs w:val="24"/>
                <w:highlight w:val="none"/>
              </w:rPr>
              <w:t>名称</w:t>
            </w:r>
          </w:p>
        </w:tc>
        <w:tc>
          <w:tcPr>
            <w:tcW w:w="1386" w:type="dxa"/>
            <w:noWrap w:val="0"/>
            <w:vAlign w:val="center"/>
          </w:tcPr>
          <w:p w14:paraId="264B066D">
            <w:pPr>
              <w:pStyle w:val="21"/>
              <w:spacing w:line="240" w:lineRule="atLeas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规格参数</w:t>
            </w:r>
          </w:p>
        </w:tc>
        <w:tc>
          <w:tcPr>
            <w:tcW w:w="1214" w:type="dxa"/>
            <w:noWrap w:val="0"/>
            <w:vAlign w:val="center"/>
          </w:tcPr>
          <w:p w14:paraId="4CAD6790">
            <w:pPr>
              <w:pStyle w:val="21"/>
              <w:spacing w:line="240" w:lineRule="atLeas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数量</w:t>
            </w:r>
          </w:p>
        </w:tc>
        <w:tc>
          <w:tcPr>
            <w:tcW w:w="1429" w:type="dxa"/>
            <w:noWrap w:val="0"/>
            <w:vAlign w:val="center"/>
          </w:tcPr>
          <w:p w14:paraId="716A1E50">
            <w:pPr>
              <w:pStyle w:val="21"/>
              <w:spacing w:line="240" w:lineRule="atLeas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交货</w:t>
            </w:r>
            <w:r>
              <w:rPr>
                <w:rFonts w:hint="eastAsia" w:asciiTheme="minorEastAsia" w:hAnsiTheme="minorEastAsia" w:eastAsiaTheme="minorEastAsia" w:cstheme="minorEastAsia"/>
                <w:color w:val="auto"/>
                <w:sz w:val="24"/>
                <w:szCs w:val="24"/>
                <w:highlight w:val="none"/>
              </w:rPr>
              <w:t>期</w:t>
            </w:r>
          </w:p>
        </w:tc>
        <w:tc>
          <w:tcPr>
            <w:tcW w:w="1210" w:type="dxa"/>
            <w:noWrap w:val="0"/>
            <w:vAlign w:val="center"/>
          </w:tcPr>
          <w:p w14:paraId="59D89648">
            <w:pPr>
              <w:pStyle w:val="21"/>
              <w:spacing w:line="240" w:lineRule="atLeas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交货</w:t>
            </w:r>
            <w:r>
              <w:rPr>
                <w:rFonts w:hint="eastAsia" w:asciiTheme="minorEastAsia" w:hAnsiTheme="minorEastAsia" w:eastAsiaTheme="minorEastAsia" w:cstheme="minorEastAsia"/>
                <w:color w:val="auto"/>
                <w:sz w:val="24"/>
                <w:szCs w:val="24"/>
                <w:highlight w:val="none"/>
              </w:rPr>
              <w:t>地点</w:t>
            </w:r>
          </w:p>
        </w:tc>
        <w:tc>
          <w:tcPr>
            <w:tcW w:w="1584" w:type="dxa"/>
            <w:noWrap w:val="0"/>
            <w:vAlign w:val="center"/>
          </w:tcPr>
          <w:p w14:paraId="39A7437A">
            <w:pPr>
              <w:pStyle w:val="21"/>
              <w:spacing w:line="240" w:lineRule="atLeas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其它</w:t>
            </w:r>
          </w:p>
        </w:tc>
      </w:tr>
      <w:tr w14:paraId="6A0D9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10" w:type="dxa"/>
            <w:noWrap w:val="0"/>
            <w:vAlign w:val="top"/>
          </w:tcPr>
          <w:p w14:paraId="03194749">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014" w:type="dxa"/>
            <w:noWrap w:val="0"/>
            <w:vAlign w:val="top"/>
          </w:tcPr>
          <w:p w14:paraId="7473FCB2">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386" w:type="dxa"/>
            <w:noWrap w:val="0"/>
            <w:vAlign w:val="top"/>
          </w:tcPr>
          <w:p w14:paraId="68253B73">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214" w:type="dxa"/>
            <w:noWrap w:val="0"/>
            <w:vAlign w:val="top"/>
          </w:tcPr>
          <w:p w14:paraId="3C5C7337">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429" w:type="dxa"/>
            <w:noWrap w:val="0"/>
            <w:vAlign w:val="top"/>
          </w:tcPr>
          <w:p w14:paraId="5BA44CE9">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210" w:type="dxa"/>
            <w:noWrap w:val="0"/>
            <w:vAlign w:val="top"/>
          </w:tcPr>
          <w:p w14:paraId="4BED4668">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584" w:type="dxa"/>
            <w:noWrap w:val="0"/>
            <w:vAlign w:val="top"/>
          </w:tcPr>
          <w:p w14:paraId="3001B3E5">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r>
      <w:tr w14:paraId="4B24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10" w:type="dxa"/>
            <w:noWrap w:val="0"/>
            <w:vAlign w:val="top"/>
          </w:tcPr>
          <w:p w14:paraId="58609756">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014" w:type="dxa"/>
            <w:noWrap w:val="0"/>
            <w:vAlign w:val="top"/>
          </w:tcPr>
          <w:p w14:paraId="5BAE1F20">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386" w:type="dxa"/>
            <w:noWrap w:val="0"/>
            <w:vAlign w:val="top"/>
          </w:tcPr>
          <w:p w14:paraId="43394F81">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214" w:type="dxa"/>
            <w:noWrap w:val="0"/>
            <w:vAlign w:val="top"/>
          </w:tcPr>
          <w:p w14:paraId="2E96B4B3">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429" w:type="dxa"/>
            <w:noWrap w:val="0"/>
            <w:vAlign w:val="top"/>
          </w:tcPr>
          <w:p w14:paraId="41344474">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210" w:type="dxa"/>
            <w:noWrap w:val="0"/>
            <w:vAlign w:val="top"/>
          </w:tcPr>
          <w:p w14:paraId="745873E5">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584" w:type="dxa"/>
            <w:noWrap w:val="0"/>
            <w:vAlign w:val="top"/>
          </w:tcPr>
          <w:p w14:paraId="1D4FC7F8">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r>
      <w:tr w14:paraId="289A8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10" w:type="dxa"/>
            <w:noWrap w:val="0"/>
            <w:vAlign w:val="top"/>
          </w:tcPr>
          <w:p w14:paraId="5AE30BE7">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014" w:type="dxa"/>
            <w:noWrap w:val="0"/>
            <w:vAlign w:val="top"/>
          </w:tcPr>
          <w:p w14:paraId="275E031E">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386" w:type="dxa"/>
            <w:noWrap w:val="0"/>
            <w:vAlign w:val="top"/>
          </w:tcPr>
          <w:p w14:paraId="0CC9FCED">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214" w:type="dxa"/>
            <w:noWrap w:val="0"/>
            <w:vAlign w:val="top"/>
          </w:tcPr>
          <w:p w14:paraId="34755129">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429" w:type="dxa"/>
            <w:noWrap w:val="0"/>
            <w:vAlign w:val="top"/>
          </w:tcPr>
          <w:p w14:paraId="0308B452">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210" w:type="dxa"/>
            <w:noWrap w:val="0"/>
            <w:vAlign w:val="top"/>
          </w:tcPr>
          <w:p w14:paraId="3F07B8FC">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584" w:type="dxa"/>
            <w:noWrap w:val="0"/>
            <w:vAlign w:val="top"/>
          </w:tcPr>
          <w:p w14:paraId="4F7BEB35">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r>
      <w:tr w14:paraId="6A3D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10" w:type="dxa"/>
            <w:noWrap w:val="0"/>
            <w:vAlign w:val="top"/>
          </w:tcPr>
          <w:p w14:paraId="5FD38118">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014" w:type="dxa"/>
            <w:noWrap w:val="0"/>
            <w:vAlign w:val="top"/>
          </w:tcPr>
          <w:p w14:paraId="5F6033F9">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386" w:type="dxa"/>
            <w:noWrap w:val="0"/>
            <w:vAlign w:val="top"/>
          </w:tcPr>
          <w:p w14:paraId="02F0DAF1">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214" w:type="dxa"/>
            <w:noWrap w:val="0"/>
            <w:vAlign w:val="top"/>
          </w:tcPr>
          <w:p w14:paraId="0DED1BBA">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429" w:type="dxa"/>
            <w:noWrap w:val="0"/>
            <w:vAlign w:val="top"/>
          </w:tcPr>
          <w:p w14:paraId="6D5DE386">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210" w:type="dxa"/>
            <w:noWrap w:val="0"/>
            <w:vAlign w:val="top"/>
          </w:tcPr>
          <w:p w14:paraId="04450901">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584" w:type="dxa"/>
            <w:noWrap w:val="0"/>
            <w:vAlign w:val="top"/>
          </w:tcPr>
          <w:p w14:paraId="6F7C024D">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r>
      <w:tr w14:paraId="03878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10" w:type="dxa"/>
            <w:noWrap w:val="0"/>
            <w:vAlign w:val="top"/>
          </w:tcPr>
          <w:p w14:paraId="00B62B14">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014" w:type="dxa"/>
            <w:noWrap w:val="0"/>
            <w:vAlign w:val="top"/>
          </w:tcPr>
          <w:p w14:paraId="11EDAE30">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386" w:type="dxa"/>
            <w:noWrap w:val="0"/>
            <w:vAlign w:val="top"/>
          </w:tcPr>
          <w:p w14:paraId="790721EB">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214" w:type="dxa"/>
            <w:noWrap w:val="0"/>
            <w:vAlign w:val="top"/>
          </w:tcPr>
          <w:p w14:paraId="1416ED8D">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429" w:type="dxa"/>
            <w:noWrap w:val="0"/>
            <w:vAlign w:val="top"/>
          </w:tcPr>
          <w:p w14:paraId="2F232A83">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210" w:type="dxa"/>
            <w:noWrap w:val="0"/>
            <w:vAlign w:val="top"/>
          </w:tcPr>
          <w:p w14:paraId="6108916C">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584" w:type="dxa"/>
            <w:noWrap w:val="0"/>
            <w:vAlign w:val="top"/>
          </w:tcPr>
          <w:p w14:paraId="11DCAAAA">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r>
      <w:tr w14:paraId="7261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10" w:type="dxa"/>
            <w:noWrap w:val="0"/>
            <w:vAlign w:val="top"/>
          </w:tcPr>
          <w:p w14:paraId="698F900E">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014" w:type="dxa"/>
            <w:noWrap w:val="0"/>
            <w:vAlign w:val="top"/>
          </w:tcPr>
          <w:p w14:paraId="5A7C1F7C">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386" w:type="dxa"/>
            <w:noWrap w:val="0"/>
            <w:vAlign w:val="top"/>
          </w:tcPr>
          <w:p w14:paraId="1672E4B5">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214" w:type="dxa"/>
            <w:noWrap w:val="0"/>
            <w:vAlign w:val="top"/>
          </w:tcPr>
          <w:p w14:paraId="42BD9265">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429" w:type="dxa"/>
            <w:noWrap w:val="0"/>
            <w:vAlign w:val="top"/>
          </w:tcPr>
          <w:p w14:paraId="50219784">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210" w:type="dxa"/>
            <w:noWrap w:val="0"/>
            <w:vAlign w:val="top"/>
          </w:tcPr>
          <w:p w14:paraId="3A26266C">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584" w:type="dxa"/>
            <w:noWrap w:val="0"/>
            <w:vAlign w:val="top"/>
          </w:tcPr>
          <w:p w14:paraId="67C342A4">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r>
      <w:tr w14:paraId="2DDE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10" w:type="dxa"/>
            <w:noWrap w:val="0"/>
            <w:vAlign w:val="top"/>
          </w:tcPr>
          <w:p w14:paraId="75935959">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014" w:type="dxa"/>
            <w:noWrap w:val="0"/>
            <w:vAlign w:val="top"/>
          </w:tcPr>
          <w:p w14:paraId="1359F97E">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386" w:type="dxa"/>
            <w:noWrap w:val="0"/>
            <w:vAlign w:val="top"/>
          </w:tcPr>
          <w:p w14:paraId="177F9602">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214" w:type="dxa"/>
            <w:noWrap w:val="0"/>
            <w:vAlign w:val="top"/>
          </w:tcPr>
          <w:p w14:paraId="1D445B7D">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429" w:type="dxa"/>
            <w:noWrap w:val="0"/>
            <w:vAlign w:val="top"/>
          </w:tcPr>
          <w:p w14:paraId="2E65F14F">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210" w:type="dxa"/>
            <w:noWrap w:val="0"/>
            <w:vAlign w:val="top"/>
          </w:tcPr>
          <w:p w14:paraId="492A6CE0">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584" w:type="dxa"/>
            <w:noWrap w:val="0"/>
            <w:vAlign w:val="top"/>
          </w:tcPr>
          <w:p w14:paraId="174CF1A6">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r>
      <w:tr w14:paraId="1C951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10" w:type="dxa"/>
            <w:noWrap w:val="0"/>
            <w:vAlign w:val="top"/>
          </w:tcPr>
          <w:p w14:paraId="50CB3710">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014" w:type="dxa"/>
            <w:noWrap w:val="0"/>
            <w:vAlign w:val="top"/>
          </w:tcPr>
          <w:p w14:paraId="5E7EDBDB">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386" w:type="dxa"/>
            <w:noWrap w:val="0"/>
            <w:vAlign w:val="top"/>
          </w:tcPr>
          <w:p w14:paraId="241253E0">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214" w:type="dxa"/>
            <w:noWrap w:val="0"/>
            <w:vAlign w:val="top"/>
          </w:tcPr>
          <w:p w14:paraId="32C07454">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429" w:type="dxa"/>
            <w:noWrap w:val="0"/>
            <w:vAlign w:val="top"/>
          </w:tcPr>
          <w:p w14:paraId="2516657B">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210" w:type="dxa"/>
            <w:noWrap w:val="0"/>
            <w:vAlign w:val="top"/>
          </w:tcPr>
          <w:p w14:paraId="1092AC9A">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584" w:type="dxa"/>
            <w:noWrap w:val="0"/>
            <w:vAlign w:val="top"/>
          </w:tcPr>
          <w:p w14:paraId="526F239E">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r>
    </w:tbl>
    <w:p w14:paraId="5B34A180">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p w14:paraId="4600B754">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法定代表人或其委托代理人</w:t>
      </w:r>
      <w:r>
        <w:rPr>
          <w:rFonts w:hint="eastAsia" w:asciiTheme="minorEastAsia" w:hAnsiTheme="minorEastAsia" w:eastAsiaTheme="minorEastAsia" w:cstheme="minorEastAsia"/>
          <w:color w:val="auto"/>
          <w:sz w:val="24"/>
          <w:szCs w:val="24"/>
          <w:highlight w:val="none"/>
          <w:lang w:eastAsia="zh-CN"/>
        </w:rPr>
        <w:t>（签字或盖章）</w:t>
      </w:r>
      <w:r>
        <w:rPr>
          <w:rFonts w:hint="eastAsia" w:asciiTheme="minorEastAsia" w:hAnsiTheme="minorEastAsia" w:eastAsiaTheme="minorEastAsia" w:cstheme="minorEastAsia"/>
          <w:color w:val="auto"/>
          <w:sz w:val="24"/>
          <w:szCs w:val="24"/>
          <w:highlight w:val="none"/>
        </w:rPr>
        <w:t>:</w:t>
      </w:r>
    </w:p>
    <w:p w14:paraId="15BEE451">
      <w:pPr>
        <w:pStyle w:val="21"/>
        <w:tabs>
          <w:tab w:val="left" w:pos="5370"/>
        </w:tabs>
        <w:spacing w:line="240" w:lineRule="atLeast"/>
        <w:ind w:left="1157" w:leftChars="257" w:hanging="54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供应商(</w:t>
      </w:r>
      <w:r>
        <w:rPr>
          <w:rFonts w:hint="eastAsia" w:asciiTheme="minorEastAsia" w:hAnsiTheme="minorEastAsia" w:eastAsiaTheme="minorEastAsia" w:cstheme="minorEastAsia"/>
          <w:color w:val="auto"/>
          <w:sz w:val="24"/>
          <w:szCs w:val="24"/>
          <w:highlight w:val="none"/>
          <w:lang w:val="en-US" w:eastAsia="zh-CN"/>
        </w:rPr>
        <w:t>公章</w:t>
      </w:r>
      <w:r>
        <w:rPr>
          <w:rFonts w:hint="eastAsia" w:asciiTheme="minorEastAsia" w:hAnsiTheme="minorEastAsia" w:eastAsiaTheme="minorEastAsia" w:cstheme="minorEastAsia"/>
          <w:color w:val="auto"/>
          <w:sz w:val="24"/>
          <w:szCs w:val="24"/>
          <w:highlight w:val="none"/>
        </w:rPr>
        <w:t>):</w:t>
      </w:r>
    </w:p>
    <w:p w14:paraId="1D600B3E">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p w14:paraId="7A45D119">
      <w:pPr>
        <w:pStyle w:val="21"/>
        <w:pageBreakBefore w:val="0"/>
        <w:kinsoku/>
        <w:wordWrap/>
        <w:overflowPunct/>
        <w:topLinePunct w:val="0"/>
        <w:bidi w:val="0"/>
        <w:spacing w:line="500" w:lineRule="exact"/>
        <w:jc w:val="both"/>
        <w:textAlignment w:val="auto"/>
        <w:outlineLvl w:val="9"/>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注: 各项</w:t>
      </w:r>
      <w:r>
        <w:rPr>
          <w:rFonts w:hint="eastAsia" w:asciiTheme="minorEastAsia" w:hAnsiTheme="minorEastAsia" w:eastAsiaTheme="minorEastAsia" w:cstheme="minorEastAsia"/>
          <w:color w:val="auto"/>
          <w:sz w:val="24"/>
          <w:szCs w:val="24"/>
          <w:highlight w:val="none"/>
          <w:lang w:eastAsia="zh-CN"/>
        </w:rPr>
        <w:t>货物</w:t>
      </w:r>
      <w:r>
        <w:rPr>
          <w:rFonts w:hint="eastAsia" w:asciiTheme="minorEastAsia" w:hAnsiTheme="minorEastAsia" w:eastAsiaTheme="minorEastAsia" w:cstheme="minorEastAsia"/>
          <w:color w:val="auto"/>
          <w:sz w:val="24"/>
          <w:szCs w:val="24"/>
          <w:highlight w:val="none"/>
        </w:rPr>
        <w:t>详细技术性能应另页描述。</w:t>
      </w:r>
    </w:p>
    <w:p w14:paraId="6432C440">
      <w:pPr>
        <w:pStyle w:val="21"/>
        <w:pageBreakBefore w:val="0"/>
        <w:kinsoku/>
        <w:wordWrap/>
        <w:overflowPunct/>
        <w:topLinePunct w:val="0"/>
        <w:bidi w:val="0"/>
        <w:spacing w:line="500" w:lineRule="exact"/>
        <w:jc w:val="center"/>
        <w:textAlignment w:val="auto"/>
        <w:outlineLvl w:val="9"/>
        <w:rPr>
          <w:rFonts w:hint="eastAsia" w:asciiTheme="minorEastAsia" w:hAnsiTheme="minorEastAsia" w:eastAsiaTheme="minorEastAsia" w:cstheme="minorEastAsia"/>
          <w:b/>
          <w:bCs/>
          <w:color w:val="auto"/>
          <w:sz w:val="24"/>
          <w:szCs w:val="24"/>
          <w:highlight w:val="none"/>
          <w:lang w:val="en-US" w:eastAsia="zh-CN"/>
        </w:rPr>
      </w:pPr>
    </w:p>
    <w:p w14:paraId="2D82E454">
      <w:pPr>
        <w:pStyle w:val="21"/>
        <w:pageBreakBefore w:val="0"/>
        <w:kinsoku/>
        <w:wordWrap/>
        <w:overflowPunct/>
        <w:topLinePunct w:val="0"/>
        <w:bidi w:val="0"/>
        <w:spacing w:line="500" w:lineRule="exact"/>
        <w:jc w:val="center"/>
        <w:textAlignment w:val="auto"/>
        <w:outlineLvl w:val="9"/>
        <w:rPr>
          <w:rFonts w:hint="eastAsia" w:asciiTheme="minorEastAsia" w:hAnsiTheme="minorEastAsia" w:eastAsiaTheme="minorEastAsia" w:cstheme="minorEastAsia"/>
          <w:b/>
          <w:bCs/>
          <w:color w:val="auto"/>
          <w:sz w:val="24"/>
          <w:szCs w:val="24"/>
          <w:highlight w:val="none"/>
          <w:lang w:val="en-US" w:eastAsia="zh-CN"/>
        </w:rPr>
      </w:pPr>
    </w:p>
    <w:p w14:paraId="16683A9A">
      <w:pPr>
        <w:pStyle w:val="21"/>
        <w:pageBreakBefore w:val="0"/>
        <w:kinsoku/>
        <w:wordWrap/>
        <w:overflowPunct/>
        <w:topLinePunct w:val="0"/>
        <w:bidi w:val="0"/>
        <w:spacing w:line="500" w:lineRule="exact"/>
        <w:jc w:val="center"/>
        <w:textAlignment w:val="auto"/>
        <w:outlineLvl w:val="9"/>
        <w:rPr>
          <w:rFonts w:hint="eastAsia" w:asciiTheme="minorEastAsia" w:hAnsiTheme="minorEastAsia" w:eastAsiaTheme="minorEastAsia" w:cstheme="minorEastAsia"/>
          <w:b/>
          <w:bCs/>
          <w:color w:val="auto"/>
          <w:sz w:val="24"/>
          <w:szCs w:val="24"/>
          <w:highlight w:val="none"/>
          <w:lang w:val="en-US" w:eastAsia="zh-CN"/>
        </w:rPr>
      </w:pPr>
    </w:p>
    <w:p w14:paraId="161FE066">
      <w:pPr>
        <w:pStyle w:val="21"/>
        <w:pageBreakBefore w:val="0"/>
        <w:kinsoku/>
        <w:wordWrap/>
        <w:overflowPunct/>
        <w:topLinePunct w:val="0"/>
        <w:bidi w:val="0"/>
        <w:spacing w:line="500" w:lineRule="exact"/>
        <w:jc w:val="center"/>
        <w:textAlignment w:val="auto"/>
        <w:outlineLvl w:val="9"/>
        <w:rPr>
          <w:rFonts w:hint="eastAsia" w:asciiTheme="minorEastAsia" w:hAnsiTheme="minorEastAsia" w:eastAsiaTheme="minorEastAsia" w:cstheme="minorEastAsia"/>
          <w:b/>
          <w:bCs/>
          <w:color w:val="auto"/>
          <w:sz w:val="24"/>
          <w:szCs w:val="24"/>
          <w:highlight w:val="none"/>
          <w:lang w:val="en-US" w:eastAsia="zh-CN"/>
        </w:rPr>
      </w:pPr>
    </w:p>
    <w:p w14:paraId="12CAC392">
      <w:pPr>
        <w:pStyle w:val="21"/>
        <w:pageBreakBefore w:val="0"/>
        <w:kinsoku/>
        <w:wordWrap/>
        <w:overflowPunct/>
        <w:topLinePunct w:val="0"/>
        <w:bidi w:val="0"/>
        <w:spacing w:line="500" w:lineRule="exact"/>
        <w:jc w:val="center"/>
        <w:textAlignment w:val="auto"/>
        <w:outlineLvl w:val="9"/>
        <w:rPr>
          <w:rFonts w:hint="eastAsia" w:asciiTheme="minorEastAsia" w:hAnsiTheme="minorEastAsia" w:eastAsiaTheme="minorEastAsia" w:cstheme="minorEastAsia"/>
          <w:b/>
          <w:bCs/>
          <w:color w:val="auto"/>
          <w:sz w:val="24"/>
          <w:szCs w:val="24"/>
          <w:highlight w:val="none"/>
          <w:lang w:val="en-US" w:eastAsia="zh-CN"/>
        </w:rPr>
      </w:pPr>
    </w:p>
    <w:p w14:paraId="54D1A6DC">
      <w:pPr>
        <w:pStyle w:val="21"/>
        <w:pageBreakBefore w:val="0"/>
        <w:kinsoku/>
        <w:wordWrap/>
        <w:overflowPunct/>
        <w:topLinePunct w:val="0"/>
        <w:bidi w:val="0"/>
        <w:spacing w:line="500" w:lineRule="exact"/>
        <w:jc w:val="center"/>
        <w:textAlignment w:val="auto"/>
        <w:outlineLvl w:val="9"/>
        <w:rPr>
          <w:rFonts w:hint="eastAsia" w:asciiTheme="minorEastAsia" w:hAnsiTheme="minorEastAsia" w:eastAsiaTheme="minorEastAsia" w:cstheme="minorEastAsia"/>
          <w:b/>
          <w:bCs/>
          <w:color w:val="auto"/>
          <w:sz w:val="24"/>
          <w:szCs w:val="24"/>
          <w:highlight w:val="none"/>
          <w:lang w:val="en-US" w:eastAsia="zh-CN"/>
        </w:rPr>
      </w:pPr>
    </w:p>
    <w:p w14:paraId="7A24E5EF">
      <w:pPr>
        <w:pStyle w:val="21"/>
        <w:pageBreakBefore w:val="0"/>
        <w:kinsoku/>
        <w:wordWrap/>
        <w:overflowPunct/>
        <w:topLinePunct w:val="0"/>
        <w:bidi w:val="0"/>
        <w:spacing w:line="500" w:lineRule="exact"/>
        <w:jc w:val="center"/>
        <w:textAlignment w:val="auto"/>
        <w:outlineLvl w:val="9"/>
        <w:rPr>
          <w:rFonts w:hint="eastAsia" w:asciiTheme="minorEastAsia" w:hAnsiTheme="minorEastAsia" w:eastAsiaTheme="minorEastAsia" w:cstheme="minorEastAsia"/>
          <w:b/>
          <w:bCs/>
          <w:color w:val="auto"/>
          <w:sz w:val="24"/>
          <w:szCs w:val="24"/>
          <w:highlight w:val="none"/>
          <w:lang w:val="en-US" w:eastAsia="zh-CN"/>
        </w:rPr>
      </w:pPr>
    </w:p>
    <w:p w14:paraId="7D4B88F3">
      <w:pPr>
        <w:pStyle w:val="21"/>
        <w:pageBreakBefore w:val="0"/>
        <w:kinsoku/>
        <w:wordWrap/>
        <w:overflowPunct/>
        <w:topLinePunct w:val="0"/>
        <w:bidi w:val="0"/>
        <w:spacing w:line="500" w:lineRule="exact"/>
        <w:jc w:val="both"/>
        <w:textAlignment w:val="auto"/>
        <w:outlineLvl w:val="9"/>
        <w:rPr>
          <w:rFonts w:hint="eastAsia" w:asciiTheme="minorEastAsia" w:hAnsiTheme="minorEastAsia" w:eastAsiaTheme="minorEastAsia" w:cstheme="minorEastAsia"/>
          <w:b/>
          <w:bCs/>
          <w:color w:val="auto"/>
          <w:sz w:val="24"/>
          <w:szCs w:val="24"/>
          <w:highlight w:val="none"/>
          <w:lang w:val="en-US" w:eastAsia="zh-CN"/>
        </w:rPr>
      </w:pPr>
    </w:p>
    <w:p w14:paraId="4021D39D">
      <w:pPr>
        <w:pStyle w:val="21"/>
        <w:pageBreakBefore w:val="0"/>
        <w:kinsoku/>
        <w:wordWrap/>
        <w:overflowPunct/>
        <w:topLinePunct w:val="0"/>
        <w:bidi w:val="0"/>
        <w:spacing w:line="500" w:lineRule="exact"/>
        <w:jc w:val="both"/>
        <w:textAlignment w:val="auto"/>
        <w:outlineLvl w:val="9"/>
        <w:rPr>
          <w:rFonts w:hint="eastAsia" w:asciiTheme="minorEastAsia" w:hAnsiTheme="minorEastAsia" w:eastAsiaTheme="minorEastAsia" w:cstheme="minorEastAsia"/>
          <w:b/>
          <w:bCs/>
          <w:color w:val="auto"/>
          <w:sz w:val="24"/>
          <w:szCs w:val="24"/>
          <w:highlight w:val="none"/>
          <w:lang w:val="en-US" w:eastAsia="zh-CN"/>
        </w:rPr>
      </w:pPr>
    </w:p>
    <w:p w14:paraId="3016D82D">
      <w:pPr>
        <w:pStyle w:val="21"/>
        <w:pageBreakBefore w:val="0"/>
        <w:kinsoku/>
        <w:wordWrap/>
        <w:overflowPunct/>
        <w:topLinePunct w:val="0"/>
        <w:bidi w:val="0"/>
        <w:spacing w:line="500" w:lineRule="exact"/>
        <w:jc w:val="both"/>
        <w:textAlignment w:val="auto"/>
        <w:outlineLvl w:val="9"/>
        <w:rPr>
          <w:rFonts w:hint="eastAsia" w:asciiTheme="minorEastAsia" w:hAnsiTheme="minorEastAsia" w:eastAsiaTheme="minorEastAsia" w:cstheme="minorEastAsia"/>
          <w:b/>
          <w:bCs/>
          <w:color w:val="auto"/>
          <w:sz w:val="24"/>
          <w:szCs w:val="24"/>
          <w:highlight w:val="none"/>
          <w:lang w:val="en-US" w:eastAsia="zh-CN"/>
        </w:rPr>
      </w:pPr>
    </w:p>
    <w:bookmarkEnd w:id="595"/>
    <w:bookmarkEnd w:id="596"/>
    <w:bookmarkEnd w:id="597"/>
    <w:p w14:paraId="4203AC5C">
      <w:pPr>
        <w:pStyle w:val="3"/>
        <w:numPr>
          <w:ilvl w:val="0"/>
          <w:numId w:val="0"/>
        </w:numPr>
        <w:spacing w:before="0" w:line="240" w:lineRule="atLeast"/>
        <w:ind w:left="0" w:leftChars="0" w:firstLine="964" w:firstLineChars="400"/>
        <w:rPr>
          <w:rFonts w:hint="eastAsia" w:asciiTheme="minorEastAsia" w:hAnsiTheme="minorEastAsia" w:eastAsiaTheme="minorEastAsia" w:cstheme="minorEastAsia"/>
          <w:b/>
          <w:color w:val="auto"/>
          <w:kern w:val="0"/>
          <w:sz w:val="24"/>
          <w:highlight w:val="none"/>
          <w:lang w:val="en-US" w:eastAsia="zh-CN"/>
        </w:rPr>
      </w:pPr>
      <w:bookmarkStart w:id="616" w:name="_Toc6895"/>
      <w:bookmarkStart w:id="617" w:name="_Toc23233"/>
      <w:bookmarkStart w:id="618" w:name="_Toc27138"/>
      <w:bookmarkStart w:id="619" w:name="_Toc23542"/>
      <w:bookmarkStart w:id="620" w:name="_Toc10773"/>
      <w:bookmarkStart w:id="621" w:name="_Toc216582817"/>
      <w:bookmarkStart w:id="622" w:name="_Toc26490"/>
      <w:bookmarkStart w:id="623" w:name="_Toc28959"/>
      <w:bookmarkStart w:id="624" w:name="_Toc9012"/>
      <w:bookmarkStart w:id="625" w:name="_Toc32689"/>
      <w:bookmarkStart w:id="626" w:name="_Toc1232"/>
      <w:bookmarkStart w:id="627" w:name="_Toc28414"/>
      <w:bookmarkStart w:id="628" w:name="_Toc3537"/>
      <w:bookmarkStart w:id="629" w:name="_Toc1130"/>
      <w:bookmarkStart w:id="630" w:name="_Toc24864"/>
      <w:bookmarkStart w:id="631" w:name="_Toc32666"/>
      <w:bookmarkStart w:id="632" w:name="_Toc13229"/>
      <w:bookmarkStart w:id="633" w:name="_Toc4880"/>
      <w:bookmarkStart w:id="634" w:name="_Toc22563"/>
      <w:bookmarkStart w:id="635" w:name="_Toc338"/>
      <w:bookmarkStart w:id="636" w:name="_Toc13093"/>
      <w:bookmarkStart w:id="637" w:name="_Toc515647820"/>
      <w:r>
        <w:rPr>
          <w:rFonts w:hint="eastAsia" w:asciiTheme="minorEastAsia" w:hAnsiTheme="minorEastAsia" w:eastAsiaTheme="minorEastAsia" w:cstheme="minorEastAsia"/>
          <w:b/>
          <w:color w:val="auto"/>
          <w:kern w:val="0"/>
          <w:sz w:val="24"/>
          <w:szCs w:val="20"/>
          <w:lang w:val="en-US" w:eastAsia="zh-CN" w:bidi="ar-SA"/>
        </w:rPr>
        <w:t>4、</w:t>
      </w:r>
      <w:r>
        <w:rPr>
          <w:rFonts w:hint="eastAsia" w:asciiTheme="minorEastAsia" w:hAnsiTheme="minorEastAsia" w:eastAsiaTheme="minorEastAsia" w:cstheme="minorEastAsia"/>
          <w:b/>
          <w:color w:val="auto"/>
          <w:kern w:val="0"/>
          <w:sz w:val="24"/>
          <w:highlight w:val="none"/>
          <w:lang w:val="en-US" w:eastAsia="zh-CN"/>
        </w:rPr>
        <w:t>技术规格偏离表</w:t>
      </w:r>
    </w:p>
    <w:p w14:paraId="771D60A4">
      <w:pPr>
        <w:pStyle w:val="21"/>
        <w:spacing w:line="24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项目名称:                    项目编号:   </w:t>
      </w:r>
    </w:p>
    <w:p w14:paraId="30218238">
      <w:pPr>
        <w:pStyle w:val="21"/>
        <w:spacing w:line="24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标项号：</w:t>
      </w:r>
      <w:r>
        <w:rPr>
          <w:rFonts w:hint="eastAsia" w:asciiTheme="minorEastAsia" w:hAnsiTheme="minorEastAsia" w:eastAsiaTheme="minorEastAsia" w:cstheme="minorEastAsia"/>
          <w:color w:val="auto"/>
          <w:sz w:val="24"/>
          <w:szCs w:val="24"/>
          <w:highlight w:val="none"/>
        </w:rPr>
        <w:t xml:space="preserve">             </w:t>
      </w:r>
    </w:p>
    <w:tbl>
      <w:tblPr>
        <w:tblStyle w:val="44"/>
        <w:tblW w:w="8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30"/>
        <w:gridCol w:w="2472"/>
        <w:gridCol w:w="1331"/>
        <w:gridCol w:w="1331"/>
        <w:gridCol w:w="951"/>
      </w:tblGrid>
      <w:tr w14:paraId="6E2A8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vAlign w:val="center"/>
          </w:tcPr>
          <w:p w14:paraId="7F9AD5CE">
            <w:pPr>
              <w:pStyle w:val="21"/>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330" w:type="dxa"/>
            <w:vAlign w:val="center"/>
          </w:tcPr>
          <w:p w14:paraId="7A77DC13">
            <w:pPr>
              <w:pStyle w:val="21"/>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货物名称</w:t>
            </w:r>
          </w:p>
        </w:tc>
        <w:tc>
          <w:tcPr>
            <w:tcW w:w="2472" w:type="dxa"/>
            <w:vAlign w:val="center"/>
          </w:tcPr>
          <w:p w14:paraId="304C85FE">
            <w:pPr>
              <w:pStyle w:val="21"/>
              <w:spacing w:line="240" w:lineRule="auto"/>
              <w:ind w:left="307" w:leftChars="128"/>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规格</w:t>
            </w:r>
          </w:p>
        </w:tc>
        <w:tc>
          <w:tcPr>
            <w:tcW w:w="1331" w:type="dxa"/>
            <w:vAlign w:val="center"/>
          </w:tcPr>
          <w:p w14:paraId="312F7ECA">
            <w:pPr>
              <w:pStyle w:val="21"/>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规格</w:t>
            </w:r>
          </w:p>
        </w:tc>
        <w:tc>
          <w:tcPr>
            <w:tcW w:w="1331" w:type="dxa"/>
            <w:vAlign w:val="center"/>
          </w:tcPr>
          <w:p w14:paraId="041DF98A">
            <w:pPr>
              <w:pStyle w:val="21"/>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偏离</w:t>
            </w:r>
          </w:p>
        </w:tc>
        <w:tc>
          <w:tcPr>
            <w:tcW w:w="951" w:type="dxa"/>
            <w:vAlign w:val="center"/>
          </w:tcPr>
          <w:p w14:paraId="35F8AE46">
            <w:pPr>
              <w:pStyle w:val="21"/>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tc>
      </w:tr>
      <w:tr w14:paraId="767ED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665E46C3">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1330" w:type="dxa"/>
          </w:tcPr>
          <w:p w14:paraId="15E00CDD">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2472" w:type="dxa"/>
          </w:tcPr>
          <w:p w14:paraId="02FB1AEE">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1331" w:type="dxa"/>
          </w:tcPr>
          <w:p w14:paraId="444390F9">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1331" w:type="dxa"/>
          </w:tcPr>
          <w:p w14:paraId="166E106C">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951" w:type="dxa"/>
          </w:tcPr>
          <w:p w14:paraId="0B06B05F">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r>
      <w:tr w14:paraId="15FF1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03CCC382">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1330" w:type="dxa"/>
          </w:tcPr>
          <w:p w14:paraId="3C5F033C">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2472" w:type="dxa"/>
          </w:tcPr>
          <w:p w14:paraId="59EFB0A2">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1331" w:type="dxa"/>
          </w:tcPr>
          <w:p w14:paraId="4DC72582">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1331" w:type="dxa"/>
          </w:tcPr>
          <w:p w14:paraId="0351CF54">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951" w:type="dxa"/>
          </w:tcPr>
          <w:p w14:paraId="541888EF">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r>
      <w:tr w14:paraId="74F04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6A0B6DB7">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1330" w:type="dxa"/>
          </w:tcPr>
          <w:p w14:paraId="0D18F209">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2472" w:type="dxa"/>
          </w:tcPr>
          <w:p w14:paraId="18908D88">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1331" w:type="dxa"/>
          </w:tcPr>
          <w:p w14:paraId="7F880BEC">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1331" w:type="dxa"/>
          </w:tcPr>
          <w:p w14:paraId="7E22BCFE">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951" w:type="dxa"/>
          </w:tcPr>
          <w:p w14:paraId="491F377C">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r>
      <w:tr w14:paraId="2C20D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1A79E91B">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1330" w:type="dxa"/>
          </w:tcPr>
          <w:p w14:paraId="6EBA718D">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2472" w:type="dxa"/>
          </w:tcPr>
          <w:p w14:paraId="19C9395B">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1331" w:type="dxa"/>
          </w:tcPr>
          <w:p w14:paraId="570839C5">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1331" w:type="dxa"/>
          </w:tcPr>
          <w:p w14:paraId="2DE7D839">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951" w:type="dxa"/>
          </w:tcPr>
          <w:p w14:paraId="641E0EC6">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r>
      <w:tr w14:paraId="53C5F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67B8CC05">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1330" w:type="dxa"/>
          </w:tcPr>
          <w:p w14:paraId="6907E1F5">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2472" w:type="dxa"/>
          </w:tcPr>
          <w:p w14:paraId="09BDBF66">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1331" w:type="dxa"/>
          </w:tcPr>
          <w:p w14:paraId="7EB7D55D">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1331" w:type="dxa"/>
          </w:tcPr>
          <w:p w14:paraId="5281C839">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951" w:type="dxa"/>
          </w:tcPr>
          <w:p w14:paraId="7A25B34D">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r>
      <w:tr w14:paraId="1DF6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15C6DD06">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1330" w:type="dxa"/>
          </w:tcPr>
          <w:p w14:paraId="176DFA04">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2472" w:type="dxa"/>
          </w:tcPr>
          <w:p w14:paraId="342D7D8A">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1331" w:type="dxa"/>
          </w:tcPr>
          <w:p w14:paraId="017E5B78">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1331" w:type="dxa"/>
          </w:tcPr>
          <w:p w14:paraId="15CC80E6">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951" w:type="dxa"/>
          </w:tcPr>
          <w:p w14:paraId="1A238649">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r>
      <w:tr w14:paraId="79FA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75" w:type="dxa"/>
          </w:tcPr>
          <w:p w14:paraId="2A1AE01E">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1330" w:type="dxa"/>
          </w:tcPr>
          <w:p w14:paraId="0B822F4B">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2472" w:type="dxa"/>
          </w:tcPr>
          <w:p w14:paraId="09D66BED">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1331" w:type="dxa"/>
          </w:tcPr>
          <w:p w14:paraId="65CF1F65">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1331" w:type="dxa"/>
          </w:tcPr>
          <w:p w14:paraId="03726366">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951" w:type="dxa"/>
          </w:tcPr>
          <w:p w14:paraId="74813D91">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r>
    </w:tbl>
    <w:p w14:paraId="1BC03767">
      <w:pPr>
        <w:pStyle w:val="21"/>
        <w:spacing w:line="240" w:lineRule="auto"/>
        <w:rPr>
          <w:rFonts w:hint="eastAsia" w:asciiTheme="minorEastAsia" w:hAnsiTheme="minorEastAsia" w:eastAsiaTheme="minorEastAsia" w:cstheme="minorEastAsia"/>
          <w:color w:val="auto"/>
          <w:sz w:val="24"/>
          <w:szCs w:val="24"/>
          <w:highlight w:val="none"/>
        </w:rPr>
      </w:pPr>
    </w:p>
    <w:p w14:paraId="40B9881F">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法定代表人或其委托代理人（</w:t>
      </w:r>
      <w:r>
        <w:rPr>
          <w:rFonts w:hint="eastAsia" w:asciiTheme="minorEastAsia" w:hAnsiTheme="minorEastAsia" w:eastAsiaTheme="minorEastAsia" w:cstheme="minorEastAsia"/>
          <w:color w:val="auto"/>
          <w:sz w:val="24"/>
          <w:szCs w:val="24"/>
          <w:highlight w:val="none"/>
          <w:lang w:eastAsia="zh-CN"/>
        </w:rPr>
        <w:t>签字或盖章</w:t>
      </w:r>
      <w:r>
        <w:rPr>
          <w:rFonts w:hint="eastAsia" w:asciiTheme="minorEastAsia" w:hAnsiTheme="minorEastAsia" w:eastAsiaTheme="minorEastAsia" w:cstheme="minorEastAsia"/>
          <w:color w:val="auto"/>
          <w:sz w:val="24"/>
          <w:szCs w:val="24"/>
          <w:highlight w:val="none"/>
        </w:rPr>
        <w:t>）:</w:t>
      </w:r>
    </w:p>
    <w:p w14:paraId="09716BA1">
      <w:pPr>
        <w:pStyle w:val="21"/>
        <w:tabs>
          <w:tab w:val="left" w:pos="5370"/>
        </w:tabs>
        <w:spacing w:line="240" w:lineRule="auto"/>
        <w:ind w:left="1157" w:leftChars="257" w:hanging="54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供应商(公章):</w:t>
      </w:r>
    </w:p>
    <w:p w14:paraId="353B1359">
      <w:pPr>
        <w:rPr>
          <w:rFonts w:hint="eastAsia" w:asciiTheme="minorEastAsia" w:hAnsiTheme="minorEastAsia" w:eastAsiaTheme="minorEastAsia" w:cstheme="minorEastAsia"/>
          <w:sz w:val="24"/>
          <w:szCs w:val="24"/>
          <w:highlight w:val="none"/>
          <w:lang w:val="en-US" w:eastAsia="zh-CN"/>
        </w:rPr>
      </w:pPr>
    </w:p>
    <w:p w14:paraId="24D311EF">
      <w:pPr>
        <w:rPr>
          <w:rFonts w:hint="eastAsia" w:asciiTheme="minorEastAsia" w:hAnsiTheme="minorEastAsia" w:eastAsiaTheme="minorEastAsia" w:cstheme="minorEastAsia"/>
          <w:bCs/>
          <w:color w:val="auto"/>
          <w:kern w:val="2"/>
          <w:sz w:val="24"/>
          <w:szCs w:val="24"/>
          <w:highlight w:val="none"/>
        </w:rPr>
      </w:pPr>
      <w:r>
        <w:rPr>
          <w:rFonts w:hint="eastAsia" w:asciiTheme="minorEastAsia" w:hAnsiTheme="minorEastAsia" w:eastAsiaTheme="minorEastAsia" w:cstheme="minorEastAsia"/>
          <w:bCs/>
          <w:color w:val="auto"/>
          <w:sz w:val="24"/>
          <w:szCs w:val="24"/>
          <w:highlight w:val="none"/>
        </w:rPr>
        <w:br w:type="page"/>
      </w:r>
    </w:p>
    <w:p w14:paraId="46B7B176">
      <w:pPr>
        <w:pStyle w:val="3"/>
        <w:numPr>
          <w:ilvl w:val="0"/>
          <w:numId w:val="0"/>
        </w:numPr>
        <w:spacing w:before="0" w:line="240" w:lineRule="atLeast"/>
        <w:ind w:left="0" w:leftChars="0" w:firstLine="964"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kern w:val="0"/>
          <w:sz w:val="24"/>
          <w:szCs w:val="24"/>
          <w:lang w:val="en-US" w:eastAsia="zh-CN" w:bidi="ar-SA"/>
        </w:rPr>
        <w:t>5、</w:t>
      </w:r>
      <w:r>
        <w:rPr>
          <w:rFonts w:hint="eastAsia" w:asciiTheme="minorEastAsia" w:hAnsiTheme="minorEastAsia" w:eastAsiaTheme="minorEastAsia" w:cstheme="minorEastAsia"/>
          <w:bCs/>
          <w:color w:val="auto"/>
          <w:sz w:val="24"/>
          <w:szCs w:val="24"/>
          <w:highlight w:val="none"/>
        </w:rPr>
        <w:t>商务条款偏离表</w:t>
      </w:r>
      <w:bookmarkEnd w:id="616"/>
      <w:bookmarkEnd w:id="617"/>
      <w:bookmarkEnd w:id="618"/>
    </w:p>
    <w:p w14:paraId="506FD718">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项目名称:                      </w:t>
      </w:r>
      <w:r>
        <w:rPr>
          <w:rFonts w:hint="eastAsia" w:asciiTheme="minorEastAsia" w:hAnsiTheme="minorEastAsia" w:eastAsiaTheme="minorEastAsia" w:cstheme="minorEastAsia"/>
          <w:color w:val="auto"/>
          <w:sz w:val="24"/>
          <w:szCs w:val="24"/>
          <w:highlight w:val="none"/>
          <w:lang w:val="en-US" w:eastAsia="zh-CN"/>
        </w:rPr>
        <w:t>项目</w:t>
      </w:r>
      <w:r>
        <w:rPr>
          <w:rFonts w:hint="eastAsia" w:asciiTheme="minorEastAsia" w:hAnsiTheme="minorEastAsia" w:eastAsiaTheme="minorEastAsia" w:cstheme="minorEastAsia"/>
          <w:color w:val="auto"/>
          <w:sz w:val="24"/>
          <w:szCs w:val="24"/>
          <w:highlight w:val="none"/>
        </w:rPr>
        <w:t xml:space="preserve">编号:   </w:t>
      </w:r>
    </w:p>
    <w:p w14:paraId="4E954ACE">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标项号：</w:t>
      </w:r>
      <w:r>
        <w:rPr>
          <w:rFonts w:hint="eastAsia" w:asciiTheme="minorEastAsia" w:hAnsiTheme="minorEastAsia" w:eastAsiaTheme="minorEastAsia" w:cstheme="minorEastAsia"/>
          <w:color w:val="auto"/>
          <w:sz w:val="24"/>
          <w:szCs w:val="24"/>
          <w:highlight w:val="none"/>
        </w:rPr>
        <w:t xml:space="preserve">         </w:t>
      </w:r>
    </w:p>
    <w:tbl>
      <w:tblPr>
        <w:tblStyle w:val="44"/>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1014"/>
      </w:tblGrid>
      <w:tr w14:paraId="7CE0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56CF1DF">
            <w:pPr>
              <w:pStyle w:val="21"/>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2040" w:type="dxa"/>
          </w:tcPr>
          <w:p w14:paraId="70B531E0">
            <w:pPr>
              <w:pStyle w:val="21"/>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谈判文件</w:t>
            </w:r>
            <w:r>
              <w:rPr>
                <w:rFonts w:hint="eastAsia" w:asciiTheme="minorEastAsia" w:hAnsiTheme="minorEastAsia" w:eastAsiaTheme="minorEastAsia" w:cstheme="minorEastAsia"/>
                <w:color w:val="auto"/>
                <w:sz w:val="24"/>
                <w:szCs w:val="24"/>
                <w:highlight w:val="none"/>
              </w:rPr>
              <w:t>条款号</w:t>
            </w:r>
          </w:p>
        </w:tc>
        <w:tc>
          <w:tcPr>
            <w:tcW w:w="2520" w:type="dxa"/>
          </w:tcPr>
          <w:p w14:paraId="47C51DF4">
            <w:pPr>
              <w:pStyle w:val="21"/>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谈判文件</w:t>
            </w:r>
            <w:r>
              <w:rPr>
                <w:rFonts w:hint="eastAsia" w:asciiTheme="minorEastAsia" w:hAnsiTheme="minorEastAsia" w:eastAsiaTheme="minorEastAsia" w:cstheme="minorEastAsia"/>
                <w:color w:val="auto"/>
                <w:sz w:val="24"/>
                <w:szCs w:val="24"/>
                <w:highlight w:val="none"/>
              </w:rPr>
              <w:t>的商务条款</w:t>
            </w:r>
          </w:p>
        </w:tc>
        <w:tc>
          <w:tcPr>
            <w:tcW w:w="2520" w:type="dxa"/>
          </w:tcPr>
          <w:p w14:paraId="062A1B15">
            <w:pPr>
              <w:pStyle w:val="21"/>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的商务条款</w:t>
            </w:r>
          </w:p>
        </w:tc>
        <w:tc>
          <w:tcPr>
            <w:tcW w:w="1014" w:type="dxa"/>
          </w:tcPr>
          <w:p w14:paraId="63B8E84A">
            <w:pPr>
              <w:pStyle w:val="21"/>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tc>
      </w:tr>
      <w:tr w14:paraId="029BC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6CA1F32">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040" w:type="dxa"/>
          </w:tcPr>
          <w:p w14:paraId="26CC3ADD">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73C3742A">
            <w:pPr>
              <w:pStyle w:val="21"/>
              <w:spacing w:line="400" w:lineRule="exact"/>
              <w:ind w:left="1157" w:leftChars="257" w:hanging="540"/>
              <w:jc w:val="center"/>
              <w:rPr>
                <w:rFonts w:hint="eastAsia" w:asciiTheme="minorEastAsia" w:hAnsiTheme="minorEastAsia" w:eastAsiaTheme="minorEastAsia" w:cstheme="minorEastAsia"/>
                <w:color w:val="auto"/>
                <w:sz w:val="24"/>
                <w:szCs w:val="24"/>
                <w:highlight w:val="none"/>
              </w:rPr>
            </w:pPr>
          </w:p>
        </w:tc>
        <w:tc>
          <w:tcPr>
            <w:tcW w:w="2520" w:type="dxa"/>
          </w:tcPr>
          <w:p w14:paraId="50E0CA03">
            <w:pPr>
              <w:pStyle w:val="21"/>
              <w:spacing w:line="400" w:lineRule="exact"/>
              <w:ind w:left="1157" w:leftChars="257" w:hanging="540"/>
              <w:jc w:val="center"/>
              <w:rPr>
                <w:rFonts w:hint="eastAsia" w:asciiTheme="minorEastAsia" w:hAnsiTheme="minorEastAsia" w:eastAsiaTheme="minorEastAsia" w:cstheme="minorEastAsia"/>
                <w:color w:val="auto"/>
                <w:sz w:val="24"/>
                <w:szCs w:val="24"/>
                <w:highlight w:val="none"/>
              </w:rPr>
            </w:pPr>
          </w:p>
        </w:tc>
        <w:tc>
          <w:tcPr>
            <w:tcW w:w="1014" w:type="dxa"/>
          </w:tcPr>
          <w:p w14:paraId="1C55330B">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r>
      <w:tr w14:paraId="2A91C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BAAB975">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040" w:type="dxa"/>
          </w:tcPr>
          <w:p w14:paraId="28602584">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786A8D32">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585FE643">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1014" w:type="dxa"/>
          </w:tcPr>
          <w:p w14:paraId="5BDF9F52">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r>
      <w:tr w14:paraId="6C07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6E6820F">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040" w:type="dxa"/>
          </w:tcPr>
          <w:p w14:paraId="6DFD6CA1">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44A68FB1">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078831C4">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1014" w:type="dxa"/>
          </w:tcPr>
          <w:p w14:paraId="4785EEFA">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r>
      <w:tr w14:paraId="17A7B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C0FE5CE">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040" w:type="dxa"/>
          </w:tcPr>
          <w:p w14:paraId="1D6C0507">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750ADCD7">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7BBADF3D">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1014" w:type="dxa"/>
          </w:tcPr>
          <w:p w14:paraId="7A1907FA">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r>
      <w:tr w14:paraId="7AC5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5FF3F18">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040" w:type="dxa"/>
          </w:tcPr>
          <w:p w14:paraId="60A103FC">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00FCF49D">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3C83F7E9">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1014" w:type="dxa"/>
          </w:tcPr>
          <w:p w14:paraId="2919FDA4">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r>
      <w:tr w14:paraId="0ED01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6742D1E">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040" w:type="dxa"/>
          </w:tcPr>
          <w:p w14:paraId="092737C4">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2A7FDFD1">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57008A6B">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1014" w:type="dxa"/>
          </w:tcPr>
          <w:p w14:paraId="68A82D23">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r>
      <w:tr w14:paraId="565AB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F0F13B0">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040" w:type="dxa"/>
          </w:tcPr>
          <w:p w14:paraId="0CA8CD63">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7EC776C8">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42A39550">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1014" w:type="dxa"/>
          </w:tcPr>
          <w:p w14:paraId="7ACF8CB6">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r>
      <w:tr w14:paraId="654C8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21FE000">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040" w:type="dxa"/>
          </w:tcPr>
          <w:p w14:paraId="20EC53EA">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36C51627">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210703CB">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1014" w:type="dxa"/>
          </w:tcPr>
          <w:p w14:paraId="1BA0B474">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r>
      <w:tr w14:paraId="25A0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0D9F927">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040" w:type="dxa"/>
          </w:tcPr>
          <w:p w14:paraId="74D63D94">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2D91B719">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530A34C9">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1014" w:type="dxa"/>
          </w:tcPr>
          <w:p w14:paraId="32C944D5">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r>
      <w:tr w14:paraId="68F8B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E5DA814">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040" w:type="dxa"/>
          </w:tcPr>
          <w:p w14:paraId="12CAABE0">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5EF270E5">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15133DBB">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1014" w:type="dxa"/>
          </w:tcPr>
          <w:p w14:paraId="541951FB">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r>
      <w:tr w14:paraId="6E9C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AF4762A">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040" w:type="dxa"/>
          </w:tcPr>
          <w:p w14:paraId="75CC1669">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51F09D31">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0E659AB6">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1014" w:type="dxa"/>
          </w:tcPr>
          <w:p w14:paraId="5F24A163">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r>
      <w:tr w14:paraId="7968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22A121F">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040" w:type="dxa"/>
          </w:tcPr>
          <w:p w14:paraId="2B0FED5D">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6EDE57FF">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6DC88F82">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1014" w:type="dxa"/>
          </w:tcPr>
          <w:p w14:paraId="36A8758F">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r>
      <w:tr w14:paraId="0E1E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893ACF5">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040" w:type="dxa"/>
          </w:tcPr>
          <w:p w14:paraId="1651B6DA">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5D871AFE">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76DE1149">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1014" w:type="dxa"/>
          </w:tcPr>
          <w:p w14:paraId="40C40A0E">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r>
      <w:tr w14:paraId="5CE7D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425CAFC">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040" w:type="dxa"/>
          </w:tcPr>
          <w:p w14:paraId="2FA7FBF9">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30C18720">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6FC97D18">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1014" w:type="dxa"/>
          </w:tcPr>
          <w:p w14:paraId="6171DF6F">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r>
    </w:tbl>
    <w:p w14:paraId="63009F3C">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p w14:paraId="5FD7C09E">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p w14:paraId="1A794F45">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法定代表人或其委托代理人（</w:t>
      </w:r>
      <w:r>
        <w:rPr>
          <w:rFonts w:hint="eastAsia" w:asciiTheme="minorEastAsia" w:hAnsiTheme="minorEastAsia" w:eastAsiaTheme="minorEastAsia" w:cstheme="minorEastAsia"/>
          <w:color w:val="auto"/>
          <w:sz w:val="24"/>
          <w:szCs w:val="24"/>
          <w:highlight w:val="none"/>
          <w:lang w:eastAsia="zh-CN"/>
        </w:rPr>
        <w:t>签字</w:t>
      </w:r>
      <w:r>
        <w:rPr>
          <w:rFonts w:hint="eastAsia" w:asciiTheme="minorEastAsia" w:hAnsiTheme="minorEastAsia" w:eastAsia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lang w:eastAsia="zh-CN"/>
        </w:rPr>
        <w:t>盖章</w:t>
      </w:r>
      <w:r>
        <w:rPr>
          <w:rFonts w:hint="eastAsia" w:asciiTheme="minorEastAsia" w:hAnsiTheme="minorEastAsia" w:eastAsiaTheme="minorEastAsia" w:cstheme="minorEastAsia"/>
          <w:color w:val="auto"/>
          <w:sz w:val="24"/>
          <w:szCs w:val="24"/>
          <w:highlight w:val="none"/>
        </w:rPr>
        <w:t>）:</w:t>
      </w:r>
    </w:p>
    <w:p w14:paraId="4C817188">
      <w:pPr>
        <w:pStyle w:val="21"/>
        <w:tabs>
          <w:tab w:val="left" w:pos="5370"/>
        </w:tabs>
        <w:spacing w:line="400" w:lineRule="exact"/>
        <w:ind w:left="1157" w:leftChars="257" w:hanging="54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供应商(公章):</w:t>
      </w:r>
    </w:p>
    <w:p w14:paraId="4B61558E">
      <w:pPr>
        <w:pStyle w:val="21"/>
        <w:tabs>
          <w:tab w:val="left" w:pos="5370"/>
        </w:tabs>
        <w:spacing w:line="400" w:lineRule="exact"/>
        <w:ind w:left="1157" w:leftChars="257" w:hanging="540"/>
        <w:rPr>
          <w:rFonts w:hint="eastAsia" w:asciiTheme="minorEastAsia" w:hAnsiTheme="minorEastAsia" w:eastAsiaTheme="minorEastAsia" w:cstheme="minorEastAsia"/>
          <w:color w:val="auto"/>
          <w:sz w:val="24"/>
          <w:szCs w:val="24"/>
          <w:highlight w:val="none"/>
          <w:u w:val="single"/>
        </w:rPr>
      </w:pPr>
    </w:p>
    <w:p w14:paraId="5646D523">
      <w:pPr>
        <w:pStyle w:val="21"/>
        <w:spacing w:line="360" w:lineRule="exact"/>
        <w:rPr>
          <w:rFonts w:hint="eastAsia" w:asciiTheme="minorEastAsia" w:hAnsiTheme="minorEastAsia" w:eastAsiaTheme="minorEastAsia" w:cstheme="minorEastAsia"/>
          <w:color w:val="auto"/>
          <w:sz w:val="24"/>
          <w:highlight w:val="none"/>
          <w:u w:val="single"/>
        </w:rPr>
      </w:pPr>
    </w:p>
    <w:p w14:paraId="6A21ABDE">
      <w:pPr>
        <w:pStyle w:val="21"/>
        <w:spacing w:line="360" w:lineRule="exact"/>
        <w:ind w:left="1157" w:leftChars="257" w:hanging="540"/>
        <w:rPr>
          <w:rFonts w:hint="eastAsia" w:asciiTheme="minorEastAsia" w:hAnsiTheme="minorEastAsia" w:eastAsiaTheme="minorEastAsia" w:cstheme="minorEastAsia"/>
          <w:color w:val="auto"/>
          <w:sz w:val="24"/>
          <w:highlight w:val="none"/>
          <w:u w:val="single"/>
        </w:rPr>
      </w:pPr>
    </w:p>
    <w:p w14:paraId="3CA5B979">
      <w:pPr>
        <w:pStyle w:val="21"/>
        <w:spacing w:line="360" w:lineRule="exact"/>
        <w:ind w:left="1157" w:leftChars="257" w:hanging="540"/>
        <w:rPr>
          <w:rFonts w:hint="eastAsia" w:asciiTheme="minorEastAsia" w:hAnsiTheme="minorEastAsia" w:eastAsiaTheme="minorEastAsia" w:cstheme="minorEastAsia"/>
          <w:color w:val="auto"/>
          <w:sz w:val="24"/>
          <w:highlight w:val="none"/>
          <w:u w:val="single"/>
        </w:rPr>
      </w:pPr>
    </w:p>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14:paraId="046C6422">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textAlignment w:val="center"/>
        <w:rPr>
          <w:rFonts w:hint="eastAsia" w:asciiTheme="minorEastAsia" w:hAnsiTheme="minorEastAsia" w:eastAsiaTheme="minorEastAsia" w:cstheme="minorEastAsia"/>
          <w:color w:val="auto"/>
          <w:sz w:val="24"/>
          <w:szCs w:val="24"/>
          <w:highlight w:val="none"/>
        </w:rPr>
      </w:pPr>
      <w:bookmarkStart w:id="638" w:name="_Toc20471"/>
      <w:bookmarkStart w:id="639" w:name="_Toc13385"/>
      <w:bookmarkStart w:id="640" w:name="_Toc29345"/>
      <w:bookmarkStart w:id="641" w:name="_Toc24705"/>
      <w:bookmarkStart w:id="642" w:name="_Toc8073"/>
      <w:bookmarkStart w:id="643" w:name="_Toc25307"/>
      <w:bookmarkStart w:id="644" w:name="_Toc2099"/>
    </w:p>
    <w:p w14:paraId="51536353">
      <w:pPr>
        <w:pStyle w:val="33"/>
        <w:rPr>
          <w:rFonts w:hint="eastAsia" w:asciiTheme="minorEastAsia" w:hAnsiTheme="minorEastAsia" w:eastAsiaTheme="minorEastAsia" w:cstheme="minorEastAsia"/>
          <w:color w:val="auto"/>
          <w:highlight w:val="none"/>
        </w:rPr>
      </w:pPr>
    </w:p>
    <w:p w14:paraId="5C7ED699">
      <w:pPr>
        <w:rPr>
          <w:rFonts w:hint="eastAsia" w:asciiTheme="minorEastAsia" w:hAnsiTheme="minorEastAsia" w:eastAsiaTheme="minorEastAsia" w:cstheme="minorEastAsia"/>
          <w:b/>
          <w:bCs/>
          <w:color w:val="auto"/>
          <w:sz w:val="24"/>
          <w:highlight w:val="none"/>
          <w:lang w:val="en-US" w:eastAsia="zh-CN"/>
        </w:rPr>
      </w:pPr>
      <w:bookmarkStart w:id="645" w:name="_Toc15760"/>
      <w:bookmarkStart w:id="646" w:name="_Toc26116"/>
      <w:bookmarkStart w:id="647" w:name="_Toc19284"/>
      <w:bookmarkStart w:id="648" w:name="_Toc10900"/>
      <w:bookmarkStart w:id="649" w:name="_Toc5825"/>
      <w:bookmarkStart w:id="650" w:name="_Toc23103"/>
      <w:bookmarkStart w:id="651" w:name="_Toc15209"/>
      <w:bookmarkStart w:id="652" w:name="_Toc23068"/>
      <w:bookmarkStart w:id="653" w:name="_Toc13191"/>
      <w:bookmarkStart w:id="654" w:name="_Toc30321"/>
      <w:bookmarkStart w:id="655" w:name="_Toc9189"/>
      <w:bookmarkStart w:id="656" w:name="_Toc10530"/>
      <w:bookmarkStart w:id="657" w:name="OLE_LINK14"/>
      <w:bookmarkStart w:id="658" w:name="_Toc1860"/>
      <w:bookmarkStart w:id="659" w:name="_Toc515647825"/>
      <w:bookmarkStart w:id="660" w:name="OLE_LINK13"/>
      <w:r>
        <w:rPr>
          <w:rFonts w:hint="eastAsia" w:asciiTheme="minorEastAsia" w:hAnsiTheme="minorEastAsia" w:eastAsiaTheme="minorEastAsia" w:cstheme="minorEastAsia"/>
          <w:b/>
          <w:bCs/>
          <w:color w:val="auto"/>
          <w:sz w:val="24"/>
          <w:highlight w:val="none"/>
          <w:lang w:val="en-US" w:eastAsia="zh-CN"/>
        </w:rPr>
        <w:br w:type="page"/>
      </w:r>
    </w:p>
    <w:p w14:paraId="3C54AFAB">
      <w:pPr>
        <w:spacing w:line="240" w:lineRule="atLeast"/>
        <w:jc w:val="center"/>
        <w:outlineLvl w:val="1"/>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val="en-US" w:eastAsia="zh-CN"/>
        </w:rPr>
        <w:t>6</w:t>
      </w:r>
      <w:r>
        <w:rPr>
          <w:rFonts w:hint="eastAsia" w:asciiTheme="minorEastAsia" w:hAnsiTheme="minorEastAsia" w:eastAsiaTheme="minorEastAsia" w:cstheme="minorEastAsia"/>
          <w:b/>
          <w:color w:val="auto"/>
          <w:kern w:val="0"/>
          <w:sz w:val="24"/>
          <w:highlight w:val="none"/>
          <w:lang w:val="en-US" w:eastAsia="zh-CN"/>
        </w:rPr>
        <w:t>、</w:t>
      </w:r>
      <w:r>
        <w:rPr>
          <w:rFonts w:hint="eastAsia" w:asciiTheme="minorEastAsia" w:hAnsiTheme="minorEastAsia" w:eastAsiaTheme="minorEastAsia" w:cstheme="minorEastAsia"/>
          <w:b/>
          <w:bCs/>
          <w:color w:val="auto"/>
          <w:sz w:val="24"/>
          <w:highlight w:val="none"/>
        </w:rPr>
        <w:t>残疾人福利性单位声明函</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14:paraId="55CC5F52">
      <w:pPr>
        <w:spacing w:line="240" w:lineRule="atLeast"/>
        <w:ind w:left="1157" w:leftChars="257" w:hanging="540"/>
        <w:jc w:val="center"/>
        <w:rPr>
          <w:rFonts w:hint="eastAsia" w:asciiTheme="minorEastAsia" w:hAnsiTheme="minorEastAsia" w:eastAsiaTheme="minorEastAsia" w:cstheme="minorEastAsia"/>
          <w:color w:val="auto"/>
          <w:kern w:val="0"/>
          <w:sz w:val="24"/>
          <w:highlight w:val="none"/>
        </w:rPr>
      </w:pPr>
    </w:p>
    <w:p w14:paraId="1F2EC462">
      <w:pPr>
        <w:spacing w:line="240" w:lineRule="atLeast"/>
        <w:ind w:firstLine="567"/>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1A433A14">
      <w:pPr>
        <w:spacing w:line="240" w:lineRule="atLeast"/>
        <w:ind w:left="1157" w:leftChars="257" w:hanging="54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本单位对上述声明的真实性负责。如有虚假，将依法承担相应责任。</w:t>
      </w:r>
    </w:p>
    <w:p w14:paraId="06F6DD0C">
      <w:pPr>
        <w:spacing w:line="240" w:lineRule="atLeast"/>
        <w:ind w:left="1157" w:leftChars="257" w:hanging="540"/>
        <w:jc w:val="center"/>
        <w:rPr>
          <w:rFonts w:hint="eastAsia" w:asciiTheme="minorEastAsia" w:hAnsiTheme="minorEastAsia" w:eastAsiaTheme="minorEastAsia" w:cstheme="minorEastAsia"/>
          <w:color w:val="auto"/>
          <w:kern w:val="0"/>
          <w:sz w:val="24"/>
          <w:highlight w:val="none"/>
        </w:rPr>
      </w:pPr>
    </w:p>
    <w:p w14:paraId="50100863">
      <w:pPr>
        <w:spacing w:line="240" w:lineRule="atLeast"/>
        <w:ind w:left="1157" w:leftChars="257" w:hanging="540"/>
        <w:jc w:val="center"/>
        <w:rPr>
          <w:rFonts w:hint="eastAsia" w:asciiTheme="minorEastAsia" w:hAnsiTheme="minorEastAsia" w:eastAsiaTheme="minorEastAsia" w:cstheme="minorEastAsia"/>
          <w:color w:val="auto"/>
          <w:kern w:val="0"/>
          <w:sz w:val="24"/>
          <w:highlight w:val="none"/>
        </w:rPr>
      </w:pPr>
    </w:p>
    <w:p w14:paraId="64C925B7">
      <w:pPr>
        <w:spacing w:line="240" w:lineRule="atLeast"/>
        <w:ind w:left="1157" w:leftChars="257" w:hanging="540"/>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残疾人福利性单位名称（公章）：</w:t>
      </w:r>
    </w:p>
    <w:p w14:paraId="39802000">
      <w:pPr>
        <w:spacing w:line="240" w:lineRule="atLeast"/>
        <w:ind w:left="1157" w:leftChars="257" w:hanging="540"/>
        <w:jc w:val="center"/>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日  期：</w:t>
      </w:r>
    </w:p>
    <w:p w14:paraId="6666A22D">
      <w:pPr>
        <w:spacing w:line="240" w:lineRule="atLeast"/>
        <w:ind w:left="1157" w:leftChars="257" w:hanging="540"/>
        <w:jc w:val="center"/>
        <w:rPr>
          <w:rFonts w:hint="eastAsia" w:asciiTheme="minorEastAsia" w:hAnsiTheme="minorEastAsia" w:eastAsiaTheme="minorEastAsia" w:cstheme="minorEastAsia"/>
          <w:b/>
          <w:color w:val="auto"/>
          <w:kern w:val="0"/>
          <w:sz w:val="24"/>
          <w:highlight w:val="none"/>
        </w:rPr>
      </w:pPr>
    </w:p>
    <w:p w14:paraId="575E3E58">
      <w:pPr>
        <w:spacing w:line="480" w:lineRule="exact"/>
        <w:jc w:val="both"/>
        <w:rPr>
          <w:rFonts w:hint="eastAsia" w:asciiTheme="minorEastAsia" w:hAnsiTheme="minorEastAsia" w:eastAsiaTheme="minorEastAsia" w:cstheme="minorEastAsia"/>
          <w:color w:val="auto"/>
          <w:szCs w:val="21"/>
          <w:highlight w:val="none"/>
        </w:rPr>
      </w:pPr>
    </w:p>
    <w:p w14:paraId="67836677">
      <w:pPr>
        <w:rPr>
          <w:rFonts w:hint="eastAsia" w:asciiTheme="minorEastAsia" w:hAnsiTheme="minorEastAsia" w:eastAsiaTheme="minorEastAsia" w:cstheme="minorEastAsia"/>
          <w:b/>
          <w:color w:val="auto"/>
          <w:kern w:val="0"/>
          <w:sz w:val="24"/>
          <w:highlight w:val="none"/>
          <w:lang w:val="en-US" w:eastAsia="zh-CN"/>
        </w:rPr>
      </w:pPr>
      <w:bookmarkStart w:id="661" w:name="_Toc5568"/>
      <w:bookmarkStart w:id="662" w:name="_Toc30795"/>
      <w:bookmarkStart w:id="663" w:name="_Toc10068"/>
      <w:bookmarkStart w:id="664" w:name="_Toc2304"/>
      <w:bookmarkStart w:id="665" w:name="_Toc5205"/>
      <w:bookmarkStart w:id="666" w:name="_Toc22561"/>
      <w:bookmarkStart w:id="667" w:name="_Toc6004"/>
      <w:bookmarkStart w:id="668" w:name="_Toc16850"/>
      <w:bookmarkStart w:id="669" w:name="_Toc30946"/>
      <w:bookmarkStart w:id="670" w:name="_Toc5527"/>
      <w:bookmarkStart w:id="671" w:name="_Toc515647827"/>
      <w:bookmarkStart w:id="672" w:name="_Toc22378"/>
      <w:bookmarkStart w:id="673" w:name="_Toc452"/>
      <w:bookmarkStart w:id="674" w:name="_Toc11868"/>
      <w:bookmarkStart w:id="675" w:name="_Toc28099"/>
      <w:bookmarkStart w:id="676" w:name="_Toc19223"/>
      <w:bookmarkStart w:id="677" w:name="_Toc26133"/>
      <w:r>
        <w:rPr>
          <w:rFonts w:hint="eastAsia" w:asciiTheme="minorEastAsia" w:hAnsiTheme="minorEastAsia" w:eastAsiaTheme="minorEastAsia" w:cstheme="minorEastAsia"/>
          <w:b/>
          <w:color w:val="auto"/>
          <w:kern w:val="0"/>
          <w:sz w:val="24"/>
          <w:highlight w:val="none"/>
          <w:lang w:val="en-US" w:eastAsia="zh-CN"/>
        </w:rPr>
        <w:br w:type="page"/>
      </w:r>
    </w:p>
    <w:p w14:paraId="28993FDC">
      <w:pPr>
        <w:numPr>
          <w:ilvl w:val="0"/>
          <w:numId w:val="0"/>
        </w:numPr>
        <w:spacing w:line="240" w:lineRule="atLeast"/>
        <w:ind w:leftChars="400"/>
        <w:jc w:val="center"/>
        <w:outlineLvl w:val="1"/>
        <w:rPr>
          <w:rFonts w:hint="eastAsia" w:asciiTheme="minorEastAsia" w:hAnsiTheme="minorEastAsia" w:eastAsiaTheme="minorEastAsia" w:cstheme="minorEastAsia"/>
          <w:b/>
          <w:color w:val="auto"/>
          <w:kern w:val="0"/>
          <w:sz w:val="24"/>
          <w:highlight w:val="none"/>
          <w:lang w:val="en-US" w:eastAsia="zh-CN"/>
        </w:rPr>
      </w:pPr>
      <w:r>
        <w:rPr>
          <w:rFonts w:hint="eastAsia" w:asciiTheme="minorEastAsia" w:hAnsiTheme="minorEastAsia" w:eastAsiaTheme="minorEastAsia" w:cstheme="minorEastAsia"/>
          <w:b/>
          <w:color w:val="auto"/>
          <w:kern w:val="0"/>
          <w:sz w:val="24"/>
          <w:highlight w:val="none"/>
          <w:lang w:val="en-US" w:eastAsia="zh-CN"/>
        </w:rPr>
        <w:t>7、中小企业声明函（货物）</w:t>
      </w:r>
    </w:p>
    <w:p w14:paraId="3E24DEE5">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本公司</w:t>
      </w:r>
      <w:r>
        <w:rPr>
          <w:rFonts w:hint="eastAsia" w:asciiTheme="minorEastAsia" w:hAnsiTheme="minorEastAsia" w:eastAsiaTheme="minorEastAsia" w:cstheme="minorEastAsia"/>
          <w:i w:val="0"/>
          <w:iCs w:val="0"/>
          <w:color w:val="auto"/>
          <w:sz w:val="24"/>
          <w:szCs w:val="24"/>
          <w:highlight w:val="none"/>
          <w:u w:val="single"/>
        </w:rPr>
        <w:t>（联合体）</w:t>
      </w:r>
      <w:r>
        <w:rPr>
          <w:rFonts w:hint="eastAsia" w:asciiTheme="minorEastAsia" w:hAnsiTheme="minorEastAsia" w:eastAsiaTheme="minorEastAsia" w:cstheme="minorEastAsia"/>
          <w:i w:val="0"/>
          <w:iCs w:val="0"/>
          <w:color w:val="auto"/>
          <w:sz w:val="24"/>
          <w:szCs w:val="24"/>
          <w:highlight w:val="none"/>
        </w:rPr>
        <w:t>郑重声明，根据《政府采购促进中小企业发展管理办法》（财库﹝2020﹞46 号）的规定，本公司</w:t>
      </w:r>
      <w:r>
        <w:rPr>
          <w:rFonts w:hint="eastAsia" w:asciiTheme="minorEastAsia" w:hAnsiTheme="minorEastAsia" w:eastAsiaTheme="minorEastAsia" w:cstheme="minorEastAsia"/>
          <w:i w:val="0"/>
          <w:iCs w:val="0"/>
          <w:color w:val="auto"/>
          <w:sz w:val="24"/>
          <w:szCs w:val="24"/>
          <w:highlight w:val="none"/>
          <w:u w:val="single"/>
        </w:rPr>
        <w:t>（联合体）</w:t>
      </w:r>
      <w:r>
        <w:rPr>
          <w:rFonts w:hint="eastAsia" w:asciiTheme="minorEastAsia" w:hAnsiTheme="minorEastAsia" w:eastAsiaTheme="minorEastAsia" w:cstheme="minorEastAsia"/>
          <w:i w:val="0"/>
          <w:iCs w:val="0"/>
          <w:color w:val="auto"/>
          <w:sz w:val="24"/>
          <w:szCs w:val="24"/>
          <w:highlight w:val="none"/>
        </w:rPr>
        <w:t>参加</w:t>
      </w:r>
      <w:r>
        <w:rPr>
          <w:rFonts w:hint="eastAsia" w:asciiTheme="minorEastAsia" w:hAnsiTheme="minorEastAsia" w:eastAsiaTheme="minorEastAsia" w:cstheme="minorEastAsia"/>
          <w:i w:val="0"/>
          <w:iCs w:val="0"/>
          <w:color w:val="auto"/>
          <w:sz w:val="24"/>
          <w:szCs w:val="24"/>
          <w:highlight w:val="none"/>
          <w:u w:val="single"/>
        </w:rPr>
        <w:t>（单位名称）</w:t>
      </w:r>
      <w:r>
        <w:rPr>
          <w:rFonts w:hint="eastAsia" w:asciiTheme="minorEastAsia" w:hAnsiTheme="minorEastAsia" w:eastAsiaTheme="minorEastAsia" w:cstheme="minorEastAsia"/>
          <w:i w:val="0"/>
          <w:iCs w:val="0"/>
          <w:color w:val="auto"/>
          <w:sz w:val="24"/>
          <w:szCs w:val="24"/>
          <w:highlight w:val="none"/>
        </w:rPr>
        <w:t>的</w:t>
      </w:r>
      <w:r>
        <w:rPr>
          <w:rFonts w:hint="eastAsia" w:asciiTheme="minorEastAsia" w:hAnsiTheme="minorEastAsia" w:eastAsiaTheme="minorEastAsia" w:cstheme="minorEastAsia"/>
          <w:i w:val="0"/>
          <w:iCs w:val="0"/>
          <w:color w:val="auto"/>
          <w:sz w:val="24"/>
          <w:szCs w:val="24"/>
          <w:highlight w:val="none"/>
          <w:u w:val="single"/>
        </w:rPr>
        <w:t>（项目名称）</w:t>
      </w:r>
      <w:r>
        <w:rPr>
          <w:rFonts w:hint="eastAsia" w:asciiTheme="minorEastAsia" w:hAnsiTheme="minorEastAsia" w:eastAsiaTheme="minorEastAsia" w:cstheme="minorEastAsia"/>
          <w:i w:val="0"/>
          <w:iCs w:val="0"/>
          <w:color w:val="auto"/>
          <w:sz w:val="24"/>
          <w:szCs w:val="24"/>
          <w:highlight w:val="none"/>
        </w:rPr>
        <w:t>采购活动，提供的货物全部由符合政策要求的中小企业制造。相关企业</w:t>
      </w:r>
      <w:r>
        <w:rPr>
          <w:rFonts w:hint="eastAsia" w:asciiTheme="minorEastAsia" w:hAnsiTheme="minorEastAsia" w:eastAsiaTheme="minorEastAsia" w:cstheme="minorEastAsia"/>
          <w:i w:val="0"/>
          <w:iCs w:val="0"/>
          <w:color w:val="auto"/>
          <w:sz w:val="24"/>
          <w:szCs w:val="24"/>
          <w:highlight w:val="none"/>
          <w:u w:val="single"/>
        </w:rPr>
        <w:t>（含联合体中的中小企业、签订分包意向协议的中小企业）</w:t>
      </w:r>
      <w:r>
        <w:rPr>
          <w:rFonts w:hint="eastAsia" w:asciiTheme="minorEastAsia" w:hAnsiTheme="minorEastAsia" w:eastAsiaTheme="minorEastAsia" w:cstheme="minorEastAsia"/>
          <w:i w:val="0"/>
          <w:iCs w:val="0"/>
          <w:color w:val="auto"/>
          <w:sz w:val="24"/>
          <w:szCs w:val="24"/>
          <w:highlight w:val="none"/>
        </w:rPr>
        <w:t xml:space="preserve"> 的具体情况如下：</w:t>
      </w:r>
    </w:p>
    <w:p w14:paraId="508FD21E">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 xml:space="preserve"> </w:t>
      </w:r>
      <w:r>
        <w:rPr>
          <w:rFonts w:hint="eastAsia" w:asciiTheme="minorEastAsia" w:hAnsiTheme="minorEastAsia" w:eastAsiaTheme="minorEastAsia" w:cstheme="minorEastAsia"/>
          <w:i w:val="0"/>
          <w:iCs w:val="0"/>
          <w:color w:val="auto"/>
          <w:sz w:val="24"/>
          <w:szCs w:val="24"/>
          <w:highlight w:val="none"/>
          <w:lang w:val="en-US" w:eastAsia="zh-CN"/>
        </w:rPr>
        <w:t>1、</w:t>
      </w:r>
      <w:r>
        <w:rPr>
          <w:rFonts w:hint="eastAsia" w:asciiTheme="minorEastAsia" w:hAnsiTheme="minorEastAsia" w:eastAsiaTheme="minorEastAsia" w:cstheme="minorEastAsia"/>
          <w:i w:val="0"/>
          <w:iCs w:val="0"/>
          <w:color w:val="auto"/>
          <w:sz w:val="24"/>
          <w:szCs w:val="24"/>
          <w:highlight w:val="none"/>
          <w:u w:val="single"/>
        </w:rPr>
        <w:t xml:space="preserve">（ 标 的 名 称 ） </w:t>
      </w:r>
      <w:r>
        <w:rPr>
          <w:rFonts w:hint="eastAsia" w:asciiTheme="minorEastAsia" w:hAnsiTheme="minorEastAsia" w:eastAsiaTheme="minorEastAsia" w:cstheme="minorEastAsia"/>
          <w:i w:val="0"/>
          <w:iCs w:val="0"/>
          <w:color w:val="auto"/>
          <w:sz w:val="24"/>
          <w:szCs w:val="24"/>
          <w:highlight w:val="none"/>
        </w:rPr>
        <w:t xml:space="preserve">， 属 于 </w:t>
      </w:r>
      <w:r>
        <w:rPr>
          <w:rFonts w:hint="eastAsia" w:asciiTheme="minorEastAsia" w:hAnsiTheme="minorEastAsia" w:eastAsiaTheme="minorEastAsia" w:cstheme="minorEastAsia"/>
          <w:i w:val="0"/>
          <w:iCs w:val="0"/>
          <w:color w:val="auto"/>
          <w:sz w:val="24"/>
          <w:szCs w:val="24"/>
          <w:highlight w:val="none"/>
          <w:u w:val="single"/>
        </w:rPr>
        <w:t>（ 采 购 文 件 中 明 确 的 所 属 行 业 ）</w:t>
      </w:r>
      <w:r>
        <w:rPr>
          <w:rFonts w:hint="eastAsia" w:asciiTheme="minorEastAsia" w:hAnsiTheme="minorEastAsia" w:eastAsiaTheme="minorEastAsia" w:cstheme="minorEastAsia"/>
          <w:i w:val="0"/>
          <w:iCs w:val="0"/>
          <w:color w:val="auto"/>
          <w:sz w:val="24"/>
          <w:szCs w:val="24"/>
          <w:highlight w:val="none"/>
        </w:rPr>
        <w:t xml:space="preserve"> 行业；制造商为</w:t>
      </w:r>
      <w:r>
        <w:rPr>
          <w:rFonts w:hint="eastAsia" w:asciiTheme="minorEastAsia" w:hAnsiTheme="minorEastAsia" w:eastAsiaTheme="minorEastAsia" w:cstheme="minorEastAsia"/>
          <w:i w:val="0"/>
          <w:iCs w:val="0"/>
          <w:color w:val="auto"/>
          <w:sz w:val="24"/>
          <w:szCs w:val="24"/>
          <w:highlight w:val="none"/>
          <w:u w:val="single"/>
        </w:rPr>
        <w:t>（</w:t>
      </w:r>
      <w:r>
        <w:rPr>
          <w:rFonts w:hint="eastAsia" w:asciiTheme="minorEastAsia" w:hAnsiTheme="minorEastAsia" w:eastAsiaTheme="minorEastAsia" w:cstheme="minorEastAsia"/>
          <w:i w:val="0"/>
          <w:iCs w:val="0"/>
          <w:color w:val="auto"/>
          <w:sz w:val="24"/>
          <w:szCs w:val="24"/>
          <w:highlight w:val="none"/>
          <w:u w:val="single"/>
          <w:lang w:eastAsia="zh-CN"/>
        </w:rPr>
        <w:t>生产</w:t>
      </w:r>
      <w:r>
        <w:rPr>
          <w:rFonts w:hint="eastAsia" w:asciiTheme="minorEastAsia" w:hAnsiTheme="minorEastAsia" w:eastAsiaTheme="minorEastAsia" w:cstheme="minorEastAsia"/>
          <w:i w:val="0"/>
          <w:iCs w:val="0"/>
          <w:color w:val="auto"/>
          <w:sz w:val="24"/>
          <w:szCs w:val="24"/>
          <w:highlight w:val="none"/>
          <w:u w:val="single"/>
        </w:rPr>
        <w:t>企业名称）</w:t>
      </w:r>
      <w:r>
        <w:rPr>
          <w:rFonts w:hint="eastAsia" w:asciiTheme="minorEastAsia" w:hAnsiTheme="minorEastAsia" w:eastAsiaTheme="minorEastAsia" w:cstheme="minorEastAsia"/>
          <w:i w:val="0"/>
          <w:iCs w:val="0"/>
          <w:color w:val="auto"/>
          <w:sz w:val="24"/>
          <w:szCs w:val="24"/>
          <w:highlight w:val="none"/>
        </w:rPr>
        <w:t>，从业人员</w:t>
      </w:r>
      <w:r>
        <w:rPr>
          <w:rFonts w:hint="eastAsia" w:asciiTheme="minorEastAsia" w:hAnsiTheme="minorEastAsia" w:eastAsiaTheme="minorEastAsia" w:cstheme="minorEastAsia"/>
          <w:i w:val="0"/>
          <w:iCs w:val="0"/>
          <w:color w:val="auto"/>
          <w:sz w:val="24"/>
          <w:szCs w:val="24"/>
          <w:highlight w:val="none"/>
          <w:u w:val="single"/>
        </w:rPr>
        <w:t xml:space="preserve"> </w:t>
      </w:r>
      <w:r>
        <w:rPr>
          <w:rFonts w:hint="eastAsia" w:asciiTheme="minorEastAsia" w:hAnsiTheme="minorEastAsia" w:eastAsiaTheme="minorEastAsia" w:cstheme="minorEastAsia"/>
          <w:i w:val="0"/>
          <w:iCs w:val="0"/>
          <w:color w:val="auto"/>
          <w:sz w:val="24"/>
          <w:szCs w:val="24"/>
          <w:highlight w:val="none"/>
          <w:u w:val="single"/>
        </w:rPr>
        <w:tab/>
      </w:r>
      <w:r>
        <w:rPr>
          <w:rFonts w:hint="eastAsia" w:asciiTheme="minorEastAsia" w:hAnsiTheme="minorEastAsia" w:eastAsiaTheme="minorEastAsia" w:cstheme="minorEastAsia"/>
          <w:i w:val="0"/>
          <w:iCs w:val="0"/>
          <w:color w:val="auto"/>
          <w:sz w:val="24"/>
          <w:szCs w:val="24"/>
          <w:highlight w:val="none"/>
        </w:rPr>
        <w:t>人，营业收入为</w:t>
      </w:r>
      <w:r>
        <w:rPr>
          <w:rFonts w:hint="eastAsia" w:asciiTheme="minorEastAsia" w:hAnsiTheme="minorEastAsia" w:eastAsiaTheme="minorEastAsia" w:cstheme="minorEastAsia"/>
          <w:i w:val="0"/>
          <w:iCs w:val="0"/>
          <w:color w:val="auto"/>
          <w:sz w:val="24"/>
          <w:szCs w:val="24"/>
          <w:highlight w:val="none"/>
          <w:u w:val="single"/>
        </w:rPr>
        <w:t xml:space="preserve"> </w:t>
      </w:r>
      <w:r>
        <w:rPr>
          <w:rFonts w:hint="eastAsia" w:asciiTheme="minorEastAsia" w:hAnsiTheme="minorEastAsia" w:eastAsiaTheme="minorEastAsia" w:cstheme="minorEastAsia"/>
          <w:i w:val="0"/>
          <w:iCs w:val="0"/>
          <w:color w:val="auto"/>
          <w:sz w:val="24"/>
          <w:szCs w:val="24"/>
          <w:highlight w:val="none"/>
          <w:u w:val="single"/>
        </w:rPr>
        <w:tab/>
      </w:r>
      <w:r>
        <w:rPr>
          <w:rFonts w:hint="eastAsia" w:asciiTheme="minorEastAsia" w:hAnsiTheme="minorEastAsia" w:eastAsiaTheme="minorEastAsia" w:cstheme="minorEastAsia"/>
          <w:i w:val="0"/>
          <w:iCs w:val="0"/>
          <w:color w:val="auto"/>
          <w:sz w:val="24"/>
          <w:szCs w:val="24"/>
          <w:highlight w:val="none"/>
        </w:rPr>
        <w:t>万元，资产总额为</w:t>
      </w:r>
      <w:r>
        <w:rPr>
          <w:rFonts w:hint="eastAsia" w:asciiTheme="minorEastAsia" w:hAnsiTheme="minorEastAsia" w:eastAsiaTheme="minorEastAsia" w:cstheme="minorEastAsia"/>
          <w:i w:val="0"/>
          <w:iCs w:val="0"/>
          <w:color w:val="auto"/>
          <w:sz w:val="24"/>
          <w:szCs w:val="24"/>
          <w:highlight w:val="none"/>
          <w:u w:val="single"/>
        </w:rPr>
        <w:t xml:space="preserve"> </w:t>
      </w:r>
      <w:r>
        <w:rPr>
          <w:rFonts w:hint="eastAsia" w:asciiTheme="minorEastAsia" w:hAnsiTheme="minorEastAsia" w:eastAsiaTheme="minorEastAsia" w:cstheme="minorEastAsia"/>
          <w:i w:val="0"/>
          <w:iCs w:val="0"/>
          <w:color w:val="auto"/>
          <w:sz w:val="24"/>
          <w:szCs w:val="24"/>
          <w:highlight w:val="none"/>
          <w:u w:val="single"/>
        </w:rPr>
        <w:tab/>
      </w:r>
      <w:r>
        <w:rPr>
          <w:rFonts w:hint="eastAsia" w:asciiTheme="minorEastAsia" w:hAnsiTheme="minorEastAsia" w:eastAsiaTheme="minorEastAsia" w:cstheme="minorEastAsia"/>
          <w:i w:val="0"/>
          <w:iCs w:val="0"/>
          <w:color w:val="auto"/>
          <w:sz w:val="24"/>
          <w:szCs w:val="24"/>
          <w:highlight w:val="none"/>
        </w:rPr>
        <w:t>万元，属于</w:t>
      </w:r>
      <w:r>
        <w:rPr>
          <w:rFonts w:hint="eastAsia" w:asciiTheme="minorEastAsia" w:hAnsiTheme="minorEastAsia" w:eastAsiaTheme="minorEastAsia" w:cstheme="minorEastAsia"/>
          <w:i w:val="0"/>
          <w:iCs w:val="0"/>
          <w:color w:val="auto"/>
          <w:sz w:val="24"/>
          <w:szCs w:val="24"/>
          <w:highlight w:val="none"/>
          <w:u w:val="single"/>
        </w:rPr>
        <w:t>（中型企业、小型企业、微型企业）</w:t>
      </w:r>
      <w:r>
        <w:rPr>
          <w:rFonts w:hint="eastAsia" w:asciiTheme="minorEastAsia" w:hAnsiTheme="minorEastAsia" w:eastAsiaTheme="minorEastAsia" w:cstheme="minorEastAsia"/>
          <w:i w:val="0"/>
          <w:iCs w:val="0"/>
          <w:color w:val="auto"/>
          <w:sz w:val="24"/>
          <w:szCs w:val="24"/>
          <w:highlight w:val="none"/>
        </w:rPr>
        <w:t>；</w:t>
      </w:r>
    </w:p>
    <w:p w14:paraId="7240D720">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val="en-US" w:eastAsia="zh-CN"/>
        </w:rPr>
        <w:t>2、</w:t>
      </w:r>
      <w:r>
        <w:rPr>
          <w:rFonts w:hint="eastAsia" w:asciiTheme="minorEastAsia" w:hAnsiTheme="minorEastAsia" w:eastAsiaTheme="minorEastAsia" w:cstheme="minorEastAsia"/>
          <w:i w:val="0"/>
          <w:iCs w:val="0"/>
          <w:color w:val="auto"/>
          <w:sz w:val="24"/>
          <w:szCs w:val="24"/>
          <w:highlight w:val="none"/>
          <w:u w:val="single"/>
        </w:rPr>
        <w:t xml:space="preserve">（ 标 的 名 称 ） </w:t>
      </w:r>
      <w:r>
        <w:rPr>
          <w:rFonts w:hint="eastAsia" w:asciiTheme="minorEastAsia" w:hAnsiTheme="minorEastAsia" w:eastAsiaTheme="minorEastAsia" w:cstheme="minorEastAsia"/>
          <w:i w:val="0"/>
          <w:iCs w:val="0"/>
          <w:color w:val="auto"/>
          <w:sz w:val="24"/>
          <w:szCs w:val="24"/>
          <w:highlight w:val="none"/>
        </w:rPr>
        <w:t xml:space="preserve">， 属 于 </w:t>
      </w:r>
      <w:r>
        <w:rPr>
          <w:rFonts w:hint="eastAsia" w:asciiTheme="minorEastAsia" w:hAnsiTheme="minorEastAsia" w:eastAsiaTheme="minorEastAsia" w:cstheme="minorEastAsia"/>
          <w:i w:val="0"/>
          <w:iCs w:val="0"/>
          <w:color w:val="auto"/>
          <w:sz w:val="24"/>
          <w:szCs w:val="24"/>
          <w:highlight w:val="none"/>
          <w:u w:val="single"/>
        </w:rPr>
        <w:t>（ 采 购 文 件 中 明 确 的 所 属 行 业 ）</w:t>
      </w:r>
      <w:r>
        <w:rPr>
          <w:rFonts w:hint="eastAsia" w:asciiTheme="minorEastAsia" w:hAnsiTheme="minorEastAsia" w:eastAsiaTheme="minorEastAsia" w:cstheme="minorEastAsia"/>
          <w:i w:val="0"/>
          <w:iCs w:val="0"/>
          <w:color w:val="auto"/>
          <w:sz w:val="24"/>
          <w:szCs w:val="24"/>
          <w:highlight w:val="none"/>
        </w:rPr>
        <w:t xml:space="preserve"> 行业；制造商为</w:t>
      </w:r>
      <w:r>
        <w:rPr>
          <w:rFonts w:hint="eastAsia" w:asciiTheme="minorEastAsia" w:hAnsiTheme="minorEastAsia" w:eastAsiaTheme="minorEastAsia" w:cstheme="minorEastAsia"/>
          <w:i w:val="0"/>
          <w:iCs w:val="0"/>
          <w:color w:val="auto"/>
          <w:sz w:val="24"/>
          <w:szCs w:val="24"/>
          <w:highlight w:val="none"/>
          <w:u w:val="single"/>
        </w:rPr>
        <w:t>（</w:t>
      </w:r>
      <w:r>
        <w:rPr>
          <w:rFonts w:hint="eastAsia" w:asciiTheme="minorEastAsia" w:hAnsiTheme="minorEastAsia" w:eastAsiaTheme="minorEastAsia" w:cstheme="minorEastAsia"/>
          <w:i w:val="0"/>
          <w:iCs w:val="0"/>
          <w:color w:val="auto"/>
          <w:sz w:val="24"/>
          <w:szCs w:val="24"/>
          <w:highlight w:val="none"/>
          <w:u w:val="single"/>
          <w:lang w:eastAsia="zh-CN"/>
        </w:rPr>
        <w:t>生产</w:t>
      </w:r>
      <w:r>
        <w:rPr>
          <w:rFonts w:hint="eastAsia" w:asciiTheme="minorEastAsia" w:hAnsiTheme="minorEastAsia" w:eastAsiaTheme="minorEastAsia" w:cstheme="minorEastAsia"/>
          <w:i w:val="0"/>
          <w:iCs w:val="0"/>
          <w:color w:val="auto"/>
          <w:sz w:val="24"/>
          <w:szCs w:val="24"/>
          <w:highlight w:val="none"/>
          <w:u w:val="single"/>
        </w:rPr>
        <w:t>企业名称）</w:t>
      </w:r>
      <w:r>
        <w:rPr>
          <w:rFonts w:hint="eastAsia" w:asciiTheme="minorEastAsia" w:hAnsiTheme="minorEastAsia" w:eastAsiaTheme="minorEastAsia" w:cstheme="minorEastAsia"/>
          <w:i w:val="0"/>
          <w:iCs w:val="0"/>
          <w:color w:val="auto"/>
          <w:sz w:val="24"/>
          <w:szCs w:val="24"/>
          <w:highlight w:val="none"/>
        </w:rPr>
        <w:t>，从业人员</w:t>
      </w:r>
      <w:r>
        <w:rPr>
          <w:rFonts w:hint="eastAsia" w:asciiTheme="minorEastAsia" w:hAnsiTheme="minorEastAsia" w:eastAsiaTheme="minorEastAsia" w:cstheme="minorEastAsia"/>
          <w:i w:val="0"/>
          <w:iCs w:val="0"/>
          <w:color w:val="auto"/>
          <w:sz w:val="24"/>
          <w:szCs w:val="24"/>
          <w:highlight w:val="none"/>
          <w:u w:val="single"/>
        </w:rPr>
        <w:t xml:space="preserve"> </w:t>
      </w:r>
      <w:r>
        <w:rPr>
          <w:rFonts w:hint="eastAsia" w:asciiTheme="minorEastAsia" w:hAnsiTheme="minorEastAsia" w:eastAsiaTheme="minorEastAsia" w:cstheme="minorEastAsia"/>
          <w:i w:val="0"/>
          <w:iCs w:val="0"/>
          <w:color w:val="auto"/>
          <w:sz w:val="24"/>
          <w:szCs w:val="24"/>
          <w:highlight w:val="none"/>
          <w:u w:val="single"/>
        </w:rPr>
        <w:tab/>
      </w:r>
      <w:r>
        <w:rPr>
          <w:rFonts w:hint="eastAsia" w:asciiTheme="minorEastAsia" w:hAnsiTheme="minorEastAsia" w:eastAsiaTheme="minorEastAsia" w:cstheme="minorEastAsia"/>
          <w:i w:val="0"/>
          <w:iCs w:val="0"/>
          <w:color w:val="auto"/>
          <w:sz w:val="24"/>
          <w:szCs w:val="24"/>
          <w:highlight w:val="none"/>
        </w:rPr>
        <w:t>人，营业收入为</w:t>
      </w:r>
      <w:r>
        <w:rPr>
          <w:rFonts w:hint="eastAsia" w:asciiTheme="minorEastAsia" w:hAnsiTheme="minorEastAsia" w:eastAsiaTheme="minorEastAsia" w:cstheme="minorEastAsia"/>
          <w:i w:val="0"/>
          <w:iCs w:val="0"/>
          <w:color w:val="auto"/>
          <w:sz w:val="24"/>
          <w:szCs w:val="24"/>
          <w:highlight w:val="none"/>
          <w:u w:val="single"/>
        </w:rPr>
        <w:t xml:space="preserve"> </w:t>
      </w:r>
      <w:r>
        <w:rPr>
          <w:rFonts w:hint="eastAsia" w:asciiTheme="minorEastAsia" w:hAnsiTheme="minorEastAsia" w:eastAsiaTheme="minorEastAsia" w:cstheme="minorEastAsia"/>
          <w:i w:val="0"/>
          <w:iCs w:val="0"/>
          <w:color w:val="auto"/>
          <w:sz w:val="24"/>
          <w:szCs w:val="24"/>
          <w:highlight w:val="none"/>
          <w:u w:val="single"/>
        </w:rPr>
        <w:tab/>
      </w:r>
      <w:r>
        <w:rPr>
          <w:rFonts w:hint="eastAsia" w:asciiTheme="minorEastAsia" w:hAnsiTheme="minorEastAsia" w:eastAsiaTheme="minorEastAsia" w:cstheme="minorEastAsia"/>
          <w:i w:val="0"/>
          <w:iCs w:val="0"/>
          <w:color w:val="auto"/>
          <w:sz w:val="24"/>
          <w:szCs w:val="24"/>
          <w:highlight w:val="none"/>
        </w:rPr>
        <w:t>万元，资产总额为</w:t>
      </w:r>
      <w:r>
        <w:rPr>
          <w:rFonts w:hint="eastAsia" w:asciiTheme="minorEastAsia" w:hAnsiTheme="minorEastAsia" w:eastAsiaTheme="minorEastAsia" w:cstheme="minorEastAsia"/>
          <w:i w:val="0"/>
          <w:iCs w:val="0"/>
          <w:color w:val="auto"/>
          <w:sz w:val="24"/>
          <w:szCs w:val="24"/>
          <w:highlight w:val="none"/>
          <w:u w:val="single"/>
        </w:rPr>
        <w:t xml:space="preserve"> </w:t>
      </w:r>
      <w:r>
        <w:rPr>
          <w:rFonts w:hint="eastAsia" w:asciiTheme="minorEastAsia" w:hAnsiTheme="minorEastAsia" w:eastAsiaTheme="minorEastAsia" w:cstheme="minorEastAsia"/>
          <w:i w:val="0"/>
          <w:iCs w:val="0"/>
          <w:color w:val="auto"/>
          <w:sz w:val="24"/>
          <w:szCs w:val="24"/>
          <w:highlight w:val="none"/>
          <w:u w:val="single"/>
        </w:rPr>
        <w:tab/>
      </w:r>
      <w:r>
        <w:rPr>
          <w:rFonts w:hint="eastAsia" w:asciiTheme="minorEastAsia" w:hAnsiTheme="minorEastAsia" w:eastAsiaTheme="minorEastAsia" w:cstheme="minorEastAsia"/>
          <w:i w:val="0"/>
          <w:iCs w:val="0"/>
          <w:color w:val="auto"/>
          <w:sz w:val="24"/>
          <w:szCs w:val="24"/>
          <w:highlight w:val="none"/>
        </w:rPr>
        <w:t>万元，属于</w:t>
      </w:r>
      <w:r>
        <w:rPr>
          <w:rFonts w:hint="eastAsia" w:asciiTheme="minorEastAsia" w:hAnsiTheme="minorEastAsia" w:eastAsiaTheme="minorEastAsia" w:cstheme="minorEastAsia"/>
          <w:i w:val="0"/>
          <w:iCs w:val="0"/>
          <w:color w:val="auto"/>
          <w:sz w:val="24"/>
          <w:szCs w:val="24"/>
          <w:highlight w:val="none"/>
          <w:u w:val="single"/>
        </w:rPr>
        <w:t>（中型企业、小型企业、微型企业）</w:t>
      </w:r>
      <w:r>
        <w:rPr>
          <w:rFonts w:hint="eastAsia" w:asciiTheme="minorEastAsia" w:hAnsiTheme="minorEastAsia" w:eastAsiaTheme="minorEastAsia" w:cstheme="minorEastAsia"/>
          <w:i w:val="0"/>
          <w:iCs w:val="0"/>
          <w:color w:val="auto"/>
          <w:sz w:val="24"/>
          <w:szCs w:val="24"/>
          <w:highlight w:val="none"/>
        </w:rPr>
        <w:t>；</w:t>
      </w:r>
    </w:p>
    <w:p w14:paraId="14DFB80C">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p w14:paraId="5B591A9A">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以上企业，不属于大企业的分支机构，不存在控股股东为大企业的情形，也不存在与大企业的负责人为同一人的情形。</w:t>
      </w:r>
    </w:p>
    <w:p w14:paraId="0B8EFA94">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本企业对上述声明内容的真实性负责。如有虚假，将依法承担相应责任。</w:t>
      </w:r>
    </w:p>
    <w:p w14:paraId="76077574">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企业名称（盖章）：</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日期：</w:t>
      </w:r>
    </w:p>
    <w:p w14:paraId="6E9B9FE5">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rPr>
        <w:t>注：</w:t>
      </w:r>
      <w:r>
        <w:rPr>
          <w:rFonts w:hint="eastAsia" w:asciiTheme="minorEastAsia" w:hAnsiTheme="minorEastAsia" w:eastAsiaTheme="minorEastAsia" w:cstheme="minorEastAsia"/>
          <w:b/>
          <w:bCs/>
          <w:color w:val="auto"/>
          <w:kern w:val="0"/>
          <w:sz w:val="24"/>
          <w:szCs w:val="24"/>
          <w:highlight w:val="none"/>
          <w:lang w:val="en-US" w:eastAsia="zh-CN"/>
        </w:rPr>
        <w:t>1、</w:t>
      </w:r>
      <w:r>
        <w:rPr>
          <w:rFonts w:hint="eastAsia" w:asciiTheme="minorEastAsia" w:hAnsiTheme="minorEastAsia" w:eastAsiaTheme="minorEastAsia" w:cstheme="minorEastAsia"/>
          <w:b/>
          <w:bCs/>
          <w:color w:val="auto"/>
          <w:kern w:val="0"/>
          <w:sz w:val="24"/>
          <w:szCs w:val="24"/>
          <w:highlight w:val="none"/>
        </w:rPr>
        <w:t>须附从业人员、营业收入、资产总额填报上一年度数据，无上一年度数据的新成立企业可不填报。</w:t>
      </w:r>
    </w:p>
    <w:p w14:paraId="6DA29550">
      <w:pPr>
        <w:numPr>
          <w:ilvl w:val="0"/>
          <w:numId w:val="0"/>
        </w:numPr>
        <w:spacing w:line="240" w:lineRule="auto"/>
        <w:ind w:left="315" w:leftChars="0" w:firstLine="0" w:firstLineChars="0"/>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bidi="ar-SA"/>
        </w:rPr>
        <w:t>2、</w:t>
      </w:r>
      <w:r>
        <w:rPr>
          <w:rFonts w:hint="eastAsia" w:asciiTheme="minorEastAsia" w:hAnsiTheme="minorEastAsia" w:eastAsiaTheme="minorEastAsia" w:cstheme="minorEastAsia"/>
          <w:b/>
          <w:bCs/>
          <w:color w:val="auto"/>
          <w:kern w:val="0"/>
          <w:sz w:val="24"/>
          <w:szCs w:val="24"/>
          <w:highlight w:val="none"/>
          <w:lang w:val="en-US" w:eastAsia="zh-CN"/>
        </w:rPr>
        <w:t>供应商所投产品制造商为中小微企业的，应在响应文件中提供“中小企业声明函”，如果未提供或提供“中小企业声明函”内容不实的，供应商将承担由此造成的一切不利后果。</w:t>
      </w:r>
    </w:p>
    <w:p w14:paraId="678A507A">
      <w:pPr>
        <w:spacing w:line="240" w:lineRule="atLeast"/>
        <w:ind w:firstLine="241" w:firstLineChars="100"/>
        <w:rPr>
          <w:rFonts w:hint="eastAsia" w:asciiTheme="minorEastAsia" w:hAnsiTheme="minorEastAsia" w:eastAsiaTheme="minorEastAsia" w:cstheme="minorEastAsia"/>
          <w:b/>
          <w:bCs/>
          <w:color w:val="auto"/>
          <w:kern w:val="0"/>
          <w:sz w:val="24"/>
          <w:szCs w:val="24"/>
          <w:highlight w:val="none"/>
          <w:u w:val="singl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3、本项目所属行业：</w:t>
      </w:r>
      <w:r>
        <w:rPr>
          <w:rFonts w:hint="eastAsia" w:asciiTheme="minorEastAsia" w:hAnsiTheme="minorEastAsia" w:eastAsiaTheme="minorEastAsia" w:cstheme="minorEastAsia"/>
          <w:b/>
          <w:bCs/>
          <w:color w:val="auto"/>
          <w:kern w:val="0"/>
          <w:sz w:val="24"/>
          <w:szCs w:val="24"/>
          <w:highlight w:val="none"/>
          <w:u w:val="single"/>
          <w:lang w:val="en-US" w:eastAsia="zh-CN"/>
        </w:rPr>
        <w:t>工业</w:t>
      </w:r>
    </w:p>
    <w:p w14:paraId="71A2E377">
      <w:pPr>
        <w:numPr>
          <w:ilvl w:val="0"/>
          <w:numId w:val="0"/>
        </w:numPr>
        <w:spacing w:line="240" w:lineRule="auto"/>
        <w:ind w:left="315" w:leftChars="0"/>
        <w:rPr>
          <w:rFonts w:hint="eastAsia" w:asciiTheme="minorEastAsia" w:hAnsiTheme="minorEastAsia" w:eastAsiaTheme="minorEastAsia" w:cstheme="minorEastAsia"/>
          <w:b/>
          <w:bCs/>
          <w:color w:val="auto"/>
          <w:kern w:val="0"/>
          <w:sz w:val="24"/>
          <w:szCs w:val="24"/>
          <w:highlight w:val="none"/>
          <w:lang w:val="en-US" w:eastAsia="zh-CN"/>
        </w:rPr>
      </w:pPr>
    </w:p>
    <w:p w14:paraId="14E2D8E0">
      <w:pPr>
        <w:numPr>
          <w:ilvl w:val="0"/>
          <w:numId w:val="0"/>
        </w:numPr>
        <w:spacing w:line="240" w:lineRule="auto"/>
        <w:ind w:left="315" w:leftChars="0"/>
        <w:rPr>
          <w:rFonts w:hint="eastAsia" w:asciiTheme="minorEastAsia" w:hAnsiTheme="minorEastAsia" w:eastAsiaTheme="minorEastAsia" w:cstheme="minorEastAsia"/>
          <w:b/>
          <w:bCs/>
          <w:color w:val="auto"/>
          <w:kern w:val="0"/>
          <w:sz w:val="24"/>
          <w:szCs w:val="24"/>
          <w:highlight w:val="none"/>
          <w:lang w:val="en-US" w:eastAsia="zh-CN"/>
        </w:rPr>
      </w:pPr>
    </w:p>
    <w:p w14:paraId="2BC49124">
      <w:pPr>
        <w:pStyle w:val="18"/>
        <w:rPr>
          <w:rFonts w:hint="eastAsia" w:asciiTheme="minorEastAsia" w:hAnsiTheme="minorEastAsia" w:eastAsiaTheme="minorEastAsia" w:cstheme="minorEastAsia"/>
          <w:b/>
          <w:bCs/>
          <w:color w:val="auto"/>
          <w:kern w:val="0"/>
          <w:sz w:val="24"/>
          <w:szCs w:val="24"/>
          <w:highlight w:val="none"/>
          <w:lang w:val="en-US" w:eastAsia="zh-CN"/>
        </w:rPr>
      </w:pPr>
    </w:p>
    <w:p w14:paraId="10182927">
      <w:pPr>
        <w:rPr>
          <w:rFonts w:hint="eastAsia" w:asciiTheme="minorEastAsia" w:hAnsiTheme="minorEastAsia" w:eastAsiaTheme="minorEastAsia" w:cstheme="minorEastAsia"/>
          <w:b/>
          <w:bCs/>
          <w:color w:val="auto"/>
          <w:kern w:val="0"/>
          <w:sz w:val="24"/>
          <w:szCs w:val="24"/>
          <w:highlight w:val="none"/>
          <w:lang w:val="en-US" w:eastAsia="zh-CN"/>
        </w:rPr>
      </w:pPr>
    </w:p>
    <w:p w14:paraId="520B03FB">
      <w:pPr>
        <w:pStyle w:val="18"/>
        <w:rPr>
          <w:rFonts w:hint="eastAsia" w:asciiTheme="minorEastAsia" w:hAnsiTheme="minorEastAsia" w:eastAsiaTheme="minorEastAsia" w:cstheme="minorEastAsia"/>
          <w:b/>
          <w:bCs/>
          <w:color w:val="auto"/>
          <w:kern w:val="0"/>
          <w:sz w:val="24"/>
          <w:szCs w:val="24"/>
          <w:highlight w:val="none"/>
          <w:lang w:val="en-US" w:eastAsia="zh-CN"/>
        </w:rPr>
      </w:pPr>
    </w:p>
    <w:p w14:paraId="327B23D5">
      <w:pPr>
        <w:rPr>
          <w:rFonts w:hint="eastAsia" w:asciiTheme="minorEastAsia" w:hAnsiTheme="minorEastAsia" w:eastAsiaTheme="minorEastAsia" w:cstheme="minorEastAsia"/>
          <w:lang w:val="en-US" w:eastAsia="zh-CN"/>
        </w:rPr>
      </w:pPr>
    </w:p>
    <w:p w14:paraId="671CB7D9">
      <w:pPr>
        <w:pStyle w:val="21"/>
        <w:rPr>
          <w:rFonts w:hint="eastAsia" w:asciiTheme="minorEastAsia" w:hAnsiTheme="minorEastAsia" w:eastAsiaTheme="minorEastAsia" w:cstheme="minorEastAsia"/>
          <w:lang w:val="en-US" w:eastAsia="zh-CN"/>
        </w:rPr>
      </w:pPr>
    </w:p>
    <w:p w14:paraId="4A317FC5">
      <w:pPr>
        <w:pStyle w:val="21"/>
        <w:rPr>
          <w:rFonts w:hint="eastAsia" w:asciiTheme="minorEastAsia" w:hAnsiTheme="minorEastAsia" w:eastAsiaTheme="minorEastAsia" w:cstheme="minorEastAsia"/>
          <w:lang w:val="en-US" w:eastAsia="zh-CN"/>
        </w:rPr>
      </w:pPr>
    </w:p>
    <w:p w14:paraId="718C5501">
      <w:pP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附：</w:t>
      </w:r>
    </w:p>
    <w:p w14:paraId="2EAAB58A">
      <w:pPr>
        <w:widowControl/>
        <w:spacing w:before="100" w:beforeAutospacing="1" w:after="100" w:afterAutospacing="1" w:line="400" w:lineRule="exact"/>
        <w:ind w:left="480" w:leftChars="200" w:firstLine="0" w:firstLineChars="0"/>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中小企业划分标准</w:t>
      </w:r>
    </w:p>
    <w:p w14:paraId="5BA72074">
      <w:pPr>
        <w:keepNext w:val="0"/>
        <w:keepLines w:val="0"/>
        <w:pageBreakBefore w:val="0"/>
        <w:kinsoku/>
        <w:wordWrap/>
        <w:overflowPunct/>
        <w:topLinePunct w:val="0"/>
        <w:autoSpaceDE/>
        <w:autoSpaceDN/>
        <w:bidi w:val="0"/>
        <w:adjustRightInd/>
        <w:spacing w:line="420" w:lineRule="exact"/>
        <w:ind w:firstLine="480" w:firstLineChars="200"/>
        <w:jc w:val="left"/>
        <w:outlineLvl w:val="9"/>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工业和信息化部、国家统计局、发展改革委、财政部等四部门《关于印发中 小企业划型标准规定的通知》（工信部联企业〔2011〕300号）规定中小企业划型标准如表所示：</w:t>
      </w:r>
    </w:p>
    <w:tbl>
      <w:tblPr>
        <w:tblStyle w:val="44"/>
        <w:tblW w:w="97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91"/>
        <w:gridCol w:w="849"/>
        <w:gridCol w:w="6553"/>
      </w:tblGrid>
      <w:tr w14:paraId="008E3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0760E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农、林、牧、渔业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C959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营业收入20000万元以下的为中小微型企业。</w:t>
            </w:r>
          </w:p>
        </w:tc>
      </w:tr>
      <w:tr w14:paraId="40542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9BD48">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880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C8E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500万元-20000万元</w:t>
            </w:r>
          </w:p>
        </w:tc>
      </w:tr>
      <w:tr w14:paraId="20D54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F0987">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5A6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5D8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50万元-500万元</w:t>
            </w:r>
          </w:p>
        </w:tc>
      </w:tr>
      <w:tr w14:paraId="03377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8F6E2">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8C6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FE4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50万元以下</w:t>
            </w:r>
          </w:p>
        </w:tc>
      </w:tr>
      <w:tr w14:paraId="7449D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DCC3E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工业</w:t>
            </w:r>
          </w:p>
          <w:p w14:paraId="3D71E5E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（包括采矿业，制造 业，电力、热力、燃 气及水生产和供应</w:t>
            </w:r>
          </w:p>
          <w:p w14:paraId="0B0EE04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F222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从业人员1000人以下或营业收入 40000万元以下的为中小微型企业。</w:t>
            </w:r>
          </w:p>
        </w:tc>
      </w:tr>
      <w:tr w14:paraId="728D9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460D0">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613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6A5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 300人一1000人，且营业收入 2000万元一40000万元</w:t>
            </w:r>
          </w:p>
        </w:tc>
      </w:tr>
      <w:tr w14:paraId="426F5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39C12">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A07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963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从业人员20人一300人，且营业收入 300万元一2000万元</w:t>
            </w:r>
          </w:p>
        </w:tc>
      </w:tr>
      <w:tr w14:paraId="34DA2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9E38D">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CFD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715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从业人员20人以下或营业收入 300万元以下</w:t>
            </w:r>
          </w:p>
        </w:tc>
      </w:tr>
      <w:tr w14:paraId="6097A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2B87B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建筑业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335D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营业收入80000万元以下或资产总额 80000万元以下的为中小微型企业。</w:t>
            </w:r>
          </w:p>
        </w:tc>
      </w:tr>
      <w:tr w14:paraId="2A4AC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1E571">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234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01F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营业收入6000万元一80000万元，且资产总额 5000万元一80000万元</w:t>
            </w:r>
          </w:p>
        </w:tc>
      </w:tr>
      <w:tr w14:paraId="38B38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5F042">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DE5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D8D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营业收入 300万元一6000万元，且资产总额 300万一5000万元</w:t>
            </w:r>
          </w:p>
        </w:tc>
      </w:tr>
      <w:tr w14:paraId="1EADF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BED61">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CFB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498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营业收入300万元以下或资产总额 300万元以下</w:t>
            </w:r>
          </w:p>
        </w:tc>
      </w:tr>
      <w:tr w14:paraId="155CE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21FB1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批发业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65DC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从业人员200人以下或营业收入40000万元以下的为中小微型企业。</w:t>
            </w:r>
          </w:p>
        </w:tc>
      </w:tr>
      <w:tr w14:paraId="79480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3638F">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FA4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A16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从业人员20人一200人，且营业收入5000万元一40000万元</w:t>
            </w:r>
          </w:p>
        </w:tc>
      </w:tr>
      <w:tr w14:paraId="3E4A1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72E71">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4CE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863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从业人员5人一20人，且营业收入1000万元一5000万元</w:t>
            </w:r>
          </w:p>
        </w:tc>
      </w:tr>
      <w:tr w14:paraId="615C1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A1FC3">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64F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095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从业人员5人以下或营业收入1000万元以下</w:t>
            </w:r>
          </w:p>
        </w:tc>
      </w:tr>
      <w:tr w14:paraId="1CE81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95725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零售业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69D9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从业人员300人以下或营业收入 20000万元以下的为中小微型企业。</w:t>
            </w:r>
          </w:p>
        </w:tc>
      </w:tr>
      <w:tr w14:paraId="397A9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D7860">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4AC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C385">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 50人一300人，且营业收入500万元一20000万元</w:t>
            </w:r>
          </w:p>
        </w:tc>
      </w:tr>
      <w:tr w14:paraId="783BB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4C9B7">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C91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455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从业人员10人一50人，且营业收入100万元一500万元</w:t>
            </w:r>
          </w:p>
        </w:tc>
      </w:tr>
      <w:tr w14:paraId="0E0A7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DDBB1">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741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3A6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从业人员10人以下或营业收入100万元以下</w:t>
            </w:r>
          </w:p>
        </w:tc>
      </w:tr>
      <w:tr w14:paraId="01325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06180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交通运输业 （不含铁路运输业）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69AE5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从业人员1000人以下或营业收入 30000万元以下的为中小微型企业。</w:t>
            </w:r>
          </w:p>
        </w:tc>
      </w:tr>
      <w:tr w14:paraId="3D604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78A42">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36F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892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 300人一1000人，且营业收入 3000万元一30000万元</w:t>
            </w:r>
          </w:p>
        </w:tc>
      </w:tr>
      <w:tr w14:paraId="61CB0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59D07">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D70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566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从业人员20人一300人，且营业收入 200万元一3000万元</w:t>
            </w:r>
          </w:p>
        </w:tc>
      </w:tr>
      <w:tr w14:paraId="5CC9E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B8C46">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A5E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C09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从业人员20人以下或营业收入200万元以下</w:t>
            </w:r>
          </w:p>
        </w:tc>
      </w:tr>
      <w:tr w14:paraId="466E2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8BD69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仓储业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7F72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从业人员200人以下或营业收入 30000万元以下的为中小微型企业。</w:t>
            </w:r>
          </w:p>
        </w:tc>
      </w:tr>
      <w:tr w14:paraId="6D9B9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C1964">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956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AAE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从业人员100人一200人，且营业收入 1000万元一30000万元</w:t>
            </w:r>
          </w:p>
        </w:tc>
      </w:tr>
      <w:tr w14:paraId="089AC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C94A4">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0BE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F7D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从业人员20人一100人，且营业收入 100万元一1000万元</w:t>
            </w:r>
          </w:p>
        </w:tc>
      </w:tr>
      <w:tr w14:paraId="55B52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2EBD1">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8F1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82B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从业人员20人以下或营业收入 100万元以下</w:t>
            </w:r>
          </w:p>
        </w:tc>
      </w:tr>
      <w:tr w14:paraId="6A8DA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2AE6A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邮政业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4436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从业人员1000人以下或营业收入 30000万元以下的为中小微型企业。</w:t>
            </w:r>
          </w:p>
        </w:tc>
      </w:tr>
      <w:tr w14:paraId="4F21A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E00E0">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5A4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368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 300人一1000人，且营业收入 2000万元一30000万元</w:t>
            </w:r>
          </w:p>
        </w:tc>
      </w:tr>
      <w:tr w14:paraId="71943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20A52">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4FA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6EE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从业人员20人一300人，且营业收入 100万元一2000万元</w:t>
            </w:r>
          </w:p>
        </w:tc>
      </w:tr>
      <w:tr w14:paraId="17E29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27908">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6B9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FF8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从业人员20人以下或营业收入 100万元以下</w:t>
            </w:r>
          </w:p>
        </w:tc>
      </w:tr>
      <w:tr w14:paraId="4A10F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84B6C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住宿业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3E930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从业人员300人以下或营业收入 10000万元以下的为中小微型企业。</w:t>
            </w:r>
          </w:p>
        </w:tc>
      </w:tr>
      <w:tr w14:paraId="12155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0DD97">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01C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0735">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从业人员100人一300人，且营业收入 2000万元一10000万元</w:t>
            </w:r>
          </w:p>
        </w:tc>
      </w:tr>
      <w:tr w14:paraId="0A1F1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05D94">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9CC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68A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从业人员10人一100人，且营业收入 100万元一2000万元</w:t>
            </w:r>
          </w:p>
        </w:tc>
      </w:tr>
      <w:tr w14:paraId="5FDD9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7A0F5">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5D0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CE1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从业人员10人以下或营业收入 100万元以下</w:t>
            </w:r>
          </w:p>
        </w:tc>
      </w:tr>
      <w:tr w14:paraId="64768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2E231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餐饮业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AB88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从业人员300人以下或营业收入 10000万元以下的为中小微型企业。</w:t>
            </w:r>
          </w:p>
        </w:tc>
      </w:tr>
      <w:tr w14:paraId="4DC19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DCF15">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4E8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8A3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从业人员100— 300人，且营业收入 2000万元一10000万元</w:t>
            </w:r>
          </w:p>
        </w:tc>
      </w:tr>
      <w:tr w14:paraId="24517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F1FAA">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535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4F8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从业人员10人一100人，且营业收入 100万元一2000万元</w:t>
            </w:r>
          </w:p>
        </w:tc>
      </w:tr>
      <w:tr w14:paraId="09B95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7E5FD">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44D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B78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从业人员10人以下或营业收入 100万元以下</w:t>
            </w:r>
          </w:p>
        </w:tc>
      </w:tr>
      <w:tr w14:paraId="17AC6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A8F4C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信息传输业 （包括电信、互联网 和相关服务）</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B828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从业人员2000人以下或营业收入 100000万元以下的为中小微型企业。</w:t>
            </w:r>
          </w:p>
        </w:tc>
      </w:tr>
      <w:tr w14:paraId="7766B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B79DC">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C73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839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从业人员100人一2000人，且营业收入 1000万元一10000万元</w:t>
            </w:r>
          </w:p>
        </w:tc>
      </w:tr>
      <w:tr w14:paraId="5A97E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03A3A">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636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F60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从业人员10人一100人，且营业收入 100万元一1000万元</w:t>
            </w:r>
          </w:p>
        </w:tc>
      </w:tr>
      <w:tr w14:paraId="04167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418D8">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99F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C26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从业人员10人以下或营业收入 100万元以下</w:t>
            </w:r>
          </w:p>
        </w:tc>
      </w:tr>
      <w:tr w14:paraId="318BF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C26F9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软件和信息技术服务业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2CAD1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从业人员300人以下或营业收入 10000万元以下的为中小微型企业。</w:t>
            </w:r>
          </w:p>
        </w:tc>
      </w:tr>
      <w:tr w14:paraId="321B6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6DDE6">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3D5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898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从业人员100— 300人，且营业收入 1000万元一10000万元</w:t>
            </w:r>
          </w:p>
        </w:tc>
      </w:tr>
      <w:tr w14:paraId="5765B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1FC47">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17A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0E2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从业人员10人一100人，且营业收入 50万元一1000万元</w:t>
            </w:r>
          </w:p>
        </w:tc>
      </w:tr>
      <w:tr w14:paraId="6864E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0B0AA">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0AB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668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从业人员10人以下或营业收入 50万元以下</w:t>
            </w:r>
          </w:p>
        </w:tc>
      </w:tr>
      <w:tr w14:paraId="6F7B4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AEB82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房地产开发经营</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A9E9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营业收入200000万元以下或资产总额 10000万元以下的为中小微型企业。</w:t>
            </w:r>
          </w:p>
        </w:tc>
      </w:tr>
      <w:tr w14:paraId="78675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B142F">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A06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7C2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营业收入1000万元一200000万元，且资产总额 5000万元一10000万元</w:t>
            </w:r>
          </w:p>
        </w:tc>
      </w:tr>
      <w:tr w14:paraId="4BD6B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A8E62">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2CC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A39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营业收入100万元一1000万元，且资产总额 2 000万元一5000 万元</w:t>
            </w:r>
          </w:p>
        </w:tc>
      </w:tr>
      <w:tr w14:paraId="53C71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368F6">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C8D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876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营业收入100万元以下或资产总额 2000万元以下的为微型企业</w:t>
            </w:r>
          </w:p>
        </w:tc>
      </w:tr>
      <w:tr w14:paraId="1E547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75CF6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物业管理</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FA52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从业人员1000人以下或营业收入 5000万元以下的为中小微型企业。</w:t>
            </w:r>
          </w:p>
        </w:tc>
      </w:tr>
      <w:tr w14:paraId="11477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9A740">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F98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66A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 300人一1 000人，且营业收入 1000万元一5000万元</w:t>
            </w:r>
          </w:p>
        </w:tc>
      </w:tr>
      <w:tr w14:paraId="1362C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F3827">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647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2C7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从业人员100人一300人，且营业收入 500万元一1000万元</w:t>
            </w:r>
          </w:p>
        </w:tc>
      </w:tr>
      <w:tr w14:paraId="14ADE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387FB">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549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60F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从业人员100人以下或营业收入 500万元以下</w:t>
            </w:r>
          </w:p>
        </w:tc>
      </w:tr>
      <w:tr w14:paraId="77F8F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4"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7073C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租赁和商务服务业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D1C0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从业人员300人以下或资产总额 120 000万元以下的为中小微型企业。其中，从业人员100人及以上，且资产总额 8 000万元及以上的为中型企业；从业人员10人及以上，且资产总额 100万元及以上的为小型企业；从业人员 10人以下或资产总额 100万元以下的为微型企业。</w:t>
            </w:r>
          </w:p>
        </w:tc>
      </w:tr>
      <w:tr w14:paraId="4D116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2517F">
            <w:pPr>
              <w:keepNext w:val="0"/>
              <w:keepLines w:val="0"/>
              <w:pageBreakBefore w:val="0"/>
              <w:kinsoku/>
              <w:wordWrap/>
              <w:overflowPunct/>
              <w:topLinePunct w:val="0"/>
              <w:autoSpaceDE/>
              <w:autoSpaceDN/>
              <w:bidi w:val="0"/>
              <w:adjustRightInd/>
              <w:snapToGrid/>
              <w:spacing w:line="340" w:lineRule="exact"/>
              <w:jc w:val="left"/>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01D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F11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从业人员100人一300人，且资产总额 8000万元一120000万元</w:t>
            </w:r>
          </w:p>
        </w:tc>
      </w:tr>
      <w:tr w14:paraId="2F1B4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2E01A">
            <w:pPr>
              <w:keepNext w:val="0"/>
              <w:keepLines w:val="0"/>
              <w:pageBreakBefore w:val="0"/>
              <w:kinsoku/>
              <w:wordWrap/>
              <w:overflowPunct/>
              <w:topLinePunct w:val="0"/>
              <w:autoSpaceDE/>
              <w:autoSpaceDN/>
              <w:bidi w:val="0"/>
              <w:adjustRightInd/>
              <w:snapToGrid/>
              <w:spacing w:line="340" w:lineRule="exact"/>
              <w:jc w:val="left"/>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93A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B6E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从业人员10人一100人，且资产总额 100万元一8000万元</w:t>
            </w:r>
          </w:p>
        </w:tc>
      </w:tr>
      <w:tr w14:paraId="3C4E8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73774">
            <w:pPr>
              <w:keepNext w:val="0"/>
              <w:keepLines w:val="0"/>
              <w:pageBreakBefore w:val="0"/>
              <w:kinsoku/>
              <w:wordWrap/>
              <w:overflowPunct/>
              <w:topLinePunct w:val="0"/>
              <w:autoSpaceDE/>
              <w:autoSpaceDN/>
              <w:bidi w:val="0"/>
              <w:adjustRightInd/>
              <w:snapToGrid/>
              <w:spacing w:line="340" w:lineRule="exact"/>
              <w:jc w:val="left"/>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911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90D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从业人员10人以下或资产总额 100万元以下</w:t>
            </w:r>
          </w:p>
        </w:tc>
      </w:tr>
      <w:tr w14:paraId="389F7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9F934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其他未列明行业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DDC8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从业人员300人以下的为中小微型企业。</w:t>
            </w:r>
          </w:p>
        </w:tc>
      </w:tr>
      <w:tr w14:paraId="4A24A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40217">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06D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140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从业人员100— 300人</w:t>
            </w:r>
          </w:p>
        </w:tc>
      </w:tr>
      <w:tr w14:paraId="73426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8E3D3">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CFA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2FC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从业人员10人一100人</w:t>
            </w:r>
          </w:p>
        </w:tc>
      </w:tr>
      <w:tr w14:paraId="744E7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30B55">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A2B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A66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从业人员10人以下</w:t>
            </w:r>
          </w:p>
        </w:tc>
      </w:tr>
    </w:tbl>
    <w:p w14:paraId="6A78839E">
      <w:pPr>
        <w:keepNext w:val="0"/>
        <w:keepLines w:val="0"/>
        <w:pageBreakBefore w:val="0"/>
        <w:widowControl w:val="0"/>
        <w:kinsoku/>
        <w:wordWrap/>
        <w:overflowPunct/>
        <w:topLinePunct w:val="0"/>
        <w:autoSpaceDE/>
        <w:autoSpaceDN/>
        <w:bidi w:val="0"/>
        <w:adjustRightInd/>
        <w:snapToGrid w:val="0"/>
        <w:spacing w:line="420" w:lineRule="exact"/>
        <w:contextualSpacing/>
        <w:jc w:val="left"/>
        <w:rPr>
          <w:rFonts w:hint="eastAsia" w:asciiTheme="minorEastAsia" w:hAnsiTheme="minorEastAsia" w:eastAsiaTheme="minorEastAsia" w:cstheme="minorEastAsia"/>
          <w:b/>
          <w:bCs w:val="0"/>
          <w:color w:val="auto"/>
          <w:sz w:val="24"/>
          <w:szCs w:val="24"/>
          <w:highlight w:val="none"/>
        </w:rPr>
      </w:pPr>
    </w:p>
    <w:p w14:paraId="7B1C562A">
      <w:pPr>
        <w:keepNext w:val="0"/>
        <w:keepLines w:val="0"/>
        <w:pageBreakBefore w:val="0"/>
        <w:widowControl w:val="0"/>
        <w:kinsoku/>
        <w:wordWrap/>
        <w:overflowPunct/>
        <w:topLinePunct w:val="0"/>
        <w:autoSpaceDE/>
        <w:autoSpaceDN/>
        <w:bidi w:val="0"/>
        <w:adjustRightInd/>
        <w:snapToGrid w:val="0"/>
        <w:spacing w:line="420" w:lineRule="exact"/>
        <w:ind w:firstLine="241" w:firstLineChars="100"/>
        <w:contextualSpacing/>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行业包括：</w:t>
      </w:r>
      <w:r>
        <w:rPr>
          <w:rFonts w:hint="eastAsia" w:asciiTheme="minorEastAsia" w:hAnsiTheme="minorEastAsia" w:eastAsiaTheme="minorEastAsia" w:cstheme="minorEastAsia"/>
          <w:b w:val="0"/>
          <w:bCs/>
          <w:color w:val="auto"/>
          <w:sz w:val="24"/>
          <w:szCs w:val="24"/>
          <w:highlight w:val="none"/>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Theme="minorEastAsia" w:hAnsiTheme="minorEastAsia" w:eastAsiaTheme="minorEastAsia" w:cstheme="minorEastAsia"/>
          <w:b/>
          <w:color w:val="auto"/>
          <w:sz w:val="24"/>
          <w:szCs w:val="24"/>
          <w:highlight w:val="none"/>
        </w:rPr>
        <w:t>。</w:t>
      </w:r>
    </w:p>
    <w:p w14:paraId="02948436">
      <w:pPr>
        <w:keepNext w:val="0"/>
        <w:keepLines w:val="0"/>
        <w:pageBreakBefore w:val="0"/>
        <w:widowControl w:val="0"/>
        <w:kinsoku/>
        <w:wordWrap/>
        <w:overflowPunct/>
        <w:topLinePunct w:val="0"/>
        <w:autoSpaceDE/>
        <w:autoSpaceDN/>
        <w:bidi w:val="0"/>
        <w:adjustRightInd/>
        <w:snapToGrid w:val="0"/>
        <w:spacing w:line="420" w:lineRule="exact"/>
        <w:contextualSpacing/>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说明：</w:t>
      </w:r>
    </w:p>
    <w:p w14:paraId="13EF3C00">
      <w:pPr>
        <w:keepNext w:val="0"/>
        <w:keepLines w:val="0"/>
        <w:pageBreakBefore w:val="0"/>
        <w:widowControl w:val="0"/>
        <w:kinsoku/>
        <w:wordWrap/>
        <w:overflowPunct/>
        <w:topLinePunct w:val="0"/>
        <w:autoSpaceDE/>
        <w:autoSpaceDN/>
        <w:bidi w:val="0"/>
        <w:adjustRightInd/>
        <w:snapToGrid w:val="0"/>
        <w:spacing w:line="420" w:lineRule="exact"/>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上述标准参照《关于印发中小企业划型标准规定的通知》（工信部联企业[2011]300号），大型、中型和小型企业须同时满足所列指标的下限，否则下划一档；微型企业</w:t>
      </w:r>
      <w:r>
        <w:rPr>
          <w:rFonts w:hint="eastAsia" w:asciiTheme="minorEastAsia" w:hAnsiTheme="minorEastAsia" w:eastAsiaTheme="minorEastAsia" w:cstheme="minorEastAsia"/>
          <w:color w:val="auto"/>
          <w:sz w:val="24"/>
          <w:szCs w:val="24"/>
          <w:highlight w:val="none"/>
          <w:lang w:eastAsia="zh-CN"/>
        </w:rPr>
        <w:t>只需</w:t>
      </w:r>
      <w:r>
        <w:rPr>
          <w:rFonts w:hint="eastAsia" w:asciiTheme="minorEastAsia" w:hAnsiTheme="minorEastAsia" w:eastAsiaTheme="minorEastAsia" w:cstheme="minorEastAsia"/>
          <w:color w:val="auto"/>
          <w:sz w:val="24"/>
          <w:szCs w:val="24"/>
          <w:highlight w:val="none"/>
        </w:rPr>
        <w:t>满足所列指标中的一项即可。</w:t>
      </w:r>
    </w:p>
    <w:p w14:paraId="0D721473">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w:t>
      </w:r>
      <w:r>
        <w:rPr>
          <w:rFonts w:hint="eastAsia" w:asciiTheme="minorEastAsia" w:hAnsiTheme="minorEastAsia" w:eastAsiaTheme="minorEastAsia" w:cstheme="minorEastAsia"/>
          <w:color w:val="auto"/>
          <w:sz w:val="24"/>
          <w:szCs w:val="24"/>
          <w:highlight w:val="none"/>
          <w:lang w:eastAsia="zh-CN"/>
        </w:rPr>
        <w:t>谈判文件文件</w:t>
      </w:r>
      <w:r>
        <w:rPr>
          <w:rFonts w:hint="eastAsia" w:asciiTheme="minorEastAsia" w:hAnsiTheme="minorEastAsia" w:eastAsiaTheme="minorEastAsia" w:cstheme="minorEastAsia"/>
          <w:color w:val="auto"/>
          <w:sz w:val="24"/>
          <w:szCs w:val="24"/>
          <w:highlight w:val="none"/>
        </w:rPr>
        <w:t>所称中小企业，是指在中华人民共和国境内依法设立，依据国务院批准的</w:t>
      </w:r>
    </w:p>
    <w:p w14:paraId="47690CF5">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w:t>
      </w:r>
      <w:r>
        <w:rPr>
          <w:rFonts w:hint="eastAsia" w:asciiTheme="minorEastAsia" w:hAnsiTheme="minorEastAsia" w:eastAsiaTheme="minorEastAsia" w:cstheme="minorEastAsia"/>
          <w:color w:val="auto"/>
          <w:sz w:val="24"/>
          <w:szCs w:val="24"/>
          <w:highlight w:val="none"/>
          <w:lang w:eastAsia="zh-CN"/>
        </w:rPr>
        <w:t>谈判文件文件</w:t>
      </w:r>
      <w:r>
        <w:rPr>
          <w:rFonts w:hint="eastAsia" w:asciiTheme="minorEastAsia" w:hAnsiTheme="minorEastAsia" w:eastAsiaTheme="minorEastAsia" w:cstheme="minorEastAsia"/>
          <w:color w:val="auto"/>
          <w:sz w:val="24"/>
          <w:szCs w:val="24"/>
          <w:highlight w:val="none"/>
        </w:rPr>
        <w:t>规定的中小企业扶持政策：</w:t>
      </w:r>
    </w:p>
    <w:p w14:paraId="687FF5A9">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2F34933D">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（2）在工程采购项目中，工程由中小企业承建，即工程施工单位为中小企业，不对其中涉及的货物的制造商和服务的承接商作出要求；</w:t>
      </w:r>
    </w:p>
    <w:p w14:paraId="116409C8">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7164557A">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在货物采购项目中，供应商提供的货物既有中小企业制造货物，也有大型企业制造货物的，不享受本</w:t>
      </w:r>
      <w:r>
        <w:rPr>
          <w:rFonts w:hint="eastAsia" w:asciiTheme="minorEastAsia" w:hAnsiTheme="minorEastAsia" w:eastAsiaTheme="minorEastAsia" w:cstheme="minorEastAsia"/>
          <w:color w:val="auto"/>
          <w:sz w:val="24"/>
          <w:szCs w:val="24"/>
          <w:highlight w:val="none"/>
          <w:lang w:eastAsia="zh-CN"/>
        </w:rPr>
        <w:t>谈判文件文件</w:t>
      </w:r>
      <w:r>
        <w:rPr>
          <w:rFonts w:hint="eastAsia" w:asciiTheme="minorEastAsia" w:hAnsiTheme="minorEastAsia" w:eastAsiaTheme="minorEastAsia" w:cstheme="minorEastAsia"/>
          <w:color w:val="auto"/>
          <w:sz w:val="24"/>
          <w:szCs w:val="24"/>
          <w:highlight w:val="none"/>
        </w:rPr>
        <w:t>规定的中小企业扶持政策。以联合体形式参加政府采购活动，联合体各方均为中小企业的，联合体视同中小企业。其中，联合体各方均为小微企业的，联合体视同小微企业。</w:t>
      </w:r>
    </w:p>
    <w:p w14:paraId="4C532B3B">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依据本</w:t>
      </w:r>
      <w:r>
        <w:rPr>
          <w:rFonts w:hint="eastAsia" w:asciiTheme="minorEastAsia" w:hAnsiTheme="minorEastAsia" w:eastAsiaTheme="minorEastAsia" w:cstheme="minorEastAsia"/>
          <w:color w:val="auto"/>
          <w:sz w:val="24"/>
          <w:szCs w:val="24"/>
          <w:highlight w:val="none"/>
          <w:lang w:eastAsia="zh-CN"/>
        </w:rPr>
        <w:t>谈判文件文件</w:t>
      </w:r>
      <w:r>
        <w:rPr>
          <w:rFonts w:hint="eastAsia" w:asciiTheme="minorEastAsia" w:hAnsiTheme="minorEastAsia" w:eastAsiaTheme="minorEastAsia" w:cstheme="minorEastAsia"/>
          <w:color w:val="auto"/>
          <w:sz w:val="24"/>
          <w:szCs w:val="24"/>
          <w:highlight w:val="none"/>
        </w:rPr>
        <w:t>规定享受扶持政策获得政府采购合同的，小微企业不得将合同分包给大中型企业，中型企业不得将合同分包给大型企业。</w:t>
      </w:r>
    </w:p>
    <w:p w14:paraId="143BCC1E">
      <w:pPr>
        <w:jc w:val="center"/>
        <w:rPr>
          <w:rFonts w:hint="eastAsia" w:asciiTheme="minorEastAsia" w:hAnsiTheme="minorEastAsia" w:eastAsiaTheme="minorEastAsia" w:cstheme="minorEastAsia"/>
          <w:b/>
          <w:bCs/>
          <w:color w:val="auto"/>
          <w:sz w:val="24"/>
          <w:highlight w:val="none"/>
          <w:lang w:val="en-US" w:eastAsia="zh-CN"/>
        </w:rPr>
      </w:pPr>
    </w:p>
    <w:p w14:paraId="05D46338">
      <w:pPr>
        <w:jc w:val="center"/>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8、供应商关联单位的说明</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58321EBB">
      <w:pPr>
        <w:pStyle w:val="8"/>
        <w:spacing w:line="480" w:lineRule="exact"/>
        <w:jc w:val="center"/>
        <w:rPr>
          <w:rFonts w:hint="eastAsia" w:asciiTheme="minorEastAsia" w:hAnsiTheme="minorEastAsia" w:eastAsiaTheme="minorEastAsia" w:cstheme="minorEastAsia"/>
          <w:color w:val="auto"/>
          <w:kern w:val="2"/>
          <w:sz w:val="21"/>
          <w:szCs w:val="21"/>
          <w:highlight w:val="none"/>
        </w:rPr>
      </w:pPr>
    </w:p>
    <w:p w14:paraId="4BFED0DC">
      <w:pPr>
        <w:pStyle w:val="8"/>
        <w:spacing w:line="480" w:lineRule="exact"/>
        <w:ind w:firstLineChars="20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说明：供应商应当如实披露与本单位存在下列关联关系的单位名称：</w:t>
      </w:r>
    </w:p>
    <w:p w14:paraId="364F298C">
      <w:pPr>
        <w:pStyle w:val="8"/>
        <w:spacing w:line="480" w:lineRule="exact"/>
        <w:ind w:firstLineChars="20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（1）与供应商单位负责人为同一人的其他单位；</w:t>
      </w:r>
    </w:p>
    <w:p w14:paraId="055BD703">
      <w:pPr>
        <w:pStyle w:val="8"/>
        <w:spacing w:line="480" w:lineRule="exact"/>
        <w:ind w:firstLineChars="200"/>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0"/>
          <w:sz w:val="24"/>
          <w:szCs w:val="24"/>
          <w:highlight w:val="none"/>
          <w:lang w:val="en-US" w:eastAsia="zh-CN" w:bidi="ar-SA"/>
        </w:rPr>
        <w:t>（2）与供应商存在直接控股、管理关系的其他单位。</w:t>
      </w:r>
    </w:p>
    <w:p w14:paraId="181724C8">
      <w:pPr>
        <w:pStyle w:val="8"/>
        <w:spacing w:line="480" w:lineRule="exact"/>
        <w:rPr>
          <w:rFonts w:hint="eastAsia" w:asciiTheme="minorEastAsia" w:hAnsiTheme="minorEastAsia" w:eastAsiaTheme="minorEastAsia" w:cstheme="minorEastAsia"/>
          <w:color w:val="auto"/>
          <w:kern w:val="2"/>
          <w:sz w:val="21"/>
          <w:szCs w:val="21"/>
          <w:highlight w:val="none"/>
        </w:rPr>
      </w:pPr>
    </w:p>
    <w:p w14:paraId="00376856">
      <w:pPr>
        <w:pStyle w:val="8"/>
        <w:spacing w:line="480" w:lineRule="exact"/>
        <w:ind w:left="0" w:leftChars="0" w:firstLine="0" w:firstLineChars="0"/>
        <w:rPr>
          <w:rFonts w:hint="eastAsia" w:asciiTheme="minorEastAsia" w:hAnsiTheme="minorEastAsia" w:eastAsiaTheme="minorEastAsia" w:cstheme="minorEastAsia"/>
          <w:color w:val="auto"/>
          <w:kern w:val="2"/>
          <w:sz w:val="21"/>
          <w:szCs w:val="21"/>
          <w:highlight w:val="none"/>
        </w:rPr>
      </w:pPr>
    </w:p>
    <w:p w14:paraId="5E94FAA8">
      <w:pPr>
        <w:spacing w:line="480" w:lineRule="exact"/>
        <w:ind w:left="1157" w:leftChars="257" w:hanging="540"/>
        <w:jc w:val="center"/>
        <w:rPr>
          <w:rFonts w:hint="eastAsia" w:asciiTheme="minorEastAsia" w:hAnsiTheme="minorEastAsia" w:eastAsiaTheme="minorEastAsia" w:cstheme="minorEastAsia"/>
          <w:color w:val="auto"/>
          <w:szCs w:val="21"/>
          <w:highlight w:val="none"/>
        </w:rPr>
      </w:pPr>
    </w:p>
    <w:bookmarkEnd w:id="638"/>
    <w:bookmarkEnd w:id="639"/>
    <w:bookmarkEnd w:id="640"/>
    <w:bookmarkEnd w:id="641"/>
    <w:bookmarkEnd w:id="642"/>
    <w:bookmarkEnd w:id="643"/>
    <w:bookmarkEnd w:id="644"/>
    <w:p w14:paraId="479D7769">
      <w:pPr>
        <w:spacing w:line="240" w:lineRule="atLeast"/>
        <w:jc w:val="center"/>
        <w:outlineLvl w:val="1"/>
        <w:rPr>
          <w:rFonts w:hint="eastAsia" w:asciiTheme="minorEastAsia" w:hAnsiTheme="minorEastAsia" w:eastAsiaTheme="minorEastAsia" w:cstheme="minorEastAsia"/>
          <w:b/>
          <w:bCs/>
          <w:color w:val="auto"/>
          <w:sz w:val="24"/>
          <w:highlight w:val="none"/>
          <w:lang w:val="en-US" w:eastAsia="zh-CN"/>
        </w:rPr>
      </w:pPr>
      <w:bookmarkStart w:id="678" w:name="_Toc27058"/>
      <w:bookmarkStart w:id="679" w:name="_Toc31226"/>
      <w:bookmarkStart w:id="680" w:name="_Toc25126"/>
      <w:bookmarkStart w:id="681" w:name="_Toc23897"/>
      <w:bookmarkStart w:id="682" w:name="_Toc27478"/>
      <w:bookmarkStart w:id="683" w:name="_Toc16811"/>
      <w:bookmarkStart w:id="684" w:name="_Toc12486"/>
      <w:bookmarkStart w:id="685" w:name="_Toc9223"/>
      <w:bookmarkStart w:id="686" w:name="_Toc15535"/>
      <w:bookmarkStart w:id="687" w:name="_Toc20015"/>
      <w:bookmarkStart w:id="688" w:name="_Toc17843"/>
      <w:bookmarkStart w:id="689" w:name="_Toc7966"/>
      <w:bookmarkStart w:id="690" w:name="_Toc6932"/>
      <w:bookmarkStart w:id="691" w:name="_Toc744"/>
      <w:r>
        <w:rPr>
          <w:rFonts w:hint="eastAsia" w:asciiTheme="minorEastAsia" w:hAnsiTheme="minorEastAsia" w:eastAsiaTheme="minorEastAsia" w:cstheme="minorEastAsia"/>
          <w:b/>
          <w:bCs/>
          <w:color w:val="auto"/>
          <w:sz w:val="24"/>
          <w:highlight w:val="none"/>
          <w:lang w:val="en-US" w:eastAsia="zh-CN"/>
        </w:rPr>
        <w:t>9、供应商可提供有利于谈判的其他资格证明材料</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14:paraId="307F32FE">
      <w:pPr>
        <w:rPr>
          <w:rFonts w:hint="eastAsia" w:asciiTheme="minorEastAsia" w:hAnsiTheme="minorEastAsia" w:eastAsiaTheme="minorEastAsia" w:cstheme="minorEastAsia"/>
          <w:b/>
          <w:bCs w:val="0"/>
          <w:color w:val="auto"/>
          <w:kern w:val="0"/>
          <w:sz w:val="24"/>
          <w:szCs w:val="24"/>
          <w:highlight w:val="none"/>
          <w:lang w:val="en-US" w:eastAsia="zh-CN"/>
        </w:rPr>
      </w:pPr>
      <w:bookmarkStart w:id="692" w:name="_Toc14108"/>
      <w:bookmarkStart w:id="693" w:name="_Toc26395"/>
      <w:bookmarkStart w:id="694" w:name="_Toc7349"/>
      <w:bookmarkStart w:id="695" w:name="_Toc26878"/>
      <w:bookmarkStart w:id="696" w:name="_Toc11369"/>
      <w:r>
        <w:rPr>
          <w:rFonts w:hint="eastAsia" w:asciiTheme="minorEastAsia" w:hAnsiTheme="minorEastAsia" w:eastAsiaTheme="minorEastAsia" w:cstheme="minorEastAsia"/>
          <w:b/>
          <w:bCs w:val="0"/>
          <w:color w:val="auto"/>
          <w:kern w:val="0"/>
          <w:sz w:val="24"/>
          <w:szCs w:val="24"/>
          <w:highlight w:val="none"/>
          <w:lang w:val="en-US" w:eastAsia="zh-CN"/>
        </w:rPr>
        <w:br w:type="page"/>
      </w:r>
    </w:p>
    <w:p w14:paraId="7C866EA8">
      <w:pPr>
        <w:jc w:val="center"/>
        <w:outlineLvl w:val="1"/>
        <w:rPr>
          <w:rFonts w:hint="eastAsia" w:asciiTheme="minorEastAsia" w:hAnsiTheme="minorEastAsia" w:eastAsiaTheme="minorEastAsia" w:cstheme="minorEastAsia"/>
          <w:b/>
          <w:bCs w:val="0"/>
          <w:color w:val="auto"/>
          <w:kern w:val="0"/>
          <w:sz w:val="24"/>
          <w:szCs w:val="24"/>
          <w:highlight w:val="none"/>
        </w:rPr>
      </w:pPr>
      <w:r>
        <w:rPr>
          <w:rFonts w:hint="eastAsia" w:asciiTheme="minorEastAsia" w:hAnsiTheme="minorEastAsia" w:eastAsiaTheme="minorEastAsia" w:cstheme="minorEastAsia"/>
          <w:b/>
          <w:bCs w:val="0"/>
          <w:color w:val="auto"/>
          <w:kern w:val="0"/>
          <w:sz w:val="24"/>
          <w:szCs w:val="24"/>
          <w:highlight w:val="none"/>
          <w:lang w:val="en-US" w:eastAsia="zh-CN"/>
        </w:rPr>
        <w:t>10</w:t>
      </w:r>
      <w:r>
        <w:rPr>
          <w:rFonts w:hint="eastAsia" w:asciiTheme="minorEastAsia" w:hAnsiTheme="minorEastAsia" w:eastAsiaTheme="minorEastAsia" w:cstheme="minorEastAsia"/>
          <w:b/>
          <w:color w:val="auto"/>
          <w:kern w:val="0"/>
          <w:sz w:val="24"/>
          <w:highlight w:val="none"/>
          <w:lang w:val="en-US" w:eastAsia="zh-CN"/>
        </w:rPr>
        <w:t>、</w:t>
      </w:r>
      <w:r>
        <w:rPr>
          <w:rFonts w:hint="eastAsia" w:asciiTheme="minorEastAsia" w:hAnsiTheme="minorEastAsia" w:eastAsiaTheme="minorEastAsia" w:cstheme="minorEastAsia"/>
          <w:b/>
          <w:bCs w:val="0"/>
          <w:color w:val="auto"/>
          <w:kern w:val="0"/>
          <w:sz w:val="24"/>
          <w:szCs w:val="24"/>
          <w:highlight w:val="none"/>
        </w:rPr>
        <w:t>响应文件格式范本</w:t>
      </w:r>
      <w:bookmarkEnd w:id="692"/>
      <w:bookmarkEnd w:id="693"/>
      <w:bookmarkEnd w:id="694"/>
      <w:bookmarkEnd w:id="695"/>
      <w:bookmarkEnd w:id="696"/>
    </w:p>
    <w:tbl>
      <w:tblPr>
        <w:tblStyle w:val="44"/>
        <w:tblpPr w:leftFromText="180" w:rightFromText="180" w:vertAnchor="text" w:horzAnchor="page" w:tblpX="1380" w:tblpY="440"/>
        <w:tblOverlap w:val="never"/>
        <w:tblW w:w="0" w:type="auto"/>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7B527C40">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132" w:hRule="atLeast"/>
        </w:trPr>
        <w:tc>
          <w:tcPr>
            <w:tcW w:w="9120" w:type="dxa"/>
            <w:shd w:val="clear" w:color="auto" w:fill="FCFEEA"/>
            <w:noWrap w:val="0"/>
            <w:vAlign w:val="top"/>
          </w:tcPr>
          <w:p w14:paraId="43992A7A">
            <w:pPr>
              <w:pStyle w:val="11"/>
              <w:spacing w:line="440" w:lineRule="exact"/>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                                               </w:t>
            </w:r>
          </w:p>
          <w:p w14:paraId="33FA3358">
            <w:pPr>
              <w:pStyle w:val="11"/>
              <w:spacing w:line="440" w:lineRule="exact"/>
              <w:ind w:firstLine="3600" w:firstLineChars="1500"/>
              <w:rPr>
                <w:rFonts w:hint="eastAsia" w:asciiTheme="minorEastAsia" w:hAnsiTheme="minorEastAsia" w:eastAsiaTheme="minorEastAsia" w:cstheme="minorEastAsia"/>
                <w:bCs/>
                <w:color w:val="auto"/>
                <w:sz w:val="24"/>
                <w:szCs w:val="24"/>
                <w:highlight w:val="none"/>
              </w:rPr>
            </w:pPr>
          </w:p>
          <w:p w14:paraId="09B463FC">
            <w:pPr>
              <w:pStyle w:val="11"/>
              <w:spacing w:line="440" w:lineRule="exact"/>
              <w:ind w:firstLine="3600" w:firstLineChars="1500"/>
              <w:rPr>
                <w:rFonts w:hint="eastAsia" w:asciiTheme="minorEastAsia" w:hAnsiTheme="minorEastAsia" w:eastAsiaTheme="minorEastAsia" w:cstheme="minorEastAsia"/>
                <w:bCs/>
                <w:color w:val="auto"/>
                <w:sz w:val="24"/>
                <w:szCs w:val="24"/>
                <w:highlight w:val="none"/>
              </w:rPr>
            </w:pPr>
          </w:p>
          <w:p w14:paraId="5152C98F">
            <w:pPr>
              <w:pStyle w:val="11"/>
              <w:spacing w:line="440" w:lineRule="exact"/>
              <w:rPr>
                <w:rFonts w:hint="eastAsia" w:asciiTheme="minorEastAsia" w:hAnsiTheme="minorEastAsia" w:eastAsiaTheme="minorEastAsia" w:cstheme="minorEastAsia"/>
                <w:bCs/>
                <w:color w:val="auto"/>
                <w:sz w:val="24"/>
                <w:szCs w:val="24"/>
                <w:highlight w:val="none"/>
              </w:rPr>
            </w:pPr>
          </w:p>
          <w:p w14:paraId="36457B2A">
            <w:pPr>
              <w:pStyle w:val="11"/>
              <w:spacing w:line="440" w:lineRule="exact"/>
              <w:ind w:firstLine="2520" w:firstLineChars="700"/>
              <w:jc w:val="both"/>
              <w:rPr>
                <w:rFonts w:hint="eastAsia" w:asciiTheme="minorEastAsia" w:hAnsiTheme="minorEastAsia" w:eastAsiaTheme="minorEastAsia" w:cstheme="minorEastAsia"/>
                <w:bCs/>
                <w:color w:val="auto"/>
                <w:sz w:val="36"/>
                <w:szCs w:val="36"/>
                <w:highlight w:val="none"/>
              </w:rPr>
            </w:pPr>
            <w:r>
              <w:rPr>
                <w:rFonts w:hint="eastAsia" w:asciiTheme="minorEastAsia" w:hAnsiTheme="minorEastAsia" w:eastAsiaTheme="minorEastAsia" w:cstheme="minorEastAsia"/>
                <w:bCs/>
                <w:color w:val="auto"/>
                <w:sz w:val="36"/>
                <w:szCs w:val="36"/>
                <w:highlight w:val="none"/>
              </w:rPr>
              <w:t>***** *** *** *** ***项目</w:t>
            </w:r>
          </w:p>
          <w:p w14:paraId="4D8BC747">
            <w:pPr>
              <w:pStyle w:val="11"/>
              <w:spacing w:line="440" w:lineRule="exact"/>
              <w:jc w:val="center"/>
              <w:rPr>
                <w:rFonts w:hint="eastAsia" w:asciiTheme="minorEastAsia" w:hAnsiTheme="minorEastAsia" w:eastAsiaTheme="minorEastAsia" w:cstheme="minorEastAsia"/>
                <w:bCs/>
                <w:color w:val="auto"/>
                <w:sz w:val="24"/>
                <w:szCs w:val="24"/>
                <w:highlight w:val="none"/>
              </w:rPr>
            </w:pPr>
          </w:p>
          <w:p w14:paraId="5253D1E8">
            <w:pPr>
              <w:pStyle w:val="11"/>
              <w:spacing w:line="440" w:lineRule="exact"/>
              <w:ind w:firstLine="3360" w:firstLineChars="140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编号＊＊＊＊＊＊</w:t>
            </w:r>
          </w:p>
          <w:p w14:paraId="6D879839">
            <w:pPr>
              <w:pStyle w:val="11"/>
              <w:spacing w:line="440" w:lineRule="exact"/>
              <w:ind w:firstLine="3360" w:firstLineChars="1400"/>
              <w:jc w:val="both"/>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标项号:</w:t>
            </w:r>
          </w:p>
          <w:p w14:paraId="210CED7F">
            <w:pPr>
              <w:pStyle w:val="11"/>
              <w:spacing w:line="440" w:lineRule="exact"/>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响 应 文 件</w:t>
            </w:r>
          </w:p>
          <w:p w14:paraId="7EF1713E">
            <w:pPr>
              <w:spacing w:line="440" w:lineRule="exact"/>
              <w:jc w:val="center"/>
              <w:rPr>
                <w:rFonts w:hint="eastAsia" w:asciiTheme="minorEastAsia" w:hAnsiTheme="minorEastAsia" w:eastAsiaTheme="minorEastAsia" w:cstheme="minorEastAsia"/>
                <w:bCs/>
                <w:color w:val="auto"/>
                <w:sz w:val="24"/>
                <w:szCs w:val="24"/>
                <w:highlight w:val="none"/>
              </w:rPr>
            </w:pPr>
          </w:p>
          <w:p w14:paraId="10D2C095">
            <w:pPr>
              <w:pStyle w:val="8"/>
              <w:spacing w:line="440" w:lineRule="exact"/>
              <w:rPr>
                <w:rFonts w:hint="eastAsia" w:asciiTheme="minorEastAsia" w:hAnsiTheme="minorEastAsia" w:eastAsiaTheme="minorEastAsia" w:cstheme="minorEastAsia"/>
                <w:bCs/>
                <w:color w:val="auto"/>
                <w:sz w:val="24"/>
                <w:szCs w:val="24"/>
                <w:highlight w:val="none"/>
              </w:rPr>
            </w:pPr>
          </w:p>
          <w:p w14:paraId="46DAA869">
            <w:pPr>
              <w:pStyle w:val="8"/>
              <w:spacing w:line="440" w:lineRule="exact"/>
              <w:rPr>
                <w:rFonts w:hint="eastAsia" w:asciiTheme="minorEastAsia" w:hAnsiTheme="minorEastAsia" w:eastAsiaTheme="minorEastAsia" w:cstheme="minorEastAsia"/>
                <w:bCs/>
                <w:color w:val="auto"/>
                <w:sz w:val="24"/>
                <w:szCs w:val="24"/>
                <w:highlight w:val="none"/>
              </w:rPr>
            </w:pPr>
          </w:p>
          <w:p w14:paraId="7C886A81">
            <w:pPr>
              <w:spacing w:line="440" w:lineRule="exact"/>
              <w:ind w:left="202" w:leftChars="84" w:firstLine="960" w:firstLineChars="4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供 应 商：</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（公章）</w:t>
            </w:r>
          </w:p>
          <w:p w14:paraId="3CB6FA14">
            <w:pPr>
              <w:spacing w:line="440" w:lineRule="exact"/>
              <w:ind w:left="202" w:leftChars="84" w:firstLine="960" w:firstLineChars="400"/>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项目名称：</w:t>
            </w:r>
            <w:r>
              <w:rPr>
                <w:rFonts w:hint="eastAsia" w:asciiTheme="minorEastAsia" w:hAnsiTheme="minorEastAsia" w:eastAsiaTheme="minorEastAsia" w:cstheme="minorEastAsia"/>
                <w:bCs/>
                <w:color w:val="auto"/>
                <w:sz w:val="24"/>
                <w:szCs w:val="24"/>
                <w:highlight w:val="none"/>
                <w:u w:val="single"/>
              </w:rPr>
              <w:t xml:space="preserve">                                        </w:t>
            </w:r>
          </w:p>
          <w:p w14:paraId="7BD3AB5D">
            <w:pPr>
              <w:spacing w:line="440" w:lineRule="exact"/>
              <w:ind w:left="202" w:leftChars="84" w:firstLine="960" w:firstLineChars="400"/>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项目编号：</w:t>
            </w:r>
            <w:r>
              <w:rPr>
                <w:rFonts w:hint="eastAsia" w:asciiTheme="minorEastAsia" w:hAnsiTheme="minorEastAsia" w:eastAsiaTheme="minorEastAsia" w:cstheme="minorEastAsia"/>
                <w:bCs/>
                <w:color w:val="auto"/>
                <w:sz w:val="24"/>
                <w:szCs w:val="24"/>
                <w:highlight w:val="none"/>
                <w:u w:val="single"/>
              </w:rPr>
              <w:t xml:space="preserve">                                        </w:t>
            </w:r>
          </w:p>
          <w:p w14:paraId="5EA896CB">
            <w:pPr>
              <w:spacing w:line="440" w:lineRule="exact"/>
              <w:ind w:left="202" w:leftChars="84" w:firstLine="960" w:firstLineChars="400"/>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联 系 人：</w:t>
            </w:r>
            <w:r>
              <w:rPr>
                <w:rFonts w:hint="eastAsia" w:asciiTheme="minorEastAsia" w:hAnsiTheme="minorEastAsia" w:eastAsiaTheme="minorEastAsia" w:cstheme="minorEastAsia"/>
                <w:bCs/>
                <w:color w:val="auto"/>
                <w:sz w:val="24"/>
                <w:szCs w:val="24"/>
                <w:highlight w:val="none"/>
                <w:u w:val="single"/>
              </w:rPr>
              <w:t xml:space="preserve">                                        </w:t>
            </w:r>
          </w:p>
          <w:p w14:paraId="213F09A2">
            <w:pPr>
              <w:spacing w:line="440" w:lineRule="exact"/>
              <w:ind w:left="202" w:leftChars="84" w:firstLine="960" w:firstLineChars="4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电    话：</w:t>
            </w:r>
            <w:r>
              <w:rPr>
                <w:rFonts w:hint="eastAsia" w:asciiTheme="minorEastAsia" w:hAnsiTheme="minorEastAsia" w:eastAsiaTheme="minorEastAsia" w:cstheme="minorEastAsia"/>
                <w:bCs/>
                <w:color w:val="auto"/>
                <w:sz w:val="24"/>
                <w:szCs w:val="24"/>
                <w:highlight w:val="none"/>
                <w:u w:val="single"/>
              </w:rPr>
              <w:t xml:space="preserve">                                        </w:t>
            </w:r>
          </w:p>
          <w:p w14:paraId="2C13D032">
            <w:pPr>
              <w:spacing w:line="440" w:lineRule="exact"/>
              <w:ind w:left="202" w:leftChars="84" w:firstLine="960" w:firstLineChars="400"/>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 xml:space="preserve">地    址  ：  </w:t>
            </w:r>
            <w:r>
              <w:rPr>
                <w:rFonts w:hint="eastAsia" w:asciiTheme="minorEastAsia" w:hAnsiTheme="minorEastAsia" w:eastAsiaTheme="minorEastAsia" w:cstheme="minorEastAsia"/>
                <w:bCs/>
                <w:color w:val="auto"/>
                <w:sz w:val="24"/>
                <w:szCs w:val="24"/>
                <w:highlight w:val="none"/>
                <w:u w:val="single"/>
              </w:rPr>
              <w:t xml:space="preserve">                                    </w:t>
            </w:r>
          </w:p>
          <w:p w14:paraId="6C055D9C">
            <w:pPr>
              <w:spacing w:line="440" w:lineRule="exact"/>
              <w:ind w:left="202" w:leftChars="84" w:firstLine="960" w:firstLineChars="400"/>
              <w:rPr>
                <w:rFonts w:hint="eastAsia" w:asciiTheme="minorEastAsia" w:hAnsiTheme="minorEastAsia" w:eastAsiaTheme="minorEastAsia" w:cstheme="minorEastAsia"/>
                <w:bCs/>
                <w:color w:val="auto"/>
                <w:sz w:val="24"/>
                <w:szCs w:val="24"/>
                <w:highlight w:val="none"/>
              </w:rPr>
            </w:pPr>
          </w:p>
          <w:p w14:paraId="16A45624">
            <w:pPr>
              <w:spacing w:line="440" w:lineRule="exact"/>
              <w:jc w:val="center"/>
              <w:rPr>
                <w:rFonts w:hint="eastAsia" w:asciiTheme="minorEastAsia" w:hAnsiTheme="minorEastAsia" w:eastAsiaTheme="minorEastAsia" w:cstheme="minorEastAsia"/>
                <w:bCs/>
                <w:color w:val="auto"/>
                <w:sz w:val="24"/>
                <w:szCs w:val="24"/>
                <w:highlight w:val="none"/>
              </w:rPr>
            </w:pPr>
          </w:p>
          <w:p w14:paraId="2C1349D6">
            <w:pPr>
              <w:spacing w:line="440" w:lineRule="exact"/>
              <w:jc w:val="center"/>
              <w:rPr>
                <w:rFonts w:hint="eastAsia" w:asciiTheme="minorEastAsia" w:hAnsiTheme="minorEastAsia" w:eastAsiaTheme="minorEastAsia" w:cstheme="minorEastAsia"/>
                <w:bCs/>
                <w:color w:val="auto"/>
                <w:sz w:val="24"/>
                <w:szCs w:val="24"/>
                <w:highlight w:val="none"/>
              </w:rPr>
            </w:pPr>
          </w:p>
          <w:p w14:paraId="4FF5A035">
            <w:pPr>
              <w:spacing w:line="440" w:lineRule="exact"/>
              <w:jc w:val="center"/>
              <w:rPr>
                <w:rFonts w:hint="eastAsia" w:asciiTheme="minorEastAsia" w:hAnsiTheme="minorEastAsia" w:eastAsiaTheme="minorEastAsia" w:cstheme="minorEastAsia"/>
                <w:bCs/>
                <w:color w:val="auto"/>
                <w:sz w:val="24"/>
                <w:szCs w:val="24"/>
                <w:highlight w:val="none"/>
              </w:rPr>
            </w:pPr>
          </w:p>
          <w:p w14:paraId="04D57F71">
            <w:pPr>
              <w:spacing w:line="440" w:lineRule="exact"/>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注：   在</w:t>
            </w:r>
            <w:r>
              <w:rPr>
                <w:rFonts w:hint="eastAsia" w:asciiTheme="minorEastAsia" w:hAnsiTheme="minorEastAsia" w:eastAsiaTheme="minorEastAsia" w:cstheme="minorEastAsia"/>
                <w:bCs/>
                <w:color w:val="auto"/>
                <w:sz w:val="24"/>
                <w:szCs w:val="24"/>
                <w:highlight w:val="none"/>
                <w:lang w:eastAsia="zh-CN"/>
              </w:rPr>
              <w:t>20</w:t>
            </w:r>
            <w:r>
              <w:rPr>
                <w:rFonts w:hint="eastAsia" w:asciiTheme="minorEastAsia" w:hAnsiTheme="minorEastAsia" w:eastAsiaTheme="minorEastAsia" w:cstheme="minorEastAsia"/>
                <w:bCs/>
                <w:color w:val="auto"/>
                <w:sz w:val="24"/>
                <w:szCs w:val="24"/>
                <w:highlight w:val="none"/>
                <w:lang w:val="en-US" w:eastAsia="zh-CN"/>
              </w:rPr>
              <w:t>XX</w:t>
            </w:r>
            <w:r>
              <w:rPr>
                <w:rFonts w:hint="eastAsia" w:asciiTheme="minorEastAsia" w:hAnsiTheme="minorEastAsia" w:eastAsiaTheme="minorEastAsia" w:cstheme="minorEastAsia"/>
                <w:bCs/>
                <w:color w:val="auto"/>
                <w:sz w:val="24"/>
                <w:szCs w:val="24"/>
                <w:highlight w:val="none"/>
              </w:rPr>
              <w:t xml:space="preserve">年    月    日 </w:t>
            </w:r>
            <w:r>
              <w:rPr>
                <w:rFonts w:hint="eastAsia" w:asciiTheme="minorEastAsia" w:hAnsiTheme="minorEastAsia" w:eastAsiaTheme="minorEastAsia" w:cstheme="minorEastAsia"/>
                <w:bCs/>
                <w:color w:val="auto"/>
                <w:sz w:val="24"/>
                <w:szCs w:val="24"/>
                <w:highlight w:val="none"/>
                <w:lang w:val="en-US" w:eastAsia="zh-CN"/>
              </w:rPr>
              <w:t xml:space="preserve">  </w:t>
            </w:r>
            <w:r>
              <w:rPr>
                <w:rFonts w:hint="eastAsia" w:asciiTheme="minorEastAsia" w:hAnsiTheme="minorEastAsia" w:eastAsiaTheme="minorEastAsia" w:cstheme="minorEastAsia"/>
                <w:bCs/>
                <w:color w:val="auto"/>
                <w:sz w:val="24"/>
                <w:szCs w:val="24"/>
                <w:highlight w:val="none"/>
              </w:rPr>
              <w:t>午    之前不得</w:t>
            </w:r>
            <w:r>
              <w:rPr>
                <w:rFonts w:hint="eastAsia" w:asciiTheme="minorEastAsia" w:hAnsiTheme="minorEastAsia" w:eastAsiaTheme="minorEastAsia" w:cstheme="minorEastAsia"/>
                <w:bCs/>
                <w:color w:val="auto"/>
                <w:sz w:val="24"/>
                <w:szCs w:val="24"/>
                <w:highlight w:val="none"/>
                <w:lang w:val="en-US" w:eastAsia="zh-CN"/>
              </w:rPr>
              <w:t>解密</w:t>
            </w:r>
          </w:p>
          <w:p w14:paraId="30354934">
            <w:pPr>
              <w:spacing w:line="440" w:lineRule="exact"/>
              <w:jc w:val="center"/>
              <w:rPr>
                <w:rFonts w:hint="eastAsia" w:asciiTheme="minorEastAsia" w:hAnsiTheme="minorEastAsia" w:eastAsiaTheme="minorEastAsia" w:cstheme="minorEastAsia"/>
                <w:bCs/>
                <w:color w:val="auto"/>
                <w:sz w:val="24"/>
                <w:szCs w:val="24"/>
                <w:highlight w:val="none"/>
              </w:rPr>
            </w:pPr>
          </w:p>
        </w:tc>
      </w:tr>
    </w:tbl>
    <w:p w14:paraId="646C7C7D">
      <w:pPr>
        <w:pStyle w:val="8"/>
        <w:pageBreakBefore w:val="0"/>
        <w:kinsoku/>
        <w:wordWrap/>
        <w:overflowPunct/>
        <w:topLinePunct w:val="0"/>
        <w:bidi w:val="0"/>
        <w:spacing w:line="50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p>
    <w:p w14:paraId="082B19A5">
      <w:pP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br w:type="page"/>
      </w:r>
    </w:p>
    <w:p w14:paraId="209BE0DE">
      <w:pPr>
        <w:pStyle w:val="9"/>
        <w:rPr>
          <w:rFonts w:hint="eastAsia" w:asciiTheme="minorEastAsia" w:hAnsiTheme="minorEastAsia" w:eastAsiaTheme="minorEastAsia" w:cstheme="minorEastAsia"/>
          <w:color w:val="auto"/>
          <w:highlight w:val="none"/>
        </w:rPr>
      </w:pPr>
    </w:p>
    <w:p w14:paraId="03DC651C">
      <w:pPr>
        <w:pageBreakBefore w:val="0"/>
        <w:kinsoku/>
        <w:wordWrap/>
        <w:overflowPunct/>
        <w:topLinePunct w:val="0"/>
        <w:bidi w:val="0"/>
        <w:spacing w:line="500" w:lineRule="exact"/>
        <w:jc w:val="center"/>
        <w:textAlignment w:val="auto"/>
        <w:rPr>
          <w:rFonts w:hint="eastAsia" w:asciiTheme="minorEastAsia" w:hAnsiTheme="minorEastAsia" w:eastAsiaTheme="minorEastAsia" w:cstheme="minorEastAsia"/>
          <w:b/>
          <w:bCs w:val="0"/>
          <w:color w:val="auto"/>
          <w:sz w:val="48"/>
          <w:szCs w:val="48"/>
          <w:highlight w:val="none"/>
          <w:lang w:val="en-US" w:eastAsia="zh-CN"/>
        </w:rPr>
      </w:pPr>
    </w:p>
    <w:p w14:paraId="1F177A85">
      <w:pPr>
        <w:pageBreakBefore w:val="0"/>
        <w:kinsoku/>
        <w:wordWrap/>
        <w:overflowPunct/>
        <w:topLinePunct w:val="0"/>
        <w:bidi w:val="0"/>
        <w:spacing w:line="500" w:lineRule="exact"/>
        <w:jc w:val="center"/>
        <w:textAlignment w:val="auto"/>
        <w:rPr>
          <w:rFonts w:hint="eastAsia" w:asciiTheme="minorEastAsia" w:hAnsiTheme="minorEastAsia" w:eastAsiaTheme="minorEastAsia" w:cstheme="minorEastAsia"/>
          <w:b/>
          <w:bCs w:val="0"/>
          <w:color w:val="auto"/>
          <w:sz w:val="48"/>
          <w:szCs w:val="48"/>
          <w:highlight w:val="none"/>
          <w:lang w:val="en-US" w:eastAsia="zh-CN"/>
        </w:rPr>
      </w:pPr>
    </w:p>
    <w:p w14:paraId="4C6A66DD">
      <w:pPr>
        <w:pageBreakBefore w:val="0"/>
        <w:kinsoku/>
        <w:wordWrap/>
        <w:overflowPunct/>
        <w:topLinePunct w:val="0"/>
        <w:bidi w:val="0"/>
        <w:spacing w:line="500" w:lineRule="exact"/>
        <w:jc w:val="center"/>
        <w:textAlignment w:val="auto"/>
        <w:rPr>
          <w:rFonts w:hint="eastAsia" w:asciiTheme="minorEastAsia" w:hAnsiTheme="minorEastAsia" w:eastAsiaTheme="minorEastAsia" w:cstheme="minorEastAsia"/>
          <w:b/>
          <w:bCs w:val="0"/>
          <w:color w:val="auto"/>
          <w:sz w:val="48"/>
          <w:szCs w:val="48"/>
          <w:highlight w:val="none"/>
        </w:rPr>
      </w:pPr>
      <w:r>
        <w:rPr>
          <w:rFonts w:hint="eastAsia" w:asciiTheme="minorEastAsia" w:hAnsiTheme="minorEastAsia" w:eastAsiaTheme="minorEastAsia" w:cstheme="minorEastAsia"/>
          <w:b/>
          <w:bCs w:val="0"/>
          <w:color w:val="auto"/>
          <w:sz w:val="48"/>
          <w:szCs w:val="48"/>
          <w:highlight w:val="none"/>
          <w:lang w:val="en-US" w:eastAsia="zh-CN"/>
        </w:rPr>
        <w:t>莎车县城市空气监测站设备更新项目</w:t>
      </w:r>
    </w:p>
    <w:p w14:paraId="02867B68">
      <w:pPr>
        <w:pStyle w:val="43"/>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p>
    <w:p w14:paraId="1B2CD060">
      <w:pPr>
        <w:pageBreakBefore w:val="0"/>
        <w:kinsoku/>
        <w:wordWrap/>
        <w:overflowPunct/>
        <w:topLinePunct w:val="0"/>
        <w:bidi w:val="0"/>
        <w:spacing w:line="500" w:lineRule="exact"/>
        <w:jc w:val="center"/>
        <w:textAlignment w:val="auto"/>
        <w:rPr>
          <w:rFonts w:hint="eastAsia" w:asciiTheme="minorEastAsia" w:hAnsiTheme="minorEastAsia" w:eastAsiaTheme="minorEastAsia" w:cstheme="minorEastAsia"/>
          <w:b/>
          <w:bCs w:val="0"/>
          <w:color w:val="auto"/>
          <w:sz w:val="44"/>
          <w:szCs w:val="44"/>
          <w:highlight w:val="none"/>
        </w:rPr>
      </w:pPr>
      <w:bookmarkStart w:id="697" w:name="_Toc6234_WPSOffice_Level1"/>
      <w:bookmarkStart w:id="698" w:name="_Toc14824"/>
      <w:bookmarkStart w:id="699" w:name="_Toc2531"/>
      <w:r>
        <w:rPr>
          <w:rFonts w:hint="eastAsia" w:asciiTheme="minorEastAsia" w:hAnsiTheme="minorEastAsia" w:eastAsiaTheme="minorEastAsia" w:cstheme="minorEastAsia"/>
          <w:b/>
          <w:bCs w:val="0"/>
          <w:color w:val="auto"/>
          <w:sz w:val="44"/>
          <w:szCs w:val="44"/>
          <w:highlight w:val="none"/>
        </w:rPr>
        <w:t>谈判文件</w:t>
      </w:r>
      <w:bookmarkEnd w:id="697"/>
      <w:bookmarkEnd w:id="698"/>
      <w:bookmarkEnd w:id="699"/>
    </w:p>
    <w:p w14:paraId="382D5FD4">
      <w:pPr>
        <w:pStyle w:val="8"/>
        <w:pageBreakBefore w:val="0"/>
        <w:kinsoku/>
        <w:wordWrap/>
        <w:overflowPunct/>
        <w:topLinePunct w:val="0"/>
        <w:bidi w:val="0"/>
        <w:spacing w:line="500" w:lineRule="exact"/>
        <w:textAlignment w:val="auto"/>
        <w:rPr>
          <w:rFonts w:hint="eastAsia" w:asciiTheme="minorEastAsia" w:hAnsiTheme="minorEastAsia" w:eastAsiaTheme="minorEastAsia" w:cstheme="minorEastAsia"/>
          <w:b/>
          <w:bCs w:val="0"/>
          <w:color w:val="auto"/>
          <w:sz w:val="44"/>
          <w:szCs w:val="44"/>
          <w:highlight w:val="none"/>
        </w:rPr>
      </w:pPr>
    </w:p>
    <w:p w14:paraId="139B08B4">
      <w:pPr>
        <w:rPr>
          <w:rFonts w:hint="eastAsia" w:asciiTheme="minorEastAsia" w:hAnsiTheme="minorEastAsia" w:eastAsiaTheme="minorEastAsia" w:cstheme="minorEastAsia"/>
          <w:color w:val="auto"/>
          <w:highlight w:val="none"/>
        </w:rPr>
      </w:pPr>
    </w:p>
    <w:p w14:paraId="0A5064B1">
      <w:pPr>
        <w:pageBreakBefore w:val="0"/>
        <w:kinsoku/>
        <w:wordWrap/>
        <w:overflowPunct/>
        <w:topLinePunct w:val="0"/>
        <w:bidi w:val="0"/>
        <w:spacing w:line="500" w:lineRule="exact"/>
        <w:jc w:val="center"/>
        <w:textAlignment w:val="auto"/>
        <w:rPr>
          <w:rFonts w:hint="eastAsia" w:asciiTheme="minorEastAsia" w:hAnsiTheme="minorEastAsia" w:eastAsiaTheme="minorEastAsia" w:cstheme="minorEastAsia"/>
          <w:b/>
          <w:bCs w:val="0"/>
          <w:color w:val="auto"/>
          <w:sz w:val="44"/>
          <w:szCs w:val="44"/>
          <w:highlight w:val="none"/>
          <w:lang w:val="en-US"/>
        </w:rPr>
      </w:pPr>
      <w:bookmarkStart w:id="700" w:name="_Toc19011_WPSOffice_Level2"/>
      <w:r>
        <w:rPr>
          <w:rFonts w:hint="eastAsia" w:asciiTheme="minorEastAsia" w:hAnsiTheme="minorEastAsia" w:eastAsiaTheme="minorEastAsia" w:cstheme="minorEastAsia"/>
          <w:b/>
          <w:bCs w:val="0"/>
          <w:color w:val="auto"/>
          <w:sz w:val="44"/>
          <w:szCs w:val="44"/>
          <w:highlight w:val="none"/>
        </w:rPr>
        <w:t>项目编号</w:t>
      </w:r>
      <w:bookmarkEnd w:id="700"/>
      <w:r>
        <w:rPr>
          <w:rFonts w:hint="eastAsia" w:asciiTheme="minorEastAsia" w:hAnsiTheme="minorEastAsia" w:eastAsiaTheme="minorEastAsia" w:cstheme="minorEastAsia"/>
          <w:b/>
          <w:bCs w:val="0"/>
          <w:color w:val="auto"/>
          <w:sz w:val="44"/>
          <w:szCs w:val="44"/>
          <w:highlight w:val="none"/>
          <w:lang w:eastAsia="zh-CN"/>
        </w:rPr>
        <w:t>：</w:t>
      </w:r>
      <w:r>
        <w:rPr>
          <w:rFonts w:hint="eastAsia" w:asciiTheme="minorEastAsia" w:hAnsiTheme="minorEastAsia" w:eastAsiaTheme="minorEastAsia" w:cstheme="minorEastAsia"/>
          <w:b/>
          <w:bCs w:val="0"/>
          <w:color w:val="auto"/>
          <w:sz w:val="44"/>
          <w:szCs w:val="44"/>
          <w:highlight w:val="none"/>
          <w:lang w:val="en-US" w:eastAsia="zh-CN"/>
        </w:rPr>
        <w:t>XJWSH(JZXTP)2025-03号</w:t>
      </w:r>
    </w:p>
    <w:p w14:paraId="4BF3103C">
      <w:pPr>
        <w:pageBreakBefore w:val="0"/>
        <w:kinsoku/>
        <w:wordWrap/>
        <w:overflowPunct/>
        <w:topLinePunct w:val="0"/>
        <w:bidi w:val="0"/>
        <w:spacing w:line="500" w:lineRule="exact"/>
        <w:jc w:val="center"/>
        <w:textAlignment w:val="auto"/>
        <w:rPr>
          <w:rFonts w:hint="eastAsia" w:asciiTheme="minorEastAsia" w:hAnsiTheme="minorEastAsia" w:eastAsiaTheme="minorEastAsia" w:cstheme="minorEastAsia"/>
          <w:b/>
          <w:bCs w:val="0"/>
          <w:color w:val="auto"/>
          <w:sz w:val="44"/>
          <w:szCs w:val="44"/>
          <w:highlight w:val="none"/>
        </w:rPr>
      </w:pPr>
    </w:p>
    <w:p w14:paraId="4460BA1A">
      <w:pPr>
        <w:pStyle w:val="8"/>
        <w:rPr>
          <w:rFonts w:hint="eastAsia" w:asciiTheme="minorEastAsia" w:hAnsiTheme="minorEastAsia" w:eastAsiaTheme="minorEastAsia" w:cstheme="minorEastAsia"/>
          <w:color w:val="auto"/>
          <w:highlight w:val="none"/>
        </w:rPr>
      </w:pPr>
    </w:p>
    <w:p w14:paraId="1391A2B5">
      <w:pPr>
        <w:pageBreakBefore w:val="0"/>
        <w:kinsoku/>
        <w:wordWrap/>
        <w:overflowPunct/>
        <w:topLinePunct w:val="0"/>
        <w:bidi w:val="0"/>
        <w:spacing w:line="500" w:lineRule="exact"/>
        <w:jc w:val="center"/>
        <w:textAlignment w:val="auto"/>
        <w:rPr>
          <w:rFonts w:hint="eastAsia" w:asciiTheme="minorEastAsia" w:hAnsiTheme="minorEastAsia" w:eastAsiaTheme="minorEastAsia" w:cstheme="minorEastAsia"/>
          <w:b/>
          <w:bCs w:val="0"/>
          <w:color w:val="auto"/>
          <w:sz w:val="44"/>
          <w:szCs w:val="44"/>
          <w:highlight w:val="none"/>
        </w:rPr>
      </w:pPr>
      <w:bookmarkStart w:id="701" w:name="_Toc9641"/>
      <w:bookmarkStart w:id="702" w:name="_Toc1249"/>
      <w:bookmarkStart w:id="703" w:name="_Toc29688"/>
      <w:bookmarkStart w:id="704" w:name="_Toc14692"/>
      <w:bookmarkStart w:id="705" w:name="_Toc12271"/>
      <w:bookmarkStart w:id="706" w:name="_Toc1392"/>
      <w:bookmarkStart w:id="707" w:name="_Toc32724"/>
      <w:bookmarkStart w:id="708" w:name="_Toc18236"/>
      <w:bookmarkStart w:id="709" w:name="_Toc27832"/>
      <w:bookmarkStart w:id="710" w:name="_Toc7812"/>
      <w:bookmarkStart w:id="711" w:name="_Toc8582_WPSOffice_Level1"/>
      <w:r>
        <w:rPr>
          <w:rFonts w:hint="eastAsia" w:asciiTheme="minorEastAsia" w:hAnsiTheme="minorEastAsia" w:eastAsiaTheme="minorEastAsia" w:cstheme="minorEastAsia"/>
          <w:b/>
          <w:bCs w:val="0"/>
          <w:color w:val="auto"/>
          <w:sz w:val="44"/>
          <w:szCs w:val="44"/>
          <w:highlight w:val="none"/>
        </w:rPr>
        <w:t>第 二 册</w:t>
      </w:r>
      <w:bookmarkEnd w:id="701"/>
      <w:bookmarkEnd w:id="702"/>
      <w:bookmarkEnd w:id="703"/>
      <w:bookmarkEnd w:id="704"/>
      <w:bookmarkEnd w:id="705"/>
      <w:bookmarkEnd w:id="706"/>
      <w:bookmarkEnd w:id="707"/>
      <w:bookmarkEnd w:id="708"/>
      <w:bookmarkEnd w:id="709"/>
      <w:bookmarkEnd w:id="710"/>
      <w:bookmarkEnd w:id="711"/>
    </w:p>
    <w:p w14:paraId="147CFA91">
      <w:pPr>
        <w:pageBreakBefore w:val="0"/>
        <w:kinsoku/>
        <w:wordWrap/>
        <w:overflowPunct/>
        <w:topLinePunct w:val="0"/>
        <w:bidi w:val="0"/>
        <w:spacing w:line="500" w:lineRule="exact"/>
        <w:jc w:val="center"/>
        <w:textAlignment w:val="auto"/>
        <w:rPr>
          <w:rFonts w:hint="eastAsia" w:asciiTheme="minorEastAsia" w:hAnsiTheme="minorEastAsia" w:eastAsiaTheme="minorEastAsia" w:cstheme="minorEastAsia"/>
          <w:b w:val="0"/>
          <w:bCs/>
          <w:color w:val="auto"/>
          <w:sz w:val="44"/>
          <w:szCs w:val="44"/>
          <w:highlight w:val="none"/>
        </w:rPr>
      </w:pPr>
    </w:p>
    <w:p w14:paraId="47CFBCE8">
      <w:pPr>
        <w:pageBreakBefore w:val="0"/>
        <w:kinsoku/>
        <w:wordWrap/>
        <w:overflowPunct/>
        <w:topLinePunct w:val="0"/>
        <w:bidi w:val="0"/>
        <w:spacing w:line="500" w:lineRule="exact"/>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  </w:t>
      </w:r>
    </w:p>
    <w:p w14:paraId="1EECE30A">
      <w:pPr>
        <w:pageBreakBefore w:val="0"/>
        <w:kinsoku/>
        <w:wordWrap/>
        <w:overflowPunct/>
        <w:topLinePunct w:val="0"/>
        <w:bidi w:val="0"/>
        <w:spacing w:line="500" w:lineRule="exact"/>
        <w:ind w:left="1157" w:leftChars="257" w:hanging="540"/>
        <w:textAlignment w:val="auto"/>
        <w:rPr>
          <w:rFonts w:hint="eastAsia" w:asciiTheme="minorEastAsia" w:hAnsiTheme="minorEastAsia" w:eastAsiaTheme="minorEastAsia" w:cstheme="minorEastAsia"/>
          <w:b w:val="0"/>
          <w:bCs/>
          <w:color w:val="auto"/>
          <w:sz w:val="24"/>
          <w:szCs w:val="24"/>
          <w:highlight w:val="none"/>
        </w:rPr>
      </w:pPr>
    </w:p>
    <w:p w14:paraId="0C337D83">
      <w:pPr>
        <w:pageBreakBefore w:val="0"/>
        <w:kinsoku/>
        <w:wordWrap/>
        <w:overflowPunct/>
        <w:topLinePunct w:val="0"/>
        <w:bidi w:val="0"/>
        <w:spacing w:line="500" w:lineRule="exact"/>
        <w:ind w:left="1157" w:leftChars="257" w:hanging="540"/>
        <w:textAlignment w:val="auto"/>
        <w:rPr>
          <w:rFonts w:hint="eastAsia" w:asciiTheme="minorEastAsia" w:hAnsiTheme="minorEastAsia" w:eastAsiaTheme="minorEastAsia" w:cstheme="minorEastAsia"/>
          <w:b w:val="0"/>
          <w:bCs/>
          <w:color w:val="auto"/>
          <w:sz w:val="24"/>
          <w:szCs w:val="24"/>
          <w:highlight w:val="none"/>
        </w:rPr>
      </w:pPr>
    </w:p>
    <w:p w14:paraId="4697AFC2">
      <w:pPr>
        <w:rPr>
          <w:rFonts w:hint="eastAsia" w:asciiTheme="minorEastAsia" w:hAnsiTheme="minorEastAsia" w:eastAsiaTheme="minorEastAsia" w:cstheme="minorEastAsia"/>
          <w:b/>
          <w:bCs w:val="0"/>
          <w:color w:val="auto"/>
          <w:sz w:val="28"/>
          <w:szCs w:val="28"/>
          <w:highlight w:val="none"/>
          <w:lang w:val="en-US" w:eastAsia="zh-CN"/>
        </w:rPr>
      </w:pPr>
      <w:r>
        <w:rPr>
          <w:rFonts w:hint="eastAsia" w:asciiTheme="minorEastAsia" w:hAnsiTheme="minorEastAsia" w:eastAsiaTheme="minorEastAsia" w:cstheme="minorEastAsia"/>
          <w:b/>
          <w:bCs w:val="0"/>
          <w:color w:val="auto"/>
          <w:sz w:val="28"/>
          <w:szCs w:val="28"/>
          <w:highlight w:val="none"/>
          <w:lang w:val="en-US" w:eastAsia="zh-CN"/>
        </w:rPr>
        <w:br w:type="page"/>
      </w:r>
    </w:p>
    <w:p w14:paraId="18CDF662">
      <w:pPr>
        <w:pStyle w:val="2"/>
        <w:pageBreakBefore w:val="0"/>
        <w:numPr>
          <w:ilvl w:val="0"/>
          <w:numId w:val="0"/>
        </w:numPr>
        <w:tabs>
          <w:tab w:val="left" w:pos="0"/>
        </w:tabs>
        <w:kinsoku/>
        <w:wordWrap/>
        <w:overflowPunct/>
        <w:topLinePunct w:val="0"/>
        <w:bidi w:val="0"/>
        <w:spacing w:before="0" w:after="0" w:line="500" w:lineRule="exact"/>
        <w:ind w:leftChars="0"/>
        <w:jc w:val="center"/>
        <w:textAlignment w:val="auto"/>
        <w:rPr>
          <w:rFonts w:hint="eastAsia" w:asciiTheme="minorEastAsia" w:hAnsiTheme="minorEastAsia" w:eastAsiaTheme="minorEastAsia" w:cstheme="minorEastAsia"/>
          <w:b/>
          <w:bCs w:val="0"/>
          <w:color w:val="auto"/>
          <w:sz w:val="28"/>
          <w:szCs w:val="28"/>
          <w:highlight w:val="none"/>
          <w:lang w:val="en-US" w:eastAsia="zh-CN"/>
        </w:rPr>
      </w:pPr>
      <w:bookmarkStart w:id="1135" w:name="_GoBack"/>
      <w:bookmarkEnd w:id="1135"/>
      <w:bookmarkStart w:id="712" w:name="_Toc16891"/>
      <w:r>
        <w:rPr>
          <w:rFonts w:hint="eastAsia" w:asciiTheme="minorEastAsia" w:hAnsiTheme="minorEastAsia" w:eastAsiaTheme="minorEastAsia" w:cstheme="minorEastAsia"/>
          <w:b/>
          <w:bCs w:val="0"/>
          <w:color w:val="auto"/>
          <w:sz w:val="28"/>
          <w:szCs w:val="28"/>
          <w:highlight w:val="none"/>
          <w:lang w:val="en-US" w:eastAsia="zh-CN"/>
        </w:rPr>
        <w:t>第3章  谈判邀请</w:t>
      </w:r>
      <w:bookmarkEnd w:id="712"/>
      <w:bookmarkStart w:id="713" w:name="_Toc20439"/>
      <w:bookmarkStart w:id="714" w:name="_Toc515647830"/>
      <w:bookmarkStart w:id="715" w:name="_Toc216582823"/>
      <w:bookmarkStart w:id="716" w:name="_Toc10488"/>
      <w:bookmarkStart w:id="717" w:name="_Toc512937850"/>
      <w:bookmarkStart w:id="718" w:name="_Toc31583"/>
      <w:bookmarkStart w:id="719" w:name="_Toc507399903"/>
    </w:p>
    <w:bookmarkEnd w:id="713"/>
    <w:bookmarkEnd w:id="714"/>
    <w:bookmarkEnd w:id="715"/>
    <w:bookmarkEnd w:id="716"/>
    <w:bookmarkEnd w:id="717"/>
    <w:bookmarkEnd w:id="718"/>
    <w:bookmarkEnd w:id="719"/>
    <w:p w14:paraId="5C835622">
      <w:pPr>
        <w:bidi w:val="0"/>
        <w:jc w:val="center"/>
        <w:rPr>
          <w:rFonts w:hint="eastAsia" w:asciiTheme="minorEastAsia" w:hAnsiTheme="minorEastAsia" w:eastAsiaTheme="minorEastAsia" w:cstheme="minorEastAsia"/>
          <w:b/>
          <w:bCs/>
          <w:color w:val="auto"/>
          <w:sz w:val="28"/>
          <w:szCs w:val="28"/>
          <w:highlight w:val="none"/>
          <w:lang w:val="en-US" w:eastAsia="zh-CN"/>
        </w:rPr>
      </w:pPr>
      <w:bookmarkStart w:id="720" w:name="_Toc14011"/>
      <w:bookmarkStart w:id="721" w:name="_Toc8815"/>
      <w:bookmarkStart w:id="722" w:name="_Toc216582826"/>
      <w:bookmarkStart w:id="723" w:name="_Toc219175639"/>
      <w:bookmarkStart w:id="724" w:name="_Toc31768_WPSOffice_Level1"/>
      <w:bookmarkStart w:id="725" w:name="_Toc218935355"/>
      <w:r>
        <w:rPr>
          <w:rFonts w:hint="eastAsia" w:asciiTheme="minorEastAsia" w:hAnsiTheme="minorEastAsia" w:eastAsiaTheme="minorEastAsia" w:cstheme="minorEastAsia"/>
          <w:b/>
          <w:bCs/>
          <w:color w:val="auto"/>
          <w:sz w:val="28"/>
          <w:szCs w:val="28"/>
          <w:highlight w:val="none"/>
          <w:lang w:val="en-US" w:eastAsia="zh-CN"/>
        </w:rPr>
        <w:t>莎车县城市空气监测站设备更新项目竞争性谈判</w:t>
      </w:r>
      <w:r>
        <w:rPr>
          <w:rFonts w:hint="eastAsia" w:asciiTheme="minorEastAsia" w:hAnsiTheme="minorEastAsia" w:eastAsiaTheme="minorEastAsia" w:cstheme="minorEastAsia"/>
          <w:b/>
          <w:bCs/>
          <w:color w:val="auto"/>
          <w:sz w:val="28"/>
          <w:szCs w:val="28"/>
          <w:highlight w:val="none"/>
        </w:rPr>
        <w:t>公告</w:t>
      </w:r>
      <w:bookmarkEnd w:id="720"/>
      <w:bookmarkEnd w:id="721"/>
    </w:p>
    <w:p w14:paraId="1BFB35C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项目概况</w:t>
      </w:r>
    </w:p>
    <w:p w14:paraId="682277E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莎车县城市空气监测站设备更新项目</w:t>
      </w:r>
      <w:r>
        <w:rPr>
          <w:rFonts w:hint="eastAsia" w:asciiTheme="minorEastAsia" w:hAnsiTheme="minorEastAsia" w:eastAsiaTheme="minorEastAsia" w:cstheme="minorEastAsia"/>
          <w:color w:val="auto"/>
          <w:sz w:val="24"/>
          <w:szCs w:val="24"/>
          <w:highlight w:val="none"/>
        </w:rPr>
        <w:t>的潜在供应商</w:t>
      </w:r>
      <w:r>
        <w:rPr>
          <w:rFonts w:hint="eastAsia" w:asciiTheme="minorEastAsia" w:hAnsiTheme="minorEastAsia" w:eastAsiaTheme="minorEastAsia" w:cstheme="minorEastAsia"/>
          <w:color w:val="auto"/>
          <w:sz w:val="24"/>
          <w:szCs w:val="24"/>
          <w:highlight w:val="none"/>
          <w:lang w:val="en-US" w:eastAsia="zh-CN"/>
        </w:rPr>
        <w:t>应在政采云平台</w:t>
      </w:r>
      <w:r>
        <w:rPr>
          <w:rFonts w:hint="eastAsia" w:asciiTheme="minorEastAsia" w:hAnsiTheme="minorEastAsia" w:eastAsiaTheme="minorEastAsia" w:cstheme="minorEastAsia"/>
          <w:color w:val="auto"/>
          <w:highlight w:val="none"/>
        </w:rPr>
        <w:t>（https://www.zcygov.cn/）</w:t>
      </w:r>
      <w:r>
        <w:rPr>
          <w:rFonts w:hint="eastAsia" w:asciiTheme="minorEastAsia" w:hAnsiTheme="minorEastAsia" w:eastAsiaTheme="minorEastAsia" w:cstheme="minorEastAsia"/>
          <w:color w:val="auto"/>
          <w:sz w:val="24"/>
          <w:szCs w:val="24"/>
          <w:highlight w:val="none"/>
          <w:lang w:val="en-US" w:eastAsia="zh-CN"/>
        </w:rPr>
        <w:t>获取采购文件</w:t>
      </w:r>
      <w:r>
        <w:rPr>
          <w:rFonts w:hint="eastAsia" w:asciiTheme="minorEastAsia" w:hAnsiTheme="minorEastAsia" w:eastAsiaTheme="minorEastAsia" w:cstheme="minorEastAsia"/>
          <w:color w:val="auto"/>
          <w:sz w:val="24"/>
          <w:szCs w:val="24"/>
          <w:highlight w:val="none"/>
        </w:rPr>
        <w:t>，并于</w:t>
      </w:r>
      <w:r>
        <w:rPr>
          <w:rFonts w:hint="eastAsia" w:asciiTheme="minorEastAsia" w:hAnsiTheme="minorEastAsia" w:eastAsiaTheme="minorEastAsia" w:cstheme="minorEastAsia"/>
          <w:color w:val="auto"/>
          <w:sz w:val="24"/>
          <w:szCs w:val="24"/>
          <w:highlight w:val="none"/>
          <w:lang w:eastAsia="zh-CN"/>
        </w:rPr>
        <w:t>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lang w:val="en-US" w:eastAsia="zh-CN"/>
        </w:rPr>
        <w:t>06</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lang w:val="en-US" w:eastAsia="zh-CN"/>
        </w:rPr>
        <w:t>27</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lang w:val="en-US" w:eastAsia="zh-CN"/>
        </w:rPr>
        <w:t>16:00</w:t>
      </w:r>
      <w:r>
        <w:rPr>
          <w:rFonts w:hint="eastAsia" w:asciiTheme="minorEastAsia" w:hAnsiTheme="minorEastAsia" w:eastAsiaTheme="minorEastAsia" w:cstheme="minorEastAsia"/>
          <w:color w:val="auto"/>
          <w:sz w:val="24"/>
          <w:szCs w:val="24"/>
          <w:highlight w:val="none"/>
        </w:rPr>
        <w:t>（北京时间）</w:t>
      </w:r>
      <w:r>
        <w:rPr>
          <w:rFonts w:hint="eastAsia" w:asciiTheme="minorEastAsia" w:hAnsiTheme="minorEastAsia" w:eastAsiaTheme="minorEastAsia" w:cstheme="minorEastAsia"/>
          <w:bCs/>
          <w:color w:val="auto"/>
          <w:sz w:val="24"/>
          <w:szCs w:val="24"/>
          <w:highlight w:val="none"/>
        </w:rPr>
        <w:t>前提交响应文件</w:t>
      </w:r>
      <w:r>
        <w:rPr>
          <w:rFonts w:hint="eastAsia" w:asciiTheme="minorEastAsia" w:hAnsiTheme="minorEastAsia" w:eastAsiaTheme="minorEastAsia" w:cstheme="minorEastAsia"/>
          <w:color w:val="auto"/>
          <w:sz w:val="24"/>
          <w:szCs w:val="24"/>
          <w:highlight w:val="none"/>
        </w:rPr>
        <w:t>。</w:t>
      </w:r>
    </w:p>
    <w:p w14:paraId="47568281">
      <w:pPr>
        <w:bidi w:val="0"/>
        <w:rPr>
          <w:rFonts w:hint="eastAsia" w:asciiTheme="minorEastAsia" w:hAnsiTheme="minorEastAsia" w:eastAsiaTheme="minorEastAsia" w:cstheme="minorEastAsia"/>
          <w:b/>
          <w:bCs/>
          <w:color w:val="auto"/>
          <w:sz w:val="24"/>
          <w:szCs w:val="24"/>
          <w:highlight w:val="none"/>
        </w:rPr>
      </w:pPr>
      <w:bookmarkStart w:id="726" w:name="_Toc28359012"/>
      <w:bookmarkStart w:id="727" w:name="_Toc29182"/>
      <w:bookmarkStart w:id="728" w:name="_Toc35393629"/>
      <w:bookmarkStart w:id="729" w:name="_Toc35393798"/>
      <w:bookmarkStart w:id="730" w:name="_Toc28359089"/>
      <w:bookmarkStart w:id="731" w:name="_Toc8264"/>
      <w:r>
        <w:rPr>
          <w:rFonts w:hint="eastAsia" w:asciiTheme="minorEastAsia" w:hAnsiTheme="minorEastAsia" w:eastAsiaTheme="minorEastAsia" w:cstheme="minorEastAsia"/>
          <w:b/>
          <w:bCs/>
          <w:color w:val="auto"/>
          <w:sz w:val="24"/>
          <w:szCs w:val="24"/>
          <w:highlight w:val="none"/>
        </w:rPr>
        <w:t>一、项目基本情况</w:t>
      </w:r>
      <w:bookmarkEnd w:id="726"/>
      <w:bookmarkEnd w:id="727"/>
      <w:bookmarkEnd w:id="728"/>
      <w:bookmarkEnd w:id="729"/>
      <w:bookmarkEnd w:id="730"/>
      <w:bookmarkEnd w:id="731"/>
    </w:p>
    <w:p w14:paraId="1E1746AF">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732" w:name="_Toc35393630"/>
      <w:bookmarkStart w:id="733" w:name="_Toc28359013"/>
      <w:bookmarkStart w:id="734" w:name="_Toc28359090"/>
      <w:bookmarkStart w:id="735" w:name="_Toc12963"/>
      <w:bookmarkStart w:id="736" w:name="_Toc35393799"/>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lang w:val="en-US" w:eastAsia="zh-CN"/>
        </w:rPr>
        <w:t>XJWSH(JZXTP)2025-03号</w:t>
      </w:r>
    </w:p>
    <w:p w14:paraId="00D65922">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莎车县城市空气监测站设备更新项目</w:t>
      </w:r>
    </w:p>
    <w:p w14:paraId="428D8118">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采购方式：竞争性谈判 </w:t>
      </w:r>
    </w:p>
    <w:p w14:paraId="2BDC1A52">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预</w:t>
      </w:r>
      <w:r>
        <w:rPr>
          <w:rFonts w:hint="eastAsia" w:asciiTheme="minorEastAsia" w:hAnsiTheme="minorEastAsia" w:eastAsiaTheme="minorEastAsia" w:cstheme="minorEastAsia"/>
          <w:color w:val="auto"/>
          <w:sz w:val="24"/>
          <w:szCs w:val="24"/>
          <w:highlight w:val="none"/>
          <w:lang w:val="en-US" w:eastAsia="zh-CN"/>
        </w:rPr>
        <w:t>算金额（元）：1150000元（大写：壹佰壹拾伍万元整）</w:t>
      </w:r>
    </w:p>
    <w:p w14:paraId="01636137">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最高限价</w:t>
      </w:r>
      <w:r>
        <w:rPr>
          <w:rFonts w:hint="eastAsia" w:asciiTheme="minorEastAsia" w:hAnsiTheme="minorEastAsia" w:eastAsiaTheme="minorEastAsia" w:cstheme="minorEastAsia"/>
          <w:color w:val="auto"/>
          <w:sz w:val="24"/>
          <w:szCs w:val="24"/>
          <w:highlight w:val="none"/>
          <w:lang w:val="en-US" w:eastAsia="zh-CN"/>
        </w:rPr>
        <w:t>（元）：1150000元（大写：壹佰壹拾伍万元整）</w:t>
      </w:r>
    </w:p>
    <w:p w14:paraId="635479C7">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Theme="minorEastAsia" w:hAnsiTheme="minorEastAsia" w:eastAsiaTheme="minorEastAsia" w:cstheme="minorEastAsia"/>
          <w:i w:val="0"/>
          <w:iCs w:val="0"/>
          <w:caps w:val="0"/>
          <w:color w:val="auto"/>
          <w:spacing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6、采购需求：空气监测站设备更新一批</w:t>
      </w:r>
      <w:r>
        <w:rPr>
          <w:rFonts w:hint="eastAsia" w:asciiTheme="minorEastAsia" w:hAnsiTheme="minorEastAsia" w:eastAsiaTheme="minorEastAsia" w:cstheme="minorEastAsia"/>
          <w:i w:val="0"/>
          <w:iCs w:val="0"/>
          <w:caps w:val="0"/>
          <w:color w:val="auto"/>
          <w:spacing w:val="0"/>
          <w:sz w:val="24"/>
          <w:szCs w:val="24"/>
          <w:highlight w:val="none"/>
          <w:lang w:val="en-US" w:eastAsia="zh-CN"/>
        </w:rPr>
        <w:t>（具体参数详见谈判文件）</w:t>
      </w:r>
    </w:p>
    <w:p w14:paraId="5BFD8492">
      <w:pPr>
        <w:pStyle w:val="52"/>
        <w:ind w:firstLine="480" w:firstLineChars="200"/>
        <w:rPr>
          <w:rFonts w:hint="default"/>
          <w:lang w:val="en-US" w:eastAsia="zh-CN"/>
        </w:rPr>
      </w:pPr>
      <w:r>
        <w:rPr>
          <w:rFonts w:hint="eastAsia" w:asciiTheme="minorEastAsia" w:hAnsiTheme="minorEastAsia" w:eastAsiaTheme="minorEastAsia" w:cstheme="minorEastAsia"/>
          <w:i w:val="0"/>
          <w:iCs w:val="0"/>
          <w:caps w:val="0"/>
          <w:color w:val="auto"/>
          <w:spacing w:val="0"/>
          <w:sz w:val="24"/>
          <w:szCs w:val="24"/>
          <w:highlight w:val="none"/>
          <w:lang w:val="en-US" w:eastAsia="zh-CN"/>
        </w:rPr>
        <w:t>7、交货期：自合同签订之日起20日内</w:t>
      </w:r>
    </w:p>
    <w:p w14:paraId="2F0CCE48">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i w:val="0"/>
          <w:iCs w:val="0"/>
          <w:caps w:val="0"/>
          <w:color w:val="auto"/>
          <w:spacing w:val="0"/>
          <w:sz w:val="24"/>
          <w:szCs w:val="24"/>
          <w:highlight w:val="none"/>
          <w:lang w:val="en-US" w:eastAsia="zh-CN"/>
        </w:rPr>
        <w:t>本项目（否）接受联合体投标</w:t>
      </w:r>
    </w:p>
    <w:p w14:paraId="42F0CF7A">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4"/>
          <w:szCs w:val="24"/>
          <w:highlight w:val="none"/>
        </w:rPr>
        <w:t>二、</w:t>
      </w:r>
      <w:r>
        <w:rPr>
          <w:rFonts w:hint="eastAsia" w:asciiTheme="minorEastAsia" w:hAnsiTheme="minorEastAsia" w:eastAsiaTheme="minorEastAsia" w:cstheme="minorEastAsia"/>
          <w:b/>
          <w:color w:val="auto"/>
          <w:sz w:val="24"/>
          <w:highlight w:val="none"/>
        </w:rPr>
        <w:t>供应商资格要求</w:t>
      </w:r>
      <w:r>
        <w:rPr>
          <w:rFonts w:hint="eastAsia" w:asciiTheme="minorEastAsia" w:hAnsiTheme="minorEastAsia" w:eastAsiaTheme="minorEastAsia" w:cstheme="minorEastAsia"/>
          <w:b/>
          <w:bCs/>
          <w:color w:val="auto"/>
          <w:sz w:val="24"/>
          <w:szCs w:val="24"/>
          <w:highlight w:val="none"/>
        </w:rPr>
        <w:t>：</w:t>
      </w:r>
      <w:bookmarkEnd w:id="732"/>
      <w:bookmarkEnd w:id="733"/>
      <w:bookmarkEnd w:id="734"/>
      <w:bookmarkEnd w:id="735"/>
      <w:bookmarkEnd w:id="736"/>
    </w:p>
    <w:p w14:paraId="325627C3">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SA"/>
        </w:rPr>
      </w:pPr>
      <w:bookmarkStart w:id="737" w:name="_Toc28359091"/>
      <w:bookmarkStart w:id="738" w:name="_Toc28359014"/>
      <w:bookmarkStart w:id="739" w:name="_Toc35393631"/>
      <w:bookmarkStart w:id="740" w:name="_Toc35393800"/>
      <w:r>
        <w:rPr>
          <w:rFonts w:hint="eastAsia" w:asciiTheme="minorEastAsia" w:hAnsiTheme="minorEastAsia" w:eastAsiaTheme="minorEastAsia" w:cstheme="minorEastAsia"/>
          <w:b w:val="0"/>
          <w:bCs w:val="0"/>
          <w:color w:val="auto"/>
          <w:kern w:val="0"/>
          <w:sz w:val="24"/>
          <w:szCs w:val="24"/>
          <w:highlight w:val="none"/>
          <w:lang w:val="en-US" w:eastAsia="zh-CN" w:bidi="ar-SA"/>
        </w:rPr>
        <w:t>1、符合《中华人民共和国政府采购法》第二十二条的相关规定：</w:t>
      </w:r>
    </w:p>
    <w:p w14:paraId="662105D1">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①具有有效的营业执照；</w:t>
      </w:r>
    </w:p>
    <w:p w14:paraId="2AB035A2">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②</w:t>
      </w:r>
      <w:r>
        <w:rPr>
          <w:rFonts w:hint="eastAsia" w:ascii="宋体" w:hAnsi="宋体" w:cs="宋体"/>
          <w:b w:val="0"/>
          <w:bCs/>
          <w:i w:val="0"/>
          <w:iCs w:val="0"/>
          <w:color w:val="auto"/>
          <w:kern w:val="2"/>
          <w:sz w:val="24"/>
          <w:szCs w:val="24"/>
          <w:highlight w:val="none"/>
          <w:lang w:val="en-US" w:eastAsia="zh-CN" w:bidi="ar-SA"/>
        </w:rPr>
        <w:t>法人本人投标需提供法人身份证明，委托代理人投标需提供法人授权委托书和身份证明</w:t>
      </w:r>
      <w:r>
        <w:rPr>
          <w:rFonts w:hint="eastAsia" w:asciiTheme="minorEastAsia" w:hAnsiTheme="minorEastAsia" w:eastAsiaTheme="minorEastAsia" w:cstheme="minorEastAsia"/>
          <w:b w:val="0"/>
          <w:bCs w:val="0"/>
          <w:color w:val="auto"/>
          <w:sz w:val="24"/>
          <w:szCs w:val="24"/>
          <w:highlight w:val="none"/>
        </w:rPr>
        <w:t>；</w:t>
      </w:r>
    </w:p>
    <w:p w14:paraId="48B7A7ED">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③依法缴纳近三个月任意一个月的社会保险的凭据；</w:t>
      </w:r>
    </w:p>
    <w:p w14:paraId="18DCC926">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④税务部门出具的近三个月任意一个月的完税证明（依法免缴的应提供依法免缴的相关证明文件或零申报报表）；</w:t>
      </w:r>
    </w:p>
    <w:p w14:paraId="265E27BA">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⑤提供2024年完整的财务审计报告（成立不满一年的可提供近三个月内任意一个月的银行资信证明）；</w:t>
      </w:r>
    </w:p>
    <w:p w14:paraId="2A6DE201">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⑥参与政府采购活动前3年内未被列入失信、重大税收违法案件、财政部门禁止参加政府采购活动的承诺书；</w:t>
      </w:r>
    </w:p>
    <w:p w14:paraId="09CC8E4B">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⑦提供针对本次项目的反商业贿赂承诺书；</w:t>
      </w:r>
    </w:p>
    <w:p w14:paraId="191344DA">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⑧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w:t>
      </w:r>
    </w:p>
    <w:p w14:paraId="4D4FFAE8">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2、落实政府采购政策需满足的资格要求：本项目专门面向中小企业</w:t>
      </w:r>
    </w:p>
    <w:p w14:paraId="161B10B8">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textAlignment w:val="auto"/>
        <w:rPr>
          <w:rFonts w:hint="default"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3、本项目的特定资格要求：无</w:t>
      </w:r>
    </w:p>
    <w:p w14:paraId="76D1CA53">
      <w:pPr>
        <w:pageBreakBefore w:val="0"/>
        <w:widowControl w:val="0"/>
        <w:shd w:val="clear" w:color="auto" w:fill="auto"/>
        <w:kinsoku/>
        <w:wordWrap/>
        <w:overflowPunct/>
        <w:topLinePunct w:val="0"/>
        <w:bidi w:val="0"/>
        <w:snapToGrid/>
        <w:spacing w:line="360" w:lineRule="exact"/>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三、获取采购文件</w:t>
      </w:r>
    </w:p>
    <w:p w14:paraId="57A24D5E">
      <w:pPr>
        <w:pageBreakBefore w:val="0"/>
        <w:widowControl w:val="0"/>
        <w:kinsoku/>
        <w:wordWrap/>
        <w:overflowPunct/>
        <w:topLinePunct w:val="0"/>
        <w:bidi w:val="0"/>
        <w:snapToGrid/>
        <w:spacing w:line="3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时间：2025年06月20日至2025年06月25日，每天上午00:00至14:00，下午14:00至23:59（北京时间，法定节假日除外）</w:t>
      </w:r>
    </w:p>
    <w:p w14:paraId="5ADB17DE">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textAlignment w:val="auto"/>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rPr>
        <w:t>地点：政采云平台线上</w:t>
      </w:r>
      <w:r>
        <w:rPr>
          <w:rFonts w:hint="eastAsia" w:asciiTheme="minorEastAsia" w:hAnsiTheme="minorEastAsia" w:eastAsiaTheme="minorEastAsia" w:cstheme="minorEastAsia"/>
          <w:i w:val="0"/>
          <w:iCs w:val="0"/>
          <w:caps w:val="0"/>
          <w:color w:val="auto"/>
          <w:spacing w:val="0"/>
          <w:sz w:val="24"/>
          <w:szCs w:val="24"/>
          <w:highlight w:val="none"/>
          <w:lang w:val="en-US" w:eastAsia="zh-CN"/>
        </w:rPr>
        <w:t> </w:t>
      </w:r>
    </w:p>
    <w:p w14:paraId="63A9104B">
      <w:pPr>
        <w:pageBreakBefore w:val="0"/>
        <w:widowControl w:val="0"/>
        <w:shd w:val="clear" w:color="auto" w:fill="auto"/>
        <w:kinsoku/>
        <w:wordWrap/>
        <w:overflowPunct/>
        <w:topLinePunct w:val="0"/>
        <w:bidi w:val="0"/>
        <w:snapToGrid/>
        <w:spacing w:line="360" w:lineRule="exact"/>
        <w:jc w:val="left"/>
        <w:textAlignment w:val="auto"/>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258D776F">
      <w:pPr>
        <w:pageBreakBefore w:val="0"/>
        <w:widowControl w:val="0"/>
        <w:shd w:val="clear" w:color="auto" w:fill="auto"/>
        <w:kinsoku/>
        <w:wordWrap/>
        <w:overflowPunct/>
        <w:topLinePunct w:val="0"/>
        <w:bidi w:val="0"/>
        <w:snapToGrid/>
        <w:spacing w:line="360" w:lineRule="exact"/>
        <w:jc w:val="left"/>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四、</w:t>
      </w:r>
      <w:bookmarkEnd w:id="737"/>
      <w:bookmarkEnd w:id="738"/>
      <w:bookmarkEnd w:id="739"/>
      <w:bookmarkEnd w:id="740"/>
      <w:bookmarkStart w:id="741" w:name="_Toc28359092"/>
      <w:bookmarkStart w:id="742" w:name="_Toc35393632"/>
      <w:bookmarkStart w:id="743" w:name="_Toc28359015"/>
      <w:bookmarkStart w:id="744" w:name="_Toc35393801"/>
      <w:r>
        <w:rPr>
          <w:rFonts w:hint="eastAsia" w:asciiTheme="minorEastAsia" w:hAnsiTheme="minorEastAsia" w:eastAsiaTheme="minorEastAsia" w:cstheme="minorEastAsia"/>
          <w:b/>
          <w:bCs/>
          <w:color w:val="auto"/>
          <w:kern w:val="0"/>
          <w:sz w:val="24"/>
          <w:szCs w:val="24"/>
          <w:highlight w:val="none"/>
          <w:lang w:eastAsia="zh-CN"/>
        </w:rPr>
        <w:t>响应文件</w:t>
      </w:r>
      <w:r>
        <w:rPr>
          <w:rFonts w:hint="eastAsia" w:asciiTheme="minorEastAsia" w:hAnsiTheme="minorEastAsia" w:eastAsiaTheme="minorEastAsia" w:cstheme="minorEastAsia"/>
          <w:b/>
          <w:bCs/>
          <w:color w:val="auto"/>
          <w:kern w:val="0"/>
          <w:sz w:val="24"/>
          <w:szCs w:val="24"/>
          <w:highlight w:val="none"/>
        </w:rPr>
        <w:t>提交</w:t>
      </w:r>
      <w:bookmarkEnd w:id="741"/>
      <w:bookmarkEnd w:id="742"/>
      <w:bookmarkEnd w:id="743"/>
      <w:bookmarkEnd w:id="744"/>
    </w:p>
    <w:p w14:paraId="320786FB">
      <w:pPr>
        <w:pageBreakBefore w:val="0"/>
        <w:widowControl w:val="0"/>
        <w:kinsoku/>
        <w:wordWrap/>
        <w:overflowPunct/>
        <w:topLinePunct w:val="0"/>
        <w:bidi w:val="0"/>
        <w:snapToGrid/>
        <w:spacing w:line="3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bookmarkStart w:id="745" w:name="_Toc35393633"/>
      <w:bookmarkStart w:id="746" w:name="_Toc28359093"/>
      <w:bookmarkStart w:id="747" w:name="_Toc28359016"/>
      <w:bookmarkStart w:id="748" w:name="_Toc35393802"/>
      <w:r>
        <w:rPr>
          <w:rFonts w:hint="eastAsia" w:asciiTheme="minorEastAsia" w:hAnsiTheme="minorEastAsia" w:eastAsiaTheme="minorEastAsia" w:cstheme="minorEastAsia"/>
          <w:color w:val="auto"/>
          <w:sz w:val="24"/>
          <w:szCs w:val="24"/>
          <w:highlight w:val="none"/>
        </w:rPr>
        <w:t>截止时间：</w:t>
      </w:r>
      <w:r>
        <w:rPr>
          <w:rFonts w:hint="eastAsia" w:asciiTheme="minorEastAsia" w:hAnsiTheme="minorEastAsia" w:eastAsiaTheme="minorEastAsia" w:cstheme="minorEastAsia"/>
          <w:color w:val="auto"/>
          <w:sz w:val="24"/>
          <w:szCs w:val="24"/>
          <w:highlight w:val="none"/>
          <w:lang w:eastAsia="zh-CN"/>
        </w:rPr>
        <w:t>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lang w:val="en-US" w:eastAsia="zh-CN"/>
        </w:rPr>
        <w:t>06</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lang w:val="en-US" w:eastAsia="zh-CN"/>
        </w:rPr>
        <w:t>27</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lang w:val="en-US" w:eastAsia="zh-CN"/>
        </w:rPr>
        <w:t>16：00</w:t>
      </w:r>
      <w:r>
        <w:rPr>
          <w:rFonts w:hint="eastAsia" w:asciiTheme="minorEastAsia" w:hAnsiTheme="minorEastAsia" w:eastAsiaTheme="minorEastAsia" w:cstheme="minorEastAsia"/>
          <w:color w:val="auto"/>
          <w:sz w:val="24"/>
          <w:szCs w:val="24"/>
          <w:highlight w:val="none"/>
        </w:rPr>
        <w:t>（北京时间）</w:t>
      </w:r>
    </w:p>
    <w:p w14:paraId="7B518DF8">
      <w:pPr>
        <w:pageBreakBefore w:val="0"/>
        <w:widowControl w:val="0"/>
        <w:kinsoku/>
        <w:wordWrap/>
        <w:overflowPunct/>
        <w:topLinePunct w:val="0"/>
        <w:bidi w:val="0"/>
        <w:snapToGrid/>
        <w:spacing w:line="3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地    点：政采云平台</w:t>
      </w:r>
      <w:r>
        <w:rPr>
          <w:rFonts w:hint="eastAsia" w:asciiTheme="minorEastAsia" w:hAnsiTheme="minorEastAsia" w:eastAsiaTheme="minorEastAsia" w:cstheme="minorEastAsia"/>
          <w:color w:val="auto"/>
          <w:highlight w:val="none"/>
        </w:rPr>
        <w:t>（https://www.zcygov.cn/） </w:t>
      </w:r>
    </w:p>
    <w:p w14:paraId="36811532">
      <w:pPr>
        <w:bidi w:val="0"/>
        <w:rPr>
          <w:rFonts w:hint="eastAsia" w:asciiTheme="minorEastAsia" w:hAnsiTheme="minorEastAsia" w:eastAsiaTheme="minorEastAsia" w:cstheme="minorEastAsia"/>
          <w:b/>
          <w:bCs/>
          <w:color w:val="auto"/>
          <w:sz w:val="24"/>
          <w:szCs w:val="24"/>
          <w:highlight w:val="none"/>
        </w:rPr>
      </w:pPr>
      <w:bookmarkStart w:id="749" w:name="_Toc21935"/>
      <w:r>
        <w:rPr>
          <w:rFonts w:hint="eastAsia" w:asciiTheme="minorEastAsia" w:hAnsiTheme="minorEastAsia" w:eastAsiaTheme="minorEastAsia" w:cstheme="minorEastAsia"/>
          <w:b/>
          <w:bCs/>
          <w:color w:val="auto"/>
          <w:sz w:val="24"/>
          <w:szCs w:val="24"/>
          <w:highlight w:val="none"/>
        </w:rPr>
        <w:t>五、</w:t>
      </w:r>
      <w:r>
        <w:rPr>
          <w:rFonts w:hint="eastAsia" w:asciiTheme="minorEastAsia" w:hAnsiTheme="minorEastAsia" w:eastAsiaTheme="minorEastAsia" w:cstheme="minorEastAsia"/>
          <w:b/>
          <w:bCs/>
          <w:color w:val="auto"/>
          <w:kern w:val="0"/>
          <w:sz w:val="24"/>
          <w:szCs w:val="24"/>
          <w:highlight w:val="none"/>
          <w:lang w:eastAsia="zh-CN"/>
        </w:rPr>
        <w:t>响应文件</w:t>
      </w:r>
      <w:r>
        <w:rPr>
          <w:rFonts w:hint="eastAsia" w:asciiTheme="minorEastAsia" w:hAnsiTheme="minorEastAsia" w:eastAsiaTheme="minorEastAsia" w:cstheme="minorEastAsia"/>
          <w:b/>
          <w:bCs/>
          <w:color w:val="auto"/>
          <w:sz w:val="24"/>
          <w:szCs w:val="24"/>
          <w:highlight w:val="none"/>
        </w:rPr>
        <w:t>开启</w:t>
      </w:r>
      <w:bookmarkEnd w:id="745"/>
      <w:bookmarkEnd w:id="746"/>
      <w:bookmarkEnd w:id="747"/>
      <w:bookmarkEnd w:id="748"/>
      <w:bookmarkEnd w:id="749"/>
    </w:p>
    <w:p w14:paraId="4F94E543">
      <w:pPr>
        <w:pageBreakBefore w:val="0"/>
        <w:kinsoku/>
        <w:wordWrap/>
        <w:overflowPunct/>
        <w:topLinePunct w:val="0"/>
        <w:autoSpaceDE/>
        <w:autoSpaceDN/>
        <w:bidi w:val="0"/>
        <w:adjustRightInd/>
        <w:spacing w:line="36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开启时间：202</w:t>
      </w: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kern w:val="0"/>
          <w:sz w:val="24"/>
          <w:highlight w:val="none"/>
        </w:rPr>
        <w:t>年</w:t>
      </w:r>
      <w:r>
        <w:rPr>
          <w:rFonts w:hint="eastAsia" w:asciiTheme="minorEastAsia" w:hAnsiTheme="minorEastAsia" w:eastAsiaTheme="minorEastAsia" w:cstheme="minorEastAsia"/>
          <w:color w:val="auto"/>
          <w:kern w:val="0"/>
          <w:sz w:val="24"/>
          <w:highlight w:val="none"/>
          <w:lang w:val="en-US" w:eastAsia="zh-CN"/>
        </w:rPr>
        <w:t>06</w:t>
      </w:r>
      <w:r>
        <w:rPr>
          <w:rFonts w:hint="eastAsia" w:asciiTheme="minorEastAsia" w:hAnsiTheme="minorEastAsia" w:eastAsiaTheme="minorEastAsia" w:cstheme="minorEastAsia"/>
          <w:color w:val="auto"/>
          <w:kern w:val="0"/>
          <w:sz w:val="24"/>
          <w:highlight w:val="none"/>
          <w:lang w:eastAsia="zh-CN"/>
        </w:rPr>
        <w:t>月</w:t>
      </w:r>
      <w:r>
        <w:rPr>
          <w:rFonts w:hint="eastAsia" w:asciiTheme="minorEastAsia" w:hAnsiTheme="minorEastAsia" w:eastAsiaTheme="minorEastAsia" w:cstheme="minorEastAsia"/>
          <w:color w:val="auto"/>
          <w:kern w:val="0"/>
          <w:sz w:val="24"/>
          <w:highlight w:val="none"/>
          <w:lang w:val="en-US" w:eastAsia="zh-CN"/>
        </w:rPr>
        <w:t>27</w:t>
      </w:r>
      <w:r>
        <w:rPr>
          <w:rFonts w:hint="eastAsia" w:asciiTheme="minorEastAsia" w:hAnsiTheme="minorEastAsia" w:eastAsiaTheme="minorEastAsia" w:cstheme="minorEastAsia"/>
          <w:color w:val="auto"/>
          <w:kern w:val="0"/>
          <w:sz w:val="24"/>
          <w:highlight w:val="none"/>
          <w:lang w:eastAsia="zh-CN"/>
        </w:rPr>
        <w:t>日</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en-US" w:eastAsia="zh-CN"/>
        </w:rPr>
        <w:t>16</w:t>
      </w:r>
      <w:r>
        <w:rPr>
          <w:rFonts w:hint="eastAsia" w:asciiTheme="minorEastAsia" w:hAnsiTheme="minorEastAsia" w:eastAsiaTheme="minorEastAsia" w:cstheme="minorEastAsia"/>
          <w:color w:val="auto"/>
          <w:kern w:val="0"/>
          <w:sz w:val="24"/>
          <w:highlight w:val="none"/>
          <w:lang w:eastAsia="zh-CN"/>
        </w:rPr>
        <w:t>:00</w:t>
      </w:r>
      <w:r>
        <w:rPr>
          <w:rFonts w:hint="eastAsia" w:asciiTheme="minorEastAsia" w:hAnsiTheme="minorEastAsia" w:eastAsiaTheme="minorEastAsia" w:cstheme="minorEastAsia"/>
          <w:color w:val="auto"/>
          <w:kern w:val="0"/>
          <w:sz w:val="24"/>
          <w:highlight w:val="none"/>
        </w:rPr>
        <w:t>（北京时间）</w:t>
      </w:r>
    </w:p>
    <w:p w14:paraId="36F36780">
      <w:pPr>
        <w:pageBreakBefore w:val="0"/>
        <w:widowControl w:val="0"/>
        <w:kinsoku/>
        <w:wordWrap/>
        <w:overflowPunct/>
        <w:topLinePunct w:val="0"/>
        <w:bidi w:val="0"/>
        <w:snapToGrid/>
        <w:spacing w:line="3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highlight w:val="none"/>
        </w:rPr>
        <w:t> 地点：投标人登录政采云平台https://www.zcygov.cn/，进入“项目采购-开标评标-右边选择对应项目点击“进入项目”进入开标大厅。</w:t>
      </w:r>
      <w:r>
        <w:rPr>
          <w:rFonts w:hint="eastAsia" w:asciiTheme="minorEastAsia" w:hAnsiTheme="minorEastAsia" w:eastAsiaTheme="minorEastAsia" w:cstheme="minorEastAsia"/>
          <w:color w:val="auto"/>
          <w:highlight w:val="none"/>
        </w:rPr>
        <w:t> </w:t>
      </w:r>
    </w:p>
    <w:p w14:paraId="75549863">
      <w:pPr>
        <w:bidi w:val="0"/>
        <w:rPr>
          <w:rFonts w:hint="eastAsia" w:asciiTheme="minorEastAsia" w:hAnsiTheme="minorEastAsia" w:eastAsiaTheme="minorEastAsia" w:cstheme="minorEastAsia"/>
          <w:b/>
          <w:bCs/>
          <w:color w:val="auto"/>
          <w:sz w:val="24"/>
          <w:szCs w:val="24"/>
          <w:highlight w:val="none"/>
        </w:rPr>
      </w:pPr>
      <w:bookmarkStart w:id="750" w:name="_Toc28359017"/>
      <w:bookmarkStart w:id="751" w:name="_Toc35393634"/>
      <w:bookmarkStart w:id="752" w:name="_Toc28359094"/>
      <w:bookmarkStart w:id="753" w:name="_Toc35393803"/>
      <w:bookmarkStart w:id="754" w:name="_Toc25583"/>
      <w:r>
        <w:rPr>
          <w:rFonts w:hint="eastAsia" w:asciiTheme="minorEastAsia" w:hAnsiTheme="minorEastAsia" w:eastAsiaTheme="minorEastAsia" w:cstheme="minorEastAsia"/>
          <w:b/>
          <w:bCs/>
          <w:color w:val="auto"/>
          <w:sz w:val="24"/>
          <w:szCs w:val="24"/>
          <w:highlight w:val="none"/>
        </w:rPr>
        <w:t>六、公告期限</w:t>
      </w:r>
      <w:bookmarkEnd w:id="750"/>
      <w:bookmarkEnd w:id="751"/>
      <w:bookmarkEnd w:id="752"/>
      <w:bookmarkEnd w:id="753"/>
      <w:bookmarkEnd w:id="754"/>
    </w:p>
    <w:p w14:paraId="3D7178B3">
      <w:pPr>
        <w:pageBreakBefore w:val="0"/>
        <w:widowControl w:val="0"/>
        <w:kinsoku/>
        <w:wordWrap/>
        <w:overflowPunct/>
        <w:topLinePunct w:val="0"/>
        <w:bidi w:val="0"/>
        <w:snapToGrid/>
        <w:spacing w:line="3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自本公告发布之日起</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个工作日。</w:t>
      </w:r>
    </w:p>
    <w:p w14:paraId="0A0A885B">
      <w:pPr>
        <w:pageBreakBefore w:val="0"/>
        <w:widowControl w:val="0"/>
        <w:numPr>
          <w:ilvl w:val="0"/>
          <w:numId w:val="0"/>
        </w:numPr>
        <w:shd w:val="clear" w:color="auto" w:fill="auto"/>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七、其他补充事项</w:t>
      </w:r>
    </w:p>
    <w:p w14:paraId="4528CF97">
      <w:pPr>
        <w:pStyle w:val="33"/>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5CA902DB">
      <w:pPr>
        <w:pStyle w:val="33"/>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2.本项目实行网上投标，采用电子</w:t>
      </w:r>
      <w:r>
        <w:rPr>
          <w:rFonts w:hint="eastAsia" w:asciiTheme="minorEastAsia" w:hAnsiTheme="minorEastAsia" w:eastAsiaTheme="minorEastAsia" w:cstheme="minorEastAsia"/>
          <w:b w:val="0"/>
          <w:bCs w:val="0"/>
          <w:color w:val="auto"/>
          <w:kern w:val="0"/>
          <w:sz w:val="24"/>
          <w:szCs w:val="24"/>
          <w:highlight w:val="none"/>
          <w:lang w:eastAsia="zh-CN"/>
        </w:rPr>
        <w:t>响应文件</w:t>
      </w:r>
      <w:r>
        <w:rPr>
          <w:rFonts w:hint="eastAsia" w:asciiTheme="minorEastAsia" w:hAnsiTheme="minorEastAsia" w:eastAsiaTheme="minorEastAsia" w:cstheme="minorEastAsia"/>
          <w:b w:val="0"/>
          <w:bCs w:val="0"/>
          <w:color w:val="auto"/>
          <w:kern w:val="0"/>
          <w:sz w:val="24"/>
          <w:szCs w:val="24"/>
          <w:highlight w:val="none"/>
        </w:rPr>
        <w:t>(供应商须使用CA加密设备通过政采云电子投标客户端制作</w:t>
      </w:r>
      <w:r>
        <w:rPr>
          <w:rFonts w:hint="eastAsia" w:asciiTheme="minorEastAsia" w:hAnsiTheme="minorEastAsia" w:eastAsiaTheme="minorEastAsia" w:cstheme="minorEastAsia"/>
          <w:b w:val="0"/>
          <w:bCs w:val="0"/>
          <w:color w:val="auto"/>
          <w:kern w:val="0"/>
          <w:sz w:val="24"/>
          <w:szCs w:val="24"/>
          <w:highlight w:val="none"/>
          <w:lang w:eastAsia="zh-CN"/>
        </w:rPr>
        <w:t>响应文件</w:t>
      </w:r>
      <w:r>
        <w:rPr>
          <w:rFonts w:hint="eastAsia" w:asciiTheme="minorEastAsia" w:hAnsiTheme="minorEastAsia" w:eastAsiaTheme="minorEastAsia" w:cstheme="minorEastAsia"/>
          <w:b w:val="0"/>
          <w:bCs w:val="0"/>
          <w:color w:val="auto"/>
          <w:kern w:val="0"/>
          <w:sz w:val="24"/>
          <w:szCs w:val="24"/>
          <w:highlight w:val="none"/>
        </w:rPr>
        <w:t>)。若供应商参与投标，自行承担投标一切费用。</w:t>
      </w:r>
    </w:p>
    <w:p w14:paraId="56277F56">
      <w:pPr>
        <w:pStyle w:val="33"/>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391DBB02">
      <w:pPr>
        <w:pStyle w:val="33"/>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4.供应商将政采云电子交易客户端下载、安装完成后，可通过账号密码或CA登录客户端进行</w:t>
      </w:r>
      <w:r>
        <w:rPr>
          <w:rFonts w:hint="eastAsia" w:asciiTheme="minorEastAsia" w:hAnsiTheme="minorEastAsia" w:eastAsiaTheme="minorEastAsia" w:cstheme="minorEastAsia"/>
          <w:b w:val="0"/>
          <w:bCs w:val="0"/>
          <w:color w:val="auto"/>
          <w:kern w:val="0"/>
          <w:sz w:val="24"/>
          <w:szCs w:val="24"/>
          <w:highlight w:val="none"/>
          <w:lang w:eastAsia="zh-CN"/>
        </w:rPr>
        <w:t>响应文件</w:t>
      </w:r>
      <w:r>
        <w:rPr>
          <w:rFonts w:hint="eastAsia" w:asciiTheme="minorEastAsia" w:hAnsiTheme="minorEastAsia" w:eastAsiaTheme="minorEastAsia" w:cstheme="minorEastAsia"/>
          <w:b w:val="0"/>
          <w:bCs w:val="0"/>
          <w:color w:val="auto"/>
          <w:kern w:val="0"/>
          <w:sz w:val="24"/>
          <w:szCs w:val="24"/>
          <w:highlight w:val="none"/>
        </w:rPr>
        <w:t>制作。在使用政采云投标客户端时，建议使用WIN7及以上操作系统。客户端请至新疆政府采购网（http://www.ccgp-xinjiang.gov.cn/）下载专区查看，如有问题可拨打政采云客户服务热线95763进行咨询。</w:t>
      </w:r>
    </w:p>
    <w:p w14:paraId="7B857617">
      <w:pPr>
        <w:pStyle w:val="33"/>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5.供应商在开标时须使用制作加密电子</w:t>
      </w:r>
      <w:r>
        <w:rPr>
          <w:rFonts w:hint="eastAsia" w:asciiTheme="minorEastAsia" w:hAnsiTheme="minorEastAsia" w:eastAsiaTheme="minorEastAsia" w:cstheme="minorEastAsia"/>
          <w:b w:val="0"/>
          <w:bCs w:val="0"/>
          <w:color w:val="auto"/>
          <w:kern w:val="0"/>
          <w:sz w:val="24"/>
          <w:szCs w:val="24"/>
          <w:highlight w:val="none"/>
          <w:lang w:eastAsia="zh-CN"/>
        </w:rPr>
        <w:t>响应文件</w:t>
      </w:r>
      <w:r>
        <w:rPr>
          <w:rFonts w:hint="eastAsia" w:asciiTheme="minorEastAsia" w:hAnsiTheme="minorEastAsia" w:eastAsiaTheme="minorEastAsia" w:cstheme="minorEastAsia"/>
          <w:b w:val="0"/>
          <w:bCs w:val="0"/>
          <w:color w:val="auto"/>
          <w:kern w:val="0"/>
          <w:sz w:val="24"/>
          <w:szCs w:val="24"/>
          <w:highlight w:val="none"/>
        </w:rPr>
        <w:t>所使用的CA锁及电脑，电脑须提前配置好浏览器（建议使用谷歌浏览器），以便开标时解锁。</w:t>
      </w:r>
    </w:p>
    <w:p w14:paraId="2D3C3E0F">
      <w:pPr>
        <w:pStyle w:val="33"/>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6.</w:t>
      </w:r>
      <w:r>
        <w:rPr>
          <w:rFonts w:hint="eastAsia" w:asciiTheme="minorEastAsia" w:hAnsiTheme="minorEastAsia" w:eastAsiaTheme="minorEastAsia" w:cstheme="minorEastAsia"/>
          <w:b w:val="0"/>
          <w:bCs w:val="0"/>
          <w:color w:val="auto"/>
          <w:kern w:val="0"/>
          <w:sz w:val="24"/>
          <w:szCs w:val="24"/>
          <w:highlight w:val="none"/>
          <w:lang w:eastAsia="zh-CN"/>
        </w:rPr>
        <w:t>响应保证金</w:t>
      </w:r>
      <w:r>
        <w:rPr>
          <w:rFonts w:hint="eastAsia" w:asciiTheme="minorEastAsia" w:hAnsiTheme="minorEastAsia" w:eastAsiaTheme="minorEastAsia" w:cstheme="minorEastAsia"/>
          <w:b w:val="0"/>
          <w:bCs w:val="0"/>
          <w:color w:val="auto"/>
          <w:kern w:val="0"/>
          <w:sz w:val="24"/>
          <w:szCs w:val="24"/>
          <w:highlight w:val="none"/>
        </w:rPr>
        <w:t>缴纳及确认时间：凡拟参加本次</w:t>
      </w:r>
      <w:r>
        <w:rPr>
          <w:rFonts w:hint="eastAsia" w:asciiTheme="minorEastAsia" w:hAnsiTheme="minorEastAsia" w:eastAsiaTheme="minorEastAsia" w:cstheme="minorEastAsia"/>
          <w:b w:val="0"/>
          <w:bCs w:val="0"/>
          <w:color w:val="auto"/>
          <w:kern w:val="0"/>
          <w:sz w:val="24"/>
          <w:szCs w:val="24"/>
          <w:highlight w:val="none"/>
          <w:lang w:eastAsia="zh-CN"/>
        </w:rPr>
        <w:t>谈判</w:t>
      </w:r>
      <w:r>
        <w:rPr>
          <w:rFonts w:hint="eastAsia" w:asciiTheme="minorEastAsia" w:hAnsiTheme="minorEastAsia" w:eastAsiaTheme="minorEastAsia" w:cstheme="minorEastAsia"/>
          <w:b w:val="0"/>
          <w:bCs w:val="0"/>
          <w:color w:val="auto"/>
          <w:kern w:val="0"/>
          <w:sz w:val="24"/>
          <w:szCs w:val="24"/>
          <w:highlight w:val="none"/>
        </w:rPr>
        <w:t>项目的供应商，必须在开标前将</w:t>
      </w:r>
      <w:r>
        <w:rPr>
          <w:rFonts w:hint="eastAsia" w:asciiTheme="minorEastAsia" w:hAnsiTheme="minorEastAsia" w:eastAsiaTheme="minorEastAsia" w:cstheme="minorEastAsia"/>
          <w:b w:val="0"/>
          <w:bCs w:val="0"/>
          <w:color w:val="auto"/>
          <w:kern w:val="0"/>
          <w:sz w:val="24"/>
          <w:szCs w:val="24"/>
          <w:highlight w:val="none"/>
          <w:lang w:eastAsia="zh-CN"/>
        </w:rPr>
        <w:t>响应保证金</w:t>
      </w:r>
      <w:r>
        <w:rPr>
          <w:rFonts w:hint="eastAsia" w:asciiTheme="minorEastAsia" w:hAnsiTheme="minorEastAsia" w:eastAsiaTheme="minorEastAsia" w:cstheme="minorEastAsia"/>
          <w:b w:val="0"/>
          <w:bCs w:val="0"/>
          <w:color w:val="auto"/>
          <w:kern w:val="0"/>
          <w:sz w:val="24"/>
          <w:szCs w:val="24"/>
          <w:highlight w:val="none"/>
        </w:rPr>
        <w:t>汇入指定账户。</w:t>
      </w:r>
      <w:r>
        <w:rPr>
          <w:rFonts w:hint="eastAsia" w:asciiTheme="minorEastAsia" w:hAnsiTheme="minorEastAsia" w:eastAsiaTheme="minorEastAsia" w:cstheme="minorEastAsia"/>
          <w:b w:val="0"/>
          <w:bCs w:val="0"/>
          <w:color w:val="auto"/>
          <w:kern w:val="0"/>
          <w:sz w:val="24"/>
          <w:szCs w:val="24"/>
          <w:highlight w:val="none"/>
          <w:lang w:eastAsia="zh-CN"/>
        </w:rPr>
        <w:t>响应保证金</w:t>
      </w:r>
      <w:r>
        <w:rPr>
          <w:rFonts w:hint="eastAsia" w:asciiTheme="minorEastAsia" w:hAnsiTheme="minorEastAsia" w:eastAsiaTheme="minorEastAsia" w:cstheme="minorEastAsia"/>
          <w:b w:val="0"/>
          <w:bCs w:val="0"/>
          <w:color w:val="auto"/>
          <w:kern w:val="0"/>
          <w:sz w:val="24"/>
          <w:szCs w:val="24"/>
          <w:highlight w:val="none"/>
        </w:rPr>
        <w:t>汇款凭证上用途栏应注明:</w:t>
      </w:r>
      <w:r>
        <w:rPr>
          <w:rFonts w:hint="eastAsia" w:asciiTheme="minorEastAsia" w:hAnsiTheme="minorEastAsia" w:eastAsiaTheme="minorEastAsia" w:cstheme="minorEastAsia"/>
          <w:b w:val="0"/>
          <w:bCs w:val="0"/>
          <w:color w:val="auto"/>
          <w:kern w:val="0"/>
          <w:sz w:val="24"/>
          <w:szCs w:val="24"/>
          <w:highlight w:val="none"/>
          <w:lang w:eastAsia="zh-CN"/>
        </w:rPr>
        <w:t>谈判</w:t>
      </w:r>
      <w:r>
        <w:rPr>
          <w:rFonts w:hint="eastAsia" w:asciiTheme="minorEastAsia" w:hAnsiTheme="minorEastAsia" w:eastAsiaTheme="minorEastAsia" w:cstheme="minorEastAsia"/>
          <w:b w:val="0"/>
          <w:bCs w:val="0"/>
          <w:color w:val="auto"/>
          <w:kern w:val="0"/>
          <w:sz w:val="24"/>
          <w:szCs w:val="24"/>
          <w:highlight w:val="none"/>
        </w:rPr>
        <w:t>项目名称+标项号+</w:t>
      </w:r>
      <w:r>
        <w:rPr>
          <w:rFonts w:hint="eastAsia" w:asciiTheme="minorEastAsia" w:hAnsiTheme="minorEastAsia" w:eastAsiaTheme="minorEastAsia" w:cstheme="minorEastAsia"/>
          <w:b w:val="0"/>
          <w:bCs w:val="0"/>
          <w:color w:val="auto"/>
          <w:kern w:val="0"/>
          <w:sz w:val="24"/>
          <w:szCs w:val="24"/>
          <w:highlight w:val="none"/>
          <w:lang w:eastAsia="zh-CN"/>
        </w:rPr>
        <w:t>响应保证金</w:t>
      </w:r>
      <w:r>
        <w:rPr>
          <w:rFonts w:hint="eastAsia" w:asciiTheme="minorEastAsia" w:hAnsiTheme="minorEastAsia" w:eastAsiaTheme="minorEastAsia" w:cstheme="minorEastAsia"/>
          <w:b w:val="0"/>
          <w:bCs w:val="0"/>
          <w:color w:val="auto"/>
          <w:kern w:val="0"/>
          <w:sz w:val="24"/>
          <w:szCs w:val="24"/>
          <w:highlight w:val="none"/>
        </w:rPr>
        <w:t>。否则，届时其投标将被拒绝。</w:t>
      </w:r>
    </w:p>
    <w:p w14:paraId="7528143D">
      <w:pPr>
        <w:pStyle w:val="33"/>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78BF6F8F">
      <w:pPr>
        <w:pStyle w:val="33"/>
        <w:pageBreakBefore w:val="0"/>
        <w:kinsoku/>
        <w:wordWrap/>
        <w:overflowPunct/>
        <w:topLinePunct w:val="0"/>
        <w:autoSpaceDE/>
        <w:autoSpaceDN/>
        <w:bidi w:val="0"/>
        <w:adjustRightInd/>
        <w:spacing w:line="360" w:lineRule="exact"/>
        <w:ind w:firstLine="482" w:firstLineChars="200"/>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特别提示：</w:t>
      </w:r>
    </w:p>
    <w:p w14:paraId="7D58E349">
      <w:pPr>
        <w:pStyle w:val="33"/>
        <w:keepNext w:val="0"/>
        <w:keepLines w:val="0"/>
        <w:pageBreakBefore w:val="0"/>
        <w:widowControl w:val="0"/>
        <w:kinsoku/>
        <w:wordWrap/>
        <w:overflowPunct/>
        <w:topLinePunct w:val="0"/>
        <w:autoSpaceDE/>
        <w:autoSpaceDN/>
        <w:bidi w:val="0"/>
        <w:adjustRightInd/>
        <w:spacing w:line="30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1、采购限额标准以上，200万元以下的货物和服务采购项目、400万元以下的工程采购项目，适宜由中小企业提供的，采购人应当专门面向中小企业采购。</w:t>
      </w:r>
    </w:p>
    <w:p w14:paraId="2F14C2CE">
      <w:pPr>
        <w:pStyle w:val="33"/>
        <w:keepNext w:val="0"/>
        <w:keepLines w:val="0"/>
        <w:pageBreakBefore w:val="0"/>
        <w:widowControl w:val="0"/>
        <w:kinsoku/>
        <w:wordWrap/>
        <w:overflowPunct/>
        <w:topLinePunct w:val="0"/>
        <w:autoSpaceDE/>
        <w:autoSpaceDN/>
        <w:bidi w:val="0"/>
        <w:adjustRightInd/>
        <w:spacing w:line="30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2、超过200万元的货物和服务采购项目，预留该部分采购项目预算总额的30%以上专门面向中小企业采购，其中预留给小微企业的比例不低于60%。</w:t>
      </w:r>
    </w:p>
    <w:p w14:paraId="4783F335">
      <w:pPr>
        <w:pStyle w:val="33"/>
        <w:keepNext w:val="0"/>
        <w:keepLines w:val="0"/>
        <w:pageBreakBefore w:val="0"/>
        <w:widowControl w:val="0"/>
        <w:kinsoku/>
        <w:wordWrap/>
        <w:overflowPunct/>
        <w:topLinePunct w:val="0"/>
        <w:autoSpaceDE/>
        <w:autoSpaceDN/>
        <w:bidi w:val="0"/>
        <w:adjustRightInd/>
        <w:spacing w:line="30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3、超过400万元的工程采购项目中适宜由中小企业提供的，预留该部分采购项目预算总额的40%以上专门面向中小企业采购，其中预留给小微企业的比例不低于60%。</w:t>
      </w:r>
    </w:p>
    <w:p w14:paraId="594B7A51">
      <w:pPr>
        <w:pStyle w:val="33"/>
        <w:keepNext w:val="0"/>
        <w:keepLines w:val="0"/>
        <w:pageBreakBefore w:val="0"/>
        <w:widowControl w:val="0"/>
        <w:kinsoku/>
        <w:wordWrap/>
        <w:overflowPunct/>
        <w:topLinePunct w:val="0"/>
        <w:autoSpaceDE/>
        <w:autoSpaceDN/>
        <w:bidi w:val="0"/>
        <w:adjustRightInd/>
        <w:spacing w:line="30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4、对于未预留份额专门面向中小企业的采购项目，以及预留份额项目中的非预留部分采购包，采购人、采购代理机构应当对符合规定的小微企业报价给予10%~20%（工程项目为3%~5%）的扣除，用扣除后的价格参加评标。适用招标投标法的政府采购工程建设项目，采用综合评估法但未采用低价优先法计算价格分的，评标时应当在采用原报价进行评分的基础上增加其价格得分的3%~5%作为其价格分。</w:t>
      </w:r>
    </w:p>
    <w:p w14:paraId="6E3BF677">
      <w:pPr>
        <w:keepNext w:val="0"/>
        <w:keepLines w:val="0"/>
        <w:pageBreakBefore w:val="0"/>
        <w:widowControl w:val="0"/>
        <w:kinsoku/>
        <w:wordWrap/>
        <w:overflowPunct/>
        <w:topLinePunct w:val="0"/>
        <w:autoSpaceDE/>
        <w:autoSpaceDN/>
        <w:bidi w:val="0"/>
        <w:adjustRightInd/>
        <w:snapToGrid/>
        <w:spacing w:line="300" w:lineRule="exact"/>
        <w:ind w:left="0" w:leftChars="0"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标。适用招标投标法的政府采购工程建设项目，采用综合评估法但未采用低价优先法计算价格分的，评标时应当在采用原报价进行评分的基础上增加其价格得分的1%~2%作为其价格分。</w:t>
      </w:r>
    </w:p>
    <w:p w14:paraId="15FE5013">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八</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凡</w:t>
      </w:r>
      <w:r>
        <w:rPr>
          <w:rFonts w:hint="eastAsia" w:asciiTheme="minorEastAsia" w:hAnsiTheme="minorEastAsia" w:eastAsiaTheme="minorEastAsia" w:cstheme="minorEastAsia"/>
          <w:b/>
          <w:bCs/>
          <w:color w:val="auto"/>
          <w:sz w:val="24"/>
          <w:szCs w:val="24"/>
          <w:highlight w:val="none"/>
        </w:rPr>
        <w:t>对本次</w:t>
      </w:r>
      <w:r>
        <w:rPr>
          <w:rFonts w:hint="eastAsia" w:asciiTheme="minorEastAsia" w:hAnsiTheme="minorEastAsia" w:eastAsiaTheme="minorEastAsia" w:cstheme="minorEastAsia"/>
          <w:b/>
          <w:bCs/>
          <w:color w:val="auto"/>
          <w:sz w:val="24"/>
          <w:szCs w:val="24"/>
          <w:highlight w:val="none"/>
          <w:lang w:eastAsia="zh-CN"/>
        </w:rPr>
        <w:t>采购</w:t>
      </w:r>
      <w:r>
        <w:rPr>
          <w:rFonts w:hint="eastAsia" w:asciiTheme="minorEastAsia" w:hAnsiTheme="minorEastAsia" w:eastAsiaTheme="minorEastAsia" w:cstheme="minorEastAsia"/>
          <w:b/>
          <w:bCs/>
          <w:color w:val="auto"/>
          <w:sz w:val="24"/>
          <w:szCs w:val="24"/>
          <w:highlight w:val="none"/>
        </w:rPr>
        <w:t>提出询问，请按以下方式联系</w:t>
      </w:r>
    </w:p>
    <w:p w14:paraId="0123FD17">
      <w:pPr>
        <w:pStyle w:val="33"/>
        <w:pageBreakBefore w:val="0"/>
        <w:kinsoku/>
        <w:wordWrap/>
        <w:overflowPunct/>
        <w:topLinePunct w:val="0"/>
        <w:autoSpaceDE/>
        <w:autoSpaceDN/>
        <w:bidi w:val="0"/>
        <w:adjustRightInd/>
        <w:spacing w:line="380" w:lineRule="exact"/>
        <w:ind w:firstLine="480" w:firstLineChars="20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755" w:name="_Toc29496"/>
      <w:r>
        <w:rPr>
          <w:rFonts w:hint="eastAsia" w:asciiTheme="minorEastAsia" w:hAnsiTheme="minorEastAsia" w:eastAsiaTheme="minorEastAsia" w:cstheme="minorEastAsia"/>
          <w:b w:val="0"/>
          <w:bCs/>
          <w:color w:val="auto"/>
          <w:kern w:val="2"/>
          <w:sz w:val="24"/>
          <w:szCs w:val="24"/>
          <w:highlight w:val="none"/>
          <w:lang w:val="en-US" w:eastAsia="zh-CN" w:bidi="ar-SA"/>
        </w:rPr>
        <w:t>1.采购人信息</w:t>
      </w:r>
      <w:bookmarkStart w:id="756" w:name="_Toc29470"/>
      <w:bookmarkStart w:id="757" w:name="_Toc28359020"/>
      <w:bookmarkStart w:id="758" w:name="_Toc35393638"/>
      <w:bookmarkStart w:id="759" w:name="_Toc35393807"/>
      <w:bookmarkStart w:id="760" w:name="_Toc28359097"/>
    </w:p>
    <w:bookmarkEnd w:id="756"/>
    <w:p w14:paraId="11D989D3">
      <w:pPr>
        <w:pageBreakBefore w:val="0"/>
        <w:kinsoku/>
        <w:wordWrap/>
        <w:overflowPunct/>
        <w:topLinePunct w:val="0"/>
        <w:autoSpaceDE/>
        <w:autoSpaceDN/>
        <w:bidi w:val="0"/>
        <w:adjustRightInd/>
        <w:spacing w:before="0" w:line="380" w:lineRule="exact"/>
        <w:ind w:firstLine="480" w:firstLineChars="200"/>
        <w:jc w:val="left"/>
        <w:textAlignment w:val="auto"/>
        <w:outlineLvl w:val="9"/>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761" w:name="_Toc24525"/>
      <w:bookmarkStart w:id="762" w:name="_Toc1170"/>
      <w:r>
        <w:rPr>
          <w:rFonts w:hint="eastAsia" w:asciiTheme="minorEastAsia" w:hAnsiTheme="minorEastAsia" w:eastAsiaTheme="minorEastAsia" w:cstheme="minorEastAsia"/>
          <w:b w:val="0"/>
          <w:bCs/>
          <w:color w:val="auto"/>
          <w:kern w:val="2"/>
          <w:sz w:val="24"/>
          <w:szCs w:val="24"/>
          <w:highlight w:val="none"/>
          <w:lang w:val="en-US" w:eastAsia="zh-CN" w:bidi="ar-SA"/>
        </w:rPr>
        <w:t>采购人名称：莎车县市场监督管理局</w:t>
      </w:r>
    </w:p>
    <w:p w14:paraId="10CA9881">
      <w:pPr>
        <w:pageBreakBefore w:val="0"/>
        <w:kinsoku/>
        <w:wordWrap/>
        <w:overflowPunct/>
        <w:topLinePunct w:val="0"/>
        <w:autoSpaceDE/>
        <w:autoSpaceDN/>
        <w:bidi w:val="0"/>
        <w:adjustRightInd/>
        <w:spacing w:before="0" w:line="380" w:lineRule="exact"/>
        <w:ind w:firstLine="480" w:firstLineChars="200"/>
        <w:jc w:val="left"/>
        <w:textAlignment w:val="auto"/>
        <w:outlineLvl w:val="9"/>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地    址：莎车县</w:t>
      </w:r>
    </w:p>
    <w:p w14:paraId="4F87D566">
      <w:pPr>
        <w:pageBreakBefore w:val="0"/>
        <w:kinsoku/>
        <w:wordWrap/>
        <w:overflowPunct/>
        <w:topLinePunct w:val="0"/>
        <w:autoSpaceDE/>
        <w:autoSpaceDN/>
        <w:bidi w:val="0"/>
        <w:adjustRightInd/>
        <w:spacing w:before="0" w:line="380" w:lineRule="exact"/>
        <w:ind w:firstLine="480" w:firstLineChars="200"/>
        <w:jc w:val="left"/>
        <w:textAlignment w:val="auto"/>
        <w:outlineLvl w:val="9"/>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联 系 电 话：15001471701</w:t>
      </w:r>
    </w:p>
    <w:p w14:paraId="45C7475A">
      <w:pPr>
        <w:pageBreakBefore w:val="0"/>
        <w:kinsoku/>
        <w:wordWrap/>
        <w:overflowPunct/>
        <w:topLinePunct w:val="0"/>
        <w:autoSpaceDE/>
        <w:autoSpaceDN/>
        <w:bidi w:val="0"/>
        <w:adjustRightInd/>
        <w:spacing w:before="0" w:line="380" w:lineRule="exact"/>
        <w:ind w:firstLine="480" w:firstLineChars="200"/>
        <w:jc w:val="left"/>
        <w:textAlignment w:val="auto"/>
        <w:outlineLvl w:val="9"/>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2.采购代理机构信息</w:t>
      </w:r>
      <w:bookmarkEnd w:id="757"/>
      <w:bookmarkEnd w:id="758"/>
      <w:bookmarkEnd w:id="759"/>
      <w:bookmarkEnd w:id="760"/>
      <w:bookmarkEnd w:id="761"/>
      <w:bookmarkEnd w:id="762"/>
    </w:p>
    <w:p w14:paraId="05735C77">
      <w:pPr>
        <w:pStyle w:val="33"/>
        <w:pageBreakBefore w:val="0"/>
        <w:kinsoku/>
        <w:wordWrap/>
        <w:overflowPunct/>
        <w:topLinePunct w:val="0"/>
        <w:autoSpaceDE/>
        <w:autoSpaceDN/>
        <w:bidi w:val="0"/>
        <w:adjustRightInd/>
        <w:spacing w:line="380" w:lineRule="exact"/>
        <w:ind w:firstLine="480" w:firstLineChars="20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名 称：新疆万士和项目管理有限公司</w:t>
      </w:r>
    </w:p>
    <w:p w14:paraId="746F1F6D">
      <w:pPr>
        <w:pStyle w:val="33"/>
        <w:pageBreakBefore w:val="0"/>
        <w:kinsoku/>
        <w:wordWrap/>
        <w:overflowPunct/>
        <w:topLinePunct w:val="0"/>
        <w:autoSpaceDE/>
        <w:autoSpaceDN/>
        <w:bidi w:val="0"/>
        <w:adjustRightInd/>
        <w:spacing w:line="380" w:lineRule="exact"/>
        <w:ind w:firstLine="480" w:firstLineChars="20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地 址：新疆喀什市帕依纳普路 251 号 1 栋 07 号（709 室-712室）</w:t>
      </w:r>
    </w:p>
    <w:p w14:paraId="3B51EBC5">
      <w:pPr>
        <w:pStyle w:val="33"/>
        <w:pageBreakBefore w:val="0"/>
        <w:kinsoku/>
        <w:wordWrap/>
        <w:overflowPunct/>
        <w:topLinePunct w:val="0"/>
        <w:autoSpaceDE/>
        <w:autoSpaceDN/>
        <w:bidi w:val="0"/>
        <w:adjustRightInd/>
        <w:spacing w:line="380" w:lineRule="exact"/>
        <w:ind w:firstLine="480" w:firstLineChars="20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联 系 人：麦热丹·麦麦提　</w:t>
      </w:r>
    </w:p>
    <w:p w14:paraId="385E75A5">
      <w:pPr>
        <w:pStyle w:val="33"/>
        <w:pageBreakBefore w:val="0"/>
        <w:kinsoku/>
        <w:wordWrap/>
        <w:overflowPunct/>
        <w:topLinePunct w:val="0"/>
        <w:autoSpaceDE/>
        <w:autoSpaceDN/>
        <w:bidi w:val="0"/>
        <w:adjustRightInd/>
        <w:spacing w:line="380" w:lineRule="exact"/>
        <w:ind w:firstLine="480" w:firstLineChars="200"/>
        <w:textAlignment w:val="auto"/>
        <w:rPr>
          <w:rFonts w:hint="eastAsia" w:asciiTheme="minorEastAsia" w:hAnsiTheme="minorEastAsia" w:eastAsiaTheme="minorEastAsia" w:cstheme="minorEastAsia"/>
          <w:b/>
          <w:bCs w:val="0"/>
          <w:color w:val="auto"/>
          <w:sz w:val="28"/>
          <w:szCs w:val="28"/>
          <w:highlight w:val="none"/>
          <w:lang w:val="en-US" w:eastAsia="zh-CN"/>
        </w:rPr>
      </w:pPr>
      <w:r>
        <w:rPr>
          <w:rFonts w:hint="eastAsia" w:asciiTheme="minorEastAsia" w:hAnsiTheme="minorEastAsia" w:eastAsiaTheme="minorEastAsia" w:cstheme="minorEastAsia"/>
          <w:b w:val="0"/>
          <w:bCs/>
          <w:color w:val="auto"/>
          <w:kern w:val="2"/>
          <w:sz w:val="24"/>
          <w:szCs w:val="24"/>
          <w:highlight w:val="none"/>
          <w:lang w:val="en-US" w:eastAsia="zh-CN" w:bidi="ar-SA"/>
        </w:rPr>
        <w:t>联系电话：13565380155</w:t>
      </w:r>
      <w:r>
        <w:rPr>
          <w:rFonts w:hint="eastAsia" w:asciiTheme="minorEastAsia" w:hAnsiTheme="minorEastAsia" w:eastAsiaTheme="minorEastAsia" w:cstheme="minorEastAsia"/>
          <w:b w:val="0"/>
          <w:bCs/>
          <w:color w:val="auto"/>
          <w:kern w:val="2"/>
          <w:sz w:val="24"/>
          <w:szCs w:val="24"/>
          <w:highlight w:val="none"/>
          <w:lang w:val="en-US" w:eastAsia="zh-CN" w:bidi="ar-SA"/>
        </w:rPr>
        <w:br w:type="page"/>
      </w:r>
    </w:p>
    <w:p w14:paraId="45BA1742">
      <w:pPr>
        <w:pStyle w:val="2"/>
        <w:bidi w:val="0"/>
        <w:rPr>
          <w:rFonts w:hint="eastAsia" w:asciiTheme="minorEastAsia" w:hAnsiTheme="minorEastAsia" w:eastAsiaTheme="minorEastAsia" w:cstheme="minorEastAsia"/>
          <w:b/>
          <w:bCs w:val="0"/>
          <w:color w:val="auto"/>
          <w:sz w:val="28"/>
          <w:szCs w:val="28"/>
          <w:highlight w:val="none"/>
          <w:lang w:val="en-US" w:eastAsia="zh-CN"/>
        </w:rPr>
      </w:pPr>
      <w:r>
        <w:rPr>
          <w:rFonts w:hint="eastAsia" w:asciiTheme="minorEastAsia" w:hAnsiTheme="minorEastAsia" w:eastAsiaTheme="minorEastAsia" w:cstheme="minorEastAsia"/>
          <w:b/>
          <w:bCs w:val="0"/>
          <w:color w:val="auto"/>
          <w:sz w:val="28"/>
          <w:szCs w:val="28"/>
          <w:highlight w:val="none"/>
          <w:lang w:val="en-US" w:eastAsia="zh-CN"/>
        </w:rPr>
        <w:t>第4章  供应商须知资料表</w:t>
      </w:r>
      <w:bookmarkEnd w:id="755"/>
    </w:p>
    <w:p w14:paraId="7EE97A28">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 本表是本次谈判项目的具体资料，是对供应商须知的具体补充和修改，如有矛盾，应以本资料表为准。</w:t>
      </w:r>
    </w:p>
    <w:tbl>
      <w:tblPr>
        <w:tblStyle w:val="44"/>
        <w:tblW w:w="97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34"/>
        <w:gridCol w:w="8389"/>
      </w:tblGrid>
      <w:tr w14:paraId="1400BD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34" w:type="dxa"/>
            <w:noWrap w:val="0"/>
            <w:vAlign w:val="center"/>
          </w:tcPr>
          <w:p w14:paraId="190A76D6">
            <w:pPr>
              <w:pageBreakBefore w:val="0"/>
              <w:kinsoku/>
              <w:wordWrap/>
              <w:overflowPunct/>
              <w:topLinePunct w:val="0"/>
              <w:bidi w:val="0"/>
              <w:spacing w:line="500" w:lineRule="exact"/>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条款号</w:t>
            </w:r>
          </w:p>
        </w:tc>
        <w:tc>
          <w:tcPr>
            <w:tcW w:w="8389" w:type="dxa"/>
            <w:noWrap w:val="0"/>
            <w:vAlign w:val="center"/>
          </w:tcPr>
          <w:p w14:paraId="7A03CEC0">
            <w:pPr>
              <w:pageBreakBefore w:val="0"/>
              <w:kinsoku/>
              <w:wordWrap/>
              <w:overflowPunct/>
              <w:topLinePunct w:val="0"/>
              <w:bidi w:val="0"/>
              <w:spacing w:line="500" w:lineRule="exact"/>
              <w:ind w:hanging="54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内</w:t>
            </w:r>
            <w:r>
              <w:rPr>
                <w:rFonts w:hint="eastAsia" w:asciiTheme="minorEastAsia" w:hAnsiTheme="minorEastAsia" w:eastAsiaTheme="minorEastAsia" w:cstheme="minorEastAsia"/>
                <w:b w:val="0"/>
                <w:bCs/>
                <w:color w:val="auto"/>
                <w:sz w:val="24"/>
                <w:szCs w:val="24"/>
                <w:highlight w:val="none"/>
              </w:rPr>
              <w:t>容</w:t>
            </w:r>
          </w:p>
        </w:tc>
      </w:tr>
      <w:tr w14:paraId="3770D2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34" w:type="dxa"/>
            <w:noWrap w:val="0"/>
            <w:vAlign w:val="center"/>
          </w:tcPr>
          <w:p w14:paraId="00E1923F">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1.1</w:t>
            </w:r>
          </w:p>
        </w:tc>
        <w:tc>
          <w:tcPr>
            <w:tcW w:w="8389" w:type="dxa"/>
            <w:noWrap w:val="0"/>
            <w:vAlign w:val="center"/>
          </w:tcPr>
          <w:p w14:paraId="58421691">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采 购 人：莎车县市场监督管理局</w:t>
            </w:r>
          </w:p>
          <w:p w14:paraId="306D2E8A">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地      址：莎车县</w:t>
            </w:r>
          </w:p>
          <w:p w14:paraId="14C72068">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lang w:val="en-US"/>
              </w:rPr>
            </w:pPr>
            <w:r>
              <w:rPr>
                <w:rFonts w:hint="eastAsia" w:asciiTheme="minorEastAsia" w:hAnsiTheme="minorEastAsia" w:eastAsiaTheme="minorEastAsia" w:cstheme="minorEastAsia"/>
                <w:b w:val="0"/>
                <w:bCs/>
                <w:color w:val="auto"/>
                <w:sz w:val="24"/>
                <w:szCs w:val="24"/>
                <w:highlight w:val="none"/>
                <w:lang w:val="en-US" w:eastAsia="zh-CN"/>
              </w:rPr>
              <w:t>联 系 人：杨林                        电话：15001471701　</w:t>
            </w:r>
          </w:p>
        </w:tc>
      </w:tr>
      <w:tr w14:paraId="701AC5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34" w:type="dxa"/>
            <w:noWrap w:val="0"/>
            <w:vAlign w:val="center"/>
          </w:tcPr>
          <w:p w14:paraId="0F003350">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1.2</w:t>
            </w:r>
          </w:p>
        </w:tc>
        <w:tc>
          <w:tcPr>
            <w:tcW w:w="8389" w:type="dxa"/>
            <w:noWrap w:val="0"/>
            <w:vAlign w:val="center"/>
          </w:tcPr>
          <w:p w14:paraId="4A1B82C1">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代理机构：新疆万士和项目管理有限公司</w:t>
            </w:r>
          </w:p>
          <w:p w14:paraId="44D0A583">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地      址：新疆喀什市帕依纳普路 251 号 1 栋 07 号（709 室-712室） </w:t>
            </w:r>
          </w:p>
          <w:p w14:paraId="021A9765">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联 系 人：麦热丹·麦麦提              电话：13565380155</w:t>
            </w:r>
          </w:p>
        </w:tc>
      </w:tr>
      <w:tr w14:paraId="0BFC80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334" w:type="dxa"/>
            <w:noWrap w:val="0"/>
            <w:vAlign w:val="center"/>
          </w:tcPr>
          <w:p w14:paraId="5BA54826">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1.3.4</w:t>
            </w:r>
          </w:p>
        </w:tc>
        <w:tc>
          <w:tcPr>
            <w:tcW w:w="8389" w:type="dxa"/>
            <w:noWrap w:val="0"/>
            <w:vAlign w:val="center"/>
          </w:tcPr>
          <w:p w14:paraId="3647942A">
            <w:pPr>
              <w:keepNext w:val="0"/>
              <w:keepLines w:val="0"/>
              <w:pageBreakBefore w:val="0"/>
              <w:widowControl/>
              <w:shd w:val="clear" w:color="auto" w:fill="auto"/>
              <w:kinsoku/>
              <w:wordWrap/>
              <w:overflowPunct/>
              <w:topLinePunct w:val="0"/>
              <w:autoSpaceDE/>
              <w:autoSpaceDN/>
              <w:bidi w:val="0"/>
              <w:adjustRightInd/>
              <w:snapToGrid w:val="0"/>
              <w:spacing w:line="380" w:lineRule="exact"/>
              <w:jc w:val="left"/>
              <w:textAlignment w:val="baseline"/>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合格供应商的其他资格要求：</w:t>
            </w:r>
          </w:p>
          <w:p w14:paraId="1322FB41">
            <w:pPr>
              <w:pageBreakBefore w:val="0"/>
              <w:widowControl/>
              <w:kinsoku/>
              <w:wordWrap/>
              <w:overflowPunct/>
              <w:topLinePunct w:val="0"/>
              <w:bidi w:val="0"/>
              <w:snapToGrid w:val="0"/>
              <w:spacing w:line="400" w:lineRule="exact"/>
              <w:jc w:val="left"/>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1、符合《中华人民共和国政府采购法》第二十二条的规定；</w:t>
            </w:r>
          </w:p>
          <w:p w14:paraId="6EFD1311">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1．具有有效的营业执照；</w:t>
            </w:r>
          </w:p>
          <w:p w14:paraId="324CFCC3">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2．</w:t>
            </w:r>
            <w:r>
              <w:rPr>
                <w:rFonts w:hint="eastAsia" w:ascii="宋体" w:hAnsi="宋体" w:cs="宋体"/>
                <w:b w:val="0"/>
                <w:bCs/>
                <w:i w:val="0"/>
                <w:iCs w:val="0"/>
                <w:color w:val="auto"/>
                <w:kern w:val="2"/>
                <w:sz w:val="24"/>
                <w:szCs w:val="24"/>
                <w:highlight w:val="none"/>
                <w:lang w:val="en-US" w:eastAsia="zh-CN" w:bidi="ar-SA"/>
              </w:rPr>
              <w:t>法人本人投标需提供法人身份证明，委托代理人投标需提供法人授权委托书和身份证明</w:t>
            </w:r>
            <w:r>
              <w:rPr>
                <w:rFonts w:hint="eastAsia" w:asciiTheme="minorEastAsia" w:hAnsiTheme="minorEastAsia" w:eastAsiaTheme="minorEastAsia" w:cstheme="minorEastAsia"/>
                <w:b w:val="0"/>
                <w:bCs w:val="0"/>
                <w:color w:val="auto"/>
                <w:sz w:val="24"/>
                <w:szCs w:val="24"/>
                <w:highlight w:val="none"/>
              </w:rPr>
              <w:t>；</w:t>
            </w:r>
          </w:p>
          <w:p w14:paraId="229A372E">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3．依法缴纳近三个月任意一个月的社会保险的凭据；</w:t>
            </w:r>
          </w:p>
          <w:p w14:paraId="7E6D7285">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4．税务部门出具的近三个月任意一个月的完税证明（依法免缴的应提供依法免缴的相关证明文件或零申报报表）；</w:t>
            </w:r>
          </w:p>
          <w:p w14:paraId="5460E595">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5．提供2024年完整的财务审计报告（成立不满一年的可提供近三个月内任意一个月的银行资信证明）；</w:t>
            </w:r>
          </w:p>
          <w:p w14:paraId="7ABFB06D">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6．参与政府采购活动前3年内未被列入失信、重大税收违法案件、财政部门禁止参加政府采购活动的承诺书；</w:t>
            </w:r>
          </w:p>
          <w:p w14:paraId="13277989">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7．提供针对本次项目的反商业贿赂承诺书；</w:t>
            </w:r>
          </w:p>
          <w:p w14:paraId="254F6AD2">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8．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w:t>
            </w:r>
          </w:p>
          <w:p w14:paraId="23B24E7A">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9．提供</w:t>
            </w:r>
            <w:r>
              <w:rPr>
                <w:rFonts w:hint="eastAsia" w:asciiTheme="minorEastAsia" w:hAnsiTheme="minorEastAsia" w:eastAsiaTheme="minorEastAsia" w:cstheme="minorEastAsia"/>
                <w:b w:val="0"/>
                <w:bCs w:val="0"/>
                <w:color w:val="auto"/>
                <w:kern w:val="0"/>
                <w:sz w:val="24"/>
                <w:szCs w:val="24"/>
                <w:highlight w:val="none"/>
                <w:lang w:val="en-US" w:eastAsia="zh-CN" w:bidi="ar-SA"/>
              </w:rPr>
              <w:t>本项目中小企业声明函；</w:t>
            </w:r>
          </w:p>
          <w:p w14:paraId="12C85424">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lang w:val="en-US" w:eastAsia="zh-CN"/>
              </w:rPr>
              <w:t>10.响应保证金有效凭证</w:t>
            </w:r>
            <w:r>
              <w:rPr>
                <w:rFonts w:hint="eastAsia" w:asciiTheme="minorEastAsia" w:hAnsiTheme="minorEastAsia" w:eastAsiaTheme="minorEastAsia" w:cstheme="minorEastAsia"/>
                <w:b w:val="0"/>
                <w:bCs w:val="0"/>
                <w:sz w:val="24"/>
                <w:szCs w:val="24"/>
                <w:highlight w:val="none"/>
              </w:rPr>
              <w:t>。</w:t>
            </w:r>
          </w:p>
          <w:p w14:paraId="6763E842">
            <w:pPr>
              <w:pageBreakBefore w:val="0"/>
              <w:widowControl/>
              <w:kinsoku/>
              <w:wordWrap/>
              <w:overflowPunct/>
              <w:topLinePunct w:val="0"/>
              <w:bidi w:val="0"/>
              <w:snapToGrid w:val="0"/>
              <w:spacing w:line="400" w:lineRule="exact"/>
              <w:jc w:val="left"/>
              <w:textAlignment w:val="baseline"/>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注：1、完税证明中“税种”非养老保险、医疗保险、失业保险、工伤保险和生育保险。请各供应商注意！</w:t>
            </w:r>
          </w:p>
          <w:p w14:paraId="30091627">
            <w:pPr>
              <w:pageBreakBefore w:val="0"/>
              <w:widowControl/>
              <w:kinsoku/>
              <w:wordWrap/>
              <w:overflowPunct/>
              <w:topLinePunct w:val="0"/>
              <w:bidi w:val="0"/>
              <w:snapToGrid w:val="0"/>
              <w:spacing w:line="400" w:lineRule="exact"/>
              <w:jc w:val="left"/>
              <w:textAlignment w:val="baseline"/>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2、未通过资格审查的供应商不进入评标；</w:t>
            </w:r>
          </w:p>
          <w:p w14:paraId="72DA3156">
            <w:pPr>
              <w:keepNext w:val="0"/>
              <w:keepLines w:val="0"/>
              <w:pageBreakBefore w:val="0"/>
              <w:widowControl/>
              <w:shd w:val="clear" w:color="auto" w:fill="auto"/>
              <w:kinsoku/>
              <w:wordWrap/>
              <w:overflowPunct/>
              <w:topLinePunct w:val="0"/>
              <w:autoSpaceDE/>
              <w:autoSpaceDN/>
              <w:bidi w:val="0"/>
              <w:adjustRightInd/>
              <w:snapToGrid w:val="0"/>
              <w:spacing w:line="380" w:lineRule="exact"/>
              <w:jc w:val="left"/>
              <w:textAlignment w:val="baseline"/>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3、上述资质能够通过官方网络查证的，均视为合格供应商。</w:t>
            </w:r>
          </w:p>
        </w:tc>
      </w:tr>
      <w:tr w14:paraId="1E1DD0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34" w:type="dxa"/>
            <w:noWrap w:val="0"/>
            <w:vAlign w:val="center"/>
          </w:tcPr>
          <w:p w14:paraId="7204F340">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1.3.5   </w:t>
            </w:r>
          </w:p>
        </w:tc>
        <w:tc>
          <w:tcPr>
            <w:tcW w:w="8389" w:type="dxa"/>
            <w:noWrap w:val="0"/>
            <w:vAlign w:val="center"/>
          </w:tcPr>
          <w:p w14:paraId="524D7994">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i w:val="0"/>
                <w:iCs w:val="0"/>
                <w:color w:val="auto"/>
                <w:sz w:val="24"/>
                <w:szCs w:val="24"/>
                <w:highlight w:val="none"/>
              </w:rPr>
            </w:pPr>
            <w:r>
              <w:rPr>
                <w:rFonts w:hint="eastAsia" w:asciiTheme="minorEastAsia" w:hAnsiTheme="minorEastAsia" w:eastAsiaTheme="minorEastAsia" w:cstheme="minorEastAsia"/>
                <w:b w:val="0"/>
                <w:bCs/>
                <w:i w:val="0"/>
                <w:iCs w:val="0"/>
                <w:color w:val="auto"/>
                <w:sz w:val="24"/>
                <w:szCs w:val="24"/>
                <w:highlight w:val="none"/>
              </w:rPr>
              <w:t>是否允许采购进口产品：</w:t>
            </w:r>
            <w:r>
              <w:rPr>
                <w:rFonts w:hint="eastAsia" w:asciiTheme="minorEastAsia" w:hAnsiTheme="minorEastAsia" w:eastAsiaTheme="minorEastAsia" w:cstheme="minorEastAsia"/>
                <w:b w:val="0"/>
                <w:bCs/>
                <w:i w:val="0"/>
                <w:iCs w:val="0"/>
                <w:color w:val="auto"/>
                <w:sz w:val="24"/>
                <w:szCs w:val="24"/>
                <w:highlight w:val="none"/>
                <w:u w:val="single"/>
              </w:rPr>
              <w:t xml:space="preserve">  否  </w:t>
            </w:r>
            <w:r>
              <w:rPr>
                <w:rFonts w:hint="eastAsia" w:asciiTheme="minorEastAsia" w:hAnsiTheme="minorEastAsia" w:eastAsiaTheme="minorEastAsia" w:cstheme="minorEastAsia"/>
                <w:b w:val="0"/>
                <w:bCs/>
                <w:i w:val="0"/>
                <w:iCs w:val="0"/>
                <w:color w:val="auto"/>
                <w:sz w:val="24"/>
                <w:szCs w:val="24"/>
                <w:highlight w:val="none"/>
              </w:rPr>
              <w:t>（是、否）</w:t>
            </w:r>
          </w:p>
        </w:tc>
      </w:tr>
      <w:tr w14:paraId="797625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0" w:hRule="atLeast"/>
          <w:jc w:val="center"/>
        </w:trPr>
        <w:tc>
          <w:tcPr>
            <w:tcW w:w="1334" w:type="dxa"/>
            <w:noWrap w:val="0"/>
            <w:vAlign w:val="center"/>
          </w:tcPr>
          <w:p w14:paraId="4E3E4DE9">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1.3.6</w:t>
            </w:r>
          </w:p>
        </w:tc>
        <w:tc>
          <w:tcPr>
            <w:tcW w:w="8389" w:type="dxa"/>
            <w:noWrap w:val="0"/>
            <w:vAlign w:val="center"/>
          </w:tcPr>
          <w:p w14:paraId="06AB94B7">
            <w:pPr>
              <w:snapToGrid w:val="0"/>
              <w:textAlignment w:val="baseline"/>
              <w:rPr>
                <w:rFonts w:hint="eastAsia" w:asciiTheme="minorEastAsia" w:hAnsiTheme="minorEastAsia" w:eastAsiaTheme="minorEastAsia" w:cstheme="minorEastAsia"/>
                <w:i w:val="0"/>
                <w:iCs w:val="0"/>
                <w:sz w:val="24"/>
                <w:szCs w:val="24"/>
                <w:highlight w:val="none"/>
                <w:u w:val="single" w:color="000000"/>
                <w:lang w:val="en-US" w:eastAsia="zh-CN"/>
              </w:rPr>
            </w:pPr>
            <w:r>
              <w:rPr>
                <w:rFonts w:hint="eastAsia" w:asciiTheme="minorEastAsia" w:hAnsiTheme="minorEastAsia" w:eastAsiaTheme="minorEastAsia" w:cstheme="minorEastAsia"/>
                <w:i w:val="0"/>
                <w:iCs w:val="0"/>
                <w:sz w:val="24"/>
                <w:szCs w:val="24"/>
                <w:highlight w:val="none"/>
              </w:rPr>
              <w:t>是否为专门面向中小企业采购：</w:t>
            </w:r>
            <w:r>
              <w:rPr>
                <w:rFonts w:hint="eastAsia" w:asciiTheme="minorEastAsia" w:hAnsiTheme="minorEastAsia" w:eastAsiaTheme="minorEastAsia" w:cstheme="minorEastAsia"/>
                <w:i w:val="0"/>
                <w:iCs w:val="0"/>
                <w:sz w:val="24"/>
                <w:szCs w:val="24"/>
                <w:highlight w:val="none"/>
                <w:u w:val="single" w:color="000000"/>
              </w:rPr>
              <w:t xml:space="preserve">  </w:t>
            </w:r>
            <w:r>
              <w:rPr>
                <w:rFonts w:hint="eastAsia" w:asciiTheme="minorEastAsia" w:hAnsiTheme="minorEastAsia" w:eastAsiaTheme="minorEastAsia" w:cstheme="minorEastAsia"/>
                <w:b/>
                <w:bCs/>
                <w:i w:val="0"/>
                <w:iCs w:val="0"/>
                <w:sz w:val="24"/>
                <w:szCs w:val="24"/>
                <w:highlight w:val="none"/>
                <w:u w:val="single" w:color="000000"/>
                <w:lang w:val="en-US" w:eastAsia="zh-CN"/>
              </w:rPr>
              <w:t>是</w:t>
            </w:r>
            <w:r>
              <w:rPr>
                <w:rFonts w:hint="eastAsia" w:asciiTheme="minorEastAsia" w:hAnsiTheme="minorEastAsia" w:eastAsiaTheme="minorEastAsia" w:cstheme="minorEastAsia"/>
                <w:b/>
                <w:bCs/>
                <w:i w:val="0"/>
                <w:iCs w:val="0"/>
                <w:sz w:val="24"/>
                <w:szCs w:val="24"/>
                <w:highlight w:val="none"/>
                <w:u w:val="single" w:color="000000"/>
              </w:rPr>
              <w:t xml:space="preserve"> </w:t>
            </w:r>
            <w:r>
              <w:rPr>
                <w:rFonts w:hint="eastAsia" w:asciiTheme="minorEastAsia" w:hAnsiTheme="minorEastAsia" w:eastAsiaTheme="minorEastAsia" w:cstheme="minorEastAsia"/>
                <w:i w:val="0"/>
                <w:iCs w:val="0"/>
                <w:sz w:val="24"/>
                <w:szCs w:val="24"/>
                <w:highlight w:val="none"/>
                <w:u w:val="single" w:color="000000"/>
                <w:lang w:val="en-US" w:eastAsia="zh-CN"/>
              </w:rPr>
              <w:t xml:space="preserve"> </w:t>
            </w:r>
          </w:p>
          <w:p w14:paraId="023D77DC">
            <w:pPr>
              <w:pStyle w:val="18"/>
              <w:ind w:left="0" w:leftChars="0" w:firstLine="0" w:firstLineChars="0"/>
              <w:rPr>
                <w:rFonts w:hint="eastAsia" w:asciiTheme="minorEastAsia" w:hAnsiTheme="minorEastAsia" w:eastAsiaTheme="minorEastAsia" w:cstheme="minorEastAsia"/>
                <w:b w:val="0"/>
                <w:bCs/>
                <w:i w:val="0"/>
                <w:iCs w:val="0"/>
                <w:color w:val="auto"/>
                <w:sz w:val="24"/>
                <w:szCs w:val="24"/>
                <w:highlight w:val="none"/>
              </w:rPr>
            </w:pPr>
            <w:r>
              <w:rPr>
                <w:rFonts w:hint="eastAsia" w:asciiTheme="minorEastAsia" w:hAnsiTheme="minorEastAsia" w:eastAsiaTheme="minorEastAsia" w:cstheme="minorEastAsia"/>
                <w:b/>
                <w:bCs/>
                <w:i w:val="0"/>
                <w:iCs w:val="0"/>
                <w:sz w:val="24"/>
                <w:szCs w:val="24"/>
                <w:lang w:val="en-US" w:eastAsia="zh-CN"/>
              </w:rPr>
              <w:t>所属行业：工业</w:t>
            </w:r>
          </w:p>
        </w:tc>
      </w:tr>
      <w:tr w14:paraId="4FBEF6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34" w:type="dxa"/>
            <w:noWrap w:val="0"/>
            <w:vAlign w:val="center"/>
          </w:tcPr>
          <w:p w14:paraId="729DB315">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1.4</w:t>
            </w:r>
          </w:p>
        </w:tc>
        <w:tc>
          <w:tcPr>
            <w:tcW w:w="8389" w:type="dxa"/>
            <w:noWrap w:val="0"/>
            <w:vAlign w:val="center"/>
          </w:tcPr>
          <w:p w14:paraId="7845D28E">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i w:val="0"/>
                <w:iCs w:val="0"/>
                <w:color w:val="auto"/>
                <w:sz w:val="24"/>
                <w:szCs w:val="24"/>
                <w:highlight w:val="none"/>
              </w:rPr>
            </w:pPr>
            <w:r>
              <w:rPr>
                <w:rFonts w:hint="eastAsia" w:asciiTheme="minorEastAsia" w:hAnsiTheme="minorEastAsia" w:eastAsiaTheme="minorEastAsia" w:cstheme="minorEastAsia"/>
                <w:b w:val="0"/>
                <w:bCs/>
                <w:i w:val="0"/>
                <w:iCs w:val="0"/>
                <w:color w:val="auto"/>
                <w:sz w:val="24"/>
                <w:szCs w:val="24"/>
                <w:highlight w:val="none"/>
              </w:rPr>
              <w:t>是否允许联合体参加谈判的：</w:t>
            </w:r>
            <w:r>
              <w:rPr>
                <w:rFonts w:hint="eastAsia" w:asciiTheme="minorEastAsia" w:hAnsiTheme="minorEastAsia" w:eastAsiaTheme="minorEastAsia" w:cstheme="minorEastAsia"/>
                <w:b w:val="0"/>
                <w:bCs/>
                <w:i w:val="0"/>
                <w:iCs w:val="0"/>
                <w:color w:val="auto"/>
                <w:sz w:val="24"/>
                <w:szCs w:val="24"/>
                <w:highlight w:val="none"/>
                <w:u w:val="single"/>
              </w:rPr>
              <w:t xml:space="preserve">  否  </w:t>
            </w:r>
            <w:r>
              <w:rPr>
                <w:rFonts w:hint="eastAsia" w:asciiTheme="minorEastAsia" w:hAnsiTheme="minorEastAsia" w:eastAsiaTheme="minorEastAsia" w:cstheme="minorEastAsia"/>
                <w:b w:val="0"/>
                <w:bCs/>
                <w:i w:val="0"/>
                <w:iCs w:val="0"/>
                <w:color w:val="auto"/>
                <w:sz w:val="24"/>
                <w:szCs w:val="24"/>
                <w:highlight w:val="none"/>
              </w:rPr>
              <w:t>（是、否）</w:t>
            </w:r>
          </w:p>
        </w:tc>
      </w:tr>
      <w:tr w14:paraId="0688E7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34" w:type="dxa"/>
            <w:noWrap w:val="0"/>
            <w:vAlign w:val="center"/>
          </w:tcPr>
          <w:p w14:paraId="0A79F772">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1.4.8</w:t>
            </w:r>
          </w:p>
        </w:tc>
        <w:tc>
          <w:tcPr>
            <w:tcW w:w="8389" w:type="dxa"/>
            <w:noWrap w:val="0"/>
            <w:vAlign w:val="center"/>
          </w:tcPr>
          <w:p w14:paraId="43ED6841">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联合体的其他资格要求：无</w:t>
            </w:r>
          </w:p>
        </w:tc>
      </w:tr>
      <w:tr w14:paraId="78CF81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34" w:type="dxa"/>
            <w:noWrap w:val="0"/>
            <w:vAlign w:val="center"/>
          </w:tcPr>
          <w:p w14:paraId="607FA56C">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2.2</w:t>
            </w:r>
          </w:p>
        </w:tc>
        <w:tc>
          <w:tcPr>
            <w:tcW w:w="8389" w:type="dxa"/>
            <w:noWrap w:val="0"/>
            <w:vAlign w:val="center"/>
          </w:tcPr>
          <w:p w14:paraId="6FF1F515">
            <w:pPr>
              <w:pageBreakBefore w:val="0"/>
              <w:widowControl w:val="0"/>
              <w:kinsoku/>
              <w:wordWrap/>
              <w:overflowPunct/>
              <w:topLinePunct w:val="0"/>
              <w:bidi w:val="0"/>
              <w:snapToGrid/>
              <w:spacing w:line="360" w:lineRule="exact"/>
              <w:textAlignment w:val="auto"/>
              <w:rPr>
                <w:rFonts w:hint="default" w:asciiTheme="minorEastAsia" w:hAnsiTheme="minorEastAsia" w:eastAsiaTheme="minorEastAsia" w:cstheme="minorEastAsia"/>
                <w:b w:val="0"/>
                <w:bCs/>
                <w:color w:val="auto"/>
                <w:sz w:val="24"/>
                <w:szCs w:val="24"/>
                <w:highlight w:val="none"/>
                <w:lang w:val="en-US"/>
              </w:rPr>
            </w:pPr>
            <w:r>
              <w:rPr>
                <w:rFonts w:hint="eastAsia" w:asciiTheme="minorEastAsia" w:hAnsiTheme="minorEastAsia" w:eastAsiaTheme="minorEastAsia" w:cstheme="minorEastAsia"/>
                <w:b w:val="0"/>
                <w:bCs/>
                <w:color w:val="auto"/>
                <w:sz w:val="24"/>
                <w:szCs w:val="24"/>
                <w:highlight w:val="none"/>
              </w:rPr>
              <w:t>项目预算金额</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1150000.00元（大写：壹佰壹拾伍万元整）</w:t>
            </w:r>
          </w:p>
        </w:tc>
      </w:tr>
      <w:tr w14:paraId="5BE338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34" w:type="dxa"/>
            <w:noWrap w:val="0"/>
            <w:vAlign w:val="center"/>
          </w:tcPr>
          <w:p w14:paraId="2F3E24E3">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12.1</w:t>
            </w:r>
          </w:p>
        </w:tc>
        <w:tc>
          <w:tcPr>
            <w:tcW w:w="8389" w:type="dxa"/>
            <w:noWrap w:val="0"/>
            <w:vAlign w:val="center"/>
          </w:tcPr>
          <w:p w14:paraId="634E5D9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保证金形式：</w:t>
            </w:r>
            <w:r>
              <w:rPr>
                <w:rFonts w:hint="eastAsia" w:asciiTheme="minorEastAsia" w:hAnsiTheme="minorEastAsia" w:eastAsiaTheme="minorEastAsia" w:cstheme="minorEastAsia"/>
                <w:color w:val="auto"/>
                <w:highlight w:val="none"/>
                <w:lang w:val="en-US" w:eastAsia="zh-CN"/>
              </w:rPr>
              <w:t>以</w:t>
            </w:r>
            <w:r>
              <w:rPr>
                <w:rFonts w:hint="eastAsia" w:asciiTheme="minorEastAsia" w:hAnsiTheme="minorEastAsia" w:eastAsiaTheme="minorEastAsia" w:cstheme="minorEastAsia"/>
                <w:color w:val="auto"/>
                <w:highlight w:val="none"/>
                <w:lang w:eastAsia="zh-CN"/>
              </w:rPr>
              <w:t>基本账户形式提交☑</w:t>
            </w:r>
            <w:r>
              <w:rPr>
                <w:rFonts w:hint="eastAsia" w:asciiTheme="minorEastAsia" w:hAnsiTheme="minorEastAsia" w:eastAsiaTheme="minorEastAsia" w:cstheme="minorEastAsia"/>
                <w:color w:val="auto"/>
                <w:highlight w:val="none"/>
                <w:lang w:val="en-US" w:eastAsia="zh-CN"/>
              </w:rPr>
              <w:t xml:space="preserve">保函 </w:t>
            </w:r>
            <w:r>
              <w:rPr>
                <w:rFonts w:hint="eastAsia" w:asciiTheme="minorEastAsia" w:hAnsiTheme="minorEastAsia" w:eastAsiaTheme="minorEastAsia" w:cstheme="minorEastAsia"/>
                <w:color w:val="auto"/>
                <w:highlight w:val="none"/>
                <w:lang w:eastAsia="zh-CN"/>
              </w:rPr>
              <w:t>☑电汇</w:t>
            </w:r>
            <w:r>
              <w:rPr>
                <w:rFonts w:hint="eastAsia" w:asciiTheme="minorEastAsia" w:hAnsiTheme="minorEastAsia" w:eastAsiaTheme="minorEastAsia" w:cstheme="minorEastAsia"/>
                <w:color w:val="auto"/>
                <w:highlight w:val="none"/>
                <w:lang w:eastAsia="zh-CN"/>
              </w:rPr>
              <w:sym w:font="Wingdings" w:char="00FE"/>
            </w:r>
            <w:r>
              <w:rPr>
                <w:rFonts w:hint="eastAsia" w:asciiTheme="minorEastAsia" w:hAnsiTheme="minorEastAsia" w:eastAsiaTheme="minorEastAsia" w:cstheme="minorEastAsia"/>
                <w:color w:val="auto"/>
                <w:highlight w:val="none"/>
                <w:lang w:eastAsia="zh-CN"/>
              </w:rPr>
              <w:t>网银☑对公转账 ☑</w:t>
            </w:r>
            <w:r>
              <w:rPr>
                <w:rFonts w:hint="eastAsia" w:asciiTheme="minorEastAsia" w:hAnsiTheme="minorEastAsia" w:eastAsiaTheme="minorEastAsia" w:cstheme="minorEastAsia"/>
                <w:color w:val="auto"/>
                <w:highlight w:val="none"/>
                <w:lang w:val="en-US" w:eastAsia="zh-CN"/>
              </w:rPr>
              <w:t>支票、汇票、本票</w:t>
            </w:r>
            <w:r>
              <w:rPr>
                <w:rFonts w:hint="eastAsia" w:asciiTheme="minorEastAsia" w:hAnsiTheme="minorEastAsia" w:eastAsiaTheme="minorEastAsia" w:cstheme="minorEastAsia"/>
                <w:color w:val="auto"/>
                <w:highlight w:val="none"/>
                <w:lang w:eastAsia="zh-CN"/>
              </w:rPr>
              <w:t>（本项目允许的其他形式）</w:t>
            </w:r>
          </w:p>
          <w:p w14:paraId="30ACF9D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保证金数额：</w:t>
            </w:r>
            <w:r>
              <w:rPr>
                <w:rFonts w:hint="eastAsia" w:asciiTheme="minorEastAsia" w:hAnsiTheme="minorEastAsia" w:eastAsiaTheme="minorEastAsia" w:cstheme="minorEastAsia"/>
                <w:b w:val="0"/>
                <w:bCs/>
                <w:color w:val="auto"/>
                <w:sz w:val="24"/>
                <w:szCs w:val="24"/>
                <w:highlight w:val="none"/>
                <w:lang w:val="en-US" w:eastAsia="zh-CN"/>
              </w:rPr>
              <w:t>23000</w:t>
            </w:r>
            <w:r>
              <w:rPr>
                <w:rFonts w:hint="eastAsia" w:asciiTheme="minorEastAsia" w:hAnsiTheme="minorEastAsia" w:eastAsiaTheme="minorEastAsia" w:cstheme="minorEastAsia"/>
                <w:b w:val="0"/>
                <w:bCs/>
                <w:color w:val="auto"/>
                <w:sz w:val="24"/>
                <w:szCs w:val="24"/>
                <w:highlight w:val="none"/>
              </w:rPr>
              <w:t>.00元（</w:t>
            </w:r>
            <w:r>
              <w:rPr>
                <w:rFonts w:hint="eastAsia" w:asciiTheme="minorEastAsia" w:hAnsiTheme="minorEastAsia" w:eastAsiaTheme="minorEastAsia" w:cstheme="minorEastAsia"/>
                <w:b w:val="0"/>
                <w:bCs/>
                <w:color w:val="auto"/>
                <w:sz w:val="24"/>
                <w:szCs w:val="24"/>
                <w:highlight w:val="none"/>
                <w:lang w:val="en-US" w:eastAsia="zh-CN"/>
              </w:rPr>
              <w:t>贰万叁仟</w:t>
            </w:r>
            <w:r>
              <w:rPr>
                <w:rFonts w:hint="eastAsia" w:asciiTheme="minorEastAsia" w:hAnsiTheme="minorEastAsia" w:eastAsiaTheme="minorEastAsia" w:cstheme="minorEastAsia"/>
                <w:b w:val="0"/>
                <w:bCs/>
                <w:color w:val="auto"/>
                <w:sz w:val="24"/>
                <w:szCs w:val="24"/>
                <w:highlight w:val="none"/>
              </w:rPr>
              <w:t>元整）</w:t>
            </w:r>
          </w:p>
          <w:p w14:paraId="4569F03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保证金收款人：新疆万士和项目管理有限公司</w:t>
            </w:r>
          </w:p>
          <w:p w14:paraId="06AD80C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开 户 行：广发银行股份有限公司喀什分行营业部</w:t>
            </w:r>
          </w:p>
          <w:p w14:paraId="2F9C530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账    号：9550880225469100122      </w:t>
            </w:r>
          </w:p>
          <w:p w14:paraId="1843E8A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rPr>
              <w:t>联 系 人：</w:t>
            </w:r>
            <w:r>
              <w:rPr>
                <w:rFonts w:hint="eastAsia" w:asciiTheme="minorEastAsia" w:hAnsiTheme="minorEastAsia" w:eastAsiaTheme="minorEastAsia" w:cstheme="minorEastAsia"/>
                <w:b w:val="0"/>
                <w:bCs/>
                <w:color w:val="auto"/>
                <w:sz w:val="24"/>
                <w:szCs w:val="24"/>
                <w:highlight w:val="none"/>
                <w:lang w:eastAsia="zh-CN"/>
              </w:rPr>
              <w:t>麦热丹·麦麦提</w:t>
            </w:r>
          </w:p>
          <w:p w14:paraId="26C952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rPr>
              <w:t>联系电话：</w:t>
            </w:r>
            <w:r>
              <w:rPr>
                <w:rFonts w:hint="eastAsia" w:asciiTheme="minorEastAsia" w:hAnsiTheme="minorEastAsia" w:eastAsiaTheme="minorEastAsia" w:cstheme="minorEastAsia"/>
                <w:b w:val="0"/>
                <w:bCs/>
                <w:color w:val="auto"/>
                <w:sz w:val="24"/>
                <w:szCs w:val="24"/>
                <w:highlight w:val="none"/>
                <w:lang w:eastAsia="zh-CN"/>
              </w:rPr>
              <w:t>13565380155</w:t>
            </w:r>
          </w:p>
          <w:p w14:paraId="67EA64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val="en-US" w:eastAsia="zh-CN"/>
              </w:rPr>
              <w:t>1、</w:t>
            </w:r>
            <w:r>
              <w:rPr>
                <w:rFonts w:hint="eastAsia" w:asciiTheme="minorEastAsia" w:hAnsiTheme="minorEastAsia" w:eastAsiaTheme="minorEastAsia" w:cstheme="minorEastAsia"/>
                <w:b/>
                <w:bCs w:val="0"/>
                <w:color w:val="auto"/>
                <w:sz w:val="24"/>
                <w:szCs w:val="24"/>
                <w:highlight w:val="none"/>
              </w:rPr>
              <w:t>打款时必须注明</w:t>
            </w:r>
            <w:r>
              <w:rPr>
                <w:rFonts w:hint="eastAsia" w:asciiTheme="minorEastAsia" w:hAnsiTheme="minorEastAsia" w:eastAsiaTheme="minorEastAsia" w:cstheme="minorEastAsia"/>
                <w:b/>
                <w:bCs w:val="0"/>
                <w:color w:val="auto"/>
                <w:sz w:val="24"/>
                <w:szCs w:val="24"/>
                <w:highlight w:val="none"/>
                <w:lang w:eastAsia="zh-CN"/>
              </w:rPr>
              <w:t>响应</w:t>
            </w:r>
            <w:r>
              <w:rPr>
                <w:rFonts w:hint="eastAsia" w:asciiTheme="minorEastAsia" w:hAnsiTheme="minorEastAsia" w:eastAsiaTheme="minorEastAsia" w:cstheme="minorEastAsia"/>
                <w:b/>
                <w:bCs w:val="0"/>
                <w:color w:val="auto"/>
                <w:sz w:val="24"/>
                <w:szCs w:val="24"/>
                <w:highlight w:val="none"/>
              </w:rPr>
              <w:t>保证金项目名称或项目编号（否则视为无效打款）。到账截止时间：</w:t>
            </w:r>
            <w:r>
              <w:rPr>
                <w:rFonts w:hint="eastAsia" w:asciiTheme="minorEastAsia" w:hAnsiTheme="minorEastAsia" w:eastAsiaTheme="minorEastAsia" w:cstheme="minorEastAsia"/>
                <w:b/>
                <w:bCs w:val="0"/>
                <w:color w:val="auto"/>
                <w:sz w:val="24"/>
                <w:szCs w:val="24"/>
                <w:highlight w:val="none"/>
                <w:lang w:eastAsia="zh-CN"/>
              </w:rPr>
              <w:t>响应</w:t>
            </w:r>
            <w:r>
              <w:rPr>
                <w:rFonts w:hint="eastAsia" w:asciiTheme="minorEastAsia" w:hAnsiTheme="minorEastAsia" w:eastAsiaTheme="minorEastAsia" w:cstheme="minorEastAsia"/>
                <w:b/>
                <w:bCs w:val="0"/>
                <w:color w:val="auto"/>
                <w:sz w:val="24"/>
                <w:szCs w:val="24"/>
                <w:highlight w:val="none"/>
              </w:rPr>
              <w:t>截止时间前（以到账时间为准，节假日除外）。</w:t>
            </w:r>
          </w:p>
          <w:p w14:paraId="69F381F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2、磋商保证金以电子保函形式缴纳。电子保函按照“一标项一保函 ”的原则办理，同时须在磋商文件规定的响应截止时间前办理完成。供应商以保函形式缴纳磋商保证金的，购买电子保函所支付的费用须从供应商企业基本账户转出，同时将电子保函扫描件作为电子响应文件组成部分在响应时一并上传。</w:t>
            </w:r>
          </w:p>
          <w:p w14:paraId="661BCB3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（1）供应商需附本单位的基本账户信息；</w:t>
            </w:r>
          </w:p>
          <w:p w14:paraId="6F51D20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（2）供应商需附保函手续费汇款凭证（汇款凭证需备注项目名称）。</w:t>
            </w:r>
          </w:p>
          <w:p w14:paraId="06C3554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注：使用保函时未按要求提供材料按无效响应处理。</w:t>
            </w:r>
          </w:p>
          <w:p w14:paraId="62E55F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val="en-US" w:eastAsia="zh-CN"/>
              </w:rPr>
              <w:t>3</w:t>
            </w:r>
            <w:r>
              <w:rPr>
                <w:rFonts w:hint="eastAsia" w:asciiTheme="minorEastAsia" w:hAnsiTheme="minorEastAsia" w:eastAsiaTheme="minorEastAsia" w:cstheme="minorEastAsia"/>
                <w:b/>
                <w:bCs w:val="0"/>
                <w:color w:val="auto"/>
                <w:sz w:val="24"/>
                <w:szCs w:val="24"/>
                <w:highlight w:val="none"/>
              </w:rPr>
              <w:t>.本项目不需要换取收据，银行汇款凭证用于</w:t>
            </w:r>
            <w:r>
              <w:rPr>
                <w:rFonts w:hint="eastAsia" w:asciiTheme="minorEastAsia" w:hAnsiTheme="minorEastAsia" w:eastAsiaTheme="minorEastAsia" w:cstheme="minorEastAsia"/>
                <w:b/>
                <w:bCs w:val="0"/>
                <w:color w:val="auto"/>
                <w:sz w:val="24"/>
                <w:szCs w:val="24"/>
                <w:highlight w:val="none"/>
                <w:lang w:eastAsia="zh-CN"/>
              </w:rPr>
              <w:t>响应</w:t>
            </w:r>
            <w:r>
              <w:rPr>
                <w:rFonts w:hint="eastAsia" w:asciiTheme="minorEastAsia" w:hAnsiTheme="minorEastAsia" w:eastAsiaTheme="minorEastAsia" w:cstheme="minorEastAsia"/>
                <w:b/>
                <w:bCs w:val="0"/>
                <w:color w:val="auto"/>
                <w:sz w:val="24"/>
                <w:szCs w:val="24"/>
                <w:highlight w:val="none"/>
              </w:rPr>
              <w:t>保证金证明。如因</w:t>
            </w:r>
            <w:r>
              <w:rPr>
                <w:rFonts w:hint="eastAsia" w:asciiTheme="minorEastAsia" w:hAnsiTheme="minorEastAsia" w:eastAsiaTheme="minorEastAsia" w:cstheme="minorEastAsia"/>
                <w:b/>
                <w:bCs w:val="0"/>
                <w:color w:val="auto"/>
                <w:sz w:val="24"/>
                <w:szCs w:val="24"/>
                <w:highlight w:val="none"/>
                <w:lang w:eastAsia="zh-CN"/>
              </w:rPr>
              <w:t>供应商</w:t>
            </w:r>
            <w:r>
              <w:rPr>
                <w:rFonts w:hint="eastAsia" w:asciiTheme="minorEastAsia" w:hAnsiTheme="minorEastAsia" w:eastAsiaTheme="minorEastAsia" w:cstheme="minorEastAsia"/>
                <w:b/>
                <w:bCs w:val="0"/>
                <w:color w:val="auto"/>
                <w:sz w:val="24"/>
                <w:szCs w:val="24"/>
                <w:highlight w:val="none"/>
              </w:rPr>
              <w:t>自身原因打款不成功的，代理公司不承担任何责任。</w:t>
            </w:r>
          </w:p>
          <w:p w14:paraId="210A31C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val="en-US" w:eastAsia="zh-CN"/>
              </w:rPr>
              <w:t>4</w:t>
            </w:r>
            <w:r>
              <w:rPr>
                <w:rFonts w:hint="eastAsia" w:asciiTheme="minorEastAsia" w:hAnsiTheme="minorEastAsia" w:eastAsiaTheme="minorEastAsia" w:cstheme="minorEastAsia"/>
                <w:b/>
                <w:bCs w:val="0"/>
                <w:color w:val="auto"/>
                <w:sz w:val="24"/>
                <w:szCs w:val="24"/>
                <w:highlight w:val="none"/>
              </w:rPr>
              <w:t>.</w:t>
            </w:r>
            <w:r>
              <w:rPr>
                <w:rFonts w:hint="eastAsia" w:asciiTheme="minorEastAsia" w:hAnsiTheme="minorEastAsia" w:eastAsiaTheme="minorEastAsia" w:cstheme="minorEastAsia"/>
                <w:b/>
                <w:bCs w:val="0"/>
                <w:color w:val="auto"/>
                <w:sz w:val="24"/>
                <w:szCs w:val="24"/>
                <w:highlight w:val="none"/>
                <w:lang w:eastAsia="zh-CN"/>
              </w:rPr>
              <w:t>成交</w:t>
            </w:r>
            <w:r>
              <w:rPr>
                <w:rFonts w:hint="eastAsia" w:asciiTheme="minorEastAsia" w:hAnsiTheme="minorEastAsia" w:eastAsiaTheme="minorEastAsia" w:cstheme="minorEastAsia"/>
                <w:b/>
                <w:bCs w:val="0"/>
                <w:color w:val="auto"/>
                <w:sz w:val="24"/>
                <w:szCs w:val="24"/>
                <w:highlight w:val="none"/>
              </w:rPr>
              <w:t>人应在与采购人签订合同之日起5个工作日内，保证金收受机构根据</w:t>
            </w:r>
            <w:r>
              <w:rPr>
                <w:rFonts w:hint="eastAsia" w:asciiTheme="minorEastAsia" w:hAnsiTheme="minorEastAsia" w:eastAsiaTheme="minorEastAsia" w:cstheme="minorEastAsia"/>
                <w:b/>
                <w:bCs w:val="0"/>
                <w:color w:val="auto"/>
                <w:sz w:val="24"/>
                <w:szCs w:val="24"/>
                <w:highlight w:val="none"/>
                <w:lang w:eastAsia="zh-CN"/>
              </w:rPr>
              <w:t>成交</w:t>
            </w:r>
            <w:r>
              <w:rPr>
                <w:rFonts w:hint="eastAsia" w:asciiTheme="minorEastAsia" w:hAnsiTheme="minorEastAsia" w:eastAsiaTheme="minorEastAsia" w:cstheme="minorEastAsia"/>
                <w:b/>
                <w:bCs w:val="0"/>
                <w:color w:val="auto"/>
                <w:sz w:val="24"/>
                <w:szCs w:val="24"/>
                <w:highlight w:val="none"/>
              </w:rPr>
              <w:t>人提供的打款凭证及时办理</w:t>
            </w:r>
            <w:r>
              <w:rPr>
                <w:rFonts w:hint="eastAsia" w:asciiTheme="minorEastAsia" w:hAnsiTheme="minorEastAsia" w:eastAsiaTheme="minorEastAsia" w:cstheme="minorEastAsia"/>
                <w:b/>
                <w:bCs w:val="0"/>
                <w:color w:val="auto"/>
                <w:sz w:val="24"/>
                <w:szCs w:val="24"/>
                <w:highlight w:val="none"/>
                <w:lang w:eastAsia="zh-CN"/>
              </w:rPr>
              <w:t>响应</w:t>
            </w:r>
            <w:r>
              <w:rPr>
                <w:rFonts w:hint="eastAsia" w:asciiTheme="minorEastAsia" w:hAnsiTheme="minorEastAsia" w:eastAsiaTheme="minorEastAsia" w:cstheme="minorEastAsia"/>
                <w:b/>
                <w:bCs w:val="0"/>
                <w:color w:val="auto"/>
                <w:sz w:val="24"/>
                <w:szCs w:val="24"/>
                <w:highlight w:val="none"/>
              </w:rPr>
              <w:t>保证金无息退还手续。</w:t>
            </w:r>
          </w:p>
          <w:p w14:paraId="19AC38B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val="en-US" w:eastAsia="zh-CN"/>
              </w:rPr>
              <w:t>5</w:t>
            </w:r>
            <w:r>
              <w:rPr>
                <w:rFonts w:hint="eastAsia" w:asciiTheme="minorEastAsia" w:hAnsiTheme="minorEastAsia" w:eastAsiaTheme="minorEastAsia" w:cstheme="minorEastAsia"/>
                <w:b/>
                <w:bCs w:val="0"/>
                <w:color w:val="auto"/>
                <w:sz w:val="24"/>
                <w:szCs w:val="24"/>
                <w:highlight w:val="none"/>
              </w:rPr>
              <w:t>.未</w:t>
            </w:r>
            <w:r>
              <w:rPr>
                <w:rFonts w:hint="eastAsia" w:asciiTheme="minorEastAsia" w:hAnsiTheme="minorEastAsia" w:eastAsiaTheme="minorEastAsia" w:cstheme="minorEastAsia"/>
                <w:b/>
                <w:bCs w:val="0"/>
                <w:color w:val="auto"/>
                <w:sz w:val="24"/>
                <w:szCs w:val="24"/>
                <w:highlight w:val="none"/>
                <w:lang w:eastAsia="zh-CN"/>
              </w:rPr>
              <w:t>成交供应商</w:t>
            </w:r>
            <w:r>
              <w:rPr>
                <w:rFonts w:hint="eastAsia" w:asciiTheme="minorEastAsia" w:hAnsiTheme="minorEastAsia" w:eastAsiaTheme="minorEastAsia" w:cstheme="minorEastAsia"/>
                <w:b/>
                <w:bCs w:val="0"/>
                <w:color w:val="auto"/>
                <w:sz w:val="24"/>
                <w:szCs w:val="24"/>
                <w:highlight w:val="none"/>
              </w:rPr>
              <w:t>的</w:t>
            </w:r>
            <w:r>
              <w:rPr>
                <w:rFonts w:hint="eastAsia" w:asciiTheme="minorEastAsia" w:hAnsiTheme="minorEastAsia" w:eastAsiaTheme="minorEastAsia" w:cstheme="minorEastAsia"/>
                <w:b/>
                <w:bCs w:val="0"/>
                <w:color w:val="auto"/>
                <w:sz w:val="24"/>
                <w:szCs w:val="24"/>
                <w:highlight w:val="none"/>
                <w:lang w:eastAsia="zh-CN"/>
              </w:rPr>
              <w:t>响应</w:t>
            </w:r>
            <w:r>
              <w:rPr>
                <w:rFonts w:hint="eastAsia" w:asciiTheme="minorEastAsia" w:hAnsiTheme="minorEastAsia" w:eastAsiaTheme="minorEastAsia" w:cstheme="minorEastAsia"/>
                <w:b/>
                <w:bCs w:val="0"/>
                <w:color w:val="auto"/>
                <w:sz w:val="24"/>
                <w:szCs w:val="24"/>
                <w:highlight w:val="none"/>
              </w:rPr>
              <w:t>保证金将在</w:t>
            </w:r>
            <w:r>
              <w:rPr>
                <w:rFonts w:hint="eastAsia" w:asciiTheme="minorEastAsia" w:hAnsiTheme="minorEastAsia" w:eastAsiaTheme="minorEastAsia" w:cstheme="minorEastAsia"/>
                <w:b/>
                <w:bCs w:val="0"/>
                <w:color w:val="auto"/>
                <w:sz w:val="24"/>
                <w:szCs w:val="24"/>
                <w:highlight w:val="none"/>
                <w:lang w:eastAsia="zh-CN"/>
              </w:rPr>
              <w:t>成交</w:t>
            </w:r>
            <w:r>
              <w:rPr>
                <w:rFonts w:hint="eastAsia" w:asciiTheme="minorEastAsia" w:hAnsiTheme="minorEastAsia" w:eastAsiaTheme="minorEastAsia" w:cstheme="minorEastAsia"/>
                <w:b/>
                <w:bCs w:val="0"/>
                <w:color w:val="auto"/>
                <w:sz w:val="24"/>
                <w:szCs w:val="24"/>
                <w:highlight w:val="none"/>
              </w:rPr>
              <w:t>通知书发出之日暨</w:t>
            </w:r>
            <w:r>
              <w:rPr>
                <w:rFonts w:hint="eastAsia" w:asciiTheme="minorEastAsia" w:hAnsiTheme="minorEastAsia" w:eastAsiaTheme="minorEastAsia" w:cstheme="minorEastAsia"/>
                <w:b/>
                <w:bCs w:val="0"/>
                <w:color w:val="auto"/>
                <w:sz w:val="24"/>
                <w:szCs w:val="24"/>
                <w:highlight w:val="none"/>
                <w:lang w:eastAsia="zh-CN"/>
              </w:rPr>
              <w:t>成交</w:t>
            </w:r>
            <w:r>
              <w:rPr>
                <w:rFonts w:hint="eastAsia" w:asciiTheme="minorEastAsia" w:hAnsiTheme="minorEastAsia" w:eastAsiaTheme="minorEastAsia" w:cstheme="minorEastAsia"/>
                <w:b/>
                <w:bCs w:val="0"/>
                <w:color w:val="auto"/>
                <w:sz w:val="24"/>
                <w:szCs w:val="24"/>
                <w:highlight w:val="none"/>
              </w:rPr>
              <w:t>结果公告公布之日起5个工作日内无息退还，保证金收受机构根据未</w:t>
            </w:r>
            <w:r>
              <w:rPr>
                <w:rFonts w:hint="eastAsia" w:asciiTheme="minorEastAsia" w:hAnsiTheme="minorEastAsia" w:eastAsiaTheme="minorEastAsia" w:cstheme="minorEastAsia"/>
                <w:b/>
                <w:bCs w:val="0"/>
                <w:color w:val="auto"/>
                <w:sz w:val="24"/>
                <w:szCs w:val="24"/>
                <w:highlight w:val="none"/>
                <w:lang w:eastAsia="zh-CN"/>
              </w:rPr>
              <w:t>成交</w:t>
            </w:r>
            <w:r>
              <w:rPr>
                <w:rFonts w:hint="eastAsia" w:asciiTheme="minorEastAsia" w:hAnsiTheme="minorEastAsia" w:eastAsiaTheme="minorEastAsia" w:cstheme="minorEastAsia"/>
                <w:b/>
                <w:bCs w:val="0"/>
                <w:color w:val="auto"/>
                <w:sz w:val="24"/>
                <w:szCs w:val="24"/>
                <w:highlight w:val="none"/>
              </w:rPr>
              <w:t>人提供的打款凭证及时办理退还</w:t>
            </w:r>
            <w:r>
              <w:rPr>
                <w:rFonts w:hint="eastAsia" w:asciiTheme="minorEastAsia" w:hAnsiTheme="minorEastAsia" w:eastAsiaTheme="minorEastAsia" w:cstheme="minorEastAsia"/>
                <w:b/>
                <w:bCs w:val="0"/>
                <w:color w:val="auto"/>
                <w:sz w:val="24"/>
                <w:szCs w:val="24"/>
                <w:highlight w:val="none"/>
                <w:lang w:eastAsia="zh-CN"/>
              </w:rPr>
              <w:t>响应</w:t>
            </w:r>
            <w:r>
              <w:rPr>
                <w:rFonts w:hint="eastAsia" w:asciiTheme="minorEastAsia" w:hAnsiTheme="minorEastAsia" w:eastAsiaTheme="minorEastAsia" w:cstheme="minorEastAsia"/>
                <w:b/>
                <w:bCs w:val="0"/>
                <w:color w:val="auto"/>
                <w:sz w:val="24"/>
                <w:szCs w:val="24"/>
                <w:highlight w:val="none"/>
              </w:rPr>
              <w:t>保证金手续。</w:t>
            </w:r>
          </w:p>
        </w:tc>
      </w:tr>
      <w:tr w14:paraId="3AC702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34" w:type="dxa"/>
            <w:noWrap w:val="0"/>
            <w:vAlign w:val="center"/>
          </w:tcPr>
          <w:p w14:paraId="44C45A0F">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13.1</w:t>
            </w:r>
          </w:p>
        </w:tc>
        <w:tc>
          <w:tcPr>
            <w:tcW w:w="8389" w:type="dxa"/>
            <w:noWrap w:val="0"/>
            <w:vAlign w:val="center"/>
          </w:tcPr>
          <w:p w14:paraId="4E49ADC3">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bCs/>
                <w:color w:val="auto"/>
                <w:kern w:val="2"/>
                <w:sz w:val="24"/>
                <w:szCs w:val="24"/>
                <w:highlight w:val="none"/>
                <w:u w:val="none"/>
                <w:shd w:val="clear" w:color="auto" w:fill="auto"/>
                <w:lang w:val="en-US" w:eastAsia="zh-CN" w:bidi="ar-SA"/>
              </w:rPr>
            </w:pPr>
            <w:r>
              <w:rPr>
                <w:rFonts w:hint="eastAsia" w:asciiTheme="minorEastAsia" w:hAnsiTheme="minorEastAsia" w:eastAsiaTheme="minorEastAsia" w:cstheme="minorEastAsia"/>
                <w:b w:val="0"/>
                <w:bCs/>
                <w:color w:val="auto"/>
                <w:sz w:val="24"/>
                <w:szCs w:val="24"/>
                <w:highlight w:val="none"/>
              </w:rPr>
              <w:t>谈判有效期：</w:t>
            </w:r>
            <w:r>
              <w:rPr>
                <w:rFonts w:hint="eastAsia" w:asciiTheme="minorEastAsia" w:hAnsiTheme="minorEastAsia" w:eastAsiaTheme="minorEastAsia" w:cstheme="minorEastAsia"/>
                <w:b w:val="0"/>
                <w:bCs/>
                <w:color w:val="auto"/>
                <w:sz w:val="24"/>
                <w:szCs w:val="24"/>
                <w:highlight w:val="none"/>
                <w:u w:val="single"/>
              </w:rPr>
              <w:t>　</w:t>
            </w:r>
            <w:r>
              <w:rPr>
                <w:rFonts w:hint="eastAsia" w:asciiTheme="minorEastAsia" w:hAnsiTheme="minorEastAsia" w:eastAsiaTheme="minorEastAsia" w:cstheme="minorEastAsia"/>
                <w:b w:val="0"/>
                <w:bCs/>
                <w:color w:val="auto"/>
                <w:sz w:val="24"/>
                <w:szCs w:val="24"/>
                <w:highlight w:val="none"/>
                <w:u w:val="single"/>
                <w:lang w:val="en-US" w:eastAsia="zh-CN"/>
              </w:rPr>
              <w:t>9</w:t>
            </w:r>
            <w:r>
              <w:rPr>
                <w:rFonts w:hint="eastAsia" w:asciiTheme="minorEastAsia" w:hAnsiTheme="minorEastAsia" w:eastAsiaTheme="minorEastAsia" w:cstheme="minorEastAsia"/>
                <w:b w:val="0"/>
                <w:bCs/>
                <w:color w:val="auto"/>
                <w:sz w:val="24"/>
                <w:szCs w:val="24"/>
                <w:highlight w:val="none"/>
                <w:u w:val="single"/>
              </w:rPr>
              <w:t>0　</w:t>
            </w:r>
            <w:r>
              <w:rPr>
                <w:rFonts w:hint="eastAsia" w:asciiTheme="minorEastAsia" w:hAnsiTheme="minorEastAsia" w:eastAsiaTheme="minorEastAsia" w:cstheme="minorEastAsia"/>
                <w:b w:val="0"/>
                <w:bCs/>
                <w:color w:val="auto"/>
                <w:sz w:val="24"/>
                <w:szCs w:val="24"/>
                <w:highlight w:val="none"/>
              </w:rPr>
              <w:t>日历日</w:t>
            </w:r>
          </w:p>
        </w:tc>
      </w:tr>
      <w:tr w14:paraId="00359B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34" w:type="dxa"/>
            <w:noWrap w:val="0"/>
            <w:vAlign w:val="center"/>
          </w:tcPr>
          <w:p w14:paraId="7C7C2D34">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14.1</w:t>
            </w:r>
          </w:p>
        </w:tc>
        <w:tc>
          <w:tcPr>
            <w:tcW w:w="8389" w:type="dxa"/>
            <w:noWrap w:val="0"/>
            <w:vAlign w:val="center"/>
          </w:tcPr>
          <w:p w14:paraId="7F934C1C">
            <w:pPr>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Autospacing="0" w:afterAutospacing="0" w:line="400" w:lineRule="exact"/>
              <w:jc w:val="left"/>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311DCCD1">
            <w:pPr>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本项目实行网上投标，采用电子响应文件(供应商须使用CA加密设备通过政采云电子投标客户端制作响应文件)。若供应商参与投标，自行承担投标一切费用。</w:t>
            </w:r>
          </w:p>
          <w:p w14:paraId="17193D3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400" w:lineRule="exact"/>
              <w:ind w:leftChars="0"/>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4D654071">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exact"/>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4）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95763进行咨询。</w:t>
            </w:r>
          </w:p>
          <w:p w14:paraId="4C06BDC5">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exact"/>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（5）供应商在开标时须使用制作加密电子响应文件所使用的CA锁及电脑，电脑须提前配置好浏览器（建议使用谷歌浏览器），以便开标时解锁。</w:t>
            </w:r>
          </w:p>
          <w:p w14:paraId="7546A788">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exact"/>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6）响应保证金缴纳及确认时间：凡拟参加本次谈判项目的供应商，必须在开标前将响应保证金汇入指定账户。响应保证金汇款凭证上用途栏应注明:谈判项目名称+标项号+响应保证金。否则，届时其投标将被拒绝。</w:t>
            </w:r>
          </w:p>
          <w:p w14:paraId="46231B19">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exact"/>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53B48460">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exact"/>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8）各供应商须在投标截止时间前完成在系统上递交电子响应文件。供应商的电子响应文件是经过CA证书加密后上传提交的，任何单位或个人均无法在投标截止时间(即开标时间)之前查看或篡改，不存在泄密风险。（严格按照政采云电子投标流程制作并上传电子响应文件）</w:t>
            </w:r>
          </w:p>
          <w:p w14:paraId="4E3A83EB">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exact"/>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9）各供应商在投标截止时间前将“响应文件”上传至政采云平台。响应文件包括“开标一览表表及资格证明文件”与“商务及技术文件”两部分合并成一册。响应文件应按照谈判文件规定的格式填写、签署和盖章，并以.jmbs格式上传至政采云开评标平台（响应文件为正本扫描件）。</w:t>
            </w:r>
          </w:p>
          <w:p w14:paraId="180C65A7">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（10）解密时长为30分钟，超出解密时长，作无效响应处理。</w:t>
            </w:r>
          </w:p>
        </w:tc>
      </w:tr>
      <w:tr w14:paraId="10F926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34" w:type="dxa"/>
            <w:noWrap w:val="0"/>
            <w:vAlign w:val="center"/>
          </w:tcPr>
          <w:p w14:paraId="08435DC2">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16.1</w:t>
            </w:r>
          </w:p>
        </w:tc>
        <w:tc>
          <w:tcPr>
            <w:tcW w:w="8389" w:type="dxa"/>
            <w:noWrap w:val="0"/>
            <w:vAlign w:val="center"/>
          </w:tcPr>
          <w:p w14:paraId="66C8C853">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u w:val="none"/>
              </w:rPr>
            </w:pPr>
            <w:r>
              <w:rPr>
                <w:rFonts w:hint="eastAsia" w:asciiTheme="minorEastAsia" w:hAnsiTheme="minorEastAsia" w:eastAsiaTheme="minorEastAsia" w:cstheme="minorEastAsia"/>
                <w:color w:val="auto"/>
                <w:kern w:val="0"/>
                <w:sz w:val="24"/>
                <w:szCs w:val="24"/>
                <w:highlight w:val="none"/>
                <w:lang w:val="en-US" w:eastAsia="zh-CN" w:bidi="ar-SA"/>
              </w:rPr>
              <w:t>响应文件递交截止时间</w:t>
            </w:r>
            <w:r>
              <w:rPr>
                <w:rFonts w:hint="eastAsia" w:asciiTheme="minorEastAsia" w:hAnsiTheme="minorEastAsia" w:eastAsiaTheme="minorEastAsia" w:cstheme="minorEastAsia"/>
                <w:b w:val="0"/>
                <w:bCs/>
                <w:color w:val="auto"/>
                <w:sz w:val="24"/>
                <w:szCs w:val="24"/>
                <w:highlight w:val="none"/>
                <w:u w:val="none"/>
              </w:rPr>
              <w:t>：</w:t>
            </w:r>
            <w:r>
              <w:rPr>
                <w:rFonts w:hint="eastAsia" w:asciiTheme="minorEastAsia" w:hAnsiTheme="minorEastAsia" w:eastAsiaTheme="minorEastAsia" w:cstheme="minorEastAsia"/>
                <w:color w:val="auto"/>
                <w:sz w:val="24"/>
                <w:szCs w:val="24"/>
                <w:highlight w:val="none"/>
                <w:lang w:eastAsia="zh-CN"/>
              </w:rPr>
              <w:t>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lang w:val="en-US" w:eastAsia="zh-CN"/>
              </w:rPr>
              <w:t>06</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lang w:val="en-US" w:eastAsia="zh-CN"/>
              </w:rPr>
              <w:t>27</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lang w:val="en-US" w:eastAsia="zh-CN"/>
              </w:rPr>
              <w:t>16：00</w:t>
            </w:r>
            <w:r>
              <w:rPr>
                <w:rFonts w:hint="eastAsia" w:asciiTheme="minorEastAsia" w:hAnsiTheme="minorEastAsia" w:eastAsiaTheme="minorEastAsia" w:cstheme="minorEastAsia"/>
                <w:color w:val="auto"/>
                <w:sz w:val="24"/>
                <w:szCs w:val="24"/>
                <w:highlight w:val="none"/>
              </w:rPr>
              <w:t>（北京时间）</w:t>
            </w:r>
          </w:p>
          <w:p w14:paraId="68405F57">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bidi="ar-SA"/>
              </w:rPr>
              <w:t>响应文件递交地点</w:t>
            </w:r>
            <w:r>
              <w:rPr>
                <w:rFonts w:hint="eastAsia" w:asciiTheme="minorEastAsia" w:hAnsiTheme="minorEastAsia" w:eastAsiaTheme="minorEastAsia" w:cstheme="minorEastAsia"/>
                <w:b w:val="0"/>
                <w:bCs/>
                <w:color w:val="auto"/>
                <w:sz w:val="24"/>
                <w:szCs w:val="24"/>
                <w:highlight w:val="none"/>
                <w:u w:val="none"/>
              </w:rPr>
              <w:t>：政采云平台（https://www.zcygov.cn/） </w:t>
            </w:r>
          </w:p>
        </w:tc>
      </w:tr>
      <w:tr w14:paraId="0BD278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34" w:type="dxa"/>
            <w:noWrap w:val="0"/>
            <w:vAlign w:val="center"/>
          </w:tcPr>
          <w:p w14:paraId="20275666">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18.1</w:t>
            </w:r>
          </w:p>
        </w:tc>
        <w:tc>
          <w:tcPr>
            <w:tcW w:w="8389" w:type="dxa"/>
            <w:noWrap w:val="0"/>
            <w:vAlign w:val="center"/>
          </w:tcPr>
          <w:p w14:paraId="6A8CDD4E">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u w:val="none"/>
              </w:rPr>
            </w:pPr>
            <w:r>
              <w:rPr>
                <w:rFonts w:hint="eastAsia" w:asciiTheme="minorEastAsia" w:hAnsiTheme="minorEastAsia" w:eastAsiaTheme="minorEastAsia" w:cstheme="minorEastAsia"/>
                <w:b w:val="0"/>
                <w:bCs/>
                <w:color w:val="auto"/>
                <w:sz w:val="24"/>
                <w:szCs w:val="24"/>
                <w:highlight w:val="none"/>
                <w:u w:val="none"/>
              </w:rPr>
              <w:t>谈判报价开启时间：</w:t>
            </w:r>
            <w:r>
              <w:rPr>
                <w:rFonts w:hint="eastAsia" w:asciiTheme="minorEastAsia" w:hAnsiTheme="minorEastAsia" w:eastAsiaTheme="minorEastAsia" w:cstheme="minorEastAsia"/>
                <w:color w:val="auto"/>
                <w:sz w:val="24"/>
                <w:szCs w:val="24"/>
                <w:highlight w:val="none"/>
                <w:lang w:eastAsia="zh-CN"/>
              </w:rPr>
              <w:t>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lang w:val="en-US" w:eastAsia="zh-CN"/>
              </w:rPr>
              <w:t>06</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lang w:val="en-US" w:eastAsia="zh-CN"/>
              </w:rPr>
              <w:t>27</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lang w:val="en-US" w:eastAsia="zh-CN"/>
              </w:rPr>
              <w:t>16:00</w:t>
            </w:r>
            <w:r>
              <w:rPr>
                <w:rFonts w:hint="eastAsia" w:asciiTheme="minorEastAsia" w:hAnsiTheme="minorEastAsia" w:eastAsiaTheme="minorEastAsia" w:cstheme="minorEastAsia"/>
                <w:color w:val="auto"/>
                <w:sz w:val="24"/>
                <w:szCs w:val="24"/>
                <w:highlight w:val="none"/>
              </w:rPr>
              <w:t>（北京时间）</w:t>
            </w:r>
          </w:p>
          <w:p w14:paraId="7AA78733">
            <w:pPr>
              <w:pageBreakBefore w:val="0"/>
              <w:kinsoku/>
              <w:wordWrap/>
              <w:overflowPunct/>
              <w:topLinePunct w:val="0"/>
              <w:bidi w:val="0"/>
              <w:spacing w:line="500" w:lineRule="exact"/>
              <w:jc w:val="left"/>
              <w:textAlignment w:val="auto"/>
              <w:rPr>
                <w:rFonts w:hint="eastAsia" w:asciiTheme="minorEastAsia" w:hAnsiTheme="minorEastAsia" w:eastAsiaTheme="minorEastAsia" w:cstheme="minorEastAsia"/>
                <w:b w:val="0"/>
                <w:bCs/>
                <w:color w:val="auto"/>
                <w:sz w:val="24"/>
                <w:szCs w:val="24"/>
                <w:highlight w:val="none"/>
                <w:u w:val="none"/>
              </w:rPr>
            </w:pPr>
            <w:r>
              <w:rPr>
                <w:rFonts w:hint="eastAsia" w:asciiTheme="minorEastAsia" w:hAnsiTheme="minorEastAsia" w:eastAsiaTheme="minorEastAsia" w:cstheme="minorEastAsia"/>
                <w:b w:val="0"/>
                <w:bCs/>
                <w:color w:val="auto"/>
                <w:sz w:val="24"/>
                <w:szCs w:val="24"/>
                <w:highlight w:val="none"/>
                <w:u w:val="none"/>
              </w:rPr>
              <w:t>谈判报价开启地点：</w:t>
            </w:r>
            <w:r>
              <w:rPr>
                <w:rFonts w:hint="eastAsia" w:asciiTheme="minorEastAsia" w:hAnsiTheme="minorEastAsia" w:eastAsiaTheme="minorEastAsia" w:cstheme="minorEastAsia"/>
                <w:color w:val="auto"/>
                <w:sz w:val="24"/>
                <w:szCs w:val="24"/>
                <w:highlight w:val="none"/>
              </w:rPr>
              <w:t>政采云平台（https://www.zcygov.cn/） </w:t>
            </w:r>
          </w:p>
        </w:tc>
      </w:tr>
      <w:tr w14:paraId="36DDC7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2" w:hRule="atLeast"/>
          <w:jc w:val="center"/>
        </w:trPr>
        <w:tc>
          <w:tcPr>
            <w:tcW w:w="1334" w:type="dxa"/>
            <w:shd w:val="clear" w:color="auto" w:fill="auto"/>
            <w:noWrap w:val="0"/>
            <w:vAlign w:val="center"/>
          </w:tcPr>
          <w:p w14:paraId="54596F99">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rPr>
              <w:t>23.2</w:t>
            </w:r>
          </w:p>
        </w:tc>
        <w:tc>
          <w:tcPr>
            <w:tcW w:w="8389" w:type="dxa"/>
            <w:shd w:val="clear" w:color="auto" w:fill="auto"/>
            <w:noWrap w:val="0"/>
            <w:vAlign w:val="center"/>
          </w:tcPr>
          <w:p w14:paraId="68D2414F">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rPr>
              <w:t>评审方法：</w:t>
            </w:r>
            <w:r>
              <w:rPr>
                <w:rFonts w:hint="eastAsia" w:asciiTheme="minorEastAsia" w:hAnsiTheme="minorEastAsia" w:eastAsiaTheme="minorEastAsia" w:cstheme="minorEastAsia"/>
                <w:b w:val="0"/>
                <w:bCs/>
                <w:color w:val="auto"/>
                <w:sz w:val="24"/>
                <w:szCs w:val="24"/>
                <w:highlight w:val="none"/>
                <w:lang w:val="en-US" w:eastAsia="zh-CN"/>
              </w:rPr>
              <w:t>最低评标价法。</w:t>
            </w:r>
            <w:r>
              <w:rPr>
                <w:rFonts w:hint="eastAsia" w:asciiTheme="minorEastAsia" w:hAnsiTheme="minorEastAsia" w:eastAsiaTheme="minorEastAsia" w:cstheme="minorEastAsia"/>
                <w:b w:val="0"/>
                <w:bCs/>
                <w:color w:val="auto"/>
                <w:sz w:val="24"/>
                <w:szCs w:val="24"/>
                <w:highlight w:val="none"/>
              </w:rPr>
              <w:t>根据质量和</w:t>
            </w:r>
            <w:r>
              <w:rPr>
                <w:rFonts w:hint="eastAsia" w:asciiTheme="minorEastAsia" w:hAnsiTheme="minorEastAsia" w:eastAsiaTheme="minorEastAsia" w:cstheme="minorEastAsia"/>
                <w:b w:val="0"/>
                <w:bCs/>
                <w:color w:val="auto"/>
                <w:sz w:val="24"/>
                <w:szCs w:val="24"/>
                <w:highlight w:val="none"/>
                <w:lang w:eastAsia="zh-CN"/>
              </w:rPr>
              <w:t>货物</w:t>
            </w:r>
            <w:r>
              <w:rPr>
                <w:rFonts w:hint="eastAsia" w:asciiTheme="minorEastAsia" w:hAnsiTheme="minorEastAsia" w:eastAsiaTheme="minorEastAsia" w:cstheme="minorEastAsia"/>
                <w:b w:val="0"/>
                <w:bCs/>
                <w:color w:val="auto"/>
                <w:sz w:val="24"/>
                <w:szCs w:val="24"/>
                <w:highlight w:val="none"/>
              </w:rPr>
              <w:t>均能满足采购文件实质性响应要求且报价最低的原则确定成交供应商。　　　</w:t>
            </w:r>
          </w:p>
        </w:tc>
      </w:tr>
      <w:tr w14:paraId="1AB583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jc w:val="center"/>
        </w:trPr>
        <w:tc>
          <w:tcPr>
            <w:tcW w:w="1334" w:type="dxa"/>
            <w:noWrap w:val="0"/>
            <w:vAlign w:val="center"/>
          </w:tcPr>
          <w:p w14:paraId="2DB4D624">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27</w:t>
            </w:r>
          </w:p>
        </w:tc>
        <w:tc>
          <w:tcPr>
            <w:tcW w:w="8389" w:type="dxa"/>
            <w:noWrap w:val="0"/>
            <w:vAlign w:val="center"/>
          </w:tcPr>
          <w:p w14:paraId="1054D4F0">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b w:val="0"/>
                <w:bCs/>
                <w:color w:val="auto"/>
                <w:sz w:val="24"/>
                <w:szCs w:val="24"/>
                <w:highlight w:val="none"/>
                <w:lang w:eastAsia="zh-CN"/>
              </w:rPr>
              <w:t>推荐成交候选供应商的数量：</w:t>
            </w:r>
            <w:r>
              <w:rPr>
                <w:rFonts w:hint="eastAsia" w:asciiTheme="minorEastAsia" w:hAnsiTheme="minorEastAsia" w:eastAsiaTheme="minorEastAsia" w:cstheme="minorEastAsia"/>
                <w:b w:val="0"/>
                <w:bCs/>
                <w:color w:val="auto"/>
                <w:sz w:val="24"/>
                <w:szCs w:val="24"/>
                <w:highlight w:val="none"/>
                <w:lang w:val="en-US" w:eastAsia="zh-CN"/>
              </w:rPr>
              <w:t>3家。</w:t>
            </w:r>
          </w:p>
        </w:tc>
      </w:tr>
      <w:tr w14:paraId="210AF4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34" w:type="dxa"/>
            <w:noWrap w:val="0"/>
            <w:vAlign w:val="center"/>
          </w:tcPr>
          <w:p w14:paraId="4BC59E21">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27</w:t>
            </w:r>
          </w:p>
        </w:tc>
        <w:tc>
          <w:tcPr>
            <w:tcW w:w="8389" w:type="dxa"/>
            <w:noWrap w:val="0"/>
            <w:vAlign w:val="center"/>
          </w:tcPr>
          <w:p w14:paraId="2FB35B6C">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采购人是否委托谈判小组直接确定成交供应商：</w:t>
            </w:r>
            <w:r>
              <w:rPr>
                <w:rFonts w:hint="eastAsia" w:asciiTheme="minorEastAsia" w:hAnsiTheme="minorEastAsia" w:eastAsiaTheme="minorEastAsia" w:cstheme="minorEastAsia"/>
                <w:b w:val="0"/>
                <w:bCs/>
                <w:color w:val="auto"/>
                <w:sz w:val="24"/>
                <w:szCs w:val="24"/>
                <w:highlight w:val="none"/>
                <w:u w:val="single"/>
              </w:rPr>
              <w:t xml:space="preserve"> 否  </w:t>
            </w:r>
            <w:r>
              <w:rPr>
                <w:rFonts w:hint="eastAsia" w:asciiTheme="minorEastAsia" w:hAnsiTheme="minorEastAsia" w:eastAsiaTheme="minorEastAsia" w:cstheme="minorEastAsia"/>
                <w:b w:val="0"/>
                <w:bCs/>
                <w:color w:val="auto"/>
                <w:sz w:val="24"/>
                <w:szCs w:val="24"/>
                <w:highlight w:val="none"/>
              </w:rPr>
              <w:t xml:space="preserve"> </w:t>
            </w:r>
            <w:r>
              <w:rPr>
                <w:rFonts w:hint="eastAsia" w:asciiTheme="minorEastAsia" w:hAnsiTheme="minorEastAsia" w:eastAsiaTheme="minorEastAsia" w:cstheme="minorEastAsia"/>
                <w:b w:val="0"/>
                <w:bCs/>
                <w:i/>
                <w:color w:val="auto"/>
                <w:sz w:val="24"/>
                <w:szCs w:val="24"/>
                <w:highlight w:val="none"/>
              </w:rPr>
              <w:t>（是、否）</w:t>
            </w:r>
          </w:p>
        </w:tc>
      </w:tr>
      <w:tr w14:paraId="364703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34" w:type="dxa"/>
            <w:noWrap w:val="0"/>
            <w:vAlign w:val="center"/>
          </w:tcPr>
          <w:p w14:paraId="2A2EC00B">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31.1</w:t>
            </w:r>
          </w:p>
        </w:tc>
        <w:tc>
          <w:tcPr>
            <w:tcW w:w="8389" w:type="dxa"/>
            <w:noWrap w:val="0"/>
            <w:vAlign w:val="center"/>
          </w:tcPr>
          <w:p w14:paraId="7EEBD4CA">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u w:val="single"/>
              </w:rPr>
            </w:pPr>
            <w:r>
              <w:rPr>
                <w:rFonts w:hint="eastAsia" w:asciiTheme="minorEastAsia" w:hAnsiTheme="minorEastAsia" w:eastAsiaTheme="minorEastAsia" w:cstheme="minorEastAsia"/>
                <w:b w:val="0"/>
                <w:bCs/>
                <w:color w:val="auto"/>
                <w:sz w:val="24"/>
                <w:szCs w:val="24"/>
                <w:highlight w:val="none"/>
              </w:rPr>
              <w:t>履约保证金金额：</w:t>
            </w:r>
            <w:r>
              <w:rPr>
                <w:rFonts w:hint="eastAsia" w:asciiTheme="minorEastAsia" w:hAnsiTheme="minorEastAsia" w:eastAsiaTheme="minorEastAsia" w:cstheme="minorEastAsia"/>
                <w:b w:val="0"/>
                <w:bCs/>
                <w:color w:val="auto"/>
                <w:sz w:val="24"/>
                <w:szCs w:val="24"/>
                <w:highlight w:val="none"/>
                <w:u w:val="single"/>
                <w:lang w:val="en-US" w:eastAsia="zh-CN"/>
              </w:rPr>
              <w:t>成交金额的5</w:t>
            </w:r>
            <w:r>
              <w:rPr>
                <w:rFonts w:hint="eastAsia" w:asciiTheme="minorEastAsia" w:hAnsiTheme="minorEastAsia" w:eastAsiaTheme="minorEastAsia" w:cstheme="minorEastAsia"/>
                <w:b w:val="0"/>
                <w:bCs/>
                <w:color w:val="auto"/>
                <w:sz w:val="24"/>
                <w:szCs w:val="24"/>
                <w:highlight w:val="none"/>
                <w:u w:val="single"/>
              </w:rPr>
              <w:t>%　</w:t>
            </w:r>
          </w:p>
          <w:p w14:paraId="3FD093B7">
            <w:pPr>
              <w:pageBreakBefore w:val="0"/>
              <w:kinsoku/>
              <w:wordWrap/>
              <w:overflowPunct/>
              <w:topLinePunct w:val="0"/>
              <w:bidi w:val="0"/>
              <w:spacing w:line="500" w:lineRule="exact"/>
              <w:ind w:left="600" w:hanging="600" w:hangingChars="25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履约保证金形式：</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bCs/>
                <w:color w:val="auto"/>
                <w:sz w:val="24"/>
                <w:szCs w:val="24"/>
                <w:highlight w:val="none"/>
                <w:u w:val="single"/>
                <w:lang w:eastAsia="zh-CN"/>
              </w:rPr>
              <w:sym w:font="Wingdings 2" w:char="0052"/>
            </w:r>
            <w:r>
              <w:rPr>
                <w:rFonts w:hint="eastAsia" w:asciiTheme="minorEastAsia" w:hAnsiTheme="minorEastAsia" w:eastAsiaTheme="minorEastAsia" w:cstheme="minorEastAsia"/>
                <w:b w:val="0"/>
                <w:bCs/>
                <w:color w:val="auto"/>
                <w:sz w:val="24"/>
                <w:szCs w:val="24"/>
                <w:highlight w:val="none"/>
                <w:u w:val="single"/>
              </w:rPr>
              <w:t xml:space="preserve">保函 </w:t>
            </w:r>
            <w:r>
              <w:rPr>
                <w:rFonts w:hint="eastAsia" w:asciiTheme="minorEastAsia" w:hAnsiTheme="minorEastAsia" w:eastAsiaTheme="minorEastAsia" w:cstheme="minorEastAsia"/>
                <w:b w:val="0"/>
                <w:bCs/>
                <w:color w:val="auto"/>
                <w:sz w:val="24"/>
                <w:szCs w:val="24"/>
                <w:highlight w:val="none"/>
                <w:u w:val="single"/>
                <w:lang w:eastAsia="zh-CN"/>
              </w:rPr>
              <w:sym w:font="Wingdings 2" w:char="0052"/>
            </w:r>
            <w:r>
              <w:rPr>
                <w:rFonts w:hint="eastAsia" w:asciiTheme="minorEastAsia" w:hAnsiTheme="minorEastAsia" w:eastAsiaTheme="minorEastAsia" w:cstheme="minorEastAsia"/>
                <w:b w:val="0"/>
                <w:bCs/>
                <w:color w:val="auto"/>
                <w:sz w:val="24"/>
                <w:szCs w:val="24"/>
                <w:highlight w:val="none"/>
                <w:u w:val="single"/>
              </w:rPr>
              <w:t xml:space="preserve">电汇 </w:t>
            </w:r>
            <w:r>
              <w:rPr>
                <w:rFonts w:hint="eastAsia" w:asciiTheme="minorEastAsia" w:hAnsiTheme="minorEastAsia" w:eastAsiaTheme="minorEastAsia" w:cstheme="minorEastAsia"/>
                <w:b w:val="0"/>
                <w:bCs/>
                <w:color w:val="auto"/>
                <w:sz w:val="24"/>
                <w:szCs w:val="24"/>
                <w:highlight w:val="none"/>
                <w:u w:val="single"/>
                <w:lang w:eastAsia="zh-CN"/>
              </w:rPr>
              <w:sym w:font="Wingdings 2" w:char="0052"/>
            </w:r>
            <w:r>
              <w:rPr>
                <w:rFonts w:hint="eastAsia" w:asciiTheme="minorEastAsia" w:hAnsiTheme="minorEastAsia" w:eastAsiaTheme="minorEastAsia" w:cstheme="minorEastAsia"/>
                <w:b w:val="0"/>
                <w:bCs/>
                <w:color w:val="auto"/>
                <w:sz w:val="24"/>
                <w:szCs w:val="24"/>
                <w:highlight w:val="none"/>
                <w:u w:val="single"/>
              </w:rPr>
              <w:t>支票</w:t>
            </w:r>
            <w:r>
              <w:rPr>
                <w:rFonts w:hint="eastAsia" w:asciiTheme="minorEastAsia" w:hAnsiTheme="minorEastAsia" w:eastAsiaTheme="minorEastAsia" w:cstheme="minorEastAsia"/>
                <w:b w:val="0"/>
                <w:bCs/>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color w:val="auto"/>
                <w:sz w:val="24"/>
                <w:szCs w:val="24"/>
                <w:highlight w:val="none"/>
                <w:u w:val="single"/>
              </w:rPr>
              <w:t>☑对公转账</w:t>
            </w:r>
            <w:r>
              <w:rPr>
                <w:rFonts w:hint="eastAsia" w:asciiTheme="minorEastAsia" w:hAnsiTheme="minorEastAsia" w:eastAsiaTheme="minorEastAsia" w:cstheme="minorEastAsia"/>
                <w:b w:val="0"/>
                <w:bCs/>
                <w:color w:val="auto"/>
                <w:sz w:val="24"/>
                <w:szCs w:val="24"/>
                <w:highlight w:val="none"/>
              </w:rPr>
              <w:t xml:space="preserve"> </w:t>
            </w:r>
          </w:p>
          <w:p w14:paraId="16E2D153">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rPr>
              <w:t>提交履约保证金的时间：</w:t>
            </w:r>
            <w:r>
              <w:rPr>
                <w:rFonts w:hint="eastAsia" w:asciiTheme="minorEastAsia" w:hAnsiTheme="minorEastAsia" w:eastAsiaTheme="minorEastAsia" w:cstheme="minorEastAsia"/>
                <w:color w:val="auto"/>
                <w:sz w:val="24"/>
                <w:szCs w:val="24"/>
                <w:highlight w:val="none"/>
                <w:u w:val="single"/>
                <w:lang w:eastAsia="zh-CN"/>
              </w:rPr>
              <w:t>采购人与</w:t>
            </w:r>
            <w:r>
              <w:rPr>
                <w:rFonts w:hint="eastAsia" w:asciiTheme="minorEastAsia" w:hAnsiTheme="minorEastAsia" w:eastAsiaTheme="minorEastAsia" w:cstheme="minorEastAsia"/>
                <w:color w:val="auto"/>
                <w:sz w:val="24"/>
                <w:szCs w:val="24"/>
                <w:highlight w:val="none"/>
                <w:u w:val="single"/>
                <w:lang w:val="en-US" w:eastAsia="zh-CN"/>
              </w:rPr>
              <w:t>成交</w:t>
            </w:r>
            <w:r>
              <w:rPr>
                <w:rFonts w:hint="eastAsia" w:asciiTheme="minorEastAsia" w:hAnsiTheme="minorEastAsia" w:eastAsiaTheme="minorEastAsia" w:cstheme="minorEastAsia"/>
                <w:color w:val="auto"/>
                <w:sz w:val="24"/>
                <w:szCs w:val="24"/>
                <w:highlight w:val="none"/>
                <w:u w:val="single"/>
                <w:lang w:eastAsia="zh-CN"/>
              </w:rPr>
              <w:t>供应商签订合同时具体约定。</w:t>
            </w:r>
          </w:p>
        </w:tc>
      </w:tr>
      <w:tr w14:paraId="50A6C2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34" w:type="dxa"/>
            <w:noWrap w:val="0"/>
            <w:vAlign w:val="center"/>
          </w:tcPr>
          <w:p w14:paraId="323A6CC8">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32</w:t>
            </w:r>
          </w:p>
        </w:tc>
        <w:tc>
          <w:tcPr>
            <w:tcW w:w="8389" w:type="dxa"/>
            <w:noWrap w:val="0"/>
            <w:vAlign w:val="center"/>
          </w:tcPr>
          <w:p w14:paraId="13FAAB7F">
            <w:pPr>
              <w:spacing w:line="36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代理</w:t>
            </w:r>
            <w:r>
              <w:rPr>
                <w:rFonts w:hint="eastAsia" w:asciiTheme="minorEastAsia" w:hAnsiTheme="minorEastAsia" w:eastAsiaTheme="minorEastAsia" w:cstheme="minorEastAsia"/>
                <w:color w:val="auto"/>
                <w:sz w:val="24"/>
                <w:szCs w:val="24"/>
                <w:highlight w:val="none"/>
              </w:rPr>
              <w:t>服务费</w:t>
            </w:r>
            <w:r>
              <w:rPr>
                <w:rFonts w:hint="eastAsia" w:asciiTheme="minorEastAsia" w:hAnsiTheme="minorEastAsia" w:eastAsiaTheme="minorEastAsia" w:cstheme="minorEastAsia"/>
                <w:color w:val="auto"/>
                <w:sz w:val="24"/>
                <w:szCs w:val="24"/>
                <w:highlight w:val="none"/>
                <w:lang w:eastAsia="zh-CN"/>
              </w:rPr>
              <w:t>：参照发改价格[2015]299号文收取，经采购单位与招标代理公司协商确定，代理服务费按照</w:t>
            </w:r>
            <w:r>
              <w:rPr>
                <w:rFonts w:hint="eastAsia" w:asciiTheme="minorEastAsia" w:hAnsiTheme="minorEastAsia" w:eastAsiaTheme="minorEastAsia" w:cstheme="minorEastAsia"/>
                <w:color w:val="auto"/>
                <w:sz w:val="24"/>
                <w:szCs w:val="24"/>
                <w:highlight w:val="none"/>
                <w:lang w:val="en-US" w:eastAsia="zh-CN"/>
              </w:rPr>
              <w:t>成交</w:t>
            </w:r>
            <w:r>
              <w:rPr>
                <w:rFonts w:hint="eastAsia" w:asciiTheme="minorEastAsia" w:hAnsiTheme="minorEastAsia" w:eastAsiaTheme="minorEastAsia" w:cstheme="minorEastAsia"/>
                <w:color w:val="auto"/>
                <w:sz w:val="24"/>
                <w:szCs w:val="24"/>
                <w:highlight w:val="none"/>
                <w:lang w:eastAsia="zh-CN"/>
              </w:rPr>
              <w:t>金额的1.5%向成交单位收取。</w:t>
            </w:r>
            <w:r>
              <w:rPr>
                <w:rFonts w:hint="eastAsia" w:asciiTheme="minorEastAsia" w:hAnsiTheme="minorEastAsia" w:eastAsiaTheme="minorEastAsia" w:cstheme="minorEastAsia"/>
                <w:color w:val="auto"/>
                <w:sz w:val="24"/>
                <w:szCs w:val="24"/>
                <w:highlight w:val="none"/>
                <w:lang w:val="en-US" w:eastAsia="zh-CN"/>
              </w:rPr>
              <w:t xml:space="preserve">（由成交供应商领取成交通知书时一次性支付）                             </w:t>
            </w:r>
          </w:p>
          <w:p w14:paraId="261040AE">
            <w:pPr>
              <w:snapToGrid w:val="0"/>
              <w:ind w:left="900" w:hanging="900" w:hangingChars="375"/>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支付形式：</w:t>
            </w:r>
            <w:r>
              <w:rPr>
                <w:rFonts w:hint="eastAsia" w:asciiTheme="minorEastAsia" w:hAnsiTheme="minorEastAsia" w:eastAsiaTheme="minorEastAsia" w:cstheme="minorEastAsia"/>
                <w:color w:val="auto"/>
                <w:sz w:val="24"/>
                <w:szCs w:val="24"/>
                <w:highlight w:val="none"/>
                <w:u w:val="single" w:color="000000"/>
              </w:rPr>
              <w:t xml:space="preserve"> 对公转账  </w:t>
            </w:r>
            <w:r>
              <w:rPr>
                <w:rFonts w:hint="eastAsia" w:asciiTheme="minorEastAsia" w:hAnsiTheme="minorEastAsia" w:eastAsiaTheme="minorEastAsia" w:cstheme="minorEastAsia"/>
                <w:color w:val="auto"/>
                <w:sz w:val="24"/>
                <w:szCs w:val="24"/>
                <w:highlight w:val="none"/>
                <w:u w:val="single" w:color="000000"/>
                <w:lang w:val="en-US" w:eastAsia="zh-CN"/>
              </w:rPr>
              <w:t xml:space="preserve"> </w:t>
            </w:r>
          </w:p>
          <w:p w14:paraId="642EA73A">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color w:val="auto"/>
                <w:sz w:val="24"/>
                <w:szCs w:val="24"/>
                <w:highlight w:val="none"/>
              </w:rPr>
              <w:t>支付时间：</w:t>
            </w:r>
            <w:r>
              <w:rPr>
                <w:rFonts w:hint="eastAsia" w:asciiTheme="minorEastAsia" w:hAnsiTheme="minorEastAsia" w:eastAsiaTheme="minorEastAsia" w:cstheme="minorEastAsia"/>
                <w:color w:val="auto"/>
                <w:sz w:val="24"/>
                <w:szCs w:val="24"/>
                <w:highlight w:val="none"/>
                <w:u w:val="single" w:color="000000"/>
              </w:rPr>
              <w:t xml:space="preserve"> 领取</w:t>
            </w:r>
            <w:r>
              <w:rPr>
                <w:rFonts w:hint="eastAsia" w:asciiTheme="minorEastAsia" w:hAnsiTheme="minorEastAsia" w:eastAsiaTheme="minorEastAsia" w:cstheme="minorEastAsia"/>
                <w:color w:val="auto"/>
                <w:sz w:val="24"/>
                <w:szCs w:val="24"/>
                <w:highlight w:val="none"/>
                <w:u w:val="single" w:color="000000"/>
                <w:lang w:eastAsia="zh-CN"/>
              </w:rPr>
              <w:t>成交</w:t>
            </w:r>
            <w:r>
              <w:rPr>
                <w:rFonts w:hint="eastAsia" w:asciiTheme="minorEastAsia" w:hAnsiTheme="minorEastAsia" w:eastAsiaTheme="minorEastAsia" w:cstheme="minorEastAsia"/>
                <w:color w:val="auto"/>
                <w:sz w:val="24"/>
                <w:szCs w:val="24"/>
                <w:highlight w:val="none"/>
                <w:u w:val="single" w:color="000000"/>
              </w:rPr>
              <w:t xml:space="preserve">通知书时 </w:t>
            </w:r>
          </w:p>
        </w:tc>
      </w:tr>
      <w:tr w14:paraId="72902C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34" w:type="dxa"/>
            <w:noWrap w:val="0"/>
            <w:vAlign w:val="center"/>
          </w:tcPr>
          <w:p w14:paraId="4DE24927">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33.1</w:t>
            </w:r>
          </w:p>
        </w:tc>
        <w:tc>
          <w:tcPr>
            <w:tcW w:w="8389" w:type="dxa"/>
            <w:noWrap w:val="0"/>
            <w:vAlign w:val="center"/>
          </w:tcPr>
          <w:p w14:paraId="4340ADB7">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本项目是否属于信用担保试点范围：</w:t>
            </w:r>
            <w:r>
              <w:rPr>
                <w:rFonts w:hint="eastAsia" w:asciiTheme="minorEastAsia" w:hAnsiTheme="minorEastAsia" w:eastAsiaTheme="minorEastAsia" w:cstheme="minorEastAsia"/>
                <w:b w:val="0"/>
                <w:bCs/>
                <w:color w:val="auto"/>
                <w:sz w:val="24"/>
                <w:szCs w:val="24"/>
                <w:highlight w:val="none"/>
                <w:u w:val="single"/>
              </w:rPr>
              <w:t xml:space="preserve">  否  </w:t>
            </w:r>
            <w:r>
              <w:rPr>
                <w:rFonts w:hint="eastAsia" w:asciiTheme="minorEastAsia" w:hAnsiTheme="minorEastAsia" w:eastAsiaTheme="minorEastAsia" w:cstheme="minorEastAsia"/>
                <w:b w:val="0"/>
                <w:bCs/>
                <w:color w:val="auto"/>
                <w:sz w:val="24"/>
                <w:szCs w:val="24"/>
                <w:highlight w:val="none"/>
              </w:rPr>
              <w:t xml:space="preserve"> </w:t>
            </w:r>
            <w:r>
              <w:rPr>
                <w:rFonts w:hint="eastAsia" w:asciiTheme="minorEastAsia" w:hAnsiTheme="minorEastAsia" w:eastAsiaTheme="minorEastAsia" w:cstheme="minorEastAsia"/>
                <w:b w:val="0"/>
                <w:bCs/>
                <w:i/>
                <w:color w:val="auto"/>
                <w:sz w:val="24"/>
                <w:szCs w:val="24"/>
                <w:highlight w:val="none"/>
              </w:rPr>
              <w:t>（是、否）</w:t>
            </w:r>
          </w:p>
        </w:tc>
      </w:tr>
      <w:tr w14:paraId="193CF6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723" w:type="dxa"/>
            <w:gridSpan w:val="2"/>
            <w:noWrap w:val="0"/>
            <w:vAlign w:val="center"/>
          </w:tcPr>
          <w:p w14:paraId="0A1AA9CB">
            <w:pPr>
              <w:keepNext w:val="0"/>
              <w:keepLines w:val="0"/>
              <w:pageBreakBefore w:val="0"/>
              <w:widowControl w:val="0"/>
              <w:kinsoku/>
              <w:wordWrap/>
              <w:overflowPunct/>
              <w:topLinePunct w:val="0"/>
              <w:bidi w:val="0"/>
              <w:snapToGrid/>
              <w:spacing w:line="380" w:lineRule="exact"/>
              <w:textAlignment w:val="auto"/>
              <w:rPr>
                <w:rFonts w:hint="eastAsia" w:asciiTheme="minorEastAsia" w:hAnsiTheme="minorEastAsia" w:eastAsiaTheme="minorEastAsia" w:cstheme="minorEastAsia"/>
                <w:color w:val="auto"/>
                <w:sz w:val="24"/>
                <w:szCs w:val="24"/>
                <w:highlight w:val="none"/>
                <w:lang w:val="en-US" w:eastAsia="zh-CN"/>
              </w:rPr>
            </w:pPr>
            <w:bookmarkStart w:id="763" w:name="_Toc27982"/>
            <w:bookmarkStart w:id="764" w:name="_Toc17499"/>
            <w:bookmarkStart w:id="765" w:name="_Toc17321"/>
            <w:bookmarkStart w:id="766" w:name="_Toc29798"/>
            <w:r>
              <w:rPr>
                <w:rFonts w:hint="eastAsia" w:asciiTheme="minorEastAsia" w:hAnsiTheme="minorEastAsia" w:eastAsiaTheme="minorEastAsia" w:cstheme="minorEastAsia"/>
                <w:color w:val="auto"/>
                <w:sz w:val="24"/>
                <w:szCs w:val="24"/>
                <w:highlight w:val="none"/>
                <w:lang w:val="en-US" w:eastAsia="zh-CN"/>
              </w:rPr>
              <w:t xml:space="preserve">注：供应商通过PS造假等手段提供虚假证明材料，隐瞒事实、虚假投标并成交（成交），验收过程中经过严格验收发现问题后，立即终止并反馈当地采购办要求列入黑名单，并承担造成的一切后果。 </w:t>
            </w:r>
          </w:p>
          <w:p w14:paraId="04972A7E">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供应商以他人名义响应谈判或者以其他方式弄虚作假，骗取成交的，成交无效，给采购人造成损失的，依法承担赔偿责任；构成犯罪的，依法追究刑事责任。</w:t>
            </w:r>
          </w:p>
        </w:tc>
      </w:tr>
    </w:tbl>
    <w:p w14:paraId="6E335B07">
      <w:pPr>
        <w:pStyle w:val="2"/>
        <w:numPr>
          <w:ilvl w:val="0"/>
          <w:numId w:val="0"/>
        </w:numPr>
        <w:bidi w:val="0"/>
        <w:jc w:val="center"/>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bCs w:val="0"/>
          <w:color w:val="auto"/>
          <w:kern w:val="44"/>
          <w:sz w:val="24"/>
          <w:szCs w:val="24"/>
          <w:highlight w:val="none"/>
          <w:lang w:val="en-US" w:eastAsia="zh-CN" w:bidi="ar-SA"/>
        </w:rPr>
        <w:br w:type="page"/>
      </w:r>
      <w:bookmarkStart w:id="767" w:name="_Toc20758"/>
      <w:r>
        <w:rPr>
          <w:rFonts w:hint="eastAsia" w:asciiTheme="minorEastAsia" w:hAnsiTheme="minorEastAsia" w:eastAsiaTheme="minorEastAsia" w:cstheme="minorEastAsia"/>
          <w:b w:val="0"/>
          <w:bCs/>
          <w:color w:val="auto"/>
          <w:sz w:val="24"/>
          <w:szCs w:val="24"/>
          <w:highlight w:val="none"/>
          <w:lang w:val="en-US" w:eastAsia="zh-CN"/>
        </w:rPr>
        <w:t>第5章</w:t>
      </w:r>
      <w:bookmarkEnd w:id="763"/>
      <w:bookmarkEnd w:id="764"/>
      <w:r>
        <w:rPr>
          <w:rFonts w:hint="eastAsia" w:asciiTheme="minorEastAsia" w:hAnsiTheme="minorEastAsia" w:eastAsiaTheme="minorEastAsia" w:cstheme="minorEastAsia"/>
          <w:b w:val="0"/>
          <w:bCs/>
          <w:color w:val="auto"/>
          <w:sz w:val="24"/>
          <w:szCs w:val="24"/>
          <w:highlight w:val="none"/>
          <w:lang w:val="en-US" w:eastAsia="zh-CN"/>
        </w:rPr>
        <w:t xml:space="preserve">  采购需求</w:t>
      </w:r>
      <w:bookmarkEnd w:id="767"/>
    </w:p>
    <w:bookmarkEnd w:id="765"/>
    <w:bookmarkEnd w:id="766"/>
    <w:p w14:paraId="7AC1A15D">
      <w:pPr>
        <w:pStyle w:val="2"/>
        <w:pageBreakBefore w:val="0"/>
        <w:kinsoku/>
        <w:wordWrap/>
        <w:overflowPunct/>
        <w:bidi w:val="0"/>
        <w:spacing w:before="0" w:after="0" w:line="360" w:lineRule="auto"/>
        <w:ind w:left="0" w:leftChars="0"/>
        <w:jc w:val="center"/>
        <w:rPr>
          <w:rFonts w:hint="eastAsia" w:asciiTheme="minorEastAsia" w:hAnsiTheme="minorEastAsia" w:eastAsiaTheme="minorEastAsia" w:cstheme="minorEastAsia"/>
          <w:b w:val="0"/>
          <w:bCs/>
          <w:color w:val="auto"/>
          <w:sz w:val="24"/>
          <w:szCs w:val="24"/>
        </w:rPr>
      </w:pPr>
      <w:bookmarkStart w:id="768" w:name="_Toc10687"/>
      <w:bookmarkStart w:id="769" w:name="_Toc12097"/>
      <w:r>
        <w:rPr>
          <w:rFonts w:hint="eastAsia" w:asciiTheme="minorEastAsia" w:hAnsiTheme="minorEastAsia" w:eastAsiaTheme="minorEastAsia" w:cstheme="minorEastAsia"/>
          <w:b w:val="0"/>
          <w:bCs/>
          <w:color w:val="auto"/>
          <w:sz w:val="24"/>
          <w:szCs w:val="24"/>
          <w:lang w:val="en-US" w:eastAsia="zh-CN"/>
        </w:rPr>
        <w:t>第一部分</w:t>
      </w:r>
      <w:r>
        <w:rPr>
          <w:rFonts w:hint="eastAsia" w:asciiTheme="minorEastAsia" w:hAnsiTheme="minorEastAsia" w:eastAsiaTheme="minorEastAsia" w:cstheme="minorEastAsia"/>
          <w:b w:val="0"/>
          <w:bCs/>
          <w:color w:val="auto"/>
          <w:sz w:val="24"/>
          <w:szCs w:val="24"/>
        </w:rPr>
        <w:t xml:space="preserve"> 采购货物清单及技术规格要求</w:t>
      </w:r>
    </w:p>
    <w:p w14:paraId="3EDAF98F">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谈判</w:t>
      </w:r>
      <w:r>
        <w:rPr>
          <w:rFonts w:hint="eastAsia" w:asciiTheme="minorEastAsia" w:hAnsiTheme="minorEastAsia" w:eastAsiaTheme="minorEastAsia" w:cstheme="minorEastAsia"/>
          <w:color w:val="auto"/>
          <w:sz w:val="24"/>
          <w:szCs w:val="24"/>
        </w:rPr>
        <w:t>文件技术指标参数要求均为项目的参考指标，并不局限于某一品牌。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在投标中可以选用替代指标，但这些替代技术指标要实质上相当于或优于</w:t>
      </w:r>
      <w:r>
        <w:rPr>
          <w:rFonts w:hint="eastAsia" w:asciiTheme="minorEastAsia" w:hAnsiTheme="minorEastAsia" w:eastAsiaTheme="minorEastAsia" w:cstheme="minorEastAsia"/>
          <w:color w:val="auto"/>
          <w:sz w:val="24"/>
          <w:szCs w:val="24"/>
          <w:lang w:eastAsia="zh-CN"/>
        </w:rPr>
        <w:t>谈判</w:t>
      </w:r>
      <w:r>
        <w:rPr>
          <w:rFonts w:hint="eastAsia" w:asciiTheme="minorEastAsia" w:hAnsiTheme="minorEastAsia" w:eastAsiaTheme="minorEastAsia" w:cstheme="minorEastAsia"/>
          <w:color w:val="auto"/>
          <w:sz w:val="24"/>
          <w:szCs w:val="24"/>
        </w:rPr>
        <w:t>文件中的要求。</w:t>
      </w:r>
    </w:p>
    <w:p w14:paraId="18882F9E">
      <w:pPr>
        <w:pStyle w:val="3"/>
        <w:bidi w:val="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一、采购清单</w:t>
      </w:r>
    </w:p>
    <w:tbl>
      <w:tblPr>
        <w:tblStyle w:val="44"/>
        <w:tblW w:w="48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4804"/>
        <w:gridCol w:w="1177"/>
        <w:gridCol w:w="1299"/>
      </w:tblGrid>
      <w:tr w14:paraId="6316E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23" w:type="pct"/>
            <w:noWrap w:val="0"/>
            <w:vAlign w:val="center"/>
          </w:tcPr>
          <w:p w14:paraId="7E23A61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序号</w:t>
            </w:r>
          </w:p>
        </w:tc>
        <w:tc>
          <w:tcPr>
            <w:tcW w:w="2887" w:type="pct"/>
            <w:noWrap w:val="0"/>
            <w:vAlign w:val="center"/>
          </w:tcPr>
          <w:p w14:paraId="21132D6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设备名称</w:t>
            </w:r>
          </w:p>
        </w:tc>
        <w:tc>
          <w:tcPr>
            <w:tcW w:w="707" w:type="pct"/>
            <w:noWrap w:val="0"/>
            <w:vAlign w:val="center"/>
          </w:tcPr>
          <w:p w14:paraId="73EBF31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数量</w:t>
            </w:r>
          </w:p>
        </w:tc>
        <w:tc>
          <w:tcPr>
            <w:tcW w:w="780" w:type="pct"/>
            <w:shd w:val="clear" w:color="auto" w:fill="auto"/>
            <w:noWrap w:val="0"/>
            <w:vAlign w:val="center"/>
          </w:tcPr>
          <w:p w14:paraId="15EA51B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单位</w:t>
            </w:r>
          </w:p>
        </w:tc>
      </w:tr>
      <w:tr w14:paraId="009A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23" w:type="pct"/>
            <w:noWrap w:val="0"/>
            <w:vAlign w:val="center"/>
          </w:tcPr>
          <w:p w14:paraId="1DFD30D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2887" w:type="pct"/>
            <w:noWrap w:val="0"/>
            <w:vAlign w:val="center"/>
          </w:tcPr>
          <w:p w14:paraId="54D1628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二氧化硫分析仪</w:t>
            </w:r>
          </w:p>
        </w:tc>
        <w:tc>
          <w:tcPr>
            <w:tcW w:w="707" w:type="pct"/>
            <w:noWrap w:val="0"/>
            <w:vAlign w:val="center"/>
          </w:tcPr>
          <w:p w14:paraId="00E4025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p>
        </w:tc>
        <w:tc>
          <w:tcPr>
            <w:tcW w:w="780" w:type="pct"/>
            <w:shd w:val="clear" w:color="auto" w:fill="auto"/>
            <w:noWrap w:val="0"/>
            <w:vAlign w:val="center"/>
          </w:tcPr>
          <w:p w14:paraId="7375B18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套</w:t>
            </w:r>
          </w:p>
        </w:tc>
      </w:tr>
      <w:tr w14:paraId="1D6B7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23" w:type="pct"/>
            <w:noWrap w:val="0"/>
            <w:vAlign w:val="center"/>
          </w:tcPr>
          <w:p w14:paraId="1AB4190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w:t>
            </w:r>
          </w:p>
        </w:tc>
        <w:tc>
          <w:tcPr>
            <w:tcW w:w="2887" w:type="pct"/>
            <w:noWrap w:val="0"/>
            <w:vAlign w:val="center"/>
          </w:tcPr>
          <w:p w14:paraId="7C0EF21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二氧化氮分析仪</w:t>
            </w:r>
          </w:p>
        </w:tc>
        <w:tc>
          <w:tcPr>
            <w:tcW w:w="707" w:type="pct"/>
            <w:noWrap w:val="0"/>
            <w:vAlign w:val="center"/>
          </w:tcPr>
          <w:p w14:paraId="5664DF1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p>
        </w:tc>
        <w:tc>
          <w:tcPr>
            <w:tcW w:w="780" w:type="pct"/>
            <w:shd w:val="clear" w:color="auto" w:fill="auto"/>
            <w:noWrap w:val="0"/>
            <w:vAlign w:val="center"/>
          </w:tcPr>
          <w:p w14:paraId="59DA358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套</w:t>
            </w:r>
          </w:p>
        </w:tc>
      </w:tr>
      <w:tr w14:paraId="1EE54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23" w:type="pct"/>
            <w:noWrap w:val="0"/>
            <w:vAlign w:val="center"/>
          </w:tcPr>
          <w:p w14:paraId="2BBC7ED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3</w:t>
            </w:r>
          </w:p>
        </w:tc>
        <w:tc>
          <w:tcPr>
            <w:tcW w:w="2887" w:type="pct"/>
            <w:noWrap w:val="0"/>
            <w:vAlign w:val="center"/>
          </w:tcPr>
          <w:p w14:paraId="1E40231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臭氧分析仪</w:t>
            </w:r>
          </w:p>
        </w:tc>
        <w:tc>
          <w:tcPr>
            <w:tcW w:w="707" w:type="pct"/>
            <w:noWrap w:val="0"/>
            <w:vAlign w:val="center"/>
          </w:tcPr>
          <w:p w14:paraId="2D0EC4A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p>
        </w:tc>
        <w:tc>
          <w:tcPr>
            <w:tcW w:w="780" w:type="pct"/>
            <w:shd w:val="clear" w:color="auto" w:fill="auto"/>
            <w:noWrap w:val="0"/>
            <w:vAlign w:val="center"/>
          </w:tcPr>
          <w:p w14:paraId="59F9952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套</w:t>
            </w:r>
          </w:p>
        </w:tc>
      </w:tr>
      <w:tr w14:paraId="45C60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23" w:type="pct"/>
            <w:noWrap w:val="0"/>
            <w:vAlign w:val="center"/>
          </w:tcPr>
          <w:p w14:paraId="6221DC0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4</w:t>
            </w:r>
          </w:p>
        </w:tc>
        <w:tc>
          <w:tcPr>
            <w:tcW w:w="2887" w:type="pct"/>
            <w:noWrap w:val="0"/>
            <w:vAlign w:val="center"/>
          </w:tcPr>
          <w:p w14:paraId="3A0BBB8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一氧化碳分析仪</w:t>
            </w:r>
          </w:p>
        </w:tc>
        <w:tc>
          <w:tcPr>
            <w:tcW w:w="707" w:type="pct"/>
            <w:noWrap w:val="0"/>
            <w:vAlign w:val="center"/>
          </w:tcPr>
          <w:p w14:paraId="1C50232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p>
        </w:tc>
        <w:tc>
          <w:tcPr>
            <w:tcW w:w="780" w:type="pct"/>
            <w:shd w:val="clear" w:color="auto" w:fill="auto"/>
            <w:noWrap w:val="0"/>
            <w:vAlign w:val="center"/>
          </w:tcPr>
          <w:p w14:paraId="55A7018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套</w:t>
            </w:r>
          </w:p>
        </w:tc>
      </w:tr>
      <w:tr w14:paraId="5105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23" w:type="pct"/>
            <w:shd w:val="clear" w:color="auto" w:fill="auto"/>
            <w:noWrap w:val="0"/>
            <w:vAlign w:val="center"/>
          </w:tcPr>
          <w:p w14:paraId="7CB2600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w:t>
            </w:r>
          </w:p>
        </w:tc>
        <w:tc>
          <w:tcPr>
            <w:tcW w:w="2887" w:type="pct"/>
            <w:shd w:val="clear" w:color="auto" w:fill="auto"/>
            <w:noWrap w:val="0"/>
            <w:vAlign w:val="center"/>
          </w:tcPr>
          <w:p w14:paraId="4792CE5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PM</w:t>
            </w:r>
            <w:r>
              <w:rPr>
                <w:rFonts w:hint="eastAsia" w:asciiTheme="minorEastAsia" w:hAnsiTheme="minorEastAsia" w:eastAsiaTheme="minorEastAsia" w:cstheme="minorEastAsia"/>
                <w:sz w:val="24"/>
                <w:szCs w:val="24"/>
                <w:vertAlign w:val="subscript"/>
                <w:lang w:val="en-US" w:eastAsia="zh-CN"/>
              </w:rPr>
              <w:t>10</w:t>
            </w:r>
            <w:r>
              <w:rPr>
                <w:rFonts w:hint="eastAsia" w:asciiTheme="minorEastAsia" w:hAnsiTheme="minorEastAsia" w:eastAsiaTheme="minorEastAsia" w:cstheme="minorEastAsia"/>
                <w:sz w:val="24"/>
                <w:szCs w:val="24"/>
                <w:lang w:val="en-US" w:eastAsia="zh-CN"/>
              </w:rPr>
              <w:t>颗粒物监测仪</w:t>
            </w:r>
          </w:p>
        </w:tc>
        <w:tc>
          <w:tcPr>
            <w:tcW w:w="707" w:type="pct"/>
            <w:shd w:val="clear" w:color="auto" w:fill="auto"/>
            <w:noWrap w:val="0"/>
            <w:vAlign w:val="center"/>
          </w:tcPr>
          <w:p w14:paraId="1CB2D36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w:t>
            </w:r>
          </w:p>
        </w:tc>
        <w:tc>
          <w:tcPr>
            <w:tcW w:w="780" w:type="pct"/>
            <w:shd w:val="clear" w:color="auto" w:fill="auto"/>
            <w:noWrap w:val="0"/>
            <w:vAlign w:val="center"/>
          </w:tcPr>
          <w:p w14:paraId="0BD3B6A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套</w:t>
            </w:r>
          </w:p>
        </w:tc>
      </w:tr>
      <w:tr w14:paraId="71AC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23" w:type="pct"/>
            <w:shd w:val="clear" w:color="auto" w:fill="auto"/>
            <w:noWrap w:val="0"/>
            <w:vAlign w:val="center"/>
          </w:tcPr>
          <w:p w14:paraId="29D2C21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6</w:t>
            </w:r>
          </w:p>
        </w:tc>
        <w:tc>
          <w:tcPr>
            <w:tcW w:w="2887" w:type="pct"/>
            <w:shd w:val="clear" w:color="auto" w:fill="auto"/>
            <w:noWrap w:val="0"/>
            <w:vAlign w:val="center"/>
          </w:tcPr>
          <w:p w14:paraId="6D3A8DA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PM</w:t>
            </w:r>
            <w:r>
              <w:rPr>
                <w:rFonts w:hint="eastAsia" w:asciiTheme="minorEastAsia" w:hAnsiTheme="minorEastAsia" w:eastAsiaTheme="minorEastAsia" w:cstheme="minorEastAsia"/>
                <w:sz w:val="24"/>
                <w:szCs w:val="24"/>
                <w:vertAlign w:val="subscript"/>
                <w:lang w:val="en-US" w:eastAsia="zh-CN"/>
              </w:rPr>
              <w:t>2.5</w:t>
            </w:r>
            <w:r>
              <w:rPr>
                <w:rFonts w:hint="eastAsia" w:asciiTheme="minorEastAsia" w:hAnsiTheme="minorEastAsia" w:eastAsiaTheme="minorEastAsia" w:cstheme="minorEastAsia"/>
                <w:sz w:val="24"/>
                <w:szCs w:val="24"/>
                <w:lang w:val="en-US" w:eastAsia="zh-CN"/>
              </w:rPr>
              <w:t>颗粒物监测仪</w:t>
            </w:r>
          </w:p>
        </w:tc>
        <w:tc>
          <w:tcPr>
            <w:tcW w:w="707" w:type="pct"/>
            <w:shd w:val="clear" w:color="auto" w:fill="auto"/>
            <w:noWrap w:val="0"/>
            <w:vAlign w:val="center"/>
          </w:tcPr>
          <w:p w14:paraId="5461384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w:t>
            </w:r>
          </w:p>
        </w:tc>
        <w:tc>
          <w:tcPr>
            <w:tcW w:w="780" w:type="pct"/>
            <w:shd w:val="clear" w:color="auto" w:fill="auto"/>
            <w:noWrap w:val="0"/>
            <w:vAlign w:val="center"/>
          </w:tcPr>
          <w:p w14:paraId="02AF7F3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套</w:t>
            </w:r>
          </w:p>
        </w:tc>
      </w:tr>
      <w:tr w14:paraId="7A5E9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23" w:type="pct"/>
            <w:shd w:val="clear" w:color="auto" w:fill="auto"/>
            <w:noWrap w:val="0"/>
            <w:vAlign w:val="center"/>
          </w:tcPr>
          <w:p w14:paraId="7F0758D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2887" w:type="pct"/>
            <w:shd w:val="clear" w:color="auto" w:fill="auto"/>
            <w:noWrap w:val="0"/>
            <w:vAlign w:val="center"/>
          </w:tcPr>
          <w:p w14:paraId="33DAA25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en-US"/>
              </w:rPr>
              <w:t>动态校准仪</w:t>
            </w:r>
          </w:p>
        </w:tc>
        <w:tc>
          <w:tcPr>
            <w:tcW w:w="707" w:type="pct"/>
            <w:shd w:val="clear" w:color="auto" w:fill="auto"/>
            <w:noWrap w:val="0"/>
            <w:vAlign w:val="center"/>
          </w:tcPr>
          <w:p w14:paraId="0978B2C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780" w:type="pct"/>
            <w:shd w:val="clear" w:color="auto" w:fill="auto"/>
            <w:noWrap w:val="0"/>
            <w:vAlign w:val="center"/>
          </w:tcPr>
          <w:p w14:paraId="6AB144D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套</w:t>
            </w:r>
          </w:p>
        </w:tc>
      </w:tr>
      <w:tr w14:paraId="48C75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23" w:type="pct"/>
            <w:shd w:val="clear" w:color="auto" w:fill="auto"/>
            <w:noWrap w:val="0"/>
            <w:vAlign w:val="center"/>
          </w:tcPr>
          <w:p w14:paraId="4643B29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2887" w:type="pct"/>
            <w:shd w:val="clear" w:color="auto" w:fill="auto"/>
            <w:noWrap w:val="0"/>
            <w:vAlign w:val="center"/>
          </w:tcPr>
          <w:p w14:paraId="13E6F1C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en-US"/>
              </w:rPr>
              <w:t>零气发生器</w:t>
            </w:r>
          </w:p>
        </w:tc>
        <w:tc>
          <w:tcPr>
            <w:tcW w:w="707" w:type="pct"/>
            <w:shd w:val="clear" w:color="auto" w:fill="auto"/>
            <w:noWrap w:val="0"/>
            <w:vAlign w:val="center"/>
          </w:tcPr>
          <w:p w14:paraId="25030C6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780" w:type="pct"/>
            <w:shd w:val="clear" w:color="auto" w:fill="auto"/>
            <w:noWrap w:val="0"/>
            <w:vAlign w:val="center"/>
          </w:tcPr>
          <w:p w14:paraId="2329632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套</w:t>
            </w:r>
          </w:p>
        </w:tc>
      </w:tr>
      <w:tr w14:paraId="740A1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23" w:type="pct"/>
            <w:shd w:val="clear" w:color="auto" w:fill="auto"/>
            <w:noWrap w:val="0"/>
            <w:vAlign w:val="center"/>
          </w:tcPr>
          <w:p w14:paraId="6CF8980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w:t>
            </w:r>
          </w:p>
        </w:tc>
        <w:tc>
          <w:tcPr>
            <w:tcW w:w="2887" w:type="pct"/>
            <w:noWrap w:val="0"/>
            <w:vAlign w:val="center"/>
          </w:tcPr>
          <w:p w14:paraId="0F0C66B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气象五参数</w:t>
            </w:r>
          </w:p>
        </w:tc>
        <w:tc>
          <w:tcPr>
            <w:tcW w:w="707" w:type="pct"/>
            <w:noWrap w:val="0"/>
            <w:vAlign w:val="center"/>
          </w:tcPr>
          <w:p w14:paraId="5362638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780" w:type="pct"/>
            <w:shd w:val="clear" w:color="auto" w:fill="auto"/>
            <w:noWrap w:val="0"/>
            <w:vAlign w:val="center"/>
          </w:tcPr>
          <w:p w14:paraId="640E18C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套</w:t>
            </w:r>
          </w:p>
        </w:tc>
      </w:tr>
      <w:tr w14:paraId="69E6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23" w:type="pct"/>
            <w:shd w:val="clear" w:color="auto" w:fill="auto"/>
            <w:noWrap w:val="0"/>
            <w:vAlign w:val="center"/>
          </w:tcPr>
          <w:p w14:paraId="5789989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w:t>
            </w:r>
          </w:p>
        </w:tc>
        <w:tc>
          <w:tcPr>
            <w:tcW w:w="2887" w:type="pct"/>
            <w:noWrap w:val="0"/>
            <w:vAlign w:val="center"/>
          </w:tcPr>
          <w:p w14:paraId="46FB5DA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视频监控系统</w:t>
            </w:r>
          </w:p>
        </w:tc>
        <w:tc>
          <w:tcPr>
            <w:tcW w:w="707" w:type="pct"/>
            <w:noWrap w:val="0"/>
            <w:vAlign w:val="center"/>
          </w:tcPr>
          <w:p w14:paraId="638485E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780" w:type="pct"/>
            <w:shd w:val="clear" w:color="auto" w:fill="auto"/>
            <w:noWrap w:val="0"/>
            <w:vAlign w:val="center"/>
          </w:tcPr>
          <w:p w14:paraId="42CBD81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套</w:t>
            </w:r>
          </w:p>
        </w:tc>
      </w:tr>
      <w:tr w14:paraId="7AA4E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23" w:type="pct"/>
            <w:shd w:val="clear" w:color="auto" w:fill="auto"/>
            <w:noWrap w:val="0"/>
            <w:vAlign w:val="center"/>
          </w:tcPr>
          <w:p w14:paraId="63D83F1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w:t>
            </w:r>
          </w:p>
        </w:tc>
        <w:tc>
          <w:tcPr>
            <w:tcW w:w="2887" w:type="pct"/>
            <w:noWrap w:val="0"/>
            <w:vAlign w:val="center"/>
          </w:tcPr>
          <w:p w14:paraId="4AAF354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能见度监测仪</w:t>
            </w:r>
          </w:p>
        </w:tc>
        <w:tc>
          <w:tcPr>
            <w:tcW w:w="707" w:type="pct"/>
            <w:noWrap w:val="0"/>
            <w:vAlign w:val="center"/>
          </w:tcPr>
          <w:p w14:paraId="158F25B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780" w:type="pct"/>
            <w:shd w:val="clear" w:color="auto" w:fill="auto"/>
            <w:noWrap w:val="0"/>
            <w:vAlign w:val="center"/>
          </w:tcPr>
          <w:p w14:paraId="56B1732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套</w:t>
            </w:r>
          </w:p>
        </w:tc>
      </w:tr>
      <w:tr w14:paraId="690D0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23" w:type="pct"/>
            <w:shd w:val="clear" w:color="auto" w:fill="auto"/>
            <w:noWrap w:val="0"/>
            <w:vAlign w:val="center"/>
          </w:tcPr>
          <w:p w14:paraId="7699F42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w:t>
            </w:r>
          </w:p>
        </w:tc>
        <w:tc>
          <w:tcPr>
            <w:tcW w:w="2887" w:type="pct"/>
            <w:noWrap w:val="0"/>
            <w:vAlign w:val="center"/>
          </w:tcPr>
          <w:p w14:paraId="02F8C8B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配套设备（采样系统、机架、标气等）</w:t>
            </w:r>
          </w:p>
        </w:tc>
        <w:tc>
          <w:tcPr>
            <w:tcW w:w="707" w:type="pct"/>
            <w:noWrap w:val="0"/>
            <w:vAlign w:val="center"/>
          </w:tcPr>
          <w:p w14:paraId="597FA7F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p>
        </w:tc>
        <w:tc>
          <w:tcPr>
            <w:tcW w:w="780" w:type="pct"/>
            <w:shd w:val="clear" w:color="auto" w:fill="auto"/>
            <w:noWrap w:val="0"/>
            <w:vAlign w:val="center"/>
          </w:tcPr>
          <w:p w14:paraId="636B803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套</w:t>
            </w:r>
          </w:p>
        </w:tc>
      </w:tr>
      <w:tr w14:paraId="084F0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23" w:type="pct"/>
            <w:shd w:val="clear" w:color="auto" w:fill="auto"/>
            <w:noWrap/>
            <w:vAlign w:val="center"/>
          </w:tcPr>
          <w:p w14:paraId="3CB96B9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13</w:t>
            </w:r>
          </w:p>
        </w:tc>
        <w:tc>
          <w:tcPr>
            <w:tcW w:w="2887" w:type="pct"/>
            <w:noWrap/>
            <w:vAlign w:val="center"/>
          </w:tcPr>
          <w:p w14:paraId="7C20B51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颗粒物手工比对监测</w:t>
            </w:r>
          </w:p>
        </w:tc>
        <w:tc>
          <w:tcPr>
            <w:tcW w:w="707" w:type="pct"/>
            <w:noWrap/>
            <w:vAlign w:val="center"/>
          </w:tcPr>
          <w:p w14:paraId="4AE5311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w:t>
            </w:r>
          </w:p>
        </w:tc>
        <w:tc>
          <w:tcPr>
            <w:tcW w:w="780" w:type="pct"/>
            <w:shd w:val="clear" w:color="auto" w:fill="auto"/>
            <w:noWrap/>
            <w:vAlign w:val="center"/>
          </w:tcPr>
          <w:p w14:paraId="469BF90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项</w:t>
            </w:r>
          </w:p>
        </w:tc>
      </w:tr>
      <w:tr w14:paraId="0F223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23" w:type="pct"/>
            <w:shd w:val="clear" w:color="auto" w:fill="auto"/>
            <w:noWrap/>
            <w:vAlign w:val="center"/>
          </w:tcPr>
          <w:p w14:paraId="683D777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14</w:t>
            </w:r>
          </w:p>
        </w:tc>
        <w:tc>
          <w:tcPr>
            <w:tcW w:w="2887" w:type="pct"/>
            <w:noWrap/>
            <w:vAlign w:val="center"/>
          </w:tcPr>
          <w:p w14:paraId="1539356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数据分析服务</w:t>
            </w:r>
          </w:p>
        </w:tc>
        <w:tc>
          <w:tcPr>
            <w:tcW w:w="707" w:type="pct"/>
            <w:noWrap/>
            <w:vAlign w:val="center"/>
          </w:tcPr>
          <w:p w14:paraId="1AE5150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780" w:type="pct"/>
            <w:shd w:val="clear" w:color="auto" w:fill="auto"/>
            <w:noWrap/>
            <w:vAlign w:val="center"/>
          </w:tcPr>
          <w:p w14:paraId="555B1AA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w:t>
            </w:r>
          </w:p>
        </w:tc>
      </w:tr>
    </w:tbl>
    <w:p w14:paraId="0E362BB6">
      <w:pPr>
        <w:pageBreakBefore w:val="0"/>
        <w:kinsoku/>
        <w:wordWrap/>
        <w:overflowPunct/>
        <w:bidi w:val="0"/>
        <w:spacing w:line="560" w:lineRule="exact"/>
        <w:ind w:left="0" w:leftChars="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注：本项目核心产品为二氧化硫分析仪、二氧化氮分析仪、臭氧分析仪、一氧化碳分析仪、PM10颗粒物监测仪、PM2.5颗粒物监测仪。</w:t>
      </w:r>
    </w:p>
    <w:p w14:paraId="1FFF3445">
      <w:pPr>
        <w:pStyle w:val="3"/>
        <w:bidi w:val="0"/>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二、技术参数</w:t>
      </w:r>
    </w:p>
    <w:p w14:paraId="28D21A56">
      <w:pPr>
        <w:pStyle w:val="4"/>
        <w:bidi w:val="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b w:val="0"/>
          <w:bCs w:val="0"/>
          <w:sz w:val="24"/>
          <w:szCs w:val="24"/>
          <w:lang w:val="en-US" w:eastAsia="zh-CN"/>
        </w:rPr>
        <w:t>总体要求</w:t>
      </w:r>
    </w:p>
    <w:p w14:paraId="4F3E5E19">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加注“★”号条款为实质性条款，不得出现负偏离，发生负偏离即做无效标处理。</w:t>
      </w:r>
    </w:p>
    <w:p w14:paraId="02FD1F30">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（1）本项目采购的仪器须具有较好的稳定性、抗震性，具有较好的防雷、防静电、抗干扰、防腐蚀、防水以及可维护性，能够满足大气环境监测的精度及灵敏度要求。</w:t>
      </w:r>
    </w:p>
    <w:p w14:paraId="48407E9F">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供应商须提供全新的货物（含零部件、配件等），表面无划伤、无碰撞痕迹，且权属清楚，不得侵害他人的知识产权；颗粒物和气态污染物连续监测系统应有产品铭牌，铭牌上应标有仪器名称、型号、生产单位、出厂编号、制造日期等信息。连续监测系统各仪器表面应完好无损，无明显缺陷，各零部件连接可靠，各操作键、按钮灵活有效，仪器主机面板显示清晰，字符、标识易于识别。</w:t>
      </w:r>
    </w:p>
    <w:p w14:paraId="2FA92592">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（3）仪器工作环境温度为：（15～35）℃；颗粒物切割器环境温度为：（-30～50）℃。</w:t>
      </w:r>
    </w:p>
    <w:p w14:paraId="15B3E29B">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（4）仪器工作环境相对湿度为：≤80%。</w:t>
      </w:r>
    </w:p>
    <w:p w14:paraId="31241E94">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（5）仪器工作供电电压为：AC（220±22）V，（50±1）Hz。</w:t>
      </w:r>
    </w:p>
    <w:p w14:paraId="69CE82A4">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（6）所投产品如含有放射源，必须满足《电离辐射防护与辐射源安全基本标准，颗粒物监测仪器使用的β射线源应符合放射性安全标准。</w:t>
      </w:r>
    </w:p>
    <w:p w14:paraId="055AEB06">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（7）监测仪器应能满足自动连续进行正常、稳定的空气质量监测要求；具备掉电后自动保存数据功能；并在恢复供电后可自动启动，恢复运行状态并正常开始工作。</w:t>
      </w:r>
    </w:p>
    <w:p w14:paraId="663CF4E9">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（8）能够显示实时数据，并记录存储至少3个月以上的有效数据，具备查询历史数据的功能。</w:t>
      </w:r>
    </w:p>
    <w:p w14:paraId="7D2E952C">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（9）投标货物各组成部分必须是完整的、全新的、功能全的单元，并且符合国家质量检测标准的（具备检测报告），所有的零部件、原材料必须无任何缺陷。</w:t>
      </w:r>
    </w:p>
    <w:p w14:paraId="17EE4A93">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（10）配有监测仪器设备安装所需的配件和耗材（如采样管路、保温套管等），各监测仪器应附有中文使用说明书、设备装箱单和维修手册。</w:t>
      </w:r>
    </w:p>
    <w:p w14:paraId="2E912922">
      <w:pPr>
        <w:pageBreakBefore w:val="0"/>
        <w:kinsoku/>
        <w:wordWrap/>
        <w:overflowPunct/>
        <w:bidi w:val="0"/>
        <w:spacing w:line="360" w:lineRule="auto"/>
        <w:ind w:left="0" w:leftChars="0" w:firstLine="482" w:firstLineChars="20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val="0"/>
          <w:bCs w:val="0"/>
          <w:color w:val="auto"/>
          <w:sz w:val="24"/>
          <w:szCs w:val="24"/>
        </w:rPr>
        <w:t>（11）</w:t>
      </w:r>
      <w:r>
        <w:rPr>
          <w:rFonts w:hint="eastAsia" w:asciiTheme="minorEastAsia" w:hAnsiTheme="minorEastAsia" w:eastAsiaTheme="minorEastAsia" w:cstheme="minorEastAsia"/>
          <w:b w:val="0"/>
          <w:bCs w:val="0"/>
          <w:color w:val="auto"/>
          <w:sz w:val="24"/>
          <w:szCs w:val="24"/>
          <w:lang w:val="en-US" w:eastAsia="zh-CN"/>
        </w:rPr>
        <w:t>核心设备</w:t>
      </w:r>
      <w:r>
        <w:rPr>
          <w:rFonts w:hint="eastAsia" w:asciiTheme="minorEastAsia" w:hAnsiTheme="minorEastAsia" w:eastAsiaTheme="minorEastAsia" w:cstheme="minorEastAsia"/>
          <w:b w:val="0"/>
          <w:bCs w:val="0"/>
          <w:color w:val="auto"/>
          <w:sz w:val="24"/>
          <w:szCs w:val="24"/>
        </w:rPr>
        <w:t>的技术性能指标必须通过原环境保护部环境监测仪器质量监督检验中心适用性检测，检测证书须在有效期内。</w:t>
      </w:r>
    </w:p>
    <w:p w14:paraId="6A8990AF">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12</w:t>
      </w:r>
      <w:r>
        <w:rPr>
          <w:rFonts w:hint="eastAsia" w:asciiTheme="minorEastAsia" w:hAnsiTheme="minorEastAsia" w:eastAsiaTheme="minorEastAsia" w:cstheme="minorEastAsia"/>
          <w:b w:val="0"/>
          <w:bCs w:val="0"/>
          <w:color w:val="auto"/>
          <w:sz w:val="24"/>
          <w:szCs w:val="24"/>
          <w:lang w:eastAsia="zh-CN"/>
        </w:rPr>
        <w:t>）PM</w:t>
      </w:r>
      <w:r>
        <w:rPr>
          <w:rFonts w:hint="eastAsia" w:asciiTheme="minorEastAsia" w:hAnsiTheme="minorEastAsia" w:eastAsiaTheme="minorEastAsia" w:cstheme="minorEastAsia"/>
          <w:b w:val="0"/>
          <w:bCs w:val="0"/>
          <w:color w:val="auto"/>
          <w:sz w:val="24"/>
          <w:szCs w:val="24"/>
          <w:vertAlign w:val="subscript"/>
          <w:lang w:eastAsia="zh-CN"/>
        </w:rPr>
        <w:t>10</w:t>
      </w:r>
      <w:r>
        <w:rPr>
          <w:rFonts w:hint="eastAsia" w:asciiTheme="minorEastAsia" w:hAnsiTheme="minorEastAsia" w:eastAsiaTheme="minorEastAsia" w:cstheme="minorEastAsia"/>
          <w:b w:val="0"/>
          <w:bCs w:val="0"/>
          <w:color w:val="auto"/>
          <w:sz w:val="24"/>
          <w:szCs w:val="24"/>
          <w:lang w:eastAsia="zh-CN"/>
        </w:rPr>
        <w:t xml:space="preserve"> 颗粒物监测仪必须在中国环境监测总站最新发布的《环境空气颗粒物（PM</w:t>
      </w:r>
      <w:r>
        <w:rPr>
          <w:rFonts w:hint="eastAsia" w:asciiTheme="minorEastAsia" w:hAnsiTheme="minorEastAsia" w:eastAsiaTheme="minorEastAsia" w:cstheme="minorEastAsia"/>
          <w:b w:val="0"/>
          <w:bCs w:val="0"/>
          <w:color w:val="auto"/>
          <w:sz w:val="24"/>
          <w:szCs w:val="24"/>
          <w:vertAlign w:val="subscript"/>
          <w:lang w:eastAsia="zh-CN"/>
        </w:rPr>
        <w:t>10</w:t>
      </w:r>
      <w:r>
        <w:rPr>
          <w:rFonts w:hint="eastAsia" w:asciiTheme="minorEastAsia" w:hAnsiTheme="minorEastAsia" w:eastAsiaTheme="minorEastAsia" w:cstheme="minorEastAsia"/>
          <w:b w:val="0"/>
          <w:bCs w:val="0"/>
          <w:color w:val="auto"/>
          <w:sz w:val="24"/>
          <w:szCs w:val="24"/>
          <w:lang w:eastAsia="zh-CN"/>
        </w:rPr>
        <w:t>）连续自动监测系统适用性检测合格名录（符合 HJ653-2021 标准）》内。</w:t>
      </w:r>
    </w:p>
    <w:p w14:paraId="58ACFC85">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13</w:t>
      </w:r>
      <w:r>
        <w:rPr>
          <w:rFonts w:hint="eastAsia" w:asciiTheme="minorEastAsia" w:hAnsiTheme="minorEastAsia" w:eastAsiaTheme="minorEastAsia" w:cstheme="minorEastAsia"/>
          <w:b w:val="0"/>
          <w:bCs w:val="0"/>
          <w:color w:val="auto"/>
          <w:sz w:val="24"/>
          <w:szCs w:val="24"/>
          <w:lang w:eastAsia="zh-CN"/>
        </w:rPr>
        <w:t>） PM</w:t>
      </w:r>
      <w:r>
        <w:rPr>
          <w:rFonts w:hint="eastAsia" w:asciiTheme="minorEastAsia" w:hAnsiTheme="minorEastAsia" w:eastAsiaTheme="minorEastAsia" w:cstheme="minorEastAsia"/>
          <w:b w:val="0"/>
          <w:bCs w:val="0"/>
          <w:color w:val="auto"/>
          <w:sz w:val="24"/>
          <w:szCs w:val="24"/>
          <w:vertAlign w:val="subscript"/>
          <w:lang w:eastAsia="zh-CN"/>
        </w:rPr>
        <w:t>2.5</w:t>
      </w:r>
      <w:r>
        <w:rPr>
          <w:rFonts w:hint="eastAsia" w:asciiTheme="minorEastAsia" w:hAnsiTheme="minorEastAsia" w:eastAsiaTheme="minorEastAsia" w:cstheme="minorEastAsia"/>
          <w:b w:val="0"/>
          <w:bCs w:val="0"/>
          <w:color w:val="auto"/>
          <w:sz w:val="24"/>
          <w:szCs w:val="24"/>
          <w:lang w:eastAsia="zh-CN"/>
        </w:rPr>
        <w:t xml:space="preserve"> 颗粒物监测仪必须在中国环境监测总站最新发布的《环境空气颗 粒物（PM</w:t>
      </w:r>
      <w:r>
        <w:rPr>
          <w:rFonts w:hint="eastAsia" w:asciiTheme="minorEastAsia" w:hAnsiTheme="minorEastAsia" w:eastAsiaTheme="minorEastAsia" w:cstheme="minorEastAsia"/>
          <w:b w:val="0"/>
          <w:bCs w:val="0"/>
          <w:color w:val="auto"/>
          <w:sz w:val="24"/>
          <w:szCs w:val="24"/>
          <w:vertAlign w:val="subscript"/>
          <w:lang w:eastAsia="zh-CN"/>
        </w:rPr>
        <w:t>2.5</w:t>
      </w:r>
      <w:r>
        <w:rPr>
          <w:rFonts w:hint="eastAsia" w:asciiTheme="minorEastAsia" w:hAnsiTheme="minorEastAsia" w:eastAsiaTheme="minorEastAsia" w:cstheme="minorEastAsia"/>
          <w:b w:val="0"/>
          <w:bCs w:val="0"/>
          <w:color w:val="auto"/>
          <w:sz w:val="24"/>
          <w:szCs w:val="24"/>
          <w:lang w:eastAsia="zh-CN"/>
        </w:rPr>
        <w:t>）连续监测系统适用性检测合格名录（符合 HJ653-2021 标准）》内。</w:t>
      </w:r>
    </w:p>
    <w:p w14:paraId="617BA079">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14</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二氧化硫、二氧化氮、一氧化碳、臭氧分析仪</w:t>
      </w:r>
      <w:r>
        <w:rPr>
          <w:rFonts w:hint="eastAsia" w:asciiTheme="minorEastAsia" w:hAnsiTheme="minorEastAsia" w:eastAsiaTheme="minorEastAsia" w:cstheme="minorEastAsia"/>
          <w:b w:val="0"/>
          <w:bCs w:val="0"/>
          <w:color w:val="auto"/>
          <w:sz w:val="24"/>
          <w:szCs w:val="24"/>
          <w:lang w:eastAsia="zh-CN"/>
        </w:rPr>
        <w:t>必须在中国环境监测总站最新发布的《环境空气气态污染物（SO2、NO2、O3、CO）连续自动监测系统适用性检测合格名录》内。</w:t>
      </w:r>
    </w:p>
    <w:p w14:paraId="27CB1CBA">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val="en-US" w:eastAsia="zh-CN"/>
        </w:rPr>
        <w:t>（15）二氧化硫分析仪、二氧化氮分析仪、臭氧分析仪、一氧化碳分析仪、PM</w:t>
      </w:r>
      <w:r>
        <w:rPr>
          <w:rFonts w:hint="eastAsia" w:asciiTheme="minorEastAsia" w:hAnsiTheme="minorEastAsia" w:eastAsiaTheme="minorEastAsia" w:cstheme="minorEastAsia"/>
          <w:b w:val="0"/>
          <w:bCs w:val="0"/>
          <w:color w:val="auto"/>
          <w:sz w:val="24"/>
          <w:szCs w:val="24"/>
          <w:vertAlign w:val="subscript"/>
          <w:lang w:val="en-US" w:eastAsia="zh-CN"/>
        </w:rPr>
        <w:t>10</w:t>
      </w:r>
      <w:r>
        <w:rPr>
          <w:rFonts w:hint="eastAsia" w:asciiTheme="minorEastAsia" w:hAnsiTheme="minorEastAsia" w:eastAsiaTheme="minorEastAsia" w:cstheme="minorEastAsia"/>
          <w:b w:val="0"/>
          <w:bCs w:val="0"/>
          <w:color w:val="auto"/>
          <w:sz w:val="24"/>
          <w:szCs w:val="24"/>
          <w:lang w:val="en-US" w:eastAsia="zh-CN"/>
        </w:rPr>
        <w:t>颗粒物监测仪、PM</w:t>
      </w:r>
      <w:r>
        <w:rPr>
          <w:rFonts w:hint="eastAsia" w:asciiTheme="minorEastAsia" w:hAnsiTheme="minorEastAsia" w:eastAsiaTheme="minorEastAsia" w:cstheme="minorEastAsia"/>
          <w:b w:val="0"/>
          <w:bCs w:val="0"/>
          <w:color w:val="auto"/>
          <w:sz w:val="24"/>
          <w:szCs w:val="24"/>
          <w:vertAlign w:val="subscript"/>
          <w:lang w:val="en-US" w:eastAsia="zh-CN"/>
        </w:rPr>
        <w:t>2.5</w:t>
      </w:r>
      <w:r>
        <w:rPr>
          <w:rFonts w:hint="eastAsia" w:asciiTheme="minorEastAsia" w:hAnsiTheme="minorEastAsia" w:eastAsiaTheme="minorEastAsia" w:cstheme="minorEastAsia"/>
          <w:b w:val="0"/>
          <w:bCs w:val="0"/>
          <w:color w:val="auto"/>
          <w:sz w:val="24"/>
          <w:szCs w:val="24"/>
          <w:lang w:val="en-US" w:eastAsia="zh-CN"/>
        </w:rPr>
        <w:t>颗粒物监测仪需为同一国内制造商且拥有自主知识产权。</w:t>
      </w:r>
    </w:p>
    <w:p w14:paraId="2F7BEB07">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（16）监测仪的安装调试、试运行、验收等工作，应严格按照《环境空气颗粒物（PM10和PM2.5）连续自动监测系统安装和验收技术规范》（HJ655-2013）、《环境空气颗粒物（PM10和 PM2.5）连续自动监测系统技术要求及检测方法》（HJ653-2021）和《环境空气气态污染物（SO2、NO2、02、C0）连续自动监测系统安装验收技术规范》（HJ193—2013）等相关监测规范实施。</w:t>
      </w:r>
    </w:p>
    <w:p w14:paraId="5445920C">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17）验收时还必须提供设备出厂检验报告、关键技术参数清单、出厂初始设置值、仪器硬件配置清单、环境空气自动监测仪器供应商承诺书以及主要设备的安装调试报告（含颗粒物手工比对调试报告）、试运行报告等。</w:t>
      </w:r>
    </w:p>
    <w:p w14:paraId="4273EAA0">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（18）仪器数据必须能够与现“国家环境空气质量监测网数据采集和传输系统”连接，同时实现与现“自治区环境空气质量监测网数据采集和传输系统”连接，实时同步传输数据。</w:t>
      </w:r>
    </w:p>
    <w:p w14:paraId="57A309A6">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19）本项目采购的核心产品免费质保期不少于2年；供应商须承诺成交后20天内在项目所在地设立售后服务点；售后服务点至少常驻1名售后服务工程师；服务点常备一套备机。供应商需提供承诺函，对以上服务要求做出明确响应。</w:t>
      </w:r>
    </w:p>
    <w:p w14:paraId="671C954D">
      <w:pPr>
        <w:pStyle w:val="4"/>
        <w:bidi w:val="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★（二）主要仪器分析方法要求</w:t>
      </w:r>
    </w:p>
    <w:tbl>
      <w:tblPr>
        <w:tblStyle w:val="44"/>
        <w:tblW w:w="789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68"/>
        <w:gridCol w:w="5531"/>
      </w:tblGrid>
      <w:tr w14:paraId="4DB36F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2368" w:type="dxa"/>
            <w:tcBorders>
              <w:top w:val="single" w:color="auto" w:sz="4" w:space="0"/>
              <w:left w:val="single" w:color="auto" w:sz="4" w:space="0"/>
              <w:bottom w:val="single" w:color="auto" w:sz="6" w:space="0"/>
              <w:right w:val="single" w:color="auto" w:sz="6" w:space="0"/>
              <w:tl2br w:val="nil"/>
              <w:tr2bl w:val="nil"/>
            </w:tcBorders>
            <w:noWrap w:val="0"/>
            <w:vAlign w:val="center"/>
          </w:tcPr>
          <w:p w14:paraId="21D803A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监测项目</w:t>
            </w:r>
          </w:p>
        </w:tc>
        <w:tc>
          <w:tcPr>
            <w:tcW w:w="5531" w:type="dxa"/>
            <w:tcBorders>
              <w:top w:val="single" w:color="auto" w:sz="4" w:space="0"/>
              <w:left w:val="single" w:color="auto" w:sz="6" w:space="0"/>
              <w:bottom w:val="single" w:color="auto" w:sz="6" w:space="0"/>
              <w:right w:val="single" w:color="auto" w:sz="4" w:space="0"/>
              <w:tl2br w:val="nil"/>
              <w:tr2bl w:val="nil"/>
            </w:tcBorders>
            <w:noWrap w:val="0"/>
            <w:vAlign w:val="center"/>
          </w:tcPr>
          <w:p w14:paraId="2D05E06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测定方法</w:t>
            </w:r>
          </w:p>
        </w:tc>
      </w:tr>
      <w:tr w14:paraId="54DAE7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2368" w:type="dxa"/>
            <w:tcBorders>
              <w:top w:val="single" w:color="auto" w:sz="6" w:space="0"/>
              <w:left w:val="single" w:color="auto" w:sz="4" w:space="0"/>
              <w:bottom w:val="single" w:color="auto" w:sz="6" w:space="0"/>
              <w:right w:val="single" w:color="auto" w:sz="6" w:space="0"/>
              <w:tl2br w:val="nil"/>
              <w:tr2bl w:val="nil"/>
            </w:tcBorders>
            <w:noWrap w:val="0"/>
            <w:vAlign w:val="center"/>
          </w:tcPr>
          <w:p w14:paraId="60C81EF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二氧化硫</w:t>
            </w:r>
          </w:p>
        </w:tc>
        <w:tc>
          <w:tcPr>
            <w:tcW w:w="5531" w:type="dxa"/>
            <w:tcBorders>
              <w:top w:val="single" w:color="auto" w:sz="6" w:space="0"/>
              <w:left w:val="single" w:color="auto" w:sz="6" w:space="0"/>
              <w:bottom w:val="single" w:color="auto" w:sz="6" w:space="0"/>
              <w:right w:val="single" w:color="auto" w:sz="4" w:space="0"/>
              <w:tl2br w:val="nil"/>
              <w:tr2bl w:val="nil"/>
            </w:tcBorders>
            <w:noWrap w:val="0"/>
            <w:vAlign w:val="center"/>
          </w:tcPr>
          <w:p w14:paraId="008C5D9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紫外荧光法</w:t>
            </w:r>
          </w:p>
        </w:tc>
      </w:tr>
      <w:tr w14:paraId="46910C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2368" w:type="dxa"/>
            <w:tcBorders>
              <w:top w:val="single" w:color="auto" w:sz="6" w:space="0"/>
              <w:left w:val="single" w:color="auto" w:sz="4" w:space="0"/>
              <w:bottom w:val="single" w:color="auto" w:sz="6" w:space="0"/>
              <w:right w:val="single" w:color="auto" w:sz="6" w:space="0"/>
              <w:tl2br w:val="nil"/>
              <w:tr2bl w:val="nil"/>
            </w:tcBorders>
            <w:noWrap w:val="0"/>
            <w:vAlign w:val="center"/>
          </w:tcPr>
          <w:p w14:paraId="6027BC9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氮氧化物</w:t>
            </w:r>
          </w:p>
        </w:tc>
        <w:tc>
          <w:tcPr>
            <w:tcW w:w="5531" w:type="dxa"/>
            <w:tcBorders>
              <w:top w:val="single" w:color="auto" w:sz="6" w:space="0"/>
              <w:left w:val="single" w:color="auto" w:sz="6" w:space="0"/>
              <w:bottom w:val="single" w:color="auto" w:sz="6" w:space="0"/>
              <w:right w:val="single" w:color="auto" w:sz="4" w:space="0"/>
              <w:tl2br w:val="nil"/>
              <w:tr2bl w:val="nil"/>
            </w:tcBorders>
            <w:noWrap w:val="0"/>
            <w:vAlign w:val="center"/>
          </w:tcPr>
          <w:p w14:paraId="5459107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化学发光法</w:t>
            </w:r>
          </w:p>
        </w:tc>
      </w:tr>
      <w:tr w14:paraId="62C6F2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2368" w:type="dxa"/>
            <w:tcBorders>
              <w:top w:val="single" w:color="auto" w:sz="6" w:space="0"/>
              <w:left w:val="single" w:color="auto" w:sz="4" w:space="0"/>
              <w:bottom w:val="single" w:color="auto" w:sz="6" w:space="0"/>
              <w:right w:val="single" w:color="auto" w:sz="6" w:space="0"/>
              <w:tl2br w:val="nil"/>
              <w:tr2bl w:val="nil"/>
            </w:tcBorders>
            <w:noWrap w:val="0"/>
            <w:vAlign w:val="center"/>
          </w:tcPr>
          <w:p w14:paraId="7255939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臭氧</w:t>
            </w:r>
          </w:p>
        </w:tc>
        <w:tc>
          <w:tcPr>
            <w:tcW w:w="5531" w:type="dxa"/>
            <w:tcBorders>
              <w:top w:val="single" w:color="auto" w:sz="6" w:space="0"/>
              <w:left w:val="single" w:color="auto" w:sz="6" w:space="0"/>
              <w:bottom w:val="single" w:color="auto" w:sz="6" w:space="0"/>
              <w:right w:val="single" w:color="auto" w:sz="4" w:space="0"/>
              <w:tl2br w:val="nil"/>
              <w:tr2bl w:val="nil"/>
            </w:tcBorders>
            <w:noWrap w:val="0"/>
            <w:vAlign w:val="center"/>
          </w:tcPr>
          <w:p w14:paraId="3156711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紫外吸收法</w:t>
            </w:r>
          </w:p>
        </w:tc>
      </w:tr>
      <w:tr w14:paraId="6BC2D5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2368" w:type="dxa"/>
            <w:tcBorders>
              <w:top w:val="single" w:color="auto" w:sz="6" w:space="0"/>
              <w:left w:val="single" w:color="auto" w:sz="4" w:space="0"/>
              <w:bottom w:val="single" w:color="auto" w:sz="6" w:space="0"/>
              <w:right w:val="single" w:color="auto" w:sz="6" w:space="0"/>
              <w:tl2br w:val="nil"/>
              <w:tr2bl w:val="nil"/>
            </w:tcBorders>
            <w:noWrap w:val="0"/>
            <w:vAlign w:val="center"/>
          </w:tcPr>
          <w:p w14:paraId="4B716DE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一氧化碳</w:t>
            </w:r>
          </w:p>
        </w:tc>
        <w:tc>
          <w:tcPr>
            <w:tcW w:w="5531" w:type="dxa"/>
            <w:tcBorders>
              <w:top w:val="single" w:color="auto" w:sz="6" w:space="0"/>
              <w:left w:val="single" w:color="auto" w:sz="6" w:space="0"/>
              <w:bottom w:val="single" w:color="auto" w:sz="6" w:space="0"/>
              <w:right w:val="single" w:color="auto" w:sz="4" w:space="0"/>
              <w:tl2br w:val="nil"/>
              <w:tr2bl w:val="nil"/>
            </w:tcBorders>
            <w:noWrap w:val="0"/>
            <w:vAlign w:val="center"/>
          </w:tcPr>
          <w:p w14:paraId="5C28576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气体滤波相关红外吸收法</w:t>
            </w:r>
          </w:p>
        </w:tc>
      </w:tr>
      <w:tr w14:paraId="6D06BE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2368" w:type="dxa"/>
            <w:tcBorders>
              <w:top w:val="single" w:color="auto" w:sz="6" w:space="0"/>
              <w:left w:val="single" w:color="auto" w:sz="4" w:space="0"/>
              <w:bottom w:val="single" w:color="auto" w:sz="6" w:space="0"/>
              <w:right w:val="single" w:color="auto" w:sz="6" w:space="0"/>
              <w:tl2br w:val="nil"/>
              <w:tr2bl w:val="nil"/>
            </w:tcBorders>
            <w:noWrap w:val="0"/>
            <w:vAlign w:val="center"/>
          </w:tcPr>
          <w:p w14:paraId="0D6BF2C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颗粒物PM</w:t>
            </w:r>
            <w:r>
              <w:rPr>
                <w:rFonts w:hint="eastAsia" w:asciiTheme="minorEastAsia" w:hAnsiTheme="minorEastAsia" w:eastAsiaTheme="minorEastAsia" w:cstheme="minorEastAsia"/>
                <w:color w:val="auto"/>
                <w:sz w:val="24"/>
                <w:szCs w:val="24"/>
                <w:lang w:val="en-US" w:eastAsia="zh-CN"/>
              </w:rPr>
              <w:t>10</w:t>
            </w:r>
          </w:p>
        </w:tc>
        <w:tc>
          <w:tcPr>
            <w:tcW w:w="5531" w:type="dxa"/>
            <w:tcBorders>
              <w:top w:val="single" w:color="auto" w:sz="6" w:space="0"/>
              <w:left w:val="single" w:color="auto" w:sz="6" w:space="0"/>
              <w:bottom w:val="single" w:color="auto" w:sz="6" w:space="0"/>
              <w:right w:val="single" w:color="auto" w:sz="4" w:space="0"/>
              <w:tl2br w:val="nil"/>
              <w:tr2bl w:val="nil"/>
            </w:tcBorders>
            <w:noWrap w:val="0"/>
            <w:vAlign w:val="center"/>
          </w:tcPr>
          <w:p w14:paraId="40DF4FE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动态加热的β射线法</w:t>
            </w:r>
          </w:p>
        </w:tc>
      </w:tr>
      <w:tr w14:paraId="76E0A6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2368" w:type="dxa"/>
            <w:tcBorders>
              <w:top w:val="single" w:color="auto" w:sz="6" w:space="0"/>
              <w:left w:val="single" w:color="auto" w:sz="4" w:space="0"/>
              <w:bottom w:val="single" w:color="auto" w:sz="6" w:space="0"/>
              <w:right w:val="single" w:color="auto" w:sz="6" w:space="0"/>
              <w:tl2br w:val="nil"/>
              <w:tr2bl w:val="nil"/>
            </w:tcBorders>
            <w:noWrap w:val="0"/>
            <w:vAlign w:val="center"/>
          </w:tcPr>
          <w:p w14:paraId="1E5C657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颗粒物PM2.5</w:t>
            </w:r>
          </w:p>
        </w:tc>
        <w:tc>
          <w:tcPr>
            <w:tcW w:w="5531" w:type="dxa"/>
            <w:tcBorders>
              <w:top w:val="single" w:color="auto" w:sz="6" w:space="0"/>
              <w:left w:val="single" w:color="auto" w:sz="6" w:space="0"/>
              <w:bottom w:val="single" w:color="auto" w:sz="6" w:space="0"/>
              <w:right w:val="single" w:color="auto" w:sz="4" w:space="0"/>
              <w:tl2br w:val="nil"/>
              <w:tr2bl w:val="nil"/>
            </w:tcBorders>
            <w:noWrap w:val="0"/>
            <w:vAlign w:val="center"/>
          </w:tcPr>
          <w:p w14:paraId="3292752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动态加热的β射线法</w:t>
            </w:r>
          </w:p>
        </w:tc>
      </w:tr>
    </w:tbl>
    <w:p w14:paraId="36CAE4F7">
      <w:pPr>
        <w:pStyle w:val="4"/>
        <w:bidi w:val="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（三）技术参数指标</w:t>
      </w:r>
    </w:p>
    <w:p w14:paraId="6BA67A9B">
      <w:pPr>
        <w:pStyle w:val="4"/>
        <w:numPr>
          <w:ilvl w:val="0"/>
          <w:numId w:val="0"/>
        </w:numPr>
        <w:spacing w:before="0" w:after="0" w:line="360" w:lineRule="auto"/>
        <w:ind w:leftChars="0"/>
        <w:rPr>
          <w:rFonts w:hint="eastAsia" w:asciiTheme="minorEastAsia" w:hAnsiTheme="minorEastAsia" w:eastAsiaTheme="minorEastAsia" w:cstheme="minorEastAsia"/>
          <w:b w:val="0"/>
          <w:bCs w:val="0"/>
          <w:sz w:val="24"/>
          <w:szCs w:val="24"/>
        </w:rPr>
      </w:pPr>
      <w:bookmarkStart w:id="770" w:name="_Toc21980_WPSOffice_Level3"/>
      <w:bookmarkStart w:id="771" w:name="OLE_LINK3"/>
      <w:r>
        <w:rPr>
          <w:rFonts w:hint="eastAsia" w:asciiTheme="minorEastAsia" w:hAnsiTheme="minorEastAsia" w:eastAsiaTheme="minorEastAsia" w:cstheme="minorEastAsia"/>
          <w:b w:val="0"/>
          <w:bCs w:val="0"/>
          <w:sz w:val="24"/>
          <w:szCs w:val="24"/>
          <w:lang w:val="en-US" w:eastAsia="zh-CN"/>
        </w:rPr>
        <w:t>1、</w:t>
      </w:r>
      <w:bookmarkEnd w:id="770"/>
      <w:bookmarkEnd w:id="771"/>
      <w:bookmarkStart w:id="772" w:name="_Hlk117511793"/>
      <w:bookmarkStart w:id="773" w:name="_Toc19584"/>
      <w:r>
        <w:rPr>
          <w:rFonts w:hint="eastAsia" w:asciiTheme="minorEastAsia" w:hAnsiTheme="minorEastAsia" w:eastAsiaTheme="minorEastAsia" w:cstheme="minorEastAsia"/>
          <w:b w:val="0"/>
          <w:bCs w:val="0"/>
          <w:sz w:val="24"/>
          <w:szCs w:val="24"/>
        </w:rPr>
        <w:t>二氧化硫分析仪</w:t>
      </w:r>
    </w:p>
    <w:p w14:paraId="41422B8B">
      <w:pPr>
        <w:pStyle w:val="83"/>
        <w:numPr>
          <w:ilvl w:val="0"/>
          <w:numId w:val="4"/>
        </w:numPr>
        <w:spacing w:line="288" w:lineRule="auto"/>
        <w:ind w:left="-60" w:leftChars="0" w:firstLine="480" w:firstLineChars="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设备用途：用于环境空气中二氧化硫浓度的监测；</w:t>
      </w:r>
    </w:p>
    <w:p w14:paraId="0C106DEE">
      <w:pPr>
        <w:pStyle w:val="83"/>
        <w:numPr>
          <w:ilvl w:val="0"/>
          <w:numId w:val="4"/>
        </w:numPr>
        <w:spacing w:line="288" w:lineRule="auto"/>
        <w:ind w:left="-60" w:leftChars="0" w:firstLine="480" w:firstLineChars="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配置要求：含过滤滤膜、钢瓶气及减压阀、转接头（1/8-1/4）等；</w:t>
      </w:r>
    </w:p>
    <w:p w14:paraId="1F2913A4">
      <w:pPr>
        <w:pStyle w:val="83"/>
        <w:numPr>
          <w:ilvl w:val="0"/>
          <w:numId w:val="4"/>
        </w:numPr>
        <w:spacing w:line="288" w:lineRule="auto"/>
        <w:ind w:left="-60" w:leftChars="0" w:firstLine="480" w:firstLineChars="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分析方法：紫外荧光法</w:t>
      </w:r>
    </w:p>
    <w:p w14:paraId="4D1DED51">
      <w:pPr>
        <w:pStyle w:val="83"/>
        <w:numPr>
          <w:ilvl w:val="0"/>
          <w:numId w:val="4"/>
        </w:numPr>
        <w:spacing w:line="288" w:lineRule="auto"/>
        <w:ind w:left="-60" w:leftChars="0" w:firstLine="480" w:firstLineChars="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量程：0-500ppb，最小显示单位0.1ppb</w:t>
      </w:r>
    </w:p>
    <w:p w14:paraId="2B06C5D8">
      <w:pPr>
        <w:pStyle w:val="83"/>
        <w:numPr>
          <w:ilvl w:val="0"/>
          <w:numId w:val="4"/>
        </w:numPr>
        <w:spacing w:line="288" w:lineRule="auto"/>
        <w:ind w:left="-60" w:leftChars="0" w:firstLine="480" w:firstLineChars="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零点噪声：≤0.2ppb</w:t>
      </w:r>
    </w:p>
    <w:p w14:paraId="3A1FCF10">
      <w:pPr>
        <w:pStyle w:val="83"/>
        <w:numPr>
          <w:ilvl w:val="0"/>
          <w:numId w:val="4"/>
        </w:numPr>
        <w:spacing w:line="288" w:lineRule="auto"/>
        <w:ind w:left="-60" w:leftChars="0" w:firstLine="480" w:firstLineChars="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量程噪声：≤0.5ppb</w:t>
      </w:r>
    </w:p>
    <w:p w14:paraId="75006B7A">
      <w:pPr>
        <w:pStyle w:val="83"/>
        <w:numPr>
          <w:ilvl w:val="0"/>
          <w:numId w:val="4"/>
        </w:numPr>
        <w:spacing w:line="288" w:lineRule="auto"/>
        <w:ind w:left="-60" w:leftChars="0" w:firstLine="480" w:firstLineChars="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最低检出限：≤0.2ppb</w:t>
      </w:r>
    </w:p>
    <w:p w14:paraId="38D241E2">
      <w:pPr>
        <w:pStyle w:val="83"/>
        <w:numPr>
          <w:ilvl w:val="0"/>
          <w:numId w:val="4"/>
        </w:numPr>
        <w:spacing w:line="288" w:lineRule="auto"/>
        <w:ind w:left="-60" w:leftChars="0" w:firstLine="480" w:firstLineChars="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示值误差：≤±0.2%F.S.</w:t>
      </w:r>
    </w:p>
    <w:p w14:paraId="73EE1C70">
      <w:pPr>
        <w:pStyle w:val="83"/>
        <w:numPr>
          <w:ilvl w:val="0"/>
          <w:numId w:val="4"/>
        </w:numPr>
        <w:spacing w:line="288" w:lineRule="auto"/>
        <w:ind w:left="-60" w:leftChars="0" w:firstLine="480" w:firstLineChars="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20%量程精密度：≤0.3ppb</w:t>
      </w:r>
    </w:p>
    <w:p w14:paraId="029393A1">
      <w:pPr>
        <w:pStyle w:val="83"/>
        <w:numPr>
          <w:ilvl w:val="0"/>
          <w:numId w:val="4"/>
        </w:numPr>
        <w:spacing w:line="288" w:lineRule="auto"/>
        <w:ind w:left="-60" w:leftChars="0" w:firstLine="480" w:firstLineChars="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80%量程精密度：≤1ppb</w:t>
      </w:r>
    </w:p>
    <w:p w14:paraId="34BEA17D">
      <w:pPr>
        <w:pStyle w:val="83"/>
        <w:numPr>
          <w:ilvl w:val="0"/>
          <w:numId w:val="4"/>
        </w:numPr>
        <w:spacing w:line="288" w:lineRule="auto"/>
        <w:ind w:left="-60" w:leftChars="0" w:firstLine="480" w:firstLineChars="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24h零点漂移：≤±0.5ppb</w:t>
      </w:r>
    </w:p>
    <w:p w14:paraId="0FD66E4A">
      <w:pPr>
        <w:pStyle w:val="83"/>
        <w:numPr>
          <w:ilvl w:val="0"/>
          <w:numId w:val="4"/>
        </w:numPr>
        <w:spacing w:line="288" w:lineRule="auto"/>
        <w:ind w:left="-60" w:leftChars="0" w:firstLine="480" w:firstLineChars="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24h20%量程漂移：≤±1ppb</w:t>
      </w:r>
    </w:p>
    <w:p w14:paraId="33ED8346">
      <w:pPr>
        <w:pStyle w:val="83"/>
        <w:numPr>
          <w:ilvl w:val="0"/>
          <w:numId w:val="4"/>
        </w:numPr>
        <w:spacing w:line="288" w:lineRule="auto"/>
        <w:ind w:left="-60" w:leftChars="0" w:firstLine="480" w:firstLineChars="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24h80%量程漂移：≤±2ppb</w:t>
      </w:r>
    </w:p>
    <w:p w14:paraId="775A9856">
      <w:pPr>
        <w:pStyle w:val="83"/>
        <w:numPr>
          <w:ilvl w:val="0"/>
          <w:numId w:val="4"/>
        </w:numPr>
        <w:spacing w:line="288" w:lineRule="auto"/>
        <w:ind w:left="-60" w:leftChars="0" w:firstLine="480" w:firstLineChars="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响应时间：≤300秒（从0上升到90％满量程）</w:t>
      </w:r>
    </w:p>
    <w:p w14:paraId="6A62B72C">
      <w:pPr>
        <w:pStyle w:val="83"/>
        <w:numPr>
          <w:ilvl w:val="0"/>
          <w:numId w:val="4"/>
        </w:numPr>
        <w:spacing w:line="288" w:lineRule="auto"/>
        <w:ind w:left="-60" w:leftChars="0" w:firstLine="480" w:firstLineChars="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干扰成分影响：＜±1.0%F.S.（H2O）、＜±1.0%F.S.（甲苯）</w:t>
      </w:r>
    </w:p>
    <w:p w14:paraId="35C4AD61">
      <w:pPr>
        <w:pStyle w:val="83"/>
        <w:numPr>
          <w:ilvl w:val="0"/>
          <w:numId w:val="4"/>
        </w:numPr>
        <w:spacing w:line="288" w:lineRule="auto"/>
        <w:ind w:left="-60" w:leftChars="0" w:firstLine="480" w:firstLineChars="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7d零点漂移：≤±1ppb</w:t>
      </w:r>
    </w:p>
    <w:p w14:paraId="18438A26">
      <w:pPr>
        <w:pStyle w:val="83"/>
        <w:numPr>
          <w:ilvl w:val="0"/>
          <w:numId w:val="4"/>
        </w:numPr>
        <w:spacing w:line="288" w:lineRule="auto"/>
        <w:ind w:left="-60" w:leftChars="0" w:firstLine="480" w:firstLineChars="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7d量程漂移：≤±5ppb</w:t>
      </w:r>
    </w:p>
    <w:p w14:paraId="509711A4">
      <w:pPr>
        <w:pStyle w:val="83"/>
        <w:numPr>
          <w:ilvl w:val="0"/>
          <w:numId w:val="4"/>
        </w:numPr>
        <w:spacing w:line="288" w:lineRule="auto"/>
        <w:ind w:left="-60" w:leftChars="0" w:firstLine="480" w:firstLineChars="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电源要求：220±10%VAC，50Hz</w:t>
      </w:r>
    </w:p>
    <w:p w14:paraId="1D10EAC9">
      <w:pPr>
        <w:pStyle w:val="83"/>
        <w:numPr>
          <w:ilvl w:val="0"/>
          <w:numId w:val="4"/>
        </w:numPr>
        <w:spacing w:line="288" w:lineRule="auto"/>
        <w:ind w:left="-60" w:leftChars="0" w:firstLine="480" w:firstLineChars="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数据存储功能：独立内存，支持参数存储，可存储超过400天的小时均值数据自动备份功能。</w:t>
      </w:r>
    </w:p>
    <w:p w14:paraId="692418F1">
      <w:pPr>
        <w:pStyle w:val="83"/>
        <w:numPr>
          <w:ilvl w:val="0"/>
          <w:numId w:val="4"/>
        </w:numPr>
        <w:spacing w:line="288" w:lineRule="auto"/>
        <w:ind w:left="-60" w:leftChars="0" w:firstLine="480" w:firstLineChars="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校准：具有自动校零、校跨功能，能够远程仪器的运行状态和进行诊断。</w:t>
      </w:r>
    </w:p>
    <w:p w14:paraId="109DDC3A">
      <w:pPr>
        <w:spacing w:line="288" w:lineRule="auto"/>
        <w:ind w:firstLine="480" w:firstLineChars="200"/>
        <w:rPr>
          <w:rFonts w:hint="eastAsia" w:asciiTheme="minorEastAsia" w:hAnsiTheme="minorEastAsia" w:eastAsiaTheme="minorEastAsia" w:cstheme="minorEastAsia"/>
          <w:b w:val="0"/>
          <w:bCs w:val="0"/>
          <w:sz w:val="24"/>
          <w:szCs w:val="24"/>
          <w14:ligatures w14:val="none"/>
        </w:rPr>
      </w:pPr>
      <w:bookmarkStart w:id="774" w:name="OLE_LINK1"/>
      <w:r>
        <w:rPr>
          <w:rFonts w:hint="eastAsia" w:asciiTheme="minorEastAsia" w:hAnsiTheme="minorEastAsia" w:eastAsiaTheme="minorEastAsia" w:cstheme="minorEastAsia"/>
          <w:b w:val="0"/>
          <w:bCs w:val="0"/>
          <w:sz w:val="24"/>
          <w:szCs w:val="24"/>
          <w14:ligatures w14:val="none"/>
        </w:rPr>
        <w:t>投标产品需具有有效期内中国环境监测总站或生态环境部（原环境保护部）环境监测仪器设备质量监督检验中心出具的整机适用性测试报告扫描件，以上参数在测试报告中若有检测结果，须以检测报告结果作为响应评审依据。须提供在有效期内的环境保护部环境监测仪器质量监督检验中心检测报告扫描件（彩色打印）加盖</w:t>
      </w:r>
      <w:r>
        <w:rPr>
          <w:rFonts w:hint="eastAsia" w:asciiTheme="minorEastAsia" w:hAnsiTheme="minorEastAsia" w:eastAsiaTheme="minorEastAsia" w:cstheme="minorEastAsia"/>
          <w:b w:val="0"/>
          <w:bCs w:val="0"/>
          <w:sz w:val="24"/>
          <w:szCs w:val="24"/>
          <w:lang w:eastAsia="zh-CN"/>
          <w14:ligatures w14:val="none"/>
        </w:rPr>
        <w:t>供应商</w:t>
      </w:r>
      <w:r>
        <w:rPr>
          <w:rFonts w:hint="eastAsia" w:asciiTheme="minorEastAsia" w:hAnsiTheme="minorEastAsia" w:eastAsiaTheme="minorEastAsia" w:cstheme="minorEastAsia"/>
          <w:b w:val="0"/>
          <w:bCs w:val="0"/>
          <w:sz w:val="24"/>
          <w:szCs w:val="24"/>
          <w14:ligatures w14:val="none"/>
        </w:rPr>
        <w:t>公章。</w:t>
      </w:r>
      <w:bookmarkEnd w:id="772"/>
      <w:bookmarkEnd w:id="774"/>
    </w:p>
    <w:p w14:paraId="61241EA3">
      <w:pPr>
        <w:spacing w:line="288" w:lineRule="auto"/>
        <w:ind w:firstLine="480" w:firstLineChars="200"/>
        <w:rPr>
          <w:rFonts w:hint="eastAsia" w:asciiTheme="minorEastAsia" w:hAnsiTheme="minorEastAsia" w:eastAsiaTheme="minorEastAsia" w:cstheme="minorEastAsia"/>
          <w:b w:val="0"/>
          <w:bCs w:val="0"/>
          <w:sz w:val="24"/>
          <w:szCs w:val="24"/>
          <w14:ligatures w14:val="none"/>
        </w:rPr>
      </w:pPr>
    </w:p>
    <w:p w14:paraId="294219C7">
      <w:pPr>
        <w:spacing w:line="288" w:lineRule="auto"/>
        <w:ind w:firstLine="480" w:firstLineChars="200"/>
        <w:rPr>
          <w:rFonts w:hint="eastAsia" w:asciiTheme="minorEastAsia" w:hAnsiTheme="minorEastAsia" w:eastAsiaTheme="minorEastAsia" w:cstheme="minorEastAsia"/>
          <w:b w:val="0"/>
          <w:bCs w:val="0"/>
          <w:sz w:val="24"/>
          <w:szCs w:val="24"/>
          <w:lang w:val="en-US" w:eastAsia="zh-CN"/>
          <w14:ligatures w14:val="none"/>
        </w:rPr>
      </w:pPr>
    </w:p>
    <w:bookmarkEnd w:id="773"/>
    <w:p w14:paraId="7BFD56A5">
      <w:pPr>
        <w:pStyle w:val="4"/>
        <w:numPr>
          <w:ilvl w:val="0"/>
          <w:numId w:val="0"/>
        </w:numPr>
        <w:spacing w:before="0" w:after="0" w:line="360" w:lineRule="auto"/>
        <w:ind w:leftChars="0"/>
        <w:rPr>
          <w:rFonts w:hint="eastAsia" w:asciiTheme="minorEastAsia" w:hAnsiTheme="minorEastAsia" w:eastAsiaTheme="minorEastAsia" w:cstheme="minorEastAsia"/>
          <w:b w:val="0"/>
          <w:bCs w:val="0"/>
          <w:sz w:val="24"/>
          <w:szCs w:val="24"/>
        </w:rPr>
      </w:pPr>
      <w:bookmarkStart w:id="775" w:name="_Toc5155_WPSOffice_Level3"/>
      <w:bookmarkStart w:id="776" w:name="OLE_LINK4"/>
      <w:bookmarkStart w:id="777" w:name="_Toc454664047"/>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w:t>
      </w:r>
      <w:bookmarkEnd w:id="775"/>
      <w:bookmarkStart w:id="778" w:name="_Hlk117511724"/>
      <w:r>
        <w:rPr>
          <w:rFonts w:hint="eastAsia" w:asciiTheme="minorEastAsia" w:hAnsiTheme="minorEastAsia" w:eastAsiaTheme="minorEastAsia" w:cstheme="minorEastAsia"/>
          <w:b w:val="0"/>
          <w:bCs w:val="0"/>
          <w:sz w:val="24"/>
          <w:szCs w:val="24"/>
        </w:rPr>
        <w:t>氮氧化物分析仪</w:t>
      </w:r>
    </w:p>
    <w:p w14:paraId="4BF9F768">
      <w:pPr>
        <w:pStyle w:val="83"/>
        <w:numPr>
          <w:ilvl w:val="0"/>
          <w:numId w:val="5"/>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设备用途：用于环境空气中氮氧化物浓度的监测；</w:t>
      </w:r>
    </w:p>
    <w:p w14:paraId="408C3A19">
      <w:pPr>
        <w:pStyle w:val="83"/>
        <w:numPr>
          <w:ilvl w:val="0"/>
          <w:numId w:val="5"/>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配置要求：含过滤滤膜、钢瓶气及减压阀、转接头（1/8-1/4）等；</w:t>
      </w:r>
    </w:p>
    <w:p w14:paraId="12C24CBA">
      <w:pPr>
        <w:pStyle w:val="83"/>
        <w:numPr>
          <w:ilvl w:val="0"/>
          <w:numId w:val="5"/>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分析方法：化学发光法</w:t>
      </w:r>
    </w:p>
    <w:p w14:paraId="14E3E388">
      <w:pPr>
        <w:pStyle w:val="83"/>
        <w:numPr>
          <w:ilvl w:val="0"/>
          <w:numId w:val="5"/>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量程：0-500ppb，最小显示单位0.1ppb</w:t>
      </w:r>
    </w:p>
    <w:p w14:paraId="72C4B477">
      <w:pPr>
        <w:pStyle w:val="83"/>
        <w:numPr>
          <w:ilvl w:val="0"/>
          <w:numId w:val="5"/>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零点噪声：≤0.2ppb</w:t>
      </w:r>
    </w:p>
    <w:p w14:paraId="10BF8F50">
      <w:pPr>
        <w:pStyle w:val="83"/>
        <w:numPr>
          <w:ilvl w:val="0"/>
          <w:numId w:val="5"/>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量程噪声：≤0.5ppb</w:t>
      </w:r>
    </w:p>
    <w:p w14:paraId="57601E23">
      <w:pPr>
        <w:pStyle w:val="83"/>
        <w:numPr>
          <w:ilvl w:val="0"/>
          <w:numId w:val="5"/>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最低检出限：≤0.2ppb</w:t>
      </w:r>
    </w:p>
    <w:p w14:paraId="20F50117">
      <w:pPr>
        <w:pStyle w:val="83"/>
        <w:numPr>
          <w:ilvl w:val="0"/>
          <w:numId w:val="5"/>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示值误差：≤±0.1%F.S.</w:t>
      </w:r>
    </w:p>
    <w:p w14:paraId="7DA49129">
      <w:pPr>
        <w:pStyle w:val="83"/>
        <w:numPr>
          <w:ilvl w:val="0"/>
          <w:numId w:val="5"/>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20%量程精密度：≤0.3ppb</w:t>
      </w:r>
    </w:p>
    <w:p w14:paraId="7BACEE02">
      <w:pPr>
        <w:pStyle w:val="83"/>
        <w:numPr>
          <w:ilvl w:val="0"/>
          <w:numId w:val="5"/>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80%量程精密度：≤1.0ppb</w:t>
      </w:r>
    </w:p>
    <w:p w14:paraId="139E36F1">
      <w:pPr>
        <w:pStyle w:val="83"/>
        <w:numPr>
          <w:ilvl w:val="0"/>
          <w:numId w:val="5"/>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24h零点漂移：≤±0.5ppb</w:t>
      </w:r>
    </w:p>
    <w:p w14:paraId="0B74C60A">
      <w:pPr>
        <w:pStyle w:val="83"/>
        <w:numPr>
          <w:ilvl w:val="0"/>
          <w:numId w:val="5"/>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24h20%量程漂移：≤±1.0ppb</w:t>
      </w:r>
    </w:p>
    <w:p w14:paraId="1B56F447">
      <w:pPr>
        <w:pStyle w:val="83"/>
        <w:numPr>
          <w:ilvl w:val="0"/>
          <w:numId w:val="5"/>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24h80%量程漂移：≤±1.0ppb</w:t>
      </w:r>
    </w:p>
    <w:p w14:paraId="3FC13C50">
      <w:pPr>
        <w:pStyle w:val="83"/>
        <w:numPr>
          <w:ilvl w:val="0"/>
          <w:numId w:val="5"/>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响应时间：≤300秒（从0上升到90％满量程）</w:t>
      </w:r>
    </w:p>
    <w:p w14:paraId="29665323">
      <w:pPr>
        <w:pStyle w:val="83"/>
        <w:numPr>
          <w:ilvl w:val="0"/>
          <w:numId w:val="5"/>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转换效率：＞99%</w:t>
      </w:r>
    </w:p>
    <w:p w14:paraId="5C55CADC">
      <w:pPr>
        <w:pStyle w:val="83"/>
        <w:numPr>
          <w:ilvl w:val="0"/>
          <w:numId w:val="5"/>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干扰成分影响：≤±1.0%F.S.（H2O）、≤±1.0%F.S.（NH3）、≤±1.0%F.S.（O3）、≤±1.0%F.S.（SO2）</w:t>
      </w:r>
    </w:p>
    <w:p w14:paraId="76EA4388">
      <w:pPr>
        <w:pStyle w:val="83"/>
        <w:numPr>
          <w:ilvl w:val="0"/>
          <w:numId w:val="5"/>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7d零点漂移：≤±10ppb</w:t>
      </w:r>
    </w:p>
    <w:p w14:paraId="3D2810DF">
      <w:pPr>
        <w:pStyle w:val="83"/>
        <w:numPr>
          <w:ilvl w:val="0"/>
          <w:numId w:val="5"/>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7d量程漂移：≤±20ppb</w:t>
      </w:r>
    </w:p>
    <w:p w14:paraId="68120994">
      <w:pPr>
        <w:pStyle w:val="83"/>
        <w:numPr>
          <w:ilvl w:val="0"/>
          <w:numId w:val="5"/>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转换效率：＞99%</w:t>
      </w:r>
    </w:p>
    <w:p w14:paraId="3F609431">
      <w:pPr>
        <w:pStyle w:val="83"/>
        <w:numPr>
          <w:ilvl w:val="0"/>
          <w:numId w:val="5"/>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电源要求：220±10%VAC，50Hz</w:t>
      </w:r>
    </w:p>
    <w:p w14:paraId="4455925D">
      <w:pPr>
        <w:pStyle w:val="83"/>
        <w:numPr>
          <w:ilvl w:val="0"/>
          <w:numId w:val="5"/>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数据存储功能：独立内存，支持参数存储，可存储超过400天的小时均值数据自动备份功能。</w:t>
      </w:r>
    </w:p>
    <w:p w14:paraId="5B9AD4BA">
      <w:pPr>
        <w:pStyle w:val="83"/>
        <w:numPr>
          <w:ilvl w:val="0"/>
          <w:numId w:val="5"/>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校准：具有自动校零、校跨功能，能够远程仪器的运行状态和进行诊断。</w:t>
      </w:r>
    </w:p>
    <w:p w14:paraId="514798DD">
      <w:pPr>
        <w:spacing w:line="288" w:lineRule="auto"/>
        <w:ind w:firstLine="480" w:firstLineChars="20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投标产品需具有有效期内中国环境监测总站或生态环境部（原环境保护部）环境监测仪器设备质量监督检验中心出具的整机适用性测试报告扫描件，以上参数在测试报告中若有检测结果，须以检测报告结果作为响应评审依据。须提供在有效期内的环境保护部环境监测仪器质量监督检验中心检测报告扫描件（彩色打印）加盖</w:t>
      </w:r>
      <w:r>
        <w:rPr>
          <w:rFonts w:hint="eastAsia" w:asciiTheme="minorEastAsia" w:hAnsiTheme="minorEastAsia" w:eastAsiaTheme="minorEastAsia" w:cstheme="minorEastAsia"/>
          <w:b w:val="0"/>
          <w:bCs w:val="0"/>
          <w:sz w:val="24"/>
          <w:szCs w:val="24"/>
          <w:lang w:eastAsia="zh-CN"/>
          <w14:ligatures w14:val="none"/>
        </w:rPr>
        <w:t>供应商</w:t>
      </w:r>
      <w:r>
        <w:rPr>
          <w:rFonts w:hint="eastAsia" w:asciiTheme="minorEastAsia" w:hAnsiTheme="minorEastAsia" w:eastAsiaTheme="minorEastAsia" w:cstheme="minorEastAsia"/>
          <w:b w:val="0"/>
          <w:bCs w:val="0"/>
          <w:sz w:val="24"/>
          <w:szCs w:val="24"/>
          <w14:ligatures w14:val="none"/>
        </w:rPr>
        <w:t>公章</w:t>
      </w:r>
    </w:p>
    <w:bookmarkEnd w:id="778"/>
    <w:p w14:paraId="4260F268">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b w:val="0"/>
          <w:bCs w:val="0"/>
          <w:color w:val="auto"/>
          <w:sz w:val="24"/>
          <w:szCs w:val="24"/>
          <w:lang w:val="en-US" w:eastAsia="zh-CN"/>
        </w:rPr>
      </w:pPr>
    </w:p>
    <w:bookmarkEnd w:id="776"/>
    <w:bookmarkEnd w:id="777"/>
    <w:p w14:paraId="601FEE23">
      <w:pPr>
        <w:pStyle w:val="4"/>
        <w:numPr>
          <w:ilvl w:val="0"/>
          <w:numId w:val="0"/>
        </w:numPr>
        <w:spacing w:before="0" w:after="0" w:line="360" w:lineRule="auto"/>
        <w:ind w:leftChars="0"/>
        <w:rPr>
          <w:rFonts w:hint="eastAsia" w:asciiTheme="minorEastAsia" w:hAnsiTheme="minorEastAsia" w:eastAsiaTheme="minorEastAsia" w:cstheme="minorEastAsia"/>
          <w:b w:val="0"/>
          <w:bCs w:val="0"/>
          <w:sz w:val="24"/>
          <w:szCs w:val="24"/>
        </w:rPr>
      </w:pPr>
      <w:bookmarkStart w:id="779" w:name="_Toc8902_WPSOffice_Level3"/>
      <w:r>
        <w:rPr>
          <w:rFonts w:hint="eastAsia" w:asciiTheme="minorEastAsia" w:hAnsiTheme="minorEastAsia" w:eastAsiaTheme="minorEastAsia" w:cstheme="minorEastAsia"/>
          <w:b w:val="0"/>
          <w:bCs w:val="0"/>
          <w:color w:val="auto"/>
          <w:sz w:val="24"/>
          <w:szCs w:val="24"/>
          <w:lang w:val="en-US" w:eastAsia="zh-CN"/>
        </w:rPr>
        <w:t>3、</w:t>
      </w:r>
      <w:bookmarkEnd w:id="779"/>
      <w:r>
        <w:rPr>
          <w:rFonts w:hint="eastAsia" w:asciiTheme="minorEastAsia" w:hAnsiTheme="minorEastAsia" w:eastAsiaTheme="minorEastAsia" w:cstheme="minorEastAsia"/>
          <w:b w:val="0"/>
          <w:bCs w:val="0"/>
          <w:sz w:val="24"/>
          <w:szCs w:val="24"/>
        </w:rPr>
        <w:t>臭氧分析仪</w:t>
      </w:r>
    </w:p>
    <w:p w14:paraId="43FFB0CC">
      <w:pPr>
        <w:pStyle w:val="83"/>
        <w:numPr>
          <w:ilvl w:val="0"/>
          <w:numId w:val="6"/>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设备用途：用于环境空气中臭氧浓度的监测</w:t>
      </w:r>
    </w:p>
    <w:p w14:paraId="432E5428">
      <w:pPr>
        <w:pStyle w:val="83"/>
        <w:numPr>
          <w:ilvl w:val="0"/>
          <w:numId w:val="6"/>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配置要求：含过滤滤膜、钢瓶气及减压阀、转接头（1/8-1/4）等</w:t>
      </w:r>
    </w:p>
    <w:p w14:paraId="635F5866">
      <w:pPr>
        <w:pStyle w:val="83"/>
        <w:numPr>
          <w:ilvl w:val="0"/>
          <w:numId w:val="6"/>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分析方法：紫外吸收法</w:t>
      </w:r>
    </w:p>
    <w:p w14:paraId="5BCF2109">
      <w:pPr>
        <w:pStyle w:val="83"/>
        <w:numPr>
          <w:ilvl w:val="0"/>
          <w:numId w:val="6"/>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量程设置：0-500ppb，最小显示单位0.1ppb</w:t>
      </w:r>
    </w:p>
    <w:p w14:paraId="34334A42">
      <w:pPr>
        <w:pStyle w:val="83"/>
        <w:numPr>
          <w:ilvl w:val="0"/>
          <w:numId w:val="6"/>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零点噪声：≤0.2ppb</w:t>
      </w:r>
    </w:p>
    <w:p w14:paraId="2EB4A6B6">
      <w:pPr>
        <w:pStyle w:val="83"/>
        <w:numPr>
          <w:ilvl w:val="0"/>
          <w:numId w:val="6"/>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量程噪声：≤1.0ppb</w:t>
      </w:r>
    </w:p>
    <w:p w14:paraId="636C5AB3">
      <w:pPr>
        <w:pStyle w:val="83"/>
        <w:numPr>
          <w:ilvl w:val="0"/>
          <w:numId w:val="6"/>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最低检出限：≤0.2ppb</w:t>
      </w:r>
    </w:p>
    <w:p w14:paraId="4EE062E9">
      <w:pPr>
        <w:pStyle w:val="83"/>
        <w:numPr>
          <w:ilvl w:val="0"/>
          <w:numId w:val="6"/>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示值误差：≤±0.1%F.S.</w:t>
      </w:r>
    </w:p>
    <w:p w14:paraId="113F7557">
      <w:pPr>
        <w:pStyle w:val="83"/>
        <w:numPr>
          <w:ilvl w:val="0"/>
          <w:numId w:val="6"/>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20%量程精密度：≤0.5ppb</w:t>
      </w:r>
    </w:p>
    <w:p w14:paraId="4A854546">
      <w:pPr>
        <w:pStyle w:val="83"/>
        <w:numPr>
          <w:ilvl w:val="0"/>
          <w:numId w:val="6"/>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80%量程精密度：≤1.5ppb</w:t>
      </w:r>
    </w:p>
    <w:p w14:paraId="75BF70E2">
      <w:pPr>
        <w:pStyle w:val="83"/>
        <w:numPr>
          <w:ilvl w:val="0"/>
          <w:numId w:val="6"/>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24h零点漂移：≤±0.5ppb</w:t>
      </w:r>
    </w:p>
    <w:p w14:paraId="4C5A81DE">
      <w:pPr>
        <w:pStyle w:val="83"/>
        <w:numPr>
          <w:ilvl w:val="0"/>
          <w:numId w:val="6"/>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24h20%量程漂移：≤±1.0ppb</w:t>
      </w:r>
    </w:p>
    <w:p w14:paraId="4734ED8D">
      <w:pPr>
        <w:pStyle w:val="83"/>
        <w:numPr>
          <w:ilvl w:val="0"/>
          <w:numId w:val="6"/>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24h80%量程漂移：≤±5ppb</w:t>
      </w:r>
    </w:p>
    <w:p w14:paraId="548A1423">
      <w:pPr>
        <w:pStyle w:val="83"/>
        <w:numPr>
          <w:ilvl w:val="0"/>
          <w:numId w:val="6"/>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响应时间：≤60秒（从0 上升到90％满量程）</w:t>
      </w:r>
    </w:p>
    <w:p w14:paraId="50335B5B">
      <w:pPr>
        <w:pStyle w:val="83"/>
        <w:numPr>
          <w:ilvl w:val="0"/>
          <w:numId w:val="6"/>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干扰成分影响：≤±1.0%F.S.（H2O）、≤±1.0%F.S.（甲苯）、≤±1.0%F.S.（SO2）、≤±1.0%F.S.（NO/NO2）</w:t>
      </w:r>
    </w:p>
    <w:p w14:paraId="5D448753">
      <w:pPr>
        <w:pStyle w:val="83"/>
        <w:numPr>
          <w:ilvl w:val="0"/>
          <w:numId w:val="6"/>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7d零点漂移：≤±3ppb</w:t>
      </w:r>
    </w:p>
    <w:p w14:paraId="2908701E">
      <w:pPr>
        <w:pStyle w:val="83"/>
        <w:numPr>
          <w:ilvl w:val="0"/>
          <w:numId w:val="6"/>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7d量程漂移：≤±5ppb</w:t>
      </w:r>
    </w:p>
    <w:p w14:paraId="43C1F721">
      <w:pPr>
        <w:pStyle w:val="83"/>
        <w:numPr>
          <w:ilvl w:val="0"/>
          <w:numId w:val="6"/>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电源要求：220±10%VAC，50Hz</w:t>
      </w:r>
    </w:p>
    <w:p w14:paraId="03328ABA">
      <w:pPr>
        <w:pStyle w:val="83"/>
        <w:numPr>
          <w:ilvl w:val="0"/>
          <w:numId w:val="6"/>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数据存储功能：独立内存，支持参数存储，可存储超过400天的小时均值数据自动备份功能。</w:t>
      </w:r>
    </w:p>
    <w:p w14:paraId="4500BDF6">
      <w:pPr>
        <w:pStyle w:val="83"/>
        <w:numPr>
          <w:ilvl w:val="0"/>
          <w:numId w:val="6"/>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校准：具有自动校零、校跨功能，能够远程仪器的运行状态和进行诊断。</w:t>
      </w:r>
    </w:p>
    <w:p w14:paraId="48846FA5">
      <w:pPr>
        <w:spacing w:line="288" w:lineRule="auto"/>
        <w:ind w:firstLine="480" w:firstLineChars="20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投标产品需具有有效期内中国环境监测总站或生态环境部（原环境保护部）环境监测仪器设备质量监督检验中心出具的整机适用性测试报告扫描件，以上参数在测试报告中若有检测结果，须以检测报告结果作为响应评审依据。须提供在有效期内的环境保护部环境监测仪器质量监督检验中心检测报告扫描件（彩色打印）加盖</w:t>
      </w:r>
      <w:r>
        <w:rPr>
          <w:rFonts w:hint="eastAsia" w:asciiTheme="minorEastAsia" w:hAnsiTheme="minorEastAsia" w:eastAsiaTheme="minorEastAsia" w:cstheme="minorEastAsia"/>
          <w:b w:val="0"/>
          <w:bCs w:val="0"/>
          <w:sz w:val="24"/>
          <w:szCs w:val="24"/>
          <w:lang w:eastAsia="zh-CN"/>
          <w14:ligatures w14:val="none"/>
        </w:rPr>
        <w:t>供应商</w:t>
      </w:r>
      <w:r>
        <w:rPr>
          <w:rFonts w:hint="eastAsia" w:asciiTheme="minorEastAsia" w:hAnsiTheme="minorEastAsia" w:eastAsiaTheme="minorEastAsia" w:cstheme="minorEastAsia"/>
          <w:b w:val="0"/>
          <w:bCs w:val="0"/>
          <w:sz w:val="24"/>
          <w:szCs w:val="24"/>
          <w14:ligatures w14:val="none"/>
        </w:rPr>
        <w:t>公章</w:t>
      </w:r>
    </w:p>
    <w:p w14:paraId="670FD511">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b w:val="0"/>
          <w:bCs w:val="0"/>
          <w:color w:val="auto"/>
          <w:sz w:val="24"/>
          <w:szCs w:val="24"/>
          <w:lang w:val="en-US" w:eastAsia="zh-CN"/>
        </w:rPr>
      </w:pPr>
    </w:p>
    <w:p w14:paraId="75B309EC">
      <w:pPr>
        <w:pStyle w:val="4"/>
        <w:numPr>
          <w:ilvl w:val="0"/>
          <w:numId w:val="0"/>
        </w:numPr>
        <w:spacing w:before="0" w:after="0" w:line="360" w:lineRule="auto"/>
        <w:ind w:lef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w:t>
      </w:r>
      <w:bookmarkStart w:id="780" w:name="_Hlk117511762"/>
      <w:r>
        <w:rPr>
          <w:rFonts w:hint="eastAsia" w:asciiTheme="minorEastAsia" w:hAnsiTheme="minorEastAsia" w:eastAsiaTheme="minorEastAsia" w:cstheme="minorEastAsia"/>
          <w:b w:val="0"/>
          <w:bCs w:val="0"/>
          <w:sz w:val="24"/>
          <w:szCs w:val="24"/>
        </w:rPr>
        <w:t>一氧化碳分析仪</w:t>
      </w:r>
    </w:p>
    <w:p w14:paraId="70909C58">
      <w:pPr>
        <w:pStyle w:val="83"/>
        <w:numPr>
          <w:ilvl w:val="0"/>
          <w:numId w:val="7"/>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设备用途：用于环境空气中一氧化碳浓度的监测；</w:t>
      </w:r>
    </w:p>
    <w:p w14:paraId="76CABCB3">
      <w:pPr>
        <w:pStyle w:val="83"/>
        <w:numPr>
          <w:ilvl w:val="0"/>
          <w:numId w:val="7"/>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配置要求：含过滤滤膜、钢瓶气及减压阀、转接头（1/8-1/4）等；</w:t>
      </w:r>
    </w:p>
    <w:p w14:paraId="5AB60C0C">
      <w:pPr>
        <w:pStyle w:val="83"/>
        <w:numPr>
          <w:ilvl w:val="0"/>
          <w:numId w:val="7"/>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分析方法：非分散红外吸收法或气体滤波相关红外吸收法</w:t>
      </w:r>
    </w:p>
    <w:p w14:paraId="14F90D4A">
      <w:pPr>
        <w:pStyle w:val="83"/>
        <w:numPr>
          <w:ilvl w:val="0"/>
          <w:numId w:val="7"/>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量程：0-50ppm，最小显示单位0.1ppm</w:t>
      </w:r>
    </w:p>
    <w:p w14:paraId="317F9D0F">
      <w:pPr>
        <w:pStyle w:val="83"/>
        <w:numPr>
          <w:ilvl w:val="0"/>
          <w:numId w:val="7"/>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零点噪声：≤0.1ppm</w:t>
      </w:r>
    </w:p>
    <w:p w14:paraId="07B925BD">
      <w:pPr>
        <w:pStyle w:val="83"/>
        <w:numPr>
          <w:ilvl w:val="0"/>
          <w:numId w:val="7"/>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量程噪声：≤0.1ppm</w:t>
      </w:r>
    </w:p>
    <w:p w14:paraId="64E97C9B">
      <w:pPr>
        <w:pStyle w:val="83"/>
        <w:numPr>
          <w:ilvl w:val="0"/>
          <w:numId w:val="7"/>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最低检出限：≤0.2ppm</w:t>
      </w:r>
    </w:p>
    <w:p w14:paraId="6C5E21F2">
      <w:pPr>
        <w:pStyle w:val="83"/>
        <w:numPr>
          <w:ilvl w:val="0"/>
          <w:numId w:val="7"/>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示值误差：≤±0.2%F.S.</w:t>
      </w:r>
    </w:p>
    <w:p w14:paraId="7249205F">
      <w:pPr>
        <w:pStyle w:val="83"/>
        <w:numPr>
          <w:ilvl w:val="0"/>
          <w:numId w:val="7"/>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20%量程精密度：≤0.1ppm</w:t>
      </w:r>
    </w:p>
    <w:p w14:paraId="7A6BC63B">
      <w:pPr>
        <w:pStyle w:val="83"/>
        <w:numPr>
          <w:ilvl w:val="0"/>
          <w:numId w:val="7"/>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80%量程精密度：≤0.1ppm</w:t>
      </w:r>
    </w:p>
    <w:p w14:paraId="13A0D107">
      <w:pPr>
        <w:pStyle w:val="83"/>
        <w:numPr>
          <w:ilvl w:val="0"/>
          <w:numId w:val="7"/>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24h零点漂移：＜±1.0ppm</w:t>
      </w:r>
    </w:p>
    <w:p w14:paraId="1B7FBC4E">
      <w:pPr>
        <w:pStyle w:val="83"/>
        <w:numPr>
          <w:ilvl w:val="0"/>
          <w:numId w:val="7"/>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24h20%量程漂移：≤±1.0ppm</w:t>
      </w:r>
    </w:p>
    <w:p w14:paraId="0E67D01C">
      <w:pPr>
        <w:pStyle w:val="83"/>
        <w:numPr>
          <w:ilvl w:val="0"/>
          <w:numId w:val="7"/>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24h80%量程漂移：≤±1.0ppm</w:t>
      </w:r>
    </w:p>
    <w:p w14:paraId="3FA7787F">
      <w:pPr>
        <w:pStyle w:val="83"/>
        <w:numPr>
          <w:ilvl w:val="0"/>
          <w:numId w:val="7"/>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响应时间：≤240秒（从0 上升到90％满量程）</w:t>
      </w:r>
    </w:p>
    <w:p w14:paraId="16C66E11">
      <w:pPr>
        <w:pStyle w:val="83"/>
        <w:numPr>
          <w:ilvl w:val="0"/>
          <w:numId w:val="7"/>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干扰成分影响：≤±1.0%F.S.（H2O）、≤±1.0%F.S.（CO2）</w:t>
      </w:r>
    </w:p>
    <w:p w14:paraId="5579320E">
      <w:pPr>
        <w:pStyle w:val="83"/>
        <w:numPr>
          <w:ilvl w:val="0"/>
          <w:numId w:val="7"/>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7d零点漂移：≤±1.0ppm</w:t>
      </w:r>
    </w:p>
    <w:p w14:paraId="25821F8D">
      <w:pPr>
        <w:pStyle w:val="83"/>
        <w:numPr>
          <w:ilvl w:val="0"/>
          <w:numId w:val="7"/>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7d量程漂移：≤±1.0ppm</w:t>
      </w:r>
    </w:p>
    <w:p w14:paraId="0C011D3F">
      <w:pPr>
        <w:pStyle w:val="83"/>
        <w:numPr>
          <w:ilvl w:val="0"/>
          <w:numId w:val="7"/>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电源要求：220±10%VAC，50Hz</w:t>
      </w:r>
    </w:p>
    <w:p w14:paraId="21CBB622">
      <w:pPr>
        <w:pStyle w:val="83"/>
        <w:numPr>
          <w:ilvl w:val="0"/>
          <w:numId w:val="7"/>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数据存储功能：独立内存，支持参数存储，可存储超过400天的小时均值数据自动备份功能。</w:t>
      </w:r>
    </w:p>
    <w:p w14:paraId="1F16EB54">
      <w:pPr>
        <w:pStyle w:val="83"/>
        <w:numPr>
          <w:ilvl w:val="0"/>
          <w:numId w:val="7"/>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校准：具有自动校零、校跨功能，能够远程仪器的运行状态和进行诊断。</w:t>
      </w:r>
    </w:p>
    <w:p w14:paraId="4D4EB91A">
      <w:pPr>
        <w:spacing w:line="288" w:lineRule="auto"/>
        <w:ind w:firstLine="480" w:firstLineChars="20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投标产品需具有有效期内中国环境监测总站或生态环境部（原环境保护部）环境监测仪器设备质量监督检验中心出具的整机适用性测试报告扫描件，以上参数在测试报告中若有检测结果，须以检测报告结果作为响应评审依据。须提供在有效期内的环境保护部环境监测仪器质量监督检验中心检测报告扫描件（彩色打印）加盖</w:t>
      </w:r>
      <w:r>
        <w:rPr>
          <w:rFonts w:hint="eastAsia" w:asciiTheme="minorEastAsia" w:hAnsiTheme="minorEastAsia" w:eastAsiaTheme="minorEastAsia" w:cstheme="minorEastAsia"/>
          <w:b w:val="0"/>
          <w:bCs w:val="0"/>
          <w:sz w:val="24"/>
          <w:szCs w:val="24"/>
          <w:lang w:eastAsia="zh-CN"/>
          <w14:ligatures w14:val="none"/>
        </w:rPr>
        <w:t>供应商</w:t>
      </w:r>
      <w:r>
        <w:rPr>
          <w:rFonts w:hint="eastAsia" w:asciiTheme="minorEastAsia" w:hAnsiTheme="minorEastAsia" w:eastAsiaTheme="minorEastAsia" w:cstheme="minorEastAsia"/>
          <w:b w:val="0"/>
          <w:bCs w:val="0"/>
          <w:sz w:val="24"/>
          <w:szCs w:val="24"/>
          <w14:ligatures w14:val="none"/>
        </w:rPr>
        <w:t>公章</w:t>
      </w:r>
    </w:p>
    <w:bookmarkEnd w:id="780"/>
    <w:p w14:paraId="33FE4690">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b w:val="0"/>
          <w:bCs w:val="0"/>
          <w:color w:val="auto"/>
          <w:sz w:val="24"/>
          <w:szCs w:val="24"/>
          <w:lang w:val="en-US" w:eastAsia="zh-CN"/>
        </w:rPr>
      </w:pPr>
    </w:p>
    <w:p w14:paraId="1BBBDF4A">
      <w:pPr>
        <w:pStyle w:val="4"/>
        <w:numPr>
          <w:ilvl w:val="0"/>
          <w:numId w:val="0"/>
        </w:numPr>
        <w:spacing w:before="0" w:after="0" w:line="360" w:lineRule="auto"/>
        <w:ind w:lef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sz w:val="24"/>
          <w:szCs w:val="24"/>
        </w:rPr>
        <w:t>PM10颗粒物监测仪</w:t>
      </w:r>
    </w:p>
    <w:p w14:paraId="1171E544">
      <w:pPr>
        <w:pStyle w:val="83"/>
        <w:numPr>
          <w:ilvl w:val="0"/>
          <w:numId w:val="8"/>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设备用途：用于环境空气中PM10浓度的监测；</w:t>
      </w:r>
    </w:p>
    <w:p w14:paraId="59750AD6">
      <w:pPr>
        <w:pStyle w:val="83"/>
        <w:numPr>
          <w:ilvl w:val="0"/>
          <w:numId w:val="8"/>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配置要求：含主机、切割头、采样滤膜等；</w:t>
      </w:r>
    </w:p>
    <w:p w14:paraId="7A2DA93A">
      <w:pPr>
        <w:pStyle w:val="83"/>
        <w:numPr>
          <w:ilvl w:val="0"/>
          <w:numId w:val="8"/>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测量范围：0~1000 ug/m3；</w:t>
      </w:r>
    </w:p>
    <w:p w14:paraId="44C20F14">
      <w:pPr>
        <w:pStyle w:val="83"/>
        <w:numPr>
          <w:ilvl w:val="0"/>
          <w:numId w:val="8"/>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最小显示单位：0.1ug/m3；</w:t>
      </w:r>
    </w:p>
    <w:p w14:paraId="63C95997">
      <w:pPr>
        <w:pStyle w:val="83"/>
        <w:numPr>
          <w:ilvl w:val="0"/>
          <w:numId w:val="8"/>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检出限：≤1ug/m3；</w:t>
      </w:r>
    </w:p>
    <w:p w14:paraId="3E7EE234">
      <w:pPr>
        <w:pStyle w:val="83"/>
        <w:numPr>
          <w:ilvl w:val="0"/>
          <w:numId w:val="8"/>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校准膜示值误差：±2.0%；</w:t>
      </w:r>
    </w:p>
    <w:p w14:paraId="24B8B165">
      <w:pPr>
        <w:pStyle w:val="83"/>
        <w:numPr>
          <w:ilvl w:val="0"/>
          <w:numId w:val="8"/>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温度测量示值误差：±2.0℃；</w:t>
      </w:r>
    </w:p>
    <w:p w14:paraId="5C7A34A0">
      <w:pPr>
        <w:pStyle w:val="83"/>
        <w:numPr>
          <w:ilvl w:val="0"/>
          <w:numId w:val="8"/>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湿度测量示值误差：±5.0%RH；</w:t>
      </w:r>
    </w:p>
    <w:p w14:paraId="5741BC29">
      <w:pPr>
        <w:pStyle w:val="83"/>
        <w:numPr>
          <w:ilvl w:val="0"/>
          <w:numId w:val="8"/>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流量测试：平均流量偏差±5%，流量相对偏差≤2%，平均流量示值误差≤2%；</w:t>
      </w:r>
    </w:p>
    <w:p w14:paraId="0FDC492A">
      <w:pPr>
        <w:pStyle w:val="83"/>
        <w:numPr>
          <w:ilvl w:val="0"/>
          <w:numId w:val="8"/>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平行性：≤±1</w:t>
      </w:r>
      <w:r>
        <w:rPr>
          <w:rFonts w:hint="eastAsia" w:asciiTheme="minorEastAsia" w:hAnsiTheme="minorEastAsia" w:eastAsiaTheme="minorEastAsia" w:cstheme="minorEastAsia"/>
          <w:b w:val="0"/>
          <w:bCs w:val="0"/>
          <w:sz w:val="24"/>
          <w:szCs w:val="24"/>
          <w:lang w:val="en-US" w:eastAsia="zh-CN"/>
          <w14:ligatures w14:val="none"/>
        </w:rPr>
        <w:t>0</w:t>
      </w:r>
      <w:r>
        <w:rPr>
          <w:rFonts w:hint="eastAsia" w:asciiTheme="minorEastAsia" w:hAnsiTheme="minorEastAsia" w:eastAsiaTheme="minorEastAsia" w:cstheme="minorEastAsia"/>
          <w:b w:val="0"/>
          <w:bCs w:val="0"/>
          <w:sz w:val="24"/>
          <w:szCs w:val="24"/>
          <w14:ligatures w14:val="none"/>
        </w:rPr>
        <w:t>％；</w:t>
      </w:r>
    </w:p>
    <w:p w14:paraId="10EF82B0">
      <w:pPr>
        <w:pStyle w:val="83"/>
        <w:numPr>
          <w:ilvl w:val="0"/>
          <w:numId w:val="8"/>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参比方法比对测试：</w:t>
      </w:r>
    </w:p>
    <w:p w14:paraId="4F7556C7">
      <w:pPr>
        <w:spacing w:line="288" w:lineRule="auto"/>
        <w:ind w:left="960" w:leftChars="40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北方（或春季）：斜率（k）[1±0.1]，截距（b）[当k≤1时，（90-100*K）μm/m³ ≤b≤10μm/m³]，相关系数≥0.95；</w:t>
      </w:r>
    </w:p>
    <w:p w14:paraId="638EFD03">
      <w:pPr>
        <w:spacing w:line="288" w:lineRule="auto"/>
        <w:ind w:left="960" w:leftChars="40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南方（或冬季）：斜率（k）[1±0.1]，截距（b）[当k≥1时，-5μm/m³ ≤b≤（55-50*K）μm/m³]，相关系数≥0.95；</w:t>
      </w:r>
    </w:p>
    <w:p w14:paraId="7F8D4B6E">
      <w:pPr>
        <w:pStyle w:val="83"/>
        <w:numPr>
          <w:ilvl w:val="0"/>
          <w:numId w:val="8"/>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断电影响测试：断电恢复后时钟误差≤±10s，断电影响条件下进行流量测试，应符合以下指标要求，即平均流量偏差±5%，流量相对偏差≤2%，平均流量示值误差≤2%；</w:t>
      </w:r>
    </w:p>
    <w:p w14:paraId="6A93B804">
      <w:pPr>
        <w:pStyle w:val="83"/>
        <w:numPr>
          <w:ilvl w:val="0"/>
          <w:numId w:val="8"/>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电压测试影响：在（198V）供电电压条件下，平均流量偏差±5%，流量相对偏差≤2%，平均流量示值误差≤2%；在（242V）供电电压条件，平均流量偏差±5%，流量相对偏差≤2%，平均流量示值误差≤2%；</w:t>
      </w:r>
    </w:p>
    <w:p w14:paraId="40075170">
      <w:pPr>
        <w:pStyle w:val="83"/>
        <w:numPr>
          <w:ilvl w:val="0"/>
          <w:numId w:val="8"/>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数据有效率：≥90%；</w:t>
      </w:r>
    </w:p>
    <w:p w14:paraId="73CC034F">
      <w:pPr>
        <w:pStyle w:val="83"/>
        <w:numPr>
          <w:ilvl w:val="0"/>
          <w:numId w:val="8"/>
        </w:numPr>
        <w:spacing w:line="288" w:lineRule="auto"/>
        <w:ind w:left="0" w:firstLine="480"/>
        <w:rPr>
          <w:rFonts w:hint="eastAsia" w:asciiTheme="minorEastAsia" w:hAnsiTheme="minorEastAsia" w:eastAsiaTheme="minorEastAsia" w:cstheme="minorEastAsia"/>
          <w:b w:val="0"/>
          <w:bCs w:val="0"/>
          <w:sz w:val="24"/>
          <w:szCs w:val="24"/>
          <w14:ligatures w14:val="none"/>
        </w:rPr>
      </w:pPr>
      <w:bookmarkStart w:id="781" w:name="_Hlk170390459"/>
      <w:r>
        <w:rPr>
          <w:rFonts w:hint="eastAsia" w:asciiTheme="minorEastAsia" w:hAnsiTheme="minorEastAsia" w:eastAsiaTheme="minorEastAsia" w:cstheme="minorEastAsia"/>
          <w:b w:val="0"/>
          <w:bCs w:val="0"/>
          <w:sz w:val="24"/>
          <w:szCs w:val="24"/>
          <w14:ligatures w14:val="none"/>
        </w:rPr>
        <w:t>★安全性：需符合我国环境保护部门对含放射源设备使用的相关管理要求。(提供承诺函)</w:t>
      </w:r>
    </w:p>
    <w:p w14:paraId="74A7F4CB">
      <w:pPr>
        <w:spacing w:line="288" w:lineRule="auto"/>
        <w:ind w:firstLine="480" w:firstLineChars="20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投标产品需具有有效期内中国环境监测总站或生态环境部（原环境保护部）环境监测仪器设备质量监督检验中心出具的整机适用性测试报告扫描件，以上参数在测试报告中若有检测结果，须以检测报告结果作为响应评审依据。须提供在有效期内的环境保护部环境监测仪器质量监督检验中心检测报告扫描件（彩色打印）加盖</w:t>
      </w:r>
      <w:r>
        <w:rPr>
          <w:rFonts w:hint="eastAsia" w:asciiTheme="minorEastAsia" w:hAnsiTheme="minorEastAsia" w:eastAsiaTheme="minorEastAsia" w:cstheme="minorEastAsia"/>
          <w:b w:val="0"/>
          <w:bCs w:val="0"/>
          <w:sz w:val="24"/>
          <w:szCs w:val="24"/>
          <w:lang w:eastAsia="zh-CN"/>
          <w14:ligatures w14:val="none"/>
        </w:rPr>
        <w:t>供应商</w:t>
      </w:r>
      <w:r>
        <w:rPr>
          <w:rFonts w:hint="eastAsia" w:asciiTheme="minorEastAsia" w:hAnsiTheme="minorEastAsia" w:eastAsiaTheme="minorEastAsia" w:cstheme="minorEastAsia"/>
          <w:b w:val="0"/>
          <w:bCs w:val="0"/>
          <w:sz w:val="24"/>
          <w:szCs w:val="24"/>
          <w14:ligatures w14:val="none"/>
        </w:rPr>
        <w:t>公章。</w:t>
      </w:r>
    </w:p>
    <w:bookmarkEnd w:id="781"/>
    <w:p w14:paraId="6FD13F10">
      <w:pPr>
        <w:spacing w:line="360" w:lineRule="auto"/>
        <w:ind w:firstLine="480" w:firstLineChars="200"/>
        <w:rPr>
          <w:rFonts w:hint="eastAsia" w:asciiTheme="minorEastAsia" w:hAnsiTheme="minorEastAsia" w:eastAsiaTheme="minorEastAsia" w:cstheme="minorEastAsia"/>
          <w:b w:val="0"/>
          <w:bCs w:val="0"/>
          <w:color w:val="auto"/>
          <w:sz w:val="24"/>
          <w:szCs w:val="24"/>
          <w:lang w:val="en-US" w:eastAsia="zh-CN"/>
        </w:rPr>
      </w:pPr>
    </w:p>
    <w:p w14:paraId="6A66FCC4">
      <w:pPr>
        <w:pStyle w:val="4"/>
        <w:numPr>
          <w:ilvl w:val="0"/>
          <w:numId w:val="0"/>
        </w:numPr>
        <w:spacing w:before="0" w:after="0" w:line="360" w:lineRule="auto"/>
        <w:ind w:lef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auto"/>
          <w:sz w:val="24"/>
          <w:szCs w:val="24"/>
          <w:lang w:val="en-US" w:eastAsia="zh-CN"/>
        </w:rPr>
        <w:t>6</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sz w:val="24"/>
          <w:szCs w:val="24"/>
        </w:rPr>
        <w:t>PM2.5颗粒物监测仪</w:t>
      </w:r>
    </w:p>
    <w:p w14:paraId="0BFBD023">
      <w:pPr>
        <w:pStyle w:val="83"/>
        <w:numPr>
          <w:ilvl w:val="0"/>
          <w:numId w:val="9"/>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设备用途：用于环境空气中PM2.5浓度的监测；</w:t>
      </w:r>
    </w:p>
    <w:p w14:paraId="566C7587">
      <w:pPr>
        <w:pStyle w:val="83"/>
        <w:numPr>
          <w:ilvl w:val="0"/>
          <w:numId w:val="9"/>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配置要求：含主机、切割头、采样滤膜等；</w:t>
      </w:r>
    </w:p>
    <w:p w14:paraId="19E59955">
      <w:pPr>
        <w:pStyle w:val="83"/>
        <w:numPr>
          <w:ilvl w:val="0"/>
          <w:numId w:val="9"/>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测量范围：0~1000 ug/m</w:t>
      </w:r>
      <w:r>
        <w:rPr>
          <w:rFonts w:hint="eastAsia" w:asciiTheme="minorEastAsia" w:hAnsiTheme="minorEastAsia" w:eastAsiaTheme="minorEastAsia" w:cstheme="minorEastAsia"/>
          <w:b w:val="0"/>
          <w:bCs w:val="0"/>
          <w:sz w:val="24"/>
          <w:szCs w:val="24"/>
          <w:vertAlign w:val="superscript"/>
          <w14:ligatures w14:val="none"/>
        </w:rPr>
        <w:t>3</w:t>
      </w:r>
      <w:r>
        <w:rPr>
          <w:rFonts w:hint="eastAsia" w:asciiTheme="minorEastAsia" w:hAnsiTheme="minorEastAsia" w:eastAsiaTheme="minorEastAsia" w:cstheme="minorEastAsia"/>
          <w:b w:val="0"/>
          <w:bCs w:val="0"/>
          <w:sz w:val="24"/>
          <w:szCs w:val="24"/>
          <w14:ligatures w14:val="none"/>
        </w:rPr>
        <w:t>；</w:t>
      </w:r>
    </w:p>
    <w:p w14:paraId="18380AD4">
      <w:pPr>
        <w:pStyle w:val="83"/>
        <w:numPr>
          <w:ilvl w:val="0"/>
          <w:numId w:val="9"/>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最小显示单位：0.1ug/m</w:t>
      </w:r>
      <w:r>
        <w:rPr>
          <w:rFonts w:hint="eastAsia" w:asciiTheme="minorEastAsia" w:hAnsiTheme="minorEastAsia" w:eastAsiaTheme="minorEastAsia" w:cstheme="minorEastAsia"/>
          <w:b w:val="0"/>
          <w:bCs w:val="0"/>
          <w:sz w:val="24"/>
          <w:szCs w:val="24"/>
          <w:vertAlign w:val="superscript"/>
          <w14:ligatures w14:val="none"/>
        </w:rPr>
        <w:t>3</w:t>
      </w:r>
      <w:r>
        <w:rPr>
          <w:rFonts w:hint="eastAsia" w:asciiTheme="minorEastAsia" w:hAnsiTheme="minorEastAsia" w:eastAsiaTheme="minorEastAsia" w:cstheme="minorEastAsia"/>
          <w:b w:val="0"/>
          <w:bCs w:val="0"/>
          <w:sz w:val="24"/>
          <w:szCs w:val="24"/>
          <w14:ligatures w14:val="none"/>
        </w:rPr>
        <w:t>；</w:t>
      </w:r>
    </w:p>
    <w:p w14:paraId="39041C4A">
      <w:pPr>
        <w:pStyle w:val="83"/>
        <w:numPr>
          <w:ilvl w:val="0"/>
          <w:numId w:val="9"/>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检出限：≤2ug/m</w:t>
      </w:r>
      <w:r>
        <w:rPr>
          <w:rFonts w:hint="eastAsia" w:asciiTheme="minorEastAsia" w:hAnsiTheme="minorEastAsia" w:eastAsiaTheme="minorEastAsia" w:cstheme="minorEastAsia"/>
          <w:b w:val="0"/>
          <w:bCs w:val="0"/>
          <w:sz w:val="24"/>
          <w:szCs w:val="24"/>
          <w:vertAlign w:val="superscript"/>
          <w14:ligatures w14:val="none"/>
        </w:rPr>
        <w:t>3</w:t>
      </w:r>
      <w:r>
        <w:rPr>
          <w:rFonts w:hint="eastAsia" w:asciiTheme="minorEastAsia" w:hAnsiTheme="minorEastAsia" w:eastAsiaTheme="minorEastAsia" w:cstheme="minorEastAsia"/>
          <w:b w:val="0"/>
          <w:bCs w:val="0"/>
          <w:sz w:val="24"/>
          <w:szCs w:val="24"/>
          <w14:ligatures w14:val="none"/>
        </w:rPr>
        <w:t>；</w:t>
      </w:r>
    </w:p>
    <w:p w14:paraId="6DBE2257">
      <w:pPr>
        <w:pStyle w:val="83"/>
        <w:numPr>
          <w:ilvl w:val="0"/>
          <w:numId w:val="9"/>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校准膜示值误差：±2%；</w:t>
      </w:r>
    </w:p>
    <w:p w14:paraId="32384D2E">
      <w:pPr>
        <w:pStyle w:val="83"/>
        <w:numPr>
          <w:ilvl w:val="0"/>
          <w:numId w:val="9"/>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温度测量示值误差：±2.0℃；</w:t>
      </w:r>
    </w:p>
    <w:p w14:paraId="34F5B501">
      <w:pPr>
        <w:pStyle w:val="83"/>
        <w:numPr>
          <w:ilvl w:val="0"/>
          <w:numId w:val="9"/>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湿度测量示值误差：±5.0%RH；</w:t>
      </w:r>
    </w:p>
    <w:p w14:paraId="512DB24A">
      <w:pPr>
        <w:pStyle w:val="83"/>
        <w:numPr>
          <w:ilvl w:val="0"/>
          <w:numId w:val="9"/>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流量测试：平均流量偏差±5%，流量相对偏差≤2%，平均流量示值误差≤2%；</w:t>
      </w:r>
    </w:p>
    <w:p w14:paraId="611DB34C">
      <w:pPr>
        <w:pStyle w:val="83"/>
        <w:numPr>
          <w:ilvl w:val="0"/>
          <w:numId w:val="9"/>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平行性：≤±15％；</w:t>
      </w:r>
    </w:p>
    <w:p w14:paraId="4B745276">
      <w:pPr>
        <w:pStyle w:val="83"/>
        <w:numPr>
          <w:ilvl w:val="0"/>
          <w:numId w:val="9"/>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参比方法比对测试：</w:t>
      </w:r>
    </w:p>
    <w:p w14:paraId="488C4944">
      <w:pPr>
        <w:spacing w:line="288" w:lineRule="auto"/>
        <w:ind w:left="960" w:leftChars="40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斜率（k）[1±0.1]，截距（b）[当k≥1时，-5ug/m</w:t>
      </w:r>
      <w:r>
        <w:rPr>
          <w:rFonts w:hint="eastAsia" w:asciiTheme="minorEastAsia" w:hAnsiTheme="minorEastAsia" w:eastAsiaTheme="minorEastAsia" w:cstheme="minorEastAsia"/>
          <w:b w:val="0"/>
          <w:bCs w:val="0"/>
          <w:sz w:val="24"/>
          <w:szCs w:val="24"/>
          <w:vertAlign w:val="superscript"/>
          <w14:ligatures w14:val="none"/>
        </w:rPr>
        <w:t>3</w:t>
      </w:r>
      <w:r>
        <w:rPr>
          <w:rFonts w:hint="eastAsia" w:asciiTheme="minorEastAsia" w:hAnsiTheme="minorEastAsia" w:eastAsiaTheme="minorEastAsia" w:cstheme="minorEastAsia"/>
          <w:b w:val="0"/>
          <w:bCs w:val="0"/>
          <w:sz w:val="24"/>
          <w:szCs w:val="24"/>
          <w14:ligatures w14:val="none"/>
        </w:rPr>
        <w:t>≤b≤（55-50×k）ug/m</w:t>
      </w:r>
      <w:r>
        <w:rPr>
          <w:rFonts w:hint="eastAsia" w:asciiTheme="minorEastAsia" w:hAnsiTheme="minorEastAsia" w:eastAsiaTheme="minorEastAsia" w:cstheme="minorEastAsia"/>
          <w:b w:val="0"/>
          <w:bCs w:val="0"/>
          <w:sz w:val="24"/>
          <w:szCs w:val="24"/>
          <w:vertAlign w:val="superscript"/>
          <w14:ligatures w14:val="none"/>
        </w:rPr>
        <w:t>3</w:t>
      </w:r>
      <w:r>
        <w:rPr>
          <w:rFonts w:hint="eastAsia" w:asciiTheme="minorEastAsia" w:hAnsiTheme="minorEastAsia" w:eastAsiaTheme="minorEastAsia" w:cstheme="minorEastAsia"/>
          <w:b w:val="0"/>
          <w:bCs w:val="0"/>
          <w:sz w:val="24"/>
          <w:szCs w:val="24"/>
          <w14:ligatures w14:val="none"/>
        </w:rPr>
        <w:t>]，相关系数≥0.95；</w:t>
      </w:r>
    </w:p>
    <w:p w14:paraId="48E38BB8">
      <w:pPr>
        <w:spacing w:line="288" w:lineRule="auto"/>
        <w:ind w:left="960" w:leftChars="40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斜率（k）[1±0.1]，截距（b）[当k≤1时，（45-50×k）ug/m</w:t>
      </w:r>
      <w:r>
        <w:rPr>
          <w:rFonts w:hint="eastAsia" w:asciiTheme="minorEastAsia" w:hAnsiTheme="minorEastAsia" w:eastAsiaTheme="minorEastAsia" w:cstheme="minorEastAsia"/>
          <w:b w:val="0"/>
          <w:bCs w:val="0"/>
          <w:sz w:val="24"/>
          <w:szCs w:val="24"/>
          <w:vertAlign w:val="superscript"/>
          <w14:ligatures w14:val="none"/>
        </w:rPr>
        <w:t>3</w:t>
      </w:r>
      <w:r>
        <w:rPr>
          <w:rFonts w:hint="eastAsia" w:asciiTheme="minorEastAsia" w:hAnsiTheme="minorEastAsia" w:eastAsiaTheme="minorEastAsia" w:cstheme="minorEastAsia"/>
          <w:b w:val="0"/>
          <w:bCs w:val="0"/>
          <w:sz w:val="24"/>
          <w:szCs w:val="24"/>
          <w14:ligatures w14:val="none"/>
        </w:rPr>
        <w:t>≤b≤5 ug/m</w:t>
      </w:r>
      <w:r>
        <w:rPr>
          <w:rFonts w:hint="eastAsia" w:asciiTheme="minorEastAsia" w:hAnsiTheme="minorEastAsia" w:eastAsiaTheme="minorEastAsia" w:cstheme="minorEastAsia"/>
          <w:b w:val="0"/>
          <w:bCs w:val="0"/>
          <w:sz w:val="24"/>
          <w:szCs w:val="24"/>
          <w:vertAlign w:val="superscript"/>
          <w14:ligatures w14:val="none"/>
        </w:rPr>
        <w:t>3</w:t>
      </w:r>
      <w:r>
        <w:rPr>
          <w:rFonts w:hint="eastAsia" w:asciiTheme="minorEastAsia" w:hAnsiTheme="minorEastAsia" w:eastAsiaTheme="minorEastAsia" w:cstheme="minorEastAsia"/>
          <w:b w:val="0"/>
          <w:bCs w:val="0"/>
          <w:sz w:val="24"/>
          <w:szCs w:val="24"/>
          <w14:ligatures w14:val="none"/>
        </w:rPr>
        <w:t>]，相关系数≥0.95；</w:t>
      </w:r>
    </w:p>
    <w:p w14:paraId="5C73FFC3">
      <w:pPr>
        <w:pStyle w:val="83"/>
        <w:numPr>
          <w:ilvl w:val="0"/>
          <w:numId w:val="9"/>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断电影响测试：断电恢复后时钟误差≤±10s，断电影响条件下进行流量测试，应符合以下指标要求，即平均流量偏差±5%，流量相对偏差≤2%，平均流量示值误差≤2%；</w:t>
      </w:r>
    </w:p>
    <w:p w14:paraId="6927C796">
      <w:pPr>
        <w:pStyle w:val="83"/>
        <w:numPr>
          <w:ilvl w:val="0"/>
          <w:numId w:val="9"/>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电压测试影响：在（198V）供电电压条件下，平均流量偏差±5%，流量相对偏差≤2%，平均流量示值误差≤2%；在（242V）供电电压条件，平均流量偏差±5%，流量相对偏差≤2%，平均流量示值误差≤0.2%；</w:t>
      </w:r>
    </w:p>
    <w:p w14:paraId="3620A6FA">
      <w:pPr>
        <w:pStyle w:val="83"/>
        <w:numPr>
          <w:ilvl w:val="0"/>
          <w:numId w:val="9"/>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安全性：需符合我国环境保护部门对含放射源设备使用的相关管理要求。(提供承诺函)</w:t>
      </w:r>
    </w:p>
    <w:p w14:paraId="1DB2845D">
      <w:pPr>
        <w:spacing w:line="288" w:lineRule="auto"/>
        <w:ind w:firstLine="480" w:firstLineChars="20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投标产品需具有有效期内中国环境监测总站或生态环境部（原环境保护部）环境监测仪器设备质量监督检验中心出具的整机适用性测试报告扫描件，以上参数在测试报告中若有检测结果，须以检测报告结果作为响应评审依据。须提供在有效期内的环境保护部环境监测仪器质量监督检验中心检测报告扫描件（彩色打印）加盖</w:t>
      </w:r>
      <w:r>
        <w:rPr>
          <w:rFonts w:hint="eastAsia" w:asciiTheme="minorEastAsia" w:hAnsiTheme="minorEastAsia" w:eastAsiaTheme="minorEastAsia" w:cstheme="minorEastAsia"/>
          <w:b w:val="0"/>
          <w:bCs w:val="0"/>
          <w:sz w:val="24"/>
          <w:szCs w:val="24"/>
          <w:lang w:eastAsia="zh-CN"/>
          <w14:ligatures w14:val="none"/>
        </w:rPr>
        <w:t>供应商</w:t>
      </w:r>
      <w:r>
        <w:rPr>
          <w:rFonts w:hint="eastAsia" w:asciiTheme="minorEastAsia" w:hAnsiTheme="minorEastAsia" w:eastAsiaTheme="minorEastAsia" w:cstheme="minorEastAsia"/>
          <w:b w:val="0"/>
          <w:bCs w:val="0"/>
          <w:sz w:val="24"/>
          <w:szCs w:val="24"/>
          <w14:ligatures w14:val="none"/>
        </w:rPr>
        <w:t>公章。</w:t>
      </w:r>
    </w:p>
    <w:p w14:paraId="6384F8D1">
      <w:pPr>
        <w:pageBreakBefore w:val="0"/>
        <w:kinsoku/>
        <w:wordWrap/>
        <w:overflowPunct/>
        <w:bidi w:val="0"/>
        <w:spacing w:line="560" w:lineRule="exact"/>
        <w:ind w:left="0" w:leftChars="0"/>
        <w:rPr>
          <w:rFonts w:hint="eastAsia" w:asciiTheme="minorEastAsia" w:hAnsiTheme="minorEastAsia" w:eastAsiaTheme="minorEastAsia" w:cstheme="minorEastAsia"/>
          <w:b w:val="0"/>
          <w:bCs w:val="0"/>
          <w:color w:val="auto"/>
          <w:sz w:val="24"/>
          <w:szCs w:val="24"/>
          <w:lang w:val="en-US" w:eastAsia="zh-CN"/>
        </w:rPr>
      </w:pPr>
    </w:p>
    <w:p w14:paraId="44C2F51A">
      <w:pPr>
        <w:pStyle w:val="4"/>
        <w:numPr>
          <w:ilvl w:val="0"/>
          <w:numId w:val="0"/>
        </w:numPr>
        <w:spacing w:before="0" w:after="0" w:line="360" w:lineRule="auto"/>
        <w:ind w:lef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auto"/>
          <w:sz w:val="24"/>
          <w:szCs w:val="24"/>
        </w:rPr>
        <w:t>7、</w:t>
      </w:r>
      <w:r>
        <w:rPr>
          <w:rFonts w:hint="eastAsia" w:asciiTheme="minorEastAsia" w:hAnsiTheme="minorEastAsia" w:eastAsiaTheme="minorEastAsia" w:cstheme="minorEastAsia"/>
          <w:b w:val="0"/>
          <w:bCs w:val="0"/>
          <w:sz w:val="24"/>
          <w:szCs w:val="24"/>
        </w:rPr>
        <w:t>动态校准仪</w:t>
      </w:r>
    </w:p>
    <w:p w14:paraId="0641BE7D">
      <w:pPr>
        <w:pStyle w:val="83"/>
        <w:numPr>
          <w:ilvl w:val="0"/>
          <w:numId w:val="10"/>
        </w:numPr>
        <w:spacing w:line="288" w:lineRule="auto"/>
        <w:ind w:left="0" w:firstLine="480"/>
        <w:rPr>
          <w:rFonts w:hint="eastAsia" w:asciiTheme="minorEastAsia" w:hAnsiTheme="minorEastAsia" w:eastAsiaTheme="minorEastAsia" w:cstheme="minorEastAsia"/>
          <w:b w:val="0"/>
          <w:bCs w:val="0"/>
          <w:sz w:val="24"/>
          <w:szCs w:val="24"/>
          <w14:ligatures w14:val="none"/>
        </w:rPr>
      </w:pPr>
      <w:bookmarkStart w:id="782" w:name="_Hlk117511959"/>
      <w:r>
        <w:rPr>
          <w:rFonts w:hint="eastAsia" w:asciiTheme="minorEastAsia" w:hAnsiTheme="minorEastAsia" w:eastAsiaTheme="minorEastAsia" w:cstheme="minorEastAsia"/>
          <w:b w:val="0"/>
          <w:bCs w:val="0"/>
          <w:sz w:val="24"/>
          <w:szCs w:val="24"/>
          <w14:ligatures w14:val="none"/>
        </w:rPr>
        <w:t>设备用途：动态气体校准仪可以提供浓度精确的用户需要的标准气体，各种浓度的气体可以用于气体分析仪器的零点校准、跨点校准、精度检查、多点检查和线性审核等；</w:t>
      </w:r>
    </w:p>
    <w:p w14:paraId="2335854C">
      <w:pPr>
        <w:pStyle w:val="83"/>
        <w:numPr>
          <w:ilvl w:val="0"/>
          <w:numId w:val="10"/>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配置：主机、电源线、气路管线、说明书等；</w:t>
      </w:r>
    </w:p>
    <w:p w14:paraId="57477DD0">
      <w:pPr>
        <w:pStyle w:val="83"/>
        <w:numPr>
          <w:ilvl w:val="0"/>
          <w:numId w:val="10"/>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技术参数：</w:t>
      </w:r>
    </w:p>
    <w:p w14:paraId="6CB28028">
      <w:pPr>
        <w:numPr>
          <w:ilvl w:val="0"/>
          <w:numId w:val="11"/>
        </w:numPr>
        <w:spacing w:line="288" w:lineRule="auto"/>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稀释气入口：1个</w:t>
      </w:r>
    </w:p>
    <w:p w14:paraId="16EB7871">
      <w:pPr>
        <w:numPr>
          <w:ilvl w:val="0"/>
          <w:numId w:val="11"/>
        </w:numPr>
        <w:spacing w:line="288" w:lineRule="auto"/>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标气输入口：3个</w:t>
      </w:r>
    </w:p>
    <w:p w14:paraId="62784EE8">
      <w:pPr>
        <w:numPr>
          <w:ilvl w:val="0"/>
          <w:numId w:val="11"/>
        </w:numPr>
        <w:spacing w:line="288" w:lineRule="auto"/>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稀释零气的MFC标准量程：0-10 SLPM</w:t>
      </w:r>
    </w:p>
    <w:p w14:paraId="3C77FB8A">
      <w:pPr>
        <w:numPr>
          <w:ilvl w:val="0"/>
          <w:numId w:val="11"/>
        </w:numPr>
        <w:spacing w:line="288" w:lineRule="auto"/>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稀释标气的MFC标准量程：0-100sccm</w:t>
      </w:r>
    </w:p>
    <w:p w14:paraId="61F9AE21">
      <w:pPr>
        <w:numPr>
          <w:ilvl w:val="0"/>
          <w:numId w:val="11"/>
        </w:numPr>
        <w:spacing w:line="288" w:lineRule="auto"/>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流量线性误差：≤±0.1%</w:t>
      </w:r>
    </w:p>
    <w:p w14:paraId="429A0F64">
      <w:pPr>
        <w:numPr>
          <w:ilvl w:val="0"/>
          <w:numId w:val="11"/>
        </w:numPr>
        <w:spacing w:line="288" w:lineRule="auto"/>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质量流量测量重现性：±2%读数或±1%满量程（取较小值）</w:t>
      </w:r>
    </w:p>
    <w:p w14:paraId="2B4D3C48">
      <w:pPr>
        <w:numPr>
          <w:ilvl w:val="0"/>
          <w:numId w:val="11"/>
        </w:numPr>
        <w:spacing w:line="288" w:lineRule="auto"/>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臭氧最大输出：6ppm@LPM</w:t>
      </w:r>
    </w:p>
    <w:p w14:paraId="4D0E5E89">
      <w:pPr>
        <w:numPr>
          <w:ilvl w:val="0"/>
          <w:numId w:val="11"/>
        </w:numPr>
        <w:spacing w:line="288" w:lineRule="auto"/>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臭氧最小输出：100ppb@LPM</w:t>
      </w:r>
    </w:p>
    <w:p w14:paraId="3B4D9971">
      <w:pPr>
        <w:numPr>
          <w:ilvl w:val="0"/>
          <w:numId w:val="11"/>
        </w:numPr>
        <w:spacing w:line="288" w:lineRule="auto"/>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臭氧发生浓度误差：≤±0.3%</w:t>
      </w:r>
    </w:p>
    <w:bookmarkEnd w:id="782"/>
    <w:p w14:paraId="4E954053">
      <w:pPr>
        <w:pageBreakBefore w:val="0"/>
        <w:widowControl w:val="0"/>
        <w:numPr>
          <w:ilvl w:val="0"/>
          <w:numId w:val="0"/>
        </w:numPr>
        <w:kinsoku/>
        <w:wordWrap/>
        <w:overflowPunct/>
        <w:topLinePunct w:val="0"/>
        <w:autoSpaceDE/>
        <w:autoSpaceDN/>
        <w:bidi w:val="0"/>
        <w:adjustRightInd/>
        <w:snapToGrid/>
        <w:spacing w:line="360" w:lineRule="auto"/>
        <w:ind w:left="540" w:leftChars="0"/>
        <w:textAlignment w:val="auto"/>
        <w:rPr>
          <w:rFonts w:hint="eastAsia" w:asciiTheme="minorEastAsia" w:hAnsiTheme="minorEastAsia" w:eastAsiaTheme="minorEastAsia" w:cstheme="minorEastAsia"/>
          <w:b w:val="0"/>
          <w:bCs w:val="0"/>
          <w:color w:val="auto"/>
          <w:sz w:val="24"/>
          <w:szCs w:val="24"/>
          <w:lang w:val="en-US" w:eastAsia="zh-CN"/>
        </w:rPr>
      </w:pPr>
    </w:p>
    <w:p w14:paraId="2B045E91">
      <w:pPr>
        <w:pStyle w:val="4"/>
        <w:numPr>
          <w:ilvl w:val="0"/>
          <w:numId w:val="0"/>
        </w:numPr>
        <w:spacing w:before="0" w:after="0" w:line="360" w:lineRule="auto"/>
        <w:ind w:lef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auto"/>
          <w:sz w:val="24"/>
          <w:szCs w:val="24"/>
        </w:rPr>
        <w:t>8、</w:t>
      </w:r>
      <w:r>
        <w:rPr>
          <w:rFonts w:hint="eastAsia" w:asciiTheme="minorEastAsia" w:hAnsiTheme="minorEastAsia" w:eastAsiaTheme="minorEastAsia" w:cstheme="minorEastAsia"/>
          <w:b w:val="0"/>
          <w:bCs w:val="0"/>
          <w:sz w:val="24"/>
          <w:szCs w:val="24"/>
        </w:rPr>
        <w:t>零气发生器</w:t>
      </w:r>
    </w:p>
    <w:p w14:paraId="61ACA456">
      <w:pPr>
        <w:pStyle w:val="83"/>
        <w:numPr>
          <w:ilvl w:val="0"/>
          <w:numId w:val="10"/>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设备用途：作为稀释校准仪器的零气源；</w:t>
      </w:r>
    </w:p>
    <w:p w14:paraId="372951E8">
      <w:pPr>
        <w:pStyle w:val="83"/>
        <w:numPr>
          <w:ilvl w:val="0"/>
          <w:numId w:val="10"/>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配置要求：能够与分析仪协调形成的工作良好的系统；</w:t>
      </w:r>
    </w:p>
    <w:p w14:paraId="473802E1">
      <w:pPr>
        <w:pStyle w:val="83"/>
        <w:numPr>
          <w:ilvl w:val="0"/>
          <w:numId w:val="10"/>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技术参数：</w:t>
      </w:r>
    </w:p>
    <w:p w14:paraId="4AD34429">
      <w:pPr>
        <w:numPr>
          <w:ilvl w:val="0"/>
          <w:numId w:val="12"/>
        </w:numPr>
        <w:spacing w:line="288" w:lineRule="auto"/>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压力：10～30psi；</w:t>
      </w:r>
    </w:p>
    <w:p w14:paraId="25EAAB3E">
      <w:pPr>
        <w:numPr>
          <w:ilvl w:val="0"/>
          <w:numId w:val="12"/>
        </w:numPr>
        <w:spacing w:line="288" w:lineRule="auto"/>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零气的纯度：SO2≤0.1ppb、NO≤0.1ppb、NO2≤0.1ppb、H2S≤0.1ppb、NH3≤0.1ppb、CO≤0.02ppm、O3≤0.4ppb</w:t>
      </w:r>
    </w:p>
    <w:p w14:paraId="36B834E7">
      <w:pPr>
        <w:numPr>
          <w:ilvl w:val="0"/>
          <w:numId w:val="12"/>
        </w:numPr>
        <w:spacing w:line="288" w:lineRule="auto"/>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输出流量：输出压力30PSI@10L/min</w:t>
      </w:r>
    </w:p>
    <w:p w14:paraId="53D2516A">
      <w:pPr>
        <w:numPr>
          <w:ilvl w:val="0"/>
          <w:numId w:val="12"/>
        </w:numPr>
        <w:spacing w:line="288" w:lineRule="auto"/>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结露点：＜-15℃</w:t>
      </w:r>
    </w:p>
    <w:p w14:paraId="468A44FF">
      <w:pPr>
        <w:numPr>
          <w:ilvl w:val="0"/>
          <w:numId w:val="12"/>
        </w:numPr>
        <w:spacing w:line="288" w:lineRule="auto"/>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进气口位于室外，零气通过空气压力调节器控制，保证输出压力稳定</w:t>
      </w:r>
    </w:p>
    <w:p w14:paraId="4185BD48">
      <w:pPr>
        <w:numPr>
          <w:ilvl w:val="0"/>
          <w:numId w:val="12"/>
        </w:numPr>
        <w:spacing w:line="288" w:lineRule="auto"/>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CPU进行自动控制，具有来电自动启动功能，具备压力箱释放</w:t>
      </w:r>
    </w:p>
    <w:p w14:paraId="42BB5A68">
      <w:pPr>
        <w:numPr>
          <w:ilvl w:val="0"/>
          <w:numId w:val="12"/>
        </w:numPr>
        <w:spacing w:line="288" w:lineRule="auto"/>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零气发生器应配置冷凝水排放装置</w:t>
      </w:r>
    </w:p>
    <w:p w14:paraId="4A60ED8A">
      <w:pPr>
        <w:spacing w:line="360" w:lineRule="auto"/>
        <w:ind w:firstLine="480" w:firstLineChars="200"/>
        <w:rPr>
          <w:rFonts w:hint="eastAsia" w:asciiTheme="minorEastAsia" w:hAnsiTheme="minorEastAsia" w:eastAsiaTheme="minorEastAsia" w:cstheme="minorEastAsia"/>
          <w:b w:val="0"/>
          <w:bCs w:val="0"/>
          <w:color w:val="auto"/>
          <w:sz w:val="24"/>
          <w:szCs w:val="24"/>
          <w:lang w:val="en-US" w:eastAsia="zh-CN"/>
        </w:rPr>
      </w:pPr>
    </w:p>
    <w:p w14:paraId="648C9875">
      <w:pPr>
        <w:pStyle w:val="4"/>
        <w:numPr>
          <w:ilvl w:val="0"/>
          <w:numId w:val="0"/>
        </w:numPr>
        <w:spacing w:before="0" w:after="0" w:line="360" w:lineRule="auto"/>
        <w:ind w:lef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auto"/>
          <w:sz w:val="24"/>
          <w:szCs w:val="24"/>
          <w:lang w:val="en-US" w:eastAsia="zh-CN"/>
        </w:rPr>
        <w:t>9</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sz w:val="24"/>
          <w:szCs w:val="24"/>
        </w:rPr>
        <w:t>气象仪（五参数）</w:t>
      </w:r>
    </w:p>
    <w:p w14:paraId="00C1B4F2">
      <w:pPr>
        <w:pStyle w:val="83"/>
        <w:numPr>
          <w:ilvl w:val="0"/>
          <w:numId w:val="13"/>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设备用途：用于气象五参数的测定，其中温湿度和气压能进行日常校准；</w:t>
      </w:r>
    </w:p>
    <w:p w14:paraId="224765BB">
      <w:pPr>
        <w:pStyle w:val="83"/>
        <w:numPr>
          <w:ilvl w:val="0"/>
          <w:numId w:val="13"/>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配置要求：具备模拟、数字信号，能够支持接入子站相关数据采集系统及数据传输平台；</w:t>
      </w:r>
    </w:p>
    <w:p w14:paraId="28168B28">
      <w:pPr>
        <w:pStyle w:val="83"/>
        <w:numPr>
          <w:ilvl w:val="0"/>
          <w:numId w:val="13"/>
        </w:numPr>
        <w:spacing w:line="288" w:lineRule="auto"/>
        <w:ind w:left="0" w:firstLine="48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t>技术参数：</w:t>
      </w:r>
    </w:p>
    <w:p w14:paraId="03E542CE">
      <w:pPr>
        <w:numPr>
          <w:ilvl w:val="0"/>
          <w:numId w:val="14"/>
        </w:numPr>
        <w:spacing w:line="288" w:lineRule="auto"/>
        <w:ind w:left="0" w:firstLine="480" w:firstLineChars="200"/>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温度：测量范围（-40～+60℃），测量精度±0.2℃；</w:t>
      </w:r>
    </w:p>
    <w:p w14:paraId="0D409CB0">
      <w:pPr>
        <w:numPr>
          <w:ilvl w:val="0"/>
          <w:numId w:val="14"/>
        </w:numPr>
        <w:spacing w:line="288" w:lineRule="auto"/>
        <w:ind w:left="0" w:firstLine="480" w:firstLineChars="200"/>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湿度：测量范围0-100%RH，测量精度±3%RH；</w:t>
      </w:r>
    </w:p>
    <w:p w14:paraId="02C7BE7B">
      <w:pPr>
        <w:numPr>
          <w:ilvl w:val="0"/>
          <w:numId w:val="14"/>
        </w:numPr>
        <w:spacing w:line="288" w:lineRule="auto"/>
        <w:ind w:left="0" w:firstLine="480" w:firstLineChars="200"/>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气压：测量范围600-1100hPa（或适用于当地气压条件），测量精度±1hPa；</w:t>
      </w:r>
    </w:p>
    <w:p w14:paraId="43E328CC">
      <w:pPr>
        <w:numPr>
          <w:ilvl w:val="0"/>
          <w:numId w:val="14"/>
        </w:numPr>
        <w:spacing w:line="288" w:lineRule="auto"/>
        <w:ind w:left="0" w:firstLine="480" w:firstLineChars="200"/>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风向：测量范围0-360°，测量精度±3°；</w:t>
      </w:r>
    </w:p>
    <w:p w14:paraId="15B5343D">
      <w:pPr>
        <w:numPr>
          <w:ilvl w:val="0"/>
          <w:numId w:val="14"/>
        </w:numPr>
        <w:spacing w:line="288" w:lineRule="auto"/>
        <w:ind w:left="0"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000000"/>
          <w:sz w:val="24"/>
          <w:szCs w:val="24"/>
          <w14:ligatures w14:val="none"/>
        </w:rPr>
        <w:t>风速：测量范围0-50m/s，测量精度±0.3m/s。</w:t>
      </w:r>
    </w:p>
    <w:p w14:paraId="2EA05AAB">
      <w:pPr>
        <w:numPr>
          <w:ilvl w:val="0"/>
          <w:numId w:val="0"/>
        </w:numPr>
        <w:spacing w:line="288" w:lineRule="auto"/>
        <w:ind w:leftChars="200"/>
        <w:rPr>
          <w:rFonts w:hint="eastAsia" w:asciiTheme="minorEastAsia" w:hAnsiTheme="minorEastAsia" w:eastAsiaTheme="minorEastAsia" w:cstheme="minorEastAsia"/>
          <w:color w:val="auto"/>
          <w:sz w:val="24"/>
          <w:szCs w:val="24"/>
          <w:lang w:val="en-US" w:eastAsia="zh-CN"/>
        </w:rPr>
      </w:pPr>
    </w:p>
    <w:p w14:paraId="59806D36">
      <w:pPr>
        <w:pStyle w:val="5"/>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10、视频监控</w:t>
      </w:r>
      <w:r>
        <w:rPr>
          <w:rFonts w:hint="eastAsia" w:asciiTheme="minorEastAsia" w:hAnsiTheme="minorEastAsia" w:eastAsiaTheme="minorEastAsia" w:cstheme="minorEastAsia"/>
          <w:b w:val="0"/>
          <w:bCs w:val="0"/>
          <w:color w:val="auto"/>
          <w:sz w:val="24"/>
          <w:szCs w:val="24"/>
        </w:rPr>
        <w:t>系统</w:t>
      </w:r>
      <w:bookmarkStart w:id="783" w:name="_Toc139100512"/>
      <w:bookmarkStart w:id="784" w:name="_Toc343109202"/>
      <w:bookmarkStart w:id="785" w:name="_Toc139108788"/>
      <w:bookmarkStart w:id="786" w:name="_Toc131211356"/>
    </w:p>
    <w:bookmarkEnd w:id="783"/>
    <w:bookmarkEnd w:id="784"/>
    <w:bookmarkEnd w:id="785"/>
    <w:bookmarkEnd w:id="786"/>
    <w:p w14:paraId="6DB50494">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每个站房内、外部安装必要的监控设施达到以下功能要求：内部至少有2台监控探头摄像头，其中一台可以覆盖监测仪器，另一台正对站房门口，并具备人脸识别功能，可识别进入站房人员；采样区域应有2台对射的摄像头，并可覆盖整个采样区域。视频监控系统硬盘录像机应至少能够储存一个月视频资料，并具有回放及区域入侵报警功能。</w:t>
      </w:r>
    </w:p>
    <w:p w14:paraId="6ECC818A">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（1）设备清单（每个站房）</w:t>
      </w:r>
    </w:p>
    <w:tbl>
      <w:tblPr>
        <w:tblStyle w:val="45"/>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3716"/>
        <w:gridCol w:w="1158"/>
        <w:gridCol w:w="987"/>
        <w:gridCol w:w="1671"/>
      </w:tblGrid>
      <w:tr w14:paraId="4000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noWrap w:val="0"/>
            <w:vAlign w:val="center"/>
          </w:tcPr>
          <w:p w14:paraId="00110F3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序号</w:t>
            </w:r>
          </w:p>
        </w:tc>
        <w:tc>
          <w:tcPr>
            <w:tcW w:w="3716" w:type="dxa"/>
            <w:noWrap w:val="0"/>
            <w:vAlign w:val="center"/>
          </w:tcPr>
          <w:p w14:paraId="572DA7A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名称</w:t>
            </w:r>
          </w:p>
        </w:tc>
        <w:tc>
          <w:tcPr>
            <w:tcW w:w="1158" w:type="dxa"/>
            <w:noWrap w:val="0"/>
            <w:vAlign w:val="center"/>
          </w:tcPr>
          <w:p w14:paraId="44A7BA8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单位</w:t>
            </w:r>
          </w:p>
        </w:tc>
        <w:tc>
          <w:tcPr>
            <w:tcW w:w="987" w:type="dxa"/>
            <w:noWrap w:val="0"/>
            <w:vAlign w:val="center"/>
          </w:tcPr>
          <w:p w14:paraId="2CEFD3A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数量</w:t>
            </w:r>
          </w:p>
        </w:tc>
        <w:tc>
          <w:tcPr>
            <w:tcW w:w="1671" w:type="dxa"/>
            <w:noWrap w:val="0"/>
            <w:vAlign w:val="center"/>
          </w:tcPr>
          <w:p w14:paraId="0082728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备注</w:t>
            </w:r>
          </w:p>
        </w:tc>
      </w:tr>
      <w:tr w14:paraId="33D20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noWrap w:val="0"/>
            <w:vAlign w:val="center"/>
          </w:tcPr>
          <w:p w14:paraId="66EF30F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p>
        </w:tc>
        <w:tc>
          <w:tcPr>
            <w:tcW w:w="3716" w:type="dxa"/>
            <w:noWrap w:val="0"/>
            <w:vAlign w:val="center"/>
          </w:tcPr>
          <w:p w14:paraId="19276E5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人脸识别摄像机</w:t>
            </w:r>
          </w:p>
        </w:tc>
        <w:tc>
          <w:tcPr>
            <w:tcW w:w="1158" w:type="dxa"/>
            <w:noWrap w:val="0"/>
            <w:vAlign w:val="center"/>
          </w:tcPr>
          <w:p w14:paraId="69F9259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台</w:t>
            </w:r>
          </w:p>
        </w:tc>
        <w:tc>
          <w:tcPr>
            <w:tcW w:w="987" w:type="dxa"/>
            <w:noWrap w:val="0"/>
            <w:vAlign w:val="center"/>
          </w:tcPr>
          <w:p w14:paraId="15C8186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1671" w:type="dxa"/>
            <w:noWrap w:val="0"/>
            <w:vAlign w:val="center"/>
          </w:tcPr>
          <w:p w14:paraId="5E6AF25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4"/>
                <w:szCs w:val="24"/>
              </w:rPr>
            </w:pPr>
          </w:p>
        </w:tc>
      </w:tr>
      <w:tr w14:paraId="36B01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noWrap w:val="0"/>
            <w:vAlign w:val="center"/>
          </w:tcPr>
          <w:p w14:paraId="0E0718F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p>
        </w:tc>
        <w:tc>
          <w:tcPr>
            <w:tcW w:w="3716" w:type="dxa"/>
            <w:noWrap w:val="0"/>
            <w:vAlign w:val="center"/>
          </w:tcPr>
          <w:p w14:paraId="2B65504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区域入侵摄像机</w:t>
            </w:r>
          </w:p>
        </w:tc>
        <w:tc>
          <w:tcPr>
            <w:tcW w:w="1158" w:type="dxa"/>
            <w:noWrap w:val="0"/>
            <w:vAlign w:val="center"/>
          </w:tcPr>
          <w:p w14:paraId="1398124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台</w:t>
            </w:r>
          </w:p>
        </w:tc>
        <w:tc>
          <w:tcPr>
            <w:tcW w:w="987" w:type="dxa"/>
            <w:noWrap w:val="0"/>
            <w:vAlign w:val="center"/>
          </w:tcPr>
          <w:p w14:paraId="784D409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1671" w:type="dxa"/>
            <w:noWrap w:val="0"/>
            <w:vAlign w:val="center"/>
          </w:tcPr>
          <w:p w14:paraId="36A1EC5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4"/>
                <w:szCs w:val="24"/>
              </w:rPr>
            </w:pPr>
          </w:p>
        </w:tc>
      </w:tr>
      <w:tr w14:paraId="526FB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noWrap w:val="0"/>
            <w:vAlign w:val="center"/>
          </w:tcPr>
          <w:p w14:paraId="74117B8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p>
        </w:tc>
        <w:tc>
          <w:tcPr>
            <w:tcW w:w="3716" w:type="dxa"/>
            <w:noWrap w:val="0"/>
            <w:vAlign w:val="center"/>
          </w:tcPr>
          <w:p w14:paraId="3E3EB72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硬盘刻录机（存储硬盘）</w:t>
            </w:r>
          </w:p>
        </w:tc>
        <w:tc>
          <w:tcPr>
            <w:tcW w:w="1158" w:type="dxa"/>
            <w:noWrap w:val="0"/>
            <w:vAlign w:val="center"/>
          </w:tcPr>
          <w:p w14:paraId="54D3B34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个</w:t>
            </w:r>
          </w:p>
        </w:tc>
        <w:tc>
          <w:tcPr>
            <w:tcW w:w="987" w:type="dxa"/>
            <w:noWrap w:val="0"/>
            <w:vAlign w:val="center"/>
          </w:tcPr>
          <w:p w14:paraId="15F2478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1671" w:type="dxa"/>
            <w:noWrap w:val="0"/>
            <w:vAlign w:val="center"/>
          </w:tcPr>
          <w:p w14:paraId="6BFF01B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8T及以上</w:t>
            </w:r>
          </w:p>
        </w:tc>
      </w:tr>
      <w:tr w14:paraId="61BE2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noWrap w:val="0"/>
            <w:vAlign w:val="center"/>
          </w:tcPr>
          <w:p w14:paraId="4EFEF52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p>
        </w:tc>
        <w:tc>
          <w:tcPr>
            <w:tcW w:w="3716" w:type="dxa"/>
            <w:noWrap w:val="0"/>
            <w:vAlign w:val="center"/>
          </w:tcPr>
          <w:p w14:paraId="4D4CEBE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视频传输专用交换机</w:t>
            </w:r>
          </w:p>
        </w:tc>
        <w:tc>
          <w:tcPr>
            <w:tcW w:w="1158" w:type="dxa"/>
            <w:noWrap w:val="0"/>
            <w:vAlign w:val="center"/>
          </w:tcPr>
          <w:p w14:paraId="130E92A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个</w:t>
            </w:r>
          </w:p>
        </w:tc>
        <w:tc>
          <w:tcPr>
            <w:tcW w:w="987" w:type="dxa"/>
            <w:noWrap w:val="0"/>
            <w:vAlign w:val="center"/>
          </w:tcPr>
          <w:p w14:paraId="2681645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1671" w:type="dxa"/>
            <w:noWrap w:val="0"/>
            <w:vAlign w:val="center"/>
          </w:tcPr>
          <w:p w14:paraId="0192637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4"/>
                <w:szCs w:val="24"/>
              </w:rPr>
            </w:pPr>
          </w:p>
        </w:tc>
      </w:tr>
      <w:tr w14:paraId="126DD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noWrap w:val="0"/>
            <w:vAlign w:val="center"/>
          </w:tcPr>
          <w:p w14:paraId="60AB377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p>
        </w:tc>
        <w:tc>
          <w:tcPr>
            <w:tcW w:w="3716" w:type="dxa"/>
            <w:noWrap w:val="0"/>
            <w:vAlign w:val="center"/>
          </w:tcPr>
          <w:p w14:paraId="28DC9BE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立杆、网线等配套设施</w:t>
            </w:r>
          </w:p>
        </w:tc>
        <w:tc>
          <w:tcPr>
            <w:tcW w:w="1158" w:type="dxa"/>
            <w:noWrap w:val="0"/>
            <w:vAlign w:val="center"/>
          </w:tcPr>
          <w:p w14:paraId="53B14B9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套</w:t>
            </w:r>
          </w:p>
        </w:tc>
        <w:tc>
          <w:tcPr>
            <w:tcW w:w="987" w:type="dxa"/>
            <w:noWrap w:val="0"/>
            <w:vAlign w:val="center"/>
          </w:tcPr>
          <w:p w14:paraId="15C4897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1671" w:type="dxa"/>
            <w:noWrap w:val="0"/>
            <w:vAlign w:val="center"/>
          </w:tcPr>
          <w:p w14:paraId="6848A07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4"/>
                <w:szCs w:val="24"/>
              </w:rPr>
            </w:pPr>
          </w:p>
        </w:tc>
      </w:tr>
    </w:tbl>
    <w:p w14:paraId="679542B8">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（2）人脸识别摄像机主要参数</w:t>
      </w:r>
    </w:p>
    <w:p w14:paraId="793F042F">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2.1像素要求：≥200w像素。</w:t>
      </w:r>
    </w:p>
    <w:p w14:paraId="0B51ACB4">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2.2支持MD5、SHA256加密算法。</w:t>
      </w:r>
    </w:p>
    <w:p w14:paraId="3447B1EE">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2.3支持检出两眼瞳距40像素点以上的人脸图片，支持单场景同时检出不少于30张人脸图片，并支持面部跟踪，人脸检出率不小于99%。</w:t>
      </w:r>
    </w:p>
    <w:p w14:paraId="4C73589C">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2.4支持侧脸过滤功能，可过滤上下、左右角度达到预设值的人脸。</w:t>
      </w:r>
    </w:p>
    <w:p w14:paraId="7E20C7A4">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2.5支持人脸区域自动曝光功能，可根据外部不同场景和光照变化自动调节人脸区域曝光数。</w:t>
      </w:r>
    </w:p>
    <w:p w14:paraId="0EEB401F">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2.6设备具有耀光抑制功能，耀光区域≤1%。</w:t>
      </w:r>
    </w:p>
    <w:p w14:paraId="44AD219B">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（3）区域入侵摄像机主要参数</w:t>
      </w:r>
    </w:p>
    <w:p w14:paraId="585E041A">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3.1像素要求:≥200W像素。</w:t>
      </w:r>
    </w:p>
    <w:p w14:paraId="2040FB43">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3.2具备区域入侵检测、越界检测、进入区域、离开区域、徘徊、人员聚集、场景变更、虚 焦检测、音频异常检测等功能。</w:t>
      </w:r>
    </w:p>
    <w:p w14:paraId="6A5CE747">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3.3需具有区域裁剪功能，且裁剪区域支持不小于 7 种分辨率显示。</w:t>
      </w:r>
    </w:p>
    <w:p w14:paraId="293AE619">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3.4高清镜头；自动光圈；焦距：4-15mm；靶面：1/1.8"；接口：CS 接口；光圈数1:1.5≤±10%。</w:t>
      </w:r>
    </w:p>
    <w:p w14:paraId="780C0342">
      <w:pPr>
        <w:numPr>
          <w:ilvl w:val="0"/>
          <w:numId w:val="0"/>
        </w:numPr>
        <w:spacing w:line="288" w:lineRule="auto"/>
        <w:rPr>
          <w:rFonts w:hint="eastAsia" w:asciiTheme="minorEastAsia" w:hAnsiTheme="minorEastAsia" w:eastAsiaTheme="minorEastAsia" w:cstheme="minorEastAsia"/>
          <w:b w:val="0"/>
          <w:bCs w:val="0"/>
          <w:color w:val="auto"/>
          <w:kern w:val="2"/>
          <w:sz w:val="24"/>
          <w:szCs w:val="24"/>
          <w:lang w:val="en-US" w:eastAsia="zh-CN" w:bidi="ar-SA"/>
        </w:rPr>
      </w:pPr>
      <w:bookmarkStart w:id="787" w:name="_Toc29828_WPSOffice_Level2"/>
      <w:r>
        <w:rPr>
          <w:rFonts w:hint="eastAsia" w:asciiTheme="minorEastAsia" w:hAnsiTheme="minorEastAsia" w:eastAsiaTheme="minorEastAsia" w:cstheme="minorEastAsia"/>
          <w:b w:val="0"/>
          <w:bCs w:val="0"/>
          <w:color w:val="auto"/>
          <w:sz w:val="24"/>
          <w:szCs w:val="24"/>
          <w:lang w:val="en-US" w:eastAsia="zh-CN"/>
        </w:rPr>
        <w:t>11</w:t>
      </w:r>
      <w:r>
        <w:rPr>
          <w:rFonts w:hint="eastAsia" w:asciiTheme="minorEastAsia" w:hAnsiTheme="minorEastAsia" w:eastAsiaTheme="minorEastAsia" w:cstheme="minorEastAsia"/>
          <w:b w:val="0"/>
          <w:bCs w:val="0"/>
          <w:color w:val="auto"/>
          <w:sz w:val="24"/>
          <w:szCs w:val="24"/>
        </w:rPr>
        <w:t>、</w:t>
      </w:r>
      <w:bookmarkEnd w:id="787"/>
      <w:r>
        <w:rPr>
          <w:rFonts w:hint="eastAsia" w:asciiTheme="minorEastAsia" w:hAnsiTheme="minorEastAsia" w:eastAsiaTheme="minorEastAsia" w:cstheme="minorEastAsia"/>
          <w:b w:val="0"/>
          <w:bCs w:val="0"/>
          <w:color w:val="auto"/>
          <w:kern w:val="2"/>
          <w:sz w:val="24"/>
          <w:szCs w:val="24"/>
          <w:lang w:val="en-US" w:eastAsia="zh-CN" w:bidi="ar-SA"/>
        </w:rPr>
        <w:t>能见度监测仪</w:t>
      </w:r>
    </w:p>
    <w:p w14:paraId="125B88E9">
      <w:pPr>
        <w:spacing w:line="288" w:lineRule="auto"/>
        <w:ind w:left="960" w:leftChars="400"/>
        <w:rPr>
          <w:rFonts w:hint="eastAsia" w:asciiTheme="minorEastAsia" w:hAnsiTheme="minorEastAsia" w:eastAsiaTheme="minorEastAsia" w:cstheme="minorEastAsia"/>
          <w:b w:val="0"/>
          <w:bCs w:val="0"/>
          <w:sz w:val="24"/>
          <w:szCs w:val="24"/>
          <w14:ligatures w14:val="none"/>
        </w:rPr>
      </w:pPr>
      <w:r>
        <w:rPr>
          <w:rFonts w:hint="eastAsia" w:asciiTheme="minorEastAsia" w:hAnsiTheme="minorEastAsia" w:eastAsiaTheme="minorEastAsia" w:cstheme="minorEastAsia"/>
          <w:b w:val="0"/>
          <w:bCs w:val="0"/>
          <w:sz w:val="24"/>
          <w:szCs w:val="24"/>
          <w14:ligatures w14:val="none"/>
        </w:rPr>
        <w:fldChar w:fldCharType="begin"/>
      </w:r>
      <w:r>
        <w:rPr>
          <w:rFonts w:hint="eastAsia" w:asciiTheme="minorEastAsia" w:hAnsiTheme="minorEastAsia" w:eastAsiaTheme="minorEastAsia" w:cstheme="minorEastAsia"/>
          <w:b w:val="0"/>
          <w:bCs w:val="0"/>
          <w:sz w:val="24"/>
          <w:szCs w:val="24"/>
          <w14:ligatures w14:val="none"/>
        </w:rPr>
        <w:instrText xml:space="preserve"> = 1 \* GB3 </w:instrText>
      </w:r>
      <w:r>
        <w:rPr>
          <w:rFonts w:hint="eastAsia" w:asciiTheme="minorEastAsia" w:hAnsiTheme="minorEastAsia" w:eastAsiaTheme="minorEastAsia" w:cstheme="minorEastAsia"/>
          <w:b w:val="0"/>
          <w:bCs w:val="0"/>
          <w:sz w:val="24"/>
          <w:szCs w:val="24"/>
          <w14:ligatures w14:val="none"/>
        </w:rPr>
        <w:fldChar w:fldCharType="separate"/>
      </w:r>
      <w:r>
        <w:rPr>
          <w:rFonts w:hint="eastAsia" w:asciiTheme="minorEastAsia" w:hAnsiTheme="minorEastAsia" w:eastAsiaTheme="minorEastAsia" w:cstheme="minorEastAsia"/>
          <w:b w:val="0"/>
          <w:bCs w:val="0"/>
          <w:sz w:val="24"/>
          <w:szCs w:val="24"/>
          <w14:ligatures w14:val="none"/>
        </w:rPr>
        <w:t>①</w:t>
      </w:r>
      <w:r>
        <w:rPr>
          <w:rFonts w:hint="eastAsia" w:asciiTheme="minorEastAsia" w:hAnsiTheme="minorEastAsia" w:eastAsiaTheme="minorEastAsia" w:cstheme="minorEastAsia"/>
          <w:b w:val="0"/>
          <w:bCs w:val="0"/>
          <w:sz w:val="24"/>
          <w:szCs w:val="24"/>
          <w14:ligatures w14:val="none"/>
        </w:rPr>
        <w:fldChar w:fldCharType="end"/>
      </w:r>
      <w:r>
        <w:rPr>
          <w:rFonts w:hint="eastAsia" w:asciiTheme="minorEastAsia" w:hAnsiTheme="minorEastAsia" w:eastAsiaTheme="minorEastAsia" w:cstheme="minorEastAsia"/>
          <w:b w:val="0"/>
          <w:bCs w:val="0"/>
          <w:sz w:val="24"/>
          <w:szCs w:val="24"/>
          <w14:ligatures w14:val="none"/>
        </w:rPr>
        <w:t>基本用途：用于空气能见度的监测；</w:t>
      </w:r>
    </w:p>
    <w:p w14:paraId="0062B898">
      <w:pPr>
        <w:spacing w:line="288" w:lineRule="auto"/>
        <w:ind w:left="960" w:leftChars="4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 2 \* GB3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②</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t>原理方法：光学前向散射方法；</w:t>
      </w:r>
    </w:p>
    <w:p w14:paraId="66505ED5">
      <w:pPr>
        <w:spacing w:line="288" w:lineRule="auto"/>
        <w:ind w:left="960" w:leftChars="4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 3 \* GB3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③</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t>测量范围：10m-80km；（提供省级及省级以上的计量单位出具的相关检测报告佐证）；</w:t>
      </w:r>
    </w:p>
    <w:p w14:paraId="3452F363">
      <w:pPr>
        <w:spacing w:line="288" w:lineRule="auto"/>
        <w:ind w:left="960" w:leftChars="4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 4 \* GB3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④</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t>测量精度：±15%；</w:t>
      </w:r>
    </w:p>
    <w:p w14:paraId="6D4FF54E">
      <w:pPr>
        <w:spacing w:line="288" w:lineRule="auto"/>
        <w:ind w:left="960" w:leftChars="4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 5 \* GB3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⑤</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t>输出间隔：60秒；</w:t>
      </w:r>
    </w:p>
    <w:p w14:paraId="257155F2">
      <w:pPr>
        <w:spacing w:line="360" w:lineRule="auto"/>
        <w:ind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 6 \* GB3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⑥</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t>所投产品具有国家气象装备许可证</w:t>
      </w:r>
    </w:p>
    <w:p w14:paraId="6579E445">
      <w:pPr>
        <w:pStyle w:val="5"/>
        <w:pageBreakBefore w:val="0"/>
        <w:widowControl w:val="0"/>
        <w:kinsoku/>
        <w:wordWrap/>
        <w:overflowPunct/>
        <w:topLinePunct w:val="0"/>
        <w:autoSpaceDE/>
        <w:autoSpaceDN/>
        <w:bidi w:val="0"/>
        <w:adjustRightInd/>
        <w:snapToGrid/>
        <w:spacing w:before="0" w:after="0" w:line="360" w:lineRule="auto"/>
        <w:ind w:left="0" w:leftChars="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12</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sz w:val="24"/>
          <w:szCs w:val="24"/>
          <w:lang w:val="en-US" w:eastAsia="zh-CN"/>
        </w:rPr>
        <w:t>配套设备（采样系统、机架、标气等）</w:t>
      </w:r>
    </w:p>
    <w:p w14:paraId="3F459347">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（1）设备用途：本次提供的SO2，NO2，CO，O3，PM10，PM2.5分析仪等设备所必要配备的采样系统、机架、稳压电源等辅助设施</w:t>
      </w:r>
    </w:p>
    <w:p w14:paraId="273D2D62">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（2）配置要求：协调监测设备形成完整的工作良好的系统</w:t>
      </w:r>
    </w:p>
    <w:p w14:paraId="2AF30A18">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bookmarkStart w:id="788" w:name="_Toc392423262"/>
      <w:r>
        <w:rPr>
          <w:rFonts w:hint="eastAsia" w:asciiTheme="minorEastAsia" w:hAnsiTheme="minorEastAsia" w:eastAsiaTheme="minorEastAsia" w:cstheme="minorEastAsia"/>
          <w:color w:val="auto"/>
          <w:sz w:val="24"/>
          <w:szCs w:val="24"/>
          <w:lang w:val="en-US" w:eastAsia="zh-CN"/>
        </w:rPr>
        <w:t>（3）采样系统技术参数：</w:t>
      </w:r>
      <w:bookmarkEnd w:id="788"/>
    </w:p>
    <w:p w14:paraId="057A316B">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3.1采样头及其顶部设有防雨伞状帽和纱网，防止雨水、粗大颗粒物及昆虫进入采样管内，并安装在站房房顶合适的位置；</w:t>
      </w:r>
    </w:p>
    <w:p w14:paraId="0465A6CD">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3.2采样系统具有加热功能，加热装置具有温度显示和温度控制器，无结露、电压安全，耗电量低；</w:t>
      </w:r>
    </w:p>
    <w:p w14:paraId="3856E152">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3.3采样总管为多支路防水采样管路，材料应选用不与被监测污染物发生化学反应和不释放有干扰物质的材料，具备加热保温功能；</w:t>
      </w:r>
    </w:p>
    <w:p w14:paraId="5B145A61">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3.4总管内径在1.5-15cm之间，采样总管内的气流保持层流状态，气流稳定，层流小，有效采样段压降小，气体在总管内的滞留时间小于20秒；</w:t>
      </w:r>
    </w:p>
    <w:p w14:paraId="39F57B5C">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3.5采样总管设有多个接头，支管数量满足所有气态项目的需要；</w:t>
      </w:r>
    </w:p>
    <w:p w14:paraId="1DF24A92">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3.6采样管长度满足各子站采样高度设置要求，能够保证高于站房房顶1.2米（保证采样不受周边障碍物影响）并符合现有或拟新建的站房条件；</w:t>
      </w:r>
    </w:p>
    <w:p w14:paraId="0CCCE647">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3.7采样系统密封，与房体联接具有法兰或其他型式多级防渗水连接，与房体外联接的法兰为耐腐蚀和坚固不锈钢材质；</w:t>
      </w:r>
    </w:p>
    <w:p w14:paraId="76FA7CA7">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3.8采样系统主管路为可拆卸式，在不影响房顶外部法兰连接和仪器端连接情况下方便拆洗维护，且不影响房顶外部法兰连接和仪器端连接；</w:t>
      </w:r>
    </w:p>
    <w:p w14:paraId="48AFF9F8">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3.9气态采样管中心有反吹功能，防止水汽与水滴深入。气态采样系统室内具有引流管路，防止凝水对样气的影响；</w:t>
      </w:r>
    </w:p>
    <w:p w14:paraId="1281A028">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3.10采样杆接地良好；</w:t>
      </w:r>
    </w:p>
    <w:p w14:paraId="123BCB47">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3.11采样总管下端安装抽气泵（选用优质轴流风机），用于抽取大气样品，并将过剩气体和经过大气监测分析仪器的气体排放至站房外。</w:t>
      </w:r>
    </w:p>
    <w:p w14:paraId="5C605D9D">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bookmarkStart w:id="789" w:name="_Toc392423263"/>
      <w:r>
        <w:rPr>
          <w:rFonts w:hint="eastAsia" w:asciiTheme="minorEastAsia" w:hAnsiTheme="minorEastAsia" w:eastAsiaTheme="minorEastAsia" w:cstheme="minorEastAsia"/>
          <w:color w:val="auto"/>
          <w:sz w:val="24"/>
          <w:szCs w:val="24"/>
          <w:lang w:val="en-US" w:eastAsia="zh-CN"/>
        </w:rPr>
        <w:t>（4）机架技术参数：</w:t>
      </w:r>
      <w:bookmarkEnd w:id="789"/>
    </w:p>
    <w:p w14:paraId="4F996032">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4.1立式机柜，散热性良好，可容纳本次采购的S02，N02，CO，03，PM10，PM2.5分析仪、零气发生器、校准仪、数采仪等仪器必要时也需要包括相应的其他配套设备；</w:t>
      </w:r>
    </w:p>
    <w:p w14:paraId="15E08F66">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4.2机柜采用航空级导轨抽拉装载仪器，方便拆卸仪器与清洗仪器内部管路，机柜后侧有纵向导轨汇总各仪器的电缆线路；</w:t>
      </w:r>
    </w:p>
    <w:p w14:paraId="40BCE71F">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4.3机柜有接地孔线，所有的连接管线、接头等均采用防腐材质，不与被测污染物发生化学反应。</w:t>
      </w:r>
    </w:p>
    <w:p w14:paraId="45CECD79">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（5）阀门和标气:</w:t>
      </w:r>
    </w:p>
    <w:p w14:paraId="12251356">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5.1减压阀：双级式减压结构，无死气体，气密性可靠，材质为不锈钢，对标准气体无污染,无吸附，长时间开启不会被标准气腐蚀导致漏气和控制失效。</w:t>
      </w:r>
    </w:p>
    <w:p w14:paraId="322A7512">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5.2标气：子站配备8升SO2、NO、CO 标准气各1瓶（具有GBW、GSB国家编号的一级标准气体）：CO浓度为3000ppm、SO2浓度为 50ppm、NO浓度为 50ppm。</w:t>
      </w:r>
    </w:p>
    <w:p w14:paraId="09D4199A">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（6）稳压电源</w:t>
      </w:r>
    </w:p>
    <w:p w14:paraId="488DA715">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6.1稳压电源能够满足SO2、NO2、CO、O3、PM2.5、PM10分析仪、零气发生器、校准仪、数采仪等设备需求，确保上述仪器设备长期稳定运行，不受感应电影响跳变电压，稳压电源可负载5KW，供仪器正常使用，稳压电源接地。</w:t>
      </w:r>
    </w:p>
    <w:p w14:paraId="28882D29">
      <w:pPr>
        <w:pStyle w:val="4"/>
        <w:numPr>
          <w:ilvl w:val="0"/>
          <w:numId w:val="0"/>
        </w:numPr>
        <w:spacing w:before="0" w:after="0" w:line="360" w:lineRule="auto"/>
        <w:ind w:lef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auto"/>
          <w:sz w:val="24"/>
          <w:szCs w:val="24"/>
          <w:lang w:val="en-US" w:eastAsia="zh-CN"/>
        </w:rPr>
        <w:t>（7）</w:t>
      </w:r>
      <w:r>
        <w:rPr>
          <w:rFonts w:hint="eastAsia" w:asciiTheme="minorEastAsia" w:hAnsiTheme="minorEastAsia" w:eastAsiaTheme="minorEastAsia" w:cstheme="minorEastAsia"/>
          <w:b w:val="0"/>
          <w:bCs w:val="0"/>
          <w:sz w:val="24"/>
          <w:szCs w:val="24"/>
        </w:rPr>
        <w:t>数据采集与传输</w:t>
      </w:r>
    </w:p>
    <w:p w14:paraId="654AF397">
      <w:pPr>
        <w:spacing w:line="288" w:lineRule="auto"/>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（1）硬件参数：</w:t>
      </w:r>
    </w:p>
    <w:p w14:paraId="076FCDC3">
      <w:pPr>
        <w:numPr>
          <w:ilvl w:val="0"/>
          <w:numId w:val="15"/>
        </w:numPr>
        <w:spacing w:line="288" w:lineRule="auto"/>
        <w:ind w:left="0" w:firstLine="480" w:firstLineChars="200"/>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CPU：双核2.4GHz及以上；</w:t>
      </w:r>
    </w:p>
    <w:p w14:paraId="67356683">
      <w:pPr>
        <w:numPr>
          <w:ilvl w:val="0"/>
          <w:numId w:val="15"/>
        </w:numPr>
        <w:spacing w:line="288" w:lineRule="auto"/>
        <w:ind w:left="0" w:firstLine="480" w:firstLineChars="200"/>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内存：4G及以上；</w:t>
      </w:r>
    </w:p>
    <w:p w14:paraId="06AAA408">
      <w:pPr>
        <w:numPr>
          <w:ilvl w:val="0"/>
          <w:numId w:val="15"/>
        </w:numPr>
        <w:spacing w:line="288" w:lineRule="auto"/>
        <w:ind w:left="0" w:firstLine="480" w:firstLineChars="200"/>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硬盘：500G/7200R及以上；</w:t>
      </w:r>
    </w:p>
    <w:p w14:paraId="5B6384B9">
      <w:pPr>
        <w:numPr>
          <w:ilvl w:val="0"/>
          <w:numId w:val="15"/>
        </w:numPr>
        <w:spacing w:line="288" w:lineRule="auto"/>
        <w:ind w:left="0" w:firstLine="480" w:firstLineChars="200"/>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I/O接口标准配置：10个或10个以上RS232/RS485通信口；</w:t>
      </w:r>
    </w:p>
    <w:p w14:paraId="13E7816E">
      <w:pPr>
        <w:numPr>
          <w:ilvl w:val="0"/>
          <w:numId w:val="15"/>
        </w:numPr>
        <w:spacing w:line="288" w:lineRule="auto"/>
        <w:ind w:left="0" w:firstLine="480" w:firstLineChars="200"/>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操作系统：Window XP或Window 7及以上；</w:t>
      </w:r>
    </w:p>
    <w:p w14:paraId="335D12BB">
      <w:pPr>
        <w:numPr>
          <w:ilvl w:val="0"/>
          <w:numId w:val="15"/>
        </w:numPr>
        <w:spacing w:line="288" w:lineRule="auto"/>
        <w:ind w:left="0" w:firstLine="480" w:firstLineChars="200"/>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机箱：19寸4U工业机箱(工业电源至少支持300W负载)；</w:t>
      </w:r>
    </w:p>
    <w:p w14:paraId="14A46B80">
      <w:pPr>
        <w:numPr>
          <w:ilvl w:val="0"/>
          <w:numId w:val="15"/>
        </w:numPr>
        <w:spacing w:line="288" w:lineRule="auto"/>
        <w:ind w:left="0" w:firstLine="480" w:firstLineChars="200"/>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键盘及显示器：通用型104键键盘，液晶显示器1024×768像素以上；</w:t>
      </w:r>
    </w:p>
    <w:p w14:paraId="02BCBFA2">
      <w:pPr>
        <w:numPr>
          <w:ilvl w:val="0"/>
          <w:numId w:val="15"/>
        </w:numPr>
        <w:spacing w:line="288" w:lineRule="auto"/>
        <w:ind w:left="0" w:firstLine="480" w:firstLineChars="200"/>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网络接口：RJ45口两个或以上；</w:t>
      </w:r>
    </w:p>
    <w:p w14:paraId="1E104AD3">
      <w:pPr>
        <w:numPr>
          <w:ilvl w:val="0"/>
          <w:numId w:val="15"/>
        </w:numPr>
        <w:spacing w:line="288" w:lineRule="auto"/>
        <w:ind w:left="0" w:firstLine="480" w:firstLineChars="200"/>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接口扩展模块：视站点仪器设备配置与集成情况选择如下接口模块（RS232/ RS485接口模块、AD转换模块4017+、ADAM 4520）；</w:t>
      </w:r>
    </w:p>
    <w:p w14:paraId="72133121">
      <w:pPr>
        <w:numPr>
          <w:ilvl w:val="0"/>
          <w:numId w:val="15"/>
        </w:numPr>
        <w:spacing w:line="288" w:lineRule="auto"/>
        <w:ind w:left="0" w:firstLine="480" w:firstLineChars="200"/>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工作环境－10℃～＋55℃；</w:t>
      </w:r>
    </w:p>
    <w:p w14:paraId="6550C3D6">
      <w:pPr>
        <w:numPr>
          <w:ilvl w:val="0"/>
          <w:numId w:val="15"/>
        </w:numPr>
        <w:spacing w:line="288" w:lineRule="auto"/>
        <w:ind w:left="0" w:firstLine="480" w:firstLineChars="200"/>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扩展槽至少支持5个32位PCI、1个PCI-E 16X、1个PCI-E 1X、1个MINI PCI-E(可扩展WIFI\GPS\3G)、1个MINI SATA；</w:t>
      </w:r>
    </w:p>
    <w:p w14:paraId="6675C487">
      <w:pPr>
        <w:numPr>
          <w:ilvl w:val="0"/>
          <w:numId w:val="15"/>
        </w:numPr>
        <w:spacing w:line="288" w:lineRule="auto"/>
        <w:ind w:left="0" w:firstLine="480" w:firstLineChars="200"/>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RS232九针直联线及交叉线各8根模拟信号连接线30米。</w:t>
      </w:r>
    </w:p>
    <w:p w14:paraId="4F015C70">
      <w:pPr>
        <w:spacing w:line="288" w:lineRule="auto"/>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（2）数据采集软件要求：</w:t>
      </w:r>
    </w:p>
    <w:p w14:paraId="02441606">
      <w:pPr>
        <w:numPr>
          <w:ilvl w:val="0"/>
          <w:numId w:val="16"/>
        </w:numPr>
        <w:spacing w:line="288" w:lineRule="auto"/>
        <w:ind w:left="0" w:firstLine="480" w:firstLineChars="200"/>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数据采集通过多个RS232/485能与子站所有监测仪器，获取实时监测数据及每台仪器的各项状态参数；</w:t>
      </w:r>
    </w:p>
    <w:p w14:paraId="090D95C9">
      <w:pPr>
        <w:numPr>
          <w:ilvl w:val="0"/>
          <w:numId w:val="16"/>
        </w:numPr>
        <w:spacing w:line="288" w:lineRule="auto"/>
        <w:ind w:left="0" w:firstLine="480" w:firstLineChars="200"/>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数据采集传输能够对接省、市环境监测站空气在线监测管理平台，并支持省级国家平台数据联网，以及后续要求的国家级平台联网；</w:t>
      </w:r>
    </w:p>
    <w:p w14:paraId="6937FCF0">
      <w:pPr>
        <w:numPr>
          <w:ilvl w:val="0"/>
          <w:numId w:val="16"/>
        </w:numPr>
        <w:spacing w:line="288" w:lineRule="auto"/>
        <w:ind w:left="0" w:firstLine="480" w:firstLineChars="200"/>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支持污染因子（SO</w:t>
      </w:r>
      <w:r>
        <w:rPr>
          <w:rFonts w:hint="eastAsia" w:asciiTheme="minorEastAsia" w:hAnsiTheme="minorEastAsia" w:eastAsiaTheme="minorEastAsia" w:cstheme="minorEastAsia"/>
          <w:b w:val="0"/>
          <w:bCs w:val="0"/>
          <w:color w:val="000000"/>
          <w:sz w:val="24"/>
          <w:szCs w:val="24"/>
          <w:vertAlign w:val="subscript"/>
          <w14:ligatures w14:val="none"/>
        </w:rPr>
        <w:t>2</w:t>
      </w:r>
      <w:r>
        <w:rPr>
          <w:rFonts w:hint="eastAsia" w:asciiTheme="minorEastAsia" w:hAnsiTheme="minorEastAsia" w:eastAsiaTheme="minorEastAsia" w:cstheme="minorEastAsia"/>
          <w:b w:val="0"/>
          <w:bCs w:val="0"/>
          <w:color w:val="000000"/>
          <w:sz w:val="24"/>
          <w:szCs w:val="24"/>
          <w14:ligatures w14:val="none"/>
        </w:rPr>
        <w:t>/NO</w:t>
      </w:r>
      <w:r>
        <w:rPr>
          <w:rFonts w:hint="eastAsia" w:asciiTheme="minorEastAsia" w:hAnsiTheme="minorEastAsia" w:eastAsiaTheme="minorEastAsia" w:cstheme="minorEastAsia"/>
          <w:b w:val="0"/>
          <w:bCs w:val="0"/>
          <w:color w:val="000000"/>
          <w:sz w:val="24"/>
          <w:szCs w:val="24"/>
          <w:vertAlign w:val="subscript"/>
          <w14:ligatures w14:val="none"/>
        </w:rPr>
        <w:t>x</w:t>
      </w:r>
      <w:r>
        <w:rPr>
          <w:rFonts w:hint="eastAsia" w:asciiTheme="minorEastAsia" w:hAnsiTheme="minorEastAsia" w:eastAsiaTheme="minorEastAsia" w:cstheme="minorEastAsia"/>
          <w:b w:val="0"/>
          <w:bCs w:val="0"/>
          <w:color w:val="000000"/>
          <w:sz w:val="24"/>
          <w:szCs w:val="24"/>
          <w14:ligatures w14:val="none"/>
        </w:rPr>
        <w:t>/O</w:t>
      </w:r>
      <w:r>
        <w:rPr>
          <w:rFonts w:hint="eastAsia" w:asciiTheme="minorEastAsia" w:hAnsiTheme="minorEastAsia" w:eastAsiaTheme="minorEastAsia" w:cstheme="minorEastAsia"/>
          <w:b w:val="0"/>
          <w:bCs w:val="0"/>
          <w:color w:val="000000"/>
          <w:sz w:val="24"/>
          <w:szCs w:val="24"/>
          <w:vertAlign w:val="subscript"/>
          <w14:ligatures w14:val="none"/>
        </w:rPr>
        <w:t>3</w:t>
      </w:r>
      <w:r>
        <w:rPr>
          <w:rFonts w:hint="eastAsia" w:asciiTheme="minorEastAsia" w:hAnsiTheme="minorEastAsia" w:eastAsiaTheme="minorEastAsia" w:cstheme="minorEastAsia"/>
          <w:b w:val="0"/>
          <w:bCs w:val="0"/>
          <w:color w:val="000000"/>
          <w:sz w:val="24"/>
          <w:szCs w:val="24"/>
          <w14:ligatures w14:val="none"/>
        </w:rPr>
        <w:t>/CO/PM</w:t>
      </w:r>
      <w:r>
        <w:rPr>
          <w:rFonts w:hint="eastAsia" w:asciiTheme="minorEastAsia" w:hAnsiTheme="minorEastAsia" w:eastAsiaTheme="minorEastAsia" w:cstheme="minorEastAsia"/>
          <w:b w:val="0"/>
          <w:bCs w:val="0"/>
          <w:color w:val="000000"/>
          <w:sz w:val="24"/>
          <w:szCs w:val="24"/>
          <w:vertAlign w:val="subscript"/>
          <w14:ligatures w14:val="none"/>
        </w:rPr>
        <w:t>10</w:t>
      </w:r>
      <w:r>
        <w:rPr>
          <w:rFonts w:hint="eastAsia" w:asciiTheme="minorEastAsia" w:hAnsiTheme="minorEastAsia" w:eastAsiaTheme="minorEastAsia" w:cstheme="minorEastAsia"/>
          <w:b w:val="0"/>
          <w:bCs w:val="0"/>
          <w:color w:val="000000"/>
          <w:sz w:val="24"/>
          <w:szCs w:val="24"/>
          <w14:ligatures w14:val="none"/>
        </w:rPr>
        <w:t>/PM</w:t>
      </w:r>
      <w:r>
        <w:rPr>
          <w:rFonts w:hint="eastAsia" w:asciiTheme="minorEastAsia" w:hAnsiTheme="minorEastAsia" w:eastAsiaTheme="minorEastAsia" w:cstheme="minorEastAsia"/>
          <w:b w:val="0"/>
          <w:bCs w:val="0"/>
          <w:color w:val="000000"/>
          <w:sz w:val="24"/>
          <w:szCs w:val="24"/>
          <w:vertAlign w:val="subscript"/>
          <w14:ligatures w14:val="none"/>
        </w:rPr>
        <w:t>2.5</w:t>
      </w:r>
      <w:r>
        <w:rPr>
          <w:rFonts w:hint="eastAsia" w:asciiTheme="minorEastAsia" w:hAnsiTheme="minorEastAsia" w:eastAsiaTheme="minorEastAsia" w:cstheme="minorEastAsia"/>
          <w:b w:val="0"/>
          <w:bCs w:val="0"/>
          <w:color w:val="000000"/>
          <w:sz w:val="24"/>
          <w:szCs w:val="24"/>
          <w14:ligatures w14:val="none"/>
        </w:rPr>
        <w:t>/气象参数）等数据采集、视图展示、报表功能、实时数据曲线显示、设备状态、数据多点上报等功能；</w:t>
      </w:r>
    </w:p>
    <w:p w14:paraId="23EF6782">
      <w:pPr>
        <w:numPr>
          <w:ilvl w:val="0"/>
          <w:numId w:val="16"/>
        </w:numPr>
        <w:spacing w:line="288" w:lineRule="auto"/>
        <w:ind w:left="0" w:firstLine="480" w:firstLineChars="200"/>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由用户根据需要设定采集速率：如5秒，10秒，30秒或60秒等；</w:t>
      </w:r>
    </w:p>
    <w:p w14:paraId="3262B919">
      <w:pPr>
        <w:numPr>
          <w:ilvl w:val="0"/>
          <w:numId w:val="16"/>
        </w:numPr>
        <w:spacing w:line="288" w:lineRule="auto"/>
        <w:ind w:left="0" w:firstLine="480" w:firstLineChars="200"/>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可自定义设定每个参数的报警阀值；</w:t>
      </w:r>
    </w:p>
    <w:p w14:paraId="1063C9E1">
      <w:pPr>
        <w:numPr>
          <w:ilvl w:val="0"/>
          <w:numId w:val="16"/>
        </w:numPr>
        <w:spacing w:line="288" w:lineRule="auto"/>
        <w:ind w:left="0" w:firstLine="480" w:firstLineChars="200"/>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现场可动态显示系统的实时状态，可加载实时数据，历史报表和历史事件等信息；</w:t>
      </w:r>
    </w:p>
    <w:p w14:paraId="5F446F63">
      <w:pPr>
        <w:numPr>
          <w:ilvl w:val="0"/>
          <w:numId w:val="16"/>
        </w:numPr>
        <w:spacing w:line="288" w:lineRule="auto"/>
        <w:ind w:left="0" w:firstLine="480" w:firstLineChars="200"/>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数据采集应对每个非正常监测数据（如校准数据、异常数据等）作数据标识，并作为监测数据的补充信息与监测数据同时存储和上传；</w:t>
      </w:r>
    </w:p>
    <w:p w14:paraId="5F722113">
      <w:pPr>
        <w:numPr>
          <w:ilvl w:val="0"/>
          <w:numId w:val="16"/>
        </w:numPr>
        <w:spacing w:line="288" w:lineRule="auto"/>
        <w:ind w:left="0" w:firstLine="480" w:firstLineChars="200"/>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数据采集应可储存一年以上的小时平均值及分钟值，同时支持相应时间发生的有关校准、事件记录的保存和查询；</w:t>
      </w:r>
    </w:p>
    <w:p w14:paraId="386BB643">
      <w:pPr>
        <w:numPr>
          <w:ilvl w:val="0"/>
          <w:numId w:val="16"/>
        </w:numPr>
        <w:spacing w:line="288" w:lineRule="auto"/>
        <w:ind w:left="0" w:firstLine="480" w:firstLineChars="200"/>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测量数据及实时状态的查询功能，按需要进行各种方式的数据查询；</w:t>
      </w:r>
    </w:p>
    <w:p w14:paraId="173BF272">
      <w:pPr>
        <w:numPr>
          <w:ilvl w:val="0"/>
          <w:numId w:val="16"/>
        </w:numPr>
        <w:spacing w:line="288" w:lineRule="auto"/>
        <w:ind w:left="0" w:firstLine="480" w:firstLineChars="200"/>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数据查询功能，不仅能够查询一定时间段的历史数据，而且能够查询小时均值、日均值、月均值，并且配有图形曲线显示，便于用户了解各个参数随时间的变化趋势；</w:t>
      </w:r>
    </w:p>
    <w:p w14:paraId="71D0CB8A">
      <w:pPr>
        <w:numPr>
          <w:ilvl w:val="0"/>
          <w:numId w:val="16"/>
        </w:numPr>
        <w:spacing w:line="288" w:lineRule="auto"/>
        <w:ind w:left="0" w:firstLine="480" w:firstLineChars="200"/>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开机自动运行功能，当停电或仪器重新启动后，无需要人工操作，数据采集仪软件能够自动运行；</w:t>
      </w:r>
    </w:p>
    <w:p w14:paraId="721D5BF3">
      <w:pPr>
        <w:numPr>
          <w:ilvl w:val="0"/>
          <w:numId w:val="16"/>
        </w:numPr>
        <w:spacing w:line="288" w:lineRule="auto"/>
        <w:ind w:left="0" w:firstLine="480" w:firstLineChars="200"/>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数据采集具有断点续传功能，当通讯出现故障后，下次恢复通讯时能够判断数据断点，并从该处继续上传；</w:t>
      </w:r>
    </w:p>
    <w:p w14:paraId="6B5D6BFE">
      <w:pPr>
        <w:numPr>
          <w:ilvl w:val="0"/>
          <w:numId w:val="16"/>
        </w:numPr>
        <w:spacing w:line="288" w:lineRule="auto"/>
        <w:ind w:left="0" w:firstLine="480" w:firstLineChars="200"/>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通讯系统采用光纤通讯方式，同时具备支持ADSL通讯功能，作为备用数据传输方式；</w:t>
      </w:r>
    </w:p>
    <w:p w14:paraId="7A04CCB5">
      <w:pPr>
        <w:numPr>
          <w:ilvl w:val="0"/>
          <w:numId w:val="16"/>
        </w:numPr>
        <w:spacing w:line="288" w:lineRule="auto"/>
        <w:ind w:left="0" w:firstLine="480" w:firstLineChars="200"/>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具有监测仪器参数状态采集功能、并提供历史状态查询；</w:t>
      </w:r>
    </w:p>
    <w:p w14:paraId="252E2914">
      <w:pPr>
        <w:numPr>
          <w:ilvl w:val="0"/>
          <w:numId w:val="16"/>
        </w:numPr>
        <w:spacing w:line="288" w:lineRule="auto"/>
        <w:ind w:left="0" w:firstLine="480" w:firstLineChars="200"/>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通讯协议支持HJ660-2013等国家相关技术规范要求。</w:t>
      </w:r>
    </w:p>
    <w:p w14:paraId="76EA9856">
      <w:pPr>
        <w:spacing w:line="288" w:lineRule="auto"/>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（3）VPN参数：</w:t>
      </w:r>
    </w:p>
    <w:p w14:paraId="20E324AA">
      <w:pPr>
        <w:numPr>
          <w:ilvl w:val="0"/>
          <w:numId w:val="17"/>
        </w:numPr>
        <w:spacing w:line="288" w:lineRule="auto"/>
        <w:ind w:left="960" w:leftChars="200" w:hanging="480" w:hangingChars="200"/>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VPN加密速度（AES 128bits）不低于10Mbps；</w:t>
      </w:r>
    </w:p>
    <w:p w14:paraId="45024654">
      <w:pPr>
        <w:numPr>
          <w:ilvl w:val="0"/>
          <w:numId w:val="17"/>
        </w:numPr>
        <w:spacing w:line="288" w:lineRule="auto"/>
        <w:ind w:left="960" w:leftChars="200" w:hanging="480" w:hangingChars="200"/>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同时支持IPSEC、SSL两种主流VPN协议，支持不低于5个IP Sec VPN；</w:t>
      </w:r>
    </w:p>
    <w:p w14:paraId="0350E3AE">
      <w:pPr>
        <w:numPr>
          <w:ilvl w:val="0"/>
          <w:numId w:val="17"/>
        </w:numPr>
        <w:spacing w:line="288" w:lineRule="auto"/>
        <w:ind w:left="960" w:leftChars="200" w:hanging="480" w:hangingChars="200"/>
        <w:rPr>
          <w:rFonts w:hint="eastAsia" w:asciiTheme="minorEastAsia" w:hAnsiTheme="minorEastAsia" w:eastAsiaTheme="minorEastAsia" w:cstheme="minorEastAsia"/>
          <w:b w:val="0"/>
          <w:bCs w:val="0"/>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具备4个以上百兆电口，并发连接数不低于10000；</w:t>
      </w:r>
    </w:p>
    <w:p w14:paraId="513B318C">
      <w:pPr>
        <w:numPr>
          <w:ilvl w:val="0"/>
          <w:numId w:val="17"/>
        </w:numPr>
        <w:spacing w:line="288" w:lineRule="auto"/>
        <w:ind w:left="960" w:leftChars="200" w:hanging="480" w:hangingChars="200"/>
        <w:rPr>
          <w:rFonts w:hint="eastAsia" w:asciiTheme="minorEastAsia" w:hAnsiTheme="minorEastAsia" w:eastAsiaTheme="minorEastAsia" w:cstheme="minorEastAsia"/>
          <w:b/>
          <w:bCs/>
          <w:color w:val="000000"/>
          <w:sz w:val="24"/>
          <w:szCs w:val="24"/>
          <w14:ligatures w14:val="none"/>
        </w:rPr>
      </w:pPr>
      <w:r>
        <w:rPr>
          <w:rFonts w:hint="eastAsia" w:asciiTheme="minorEastAsia" w:hAnsiTheme="minorEastAsia" w:eastAsiaTheme="minorEastAsia" w:cstheme="minorEastAsia"/>
          <w:b w:val="0"/>
          <w:bCs w:val="0"/>
          <w:color w:val="000000"/>
          <w:sz w:val="24"/>
          <w:szCs w:val="24"/>
          <w14:ligatures w14:val="none"/>
        </w:rPr>
        <w:t>网络吞吐量不低于10Mbps，安全过滤宽带不低于10Mbps。</w:t>
      </w:r>
    </w:p>
    <w:p w14:paraId="6533CECB">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p>
    <w:p w14:paraId="49EE11F9">
      <w:pPr>
        <w:pStyle w:val="3"/>
        <w:bidi w:val="0"/>
        <w:rPr>
          <w:rFonts w:hint="eastAsia" w:asciiTheme="minorEastAsia" w:hAnsiTheme="minorEastAsia" w:eastAsiaTheme="minorEastAsia" w:cstheme="minorEastAsia"/>
          <w:b w:val="0"/>
          <w:bCs w:val="0"/>
          <w:sz w:val="24"/>
          <w:szCs w:val="24"/>
          <w:lang w:val="en-US" w:eastAsia="zh-CN"/>
        </w:rPr>
      </w:pPr>
      <w:bookmarkStart w:id="790" w:name="_Toc6547"/>
      <w:r>
        <w:rPr>
          <w:rFonts w:hint="eastAsia" w:asciiTheme="minorEastAsia" w:hAnsiTheme="minorEastAsia" w:eastAsiaTheme="minorEastAsia" w:cstheme="minorEastAsia"/>
          <w:b w:val="0"/>
          <w:bCs w:val="0"/>
          <w:sz w:val="24"/>
          <w:szCs w:val="24"/>
          <w:lang w:val="en-US" w:eastAsia="zh-CN"/>
        </w:rPr>
        <w:t>三、服务要求</w:t>
      </w:r>
      <w:bookmarkEnd w:id="790"/>
    </w:p>
    <w:p w14:paraId="528F36E3">
      <w:pPr>
        <w:pStyle w:val="4"/>
        <w:bidi w:val="0"/>
        <w:rPr>
          <w:rFonts w:hint="eastAsia" w:asciiTheme="minorEastAsia" w:hAnsiTheme="minorEastAsia" w:eastAsiaTheme="minorEastAsia" w:cstheme="minorEastAsia"/>
          <w:b w:val="0"/>
          <w:bCs w:val="0"/>
          <w:sz w:val="24"/>
          <w:szCs w:val="24"/>
          <w:lang w:val="en-US" w:eastAsia="zh-CN"/>
        </w:rPr>
      </w:pPr>
      <w:bookmarkStart w:id="791" w:name="_Toc32313"/>
      <w:r>
        <w:rPr>
          <w:rFonts w:hint="eastAsia" w:asciiTheme="minorEastAsia" w:hAnsiTheme="minorEastAsia" w:eastAsiaTheme="minorEastAsia" w:cstheme="minorEastAsia"/>
          <w:b w:val="0"/>
          <w:bCs w:val="0"/>
          <w:sz w:val="24"/>
          <w:szCs w:val="24"/>
          <w:lang w:val="en-US" w:eastAsia="zh-CN"/>
        </w:rPr>
        <w:t>（一）</w:t>
      </w:r>
      <w:bookmarkEnd w:id="791"/>
      <w:r>
        <w:rPr>
          <w:rFonts w:hint="eastAsia" w:asciiTheme="minorEastAsia" w:hAnsiTheme="minorEastAsia" w:eastAsiaTheme="minorEastAsia" w:cstheme="minorEastAsia"/>
          <w:b w:val="0"/>
          <w:bCs w:val="0"/>
          <w:sz w:val="24"/>
          <w:szCs w:val="24"/>
          <w:lang w:val="en-US" w:eastAsia="zh-CN"/>
        </w:rPr>
        <w:t>运营服务</w:t>
      </w:r>
    </w:p>
    <w:p w14:paraId="2A40BDC7">
      <w:pPr>
        <w:pStyle w:val="5"/>
        <w:bidi w:val="0"/>
        <w:rPr>
          <w:rFonts w:hint="eastAsia" w:asciiTheme="minorEastAsia" w:hAnsiTheme="minorEastAsia" w:eastAsiaTheme="minorEastAsia" w:cstheme="minorEastAsia"/>
          <w:b w:val="0"/>
          <w:bCs w:val="0"/>
          <w:sz w:val="24"/>
          <w:szCs w:val="24"/>
        </w:rPr>
      </w:pPr>
      <w:bookmarkStart w:id="792" w:name="_Toc371345090"/>
      <w:bookmarkStart w:id="793" w:name="_Toc418521699"/>
      <w:r>
        <w:rPr>
          <w:rFonts w:hint="eastAsia" w:asciiTheme="minorEastAsia" w:hAnsiTheme="minorEastAsia" w:eastAsiaTheme="minorEastAsia" w:cstheme="minorEastAsia"/>
          <w:b w:val="0"/>
          <w:bCs w:val="0"/>
          <w:sz w:val="24"/>
          <w:szCs w:val="24"/>
        </w:rPr>
        <w:t>1、总体要求</w:t>
      </w:r>
      <w:bookmarkEnd w:id="792"/>
      <w:bookmarkEnd w:id="793"/>
    </w:p>
    <w:p w14:paraId="5A34F547">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供应商负责此次谈判的1个环境空气自动监测站的运行、维护、质量保证和设备维修工作。运营期限为设备安装调试结束后至交接给用户指定的第三方运维公司为止。运营期间，供应商不得将运维工作分包给其他公司或个人。</w:t>
      </w:r>
    </w:p>
    <w:p w14:paraId="4CE617E4">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供应商应严格按照考核依据中各项标准要求，完善空气站系统维护工作，提高系统维护主动性，切实加强空气自动监测系统的管理，保证空气站的正常连续运行和监测数据的准确性。</w:t>
      </w:r>
    </w:p>
    <w:p w14:paraId="0331A557">
      <w:pPr>
        <w:pStyle w:val="5"/>
        <w:bidi w:val="0"/>
        <w:rPr>
          <w:rFonts w:hint="eastAsia" w:asciiTheme="minorEastAsia" w:hAnsiTheme="minorEastAsia" w:eastAsiaTheme="minorEastAsia" w:cstheme="minorEastAsia"/>
          <w:b w:val="0"/>
          <w:bCs w:val="0"/>
          <w:sz w:val="24"/>
          <w:szCs w:val="24"/>
        </w:rPr>
      </w:pPr>
      <w:bookmarkStart w:id="794" w:name="_Toc371345091"/>
      <w:bookmarkStart w:id="795" w:name="_Toc418521700"/>
      <w:r>
        <w:rPr>
          <w:rFonts w:hint="eastAsia" w:asciiTheme="minorEastAsia" w:hAnsiTheme="minorEastAsia" w:eastAsiaTheme="minorEastAsia" w:cstheme="minorEastAsia"/>
          <w:b w:val="0"/>
          <w:bCs w:val="0"/>
          <w:sz w:val="24"/>
          <w:szCs w:val="24"/>
        </w:rPr>
        <w:t>2、运营保障</w:t>
      </w:r>
      <w:bookmarkEnd w:id="794"/>
      <w:bookmarkEnd w:id="795"/>
    </w:p>
    <w:p w14:paraId="7E26F6B0">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供应商须按照标书和合同有关要求，至少配备2名专业技术人员（需提供该技术人员中国环境监测总站环境空气质量自动监测运维与质控技术培训合格证及近三个月任一个月内在供应商社保缴纳证明）从事空气站运行维护工作。</w:t>
      </w:r>
    </w:p>
    <w:p w14:paraId="023774A4">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（2）供应商应具备判断系统运行情况的方法和手段，随时掌握各自动站运行情况，按照相关规定进行自动站运行故障分析、判断与维护。</w:t>
      </w:r>
    </w:p>
    <w:p w14:paraId="5738C02E">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（3）运营人员对系统状况和数据须严格保密，不得对外泄漏或公开任何内容。不得私自擅自改变采样管路连接方式和更改仪器参数设置。</w:t>
      </w:r>
    </w:p>
    <w:p w14:paraId="3771FF85">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（4）运营人员应建立工作日志，记录有关自动站运行和维护、维修、质保等工作内容。按要求及时填写，并每周提交区监测站存档。</w:t>
      </w:r>
    </w:p>
    <w:p w14:paraId="0F82E973">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（5）供应商应保证空气站24小时连续运行，保证监测数据质量达到考核要求。</w:t>
      </w:r>
    </w:p>
    <w:p w14:paraId="4C8317D2">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（6）供应商应保证备用设备处于良好的工作状态，以满足空气站紧急情况的使用，保证系统的连续运行。</w:t>
      </w:r>
    </w:p>
    <w:p w14:paraId="5143E717">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（7）供应商应保证并提交系统仪器设备配件及耗材的来源途径。并保证所维护的系统仪器设备通过上级部门对空气站进行的各项考核工作。</w:t>
      </w:r>
    </w:p>
    <w:p w14:paraId="1A8AF304">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供应商保证满足环保局自动站故障的响应时间要求，当自动站出现故障，必须在2小时之内响应，4小时内赶赴现场对事故进行处理，恢复正常运行。若仪器故障无法排除，运营公司必须在12小时内提供并更换相应的备机，保证自动站正常运行。对于重大的事故，严重影响系统运行或无法运行时，双方组织有关领导和技术人员到现场进行实地考察，经研究后，共同决定解决方案。</w:t>
      </w:r>
    </w:p>
    <w:p w14:paraId="21FE4267">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（9）供应商应协助完成与本系统运营有关的临时性工作。</w:t>
      </w:r>
    </w:p>
    <w:p w14:paraId="5E34D414">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（10）在运营管理期间，运营公司应按安全生产有关规定，建立安全生产制度，切实消除安全隐患。</w:t>
      </w:r>
    </w:p>
    <w:p w14:paraId="6C62E961">
      <w:pPr>
        <w:pStyle w:val="5"/>
        <w:bidi w:val="0"/>
        <w:rPr>
          <w:rFonts w:hint="eastAsia" w:asciiTheme="minorEastAsia" w:hAnsiTheme="minorEastAsia" w:eastAsiaTheme="minorEastAsia" w:cstheme="minorEastAsia"/>
          <w:sz w:val="24"/>
          <w:szCs w:val="24"/>
        </w:rPr>
      </w:pPr>
      <w:bookmarkStart w:id="796" w:name="_Toc418521701"/>
      <w:bookmarkStart w:id="797" w:name="_Toc371345092"/>
      <w:r>
        <w:rPr>
          <w:rFonts w:hint="eastAsia" w:asciiTheme="minorEastAsia" w:hAnsiTheme="minorEastAsia" w:eastAsiaTheme="minorEastAsia" w:cstheme="minorEastAsia"/>
          <w:b w:val="0"/>
          <w:bCs w:val="0"/>
          <w:sz w:val="24"/>
          <w:szCs w:val="24"/>
        </w:rPr>
        <w:t>3、日常巡检及维护</w:t>
      </w:r>
      <w:bookmarkEnd w:id="796"/>
      <w:bookmarkEnd w:id="797"/>
    </w:p>
    <w:p w14:paraId="13679B40">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运营人员每周对自动站至少巡检1次（突发事故除外），并现场填写巡检记录表。如发现参数异常，立即采取现场排除或更换备用机等措施。自动站巡检应按以下要求进行（未尽事宜按照《国家环境空气质量监测城市自动监测站运行管理暂行规定》执行）：</w:t>
      </w:r>
    </w:p>
    <w:p w14:paraId="1D37456E">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检查空气自动站的供电、接地线路是否可靠，排风排气装置工作是否正常，采样和排气管路是否有漏气或堵塞现象，站房门窗是否牢固、安全。站房的其它设施是否有损坏或被水淹现象，保证系统的安全运行。</w:t>
      </w:r>
    </w:p>
    <w:p w14:paraId="22128E08">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（2）检查空气自动站各仪器设备运行参数设置、采样流量及系统通讯线路、数据采集器等是否正常，如出现异常情况，应现场排除并作好记录。如现场不能排除，按照故障处理要求及时处理，并通知用户。</w:t>
      </w:r>
    </w:p>
    <w:p w14:paraId="5332817B">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检查空气自动站数据采集器模拟输入量与数据显示值之间的关系，如有偏差加以调整；检查各分析仪器采样流量；校准系统所需的氧化剂和净化剂每半年更换一次；检查标准气体钢瓶是否安全固定、阀门是否漏气、标准气体的有效期限和消耗情况等，并做好现场巡检记录。</w:t>
      </w:r>
    </w:p>
    <w:p w14:paraId="0FFEE8F1">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（4）检查并及时更换各空气自动站仪器设备滤膜、泵膜、纸带、烧结过滤片等耗材和配件，每月更换滤膜，每2月更换烧结过滤片，每18个月更换紫外灯、光电倍增管、反映室滤光片并做好更换记录记录。</w:t>
      </w:r>
    </w:p>
    <w:p w14:paraId="3ECD7AF0">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（5）保证每周检查、每月清洗一次PM10、PM2.5采样头，至少每半年清洗一次采样总管和气路管线，清洗完后，应做检漏测试确保工作正常，并做好记录。</w:t>
      </w:r>
    </w:p>
    <w:p w14:paraId="781D8CE3">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（6）检查室内空调是否正常运行，空调的过滤网每月至少清洗1次，在冬、夏季节应注意站房室内外温差，及时调节站房内控制温度或对采样总管采取适当的控制措施，防止出现冷凝现象。</w:t>
      </w:r>
    </w:p>
    <w:p w14:paraId="23D8D9CB">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（7）及时对所有备用仪器进行开机检查及故障修复，检查仪器各主要参数、校准结果是否正常，保证备用机处于良好的工作状态；如开机时发现仪器有异常情况，应立即修复。</w:t>
      </w:r>
    </w:p>
    <w:p w14:paraId="57823407">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（8）及时清理空气自动站站房内和周围环境卫生，保持其干净整洁。</w:t>
      </w:r>
    </w:p>
    <w:p w14:paraId="29960C91">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（9）对自动站房周围的杂草和积水应及时清除，当周围树木生长超过规范规定的控制限时，对采样有影响的树枝应及时进行剪除。</w:t>
      </w:r>
    </w:p>
    <w:p w14:paraId="650E9592">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（10）记录巡检情况，如果发现影响环境空气自动监测站安全和正常运行的情况，应及时报告用户协助处理。</w:t>
      </w:r>
    </w:p>
    <w:p w14:paraId="6E98DD98">
      <w:pPr>
        <w:pStyle w:val="5"/>
        <w:bidi w:val="0"/>
        <w:rPr>
          <w:rFonts w:hint="eastAsia" w:asciiTheme="minorEastAsia" w:hAnsiTheme="minorEastAsia" w:eastAsiaTheme="minorEastAsia" w:cstheme="minorEastAsia"/>
          <w:b w:val="0"/>
          <w:bCs w:val="0"/>
          <w:sz w:val="24"/>
          <w:szCs w:val="24"/>
        </w:rPr>
      </w:pPr>
      <w:bookmarkStart w:id="798" w:name="_Toc418521702"/>
      <w:bookmarkStart w:id="799" w:name="_Toc371345093"/>
      <w:r>
        <w:rPr>
          <w:rFonts w:hint="eastAsia" w:asciiTheme="minorEastAsia" w:hAnsiTheme="minorEastAsia" w:eastAsiaTheme="minorEastAsia" w:cstheme="minorEastAsia"/>
          <w:b w:val="0"/>
          <w:bCs w:val="0"/>
          <w:sz w:val="24"/>
          <w:szCs w:val="24"/>
        </w:rPr>
        <w:t>4、故障设备维修</w:t>
      </w:r>
      <w:bookmarkEnd w:id="798"/>
      <w:bookmarkEnd w:id="799"/>
    </w:p>
    <w:p w14:paraId="2E95635F">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（1）运营方应建立自动站的仪器设备档案，记录其运行、维护、维修及更换状况。</w:t>
      </w:r>
    </w:p>
    <w:p w14:paraId="6CADE454">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空气自动站仪器设备发生故障时，对于在现场能够明确诊断，并可由简单更换零部件解决的问题，如电磁阀控制失灵、泵膜破损、气路堵塞、灯源老化等，应立即在现场进行检修并解决问题。如现场不能修复，必须在故障发现3小时内使用备用设备替换，并对新安装的仪器进行校准、标定，完成监测数据的有效性检查，保证空气自动站系统的持续运行及数据的连续性、有效性。详细记录故障现象与发生时段，并及时报告采购方。</w:t>
      </w:r>
    </w:p>
    <w:p w14:paraId="2410AEEC">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（3）运营方应将更换后的故障设备在一周内完成维修，经过校准检查后做为备用设备入库，并做好相应维修记录。</w:t>
      </w:r>
    </w:p>
    <w:p w14:paraId="542B6D99">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（4）运营方应建立仪器使用、维护、维修档案，记录仪器使用情况、故障现象、维修过程、更换备件情况等，并填写仪器维护、维修报告表于5个工作日后上报采购方。</w:t>
      </w:r>
    </w:p>
    <w:p w14:paraId="07EAA2CC">
      <w:pPr>
        <w:pStyle w:val="4"/>
        <w:bidi w:val="0"/>
        <w:rPr>
          <w:rFonts w:hint="eastAsia" w:asciiTheme="minorEastAsia" w:hAnsiTheme="minorEastAsia" w:eastAsiaTheme="minorEastAsia" w:cstheme="minorEastAsia"/>
          <w:b w:val="0"/>
          <w:bCs w:val="0"/>
          <w:sz w:val="24"/>
          <w:szCs w:val="24"/>
          <w:lang w:val="en-US" w:eastAsia="zh-CN"/>
        </w:rPr>
      </w:pPr>
      <w:bookmarkStart w:id="800" w:name="_Toc17572"/>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b w:val="0"/>
          <w:bCs w:val="0"/>
          <w:sz w:val="24"/>
          <w:szCs w:val="24"/>
          <w:lang w:val="en-US" w:eastAsia="zh-CN"/>
        </w:rPr>
        <w:t>颗粒物手工比对服务</w:t>
      </w:r>
      <w:bookmarkEnd w:id="800"/>
    </w:p>
    <w:p w14:paraId="099FB20E">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★供应商委托有资质的第三方检测公司进行为期23天以上的连续颗粒物手工比对监测，并提供PM</w:t>
      </w:r>
      <w:r>
        <w:rPr>
          <w:rFonts w:hint="eastAsia" w:asciiTheme="minorEastAsia" w:hAnsiTheme="minorEastAsia" w:eastAsiaTheme="minorEastAsia" w:cstheme="minorEastAsia"/>
          <w:b w:val="0"/>
          <w:bCs w:val="0"/>
          <w:color w:val="auto"/>
          <w:sz w:val="24"/>
          <w:szCs w:val="24"/>
          <w:vertAlign w:val="subscript"/>
          <w:lang w:val="en-US" w:eastAsia="zh-CN"/>
        </w:rPr>
        <w:t>10</w:t>
      </w:r>
      <w:r>
        <w:rPr>
          <w:rFonts w:hint="eastAsia" w:asciiTheme="minorEastAsia" w:hAnsiTheme="minorEastAsia" w:eastAsiaTheme="minorEastAsia" w:cstheme="minorEastAsia"/>
          <w:b w:val="0"/>
          <w:bCs w:val="0"/>
          <w:color w:val="auto"/>
          <w:sz w:val="24"/>
          <w:szCs w:val="24"/>
          <w:lang w:val="en-US" w:eastAsia="zh-CN"/>
        </w:rPr>
        <w:t>和PM</w:t>
      </w:r>
      <w:r>
        <w:rPr>
          <w:rFonts w:hint="eastAsia" w:asciiTheme="minorEastAsia" w:hAnsiTheme="minorEastAsia" w:eastAsiaTheme="minorEastAsia" w:cstheme="minorEastAsia"/>
          <w:b w:val="0"/>
          <w:bCs w:val="0"/>
          <w:color w:val="auto"/>
          <w:sz w:val="24"/>
          <w:szCs w:val="24"/>
          <w:vertAlign w:val="subscript"/>
          <w:lang w:val="en-US" w:eastAsia="zh-CN"/>
        </w:rPr>
        <w:t>2.5</w:t>
      </w:r>
      <w:r>
        <w:rPr>
          <w:rFonts w:hint="eastAsia" w:asciiTheme="minorEastAsia" w:hAnsiTheme="minorEastAsia" w:eastAsiaTheme="minorEastAsia" w:cstheme="minorEastAsia"/>
          <w:b w:val="0"/>
          <w:bCs w:val="0"/>
          <w:color w:val="auto"/>
          <w:sz w:val="24"/>
          <w:szCs w:val="24"/>
          <w:lang w:val="en-US" w:eastAsia="zh-CN"/>
        </w:rPr>
        <w:t>颗粒物比对监测报告。</w:t>
      </w:r>
    </w:p>
    <w:p w14:paraId="3B82A8D2">
      <w:pPr>
        <w:pStyle w:val="5"/>
        <w:bidi w:val="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1、方法原理</w:t>
      </w:r>
    </w:p>
    <w:p w14:paraId="0521265C">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利用手工采样器与自动监测仪器进行同时段采样，计算自动监测仪器与手</w:t>
      </w:r>
      <w:r>
        <w:rPr>
          <w:rFonts w:hint="eastAsia" w:asciiTheme="minorEastAsia" w:hAnsiTheme="minorEastAsia" w:eastAsiaTheme="minorEastAsia" w:cstheme="minorEastAsia"/>
          <w:b w:val="0"/>
          <w:bCs w:val="0"/>
          <w:color w:val="auto"/>
          <w:sz w:val="24"/>
          <w:szCs w:val="24"/>
          <w:lang w:val="en-US" w:eastAsia="zh-CN"/>
        </w:rPr>
        <w:t>工采样器监测结果的相对误差，评价数据质量。</w:t>
      </w:r>
    </w:p>
    <w:p w14:paraId="732D5AB2">
      <w:pPr>
        <w:pStyle w:val="5"/>
        <w:bidi w:val="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2、采样仪器设备</w:t>
      </w:r>
    </w:p>
    <w:p w14:paraId="51A6C9B9">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颗粒物采样器：技术指标应符合《环境空气颗粒物PM</w:t>
      </w:r>
      <w:r>
        <w:rPr>
          <w:rFonts w:hint="eastAsia" w:asciiTheme="minorEastAsia" w:hAnsiTheme="minorEastAsia" w:eastAsiaTheme="minorEastAsia" w:cstheme="minorEastAsia"/>
          <w:color w:val="auto"/>
          <w:sz w:val="24"/>
          <w:szCs w:val="24"/>
          <w:vertAlign w:val="subscript"/>
          <w:lang w:val="en-US" w:eastAsia="zh-CN"/>
        </w:rPr>
        <w:t>10</w:t>
      </w:r>
      <w:r>
        <w:rPr>
          <w:rFonts w:hint="eastAsia" w:asciiTheme="minorEastAsia" w:hAnsiTheme="minorEastAsia" w:eastAsiaTheme="minorEastAsia" w:cstheme="minorEastAsia"/>
          <w:color w:val="auto"/>
          <w:sz w:val="24"/>
          <w:szCs w:val="24"/>
          <w:lang w:val="en-US" w:eastAsia="zh-CN"/>
        </w:rPr>
        <w:t>和PM</w:t>
      </w:r>
      <w:r>
        <w:rPr>
          <w:rFonts w:hint="eastAsia" w:asciiTheme="minorEastAsia" w:hAnsiTheme="minorEastAsia" w:eastAsiaTheme="minorEastAsia" w:cstheme="minorEastAsia"/>
          <w:color w:val="auto"/>
          <w:sz w:val="24"/>
          <w:szCs w:val="24"/>
          <w:vertAlign w:val="subscript"/>
          <w:lang w:val="en-US" w:eastAsia="zh-CN"/>
        </w:rPr>
        <w:t>2.5</w:t>
      </w:r>
      <w:r>
        <w:rPr>
          <w:rFonts w:hint="eastAsia" w:asciiTheme="minorEastAsia" w:hAnsiTheme="minorEastAsia" w:eastAsiaTheme="minorEastAsia" w:cstheme="minorEastAsia"/>
          <w:color w:val="auto"/>
          <w:sz w:val="24"/>
          <w:szCs w:val="24"/>
          <w:lang w:val="en-US" w:eastAsia="zh-CN"/>
        </w:rPr>
        <w:t>采样技术要求和检测方法》（HJ93-2013）的要求。</w:t>
      </w:r>
    </w:p>
    <w:p w14:paraId="62CE6B91">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流量校准器：用做校准的流量计误差≤±2%。</w:t>
      </w:r>
    </w:p>
    <w:p w14:paraId="6010ED33">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恒温恒湿箱：用于采样前后滤膜温度湿度平衡。恒温恒湿箱内温度设置在（15-30）℃任一点，控制精度±1℃；相对湿度控制在（50±5）%。</w:t>
      </w:r>
    </w:p>
    <w:p w14:paraId="0309DC4A">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电子天平：用于对滤膜进行称重，检定分度值不超过0.1mg,电子天平性能应符合《电子天平鉴定规程》（JJG1036-2008）的相关规定。</w:t>
      </w:r>
    </w:p>
    <w:p w14:paraId="014774B6">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温度计：用于测量环境温度，校准采样器温度测量部件：测量范围（-30-50）℃，精密：±0.5℃。</w:t>
      </w:r>
    </w:p>
    <w:p w14:paraId="376CCB58">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气压计：用于测量环境大气压，校准采样器大气压测量部件：测量范围（50-107）KPa，精度±0.1KPa。</w:t>
      </w:r>
    </w:p>
    <w:p w14:paraId="6D551794">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湿度计：用于测量环境湿度，测量范围（10%-100%）RH,精度±5%RH。</w:t>
      </w:r>
    </w:p>
    <w:p w14:paraId="61C39B07">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滤膜：滤膜对0.3um标准粒子截留率不低于99.7%。</w:t>
      </w:r>
    </w:p>
    <w:p w14:paraId="5A7E9E04">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滤膜保存盒：用于存放滤膜、滤膜夹的滤膜筒、滤膜盒，应使用对监测结果无影响的惰性材料制造，应对滤膜不粘连，方便存放。</w:t>
      </w:r>
    </w:p>
    <w:p w14:paraId="2C9D01D7">
      <w:pPr>
        <w:pStyle w:val="5"/>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sz w:val="24"/>
          <w:szCs w:val="24"/>
          <w:lang w:val="en-US" w:eastAsia="zh-CN"/>
        </w:rPr>
        <w:t>3、采样技术要求</w:t>
      </w:r>
    </w:p>
    <w:p w14:paraId="2AF1CA25">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切割器清洗：切割器应定期清洗，清洗周期视当地空气质量状况而定；一般情况下采样累计168小时，应清洗一次切割器，如遇扬尘、沙尘等恶劣天气应及时清洗。</w:t>
      </w:r>
    </w:p>
    <w:p w14:paraId="444F60E5">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环境温度检查校准：用温度计检查采样器的环境温度测量示值误差，每次采样前检查1次，若环境温度测量示值误差超过±2%℃，应对采样器进行温度校准。</w:t>
      </w:r>
    </w:p>
    <w:p w14:paraId="30B71C25">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环境大气压检查校准：用大气压计检查采样器的环境温度测量示值误差，每次采样前检查1次，若环境大气压测量示值误差超过±1KPa，应对采样器进行大气压校准。</w:t>
      </w:r>
    </w:p>
    <w:p w14:paraId="335223BE">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气密性检查：应定期检查，操作方法参见《环境空气颗粒物（PM2.5）手工测量方法（重量法）》（HJ656-2013）附录A。</w:t>
      </w:r>
    </w:p>
    <w:p w14:paraId="219EC614">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采样流量检查：用流量校准器检查采样流量，一般情况下采样累计168小时，若流量误差超过采样器设定流量的±2%，应对采样流量进行校准。校准方法参见《环境空气颗粒物（PM2.5）手工测量方法（重量法）》（HJ656-2013）附录B。</w:t>
      </w:r>
    </w:p>
    <w:p w14:paraId="4D41C75A">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滤膜检查：滤膜边缘平整，厚薄均匀，无毛刺，无污染，不得有针孔或任何破损。有机滤膜检查方法参见《环境空气颗粒物（PM2.5）手工测量方法（重量法）》（HJ656-2013）附录C。</w:t>
      </w:r>
    </w:p>
    <w:p w14:paraId="1226697A">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采样前空滤膜称量：按称量要求将滤膜进行平衡处理至恒重，称量，记录称量环境条件和滤膜质量，将称量后的滤膜放入滤膜盒中备用。</w:t>
      </w:r>
    </w:p>
    <w:p w14:paraId="7DB2E756">
      <w:pPr>
        <w:pStyle w:val="5"/>
        <w:bidi w:val="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4、采样要求</w:t>
      </w:r>
    </w:p>
    <w:p w14:paraId="22DC14CC">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采样风速应小于8m/s的天气条件下进行。</w:t>
      </w:r>
    </w:p>
    <w:p w14:paraId="78FC6686">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采样器采样口距地面高度不低于1.5m，避开污染源及障碍物；采样口距墙壁或站房实体围栏1.0m以上，采样口应高于实体围栏至少0.5m以上。</w:t>
      </w:r>
    </w:p>
    <w:p w14:paraId="7E36AE28">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采样器切割头与颗粒物自动监测切割头应尽可能位于同一水平面，一般垂直距离不超过1m；所有颗粒物监测仪器（包括手工采样器和自动监测仪）采样头距离不小于1.5m。在仪器性能检验合格的基础上采用多台采样器平行采样时，若采样流量小于200L/min时，相互之间的距离为1m左右；若采样流量大于200L/min时，相互之间的距离为（2-4）m。</w:t>
      </w:r>
    </w:p>
    <w:p w14:paraId="60854B4D">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为保证自动监测仪器比对，手工采样从整时开始。测定PM</w:t>
      </w:r>
      <w:r>
        <w:rPr>
          <w:rFonts w:hint="eastAsia" w:asciiTheme="minorEastAsia" w:hAnsiTheme="minorEastAsia" w:eastAsiaTheme="minorEastAsia" w:cstheme="minorEastAsia"/>
          <w:color w:val="auto"/>
          <w:sz w:val="24"/>
          <w:szCs w:val="24"/>
          <w:vertAlign w:val="subscript"/>
          <w:lang w:val="en-US" w:eastAsia="zh-CN"/>
        </w:rPr>
        <w:t>2.5</w:t>
      </w:r>
      <w:r>
        <w:rPr>
          <w:rFonts w:hint="eastAsia" w:asciiTheme="minorEastAsia" w:hAnsiTheme="minorEastAsia" w:eastAsiaTheme="minorEastAsia" w:cstheme="minorEastAsia"/>
          <w:color w:val="auto"/>
          <w:sz w:val="24"/>
          <w:szCs w:val="24"/>
          <w:lang w:val="en-US" w:eastAsia="zh-CN"/>
        </w:rPr>
        <w:t>日平均浓度，每日不少于20小时。</w:t>
      </w:r>
    </w:p>
    <w:p w14:paraId="799A004E">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采样时，将已编号、称重的滤膜用无锯齿状镊子放入洁净的滤膜夹内，滤膜毛面应朝进气方向。将滤膜固牢压紧，将滤膜夹正确放入采样器中，设置采样时间等参数，启动采样器采样。采样结束，用镊子取出滤膜，放入滤膜保存盒中，记录采样体积等信息。</w:t>
      </w:r>
    </w:p>
    <w:p w14:paraId="3541F95F">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样品保存：样品采集完成后，滤膜应尽快平衡称量，如不能及时平衡称量，应将滤膜放置在4℃条件下密闭冷藏保存，最长不超过30d。</w:t>
      </w:r>
    </w:p>
    <w:p w14:paraId="088A13B0">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称重：将滤膜在恒温恒湿设备中平衡24小时进行称量。平衡条件为：温度控制在（15-30）℃任一点，控制精度±1℃；相对湿度控制在（50±5）%；天平室温、湿条件应于恒温恒湿箱保持一致。</w:t>
      </w:r>
    </w:p>
    <w:p w14:paraId="1AFAF3A5">
      <w:pPr>
        <w:pageBreakBefore w:val="0"/>
        <w:kinsoku/>
        <w:wordWrap/>
        <w:overflowPunct/>
        <w:bidi w:val="0"/>
        <w:spacing w:line="360" w:lineRule="auto"/>
        <w:rPr>
          <w:rFonts w:hint="default" w:asciiTheme="minorEastAsia" w:hAnsiTheme="minorEastAsia" w:eastAsiaTheme="minorEastAsia" w:cstheme="minorEastAsia"/>
          <w:b w:val="0"/>
          <w:bCs w:val="0"/>
          <w:color w:val="auto"/>
          <w:sz w:val="24"/>
          <w:szCs w:val="24"/>
          <w:lang w:val="en-US" w:eastAsia="zh-CN"/>
        </w:rPr>
      </w:pPr>
      <w:r>
        <w:rPr>
          <w:rFonts w:hint="default" w:asciiTheme="minorEastAsia" w:hAnsiTheme="minorEastAsia" w:eastAsiaTheme="minorEastAsia" w:cstheme="minorEastAsia"/>
          <w:b w:val="0"/>
          <w:bCs w:val="0"/>
          <w:color w:val="auto"/>
          <w:sz w:val="24"/>
          <w:szCs w:val="24"/>
          <w:lang w:val="en-US" w:eastAsia="zh-CN"/>
        </w:rPr>
        <w:t>三</w:t>
      </w:r>
      <w:r>
        <w:rPr>
          <w:rFonts w:hint="eastAsia" w:asciiTheme="minorEastAsia" w:hAnsiTheme="minorEastAsia" w:eastAsiaTheme="minorEastAsia" w:cstheme="minorEastAsia"/>
          <w:b w:val="0"/>
          <w:bCs w:val="0"/>
          <w:color w:val="auto"/>
          <w:sz w:val="24"/>
          <w:szCs w:val="24"/>
          <w:lang w:val="en-US" w:eastAsia="zh-CN"/>
        </w:rPr>
        <w:t>、</w:t>
      </w:r>
      <w:r>
        <w:rPr>
          <w:rFonts w:hint="default" w:asciiTheme="minorEastAsia" w:hAnsiTheme="minorEastAsia" w:eastAsiaTheme="minorEastAsia" w:cstheme="minorEastAsia"/>
          <w:b w:val="0"/>
          <w:bCs w:val="0"/>
          <w:color w:val="auto"/>
          <w:sz w:val="24"/>
          <w:szCs w:val="24"/>
          <w:lang w:val="en-US" w:eastAsia="zh-CN"/>
        </w:rPr>
        <w:t>数据分析服务</w:t>
      </w:r>
    </w:p>
    <w:p w14:paraId="47279870">
      <w:pPr>
        <w:pageBreakBefore w:val="0"/>
        <w:kinsoku/>
        <w:wordWrap/>
        <w:overflowPunct/>
        <w:bidi w:val="0"/>
        <w:spacing w:line="360" w:lineRule="auto"/>
        <w:ind w:left="0" w:leftChars="0" w:firstLine="480" w:firstLineChars="200"/>
        <w:rPr>
          <w:rFonts w:hint="default" w:asciiTheme="minorEastAsia" w:hAnsiTheme="minorEastAsia" w:eastAsiaTheme="minorEastAsia" w:cstheme="minorEastAsia"/>
          <w:b w:val="0"/>
          <w:bCs w:val="0"/>
          <w:color w:val="auto"/>
          <w:sz w:val="24"/>
          <w:szCs w:val="24"/>
          <w:lang w:val="en-US" w:eastAsia="zh-CN"/>
        </w:rPr>
      </w:pPr>
      <w:r>
        <w:rPr>
          <w:rFonts w:hint="default"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lang w:val="en-US" w:eastAsia="zh-CN"/>
        </w:rPr>
        <w:t>供应商需</w:t>
      </w:r>
      <w:r>
        <w:rPr>
          <w:rFonts w:hint="default" w:asciiTheme="minorEastAsia" w:hAnsiTheme="minorEastAsia" w:eastAsiaTheme="minorEastAsia" w:cstheme="minorEastAsia"/>
          <w:b w:val="0"/>
          <w:bCs w:val="0"/>
          <w:color w:val="auto"/>
          <w:sz w:val="24"/>
          <w:szCs w:val="24"/>
          <w:lang w:val="en-US" w:eastAsia="zh-CN"/>
        </w:rPr>
        <w:t>提供驻场工程师一名，驻场期限为项目试运行之日起1年</w:t>
      </w:r>
      <w:r>
        <w:rPr>
          <w:rFonts w:hint="eastAsia" w:asciiTheme="minorEastAsia" w:hAnsiTheme="minorEastAsia" w:eastAsiaTheme="minorEastAsia" w:cstheme="minorEastAsia"/>
          <w:b w:val="0"/>
          <w:bCs w:val="0"/>
          <w:color w:val="auto"/>
          <w:sz w:val="24"/>
          <w:szCs w:val="24"/>
          <w:lang w:val="en-US" w:eastAsia="zh-CN"/>
        </w:rPr>
        <w:t>，且作出承诺，承诺格式自拟。文件放置响应文件第一部分缴纳响应保证金凭证后。</w:t>
      </w:r>
    </w:p>
    <w:p w14:paraId="1FD026FA">
      <w:pPr>
        <w:pageBreakBefore w:val="0"/>
        <w:kinsoku/>
        <w:wordWrap/>
        <w:overflowPunct/>
        <w:bidi w:val="0"/>
        <w:spacing w:line="360" w:lineRule="auto"/>
        <w:ind w:left="0" w:leftChars="0" w:firstLine="480" w:firstLineChars="200"/>
        <w:rPr>
          <w:rFonts w:hint="default" w:asciiTheme="minorEastAsia" w:hAnsiTheme="minorEastAsia" w:eastAsiaTheme="minorEastAsia" w:cstheme="minorEastAsia"/>
          <w:b w:val="0"/>
          <w:bCs w:val="0"/>
          <w:color w:val="auto"/>
          <w:sz w:val="24"/>
          <w:szCs w:val="24"/>
          <w:lang w:val="en-US" w:eastAsia="zh-CN"/>
        </w:rPr>
      </w:pPr>
      <w:r>
        <w:rPr>
          <w:rFonts w:hint="default" w:asciiTheme="minorEastAsia" w:hAnsiTheme="minorEastAsia" w:eastAsiaTheme="minorEastAsia" w:cstheme="minorEastAsia"/>
          <w:b w:val="0"/>
          <w:bCs w:val="0"/>
          <w:color w:val="auto"/>
          <w:sz w:val="24"/>
          <w:szCs w:val="24"/>
          <w:lang w:val="en-US" w:eastAsia="zh-CN"/>
        </w:rPr>
        <w:t>（2）驻场工程师需报甲方采购人同意，采购人一旦确认，投标人未取得采购人同意前不得更换驻场工程师。</w:t>
      </w:r>
    </w:p>
    <w:p w14:paraId="12F96D70">
      <w:pPr>
        <w:pageBreakBefore w:val="0"/>
        <w:kinsoku/>
        <w:wordWrap/>
        <w:overflowPunct/>
        <w:bidi w:val="0"/>
        <w:spacing w:line="360" w:lineRule="auto"/>
        <w:ind w:left="0" w:leftChars="0" w:firstLine="480" w:firstLineChars="200"/>
        <w:rPr>
          <w:rFonts w:hint="default" w:asciiTheme="minorEastAsia" w:hAnsiTheme="minorEastAsia" w:eastAsiaTheme="minorEastAsia" w:cstheme="minorEastAsia"/>
          <w:b w:val="0"/>
          <w:bCs w:val="0"/>
          <w:color w:val="auto"/>
          <w:sz w:val="24"/>
          <w:szCs w:val="24"/>
          <w:lang w:val="en-US" w:eastAsia="zh-CN"/>
        </w:rPr>
      </w:pPr>
      <w:r>
        <w:rPr>
          <w:rFonts w:hint="default" w:asciiTheme="minorEastAsia" w:hAnsiTheme="minorEastAsia" w:eastAsiaTheme="minorEastAsia" w:cstheme="minorEastAsia"/>
          <w:b w:val="0"/>
          <w:bCs w:val="0"/>
          <w:color w:val="auto"/>
          <w:sz w:val="24"/>
          <w:szCs w:val="24"/>
          <w:lang w:val="en-US" w:eastAsia="zh-CN"/>
        </w:rPr>
        <w:t>（3）驻场工程师办公地点为采购人办公室（或采购人指定地点），接受采购人单位管理制度管理及考核（包括但不限于考勤、行为规范等），如采购人对驻场工程师考核不合格，投标人必须在7日内予以调换。</w:t>
      </w:r>
    </w:p>
    <w:p w14:paraId="3C94759D">
      <w:pPr>
        <w:pageBreakBefore w:val="0"/>
        <w:kinsoku/>
        <w:wordWrap/>
        <w:overflowPunct/>
        <w:bidi w:val="0"/>
        <w:spacing w:line="360" w:lineRule="auto"/>
        <w:ind w:left="0" w:leftChars="0" w:firstLine="480" w:firstLineChars="200"/>
        <w:rPr>
          <w:rFonts w:hint="default" w:asciiTheme="minorEastAsia" w:hAnsiTheme="minorEastAsia" w:eastAsiaTheme="minorEastAsia" w:cstheme="minorEastAsia"/>
          <w:b w:val="0"/>
          <w:bCs w:val="0"/>
          <w:color w:val="auto"/>
          <w:sz w:val="24"/>
          <w:szCs w:val="24"/>
          <w:lang w:val="en-US" w:eastAsia="zh-CN"/>
        </w:rPr>
      </w:pPr>
      <w:r>
        <w:rPr>
          <w:rFonts w:hint="default" w:asciiTheme="minorEastAsia" w:hAnsiTheme="minorEastAsia" w:eastAsiaTheme="minorEastAsia" w:cstheme="minorEastAsia"/>
          <w:b w:val="0"/>
          <w:bCs w:val="0"/>
          <w:color w:val="auto"/>
          <w:sz w:val="24"/>
          <w:szCs w:val="24"/>
          <w:lang w:val="en-US" w:eastAsia="zh-CN"/>
        </w:rPr>
        <w:t>（4）驻场工程师日常主要工作是监控项目所在地空气质量状况，对空气质量进行分析，定期提交空气质量分析报告。</w:t>
      </w:r>
    </w:p>
    <w:p w14:paraId="21CD8374">
      <w:pPr>
        <w:pageBreakBefore w:val="0"/>
        <w:kinsoku/>
        <w:wordWrap/>
        <w:overflowPunct/>
        <w:bidi w:val="0"/>
        <w:spacing w:line="360" w:lineRule="auto"/>
        <w:ind w:left="0" w:leftChars="0" w:firstLine="480" w:firstLineChars="200"/>
        <w:rPr>
          <w:rFonts w:hint="default" w:asciiTheme="minorEastAsia" w:hAnsiTheme="minorEastAsia" w:eastAsiaTheme="minorEastAsia" w:cstheme="minorEastAsia"/>
          <w:b w:val="0"/>
          <w:bCs w:val="0"/>
          <w:color w:val="auto"/>
          <w:sz w:val="24"/>
          <w:szCs w:val="24"/>
          <w:lang w:val="en-US" w:eastAsia="zh-CN"/>
        </w:rPr>
      </w:pPr>
      <w:r>
        <w:rPr>
          <w:rFonts w:hint="default" w:asciiTheme="minorEastAsia" w:hAnsiTheme="minorEastAsia" w:eastAsiaTheme="minorEastAsia" w:cstheme="minorEastAsia"/>
          <w:b w:val="0"/>
          <w:bCs w:val="0"/>
          <w:color w:val="auto"/>
          <w:sz w:val="24"/>
          <w:szCs w:val="24"/>
          <w:lang w:val="en-US" w:eastAsia="zh-CN"/>
        </w:rPr>
        <w:t>（5）驻场工程师除上述工作内容外，必须接受采购人安排得其他工作内容。</w:t>
      </w:r>
    </w:p>
    <w:p w14:paraId="2558E77F">
      <w:pPr>
        <w:pStyle w:val="3"/>
        <w:bidi w:val="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四、</w:t>
      </w:r>
      <w:r>
        <w:rPr>
          <w:rFonts w:hint="eastAsia" w:asciiTheme="minorEastAsia" w:hAnsiTheme="minorEastAsia" w:eastAsiaTheme="minorEastAsia" w:cstheme="minorEastAsia"/>
          <w:b w:val="0"/>
          <w:bCs w:val="0"/>
          <w:sz w:val="24"/>
          <w:szCs w:val="24"/>
        </w:rPr>
        <w:t>安装、验收及售后要求</w:t>
      </w:r>
    </w:p>
    <w:p w14:paraId="0AD085C3">
      <w:pPr>
        <w:bidi w:val="0"/>
        <w:rPr>
          <w:rFonts w:hint="eastAsia" w:asciiTheme="minorEastAsia" w:hAnsiTheme="minorEastAsia" w:eastAsiaTheme="minorEastAsia" w:cstheme="minorEastAsia"/>
          <w:b w:val="0"/>
          <w:bCs w:val="0"/>
          <w:sz w:val="24"/>
          <w:szCs w:val="24"/>
          <w:lang w:val="zh-CN" w:eastAsia="zh-CN"/>
        </w:rPr>
      </w:pPr>
      <w:r>
        <w:rPr>
          <w:rFonts w:hint="eastAsia" w:asciiTheme="minorEastAsia" w:hAnsiTheme="minorEastAsia" w:eastAsiaTheme="minorEastAsia" w:cstheme="minorEastAsia"/>
          <w:b w:val="0"/>
          <w:bCs w:val="0"/>
          <w:sz w:val="24"/>
          <w:szCs w:val="24"/>
          <w:lang w:val="en-US" w:eastAsia="zh-CN"/>
        </w:rPr>
        <w:t xml:space="preserve"> 1、交货要求：</w:t>
      </w:r>
    </w:p>
    <w:p w14:paraId="53D4459C">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★（1）交货时间：成交</w:t>
      </w:r>
      <w:r>
        <w:rPr>
          <w:rFonts w:hint="eastAsia" w:asciiTheme="minorEastAsia" w:hAnsiTheme="minorEastAsia" w:eastAsiaTheme="minorEastAsia" w:cstheme="minorEastAsia"/>
          <w:b w:val="0"/>
          <w:bCs w:val="0"/>
          <w:color w:val="auto"/>
          <w:sz w:val="24"/>
          <w:szCs w:val="24"/>
          <w:lang w:val="zh-CN" w:eastAsia="zh-CN"/>
        </w:rPr>
        <w:t>后</w:t>
      </w:r>
      <w:r>
        <w:rPr>
          <w:rFonts w:hint="eastAsia" w:asciiTheme="minorEastAsia" w:hAnsiTheme="minorEastAsia" w:eastAsiaTheme="minorEastAsia" w:cstheme="minorEastAsia"/>
          <w:b w:val="0"/>
          <w:bCs w:val="0"/>
          <w:color w:val="auto"/>
          <w:sz w:val="24"/>
          <w:szCs w:val="24"/>
          <w:lang w:val="en-US" w:eastAsia="zh-CN"/>
        </w:rPr>
        <w:t>20日</w:t>
      </w:r>
      <w:r>
        <w:rPr>
          <w:rFonts w:hint="eastAsia" w:asciiTheme="minorEastAsia" w:hAnsiTheme="minorEastAsia" w:eastAsiaTheme="minorEastAsia" w:cstheme="minorEastAsia"/>
          <w:b w:val="0"/>
          <w:bCs w:val="0"/>
          <w:color w:val="auto"/>
          <w:sz w:val="24"/>
          <w:szCs w:val="24"/>
          <w:lang w:val="zh-CN" w:eastAsia="zh-CN"/>
        </w:rPr>
        <w:t>内送至</w:t>
      </w:r>
      <w:r>
        <w:rPr>
          <w:rFonts w:hint="eastAsia" w:asciiTheme="minorEastAsia" w:hAnsiTheme="minorEastAsia" w:eastAsiaTheme="minorEastAsia" w:cstheme="minorEastAsia"/>
          <w:b w:val="0"/>
          <w:bCs w:val="0"/>
          <w:color w:val="auto"/>
          <w:sz w:val="24"/>
          <w:szCs w:val="24"/>
          <w:lang w:val="en-US" w:eastAsia="zh-CN"/>
        </w:rPr>
        <w:t>甲方</w:t>
      </w:r>
      <w:r>
        <w:rPr>
          <w:rFonts w:hint="eastAsia" w:asciiTheme="minorEastAsia" w:hAnsiTheme="minorEastAsia" w:eastAsiaTheme="minorEastAsia" w:cstheme="minorEastAsia"/>
          <w:b w:val="0"/>
          <w:bCs w:val="0"/>
          <w:color w:val="auto"/>
          <w:sz w:val="24"/>
          <w:szCs w:val="24"/>
          <w:lang w:val="zh-CN" w:eastAsia="zh-CN"/>
        </w:rPr>
        <w:t>指定地点，</w:t>
      </w:r>
      <w:r>
        <w:rPr>
          <w:rFonts w:hint="eastAsia" w:asciiTheme="minorEastAsia" w:hAnsiTheme="minorEastAsia" w:eastAsiaTheme="minorEastAsia" w:cstheme="minorEastAsia"/>
          <w:b w:val="0"/>
          <w:bCs w:val="0"/>
          <w:color w:val="auto"/>
          <w:sz w:val="24"/>
          <w:szCs w:val="24"/>
          <w:lang w:val="en-US" w:eastAsia="zh-CN"/>
        </w:rPr>
        <w:t>供应商需提供承诺函，承诺如未按期交货承担一切后果</w:t>
      </w:r>
      <w:r>
        <w:rPr>
          <w:rFonts w:hint="eastAsia" w:asciiTheme="minorEastAsia" w:hAnsiTheme="minorEastAsia" w:eastAsiaTheme="minorEastAsia" w:cstheme="minorEastAsia"/>
          <w:b w:val="0"/>
          <w:bCs w:val="0"/>
          <w:color w:val="auto"/>
          <w:sz w:val="24"/>
          <w:szCs w:val="24"/>
          <w:lang w:val="zh-CN" w:eastAsia="zh-CN"/>
        </w:rPr>
        <w:t>。</w:t>
      </w:r>
    </w:p>
    <w:p w14:paraId="5A024316">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zh-CN" w:eastAsia="zh-CN"/>
        </w:rPr>
        <w:t>安装完成时间</w:t>
      </w:r>
      <w:r>
        <w:rPr>
          <w:rFonts w:hint="eastAsia" w:asciiTheme="minorEastAsia" w:hAnsiTheme="minorEastAsia" w:eastAsiaTheme="minorEastAsia" w:cstheme="minorEastAsia"/>
          <w:color w:val="auto"/>
          <w:sz w:val="24"/>
          <w:szCs w:val="24"/>
          <w:lang w:val="en-US" w:eastAsia="zh-CN"/>
        </w:rPr>
        <w:t>：甲方要求开始安装之日起5日内（特殊情况以合同为准）。</w:t>
      </w:r>
    </w:p>
    <w:p w14:paraId="57F8A086">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（3）交货地点：根据甲方要求送达指定地点。</w:t>
      </w:r>
    </w:p>
    <w:p w14:paraId="3971455D">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（4）提供制造商完整的随机资料，包括完整的使用和维修手册等。</w:t>
      </w:r>
    </w:p>
    <w:p w14:paraId="43E02F35">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特别要求：交货时要求供应商就所投产品提供产品说明书，同时采购人有权要求供应商对产品的合法供货渠道进行说明，经核实如供应商提供非法渠道的商品，视为欺诈，为维护采购人合法权益，供应商要承担商品价值双倍的赔偿；同时，依据现行的国家法律法规追究其他责任，并连带追究所投产品制造商的责任。</w:t>
      </w:r>
    </w:p>
    <w:p w14:paraId="50EED755">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货物到达安装现场后，采购人和成交人共同打开包装验货检查货物数量。成交人应提供详细单据。如果货物质量或技术规格与合同不符，或货物有明显损坏，采购人有权提出索赔。只有经安装调试并且技术性能达到本谈判文件所述的技术要求后，采购人才能接受全部货物。仪器设备不满足谈判文件要求的，采购人有权解除合同并追究成交人法律责任。</w:t>
      </w:r>
    </w:p>
    <w:p w14:paraId="05A7E161">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3、验收方式：成交人按《环境空气气态污染物（SO2、NO2、O3、CO）连续自动监测系统安装验收技术规范》(HJ193-2013)、《环境空气颗粒物（PM10和PM2.5）连续自动监测系统安装和验收技术规范》(HJ 655-2013)等相关监测规范以及谈判要求和合同内容开展调试。调试初验后，经试运行期结束，考察系统运行稳定性，然后再进行系统最终验收。</w:t>
      </w:r>
    </w:p>
    <w:p w14:paraId="5CEA0F70">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验收时须提供原环境保护部环境监测仪器质量监督检验中心出具的产品适应性检测合格报告、设备出厂检验报告、关键技术参数清单、出厂初始设置值、仪器硬件配置清单、环境空气自动监测仪器供应商承诺书以及主要设备的安装调试报告、试运行报告，颗粒物手工比对报告等。</w:t>
      </w:r>
    </w:p>
    <w:p w14:paraId="14F3BC5C">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本项目所有货物质保服务由核心产品制造商提供，核心产品免费质保期为验收合格起2年，非核心产品免费质保期为验收合格起1年。在质保期内，应无偿并迅速更换由于元器件缺陷及工艺等问题而发生故障的产品，在期间如发生影响系统运行的重大故障，质保期应为故障排除之日起重新计算。提供原厂标准的易耗品、消耗材料价格清单及折扣率，保修期后设备维修的价格清单及折扣率。</w:t>
      </w:r>
    </w:p>
    <w:p w14:paraId="1C458BD1">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核心产品制造商必须免费提供技术水平高、质量高的培训服务，提供现场操作培训及集中培训，现场操作培训不少于2天；提供3人次设备生产现场集中培训不少于5天，每人接受培训时间为40个课时以上，最终需达到预定的培训目标，投标文件需提供核心产品制造商培训承诺函，未提供承诺函视为不响应谈判要求。</w:t>
      </w:r>
    </w:p>
    <w:p w14:paraId="57F6D0E3">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成交后，本项目仪器设备安装调试验收等工作产生的运输费、运输保险费、装卸费、安装调试费、验收及其他应有的费用均由成交人全权负责。投标总价为一次性报定，包括完成该项目全部服务和货物、耗材、安装、调试、维护（含货物安装过程中对原站房的维护）、人工、机械、保险、劳保、各种税费、专利技术、技术支持与培训、政策性文件规定及合同包含的所有风险、责任等各项应有费用等一切费用。</w:t>
      </w:r>
    </w:p>
    <w:p w14:paraId="2ACEA901">
      <w:pPr>
        <w:pageBreakBefore w:val="0"/>
        <w:kinsoku/>
        <w:wordWrap/>
        <w:overflowPunct/>
        <w:bidi w:val="0"/>
        <w:spacing w:line="360" w:lineRule="auto"/>
        <w:ind w:left="0" w:leftChars="0"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8、付款方式：货到后付合同价的30%，安装调试完并联网。甲方验收通过后付合同价剩余70%。</w:t>
      </w:r>
    </w:p>
    <w:p w14:paraId="0B4F8972">
      <w:pPr>
        <w:jc w:val="both"/>
        <w:rPr>
          <w:rFonts w:hint="eastAsia" w:asciiTheme="minorEastAsia" w:hAnsiTheme="minorEastAsia" w:eastAsiaTheme="minorEastAsia" w:cstheme="minorEastAsia"/>
          <w:color w:val="auto"/>
          <w:highlight w:val="none"/>
          <w:lang w:val="en-US" w:eastAsia="zh-CN"/>
        </w:rPr>
      </w:pPr>
    </w:p>
    <w:p w14:paraId="7A888EAC">
      <w:pPr>
        <w:rPr>
          <w:rFonts w:hint="eastAsia" w:asciiTheme="minorEastAsia" w:hAnsiTheme="minorEastAsia" w:eastAsiaTheme="minorEastAsia" w:cstheme="minorEastAsia"/>
          <w:b/>
          <w:bCs w:val="0"/>
          <w:color w:val="auto"/>
          <w:sz w:val="28"/>
          <w:szCs w:val="28"/>
          <w:highlight w:val="none"/>
          <w:lang w:val="en-US" w:eastAsia="zh-CN"/>
        </w:rPr>
      </w:pPr>
      <w:r>
        <w:rPr>
          <w:rFonts w:hint="eastAsia" w:asciiTheme="minorEastAsia" w:hAnsiTheme="minorEastAsia" w:eastAsiaTheme="minorEastAsia" w:cstheme="minorEastAsia"/>
          <w:b/>
          <w:bCs w:val="0"/>
          <w:color w:val="auto"/>
          <w:sz w:val="28"/>
          <w:szCs w:val="28"/>
          <w:highlight w:val="none"/>
          <w:lang w:val="en-US" w:eastAsia="zh-CN"/>
        </w:rPr>
        <w:br w:type="page"/>
      </w:r>
    </w:p>
    <w:p w14:paraId="311BBE4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b/>
          <w:bCs w:val="0"/>
          <w:color w:val="auto"/>
          <w:sz w:val="28"/>
          <w:szCs w:val="28"/>
          <w:highlight w:val="none"/>
          <w:lang w:val="en-US" w:eastAsia="zh-CN"/>
        </w:rPr>
      </w:pPr>
      <w:r>
        <w:rPr>
          <w:rFonts w:hint="eastAsia" w:asciiTheme="minorEastAsia" w:hAnsiTheme="minorEastAsia" w:eastAsiaTheme="minorEastAsia" w:cstheme="minorEastAsia"/>
          <w:b/>
          <w:bCs w:val="0"/>
          <w:color w:val="auto"/>
          <w:sz w:val="28"/>
          <w:szCs w:val="28"/>
          <w:highlight w:val="none"/>
          <w:lang w:val="en-US" w:eastAsia="zh-CN"/>
        </w:rPr>
        <w:t xml:space="preserve">第6章 </w:t>
      </w:r>
      <w:bookmarkStart w:id="801" w:name="_Toc507399907"/>
      <w:bookmarkStart w:id="802" w:name="_Toc10220"/>
      <w:bookmarkStart w:id="803" w:name="_Toc518923127"/>
      <w:r>
        <w:rPr>
          <w:rFonts w:hint="eastAsia" w:asciiTheme="minorEastAsia" w:hAnsiTheme="minorEastAsia" w:eastAsiaTheme="minorEastAsia" w:cstheme="minorEastAsia"/>
          <w:b/>
          <w:bCs w:val="0"/>
          <w:color w:val="auto"/>
          <w:sz w:val="28"/>
          <w:szCs w:val="28"/>
          <w:highlight w:val="none"/>
          <w:lang w:val="en-US" w:eastAsia="zh-CN"/>
        </w:rPr>
        <w:t>评审方法和标准</w:t>
      </w:r>
      <w:bookmarkEnd w:id="768"/>
      <w:bookmarkEnd w:id="769"/>
      <w:bookmarkEnd w:id="801"/>
      <w:bookmarkEnd w:id="802"/>
      <w:bookmarkEnd w:id="803"/>
    </w:p>
    <w:p w14:paraId="44F71E3F">
      <w:pPr>
        <w:pStyle w:val="11"/>
        <w:keepNext w:val="0"/>
        <w:keepLines w:val="0"/>
        <w:pageBreakBefore w:val="0"/>
        <w:kinsoku/>
        <w:wordWrap/>
        <w:overflowPunct/>
        <w:topLinePunct w:val="0"/>
        <w:bidi w:val="0"/>
        <w:snapToGrid w:val="0"/>
        <w:spacing w:before="0" w:beforeAutospacing="0" w:after="0" w:afterAutospacing="0" w:line="400" w:lineRule="exact"/>
        <w:ind w:firstLine="540" w:firstLineChars="225"/>
        <w:jc w:val="both"/>
        <w:textAlignment w:val="baseline"/>
        <w:rPr>
          <w:rFonts w:hint="eastAsia" w:asciiTheme="minorEastAsia" w:hAnsiTheme="minorEastAsia" w:eastAsiaTheme="minorEastAsia" w:cstheme="minorEastAsia"/>
          <w:b w:val="0"/>
          <w:i w:val="0"/>
          <w:caps w:val="0"/>
          <w:color w:val="auto"/>
          <w:spacing w:val="0"/>
          <w:w w:val="100"/>
          <w:sz w:val="24"/>
          <w:szCs w:val="24"/>
          <w:highlight w:val="none"/>
        </w:rPr>
      </w:pPr>
      <w:r>
        <w:rPr>
          <w:rFonts w:hint="eastAsia" w:asciiTheme="minorEastAsia" w:hAnsiTheme="minorEastAsia" w:eastAsiaTheme="minorEastAsia" w:cstheme="minorEastAsia"/>
          <w:b w:val="0"/>
          <w:i w:val="0"/>
          <w:caps w:val="0"/>
          <w:color w:val="auto"/>
          <w:spacing w:val="0"/>
          <w:w w:val="100"/>
          <w:sz w:val="24"/>
          <w:szCs w:val="24"/>
          <w:highlight w:val="none"/>
        </w:rPr>
        <w:t>本项目将按照</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谈判文件</w:t>
      </w:r>
      <w:r>
        <w:rPr>
          <w:rFonts w:hint="eastAsia" w:asciiTheme="minorEastAsia" w:hAnsiTheme="minorEastAsia" w:eastAsiaTheme="minorEastAsia" w:cstheme="minorEastAsia"/>
          <w:b w:val="0"/>
          <w:i w:val="0"/>
          <w:caps w:val="0"/>
          <w:color w:val="auto"/>
          <w:spacing w:val="0"/>
          <w:w w:val="100"/>
          <w:sz w:val="24"/>
          <w:szCs w:val="24"/>
          <w:highlight w:val="none"/>
        </w:rPr>
        <w:t xml:space="preserve">第一章供应商须知中“五 </w:t>
      </w:r>
      <w:r>
        <w:rPr>
          <w:rFonts w:hint="eastAsia" w:asciiTheme="minorEastAsia" w:hAnsiTheme="minorEastAsia" w:eastAsiaTheme="minorEastAsia" w:cstheme="minorEastAsia"/>
          <w:b w:val="0"/>
          <w:i w:val="0"/>
          <w:caps w:val="0"/>
          <w:color w:val="auto"/>
          <w:spacing w:val="0"/>
          <w:w w:val="100"/>
          <w:sz w:val="24"/>
          <w:szCs w:val="24"/>
          <w:highlight w:val="none"/>
          <w:lang w:val="en-US"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开启及评审”、“六 确定成交”及本章的规定评标。</w:t>
      </w:r>
    </w:p>
    <w:p w14:paraId="439454B4">
      <w:pPr>
        <w:keepNext w:val="0"/>
        <w:keepLines w:val="0"/>
        <w:pageBreakBefore w:val="0"/>
        <w:widowControl/>
        <w:kinsoku/>
        <w:wordWrap/>
        <w:overflowPunct/>
        <w:topLinePunct w:val="0"/>
        <w:bidi w:val="0"/>
        <w:snapToGrid w:val="0"/>
        <w:spacing w:before="0" w:beforeAutospacing="0" w:after="0" w:afterAutospacing="0" w:line="400" w:lineRule="exact"/>
        <w:jc w:val="both"/>
        <w:textAlignment w:val="baseline"/>
        <w:rPr>
          <w:rFonts w:hint="eastAsia" w:asciiTheme="minorEastAsia" w:hAnsiTheme="minorEastAsia" w:eastAsiaTheme="minorEastAsia" w:cstheme="minorEastAsia"/>
          <w:b/>
          <w:bCs/>
          <w:i w:val="0"/>
          <w:caps w:val="0"/>
          <w:color w:val="auto"/>
          <w:spacing w:val="0"/>
          <w:w w:val="100"/>
          <w:sz w:val="24"/>
          <w:szCs w:val="24"/>
          <w:highlight w:val="none"/>
        </w:rPr>
      </w:pPr>
      <w:r>
        <w:rPr>
          <w:rFonts w:hint="eastAsia" w:asciiTheme="minorEastAsia" w:hAnsiTheme="minorEastAsia" w:eastAsiaTheme="minorEastAsia" w:cstheme="minorEastAsia"/>
          <w:b/>
          <w:bCs/>
          <w:i w:val="0"/>
          <w:caps w:val="0"/>
          <w:color w:val="auto"/>
          <w:spacing w:val="0"/>
          <w:w w:val="100"/>
          <w:sz w:val="24"/>
          <w:szCs w:val="24"/>
          <w:highlight w:val="none"/>
        </w:rPr>
        <w:t>注：1.</w:t>
      </w:r>
      <w:r>
        <w:rPr>
          <w:rFonts w:hint="eastAsia" w:asciiTheme="minorEastAsia" w:hAnsiTheme="minorEastAsia" w:eastAsiaTheme="minorEastAsia" w:cstheme="minorEastAsia"/>
          <w:b/>
          <w:bCs/>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bCs/>
          <w:i w:val="0"/>
          <w:caps w:val="0"/>
          <w:color w:val="auto"/>
          <w:spacing w:val="0"/>
          <w:w w:val="100"/>
          <w:sz w:val="24"/>
          <w:szCs w:val="24"/>
          <w:highlight w:val="none"/>
        </w:rPr>
        <w:t>无效的情形：</w:t>
      </w:r>
    </w:p>
    <w:p w14:paraId="22D55B47">
      <w:pPr>
        <w:keepNext w:val="0"/>
        <w:keepLines w:val="0"/>
        <w:pageBreakBefore w:val="0"/>
        <w:widowControl/>
        <w:kinsoku/>
        <w:wordWrap/>
        <w:overflowPunct/>
        <w:topLinePunct w:val="0"/>
        <w:bidi w:val="0"/>
        <w:snapToGrid w:val="0"/>
        <w:spacing w:before="0" w:beforeAutospacing="0" w:after="0" w:afterAutospacing="0" w:line="400" w:lineRule="exact"/>
        <w:jc w:val="both"/>
        <w:textAlignment w:val="baseline"/>
        <w:rPr>
          <w:rFonts w:hint="eastAsia" w:asciiTheme="minorEastAsia" w:hAnsiTheme="minorEastAsia" w:eastAsiaTheme="minorEastAsia" w:cstheme="minorEastAsia"/>
          <w:b w:val="0"/>
          <w:i w:val="0"/>
          <w:caps w:val="0"/>
          <w:color w:val="auto"/>
          <w:spacing w:val="0"/>
          <w:w w:val="100"/>
          <w:sz w:val="24"/>
          <w:szCs w:val="24"/>
          <w:highlight w:val="none"/>
        </w:rPr>
      </w:pPr>
      <w:r>
        <w:rPr>
          <w:rFonts w:hint="eastAsia" w:asciiTheme="minorEastAsia" w:hAnsiTheme="minorEastAsia" w:eastAsiaTheme="minorEastAsia" w:cstheme="minorEastAsia"/>
          <w:b w:val="0"/>
          <w:i w:val="0"/>
          <w:caps w:val="0"/>
          <w:color w:val="auto"/>
          <w:spacing w:val="0"/>
          <w:w w:val="100"/>
          <w:sz w:val="24"/>
          <w:szCs w:val="24"/>
          <w:highlight w:val="none"/>
        </w:rPr>
        <w:t>（1）单位负责人为同一人或者存在直接控股、管理关系的不同供应商，其相关</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将被认定为</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无效。</w:t>
      </w:r>
    </w:p>
    <w:p w14:paraId="77DD87FD">
      <w:pPr>
        <w:keepNext w:val="0"/>
        <w:keepLines w:val="0"/>
        <w:pageBreakBefore w:val="0"/>
        <w:widowControl/>
        <w:kinsoku/>
        <w:wordWrap/>
        <w:overflowPunct/>
        <w:topLinePunct w:val="0"/>
        <w:bidi w:val="0"/>
        <w:snapToGrid w:val="0"/>
        <w:spacing w:before="0" w:beforeAutospacing="0" w:after="0" w:afterAutospacing="0" w:line="400" w:lineRule="exact"/>
        <w:jc w:val="both"/>
        <w:textAlignment w:val="baseline"/>
        <w:rPr>
          <w:rFonts w:hint="eastAsia" w:asciiTheme="minorEastAsia" w:hAnsiTheme="minorEastAsia" w:eastAsiaTheme="minorEastAsia" w:cstheme="minorEastAsia"/>
          <w:b w:val="0"/>
          <w:i w:val="0"/>
          <w:caps w:val="0"/>
          <w:color w:val="auto"/>
          <w:spacing w:val="0"/>
          <w:w w:val="100"/>
          <w:sz w:val="24"/>
          <w:szCs w:val="24"/>
          <w:highlight w:val="none"/>
        </w:rPr>
      </w:pPr>
      <w:r>
        <w:rPr>
          <w:rFonts w:hint="eastAsia" w:asciiTheme="minorEastAsia" w:hAnsiTheme="minorEastAsia" w:eastAsiaTheme="minorEastAsia" w:cstheme="minorEastAsia"/>
          <w:b w:val="0"/>
          <w:i w:val="0"/>
          <w:caps w:val="0"/>
          <w:color w:val="auto"/>
          <w:spacing w:val="0"/>
          <w:w w:val="100"/>
          <w:sz w:val="24"/>
          <w:szCs w:val="24"/>
          <w:highlight w:val="none"/>
        </w:rPr>
        <w:t>（2）为本项目提供过整体设计、规范编制或者项目管理、监理、检测等</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货物</w:t>
      </w:r>
      <w:r>
        <w:rPr>
          <w:rFonts w:hint="eastAsia" w:asciiTheme="minorEastAsia" w:hAnsiTheme="minorEastAsia" w:eastAsiaTheme="minorEastAsia" w:cstheme="minorEastAsia"/>
          <w:b w:val="0"/>
          <w:i w:val="0"/>
          <w:caps w:val="0"/>
          <w:color w:val="auto"/>
          <w:spacing w:val="0"/>
          <w:w w:val="100"/>
          <w:sz w:val="24"/>
          <w:szCs w:val="24"/>
          <w:highlight w:val="none"/>
        </w:rPr>
        <w:t>的供应商，不得再参加本项目上述</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货物</w:t>
      </w:r>
      <w:r>
        <w:rPr>
          <w:rFonts w:hint="eastAsia" w:asciiTheme="minorEastAsia" w:hAnsiTheme="minorEastAsia" w:eastAsiaTheme="minorEastAsia" w:cstheme="minorEastAsia"/>
          <w:b w:val="0"/>
          <w:i w:val="0"/>
          <w:caps w:val="0"/>
          <w:color w:val="auto"/>
          <w:spacing w:val="0"/>
          <w:w w:val="100"/>
          <w:sz w:val="24"/>
          <w:szCs w:val="24"/>
          <w:highlight w:val="none"/>
        </w:rPr>
        <w:t>以外的其他采购活动。否则其</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将被认定为</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无效。</w:t>
      </w:r>
    </w:p>
    <w:p w14:paraId="47021019">
      <w:pPr>
        <w:keepNext w:val="0"/>
        <w:keepLines w:val="0"/>
        <w:pageBreakBefore w:val="0"/>
        <w:widowControl/>
        <w:kinsoku/>
        <w:wordWrap/>
        <w:overflowPunct/>
        <w:topLinePunct w:val="0"/>
        <w:bidi w:val="0"/>
        <w:snapToGrid w:val="0"/>
        <w:spacing w:before="0" w:beforeAutospacing="0" w:after="0" w:afterAutospacing="0" w:line="400" w:lineRule="exact"/>
        <w:jc w:val="both"/>
        <w:textAlignment w:val="baseline"/>
        <w:rPr>
          <w:rFonts w:hint="eastAsia" w:asciiTheme="minorEastAsia" w:hAnsiTheme="minorEastAsia" w:eastAsiaTheme="minorEastAsia" w:cstheme="minorEastAsia"/>
          <w:b w:val="0"/>
          <w:i w:val="0"/>
          <w:caps w:val="0"/>
          <w:color w:val="auto"/>
          <w:spacing w:val="0"/>
          <w:w w:val="100"/>
          <w:sz w:val="24"/>
          <w:szCs w:val="24"/>
          <w:highlight w:val="none"/>
        </w:rPr>
      </w:pPr>
      <w:r>
        <w:rPr>
          <w:rFonts w:hint="eastAsia" w:asciiTheme="minorEastAsia" w:hAnsiTheme="minorEastAsia" w:eastAsiaTheme="minorEastAsia" w:cstheme="minorEastAsia"/>
          <w:b w:val="0"/>
          <w:i w:val="0"/>
          <w:caps w:val="0"/>
          <w:color w:val="auto"/>
          <w:spacing w:val="0"/>
          <w:w w:val="100"/>
          <w:sz w:val="24"/>
          <w:szCs w:val="24"/>
          <w:highlight w:val="none"/>
        </w:rPr>
        <w:t>供应商在</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过程中不得向采购人提供、给予任何有价值的物品，影响其正常决策行为。一经发现，其将被认定为</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无效。</w:t>
      </w:r>
    </w:p>
    <w:p w14:paraId="48E46DBE">
      <w:pPr>
        <w:keepNext w:val="0"/>
        <w:keepLines w:val="0"/>
        <w:pageBreakBefore w:val="0"/>
        <w:widowControl/>
        <w:kinsoku/>
        <w:wordWrap/>
        <w:overflowPunct/>
        <w:topLinePunct w:val="0"/>
        <w:bidi w:val="0"/>
        <w:snapToGrid w:val="0"/>
        <w:spacing w:before="0" w:beforeAutospacing="0" w:after="0" w:afterAutospacing="0" w:line="400" w:lineRule="exact"/>
        <w:jc w:val="both"/>
        <w:textAlignment w:val="baseline"/>
        <w:rPr>
          <w:rFonts w:hint="eastAsia" w:asciiTheme="minorEastAsia" w:hAnsiTheme="minorEastAsia" w:eastAsiaTheme="minorEastAsia" w:cstheme="minorEastAsia"/>
          <w:b w:val="0"/>
          <w:i w:val="0"/>
          <w:caps w:val="0"/>
          <w:color w:val="auto"/>
          <w:spacing w:val="0"/>
          <w:w w:val="100"/>
          <w:sz w:val="24"/>
          <w:szCs w:val="24"/>
          <w:highlight w:val="none"/>
        </w:rPr>
      </w:pPr>
      <w:r>
        <w:rPr>
          <w:rFonts w:hint="eastAsia" w:asciiTheme="minorEastAsia" w:hAnsiTheme="minorEastAsia" w:eastAsiaTheme="minorEastAsia" w:cstheme="minorEastAsia"/>
          <w:b w:val="0"/>
          <w:i w:val="0"/>
          <w:caps w:val="0"/>
          <w:color w:val="auto"/>
          <w:spacing w:val="0"/>
          <w:w w:val="100"/>
          <w:sz w:val="24"/>
          <w:szCs w:val="24"/>
          <w:highlight w:val="none"/>
        </w:rPr>
        <w:t>（</w:t>
      </w:r>
      <w:r>
        <w:rPr>
          <w:rFonts w:hint="eastAsia" w:asciiTheme="minorEastAsia" w:hAnsiTheme="minorEastAsia" w:eastAsiaTheme="minorEastAsia" w:cstheme="minorEastAsia"/>
          <w:b w:val="0"/>
          <w:i w:val="0"/>
          <w:caps w:val="0"/>
          <w:color w:val="auto"/>
          <w:spacing w:val="0"/>
          <w:w w:val="100"/>
          <w:sz w:val="24"/>
          <w:szCs w:val="24"/>
          <w:highlight w:val="none"/>
          <w:lang w:val="en-US" w:eastAsia="zh-CN"/>
        </w:rPr>
        <w:t>3</w:t>
      </w:r>
      <w:r>
        <w:rPr>
          <w:rFonts w:hint="eastAsia" w:asciiTheme="minorEastAsia" w:hAnsiTheme="minorEastAsia" w:eastAsiaTheme="minorEastAsia" w:cstheme="minorEastAsia"/>
          <w:b w:val="0"/>
          <w:i w:val="0"/>
          <w:caps w:val="0"/>
          <w:color w:val="auto"/>
          <w:spacing w:val="0"/>
          <w:w w:val="100"/>
          <w:sz w:val="24"/>
          <w:szCs w:val="24"/>
          <w:highlight w:val="none"/>
        </w:rPr>
        <w:t>）供应商报价超过</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文件规定的预算金额或者分项、分包最高限价的，其</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将被认定为</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无效。</w:t>
      </w:r>
    </w:p>
    <w:p w14:paraId="6B06E258">
      <w:pPr>
        <w:keepNext w:val="0"/>
        <w:keepLines w:val="0"/>
        <w:pageBreakBefore w:val="0"/>
        <w:widowControl/>
        <w:kinsoku/>
        <w:wordWrap/>
        <w:overflowPunct/>
        <w:topLinePunct w:val="0"/>
        <w:bidi w:val="0"/>
        <w:snapToGrid w:val="0"/>
        <w:spacing w:before="0" w:beforeAutospacing="0" w:after="0" w:afterAutospacing="0" w:line="400" w:lineRule="exact"/>
        <w:jc w:val="both"/>
        <w:textAlignment w:val="baseline"/>
        <w:rPr>
          <w:rFonts w:hint="eastAsia" w:asciiTheme="minorEastAsia" w:hAnsiTheme="minorEastAsia" w:eastAsiaTheme="minorEastAsia" w:cstheme="minorEastAsia"/>
          <w:b w:val="0"/>
          <w:i w:val="0"/>
          <w:caps w:val="0"/>
          <w:color w:val="auto"/>
          <w:spacing w:val="0"/>
          <w:w w:val="100"/>
          <w:sz w:val="24"/>
          <w:szCs w:val="24"/>
          <w:highlight w:val="none"/>
        </w:rPr>
      </w:pPr>
      <w:r>
        <w:rPr>
          <w:rFonts w:hint="eastAsia" w:asciiTheme="minorEastAsia" w:hAnsiTheme="minorEastAsia" w:eastAsiaTheme="minorEastAsia" w:cstheme="minorEastAsia"/>
          <w:b w:val="0"/>
          <w:i w:val="0"/>
          <w:caps w:val="0"/>
          <w:color w:val="auto"/>
          <w:spacing w:val="0"/>
          <w:w w:val="100"/>
          <w:sz w:val="24"/>
          <w:szCs w:val="24"/>
          <w:highlight w:val="none"/>
        </w:rPr>
        <w:t>（</w:t>
      </w:r>
      <w:r>
        <w:rPr>
          <w:rFonts w:hint="eastAsia" w:asciiTheme="minorEastAsia" w:hAnsiTheme="minorEastAsia" w:eastAsiaTheme="minorEastAsia" w:cstheme="minorEastAsia"/>
          <w:b w:val="0"/>
          <w:i w:val="0"/>
          <w:caps w:val="0"/>
          <w:color w:val="auto"/>
          <w:spacing w:val="0"/>
          <w:w w:val="100"/>
          <w:sz w:val="24"/>
          <w:szCs w:val="24"/>
          <w:highlight w:val="none"/>
          <w:lang w:val="en-US" w:eastAsia="zh-CN"/>
        </w:rPr>
        <w:t>4</w:t>
      </w:r>
      <w:r>
        <w:rPr>
          <w:rFonts w:hint="eastAsia" w:asciiTheme="minorEastAsia" w:hAnsiTheme="minorEastAsia" w:eastAsiaTheme="minorEastAsia" w:cstheme="minorEastAsia"/>
          <w:b w:val="0"/>
          <w:i w:val="0"/>
          <w:caps w:val="0"/>
          <w:color w:val="auto"/>
          <w:spacing w:val="0"/>
          <w:w w:val="100"/>
          <w:sz w:val="24"/>
          <w:szCs w:val="24"/>
          <w:highlight w:val="none"/>
        </w:rPr>
        <w:t>）供应商应认真阅读</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文件所有的事项、格式、条款和技术规范等。如供应商没有按照</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文件要求提交全部资料，或者响应文件没有对</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谈判文件</w:t>
      </w:r>
      <w:r>
        <w:rPr>
          <w:rFonts w:hint="eastAsia" w:asciiTheme="minorEastAsia" w:hAnsiTheme="minorEastAsia" w:eastAsiaTheme="minorEastAsia" w:cstheme="minorEastAsia"/>
          <w:b w:val="0"/>
          <w:i w:val="0"/>
          <w:caps w:val="0"/>
          <w:color w:val="auto"/>
          <w:spacing w:val="0"/>
          <w:w w:val="100"/>
          <w:sz w:val="24"/>
          <w:szCs w:val="24"/>
          <w:highlight w:val="none"/>
        </w:rPr>
        <w:t>在各方面都做出实质性响应，可能导致其</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将被认定为</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无效。</w:t>
      </w:r>
    </w:p>
    <w:p w14:paraId="6126B337">
      <w:pPr>
        <w:keepNext w:val="0"/>
        <w:keepLines w:val="0"/>
        <w:pageBreakBefore w:val="0"/>
        <w:widowControl/>
        <w:kinsoku/>
        <w:wordWrap/>
        <w:overflowPunct/>
        <w:topLinePunct w:val="0"/>
        <w:bidi w:val="0"/>
        <w:snapToGrid w:val="0"/>
        <w:spacing w:before="0" w:beforeAutospacing="0" w:after="0" w:afterAutospacing="0" w:line="400" w:lineRule="exact"/>
        <w:jc w:val="both"/>
        <w:textAlignment w:val="baseline"/>
        <w:rPr>
          <w:rFonts w:hint="eastAsia" w:asciiTheme="minorEastAsia" w:hAnsiTheme="minorEastAsia" w:eastAsiaTheme="minorEastAsia" w:cstheme="minorEastAsia"/>
          <w:b w:val="0"/>
          <w:i w:val="0"/>
          <w:caps w:val="0"/>
          <w:color w:val="auto"/>
          <w:spacing w:val="0"/>
          <w:w w:val="100"/>
          <w:sz w:val="24"/>
          <w:szCs w:val="24"/>
          <w:highlight w:val="none"/>
        </w:rPr>
      </w:pPr>
      <w:r>
        <w:rPr>
          <w:rFonts w:hint="eastAsia" w:asciiTheme="minorEastAsia" w:hAnsiTheme="minorEastAsia" w:eastAsiaTheme="minorEastAsia" w:cstheme="minorEastAsia"/>
          <w:b w:val="0"/>
          <w:i w:val="0"/>
          <w:caps w:val="0"/>
          <w:color w:val="auto"/>
          <w:spacing w:val="0"/>
          <w:w w:val="100"/>
          <w:sz w:val="24"/>
          <w:szCs w:val="24"/>
          <w:highlight w:val="none"/>
        </w:rPr>
        <w:t xml:space="preserve"> （</w:t>
      </w:r>
      <w:r>
        <w:rPr>
          <w:rFonts w:hint="eastAsia" w:asciiTheme="minorEastAsia" w:hAnsiTheme="minorEastAsia" w:eastAsiaTheme="minorEastAsia" w:cstheme="minorEastAsia"/>
          <w:b w:val="0"/>
          <w:i w:val="0"/>
          <w:caps w:val="0"/>
          <w:color w:val="auto"/>
          <w:spacing w:val="0"/>
          <w:w w:val="100"/>
          <w:sz w:val="24"/>
          <w:szCs w:val="24"/>
          <w:highlight w:val="none"/>
          <w:lang w:val="en-US" w:eastAsia="zh-CN"/>
        </w:rPr>
        <w:t>5</w:t>
      </w:r>
      <w:r>
        <w:rPr>
          <w:rFonts w:hint="eastAsia" w:asciiTheme="minorEastAsia" w:hAnsiTheme="minorEastAsia" w:eastAsiaTheme="minorEastAsia" w:cstheme="minorEastAsia"/>
          <w:b w:val="0"/>
          <w:i w:val="0"/>
          <w:caps w:val="0"/>
          <w:color w:val="auto"/>
          <w:spacing w:val="0"/>
          <w:w w:val="100"/>
          <w:sz w:val="24"/>
          <w:szCs w:val="24"/>
          <w:highlight w:val="none"/>
        </w:rPr>
        <w:t>）供应商应当对所投分包</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谈判文件</w:t>
      </w:r>
      <w:r>
        <w:rPr>
          <w:rFonts w:hint="eastAsia" w:asciiTheme="minorEastAsia" w:hAnsiTheme="minorEastAsia" w:eastAsiaTheme="minorEastAsia" w:cstheme="minorEastAsia"/>
          <w:b w:val="0"/>
          <w:i w:val="0"/>
          <w:caps w:val="0"/>
          <w:color w:val="auto"/>
          <w:spacing w:val="0"/>
          <w:w w:val="100"/>
          <w:sz w:val="24"/>
          <w:szCs w:val="24"/>
          <w:highlight w:val="none"/>
        </w:rPr>
        <w:t>中“</w:t>
      </w:r>
      <w:r>
        <w:rPr>
          <w:rFonts w:hint="eastAsia" w:asciiTheme="minorEastAsia" w:hAnsiTheme="minorEastAsia" w:eastAsiaTheme="minorEastAsia" w:cstheme="minorEastAsia"/>
          <w:b w:val="0"/>
          <w:i w:val="0"/>
          <w:caps w:val="0"/>
          <w:color w:val="auto"/>
          <w:spacing w:val="0"/>
          <w:w w:val="100"/>
          <w:sz w:val="24"/>
          <w:szCs w:val="24"/>
          <w:highlight w:val="none"/>
          <w:lang w:val="en-US" w:eastAsia="zh-CN"/>
        </w:rPr>
        <w:t>货物</w:t>
      </w:r>
      <w:r>
        <w:rPr>
          <w:rFonts w:hint="eastAsia" w:asciiTheme="minorEastAsia" w:hAnsiTheme="minorEastAsia" w:eastAsiaTheme="minorEastAsia" w:cstheme="minorEastAsia"/>
          <w:b w:val="0"/>
          <w:i w:val="0"/>
          <w:caps w:val="0"/>
          <w:color w:val="auto"/>
          <w:spacing w:val="0"/>
          <w:w w:val="100"/>
          <w:sz w:val="24"/>
          <w:szCs w:val="24"/>
          <w:highlight w:val="none"/>
        </w:rPr>
        <w:t>需求”所列的所有内容进行</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，如仅响应某一包中的部分内容，其该包</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将被认定为</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无效。</w:t>
      </w:r>
    </w:p>
    <w:p w14:paraId="71E26218">
      <w:pPr>
        <w:keepNext w:val="0"/>
        <w:keepLines w:val="0"/>
        <w:pageBreakBefore w:val="0"/>
        <w:widowControl/>
        <w:kinsoku/>
        <w:wordWrap/>
        <w:overflowPunct/>
        <w:topLinePunct w:val="0"/>
        <w:bidi w:val="0"/>
        <w:snapToGrid w:val="0"/>
        <w:spacing w:before="0" w:beforeAutospacing="0" w:after="0" w:afterAutospacing="0" w:line="400" w:lineRule="exact"/>
        <w:jc w:val="both"/>
        <w:textAlignment w:val="baseline"/>
        <w:rPr>
          <w:rFonts w:hint="eastAsia" w:asciiTheme="minorEastAsia" w:hAnsiTheme="minorEastAsia" w:eastAsiaTheme="minorEastAsia" w:cstheme="minorEastAsia"/>
          <w:b w:val="0"/>
          <w:i w:val="0"/>
          <w:caps w:val="0"/>
          <w:color w:val="auto"/>
          <w:spacing w:val="0"/>
          <w:w w:val="100"/>
          <w:sz w:val="24"/>
          <w:szCs w:val="24"/>
          <w:highlight w:val="none"/>
        </w:rPr>
      </w:pPr>
      <w:r>
        <w:rPr>
          <w:rFonts w:hint="eastAsia" w:asciiTheme="minorEastAsia" w:hAnsiTheme="minorEastAsia" w:eastAsiaTheme="minorEastAsia" w:cstheme="minorEastAsia"/>
          <w:b w:val="0"/>
          <w:i w:val="0"/>
          <w:caps w:val="0"/>
          <w:color w:val="auto"/>
          <w:spacing w:val="0"/>
          <w:w w:val="100"/>
          <w:sz w:val="24"/>
          <w:szCs w:val="24"/>
          <w:highlight w:val="none"/>
        </w:rPr>
        <w:t>（</w:t>
      </w:r>
      <w:r>
        <w:rPr>
          <w:rFonts w:hint="eastAsia" w:asciiTheme="minorEastAsia" w:hAnsiTheme="minorEastAsia" w:eastAsiaTheme="minorEastAsia" w:cstheme="minorEastAsia"/>
          <w:b w:val="0"/>
          <w:i w:val="0"/>
          <w:caps w:val="0"/>
          <w:color w:val="auto"/>
          <w:spacing w:val="0"/>
          <w:w w:val="100"/>
          <w:sz w:val="24"/>
          <w:szCs w:val="24"/>
          <w:highlight w:val="none"/>
          <w:lang w:val="en-US" w:eastAsia="zh-CN"/>
        </w:rPr>
        <w:t>6</w:t>
      </w:r>
      <w:r>
        <w:rPr>
          <w:rFonts w:hint="eastAsia" w:asciiTheme="minorEastAsia" w:hAnsiTheme="minorEastAsia" w:eastAsiaTheme="minorEastAsia" w:cstheme="minorEastAsia"/>
          <w:b w:val="0"/>
          <w:i w:val="0"/>
          <w:caps w:val="0"/>
          <w:color w:val="auto"/>
          <w:spacing w:val="0"/>
          <w:w w:val="100"/>
          <w:sz w:val="24"/>
          <w:szCs w:val="24"/>
          <w:highlight w:val="none"/>
        </w:rPr>
        <w:t>）供应商未按本须知第12.1和12.3条规定提交</w:t>
      </w:r>
      <w:r>
        <w:rPr>
          <w:rFonts w:hint="eastAsia" w:asciiTheme="minorEastAsia" w:hAnsiTheme="minorEastAsia" w:eastAsiaTheme="minorEastAsia" w:cstheme="minorEastAsia"/>
          <w:b w:val="0"/>
          <w:i w:val="0"/>
          <w:caps w:val="0"/>
          <w:color w:val="auto"/>
          <w:spacing w:val="0"/>
          <w:w w:val="100"/>
          <w:sz w:val="24"/>
          <w:szCs w:val="24"/>
          <w:highlight w:val="none"/>
          <w:lang w:val="en-US" w:eastAsia="zh-CN"/>
        </w:rPr>
        <w:t>响应</w:t>
      </w:r>
      <w:r>
        <w:rPr>
          <w:rFonts w:hint="eastAsia" w:asciiTheme="minorEastAsia" w:hAnsiTheme="minorEastAsia" w:eastAsiaTheme="minorEastAsia" w:cstheme="minorEastAsia"/>
          <w:b w:val="0"/>
          <w:i w:val="0"/>
          <w:caps w:val="0"/>
          <w:color w:val="auto"/>
          <w:spacing w:val="0"/>
          <w:w w:val="100"/>
          <w:sz w:val="24"/>
          <w:szCs w:val="24"/>
          <w:highlight w:val="none"/>
          <w:lang w:eastAsia="zh-CN"/>
        </w:rPr>
        <w:t>保证金</w:t>
      </w:r>
      <w:r>
        <w:rPr>
          <w:rFonts w:hint="eastAsia" w:asciiTheme="minorEastAsia" w:hAnsiTheme="minorEastAsia" w:eastAsiaTheme="minorEastAsia" w:cstheme="minorEastAsia"/>
          <w:b w:val="0"/>
          <w:i w:val="0"/>
          <w:caps w:val="0"/>
          <w:color w:val="auto"/>
          <w:spacing w:val="0"/>
          <w:w w:val="100"/>
          <w:sz w:val="24"/>
          <w:szCs w:val="24"/>
          <w:highlight w:val="none"/>
        </w:rPr>
        <w:t>的，其</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谈判资格</w:t>
      </w:r>
      <w:r>
        <w:rPr>
          <w:rFonts w:hint="eastAsia" w:asciiTheme="minorEastAsia" w:hAnsiTheme="minorEastAsia" w:eastAsiaTheme="minorEastAsia" w:cstheme="minorEastAsia"/>
          <w:b w:val="0"/>
          <w:i w:val="0"/>
          <w:caps w:val="0"/>
          <w:color w:val="auto"/>
          <w:spacing w:val="0"/>
          <w:w w:val="100"/>
          <w:sz w:val="24"/>
          <w:szCs w:val="24"/>
          <w:highlight w:val="none"/>
        </w:rPr>
        <w:t>将被认定为</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无效。</w:t>
      </w:r>
    </w:p>
    <w:p w14:paraId="1C0DB570">
      <w:pPr>
        <w:keepNext w:val="0"/>
        <w:keepLines w:val="0"/>
        <w:pageBreakBefore w:val="0"/>
        <w:widowControl/>
        <w:kinsoku/>
        <w:wordWrap/>
        <w:overflowPunct/>
        <w:topLinePunct w:val="0"/>
        <w:bidi w:val="0"/>
        <w:snapToGrid w:val="0"/>
        <w:spacing w:before="0" w:beforeAutospacing="0" w:after="0" w:afterAutospacing="0" w:line="400" w:lineRule="exact"/>
        <w:jc w:val="both"/>
        <w:textAlignment w:val="baseline"/>
        <w:rPr>
          <w:rFonts w:hint="eastAsia" w:asciiTheme="minorEastAsia" w:hAnsiTheme="minorEastAsia" w:eastAsiaTheme="minorEastAsia" w:cstheme="minorEastAsia"/>
          <w:b w:val="0"/>
          <w:i w:val="0"/>
          <w:caps w:val="0"/>
          <w:color w:val="auto"/>
          <w:spacing w:val="0"/>
          <w:w w:val="100"/>
          <w:sz w:val="24"/>
          <w:szCs w:val="24"/>
          <w:highlight w:val="none"/>
        </w:rPr>
      </w:pPr>
      <w:r>
        <w:rPr>
          <w:rFonts w:hint="eastAsia" w:asciiTheme="minorEastAsia" w:hAnsiTheme="minorEastAsia" w:eastAsiaTheme="minorEastAsia" w:cstheme="minorEastAsia"/>
          <w:b w:val="0"/>
          <w:i w:val="0"/>
          <w:caps w:val="0"/>
          <w:color w:val="auto"/>
          <w:spacing w:val="0"/>
          <w:w w:val="100"/>
          <w:sz w:val="24"/>
          <w:szCs w:val="24"/>
          <w:highlight w:val="none"/>
        </w:rPr>
        <w:t>（</w:t>
      </w:r>
      <w:r>
        <w:rPr>
          <w:rFonts w:hint="eastAsia" w:asciiTheme="minorEastAsia" w:hAnsiTheme="minorEastAsia" w:eastAsiaTheme="minorEastAsia" w:cstheme="minorEastAsia"/>
          <w:b w:val="0"/>
          <w:i w:val="0"/>
          <w:caps w:val="0"/>
          <w:color w:val="auto"/>
          <w:spacing w:val="0"/>
          <w:w w:val="100"/>
          <w:sz w:val="24"/>
          <w:szCs w:val="24"/>
          <w:highlight w:val="none"/>
          <w:lang w:val="en-US" w:eastAsia="zh-CN"/>
        </w:rPr>
        <w:t>7</w:t>
      </w:r>
      <w:r>
        <w:rPr>
          <w:rFonts w:hint="eastAsia" w:asciiTheme="minorEastAsia" w:hAnsiTheme="minorEastAsia" w:eastAsiaTheme="minorEastAsia" w:cstheme="minorEastAsia"/>
          <w:b w:val="0"/>
          <w:i w:val="0"/>
          <w:caps w:val="0"/>
          <w:color w:val="auto"/>
          <w:spacing w:val="0"/>
          <w:w w:val="100"/>
          <w:sz w:val="24"/>
          <w:szCs w:val="24"/>
          <w:highlight w:val="none"/>
        </w:rPr>
        <w:t>）所有</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均以人民币报价。供应商的</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报价应遵守《中华人民共和国价格法》。同时，根据《中华人民共和国政府采购法》第二条的规定，为保证公平竞争，如有</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货物</w:t>
      </w:r>
      <w:r>
        <w:rPr>
          <w:rFonts w:hint="eastAsia" w:asciiTheme="minorEastAsia" w:hAnsiTheme="minorEastAsia" w:eastAsiaTheme="minorEastAsia" w:cstheme="minorEastAsia"/>
          <w:b w:val="0"/>
          <w:i w:val="0"/>
          <w:caps w:val="0"/>
          <w:color w:val="auto"/>
          <w:spacing w:val="0"/>
          <w:w w:val="100"/>
          <w:sz w:val="24"/>
          <w:szCs w:val="24"/>
          <w:highlight w:val="none"/>
        </w:rPr>
        <w:t>主体部分的赠与行为，其</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将被认定为</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无效。</w:t>
      </w:r>
    </w:p>
    <w:p w14:paraId="030B8A44">
      <w:pPr>
        <w:keepNext w:val="0"/>
        <w:keepLines w:val="0"/>
        <w:pageBreakBefore w:val="0"/>
        <w:widowControl/>
        <w:kinsoku/>
        <w:wordWrap/>
        <w:overflowPunct/>
        <w:topLinePunct w:val="0"/>
        <w:bidi w:val="0"/>
        <w:snapToGrid w:val="0"/>
        <w:spacing w:before="0" w:beforeAutospacing="0" w:after="0" w:afterAutospacing="0" w:line="400" w:lineRule="exact"/>
        <w:jc w:val="both"/>
        <w:textAlignment w:val="baseline"/>
        <w:rPr>
          <w:rFonts w:hint="eastAsia" w:asciiTheme="minorEastAsia" w:hAnsiTheme="minorEastAsia" w:eastAsiaTheme="minorEastAsia" w:cstheme="minorEastAsia"/>
          <w:b w:val="0"/>
          <w:i w:val="0"/>
          <w:caps w:val="0"/>
          <w:color w:val="auto"/>
          <w:spacing w:val="0"/>
          <w:w w:val="100"/>
          <w:sz w:val="24"/>
          <w:szCs w:val="24"/>
          <w:highlight w:val="none"/>
        </w:rPr>
      </w:pPr>
      <w:r>
        <w:rPr>
          <w:rFonts w:hint="eastAsia" w:asciiTheme="minorEastAsia" w:hAnsiTheme="minorEastAsia" w:eastAsiaTheme="minorEastAsia" w:cstheme="minorEastAsia"/>
          <w:b w:val="0"/>
          <w:i w:val="0"/>
          <w:caps w:val="0"/>
          <w:color w:val="auto"/>
          <w:spacing w:val="0"/>
          <w:w w:val="100"/>
          <w:sz w:val="24"/>
          <w:szCs w:val="24"/>
          <w:highlight w:val="none"/>
        </w:rPr>
        <w:t>（</w:t>
      </w:r>
      <w:r>
        <w:rPr>
          <w:rFonts w:hint="eastAsia" w:asciiTheme="minorEastAsia" w:hAnsiTheme="minorEastAsia" w:eastAsiaTheme="minorEastAsia" w:cstheme="minorEastAsia"/>
          <w:b w:val="0"/>
          <w:i w:val="0"/>
          <w:caps w:val="0"/>
          <w:color w:val="auto"/>
          <w:spacing w:val="0"/>
          <w:w w:val="100"/>
          <w:sz w:val="24"/>
          <w:szCs w:val="24"/>
          <w:highlight w:val="none"/>
          <w:lang w:val="en-US" w:eastAsia="zh-CN"/>
        </w:rPr>
        <w:t>8</w:t>
      </w:r>
      <w:r>
        <w:rPr>
          <w:rFonts w:hint="eastAsia" w:asciiTheme="minorEastAsia" w:hAnsiTheme="minorEastAsia" w:eastAsiaTheme="minorEastAsia" w:cstheme="minorEastAsia"/>
          <w:b w:val="0"/>
          <w:i w:val="0"/>
          <w:caps w:val="0"/>
          <w:color w:val="auto"/>
          <w:spacing w:val="0"/>
          <w:w w:val="100"/>
          <w:sz w:val="24"/>
          <w:szCs w:val="24"/>
          <w:highlight w:val="none"/>
        </w:rPr>
        <w:t>）供应商所报的各分项</w:t>
      </w:r>
      <w:r>
        <w:rPr>
          <w:rFonts w:hint="eastAsia" w:asciiTheme="minorEastAsia" w:hAnsiTheme="minorEastAsia" w:eastAsiaTheme="minorEastAsia" w:cstheme="minorEastAsia"/>
          <w:b w:val="0"/>
          <w:i w:val="0"/>
          <w:caps w:val="0"/>
          <w:color w:val="auto"/>
          <w:spacing w:val="0"/>
          <w:w w:val="100"/>
          <w:sz w:val="24"/>
          <w:szCs w:val="24"/>
          <w:highlight w:val="none"/>
          <w:lang w:eastAsia="zh-CN"/>
        </w:rPr>
        <w:t>报价</w:t>
      </w:r>
      <w:r>
        <w:rPr>
          <w:rFonts w:hint="eastAsia" w:asciiTheme="minorEastAsia" w:hAnsiTheme="minorEastAsia" w:eastAsiaTheme="minorEastAsia" w:cstheme="minorEastAsia"/>
          <w:b w:val="0"/>
          <w:i w:val="0"/>
          <w:caps w:val="0"/>
          <w:color w:val="auto"/>
          <w:spacing w:val="0"/>
          <w:w w:val="100"/>
          <w:sz w:val="24"/>
          <w:szCs w:val="24"/>
          <w:highlight w:val="none"/>
        </w:rPr>
        <w:t>单价在合同履行过程中是固定不变的，不得以任何理由予以变更。任何包含价格调整要求的</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，其</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将被认定为</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无效。</w:t>
      </w:r>
    </w:p>
    <w:p w14:paraId="73FCE3F2">
      <w:pPr>
        <w:keepNext w:val="0"/>
        <w:keepLines w:val="0"/>
        <w:pageBreakBefore w:val="0"/>
        <w:widowControl/>
        <w:kinsoku/>
        <w:wordWrap/>
        <w:overflowPunct/>
        <w:topLinePunct w:val="0"/>
        <w:bidi w:val="0"/>
        <w:snapToGrid w:val="0"/>
        <w:spacing w:before="0" w:beforeAutospacing="0" w:after="0" w:afterAutospacing="0" w:line="400" w:lineRule="exact"/>
        <w:jc w:val="both"/>
        <w:textAlignment w:val="baseline"/>
        <w:rPr>
          <w:rFonts w:hint="eastAsia" w:asciiTheme="minorEastAsia" w:hAnsiTheme="minorEastAsia" w:eastAsiaTheme="minorEastAsia" w:cstheme="minorEastAsia"/>
          <w:b w:val="0"/>
          <w:i w:val="0"/>
          <w:caps w:val="0"/>
          <w:color w:val="auto"/>
          <w:spacing w:val="0"/>
          <w:w w:val="100"/>
          <w:sz w:val="24"/>
          <w:szCs w:val="24"/>
          <w:highlight w:val="none"/>
        </w:rPr>
      </w:pPr>
      <w:r>
        <w:rPr>
          <w:rFonts w:hint="eastAsia" w:asciiTheme="minorEastAsia" w:hAnsiTheme="minorEastAsia" w:eastAsiaTheme="minorEastAsia" w:cstheme="minorEastAsia"/>
          <w:b w:val="0"/>
          <w:i w:val="0"/>
          <w:caps w:val="0"/>
          <w:color w:val="auto"/>
          <w:spacing w:val="0"/>
          <w:w w:val="100"/>
          <w:sz w:val="24"/>
          <w:szCs w:val="24"/>
          <w:highlight w:val="none"/>
        </w:rPr>
        <w:t>（</w:t>
      </w:r>
      <w:r>
        <w:rPr>
          <w:rFonts w:hint="eastAsia" w:asciiTheme="minorEastAsia" w:hAnsiTheme="minorEastAsia" w:eastAsiaTheme="minorEastAsia" w:cstheme="minorEastAsia"/>
          <w:b w:val="0"/>
          <w:i w:val="0"/>
          <w:caps w:val="0"/>
          <w:color w:val="auto"/>
          <w:spacing w:val="0"/>
          <w:w w:val="100"/>
          <w:sz w:val="24"/>
          <w:szCs w:val="24"/>
          <w:highlight w:val="none"/>
          <w:lang w:val="en-US" w:eastAsia="zh-CN"/>
        </w:rPr>
        <w:t>9</w:t>
      </w:r>
      <w:r>
        <w:rPr>
          <w:rFonts w:hint="eastAsia" w:asciiTheme="minorEastAsia" w:hAnsiTheme="minorEastAsia" w:eastAsiaTheme="minorEastAsia" w:cstheme="minorEastAsia"/>
          <w:b w:val="0"/>
          <w:i w:val="0"/>
          <w:caps w:val="0"/>
          <w:color w:val="auto"/>
          <w:spacing w:val="0"/>
          <w:w w:val="100"/>
          <w:sz w:val="24"/>
          <w:szCs w:val="24"/>
          <w:highlight w:val="none"/>
        </w:rPr>
        <w:t>）</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应在供应商须知资料表中规定时间内保持有效。</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有效期不满足要求的</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，其</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将被认定为</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无效。</w:t>
      </w:r>
    </w:p>
    <w:p w14:paraId="189BB551">
      <w:pPr>
        <w:keepNext w:val="0"/>
        <w:keepLines w:val="0"/>
        <w:pageBreakBefore w:val="0"/>
        <w:widowControl/>
        <w:kinsoku/>
        <w:wordWrap/>
        <w:overflowPunct/>
        <w:topLinePunct w:val="0"/>
        <w:bidi w:val="0"/>
        <w:snapToGrid w:val="0"/>
        <w:spacing w:before="0" w:beforeAutospacing="0" w:after="0" w:afterAutospacing="0" w:line="400" w:lineRule="exact"/>
        <w:jc w:val="both"/>
        <w:textAlignment w:val="baseline"/>
        <w:rPr>
          <w:rFonts w:hint="eastAsia" w:asciiTheme="minorEastAsia" w:hAnsiTheme="minorEastAsia" w:eastAsiaTheme="minorEastAsia" w:cstheme="minorEastAsia"/>
          <w:b w:val="0"/>
          <w:i w:val="0"/>
          <w:caps w:val="0"/>
          <w:color w:val="auto"/>
          <w:spacing w:val="0"/>
          <w:w w:val="100"/>
          <w:sz w:val="24"/>
          <w:szCs w:val="24"/>
          <w:highlight w:val="none"/>
        </w:rPr>
      </w:pPr>
      <w:r>
        <w:rPr>
          <w:rFonts w:hint="eastAsia" w:asciiTheme="minorEastAsia" w:hAnsiTheme="minorEastAsia" w:eastAsiaTheme="minorEastAsia" w:cstheme="minorEastAsia"/>
          <w:b w:val="0"/>
          <w:i w:val="0"/>
          <w:caps w:val="0"/>
          <w:color w:val="auto"/>
          <w:spacing w:val="0"/>
          <w:w w:val="100"/>
          <w:sz w:val="24"/>
          <w:szCs w:val="24"/>
          <w:highlight w:val="none"/>
        </w:rPr>
        <w:t>（1</w:t>
      </w:r>
      <w:r>
        <w:rPr>
          <w:rFonts w:hint="eastAsia" w:asciiTheme="minorEastAsia" w:hAnsiTheme="minorEastAsia" w:eastAsiaTheme="minorEastAsia" w:cstheme="minorEastAsia"/>
          <w:b w:val="0"/>
          <w:i w:val="0"/>
          <w:caps w:val="0"/>
          <w:color w:val="auto"/>
          <w:spacing w:val="0"/>
          <w:w w:val="100"/>
          <w:sz w:val="24"/>
          <w:szCs w:val="24"/>
          <w:highlight w:val="none"/>
          <w:lang w:val="en-US" w:eastAsia="zh-CN"/>
        </w:rPr>
        <w:t>0</w:t>
      </w:r>
      <w:r>
        <w:rPr>
          <w:rFonts w:hint="eastAsia" w:asciiTheme="minorEastAsia" w:hAnsiTheme="minorEastAsia" w:eastAsiaTheme="minorEastAsia" w:cstheme="minorEastAsia"/>
          <w:b w:val="0"/>
          <w:i w:val="0"/>
          <w:caps w:val="0"/>
          <w:color w:val="auto"/>
          <w:spacing w:val="0"/>
          <w:w w:val="100"/>
          <w:sz w:val="24"/>
          <w:szCs w:val="24"/>
          <w:highlight w:val="none"/>
        </w:rPr>
        <w:t>）采购人或采购代理机构将在开标前1个工作日至</w:t>
      </w:r>
      <w:r>
        <w:rPr>
          <w:rFonts w:hint="eastAsia" w:asciiTheme="minorEastAsia" w:hAnsiTheme="minorEastAsia" w:eastAsiaTheme="minorEastAsia" w:cstheme="minorEastAsia"/>
          <w:b w:val="0"/>
          <w:i w:val="0"/>
          <w:caps w:val="0"/>
          <w:color w:val="auto"/>
          <w:spacing w:val="0"/>
          <w:w w:val="100"/>
          <w:sz w:val="24"/>
          <w:szCs w:val="24"/>
          <w:highlight w:val="none"/>
          <w:lang w:val="en-US" w:eastAsia="zh-CN"/>
        </w:rPr>
        <w:t>报价</w:t>
      </w:r>
      <w:r>
        <w:rPr>
          <w:rFonts w:hint="eastAsia" w:asciiTheme="minorEastAsia" w:hAnsiTheme="minorEastAsia" w:eastAsiaTheme="minorEastAsia" w:cstheme="minorEastAsia"/>
          <w:b w:val="0"/>
          <w:i w:val="0"/>
          <w:caps w:val="0"/>
          <w:color w:val="auto"/>
          <w:spacing w:val="0"/>
          <w:w w:val="100"/>
          <w:sz w:val="24"/>
          <w:szCs w:val="24"/>
          <w:highlight w:val="none"/>
        </w:rPr>
        <w:t>截止后1小时的期间内查询供应商的信用记录。供应商存在不良信用记录的，其</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将被认定为</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无效。</w:t>
      </w:r>
    </w:p>
    <w:p w14:paraId="3A9D06FA">
      <w:pPr>
        <w:keepNext w:val="0"/>
        <w:keepLines w:val="0"/>
        <w:pageBreakBefore w:val="0"/>
        <w:widowControl/>
        <w:kinsoku/>
        <w:wordWrap/>
        <w:overflowPunct/>
        <w:topLinePunct w:val="0"/>
        <w:bidi w:val="0"/>
        <w:snapToGrid w:val="0"/>
        <w:spacing w:before="0" w:beforeAutospacing="0" w:after="0" w:afterAutospacing="0" w:line="400" w:lineRule="exact"/>
        <w:jc w:val="both"/>
        <w:textAlignment w:val="baseline"/>
        <w:rPr>
          <w:rFonts w:hint="eastAsia" w:asciiTheme="minorEastAsia" w:hAnsiTheme="minorEastAsia" w:eastAsiaTheme="minorEastAsia" w:cstheme="minorEastAsia"/>
          <w:b w:val="0"/>
          <w:i w:val="0"/>
          <w:caps w:val="0"/>
          <w:color w:val="auto"/>
          <w:spacing w:val="0"/>
          <w:w w:val="100"/>
          <w:sz w:val="24"/>
          <w:szCs w:val="24"/>
          <w:highlight w:val="none"/>
        </w:rPr>
      </w:pPr>
      <w:r>
        <w:rPr>
          <w:rFonts w:hint="eastAsia" w:asciiTheme="minorEastAsia" w:hAnsiTheme="minorEastAsia" w:eastAsiaTheme="minorEastAsia" w:cstheme="minorEastAsia"/>
          <w:b w:val="0"/>
          <w:i w:val="0"/>
          <w:caps w:val="0"/>
          <w:color w:val="auto"/>
          <w:spacing w:val="0"/>
          <w:w w:val="100"/>
          <w:sz w:val="24"/>
          <w:szCs w:val="24"/>
          <w:highlight w:val="none"/>
        </w:rPr>
        <w:t>（1</w:t>
      </w:r>
      <w:r>
        <w:rPr>
          <w:rFonts w:hint="eastAsia" w:asciiTheme="minorEastAsia" w:hAnsiTheme="minorEastAsia" w:eastAsiaTheme="minorEastAsia" w:cstheme="minorEastAsia"/>
          <w:b w:val="0"/>
          <w:i w:val="0"/>
          <w:caps w:val="0"/>
          <w:color w:val="auto"/>
          <w:spacing w:val="0"/>
          <w:w w:val="100"/>
          <w:sz w:val="24"/>
          <w:szCs w:val="24"/>
          <w:highlight w:val="none"/>
          <w:lang w:val="en-US" w:eastAsia="zh-CN"/>
        </w:rPr>
        <w:t>1</w:t>
      </w:r>
      <w:r>
        <w:rPr>
          <w:rFonts w:hint="eastAsia" w:asciiTheme="minorEastAsia" w:hAnsiTheme="minorEastAsia" w:eastAsiaTheme="minorEastAsia" w:cstheme="minorEastAsia"/>
          <w:b w:val="0"/>
          <w:i w:val="0"/>
          <w:caps w:val="0"/>
          <w:color w:val="auto"/>
          <w:spacing w:val="0"/>
          <w:w w:val="100"/>
          <w:sz w:val="24"/>
          <w:szCs w:val="24"/>
          <w:highlight w:val="none"/>
        </w:rPr>
        <w:t>）总价金额与按单价汇总金额不一致的，以单价金额计算结果为准。同时出现两种以上不一致的，按照前款规定的顺序修正。修正后的报价按照第20.2条的规定经供应商确认后产生约束力，供应商不确认的，其</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将被认定为</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无效。</w:t>
      </w:r>
    </w:p>
    <w:p w14:paraId="61CCE1B3">
      <w:pPr>
        <w:keepNext w:val="0"/>
        <w:keepLines w:val="0"/>
        <w:pageBreakBefore w:val="0"/>
        <w:widowControl/>
        <w:kinsoku/>
        <w:wordWrap/>
        <w:overflowPunct/>
        <w:topLinePunct w:val="0"/>
        <w:bidi w:val="0"/>
        <w:snapToGrid w:val="0"/>
        <w:spacing w:before="0" w:beforeAutospacing="0" w:after="0" w:afterAutospacing="0" w:line="400" w:lineRule="exact"/>
        <w:jc w:val="both"/>
        <w:textAlignment w:val="baseline"/>
        <w:rPr>
          <w:rFonts w:hint="eastAsia" w:asciiTheme="minorEastAsia" w:hAnsiTheme="minorEastAsia" w:eastAsiaTheme="minorEastAsia" w:cstheme="minorEastAsia"/>
          <w:b w:val="0"/>
          <w:i w:val="0"/>
          <w:caps w:val="0"/>
          <w:color w:val="auto"/>
          <w:spacing w:val="0"/>
          <w:w w:val="100"/>
          <w:sz w:val="24"/>
          <w:szCs w:val="24"/>
          <w:highlight w:val="none"/>
        </w:rPr>
      </w:pPr>
      <w:r>
        <w:rPr>
          <w:rFonts w:hint="eastAsia" w:asciiTheme="minorEastAsia" w:hAnsiTheme="minorEastAsia" w:eastAsiaTheme="minorEastAsia" w:cstheme="minorEastAsia"/>
          <w:b w:val="0"/>
          <w:i w:val="0"/>
          <w:caps w:val="0"/>
          <w:color w:val="auto"/>
          <w:spacing w:val="0"/>
          <w:w w:val="100"/>
          <w:sz w:val="24"/>
          <w:szCs w:val="24"/>
          <w:highlight w:val="none"/>
        </w:rPr>
        <w:t>（1</w:t>
      </w:r>
      <w:r>
        <w:rPr>
          <w:rFonts w:hint="eastAsia" w:asciiTheme="minorEastAsia" w:hAnsiTheme="minorEastAsia" w:eastAsiaTheme="minorEastAsia" w:cstheme="minorEastAsia"/>
          <w:b w:val="0"/>
          <w:i w:val="0"/>
          <w:caps w:val="0"/>
          <w:color w:val="auto"/>
          <w:spacing w:val="0"/>
          <w:w w:val="100"/>
          <w:sz w:val="24"/>
          <w:szCs w:val="24"/>
          <w:highlight w:val="none"/>
          <w:lang w:val="en-US" w:eastAsia="zh-CN"/>
        </w:rPr>
        <w:t>2</w:t>
      </w:r>
      <w:r>
        <w:rPr>
          <w:rFonts w:hint="eastAsia" w:asciiTheme="minorEastAsia" w:hAnsiTheme="minorEastAsia" w:eastAsiaTheme="minorEastAsia" w:cstheme="minorEastAsia"/>
          <w:b w:val="0"/>
          <w:i w:val="0"/>
          <w:caps w:val="0"/>
          <w:color w:val="auto"/>
          <w:spacing w:val="0"/>
          <w:w w:val="100"/>
          <w:sz w:val="24"/>
          <w:szCs w:val="24"/>
          <w:highlight w:val="none"/>
        </w:rPr>
        <w:t>）在比较与评价之前，根据本须知的规定，</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小组要审查每份响应文件是否实质上响应了</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谈判文件</w:t>
      </w:r>
      <w:r>
        <w:rPr>
          <w:rFonts w:hint="eastAsia" w:asciiTheme="minorEastAsia" w:hAnsiTheme="minorEastAsia" w:eastAsiaTheme="minorEastAsia" w:cstheme="minorEastAsia"/>
          <w:b w:val="0"/>
          <w:i w:val="0"/>
          <w:caps w:val="0"/>
          <w:color w:val="auto"/>
          <w:spacing w:val="0"/>
          <w:w w:val="100"/>
          <w:sz w:val="24"/>
          <w:szCs w:val="24"/>
          <w:highlight w:val="none"/>
        </w:rPr>
        <w:t>的要求。实质上响应的</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应该是与</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谈判文件</w:t>
      </w:r>
      <w:r>
        <w:rPr>
          <w:rFonts w:hint="eastAsia" w:asciiTheme="minorEastAsia" w:hAnsiTheme="minorEastAsia" w:eastAsiaTheme="minorEastAsia" w:cstheme="minorEastAsia"/>
          <w:b w:val="0"/>
          <w:i w:val="0"/>
          <w:caps w:val="0"/>
          <w:color w:val="auto"/>
          <w:spacing w:val="0"/>
          <w:w w:val="100"/>
          <w:sz w:val="24"/>
          <w:szCs w:val="24"/>
          <w:highlight w:val="none"/>
        </w:rPr>
        <w:t>要求的全部条款、条件和规格相符，没有重大偏离的</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。对关键条款的偏离，将被认定为</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无效。</w:t>
      </w:r>
    </w:p>
    <w:p w14:paraId="7FE81FF2">
      <w:pPr>
        <w:keepNext w:val="0"/>
        <w:keepLines w:val="0"/>
        <w:pageBreakBefore w:val="0"/>
        <w:widowControl/>
        <w:kinsoku/>
        <w:wordWrap/>
        <w:overflowPunct/>
        <w:topLinePunct w:val="0"/>
        <w:bidi w:val="0"/>
        <w:snapToGrid w:val="0"/>
        <w:spacing w:before="0" w:beforeAutospacing="0" w:after="0" w:afterAutospacing="0" w:line="400" w:lineRule="exact"/>
        <w:jc w:val="both"/>
        <w:textAlignment w:val="baseline"/>
        <w:rPr>
          <w:rFonts w:hint="eastAsia" w:asciiTheme="minorEastAsia" w:hAnsiTheme="minorEastAsia" w:eastAsiaTheme="minorEastAsia" w:cstheme="minorEastAsia"/>
          <w:b w:val="0"/>
          <w:i w:val="0"/>
          <w:caps w:val="0"/>
          <w:color w:val="auto"/>
          <w:spacing w:val="0"/>
          <w:w w:val="100"/>
          <w:sz w:val="24"/>
          <w:szCs w:val="24"/>
          <w:highlight w:val="none"/>
        </w:rPr>
      </w:pPr>
      <w:r>
        <w:rPr>
          <w:rFonts w:hint="eastAsia" w:asciiTheme="minorEastAsia" w:hAnsiTheme="minorEastAsia" w:eastAsiaTheme="minorEastAsia" w:cstheme="minorEastAsia"/>
          <w:b w:val="0"/>
          <w:i w:val="0"/>
          <w:caps w:val="0"/>
          <w:color w:val="auto"/>
          <w:spacing w:val="0"/>
          <w:w w:val="100"/>
          <w:sz w:val="24"/>
          <w:szCs w:val="24"/>
          <w:highlight w:val="none"/>
        </w:rPr>
        <w:t>（1</w:t>
      </w:r>
      <w:r>
        <w:rPr>
          <w:rFonts w:hint="eastAsia" w:asciiTheme="minorEastAsia" w:hAnsiTheme="minorEastAsia" w:eastAsiaTheme="minorEastAsia" w:cstheme="minorEastAsia"/>
          <w:b w:val="0"/>
          <w:i w:val="0"/>
          <w:caps w:val="0"/>
          <w:color w:val="auto"/>
          <w:spacing w:val="0"/>
          <w:w w:val="100"/>
          <w:sz w:val="24"/>
          <w:szCs w:val="24"/>
          <w:highlight w:val="none"/>
          <w:lang w:val="en-US" w:eastAsia="zh-CN"/>
        </w:rPr>
        <w:t>3</w:t>
      </w:r>
      <w:r>
        <w:rPr>
          <w:rFonts w:hint="eastAsia" w:asciiTheme="minorEastAsia" w:hAnsiTheme="minorEastAsia" w:eastAsiaTheme="minorEastAsia" w:cstheme="minorEastAsia"/>
          <w:b w:val="0"/>
          <w:i w:val="0"/>
          <w:caps w:val="0"/>
          <w:color w:val="auto"/>
          <w:spacing w:val="0"/>
          <w:w w:val="100"/>
          <w:sz w:val="24"/>
          <w:szCs w:val="24"/>
          <w:highlight w:val="none"/>
        </w:rPr>
        <w:t>）如发现下列情况之一的，其</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将被认定为</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无效：</w:t>
      </w:r>
    </w:p>
    <w:p w14:paraId="7CC7681F">
      <w:pPr>
        <w:keepNext w:val="0"/>
        <w:keepLines w:val="0"/>
        <w:pageBreakBefore w:val="0"/>
        <w:widowControl/>
        <w:kinsoku/>
        <w:wordWrap/>
        <w:overflowPunct/>
        <w:topLinePunct w:val="0"/>
        <w:bidi w:val="0"/>
        <w:snapToGrid w:val="0"/>
        <w:spacing w:before="0" w:beforeAutospacing="0" w:after="0" w:afterAutospacing="0" w:line="400" w:lineRule="exact"/>
        <w:jc w:val="both"/>
        <w:textAlignment w:val="baseline"/>
        <w:rPr>
          <w:rFonts w:hint="eastAsia" w:asciiTheme="minorEastAsia" w:hAnsiTheme="minorEastAsia" w:eastAsiaTheme="minorEastAsia" w:cstheme="minorEastAsia"/>
          <w:b w:val="0"/>
          <w:i w:val="0"/>
          <w:caps w:val="0"/>
          <w:color w:val="auto"/>
          <w:spacing w:val="0"/>
          <w:w w:val="100"/>
          <w:sz w:val="24"/>
          <w:szCs w:val="24"/>
          <w:highlight w:val="none"/>
        </w:rPr>
      </w:pPr>
      <w:r>
        <w:rPr>
          <w:rFonts w:hint="eastAsia" w:asciiTheme="minorEastAsia" w:hAnsiTheme="minorEastAsia" w:eastAsiaTheme="minorEastAsia" w:cstheme="minorEastAsia"/>
          <w:b w:val="0"/>
          <w:i w:val="0"/>
          <w:caps w:val="0"/>
          <w:color w:val="auto"/>
          <w:spacing w:val="0"/>
          <w:w w:val="100"/>
          <w:sz w:val="24"/>
          <w:szCs w:val="24"/>
          <w:highlight w:val="none"/>
        </w:rPr>
        <w:t>未按</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谈判文件</w:t>
      </w:r>
      <w:r>
        <w:rPr>
          <w:rFonts w:hint="eastAsia" w:asciiTheme="minorEastAsia" w:hAnsiTheme="minorEastAsia" w:eastAsiaTheme="minorEastAsia" w:cstheme="minorEastAsia"/>
          <w:b w:val="0"/>
          <w:i w:val="0"/>
          <w:caps w:val="0"/>
          <w:color w:val="auto"/>
          <w:spacing w:val="0"/>
          <w:w w:val="100"/>
          <w:sz w:val="24"/>
          <w:szCs w:val="24"/>
          <w:highlight w:val="none"/>
        </w:rPr>
        <w:t>规定的形式和金额提交</w:t>
      </w:r>
      <w:r>
        <w:rPr>
          <w:rFonts w:hint="eastAsia" w:asciiTheme="minorEastAsia" w:hAnsiTheme="minorEastAsia" w:eastAsiaTheme="minorEastAsia" w:cstheme="minorEastAsia"/>
          <w:b w:val="0"/>
          <w:i w:val="0"/>
          <w:caps w:val="0"/>
          <w:color w:val="auto"/>
          <w:spacing w:val="0"/>
          <w:w w:val="100"/>
          <w:sz w:val="24"/>
          <w:szCs w:val="24"/>
          <w:highlight w:val="none"/>
          <w:lang w:val="en-US" w:eastAsia="zh-CN"/>
        </w:rPr>
        <w:t>响应</w:t>
      </w:r>
      <w:r>
        <w:rPr>
          <w:rFonts w:hint="eastAsia" w:asciiTheme="minorEastAsia" w:hAnsiTheme="minorEastAsia" w:eastAsiaTheme="minorEastAsia" w:cstheme="minorEastAsia"/>
          <w:b w:val="0"/>
          <w:i w:val="0"/>
          <w:caps w:val="0"/>
          <w:color w:val="auto"/>
          <w:spacing w:val="0"/>
          <w:w w:val="100"/>
          <w:sz w:val="24"/>
          <w:szCs w:val="24"/>
          <w:highlight w:val="none"/>
          <w:lang w:eastAsia="zh-CN"/>
        </w:rPr>
        <w:t>保证金</w:t>
      </w:r>
      <w:r>
        <w:rPr>
          <w:rFonts w:hint="eastAsia" w:asciiTheme="minorEastAsia" w:hAnsiTheme="minorEastAsia" w:eastAsiaTheme="minorEastAsia" w:cstheme="minorEastAsia"/>
          <w:b w:val="0"/>
          <w:i w:val="0"/>
          <w:caps w:val="0"/>
          <w:color w:val="auto"/>
          <w:spacing w:val="0"/>
          <w:w w:val="100"/>
          <w:sz w:val="24"/>
          <w:szCs w:val="24"/>
          <w:highlight w:val="none"/>
        </w:rPr>
        <w:t>的；未按照</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谈判文件</w:t>
      </w:r>
      <w:r>
        <w:rPr>
          <w:rFonts w:hint="eastAsia" w:asciiTheme="minorEastAsia" w:hAnsiTheme="minorEastAsia" w:eastAsiaTheme="minorEastAsia" w:cstheme="minorEastAsia"/>
          <w:b w:val="0"/>
          <w:i w:val="0"/>
          <w:caps w:val="0"/>
          <w:color w:val="auto"/>
          <w:spacing w:val="0"/>
          <w:w w:val="100"/>
          <w:sz w:val="24"/>
          <w:szCs w:val="24"/>
          <w:highlight w:val="none"/>
        </w:rPr>
        <w:t>规定要求签署、盖章的；未满足</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谈判文件</w:t>
      </w:r>
      <w:r>
        <w:rPr>
          <w:rFonts w:hint="eastAsia" w:asciiTheme="minorEastAsia" w:hAnsiTheme="minorEastAsia" w:eastAsiaTheme="minorEastAsia" w:cstheme="minorEastAsia"/>
          <w:b w:val="0"/>
          <w:i w:val="0"/>
          <w:caps w:val="0"/>
          <w:color w:val="auto"/>
          <w:spacing w:val="0"/>
          <w:w w:val="100"/>
          <w:sz w:val="24"/>
          <w:szCs w:val="24"/>
          <w:highlight w:val="none"/>
        </w:rPr>
        <w:t>中技术条款的实质性要求；与其他供应商串通</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，或者与</w:t>
      </w:r>
      <w:r>
        <w:rPr>
          <w:rFonts w:hint="eastAsia" w:asciiTheme="minorEastAsia" w:hAnsiTheme="minorEastAsia" w:eastAsiaTheme="minorEastAsia" w:cstheme="minorEastAsia"/>
          <w:b w:val="0"/>
          <w:i w:val="0"/>
          <w:caps w:val="0"/>
          <w:color w:val="auto"/>
          <w:spacing w:val="0"/>
          <w:w w:val="100"/>
          <w:sz w:val="24"/>
          <w:szCs w:val="24"/>
          <w:highlight w:val="none"/>
          <w:lang w:eastAsia="zh-CN"/>
        </w:rPr>
        <w:t>采购</w:t>
      </w:r>
      <w:r>
        <w:rPr>
          <w:rFonts w:hint="eastAsia" w:asciiTheme="minorEastAsia" w:hAnsiTheme="minorEastAsia" w:eastAsiaTheme="minorEastAsia" w:cstheme="minorEastAsia"/>
          <w:b w:val="0"/>
          <w:i w:val="0"/>
          <w:caps w:val="0"/>
          <w:color w:val="auto"/>
          <w:spacing w:val="0"/>
          <w:w w:val="100"/>
          <w:sz w:val="24"/>
          <w:szCs w:val="24"/>
          <w:highlight w:val="none"/>
        </w:rPr>
        <w:t>人串通</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；属于</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谈判文件</w:t>
      </w:r>
      <w:r>
        <w:rPr>
          <w:rFonts w:hint="eastAsia" w:asciiTheme="minorEastAsia" w:hAnsiTheme="minorEastAsia" w:eastAsiaTheme="minorEastAsia" w:cstheme="minorEastAsia"/>
          <w:b w:val="0"/>
          <w:i w:val="0"/>
          <w:caps w:val="0"/>
          <w:color w:val="auto"/>
          <w:spacing w:val="0"/>
          <w:w w:val="100"/>
          <w:sz w:val="24"/>
          <w:szCs w:val="24"/>
          <w:highlight w:val="none"/>
        </w:rPr>
        <w:t>规定的其他</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无效情形；</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小组认为供应商的报价明显低于其他通过符合性检查供应商的报价，有可能影响履约的，且供应商未按照规定证明其报价合理性的；响应文件含有采购人不能接受的附加条件的；不符合法规和</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谈判文件</w:t>
      </w:r>
      <w:r>
        <w:rPr>
          <w:rFonts w:hint="eastAsia" w:asciiTheme="minorEastAsia" w:hAnsiTheme="minorEastAsia" w:eastAsiaTheme="minorEastAsia" w:cstheme="minorEastAsia"/>
          <w:b w:val="0"/>
          <w:i w:val="0"/>
          <w:caps w:val="0"/>
          <w:color w:val="auto"/>
          <w:spacing w:val="0"/>
          <w:w w:val="100"/>
          <w:sz w:val="24"/>
          <w:szCs w:val="24"/>
          <w:highlight w:val="none"/>
        </w:rPr>
        <w:t>中规定的其他实质性要求的。</w:t>
      </w:r>
    </w:p>
    <w:p w14:paraId="491F3EED">
      <w:pPr>
        <w:pStyle w:val="8"/>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rPr>
      </w:pPr>
      <w:r>
        <w:rPr>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rPr>
        <w:t>5.开标：</w:t>
      </w:r>
    </w:p>
    <w:p w14:paraId="0B04F907">
      <w:pPr>
        <w:pStyle w:val="8"/>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pPr>
      <w:r>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t>（1）采购人和采购代理机构将按供应商须知资料表中规定的谈判时间和地点组织谈判并邀请所有供应商代表参加。</w:t>
      </w:r>
    </w:p>
    <w:p w14:paraId="5CC773A3">
      <w:pPr>
        <w:pStyle w:val="8"/>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pPr>
      <w:r>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t>（2）开标前，工作人员收走所有参会人员的手机，主持人宣布开标纪律。</w:t>
      </w:r>
    </w:p>
    <w:p w14:paraId="2D1D3A07">
      <w:pPr>
        <w:pStyle w:val="8"/>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pPr>
      <w:r>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t>（3）采购代理机构在政采云平台上进行标书解密，然后开启标书信息。</w:t>
      </w:r>
    </w:p>
    <w:p w14:paraId="7DC29370">
      <w:pPr>
        <w:pStyle w:val="8"/>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pPr>
      <w:r>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t>（4）采购人或采购代理机构将对开标过程进行记录，由参加开标的相关人员签字确认，并存档备查。</w:t>
      </w:r>
    </w:p>
    <w:p w14:paraId="440B9E70">
      <w:pPr>
        <w:pStyle w:val="8"/>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rPr>
      </w:pPr>
      <w:r>
        <w:rPr>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rPr>
        <w:t>6.评标：</w:t>
      </w:r>
    </w:p>
    <w:p w14:paraId="2995CA6E">
      <w:pPr>
        <w:pStyle w:val="8"/>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pPr>
      <w:r>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t>（1）由采购人代表及由省级以上财政部门设立的政府采购评审专家库中随机抽取的专家3人组成。</w:t>
      </w:r>
    </w:p>
    <w:p w14:paraId="62048DEC">
      <w:pPr>
        <w:pStyle w:val="8"/>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pPr>
      <w:r>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t>（2）谈判小组应当按照谈判文件中规定的评标方法和标准，对所有响应文件进行资格性审查，再对符合资格要求的供应商的响应文件进行符合性审查，以确定其是否满足谈判文件的实质性要求。</w:t>
      </w:r>
    </w:p>
    <w:p w14:paraId="58863FBB">
      <w:pPr>
        <w:pStyle w:val="8"/>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pPr>
      <w:r>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t>（3）若对于响应文件中含义不明确、同类问题表述不一致或者有明显文字和计算错误的内容，谈判小组应当以书面形式要求供应商作出必要的澄清、说明或者补正。供应商的澄清、说明或者补正应当采用书面形式，并加盖公章，或者由法定代表人签章。供应商的澄清、说明或者补正不得超出响应文件的范围或者改变响应文件的实质性内容。</w:t>
      </w:r>
    </w:p>
    <w:p w14:paraId="26EA2996">
      <w:pPr>
        <w:pStyle w:val="8"/>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Theme="minorEastAsia" w:hAnsiTheme="minorEastAsia" w:eastAsiaTheme="minorEastAsia" w:cstheme="minorEastAsia"/>
          <w:b w:val="0"/>
          <w:i w:val="0"/>
          <w:caps w:val="0"/>
          <w:color w:val="auto"/>
          <w:spacing w:val="0"/>
          <w:w w:val="100"/>
          <w:sz w:val="24"/>
          <w:szCs w:val="24"/>
          <w:highlight w:val="none"/>
          <w:lang w:val="en-US" w:eastAsia="zh-CN"/>
        </w:rPr>
      </w:pPr>
      <w:r>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t>（4）</w:t>
      </w:r>
      <w:r>
        <w:rPr>
          <w:rFonts w:hint="eastAsia" w:asciiTheme="minorEastAsia" w:hAnsiTheme="minorEastAsia" w:eastAsiaTheme="minorEastAsia" w:cstheme="minorEastAsia"/>
          <w:b w:val="0"/>
          <w:bCs w:val="0"/>
          <w:i w:val="0"/>
          <w:caps w:val="0"/>
          <w:color w:val="auto"/>
          <w:spacing w:val="0"/>
          <w:w w:val="100"/>
          <w:sz w:val="24"/>
          <w:szCs w:val="24"/>
          <w:highlight w:val="none"/>
        </w:rPr>
        <w:t>共有两次报价，二次报价为最终报价，</w:t>
      </w:r>
      <w:r>
        <w:rPr>
          <w:rFonts w:hint="eastAsia" w:asciiTheme="minorEastAsia" w:hAnsiTheme="minorEastAsia" w:eastAsiaTheme="minorEastAsia" w:cstheme="minorEastAsia"/>
          <w:b w:val="0"/>
          <w:bCs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bCs w:val="0"/>
          <w:i w:val="0"/>
          <w:caps w:val="0"/>
          <w:color w:val="auto"/>
          <w:spacing w:val="0"/>
          <w:w w:val="100"/>
          <w:sz w:val="24"/>
          <w:szCs w:val="24"/>
          <w:highlight w:val="none"/>
        </w:rPr>
        <w:t>小组所有成员集中与单一供应商分别进行</w:t>
      </w:r>
      <w:r>
        <w:rPr>
          <w:rFonts w:hint="eastAsia" w:asciiTheme="minorEastAsia" w:hAnsiTheme="minorEastAsia" w:eastAsiaTheme="minorEastAsia" w:cstheme="minorEastAsia"/>
          <w:b w:val="0"/>
          <w:bCs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bCs w:val="0"/>
          <w:i w:val="0"/>
          <w:caps w:val="0"/>
          <w:color w:val="auto"/>
          <w:spacing w:val="0"/>
          <w:w w:val="100"/>
          <w:sz w:val="24"/>
          <w:szCs w:val="24"/>
          <w:highlight w:val="none"/>
        </w:rPr>
        <w:t>，并给予所有参加</w:t>
      </w:r>
      <w:r>
        <w:rPr>
          <w:rFonts w:hint="eastAsia" w:asciiTheme="minorEastAsia" w:hAnsiTheme="minorEastAsia" w:eastAsiaTheme="minorEastAsia" w:cstheme="minorEastAsia"/>
          <w:b w:val="0"/>
          <w:bCs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bCs w:val="0"/>
          <w:i w:val="0"/>
          <w:caps w:val="0"/>
          <w:color w:val="auto"/>
          <w:spacing w:val="0"/>
          <w:w w:val="100"/>
          <w:sz w:val="24"/>
          <w:szCs w:val="24"/>
          <w:highlight w:val="none"/>
        </w:rPr>
        <w:t>的供应商平等的</w:t>
      </w:r>
      <w:r>
        <w:rPr>
          <w:rFonts w:hint="eastAsia" w:asciiTheme="minorEastAsia" w:hAnsiTheme="minorEastAsia" w:eastAsiaTheme="minorEastAsia" w:cstheme="minorEastAsia"/>
          <w:b w:val="0"/>
          <w:bCs w:val="0"/>
          <w:i w:val="0"/>
          <w:caps w:val="0"/>
          <w:color w:val="auto"/>
          <w:spacing w:val="0"/>
          <w:w w:val="100"/>
          <w:sz w:val="24"/>
          <w:szCs w:val="24"/>
          <w:highlight w:val="none"/>
          <w:lang w:val="en-US" w:eastAsia="zh-CN"/>
        </w:rPr>
        <w:t>谈判</w:t>
      </w:r>
      <w:r>
        <w:rPr>
          <w:rFonts w:hint="eastAsia" w:asciiTheme="minorEastAsia" w:hAnsiTheme="minorEastAsia" w:eastAsiaTheme="minorEastAsia" w:cstheme="minorEastAsia"/>
          <w:b w:val="0"/>
          <w:bCs w:val="0"/>
          <w:i w:val="0"/>
          <w:caps w:val="0"/>
          <w:color w:val="auto"/>
          <w:spacing w:val="0"/>
          <w:w w:val="100"/>
          <w:sz w:val="24"/>
          <w:szCs w:val="24"/>
          <w:highlight w:val="none"/>
        </w:rPr>
        <w:t>机会，</w:t>
      </w:r>
      <w:r>
        <w:rPr>
          <w:rFonts w:hint="eastAsia" w:asciiTheme="minorEastAsia" w:hAnsiTheme="minorEastAsia" w:eastAsiaTheme="minorEastAsia" w:cstheme="minorEastAsia"/>
          <w:b w:val="0"/>
          <w:bCs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bCs w:val="0"/>
          <w:i w:val="0"/>
          <w:caps w:val="0"/>
          <w:color w:val="auto"/>
          <w:spacing w:val="0"/>
          <w:w w:val="100"/>
          <w:sz w:val="24"/>
          <w:szCs w:val="24"/>
          <w:highlight w:val="none"/>
        </w:rPr>
        <w:t>小组要求所有实质性响应的供应商在规定时间内提交最后报价。</w:t>
      </w:r>
      <w:r>
        <w:rPr>
          <w:rFonts w:hint="eastAsia" w:asciiTheme="minorEastAsia" w:hAnsiTheme="minorEastAsia" w:eastAsiaTheme="minorEastAsia" w:cstheme="minorEastAsia"/>
          <w:b w:val="0"/>
          <w:i w:val="0"/>
          <w:caps w:val="0"/>
          <w:color w:val="auto"/>
          <w:spacing w:val="0"/>
          <w:w w:val="100"/>
          <w:sz w:val="24"/>
          <w:szCs w:val="24"/>
          <w:highlight w:val="none"/>
          <w:lang w:val="en-US" w:eastAsia="zh-CN"/>
        </w:rPr>
        <w:t>　</w:t>
      </w:r>
    </w:p>
    <w:p w14:paraId="57B5FC38">
      <w:pPr>
        <w:pStyle w:val="8"/>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pPr>
      <w:r>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t>（5）采用最低评标价法的，评标结果按谈判报价由低到高顺序排列。谈判报价相同的并列。响应文件满足谈判文件全部实质性要求且谈判报价最低的供应商为排名第一的成交候选人。</w:t>
      </w:r>
    </w:p>
    <w:p w14:paraId="3BB42AC8">
      <w:pPr>
        <w:pStyle w:val="8"/>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pPr>
      <w:r>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t>（7）谈判小组成员对需要共同认定的事项存在争议的，应当按照少数服从多数的原则作出结论。持不同意见的谈判小组成员应当在评审报告上签署不同意见及理由，否则视为同意评审报告。</w:t>
      </w:r>
    </w:p>
    <w:p w14:paraId="17C99993">
      <w:pPr>
        <w:pStyle w:val="8"/>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rPr>
      </w:pPr>
      <w:r>
        <w:rPr>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rPr>
        <w:t>7.定标：</w:t>
      </w:r>
    </w:p>
    <w:p w14:paraId="3EA94882">
      <w:pPr>
        <w:pStyle w:val="8"/>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pPr>
      <w:r>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t>（1）采购代理机构应当在评标结束后2个工作日内将评审报告送采购人。</w:t>
      </w:r>
    </w:p>
    <w:p w14:paraId="7C26A5E8">
      <w:pPr>
        <w:pStyle w:val="8"/>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pPr>
      <w:r>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t>（2）采购人不委托评审委员会直接确定成交人。谈判小组推荐成交候选供应商的数量为3家。采购人应当自收到评审报告之日起５个工作日内，在评审报告确定的成交候选人名单中按顺序确定成交人。成交候选人并列的，由采购人按照谈判文件规定的方式确定成交人。</w:t>
      </w:r>
    </w:p>
    <w:p w14:paraId="7C51F82D">
      <w:pPr>
        <w:pStyle w:val="8"/>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pPr>
      <w:r>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t xml:space="preserve">（3）成交候选人并列式时的处理方式：评标结果按谈判报价由低到高顺序排列。谈判报价相同的并列。响应文件满足谈判文件全部实质性要求且谈判报价最低的供应商为排名第一的成交候选人。  </w:t>
      </w:r>
    </w:p>
    <w:p w14:paraId="097275EC">
      <w:pPr>
        <w:pStyle w:val="8"/>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pPr>
      <w:r>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t>（4）采购人在收到评审报告5个工作日内未按评审报告推荐的成交候选人顺序确定成交人，又不能说明合法理由的，视同按评审报告推荐的顺序确定排名第一的成交候选人为成交人。</w:t>
      </w:r>
    </w:p>
    <w:p w14:paraId="1F8F803C">
      <w:pPr>
        <w:pStyle w:val="11"/>
        <w:pageBreakBefore w:val="0"/>
        <w:tabs>
          <w:tab w:val="clear" w:pos="567"/>
        </w:tabs>
        <w:kinsoku/>
        <w:wordWrap/>
        <w:overflowPunct/>
        <w:topLinePunct w:val="0"/>
        <w:bidi w:val="0"/>
        <w:spacing w:before="0" w:line="500" w:lineRule="exact"/>
        <w:textAlignment w:val="auto"/>
        <w:rPr>
          <w:rFonts w:hint="eastAsia" w:asciiTheme="minorEastAsia" w:hAnsiTheme="minorEastAsia" w:eastAsiaTheme="minorEastAsia" w:cstheme="minorEastAsia"/>
          <w:b w:val="0"/>
          <w:bCs/>
          <w:color w:val="auto"/>
          <w:sz w:val="24"/>
          <w:szCs w:val="24"/>
          <w:highlight w:val="none"/>
        </w:rPr>
      </w:pPr>
    </w:p>
    <w:p w14:paraId="2C485F79">
      <w:pPr>
        <w:bidi w:val="0"/>
        <w:jc w:val="center"/>
        <w:outlineLvl w:val="1"/>
        <w:rPr>
          <w:rFonts w:hint="eastAsia" w:asciiTheme="minorEastAsia" w:hAnsiTheme="minorEastAsia" w:eastAsiaTheme="minorEastAsia" w:cstheme="minorEastAsia"/>
          <w:b/>
          <w:bCs/>
          <w:color w:val="auto"/>
          <w:sz w:val="24"/>
          <w:szCs w:val="24"/>
          <w:highlight w:val="none"/>
        </w:rPr>
      </w:pPr>
      <w:bookmarkStart w:id="804" w:name="_Toc3495"/>
      <w:bookmarkStart w:id="805" w:name="_Toc10241"/>
      <w:bookmarkStart w:id="806" w:name="_Toc18594"/>
      <w:bookmarkStart w:id="807" w:name="_Toc32348"/>
      <w:bookmarkStart w:id="808" w:name="_Toc12865"/>
      <w:bookmarkStart w:id="809" w:name="_Toc4083_WPSOffice_Level2"/>
      <w:bookmarkStart w:id="810" w:name="_Toc27839"/>
      <w:bookmarkStart w:id="811" w:name="_Toc27625"/>
      <w:bookmarkStart w:id="812" w:name="_Toc19645"/>
      <w:bookmarkStart w:id="813" w:name="_Toc4359"/>
      <w:bookmarkStart w:id="814" w:name="_Toc14193"/>
      <w:bookmarkStart w:id="815" w:name="_Toc30537"/>
      <w:bookmarkStart w:id="816" w:name="_Toc28341"/>
      <w:bookmarkStart w:id="817" w:name="_Toc767"/>
      <w:bookmarkStart w:id="818" w:name="_Toc27447"/>
      <w:bookmarkStart w:id="819" w:name="_Toc25824"/>
      <w:r>
        <w:rPr>
          <w:rFonts w:hint="eastAsia" w:asciiTheme="minorEastAsia" w:hAnsiTheme="minorEastAsia" w:eastAsiaTheme="minorEastAsia" w:cstheme="minorEastAsia"/>
          <w:b/>
          <w:bCs/>
          <w:color w:val="auto"/>
          <w:sz w:val="24"/>
          <w:szCs w:val="24"/>
          <w:highlight w:val="none"/>
        </w:rPr>
        <w:br w:type="page"/>
      </w:r>
      <w:bookmarkStart w:id="820" w:name="_Toc11056"/>
      <w:r>
        <w:rPr>
          <w:rFonts w:hint="eastAsia" w:asciiTheme="minorEastAsia" w:hAnsiTheme="minorEastAsia" w:eastAsiaTheme="minorEastAsia" w:cstheme="minorEastAsia"/>
          <w:b/>
          <w:bCs/>
          <w:color w:val="auto"/>
          <w:sz w:val="24"/>
          <w:szCs w:val="24"/>
          <w:highlight w:val="none"/>
        </w:rPr>
        <w:t>响应文件</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资格性审查表</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tbl>
      <w:tblPr>
        <w:tblStyle w:val="44"/>
        <w:tblW w:w="53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7427"/>
        <w:gridCol w:w="356"/>
        <w:gridCol w:w="416"/>
        <w:gridCol w:w="416"/>
      </w:tblGrid>
      <w:tr w14:paraId="7A20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95" w:type="pct"/>
            <w:vMerge w:val="restart"/>
            <w:noWrap w:val="0"/>
            <w:vAlign w:val="center"/>
          </w:tcPr>
          <w:p w14:paraId="40AF330C">
            <w:pPr>
              <w:pStyle w:val="33"/>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4055" w:type="pct"/>
            <w:vMerge w:val="restart"/>
            <w:noWrap w:val="0"/>
            <w:vAlign w:val="center"/>
          </w:tcPr>
          <w:p w14:paraId="3063C9EA">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评审内容</w:t>
            </w:r>
          </w:p>
        </w:tc>
        <w:tc>
          <w:tcPr>
            <w:tcW w:w="648" w:type="pct"/>
            <w:gridSpan w:val="3"/>
            <w:noWrap w:val="0"/>
            <w:vAlign w:val="center"/>
          </w:tcPr>
          <w:p w14:paraId="4E21B86C">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供应商</w:t>
            </w:r>
          </w:p>
        </w:tc>
      </w:tr>
      <w:tr w14:paraId="39C6E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95" w:type="pct"/>
            <w:vMerge w:val="continue"/>
            <w:noWrap w:val="0"/>
            <w:vAlign w:val="center"/>
          </w:tcPr>
          <w:p w14:paraId="314F2D77">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Theme="minorEastAsia" w:hAnsiTheme="minorEastAsia" w:eastAsiaTheme="minorEastAsia" w:cstheme="minorEastAsia"/>
                <w:b/>
                <w:bCs/>
                <w:color w:val="auto"/>
                <w:sz w:val="24"/>
                <w:szCs w:val="24"/>
                <w:highlight w:val="none"/>
              </w:rPr>
            </w:pPr>
          </w:p>
        </w:tc>
        <w:tc>
          <w:tcPr>
            <w:tcW w:w="4055" w:type="pct"/>
            <w:vMerge w:val="continue"/>
            <w:noWrap w:val="0"/>
            <w:vAlign w:val="center"/>
          </w:tcPr>
          <w:p w14:paraId="27C2C246">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Theme="minorEastAsia" w:hAnsiTheme="minorEastAsia" w:eastAsiaTheme="minorEastAsia" w:cstheme="minorEastAsia"/>
                <w:b/>
                <w:bCs/>
                <w:color w:val="auto"/>
                <w:sz w:val="24"/>
                <w:szCs w:val="24"/>
                <w:highlight w:val="none"/>
              </w:rPr>
            </w:pPr>
          </w:p>
        </w:tc>
        <w:tc>
          <w:tcPr>
            <w:tcW w:w="194" w:type="pct"/>
            <w:noWrap w:val="0"/>
            <w:vAlign w:val="center"/>
          </w:tcPr>
          <w:p w14:paraId="2FC15168">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是否合格</w:t>
            </w:r>
          </w:p>
        </w:tc>
        <w:tc>
          <w:tcPr>
            <w:tcW w:w="226" w:type="pct"/>
            <w:shd w:val="clear" w:color="auto" w:fill="auto"/>
            <w:noWrap w:val="0"/>
            <w:vAlign w:val="center"/>
          </w:tcPr>
          <w:p w14:paraId="4A6CCCA3">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rPr>
              <w:t>是否合格</w:t>
            </w:r>
          </w:p>
        </w:tc>
        <w:tc>
          <w:tcPr>
            <w:tcW w:w="227" w:type="pct"/>
            <w:noWrap w:val="0"/>
            <w:vAlign w:val="center"/>
          </w:tcPr>
          <w:p w14:paraId="63AADC12">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是否合格</w:t>
            </w:r>
          </w:p>
        </w:tc>
      </w:tr>
      <w:tr w14:paraId="42805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95" w:type="pct"/>
            <w:noWrap w:val="0"/>
            <w:vAlign w:val="center"/>
          </w:tcPr>
          <w:p w14:paraId="3B5A41F9">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1</w:t>
            </w:r>
          </w:p>
        </w:tc>
        <w:tc>
          <w:tcPr>
            <w:tcW w:w="4055" w:type="pct"/>
            <w:noWrap w:val="0"/>
            <w:vAlign w:val="center"/>
          </w:tcPr>
          <w:p w14:paraId="1542D0BA">
            <w:pPr>
              <w:keepNext w:val="0"/>
              <w:keepLines w:val="0"/>
              <w:pageBreakBefore w:val="0"/>
              <w:widowControl/>
              <w:kinsoku/>
              <w:wordWrap/>
              <w:overflowPunct/>
              <w:topLinePunct w:val="0"/>
              <w:autoSpaceDE/>
              <w:autoSpaceDN/>
              <w:bidi w:val="0"/>
              <w:adjustRightInd/>
              <w:snapToGrid w:val="0"/>
              <w:spacing w:line="340" w:lineRule="exact"/>
              <w:jc w:val="left"/>
              <w:textAlignment w:val="baseline"/>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rPr>
              <w:t>具有有效的营业执照；</w:t>
            </w:r>
          </w:p>
        </w:tc>
        <w:tc>
          <w:tcPr>
            <w:tcW w:w="194" w:type="pct"/>
            <w:noWrap w:val="0"/>
            <w:vAlign w:val="top"/>
          </w:tcPr>
          <w:p w14:paraId="30874993">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c>
          <w:tcPr>
            <w:tcW w:w="226" w:type="pct"/>
            <w:noWrap w:val="0"/>
            <w:vAlign w:val="top"/>
          </w:tcPr>
          <w:p w14:paraId="252782E1">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c>
          <w:tcPr>
            <w:tcW w:w="227" w:type="pct"/>
            <w:noWrap w:val="0"/>
            <w:vAlign w:val="top"/>
          </w:tcPr>
          <w:p w14:paraId="4A795BA7">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r>
      <w:tr w14:paraId="004C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95" w:type="pct"/>
            <w:noWrap w:val="0"/>
            <w:vAlign w:val="center"/>
          </w:tcPr>
          <w:p w14:paraId="0ACC138A">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Theme="minorEastAsia" w:hAnsiTheme="minorEastAsia" w:eastAsiaTheme="minorEastAsia" w:cstheme="minorEastAsia"/>
                <w:color w:val="auto"/>
                <w:spacing w:val="-2"/>
                <w:kern w:val="2"/>
                <w:sz w:val="24"/>
                <w:szCs w:val="24"/>
                <w:highlight w:val="none"/>
                <w:lang w:val="en-US" w:eastAsia="zh-CN" w:bidi="ar-SA"/>
              </w:rPr>
            </w:pPr>
            <w:r>
              <w:rPr>
                <w:rFonts w:hint="eastAsia" w:asciiTheme="minorEastAsia" w:hAnsiTheme="minorEastAsia" w:eastAsiaTheme="minorEastAsia" w:cstheme="minorEastAsia"/>
                <w:color w:val="auto"/>
                <w:spacing w:val="-2"/>
                <w:kern w:val="2"/>
                <w:sz w:val="24"/>
                <w:szCs w:val="24"/>
                <w:highlight w:val="none"/>
                <w:lang w:val="en-US" w:eastAsia="zh-CN" w:bidi="ar-SA"/>
              </w:rPr>
              <w:t>2</w:t>
            </w:r>
          </w:p>
        </w:tc>
        <w:tc>
          <w:tcPr>
            <w:tcW w:w="4055" w:type="pct"/>
            <w:noWrap w:val="0"/>
            <w:vAlign w:val="center"/>
          </w:tcPr>
          <w:p w14:paraId="31F40706">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right="0" w:rightChars="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宋体" w:hAnsi="宋体" w:cs="宋体"/>
                <w:b w:val="0"/>
                <w:bCs/>
                <w:i w:val="0"/>
                <w:iCs w:val="0"/>
                <w:color w:val="auto"/>
                <w:kern w:val="2"/>
                <w:sz w:val="24"/>
                <w:szCs w:val="24"/>
                <w:highlight w:val="none"/>
                <w:lang w:val="en-US" w:eastAsia="zh-CN" w:bidi="ar-SA"/>
              </w:rPr>
              <w:t>法人本人投标需提供法人身份证明，委托代理人投标需提供法人授权委托书和身份证明</w:t>
            </w:r>
            <w:r>
              <w:rPr>
                <w:rFonts w:hint="eastAsia" w:ascii="宋体" w:hAnsi="宋体" w:eastAsia="宋体" w:cs="宋体"/>
                <w:b w:val="0"/>
                <w:bCs/>
                <w:i w:val="0"/>
                <w:iCs w:val="0"/>
                <w:color w:val="auto"/>
                <w:kern w:val="2"/>
                <w:sz w:val="24"/>
                <w:szCs w:val="24"/>
                <w:highlight w:val="none"/>
                <w:lang w:val="en-US" w:eastAsia="zh-CN" w:bidi="ar-SA"/>
              </w:rPr>
              <w:t>；</w:t>
            </w:r>
          </w:p>
        </w:tc>
        <w:tc>
          <w:tcPr>
            <w:tcW w:w="194" w:type="pct"/>
            <w:noWrap w:val="0"/>
            <w:vAlign w:val="top"/>
          </w:tcPr>
          <w:p w14:paraId="32409A5B">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c>
          <w:tcPr>
            <w:tcW w:w="226" w:type="pct"/>
            <w:noWrap w:val="0"/>
            <w:vAlign w:val="top"/>
          </w:tcPr>
          <w:p w14:paraId="0670118F">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c>
          <w:tcPr>
            <w:tcW w:w="227" w:type="pct"/>
            <w:noWrap w:val="0"/>
            <w:vAlign w:val="top"/>
          </w:tcPr>
          <w:p w14:paraId="581E81A1">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r>
      <w:tr w14:paraId="08E5B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95" w:type="pct"/>
            <w:noWrap w:val="0"/>
            <w:vAlign w:val="center"/>
          </w:tcPr>
          <w:p w14:paraId="2A3D54E1">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Theme="minorEastAsia" w:hAnsiTheme="minorEastAsia" w:eastAsiaTheme="minorEastAsia" w:cstheme="minorEastAsia"/>
                <w:color w:val="auto"/>
                <w:spacing w:val="-2"/>
                <w:kern w:val="2"/>
                <w:sz w:val="24"/>
                <w:szCs w:val="24"/>
                <w:highlight w:val="none"/>
                <w:lang w:val="en-US" w:eastAsia="zh-CN" w:bidi="ar-SA"/>
              </w:rPr>
            </w:pPr>
            <w:r>
              <w:rPr>
                <w:rFonts w:hint="eastAsia" w:asciiTheme="minorEastAsia" w:hAnsiTheme="minorEastAsia" w:eastAsiaTheme="minorEastAsia" w:cstheme="minorEastAsia"/>
                <w:color w:val="auto"/>
                <w:spacing w:val="-2"/>
                <w:sz w:val="24"/>
                <w:szCs w:val="24"/>
                <w:highlight w:val="none"/>
                <w:lang w:val="en-US" w:eastAsia="zh-CN"/>
              </w:rPr>
              <w:t>3</w:t>
            </w:r>
          </w:p>
        </w:tc>
        <w:tc>
          <w:tcPr>
            <w:tcW w:w="4055" w:type="pct"/>
            <w:noWrap w:val="0"/>
            <w:vAlign w:val="center"/>
          </w:tcPr>
          <w:p w14:paraId="1582A84B">
            <w:pPr>
              <w:keepNext w:val="0"/>
              <w:keepLines w:val="0"/>
              <w:pageBreakBefore w:val="0"/>
              <w:widowControl/>
              <w:kinsoku/>
              <w:wordWrap/>
              <w:overflowPunct/>
              <w:topLinePunct w:val="0"/>
              <w:autoSpaceDE/>
              <w:autoSpaceDN/>
              <w:bidi w:val="0"/>
              <w:adjustRightInd/>
              <w:snapToGrid w:val="0"/>
              <w:spacing w:line="340" w:lineRule="exact"/>
              <w:jc w:val="left"/>
              <w:textAlignment w:val="baseline"/>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rPr>
              <w:t>依法缴纳近三个月任意一个月的社会保险的凭据；</w:t>
            </w:r>
          </w:p>
        </w:tc>
        <w:tc>
          <w:tcPr>
            <w:tcW w:w="194" w:type="pct"/>
            <w:noWrap w:val="0"/>
            <w:vAlign w:val="top"/>
          </w:tcPr>
          <w:p w14:paraId="555D8436">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c>
          <w:tcPr>
            <w:tcW w:w="226" w:type="pct"/>
            <w:noWrap w:val="0"/>
            <w:vAlign w:val="top"/>
          </w:tcPr>
          <w:p w14:paraId="04340DCD">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c>
          <w:tcPr>
            <w:tcW w:w="227" w:type="pct"/>
            <w:noWrap w:val="0"/>
            <w:vAlign w:val="top"/>
          </w:tcPr>
          <w:p w14:paraId="5120B9D5">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r>
      <w:tr w14:paraId="36860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95" w:type="pct"/>
            <w:noWrap w:val="0"/>
            <w:vAlign w:val="center"/>
          </w:tcPr>
          <w:p w14:paraId="40151D95">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Theme="minorEastAsia" w:hAnsiTheme="minorEastAsia" w:eastAsiaTheme="minorEastAsia" w:cstheme="minorEastAsia"/>
                <w:color w:val="auto"/>
                <w:spacing w:val="-2"/>
                <w:kern w:val="2"/>
                <w:sz w:val="24"/>
                <w:szCs w:val="24"/>
                <w:highlight w:val="none"/>
                <w:lang w:val="en-US" w:eastAsia="zh-CN" w:bidi="ar-SA"/>
              </w:rPr>
            </w:pPr>
            <w:r>
              <w:rPr>
                <w:rFonts w:hint="eastAsia" w:asciiTheme="minorEastAsia" w:hAnsiTheme="minorEastAsia" w:eastAsiaTheme="minorEastAsia" w:cstheme="minorEastAsia"/>
                <w:color w:val="auto"/>
                <w:spacing w:val="-2"/>
                <w:sz w:val="24"/>
                <w:szCs w:val="24"/>
                <w:highlight w:val="none"/>
                <w:lang w:val="en-US" w:eastAsia="zh-CN"/>
              </w:rPr>
              <w:t>4</w:t>
            </w:r>
          </w:p>
        </w:tc>
        <w:tc>
          <w:tcPr>
            <w:tcW w:w="4055" w:type="pct"/>
            <w:noWrap w:val="0"/>
            <w:vAlign w:val="center"/>
          </w:tcPr>
          <w:p w14:paraId="15E6A1A3">
            <w:pPr>
              <w:keepNext w:val="0"/>
              <w:keepLines w:val="0"/>
              <w:pageBreakBefore w:val="0"/>
              <w:widowControl/>
              <w:kinsoku/>
              <w:wordWrap/>
              <w:overflowPunct/>
              <w:topLinePunct w:val="0"/>
              <w:autoSpaceDE/>
              <w:autoSpaceDN/>
              <w:bidi w:val="0"/>
              <w:adjustRightInd/>
              <w:snapToGrid w:val="0"/>
              <w:spacing w:line="340" w:lineRule="exact"/>
              <w:jc w:val="left"/>
              <w:textAlignment w:val="baseline"/>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rPr>
              <w:t>税务部门出具的近三个月任意一个月的完税证明（依法免缴的应提供依法免缴的相关证明文件或零申报报表）；</w:t>
            </w:r>
          </w:p>
        </w:tc>
        <w:tc>
          <w:tcPr>
            <w:tcW w:w="194" w:type="pct"/>
            <w:noWrap w:val="0"/>
            <w:vAlign w:val="top"/>
          </w:tcPr>
          <w:p w14:paraId="4BD0120A">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c>
          <w:tcPr>
            <w:tcW w:w="226" w:type="pct"/>
            <w:noWrap w:val="0"/>
            <w:vAlign w:val="top"/>
          </w:tcPr>
          <w:p w14:paraId="7ECE2D83">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c>
          <w:tcPr>
            <w:tcW w:w="227" w:type="pct"/>
            <w:noWrap w:val="0"/>
            <w:vAlign w:val="top"/>
          </w:tcPr>
          <w:p w14:paraId="58A8BAC9">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r>
      <w:tr w14:paraId="1E20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295" w:type="pct"/>
            <w:noWrap w:val="0"/>
            <w:vAlign w:val="center"/>
          </w:tcPr>
          <w:p w14:paraId="6CB86AC3">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Theme="minorEastAsia" w:hAnsiTheme="minorEastAsia" w:eastAsiaTheme="minorEastAsia" w:cstheme="minorEastAsia"/>
                <w:color w:val="auto"/>
                <w:spacing w:val="-2"/>
                <w:kern w:val="2"/>
                <w:sz w:val="24"/>
                <w:szCs w:val="24"/>
                <w:highlight w:val="none"/>
                <w:lang w:val="en-US" w:eastAsia="zh-CN" w:bidi="ar-SA"/>
              </w:rPr>
            </w:pPr>
            <w:r>
              <w:rPr>
                <w:rFonts w:hint="eastAsia" w:asciiTheme="minorEastAsia" w:hAnsiTheme="minorEastAsia" w:eastAsiaTheme="minorEastAsia" w:cstheme="minorEastAsia"/>
                <w:color w:val="auto"/>
                <w:spacing w:val="-2"/>
                <w:sz w:val="24"/>
                <w:szCs w:val="24"/>
                <w:highlight w:val="none"/>
                <w:lang w:val="en-US" w:eastAsia="zh-CN"/>
              </w:rPr>
              <w:t>5</w:t>
            </w:r>
          </w:p>
        </w:tc>
        <w:tc>
          <w:tcPr>
            <w:tcW w:w="4055" w:type="pct"/>
            <w:noWrap w:val="0"/>
            <w:vAlign w:val="center"/>
          </w:tcPr>
          <w:p w14:paraId="5C70732C">
            <w:pPr>
              <w:keepNext w:val="0"/>
              <w:keepLines w:val="0"/>
              <w:pageBreakBefore w:val="0"/>
              <w:widowControl/>
              <w:kinsoku/>
              <w:wordWrap/>
              <w:overflowPunct/>
              <w:topLinePunct w:val="0"/>
              <w:autoSpaceDE/>
              <w:autoSpaceDN/>
              <w:bidi w:val="0"/>
              <w:adjustRightInd/>
              <w:snapToGrid w:val="0"/>
              <w:spacing w:line="340" w:lineRule="exact"/>
              <w:jc w:val="left"/>
              <w:textAlignment w:val="baseline"/>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rPr>
              <w:t>提供2024年完整的财务审计报告（成立不满一年的可提供近三个月内任意一个月的银行资信证明）；</w:t>
            </w:r>
          </w:p>
        </w:tc>
        <w:tc>
          <w:tcPr>
            <w:tcW w:w="194" w:type="pct"/>
            <w:noWrap w:val="0"/>
            <w:vAlign w:val="top"/>
          </w:tcPr>
          <w:p w14:paraId="2425EB53">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c>
          <w:tcPr>
            <w:tcW w:w="226" w:type="pct"/>
            <w:noWrap w:val="0"/>
            <w:vAlign w:val="top"/>
          </w:tcPr>
          <w:p w14:paraId="3860D2B3">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c>
          <w:tcPr>
            <w:tcW w:w="227" w:type="pct"/>
            <w:noWrap w:val="0"/>
            <w:vAlign w:val="top"/>
          </w:tcPr>
          <w:p w14:paraId="4A42A09D">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r>
      <w:tr w14:paraId="462A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95" w:type="pct"/>
            <w:noWrap w:val="0"/>
            <w:vAlign w:val="center"/>
          </w:tcPr>
          <w:p w14:paraId="64F715CA">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Theme="minorEastAsia" w:hAnsiTheme="minorEastAsia" w:eastAsiaTheme="minorEastAsia" w:cstheme="minorEastAsia"/>
                <w:color w:val="auto"/>
                <w:spacing w:val="-2"/>
                <w:kern w:val="2"/>
                <w:sz w:val="24"/>
                <w:szCs w:val="24"/>
                <w:highlight w:val="none"/>
                <w:lang w:val="en-US" w:eastAsia="zh-CN" w:bidi="ar-SA"/>
              </w:rPr>
            </w:pPr>
            <w:r>
              <w:rPr>
                <w:rFonts w:hint="eastAsia" w:asciiTheme="minorEastAsia" w:hAnsiTheme="minorEastAsia" w:eastAsiaTheme="minorEastAsia" w:cstheme="minorEastAsia"/>
                <w:color w:val="auto"/>
                <w:spacing w:val="-2"/>
                <w:sz w:val="24"/>
                <w:szCs w:val="24"/>
                <w:highlight w:val="none"/>
                <w:lang w:val="en-US" w:eastAsia="zh-CN"/>
              </w:rPr>
              <w:t>6</w:t>
            </w:r>
          </w:p>
        </w:tc>
        <w:tc>
          <w:tcPr>
            <w:tcW w:w="4055" w:type="pct"/>
            <w:noWrap w:val="0"/>
            <w:vAlign w:val="center"/>
          </w:tcPr>
          <w:p w14:paraId="4434565E">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right="0" w:rightChars="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rPr>
              <w:t>参与政府采购活动前3年内未被列入失信、重大税收违法案件、财政部门禁止参加政府采购活动的承诺书；</w:t>
            </w:r>
          </w:p>
        </w:tc>
        <w:tc>
          <w:tcPr>
            <w:tcW w:w="194" w:type="pct"/>
            <w:noWrap w:val="0"/>
            <w:vAlign w:val="top"/>
          </w:tcPr>
          <w:p w14:paraId="40629A82">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c>
          <w:tcPr>
            <w:tcW w:w="226" w:type="pct"/>
            <w:noWrap w:val="0"/>
            <w:vAlign w:val="top"/>
          </w:tcPr>
          <w:p w14:paraId="1344DD11">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c>
          <w:tcPr>
            <w:tcW w:w="227" w:type="pct"/>
            <w:noWrap w:val="0"/>
            <w:vAlign w:val="top"/>
          </w:tcPr>
          <w:p w14:paraId="78DD1D1B">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r>
      <w:tr w14:paraId="17815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95" w:type="pct"/>
            <w:noWrap w:val="0"/>
            <w:vAlign w:val="center"/>
          </w:tcPr>
          <w:p w14:paraId="71427853">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Theme="minorEastAsia" w:hAnsiTheme="minorEastAsia" w:eastAsiaTheme="minorEastAsia" w:cstheme="minorEastAsia"/>
                <w:color w:val="auto"/>
                <w:spacing w:val="-2"/>
                <w:kern w:val="2"/>
                <w:sz w:val="24"/>
                <w:szCs w:val="24"/>
                <w:highlight w:val="none"/>
                <w:lang w:val="en-US" w:eastAsia="zh-CN" w:bidi="ar-SA"/>
              </w:rPr>
            </w:pPr>
            <w:r>
              <w:rPr>
                <w:rFonts w:hint="eastAsia" w:asciiTheme="minorEastAsia" w:hAnsiTheme="minorEastAsia" w:eastAsiaTheme="minorEastAsia" w:cstheme="minorEastAsia"/>
                <w:color w:val="auto"/>
                <w:spacing w:val="-2"/>
                <w:sz w:val="24"/>
                <w:szCs w:val="24"/>
                <w:highlight w:val="none"/>
                <w:lang w:val="en-US" w:eastAsia="zh-CN"/>
              </w:rPr>
              <w:t>7</w:t>
            </w:r>
          </w:p>
        </w:tc>
        <w:tc>
          <w:tcPr>
            <w:tcW w:w="4055" w:type="pct"/>
            <w:noWrap w:val="0"/>
            <w:vAlign w:val="center"/>
          </w:tcPr>
          <w:p w14:paraId="00A7B781">
            <w:pPr>
              <w:keepNext w:val="0"/>
              <w:keepLines w:val="0"/>
              <w:pageBreakBefore w:val="0"/>
              <w:widowControl/>
              <w:kinsoku/>
              <w:wordWrap/>
              <w:overflowPunct/>
              <w:topLinePunct w:val="0"/>
              <w:autoSpaceDE/>
              <w:autoSpaceDN/>
              <w:bidi w:val="0"/>
              <w:adjustRightInd/>
              <w:snapToGrid w:val="0"/>
              <w:spacing w:line="340" w:lineRule="exact"/>
              <w:jc w:val="left"/>
              <w:textAlignment w:val="baseline"/>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rPr>
              <w:t>提供针对本次项目的反商业贿赂承诺书；</w:t>
            </w:r>
          </w:p>
        </w:tc>
        <w:tc>
          <w:tcPr>
            <w:tcW w:w="194" w:type="pct"/>
            <w:noWrap w:val="0"/>
            <w:vAlign w:val="top"/>
          </w:tcPr>
          <w:p w14:paraId="052D2811">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c>
          <w:tcPr>
            <w:tcW w:w="226" w:type="pct"/>
            <w:noWrap w:val="0"/>
            <w:vAlign w:val="top"/>
          </w:tcPr>
          <w:p w14:paraId="63AFB97E">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c>
          <w:tcPr>
            <w:tcW w:w="227" w:type="pct"/>
            <w:noWrap w:val="0"/>
            <w:vAlign w:val="top"/>
          </w:tcPr>
          <w:p w14:paraId="186BC90E">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r>
      <w:tr w14:paraId="70ED9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95" w:type="pct"/>
            <w:noWrap w:val="0"/>
            <w:vAlign w:val="center"/>
          </w:tcPr>
          <w:p w14:paraId="52FE2C2D">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Theme="minorEastAsia" w:hAnsiTheme="minorEastAsia" w:eastAsiaTheme="minorEastAsia" w:cstheme="minorEastAsia"/>
                <w:color w:val="auto"/>
                <w:spacing w:val="-2"/>
                <w:kern w:val="2"/>
                <w:sz w:val="24"/>
                <w:szCs w:val="24"/>
                <w:highlight w:val="none"/>
                <w:lang w:val="en-US" w:eastAsia="zh-CN" w:bidi="ar-SA"/>
              </w:rPr>
            </w:pPr>
            <w:r>
              <w:rPr>
                <w:rFonts w:hint="eastAsia" w:asciiTheme="minorEastAsia" w:hAnsiTheme="minorEastAsia" w:eastAsiaTheme="minorEastAsia" w:cstheme="minorEastAsia"/>
                <w:color w:val="auto"/>
                <w:spacing w:val="-2"/>
                <w:kern w:val="2"/>
                <w:sz w:val="24"/>
                <w:szCs w:val="24"/>
                <w:highlight w:val="none"/>
                <w:lang w:val="en-US" w:eastAsia="zh-CN" w:bidi="ar-SA"/>
              </w:rPr>
              <w:t>8</w:t>
            </w:r>
          </w:p>
        </w:tc>
        <w:tc>
          <w:tcPr>
            <w:tcW w:w="4055" w:type="pct"/>
            <w:noWrap w:val="0"/>
            <w:vAlign w:val="center"/>
          </w:tcPr>
          <w:p w14:paraId="5A24D298">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right="0" w:rightChars="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rPr>
              <w:t>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w:t>
            </w:r>
          </w:p>
        </w:tc>
        <w:tc>
          <w:tcPr>
            <w:tcW w:w="194" w:type="pct"/>
            <w:noWrap w:val="0"/>
            <w:vAlign w:val="top"/>
          </w:tcPr>
          <w:p w14:paraId="02EAF224">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c>
          <w:tcPr>
            <w:tcW w:w="226" w:type="pct"/>
            <w:noWrap w:val="0"/>
            <w:vAlign w:val="top"/>
          </w:tcPr>
          <w:p w14:paraId="4F35EF0D">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c>
          <w:tcPr>
            <w:tcW w:w="227" w:type="pct"/>
            <w:noWrap w:val="0"/>
            <w:vAlign w:val="top"/>
          </w:tcPr>
          <w:p w14:paraId="548CA2EE">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r>
      <w:tr w14:paraId="0A9B7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95" w:type="pct"/>
            <w:noWrap w:val="0"/>
            <w:vAlign w:val="center"/>
          </w:tcPr>
          <w:p w14:paraId="0A32887B">
            <w:pPr>
              <w:keepNext w:val="0"/>
              <w:keepLines w:val="0"/>
              <w:pageBreakBefore w:val="0"/>
              <w:widowControl w:val="0"/>
              <w:shd w:val="clear" w:color="auto" w:fill="auto"/>
              <w:kinsoku/>
              <w:wordWrap/>
              <w:overflowPunct/>
              <w:topLinePunct w:val="0"/>
              <w:autoSpaceDE/>
              <w:autoSpaceDN/>
              <w:bidi w:val="0"/>
              <w:adjustRightInd/>
              <w:spacing w:line="340" w:lineRule="exact"/>
              <w:jc w:val="both"/>
              <w:textAlignment w:val="auto"/>
              <w:rPr>
                <w:rFonts w:hint="default" w:asciiTheme="minorEastAsia" w:hAnsiTheme="minorEastAsia" w:eastAsiaTheme="minorEastAsia" w:cstheme="minorEastAsia"/>
                <w:color w:val="auto"/>
                <w:spacing w:val="-2"/>
                <w:kern w:val="2"/>
                <w:sz w:val="24"/>
                <w:szCs w:val="24"/>
                <w:highlight w:val="none"/>
                <w:lang w:val="en-US" w:eastAsia="zh-CN" w:bidi="ar-SA"/>
              </w:rPr>
            </w:pPr>
            <w:r>
              <w:rPr>
                <w:rFonts w:hint="eastAsia" w:asciiTheme="minorEastAsia" w:hAnsiTheme="minorEastAsia" w:eastAsiaTheme="minorEastAsia" w:cstheme="minorEastAsia"/>
                <w:color w:val="auto"/>
                <w:spacing w:val="-2"/>
                <w:kern w:val="2"/>
                <w:sz w:val="24"/>
                <w:szCs w:val="24"/>
                <w:highlight w:val="none"/>
                <w:lang w:val="en-US" w:eastAsia="zh-CN" w:bidi="ar-SA"/>
              </w:rPr>
              <w:t>9</w:t>
            </w:r>
          </w:p>
        </w:tc>
        <w:tc>
          <w:tcPr>
            <w:tcW w:w="4055" w:type="pct"/>
            <w:noWrap w:val="0"/>
            <w:vAlign w:val="center"/>
          </w:tcPr>
          <w:p w14:paraId="46EB8B77">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right="0" w:rightChars="0"/>
              <w:textAlignment w:val="auto"/>
              <w:rPr>
                <w:rFonts w:hint="default"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提供本项目中小企业声明函；</w:t>
            </w:r>
          </w:p>
        </w:tc>
        <w:tc>
          <w:tcPr>
            <w:tcW w:w="194" w:type="pct"/>
            <w:noWrap w:val="0"/>
            <w:vAlign w:val="top"/>
          </w:tcPr>
          <w:p w14:paraId="4931E428">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c>
          <w:tcPr>
            <w:tcW w:w="226" w:type="pct"/>
            <w:noWrap w:val="0"/>
            <w:vAlign w:val="top"/>
          </w:tcPr>
          <w:p w14:paraId="51BBA06F">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c>
          <w:tcPr>
            <w:tcW w:w="227" w:type="pct"/>
            <w:noWrap w:val="0"/>
            <w:vAlign w:val="top"/>
          </w:tcPr>
          <w:p w14:paraId="1FEFB8CA">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r>
      <w:tr w14:paraId="1E17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95" w:type="pct"/>
            <w:shd w:val="clear" w:color="auto" w:fill="auto"/>
            <w:noWrap w:val="0"/>
            <w:vAlign w:val="center"/>
          </w:tcPr>
          <w:p w14:paraId="31A516C7">
            <w:pPr>
              <w:keepNext w:val="0"/>
              <w:keepLines w:val="0"/>
              <w:pageBreakBefore w:val="0"/>
              <w:widowControl w:val="0"/>
              <w:shd w:val="clear" w:color="auto" w:fill="auto"/>
              <w:kinsoku/>
              <w:wordWrap/>
              <w:overflowPunct/>
              <w:topLinePunct w:val="0"/>
              <w:autoSpaceDE/>
              <w:autoSpaceDN/>
              <w:bidi w:val="0"/>
              <w:adjustRightInd/>
              <w:spacing w:line="340" w:lineRule="exact"/>
              <w:jc w:val="both"/>
              <w:textAlignment w:val="auto"/>
              <w:rPr>
                <w:rFonts w:hint="default" w:asciiTheme="minorEastAsia" w:hAnsiTheme="minorEastAsia" w:eastAsiaTheme="minorEastAsia" w:cstheme="minorEastAsia"/>
                <w:color w:val="auto"/>
                <w:spacing w:val="-2"/>
                <w:kern w:val="2"/>
                <w:sz w:val="24"/>
                <w:szCs w:val="24"/>
                <w:highlight w:val="none"/>
                <w:lang w:val="en-US" w:eastAsia="zh-CN" w:bidi="ar-SA"/>
              </w:rPr>
            </w:pPr>
            <w:r>
              <w:rPr>
                <w:rFonts w:hint="eastAsia" w:asciiTheme="minorEastAsia" w:hAnsiTheme="minorEastAsia" w:eastAsiaTheme="minorEastAsia" w:cstheme="minorEastAsia"/>
                <w:color w:val="auto"/>
                <w:spacing w:val="-2"/>
                <w:kern w:val="2"/>
                <w:sz w:val="24"/>
                <w:szCs w:val="24"/>
                <w:highlight w:val="none"/>
                <w:lang w:val="en-US" w:eastAsia="zh-CN" w:bidi="ar-SA"/>
              </w:rPr>
              <w:t>10</w:t>
            </w:r>
          </w:p>
        </w:tc>
        <w:tc>
          <w:tcPr>
            <w:tcW w:w="4055" w:type="pct"/>
            <w:shd w:val="clear" w:color="auto" w:fill="auto"/>
            <w:noWrap w:val="0"/>
            <w:vAlign w:val="center"/>
          </w:tcPr>
          <w:p w14:paraId="77E6DDC8">
            <w:pPr>
              <w:keepNext w:val="0"/>
              <w:keepLines w:val="0"/>
              <w:pageBreakBefore w:val="0"/>
              <w:widowControl/>
              <w:kinsoku/>
              <w:wordWrap/>
              <w:overflowPunct/>
              <w:topLinePunct w:val="0"/>
              <w:autoSpaceDE/>
              <w:autoSpaceDN/>
              <w:bidi w:val="0"/>
              <w:adjustRightInd/>
              <w:snapToGrid w:val="0"/>
              <w:spacing w:line="340" w:lineRule="exact"/>
              <w:jc w:val="left"/>
              <w:textAlignment w:val="baseline"/>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val="0"/>
                <w:sz w:val="24"/>
                <w:szCs w:val="24"/>
                <w:highlight w:val="none"/>
                <w:lang w:val="en-US" w:eastAsia="zh-CN"/>
              </w:rPr>
              <w:t>响应保证金有效凭证；</w:t>
            </w:r>
          </w:p>
        </w:tc>
        <w:tc>
          <w:tcPr>
            <w:tcW w:w="194" w:type="pct"/>
            <w:noWrap w:val="0"/>
            <w:vAlign w:val="top"/>
          </w:tcPr>
          <w:p w14:paraId="0B430621">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c>
          <w:tcPr>
            <w:tcW w:w="226" w:type="pct"/>
            <w:noWrap w:val="0"/>
            <w:vAlign w:val="top"/>
          </w:tcPr>
          <w:p w14:paraId="65B444CE">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c>
          <w:tcPr>
            <w:tcW w:w="227" w:type="pct"/>
            <w:noWrap w:val="0"/>
            <w:vAlign w:val="top"/>
          </w:tcPr>
          <w:p w14:paraId="19812BF4">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r>
      <w:tr w14:paraId="027C0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95" w:type="pct"/>
            <w:shd w:val="clear" w:color="auto" w:fill="auto"/>
            <w:noWrap w:val="0"/>
            <w:vAlign w:val="center"/>
          </w:tcPr>
          <w:p w14:paraId="262EA567">
            <w:pPr>
              <w:keepNext w:val="0"/>
              <w:keepLines w:val="0"/>
              <w:pageBreakBefore w:val="0"/>
              <w:widowControl w:val="0"/>
              <w:shd w:val="clear" w:color="auto" w:fill="auto"/>
              <w:kinsoku/>
              <w:wordWrap/>
              <w:overflowPunct/>
              <w:topLinePunct w:val="0"/>
              <w:autoSpaceDE/>
              <w:autoSpaceDN/>
              <w:bidi w:val="0"/>
              <w:adjustRightInd/>
              <w:spacing w:line="340" w:lineRule="exact"/>
              <w:jc w:val="left"/>
              <w:textAlignment w:val="auto"/>
              <w:rPr>
                <w:rFonts w:hint="eastAsia" w:asciiTheme="minorEastAsia" w:hAnsiTheme="minorEastAsia" w:eastAsiaTheme="minorEastAsia" w:cstheme="minorEastAsia"/>
                <w:color w:val="auto"/>
                <w:spacing w:val="-2"/>
                <w:kern w:val="2"/>
                <w:sz w:val="24"/>
                <w:szCs w:val="24"/>
                <w:highlight w:val="none"/>
                <w:lang w:val="en-US" w:eastAsia="zh-CN" w:bidi="ar-SA"/>
              </w:rPr>
            </w:pPr>
            <w:bookmarkStart w:id="821" w:name="_Toc13979_WPSOffice_Level2"/>
            <w:bookmarkStart w:id="822" w:name="_Toc2603"/>
          </w:p>
        </w:tc>
        <w:tc>
          <w:tcPr>
            <w:tcW w:w="4055" w:type="pct"/>
            <w:shd w:val="clear" w:color="auto" w:fill="auto"/>
            <w:noWrap w:val="0"/>
            <w:vAlign w:val="center"/>
          </w:tcPr>
          <w:p w14:paraId="14078993">
            <w:pPr>
              <w:keepNext w:val="0"/>
              <w:keepLines w:val="0"/>
              <w:pageBreakBefore w:val="0"/>
              <w:widowControl w:val="0"/>
              <w:shd w:val="clear" w:color="auto" w:fill="auto"/>
              <w:kinsoku/>
              <w:wordWrap/>
              <w:overflowPunct/>
              <w:topLinePunct w:val="0"/>
              <w:autoSpaceDE/>
              <w:autoSpaceDN/>
              <w:bidi w:val="0"/>
              <w:adjustRightInd/>
              <w:spacing w:line="340" w:lineRule="exact"/>
              <w:jc w:val="left"/>
              <w:textAlignment w:val="auto"/>
              <w:rPr>
                <w:rFonts w:hint="eastAsia" w:asciiTheme="minorEastAsia" w:hAnsiTheme="minorEastAsia" w:eastAsiaTheme="minorEastAsia" w:cstheme="minorEastAsia"/>
                <w:color w:val="auto"/>
                <w:spacing w:val="-2"/>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结论</w:t>
            </w:r>
          </w:p>
        </w:tc>
        <w:tc>
          <w:tcPr>
            <w:tcW w:w="194" w:type="pct"/>
            <w:noWrap w:val="0"/>
            <w:vAlign w:val="top"/>
          </w:tcPr>
          <w:p w14:paraId="5B4DC1FD">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c>
          <w:tcPr>
            <w:tcW w:w="226" w:type="pct"/>
            <w:noWrap w:val="0"/>
            <w:vAlign w:val="top"/>
          </w:tcPr>
          <w:p w14:paraId="0FBC3853">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c>
          <w:tcPr>
            <w:tcW w:w="227" w:type="pct"/>
            <w:noWrap w:val="0"/>
            <w:vAlign w:val="top"/>
          </w:tcPr>
          <w:p w14:paraId="0C56574D">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r>
    </w:tbl>
    <w:p w14:paraId="0781048A">
      <w:pPr>
        <w:jc w:val="center"/>
        <w:outlineLvl w:val="1"/>
        <w:rPr>
          <w:rFonts w:hint="eastAsia" w:asciiTheme="minorEastAsia" w:hAnsiTheme="minorEastAsia" w:eastAsiaTheme="minorEastAsia" w:cstheme="minorEastAsia"/>
          <w:b/>
          <w:bCs/>
          <w:color w:val="auto"/>
          <w:sz w:val="24"/>
          <w:szCs w:val="24"/>
          <w:highlight w:val="none"/>
          <w:lang w:eastAsia="zh-CN"/>
        </w:rPr>
      </w:pPr>
      <w:bookmarkStart w:id="823" w:name="_Toc6245"/>
      <w:bookmarkStart w:id="824" w:name="_Toc27554"/>
      <w:bookmarkStart w:id="825" w:name="_Toc14328"/>
      <w:bookmarkStart w:id="826" w:name="_Toc8066"/>
      <w:bookmarkStart w:id="827" w:name="_Toc14104"/>
      <w:bookmarkStart w:id="828" w:name="_Toc31837"/>
      <w:bookmarkStart w:id="829" w:name="_Toc8727"/>
      <w:bookmarkStart w:id="830" w:name="_Toc6832"/>
      <w:bookmarkStart w:id="831" w:name="_Toc16064"/>
      <w:bookmarkStart w:id="832" w:name="_Toc23197"/>
      <w:bookmarkStart w:id="833" w:name="_Toc27707"/>
      <w:r>
        <w:rPr>
          <w:rFonts w:hint="eastAsia" w:asciiTheme="minorEastAsia" w:hAnsiTheme="minorEastAsia" w:eastAsiaTheme="minorEastAsia" w:cstheme="minorEastAsia"/>
          <w:color w:val="auto"/>
          <w:sz w:val="21"/>
          <w:szCs w:val="21"/>
          <w:highlight w:val="none"/>
        </w:rPr>
        <w:t>说明：（1）上述各项中用“√”表示通过，“×”表示不通过；（2）上述各项中如有一项为“ ×”，则结论为“ ×”，表示该</w:t>
      </w:r>
      <w:r>
        <w:rPr>
          <w:rFonts w:hint="eastAsia" w:asciiTheme="minorEastAsia" w:hAnsiTheme="minorEastAsia" w:eastAsiaTheme="minorEastAsia" w:cstheme="minorEastAsia"/>
          <w:color w:val="auto"/>
          <w:sz w:val="21"/>
          <w:szCs w:val="21"/>
          <w:highlight w:val="none"/>
          <w:lang w:val="en-US" w:eastAsia="zh-CN"/>
        </w:rPr>
        <w:t>响应文件</w:t>
      </w:r>
      <w:r>
        <w:rPr>
          <w:rFonts w:hint="eastAsia" w:asciiTheme="minorEastAsia" w:hAnsiTheme="minorEastAsia" w:eastAsiaTheme="minorEastAsia" w:cstheme="minorEastAsia"/>
          <w:color w:val="auto"/>
          <w:sz w:val="21"/>
          <w:szCs w:val="21"/>
          <w:highlight w:val="none"/>
        </w:rPr>
        <w:t>中存在重大偏差，不能通过资格审查；资格审查小组对某一分项审查认为不合格时，必须要写明原因。(3)审查意见中少数服从多数为原则定论。（4）未通过资格审查的供应商不进入</w:t>
      </w:r>
      <w:r>
        <w:rPr>
          <w:rFonts w:hint="eastAsia" w:asciiTheme="minorEastAsia" w:hAnsiTheme="minorEastAsia" w:eastAsiaTheme="minorEastAsia" w:cstheme="minorEastAsia"/>
          <w:color w:val="auto"/>
          <w:sz w:val="21"/>
          <w:szCs w:val="21"/>
          <w:highlight w:val="none"/>
          <w:lang w:val="en-US" w:eastAsia="zh-CN"/>
        </w:rPr>
        <w:t>下一流程</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br w:type="page"/>
      </w:r>
      <w:bookmarkStart w:id="834" w:name="_Toc24062"/>
      <w:bookmarkStart w:id="835" w:name="_Toc16127"/>
      <w:bookmarkStart w:id="836" w:name="_Toc30463"/>
      <w:bookmarkStart w:id="837" w:name="_Toc8089"/>
      <w:r>
        <w:rPr>
          <w:rFonts w:hint="eastAsia" w:asciiTheme="minorEastAsia" w:hAnsiTheme="minorEastAsia" w:eastAsiaTheme="minorEastAsia" w:cstheme="minorEastAsia"/>
          <w:b/>
          <w:bCs/>
          <w:color w:val="auto"/>
          <w:sz w:val="24"/>
          <w:szCs w:val="24"/>
          <w:highlight w:val="none"/>
        </w:rPr>
        <w:t>响应文件</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符合性审查表</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tbl>
      <w:tblPr>
        <w:tblStyle w:val="44"/>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6830"/>
        <w:gridCol w:w="1022"/>
      </w:tblGrid>
      <w:tr w14:paraId="02A32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29" w:type="pct"/>
            <w:vMerge w:val="restart"/>
            <w:noWrap w:val="0"/>
            <w:vAlign w:val="center"/>
          </w:tcPr>
          <w:p w14:paraId="06DEC912">
            <w:pPr>
              <w:shd w:val="clear" w:color="auto" w:fill="auto"/>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4062" w:type="pct"/>
            <w:vMerge w:val="restart"/>
            <w:noWrap w:val="0"/>
            <w:vAlign w:val="center"/>
          </w:tcPr>
          <w:p w14:paraId="33A9D3C7">
            <w:pPr>
              <w:shd w:val="clear" w:color="auto" w:fill="auto"/>
              <w:spacing w:line="400" w:lineRule="exact"/>
              <w:jc w:val="center"/>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评审内容</w:t>
            </w:r>
          </w:p>
        </w:tc>
        <w:tc>
          <w:tcPr>
            <w:tcW w:w="608" w:type="pct"/>
            <w:noWrap w:val="0"/>
            <w:vAlign w:val="center"/>
          </w:tcPr>
          <w:p w14:paraId="670C9B6F">
            <w:pPr>
              <w:shd w:val="clear" w:color="auto" w:fill="auto"/>
              <w:spacing w:line="400" w:lineRule="exact"/>
              <w:jc w:val="center"/>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b/>
                <w:color w:val="auto"/>
                <w:sz w:val="24"/>
                <w:szCs w:val="24"/>
                <w:highlight w:val="none"/>
              </w:rPr>
              <w:t>评审意见</w:t>
            </w:r>
          </w:p>
        </w:tc>
      </w:tr>
      <w:tr w14:paraId="18B97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329" w:type="pct"/>
            <w:vMerge w:val="continue"/>
            <w:noWrap w:val="0"/>
            <w:vAlign w:val="center"/>
          </w:tcPr>
          <w:p w14:paraId="03AC828E">
            <w:pPr>
              <w:shd w:val="clear" w:color="auto" w:fill="auto"/>
              <w:spacing w:line="400" w:lineRule="exact"/>
              <w:jc w:val="center"/>
              <w:rPr>
                <w:rFonts w:hint="eastAsia" w:asciiTheme="minorEastAsia" w:hAnsiTheme="minorEastAsia" w:eastAsiaTheme="minorEastAsia" w:cstheme="minorEastAsia"/>
                <w:color w:val="auto"/>
                <w:sz w:val="24"/>
                <w:szCs w:val="24"/>
                <w:highlight w:val="none"/>
              </w:rPr>
            </w:pPr>
          </w:p>
        </w:tc>
        <w:tc>
          <w:tcPr>
            <w:tcW w:w="4062" w:type="pct"/>
            <w:vMerge w:val="continue"/>
            <w:noWrap w:val="0"/>
            <w:vAlign w:val="center"/>
          </w:tcPr>
          <w:p w14:paraId="1E8EDDF7">
            <w:pPr>
              <w:shd w:val="clear" w:color="auto" w:fill="auto"/>
              <w:spacing w:line="400" w:lineRule="exact"/>
              <w:rPr>
                <w:rFonts w:hint="eastAsia" w:asciiTheme="minorEastAsia" w:hAnsiTheme="minorEastAsia" w:eastAsiaTheme="minorEastAsia" w:cstheme="minorEastAsia"/>
                <w:color w:val="auto"/>
                <w:spacing w:val="-2"/>
                <w:sz w:val="24"/>
                <w:szCs w:val="24"/>
                <w:highlight w:val="none"/>
              </w:rPr>
            </w:pPr>
          </w:p>
        </w:tc>
        <w:tc>
          <w:tcPr>
            <w:tcW w:w="608" w:type="pct"/>
            <w:noWrap w:val="0"/>
            <w:vAlign w:val="center"/>
          </w:tcPr>
          <w:p w14:paraId="62FC4787">
            <w:pPr>
              <w:shd w:val="clear" w:color="auto" w:fill="auto"/>
              <w:spacing w:line="400" w:lineRule="exact"/>
              <w:jc w:val="center"/>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是否合格</w:t>
            </w:r>
          </w:p>
        </w:tc>
      </w:tr>
      <w:tr w14:paraId="06796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29" w:type="pct"/>
            <w:noWrap w:val="0"/>
            <w:vAlign w:val="center"/>
          </w:tcPr>
          <w:p w14:paraId="050D8DF9">
            <w:pPr>
              <w:shd w:val="clear" w:color="auto" w:fill="auto"/>
              <w:spacing w:line="400" w:lineRule="exact"/>
              <w:jc w:val="center"/>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1</w:t>
            </w:r>
          </w:p>
        </w:tc>
        <w:tc>
          <w:tcPr>
            <w:tcW w:w="4062" w:type="pct"/>
            <w:noWrap w:val="0"/>
            <w:vAlign w:val="bottom"/>
          </w:tcPr>
          <w:p w14:paraId="499FC0AC">
            <w:pPr>
              <w:shd w:val="clear" w:color="auto" w:fill="auto"/>
              <w:spacing w:line="400" w:lineRule="exact"/>
              <w:jc w:val="left"/>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各供应商</w:t>
            </w:r>
            <w:r>
              <w:rPr>
                <w:rFonts w:hint="eastAsia" w:asciiTheme="minorEastAsia" w:hAnsiTheme="minorEastAsia" w:eastAsiaTheme="minorEastAsia" w:cstheme="minorEastAsia"/>
                <w:color w:val="auto"/>
                <w:spacing w:val="-2"/>
                <w:sz w:val="24"/>
                <w:szCs w:val="24"/>
                <w:highlight w:val="none"/>
                <w:lang w:val="en-US" w:eastAsia="zh-CN"/>
              </w:rPr>
              <w:t>谈判</w:t>
            </w:r>
            <w:r>
              <w:rPr>
                <w:rFonts w:hint="eastAsia" w:asciiTheme="minorEastAsia" w:hAnsiTheme="minorEastAsia" w:eastAsiaTheme="minorEastAsia" w:cstheme="minorEastAsia"/>
                <w:color w:val="auto"/>
                <w:spacing w:val="-2"/>
                <w:sz w:val="24"/>
                <w:szCs w:val="24"/>
                <w:highlight w:val="none"/>
              </w:rPr>
              <w:t>报价未高于预算金额</w:t>
            </w:r>
            <w:r>
              <w:rPr>
                <w:rFonts w:hint="eastAsia" w:asciiTheme="minorEastAsia" w:hAnsiTheme="minorEastAsia" w:eastAsiaTheme="minorEastAsia" w:cstheme="minorEastAsia"/>
                <w:color w:val="auto"/>
                <w:spacing w:val="-2"/>
                <w:sz w:val="24"/>
                <w:szCs w:val="24"/>
                <w:highlight w:val="none"/>
                <w:lang w:eastAsia="zh-CN"/>
              </w:rPr>
              <w:t>；</w:t>
            </w:r>
          </w:p>
        </w:tc>
        <w:tc>
          <w:tcPr>
            <w:tcW w:w="608" w:type="pct"/>
            <w:noWrap w:val="0"/>
            <w:vAlign w:val="center"/>
          </w:tcPr>
          <w:p w14:paraId="42EBE428">
            <w:pPr>
              <w:shd w:val="clear" w:color="auto" w:fill="auto"/>
              <w:spacing w:line="400" w:lineRule="exact"/>
              <w:rPr>
                <w:rFonts w:hint="eastAsia" w:asciiTheme="minorEastAsia" w:hAnsiTheme="minorEastAsia" w:eastAsiaTheme="minorEastAsia" w:cstheme="minorEastAsia"/>
                <w:color w:val="auto"/>
                <w:spacing w:val="-2"/>
                <w:sz w:val="24"/>
                <w:szCs w:val="24"/>
                <w:highlight w:val="none"/>
              </w:rPr>
            </w:pPr>
          </w:p>
        </w:tc>
      </w:tr>
      <w:tr w14:paraId="7DDD5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329" w:type="pct"/>
            <w:noWrap w:val="0"/>
            <w:vAlign w:val="center"/>
          </w:tcPr>
          <w:p w14:paraId="41C7F6DB">
            <w:pPr>
              <w:shd w:val="clear" w:color="auto" w:fill="auto"/>
              <w:spacing w:line="400" w:lineRule="exact"/>
              <w:jc w:val="center"/>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2</w:t>
            </w:r>
          </w:p>
        </w:tc>
        <w:tc>
          <w:tcPr>
            <w:tcW w:w="4062" w:type="pct"/>
            <w:noWrap w:val="0"/>
            <w:vAlign w:val="bottom"/>
          </w:tcPr>
          <w:p w14:paraId="15B17392">
            <w:pPr>
              <w:shd w:val="clear" w:color="auto" w:fill="auto"/>
              <w:spacing w:line="400" w:lineRule="exact"/>
              <w:jc w:val="left"/>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谈判</w:t>
            </w:r>
            <w:r>
              <w:rPr>
                <w:rFonts w:hint="eastAsia" w:asciiTheme="minorEastAsia" w:hAnsiTheme="minorEastAsia" w:eastAsiaTheme="minorEastAsia" w:cstheme="minorEastAsia"/>
                <w:color w:val="auto"/>
                <w:spacing w:val="-2"/>
                <w:sz w:val="24"/>
                <w:szCs w:val="24"/>
                <w:highlight w:val="none"/>
                <w:lang w:eastAsia="zh-CN"/>
              </w:rPr>
              <w:t>小组成员</w:t>
            </w:r>
            <w:r>
              <w:rPr>
                <w:rFonts w:hint="eastAsia" w:asciiTheme="minorEastAsia" w:hAnsiTheme="minorEastAsia" w:eastAsiaTheme="minorEastAsia" w:cstheme="minorEastAsia"/>
                <w:color w:val="auto"/>
                <w:spacing w:val="-2"/>
                <w:sz w:val="24"/>
                <w:szCs w:val="24"/>
                <w:highlight w:val="none"/>
              </w:rPr>
              <w:t>认为供应商的报价无明显低于其他通过资格性审查供应商的报价的，供应商的报价不存在异常一致并成规律性的，其报价合理</w:t>
            </w:r>
            <w:r>
              <w:rPr>
                <w:rFonts w:hint="eastAsia" w:asciiTheme="minorEastAsia" w:hAnsiTheme="minorEastAsia" w:eastAsiaTheme="minorEastAsia" w:cstheme="minorEastAsia"/>
                <w:color w:val="auto"/>
                <w:spacing w:val="-2"/>
                <w:sz w:val="24"/>
                <w:szCs w:val="24"/>
                <w:highlight w:val="none"/>
                <w:lang w:eastAsia="zh-CN"/>
              </w:rPr>
              <w:t>；</w:t>
            </w:r>
          </w:p>
        </w:tc>
        <w:tc>
          <w:tcPr>
            <w:tcW w:w="608" w:type="pct"/>
            <w:noWrap w:val="0"/>
            <w:vAlign w:val="center"/>
          </w:tcPr>
          <w:p w14:paraId="0BBD89DE">
            <w:pPr>
              <w:shd w:val="clear" w:color="auto" w:fill="auto"/>
              <w:spacing w:line="400" w:lineRule="exact"/>
              <w:rPr>
                <w:rFonts w:hint="eastAsia" w:asciiTheme="minorEastAsia" w:hAnsiTheme="minorEastAsia" w:eastAsiaTheme="minorEastAsia" w:cstheme="minorEastAsia"/>
                <w:color w:val="auto"/>
                <w:spacing w:val="-2"/>
                <w:sz w:val="24"/>
                <w:szCs w:val="24"/>
                <w:highlight w:val="none"/>
              </w:rPr>
            </w:pPr>
          </w:p>
        </w:tc>
      </w:tr>
      <w:tr w14:paraId="282B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329" w:type="pct"/>
            <w:noWrap w:val="0"/>
            <w:vAlign w:val="center"/>
          </w:tcPr>
          <w:p w14:paraId="78451BD8">
            <w:pPr>
              <w:shd w:val="clear" w:color="auto" w:fill="auto"/>
              <w:spacing w:line="400" w:lineRule="exact"/>
              <w:jc w:val="center"/>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3</w:t>
            </w:r>
          </w:p>
        </w:tc>
        <w:tc>
          <w:tcPr>
            <w:tcW w:w="4062" w:type="pct"/>
            <w:noWrap w:val="0"/>
            <w:vAlign w:val="bottom"/>
          </w:tcPr>
          <w:p w14:paraId="74B9B25F">
            <w:pPr>
              <w:shd w:val="clear" w:color="auto" w:fill="auto"/>
              <w:spacing w:line="400" w:lineRule="exact"/>
              <w:jc w:val="left"/>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响应</w:t>
            </w:r>
            <w:r>
              <w:rPr>
                <w:rFonts w:hint="eastAsia" w:asciiTheme="minorEastAsia" w:hAnsiTheme="minorEastAsia" w:eastAsiaTheme="minorEastAsia" w:cstheme="minorEastAsia"/>
                <w:color w:val="auto"/>
                <w:spacing w:val="-2"/>
                <w:sz w:val="24"/>
                <w:szCs w:val="24"/>
                <w:highlight w:val="none"/>
              </w:rPr>
              <w:t>文件按照</w:t>
            </w:r>
            <w:r>
              <w:rPr>
                <w:rFonts w:hint="eastAsia" w:asciiTheme="minorEastAsia" w:hAnsiTheme="minorEastAsia" w:eastAsiaTheme="minorEastAsia" w:cstheme="minorEastAsia"/>
                <w:color w:val="auto"/>
                <w:spacing w:val="-2"/>
                <w:sz w:val="24"/>
                <w:szCs w:val="24"/>
                <w:highlight w:val="none"/>
                <w:lang w:eastAsia="zh-CN"/>
              </w:rPr>
              <w:t>谈判</w:t>
            </w:r>
            <w:r>
              <w:rPr>
                <w:rFonts w:hint="eastAsia" w:asciiTheme="minorEastAsia" w:hAnsiTheme="minorEastAsia" w:eastAsiaTheme="minorEastAsia" w:cstheme="minorEastAsia"/>
                <w:color w:val="auto"/>
                <w:spacing w:val="-2"/>
                <w:sz w:val="24"/>
                <w:szCs w:val="24"/>
                <w:highlight w:val="none"/>
              </w:rPr>
              <w:t>文件的规定编制、标记及签署盖章的，法定代表人或其授权代表签字（章）和加盖供应商公章的（</w:t>
            </w:r>
            <w:r>
              <w:rPr>
                <w:rFonts w:hint="eastAsia" w:asciiTheme="minorEastAsia" w:hAnsiTheme="minorEastAsia" w:eastAsiaTheme="minorEastAsia" w:cstheme="minorEastAsia"/>
                <w:color w:val="auto"/>
                <w:spacing w:val="-2"/>
                <w:sz w:val="24"/>
                <w:szCs w:val="24"/>
                <w:highlight w:val="none"/>
                <w:lang w:eastAsia="zh-CN"/>
              </w:rPr>
              <w:t>所上传的响应</w:t>
            </w:r>
            <w:r>
              <w:rPr>
                <w:rFonts w:hint="eastAsia" w:asciiTheme="minorEastAsia" w:hAnsiTheme="minorEastAsia" w:eastAsiaTheme="minorEastAsia" w:cstheme="minorEastAsia"/>
                <w:color w:val="auto"/>
                <w:spacing w:val="-2"/>
                <w:sz w:val="24"/>
                <w:szCs w:val="24"/>
                <w:highlight w:val="none"/>
              </w:rPr>
              <w:t>文件印章和签字不能为复印件）</w:t>
            </w:r>
            <w:r>
              <w:rPr>
                <w:rFonts w:hint="eastAsia" w:asciiTheme="minorEastAsia" w:hAnsiTheme="minorEastAsia" w:eastAsiaTheme="minorEastAsia" w:cstheme="minorEastAsia"/>
                <w:color w:val="auto"/>
                <w:spacing w:val="-2"/>
                <w:sz w:val="24"/>
                <w:szCs w:val="24"/>
                <w:highlight w:val="none"/>
                <w:lang w:eastAsia="zh-CN"/>
              </w:rPr>
              <w:t>；</w:t>
            </w:r>
          </w:p>
        </w:tc>
        <w:tc>
          <w:tcPr>
            <w:tcW w:w="608" w:type="pct"/>
            <w:noWrap w:val="0"/>
            <w:vAlign w:val="center"/>
          </w:tcPr>
          <w:p w14:paraId="791FE750">
            <w:pPr>
              <w:shd w:val="clear" w:color="auto" w:fill="auto"/>
              <w:spacing w:line="400" w:lineRule="exact"/>
              <w:rPr>
                <w:rFonts w:hint="eastAsia" w:asciiTheme="minorEastAsia" w:hAnsiTheme="minorEastAsia" w:eastAsiaTheme="minorEastAsia" w:cstheme="minorEastAsia"/>
                <w:color w:val="auto"/>
                <w:sz w:val="24"/>
                <w:szCs w:val="24"/>
                <w:highlight w:val="none"/>
              </w:rPr>
            </w:pPr>
          </w:p>
        </w:tc>
      </w:tr>
      <w:tr w14:paraId="76BD7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29" w:type="pct"/>
            <w:noWrap w:val="0"/>
            <w:vAlign w:val="center"/>
          </w:tcPr>
          <w:p w14:paraId="2A20A4AB">
            <w:pPr>
              <w:shd w:val="clear" w:color="auto" w:fill="auto"/>
              <w:spacing w:line="400" w:lineRule="exact"/>
              <w:jc w:val="center"/>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rPr>
              <w:t>4</w:t>
            </w:r>
          </w:p>
        </w:tc>
        <w:tc>
          <w:tcPr>
            <w:tcW w:w="4062" w:type="pct"/>
            <w:noWrap w:val="0"/>
            <w:vAlign w:val="center"/>
          </w:tcPr>
          <w:p w14:paraId="4886FFFD">
            <w:pPr>
              <w:shd w:val="clear" w:color="auto" w:fill="auto"/>
              <w:spacing w:line="400" w:lineRule="exact"/>
              <w:jc w:val="both"/>
              <w:rPr>
                <w:rFonts w:hint="eastAsia" w:asciiTheme="minorEastAsia" w:hAnsiTheme="minorEastAsia" w:eastAsiaTheme="minorEastAsia" w:cstheme="minorEastAsia"/>
                <w:b w:val="0"/>
                <w:bCs w:val="0"/>
                <w:color w:val="auto"/>
                <w:spacing w:val="-2"/>
                <w:sz w:val="24"/>
                <w:szCs w:val="24"/>
                <w:highlight w:val="none"/>
                <w:lang w:eastAsia="zh-CN"/>
              </w:rPr>
            </w:pPr>
            <w:r>
              <w:rPr>
                <w:rFonts w:hint="eastAsia" w:asciiTheme="minorEastAsia" w:hAnsiTheme="minorEastAsia" w:eastAsiaTheme="minorEastAsia" w:cstheme="minorEastAsia"/>
                <w:b w:val="0"/>
                <w:bCs w:val="0"/>
                <w:color w:val="auto"/>
                <w:spacing w:val="-2"/>
                <w:sz w:val="24"/>
                <w:szCs w:val="24"/>
                <w:highlight w:val="none"/>
              </w:rPr>
              <w:t>响应文件载明的</w:t>
            </w:r>
            <w:r>
              <w:rPr>
                <w:rFonts w:hint="eastAsia" w:asciiTheme="minorEastAsia" w:hAnsiTheme="minorEastAsia" w:eastAsiaTheme="minorEastAsia" w:cstheme="minorEastAsia"/>
                <w:b w:val="0"/>
                <w:bCs w:val="0"/>
                <w:color w:val="auto"/>
                <w:spacing w:val="-2"/>
                <w:sz w:val="24"/>
                <w:szCs w:val="24"/>
                <w:highlight w:val="none"/>
                <w:lang w:val="en-US" w:eastAsia="zh-CN"/>
              </w:rPr>
              <w:t>货物</w:t>
            </w:r>
            <w:r>
              <w:rPr>
                <w:rFonts w:hint="eastAsia" w:asciiTheme="minorEastAsia" w:hAnsiTheme="minorEastAsia" w:eastAsiaTheme="minorEastAsia" w:cstheme="minorEastAsia"/>
                <w:b w:val="0"/>
                <w:bCs w:val="0"/>
                <w:color w:val="auto"/>
                <w:spacing w:val="-2"/>
                <w:sz w:val="24"/>
                <w:szCs w:val="24"/>
                <w:highlight w:val="none"/>
              </w:rPr>
              <w:t>需求、项目要求等，符合谈判文件要求的</w:t>
            </w:r>
            <w:r>
              <w:rPr>
                <w:rFonts w:hint="eastAsia" w:asciiTheme="minorEastAsia" w:hAnsiTheme="minorEastAsia" w:eastAsiaTheme="minorEastAsia" w:cstheme="minorEastAsia"/>
                <w:b w:val="0"/>
                <w:bCs w:val="0"/>
                <w:color w:val="auto"/>
                <w:spacing w:val="-2"/>
                <w:sz w:val="24"/>
                <w:szCs w:val="24"/>
                <w:highlight w:val="none"/>
                <w:lang w:eastAsia="zh-CN"/>
              </w:rPr>
              <w:t>；</w:t>
            </w:r>
          </w:p>
        </w:tc>
        <w:tc>
          <w:tcPr>
            <w:tcW w:w="608" w:type="pct"/>
            <w:noWrap w:val="0"/>
            <w:vAlign w:val="center"/>
          </w:tcPr>
          <w:p w14:paraId="09CDD6F3">
            <w:pPr>
              <w:shd w:val="clear" w:color="auto" w:fill="auto"/>
              <w:spacing w:line="400" w:lineRule="exact"/>
              <w:rPr>
                <w:rFonts w:hint="eastAsia" w:asciiTheme="minorEastAsia" w:hAnsiTheme="minorEastAsia" w:eastAsiaTheme="minorEastAsia" w:cstheme="minorEastAsia"/>
                <w:color w:val="auto"/>
                <w:spacing w:val="-2"/>
                <w:sz w:val="24"/>
                <w:szCs w:val="24"/>
                <w:highlight w:val="none"/>
              </w:rPr>
            </w:pPr>
          </w:p>
        </w:tc>
      </w:tr>
      <w:tr w14:paraId="35889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29" w:type="pct"/>
            <w:noWrap w:val="0"/>
            <w:vAlign w:val="center"/>
          </w:tcPr>
          <w:p w14:paraId="260E9F74">
            <w:pPr>
              <w:shd w:val="clear" w:color="auto" w:fill="auto"/>
              <w:spacing w:line="400" w:lineRule="exact"/>
              <w:jc w:val="center"/>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5</w:t>
            </w:r>
          </w:p>
        </w:tc>
        <w:tc>
          <w:tcPr>
            <w:tcW w:w="4062" w:type="pct"/>
            <w:noWrap w:val="0"/>
            <w:vAlign w:val="bottom"/>
          </w:tcPr>
          <w:p w14:paraId="5E5B0A3C">
            <w:pPr>
              <w:shd w:val="clear" w:color="auto" w:fill="auto"/>
              <w:spacing w:line="400" w:lineRule="exact"/>
              <w:jc w:val="left"/>
              <w:rPr>
                <w:rFonts w:hint="eastAsia" w:asciiTheme="minorEastAsia" w:hAnsiTheme="minorEastAsia" w:eastAsiaTheme="minorEastAsia" w:cstheme="minorEastAsia"/>
                <w:b w:val="0"/>
                <w:bCs w:val="0"/>
                <w:color w:val="auto"/>
                <w:spacing w:val="-2"/>
                <w:sz w:val="24"/>
                <w:szCs w:val="24"/>
                <w:highlight w:val="none"/>
              </w:rPr>
            </w:pPr>
            <w:r>
              <w:rPr>
                <w:rFonts w:hint="eastAsia" w:asciiTheme="minorEastAsia" w:hAnsiTheme="minorEastAsia" w:eastAsiaTheme="minorEastAsia" w:cstheme="minorEastAsia"/>
                <w:b w:val="0"/>
                <w:bCs w:val="0"/>
                <w:color w:val="auto"/>
                <w:spacing w:val="-2"/>
                <w:sz w:val="24"/>
                <w:szCs w:val="24"/>
                <w:highlight w:val="none"/>
              </w:rPr>
              <w:t>按</w:t>
            </w:r>
            <w:r>
              <w:rPr>
                <w:rFonts w:hint="eastAsia" w:asciiTheme="minorEastAsia" w:hAnsiTheme="minorEastAsia" w:eastAsiaTheme="minorEastAsia" w:cstheme="minorEastAsia"/>
                <w:b w:val="0"/>
                <w:bCs w:val="0"/>
                <w:color w:val="auto"/>
                <w:spacing w:val="-2"/>
                <w:sz w:val="24"/>
                <w:szCs w:val="24"/>
                <w:highlight w:val="none"/>
                <w:lang w:eastAsia="zh-CN"/>
              </w:rPr>
              <w:t>谈判文件</w:t>
            </w:r>
            <w:r>
              <w:rPr>
                <w:rFonts w:hint="eastAsia" w:asciiTheme="minorEastAsia" w:hAnsiTheme="minorEastAsia" w:eastAsiaTheme="minorEastAsia" w:cstheme="minorEastAsia"/>
                <w:b w:val="0"/>
                <w:bCs w:val="0"/>
                <w:color w:val="auto"/>
                <w:spacing w:val="-2"/>
                <w:sz w:val="24"/>
                <w:szCs w:val="24"/>
                <w:highlight w:val="none"/>
              </w:rPr>
              <w:t>规定的格式填写，内容全</w:t>
            </w:r>
            <w:r>
              <w:rPr>
                <w:rFonts w:hint="eastAsia" w:asciiTheme="minorEastAsia" w:hAnsiTheme="minorEastAsia" w:eastAsiaTheme="minorEastAsia" w:cstheme="minorEastAsia"/>
                <w:b w:val="0"/>
                <w:bCs w:val="0"/>
                <w:color w:val="auto"/>
                <w:spacing w:val="-2"/>
                <w:sz w:val="24"/>
                <w:szCs w:val="24"/>
                <w:highlight w:val="none"/>
                <w:lang w:val="en-US" w:eastAsia="zh-CN"/>
              </w:rPr>
              <w:t>或关键字迹清晰等</w:t>
            </w:r>
            <w:r>
              <w:rPr>
                <w:rFonts w:hint="eastAsia" w:asciiTheme="minorEastAsia" w:hAnsiTheme="minorEastAsia" w:eastAsiaTheme="minorEastAsia" w:cstheme="minorEastAsia"/>
                <w:b w:val="0"/>
                <w:bCs w:val="0"/>
                <w:color w:val="auto"/>
                <w:spacing w:val="-2"/>
                <w:sz w:val="24"/>
                <w:szCs w:val="24"/>
                <w:highlight w:val="none"/>
              </w:rPr>
              <w:t>；</w:t>
            </w:r>
          </w:p>
        </w:tc>
        <w:tc>
          <w:tcPr>
            <w:tcW w:w="608" w:type="pct"/>
            <w:noWrap w:val="0"/>
            <w:vAlign w:val="center"/>
          </w:tcPr>
          <w:p w14:paraId="0782399D">
            <w:pPr>
              <w:shd w:val="clear" w:color="auto" w:fill="auto"/>
              <w:spacing w:line="400" w:lineRule="exact"/>
              <w:rPr>
                <w:rFonts w:hint="eastAsia" w:asciiTheme="minorEastAsia" w:hAnsiTheme="minorEastAsia" w:eastAsiaTheme="minorEastAsia" w:cstheme="minorEastAsia"/>
                <w:color w:val="auto"/>
                <w:spacing w:val="-2"/>
                <w:sz w:val="24"/>
                <w:szCs w:val="24"/>
                <w:highlight w:val="none"/>
              </w:rPr>
            </w:pPr>
          </w:p>
        </w:tc>
      </w:tr>
      <w:tr w14:paraId="42401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29" w:type="pct"/>
            <w:noWrap w:val="0"/>
            <w:vAlign w:val="center"/>
          </w:tcPr>
          <w:p w14:paraId="1BBF0F3D">
            <w:pPr>
              <w:shd w:val="clear" w:color="auto" w:fill="auto"/>
              <w:spacing w:line="400" w:lineRule="exact"/>
              <w:jc w:val="center"/>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6</w:t>
            </w:r>
          </w:p>
        </w:tc>
        <w:tc>
          <w:tcPr>
            <w:tcW w:w="4062" w:type="pct"/>
            <w:noWrap w:val="0"/>
            <w:vAlign w:val="bottom"/>
          </w:tcPr>
          <w:p w14:paraId="3F046AAB">
            <w:pPr>
              <w:shd w:val="clear" w:color="auto" w:fill="auto"/>
              <w:spacing w:line="400" w:lineRule="exact"/>
              <w:jc w:val="left"/>
              <w:rPr>
                <w:rFonts w:hint="eastAsia" w:asciiTheme="minorEastAsia" w:hAnsiTheme="minorEastAsia" w:eastAsiaTheme="minorEastAsia" w:cstheme="minorEastAsia"/>
                <w:b w:val="0"/>
                <w:bCs w:val="0"/>
                <w:color w:val="auto"/>
                <w:spacing w:val="-2"/>
                <w:sz w:val="24"/>
                <w:szCs w:val="24"/>
                <w:highlight w:val="none"/>
                <w:lang w:eastAsia="zh-CN"/>
              </w:rPr>
            </w:pPr>
            <w:r>
              <w:rPr>
                <w:rFonts w:hint="eastAsia" w:asciiTheme="minorEastAsia" w:hAnsiTheme="minorEastAsia" w:eastAsiaTheme="minorEastAsia" w:cstheme="minorEastAsia"/>
                <w:b w:val="0"/>
                <w:bCs w:val="0"/>
                <w:color w:val="auto"/>
                <w:spacing w:val="-2"/>
                <w:sz w:val="24"/>
                <w:szCs w:val="24"/>
                <w:highlight w:val="none"/>
              </w:rPr>
              <w:t>符合</w:t>
            </w:r>
            <w:r>
              <w:rPr>
                <w:rFonts w:hint="eastAsia" w:asciiTheme="minorEastAsia" w:hAnsiTheme="minorEastAsia" w:eastAsiaTheme="minorEastAsia" w:cstheme="minorEastAsia"/>
                <w:b w:val="0"/>
                <w:bCs w:val="0"/>
                <w:color w:val="auto"/>
                <w:spacing w:val="-2"/>
                <w:sz w:val="24"/>
                <w:szCs w:val="24"/>
                <w:highlight w:val="none"/>
                <w:lang w:eastAsia="zh-CN"/>
              </w:rPr>
              <w:t>谈判文件</w:t>
            </w:r>
            <w:r>
              <w:rPr>
                <w:rFonts w:hint="eastAsia" w:asciiTheme="minorEastAsia" w:hAnsiTheme="minorEastAsia" w:eastAsiaTheme="minorEastAsia" w:cstheme="minorEastAsia"/>
                <w:b w:val="0"/>
                <w:bCs w:val="0"/>
                <w:color w:val="auto"/>
                <w:spacing w:val="-2"/>
                <w:sz w:val="24"/>
                <w:szCs w:val="24"/>
                <w:highlight w:val="none"/>
              </w:rPr>
              <w:t>中规定的其他实质性要求</w:t>
            </w:r>
            <w:r>
              <w:rPr>
                <w:rFonts w:hint="eastAsia" w:asciiTheme="minorEastAsia" w:hAnsiTheme="minorEastAsia" w:eastAsiaTheme="minorEastAsia" w:cstheme="minorEastAsia"/>
                <w:b w:val="0"/>
                <w:bCs w:val="0"/>
                <w:color w:val="auto"/>
                <w:spacing w:val="-2"/>
                <w:sz w:val="24"/>
                <w:szCs w:val="24"/>
                <w:highlight w:val="none"/>
                <w:lang w:eastAsia="zh-CN"/>
              </w:rPr>
              <w:t>（</w:t>
            </w:r>
            <w:r>
              <w:rPr>
                <w:rFonts w:hint="eastAsia" w:asciiTheme="minorEastAsia" w:hAnsiTheme="minorEastAsia" w:eastAsiaTheme="minorEastAsia" w:cstheme="minorEastAsia"/>
                <w:b w:val="0"/>
                <w:bCs w:val="0"/>
                <w:color w:val="auto"/>
                <w:spacing w:val="-2"/>
                <w:sz w:val="24"/>
                <w:szCs w:val="24"/>
                <w:highlight w:val="none"/>
                <w:lang w:val="en-US" w:eastAsia="zh-CN"/>
              </w:rPr>
              <w:t>其他要求</w:t>
            </w:r>
            <w:r>
              <w:rPr>
                <w:rFonts w:hint="eastAsia" w:asciiTheme="minorEastAsia" w:hAnsiTheme="minorEastAsia" w:eastAsiaTheme="minorEastAsia" w:cstheme="minorEastAsia"/>
                <w:b w:val="0"/>
                <w:bCs w:val="0"/>
                <w:color w:val="auto"/>
                <w:spacing w:val="-2"/>
                <w:sz w:val="24"/>
                <w:szCs w:val="24"/>
                <w:highlight w:val="none"/>
                <w:lang w:eastAsia="zh-CN"/>
              </w:rPr>
              <w:t>）；</w:t>
            </w:r>
          </w:p>
        </w:tc>
        <w:tc>
          <w:tcPr>
            <w:tcW w:w="608" w:type="pct"/>
            <w:noWrap w:val="0"/>
            <w:vAlign w:val="center"/>
          </w:tcPr>
          <w:p w14:paraId="6EADC360">
            <w:pPr>
              <w:shd w:val="clear" w:color="auto" w:fill="auto"/>
              <w:spacing w:line="400" w:lineRule="exact"/>
              <w:rPr>
                <w:rFonts w:hint="eastAsia" w:asciiTheme="minorEastAsia" w:hAnsiTheme="minorEastAsia" w:eastAsiaTheme="minorEastAsia" w:cstheme="minorEastAsia"/>
                <w:color w:val="auto"/>
                <w:spacing w:val="-2"/>
                <w:sz w:val="24"/>
                <w:szCs w:val="24"/>
                <w:highlight w:val="none"/>
              </w:rPr>
            </w:pPr>
          </w:p>
        </w:tc>
      </w:tr>
      <w:tr w14:paraId="6260A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29" w:type="pct"/>
            <w:noWrap w:val="0"/>
            <w:vAlign w:val="center"/>
          </w:tcPr>
          <w:p w14:paraId="35E780DF">
            <w:pPr>
              <w:shd w:val="clear" w:color="auto" w:fill="auto"/>
              <w:spacing w:line="400" w:lineRule="exact"/>
              <w:jc w:val="center"/>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7</w:t>
            </w:r>
          </w:p>
        </w:tc>
        <w:tc>
          <w:tcPr>
            <w:tcW w:w="4062" w:type="pct"/>
            <w:noWrap w:val="0"/>
            <w:vAlign w:val="bottom"/>
          </w:tcPr>
          <w:p w14:paraId="56E15D67">
            <w:pPr>
              <w:shd w:val="clear" w:color="auto" w:fill="auto"/>
              <w:spacing w:line="400" w:lineRule="exact"/>
              <w:jc w:val="left"/>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没有采购人不能接受的附加条件的；</w:t>
            </w:r>
          </w:p>
        </w:tc>
        <w:tc>
          <w:tcPr>
            <w:tcW w:w="608" w:type="pct"/>
            <w:noWrap w:val="0"/>
            <w:vAlign w:val="center"/>
          </w:tcPr>
          <w:p w14:paraId="01076877">
            <w:pPr>
              <w:shd w:val="clear" w:color="auto" w:fill="auto"/>
              <w:spacing w:line="400" w:lineRule="exact"/>
              <w:rPr>
                <w:rFonts w:hint="eastAsia" w:asciiTheme="minorEastAsia" w:hAnsiTheme="minorEastAsia" w:eastAsiaTheme="minorEastAsia" w:cstheme="minorEastAsia"/>
                <w:color w:val="auto"/>
                <w:spacing w:val="-2"/>
                <w:sz w:val="24"/>
                <w:szCs w:val="24"/>
                <w:highlight w:val="none"/>
              </w:rPr>
            </w:pPr>
          </w:p>
        </w:tc>
      </w:tr>
      <w:tr w14:paraId="21BB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29" w:type="pct"/>
            <w:noWrap w:val="0"/>
            <w:vAlign w:val="center"/>
          </w:tcPr>
          <w:p w14:paraId="7CAD4A54">
            <w:pPr>
              <w:shd w:val="clear" w:color="auto" w:fill="auto"/>
              <w:spacing w:line="400" w:lineRule="exact"/>
              <w:jc w:val="center"/>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8</w:t>
            </w:r>
          </w:p>
        </w:tc>
        <w:tc>
          <w:tcPr>
            <w:tcW w:w="4062" w:type="pct"/>
            <w:noWrap w:val="0"/>
            <w:vAlign w:val="bottom"/>
          </w:tcPr>
          <w:p w14:paraId="7CF21720">
            <w:pPr>
              <w:shd w:val="clear" w:color="auto" w:fill="auto"/>
              <w:spacing w:line="400" w:lineRule="exact"/>
              <w:jc w:val="left"/>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不同供应商的</w:t>
            </w:r>
            <w:r>
              <w:rPr>
                <w:rFonts w:hint="eastAsia" w:asciiTheme="minorEastAsia" w:hAnsiTheme="minorEastAsia" w:eastAsiaTheme="minorEastAsia" w:cstheme="minorEastAsia"/>
                <w:color w:val="auto"/>
                <w:spacing w:val="-2"/>
                <w:sz w:val="24"/>
                <w:szCs w:val="24"/>
                <w:highlight w:val="none"/>
                <w:lang w:eastAsia="zh-CN"/>
              </w:rPr>
              <w:t>响应文件</w:t>
            </w:r>
            <w:r>
              <w:rPr>
                <w:rFonts w:hint="eastAsia" w:asciiTheme="minorEastAsia" w:hAnsiTheme="minorEastAsia" w:eastAsiaTheme="minorEastAsia" w:cstheme="minorEastAsia"/>
                <w:color w:val="auto"/>
                <w:spacing w:val="-2"/>
                <w:sz w:val="24"/>
                <w:szCs w:val="24"/>
                <w:highlight w:val="none"/>
              </w:rPr>
              <w:t>没有错漏一致的情况；</w:t>
            </w:r>
          </w:p>
        </w:tc>
        <w:tc>
          <w:tcPr>
            <w:tcW w:w="608" w:type="pct"/>
            <w:noWrap w:val="0"/>
            <w:vAlign w:val="center"/>
          </w:tcPr>
          <w:p w14:paraId="1047DD0F">
            <w:pPr>
              <w:shd w:val="clear" w:color="auto" w:fill="auto"/>
              <w:spacing w:line="400" w:lineRule="exact"/>
              <w:rPr>
                <w:rFonts w:hint="eastAsia" w:asciiTheme="minorEastAsia" w:hAnsiTheme="minorEastAsia" w:eastAsiaTheme="minorEastAsia" w:cstheme="minorEastAsia"/>
                <w:color w:val="auto"/>
                <w:spacing w:val="-2"/>
                <w:sz w:val="24"/>
                <w:szCs w:val="24"/>
                <w:highlight w:val="none"/>
              </w:rPr>
            </w:pPr>
          </w:p>
        </w:tc>
      </w:tr>
      <w:tr w14:paraId="6503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29" w:type="pct"/>
            <w:noWrap w:val="0"/>
            <w:vAlign w:val="center"/>
          </w:tcPr>
          <w:p w14:paraId="6A427F56">
            <w:pPr>
              <w:shd w:val="clear" w:color="auto" w:fill="auto"/>
              <w:spacing w:line="400" w:lineRule="exact"/>
              <w:jc w:val="center"/>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rPr>
              <w:t>9</w:t>
            </w:r>
          </w:p>
        </w:tc>
        <w:tc>
          <w:tcPr>
            <w:tcW w:w="4062" w:type="pct"/>
            <w:noWrap w:val="0"/>
            <w:vAlign w:val="bottom"/>
          </w:tcPr>
          <w:p w14:paraId="39ADA625">
            <w:pPr>
              <w:shd w:val="clear" w:color="auto" w:fill="auto"/>
              <w:spacing w:line="400" w:lineRule="exact"/>
              <w:jc w:val="left"/>
              <w:rPr>
                <w:rFonts w:hint="eastAsia"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rPr>
              <w:t>供应商附有详细地址、联系人、电话标明的</w:t>
            </w:r>
            <w:r>
              <w:rPr>
                <w:rFonts w:hint="eastAsia" w:asciiTheme="minorEastAsia" w:hAnsiTheme="minorEastAsia" w:eastAsiaTheme="minorEastAsia" w:cstheme="minorEastAsia"/>
                <w:color w:val="auto"/>
                <w:spacing w:val="-2"/>
                <w:sz w:val="24"/>
                <w:szCs w:val="24"/>
                <w:highlight w:val="none"/>
                <w:lang w:eastAsia="zh-CN"/>
              </w:rPr>
              <w:t>。</w:t>
            </w:r>
          </w:p>
        </w:tc>
        <w:tc>
          <w:tcPr>
            <w:tcW w:w="608" w:type="pct"/>
            <w:noWrap w:val="0"/>
            <w:vAlign w:val="center"/>
          </w:tcPr>
          <w:p w14:paraId="0D690D2C">
            <w:pPr>
              <w:shd w:val="clear" w:color="auto" w:fill="auto"/>
              <w:spacing w:line="400" w:lineRule="exact"/>
              <w:rPr>
                <w:rFonts w:hint="eastAsia" w:asciiTheme="minorEastAsia" w:hAnsiTheme="minorEastAsia" w:eastAsiaTheme="minorEastAsia" w:cstheme="minorEastAsia"/>
                <w:color w:val="auto"/>
                <w:spacing w:val="-2"/>
                <w:sz w:val="24"/>
                <w:szCs w:val="24"/>
                <w:highlight w:val="none"/>
              </w:rPr>
            </w:pPr>
          </w:p>
        </w:tc>
      </w:tr>
      <w:tr w14:paraId="7E685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391" w:type="pct"/>
            <w:gridSpan w:val="2"/>
            <w:noWrap w:val="0"/>
            <w:vAlign w:val="center"/>
          </w:tcPr>
          <w:p w14:paraId="5A6AF3D0">
            <w:pPr>
              <w:shd w:val="clear" w:color="auto" w:fill="auto"/>
              <w:spacing w:line="400" w:lineRule="exact"/>
              <w:ind w:firstLine="424" w:firstLineChars="180"/>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结论：通过评审打“√”，未通过评审打“×”</w:t>
            </w:r>
          </w:p>
        </w:tc>
        <w:tc>
          <w:tcPr>
            <w:tcW w:w="608" w:type="pct"/>
            <w:noWrap w:val="0"/>
            <w:vAlign w:val="center"/>
          </w:tcPr>
          <w:p w14:paraId="7C6C008E">
            <w:pPr>
              <w:shd w:val="clear" w:color="auto" w:fill="auto"/>
              <w:spacing w:line="400" w:lineRule="exact"/>
              <w:ind w:firstLine="424" w:firstLineChars="180"/>
              <w:rPr>
                <w:rFonts w:hint="eastAsia" w:asciiTheme="minorEastAsia" w:hAnsiTheme="minorEastAsia" w:eastAsiaTheme="minorEastAsia" w:cstheme="minorEastAsia"/>
                <w:color w:val="auto"/>
                <w:spacing w:val="-2"/>
                <w:sz w:val="24"/>
                <w:szCs w:val="24"/>
                <w:highlight w:val="none"/>
              </w:rPr>
            </w:pPr>
          </w:p>
        </w:tc>
      </w:tr>
    </w:tbl>
    <w:p w14:paraId="3A9AF8F7">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p>
    <w:p w14:paraId="442BD059">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说明：</w:t>
      </w:r>
    </w:p>
    <w:p w14:paraId="45BBF47F">
      <w:pPr>
        <w:snapToGrid w:val="0"/>
        <w:spacing w:line="360" w:lineRule="exact"/>
        <w:textAlignment w:val="baseline"/>
        <w:rPr>
          <w:rFonts w:hint="eastAsia" w:asciiTheme="minorEastAsia" w:hAnsiTheme="minorEastAsia" w:eastAsiaTheme="minorEastAsia" w:cstheme="minorEastAsia"/>
          <w:color w:val="auto"/>
          <w:sz w:val="24"/>
          <w:highlight w:val="none"/>
        </w:rPr>
      </w:pPr>
      <w:bookmarkStart w:id="838" w:name="_Toc9377_WPSOffice_Level1"/>
      <w:bookmarkStart w:id="839" w:name="_Toc7055"/>
      <w:bookmarkStart w:id="840" w:name="_Toc374"/>
      <w:bookmarkStart w:id="841" w:name="_Toc30745_WPSOffice_Level2"/>
      <w:r>
        <w:rPr>
          <w:rFonts w:hint="eastAsia" w:asciiTheme="minorEastAsia" w:hAnsiTheme="minorEastAsia" w:eastAsiaTheme="minorEastAsia" w:cstheme="minorEastAsia"/>
          <w:color w:val="auto"/>
          <w:sz w:val="24"/>
          <w:highlight w:val="none"/>
        </w:rPr>
        <w:t>（1）上述各项中用“</w:t>
      </w:r>
      <w:r>
        <w:rPr>
          <w:rFonts w:hint="eastAsia" w:asciiTheme="minorEastAsia" w:hAnsiTheme="minorEastAsia" w:eastAsiaTheme="minorEastAsia" w:cstheme="minorEastAsia"/>
          <w:color w:val="auto"/>
          <w:sz w:val="24"/>
          <w:highlight w:val="none"/>
          <w:lang w:val="en-US" w:eastAsia="zh-CN"/>
        </w:rPr>
        <w:t>符合</w:t>
      </w:r>
      <w:r>
        <w:rPr>
          <w:rFonts w:hint="eastAsia" w:asciiTheme="minorEastAsia" w:hAnsiTheme="minorEastAsia" w:eastAsiaTheme="minorEastAsia" w:cstheme="minorEastAsia"/>
          <w:color w:val="auto"/>
          <w:sz w:val="24"/>
          <w:highlight w:val="none"/>
        </w:rPr>
        <w:t>”表示通过，“</w:t>
      </w:r>
      <w:r>
        <w:rPr>
          <w:rFonts w:hint="eastAsia" w:asciiTheme="minorEastAsia" w:hAnsiTheme="minorEastAsia" w:eastAsiaTheme="minorEastAsia" w:cstheme="minorEastAsia"/>
          <w:color w:val="auto"/>
          <w:sz w:val="24"/>
          <w:highlight w:val="none"/>
          <w:lang w:val="en-US" w:eastAsia="zh-CN"/>
        </w:rPr>
        <w:t>不符合</w:t>
      </w:r>
      <w:r>
        <w:rPr>
          <w:rFonts w:hint="eastAsia" w:asciiTheme="minorEastAsia" w:hAnsiTheme="minorEastAsia" w:eastAsiaTheme="minorEastAsia" w:cstheme="minorEastAsia"/>
          <w:color w:val="auto"/>
          <w:sz w:val="24"/>
          <w:highlight w:val="none"/>
        </w:rPr>
        <w:t>”表示不通过；</w:t>
      </w:r>
    </w:p>
    <w:p w14:paraId="3F0E24FA">
      <w:pPr>
        <w:snapToGrid w:val="0"/>
        <w:spacing w:line="360" w:lineRule="exact"/>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（2）上述各项中如有一项为“</w:t>
      </w:r>
      <w:r>
        <w:rPr>
          <w:rFonts w:hint="eastAsia" w:asciiTheme="minorEastAsia" w:hAnsiTheme="minorEastAsia" w:eastAsiaTheme="minorEastAsia" w:cstheme="minorEastAsia"/>
          <w:color w:val="auto"/>
          <w:sz w:val="24"/>
          <w:highlight w:val="none"/>
          <w:lang w:val="en-US" w:eastAsia="zh-CN"/>
        </w:rPr>
        <w:t>不符合</w:t>
      </w:r>
      <w:r>
        <w:rPr>
          <w:rFonts w:hint="eastAsia" w:asciiTheme="minorEastAsia" w:hAnsiTheme="minorEastAsia" w:eastAsiaTheme="minorEastAsia" w:cstheme="minorEastAsia"/>
          <w:color w:val="auto"/>
          <w:sz w:val="24"/>
          <w:highlight w:val="none"/>
        </w:rPr>
        <w:t>”，则结论为“</w:t>
      </w:r>
      <w:r>
        <w:rPr>
          <w:rFonts w:hint="eastAsia" w:asciiTheme="minorEastAsia" w:hAnsiTheme="minorEastAsia" w:eastAsiaTheme="minorEastAsia" w:cstheme="minorEastAsia"/>
          <w:color w:val="auto"/>
          <w:sz w:val="24"/>
          <w:highlight w:val="none"/>
          <w:lang w:val="en-US" w:eastAsia="zh-CN"/>
        </w:rPr>
        <w:t>不通过</w:t>
      </w:r>
      <w:r>
        <w:rPr>
          <w:rFonts w:hint="eastAsia" w:asciiTheme="minorEastAsia" w:hAnsiTheme="minorEastAsia" w:eastAsiaTheme="minorEastAsia" w:cstheme="minorEastAsia"/>
          <w:color w:val="auto"/>
          <w:sz w:val="24"/>
          <w:highlight w:val="none"/>
        </w:rPr>
        <w:t>”，表示该</w:t>
      </w:r>
      <w:r>
        <w:rPr>
          <w:rFonts w:hint="eastAsia" w:asciiTheme="minorEastAsia" w:hAnsiTheme="minorEastAsia" w:eastAsiaTheme="minorEastAsia" w:cstheme="minorEastAsia"/>
          <w:color w:val="auto"/>
          <w:sz w:val="24"/>
          <w:highlight w:val="none"/>
          <w:lang w:eastAsia="zh-CN"/>
        </w:rPr>
        <w:t>谈判</w:t>
      </w:r>
      <w:r>
        <w:rPr>
          <w:rFonts w:hint="eastAsia" w:asciiTheme="minorEastAsia" w:hAnsiTheme="minorEastAsia" w:eastAsiaTheme="minorEastAsia" w:cstheme="minorEastAsia"/>
          <w:color w:val="auto"/>
          <w:sz w:val="24"/>
          <w:highlight w:val="none"/>
        </w:rPr>
        <w:t>文件中存在重大偏差，不能通过初步评审；评委对某一分项评审认为不合格时，必须要写明原因。</w:t>
      </w:r>
    </w:p>
    <w:p w14:paraId="63797142">
      <w:pPr>
        <w:snapToGrid w:val="0"/>
        <w:spacing w:line="360" w:lineRule="exact"/>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谈判</w:t>
      </w:r>
      <w:r>
        <w:rPr>
          <w:rFonts w:hint="eastAsia" w:asciiTheme="minorEastAsia" w:hAnsiTheme="minorEastAsia" w:eastAsiaTheme="minorEastAsia" w:cstheme="minorEastAsia"/>
          <w:color w:val="auto"/>
          <w:sz w:val="24"/>
          <w:highlight w:val="none"/>
        </w:rPr>
        <w:t>文件最终合格与否，以所有评委的评审意见中少数服从多数为原则定论。</w:t>
      </w:r>
    </w:p>
    <w:p w14:paraId="736BFE3B">
      <w:pPr>
        <w:snapToGrid w:val="0"/>
        <w:spacing w:line="240" w:lineRule="atLeast"/>
        <w:ind w:left="1157" w:leftChars="257" w:hanging="540"/>
        <w:jc w:val="left"/>
        <w:textAlignment w:val="baseline"/>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bCs/>
          <w:color w:val="auto"/>
          <w:sz w:val="24"/>
          <w:highlight w:val="none"/>
        </w:rPr>
        <w:t>备注：如果</w:t>
      </w:r>
      <w:r>
        <w:rPr>
          <w:rFonts w:hint="eastAsia" w:asciiTheme="minorEastAsia" w:hAnsiTheme="minorEastAsia" w:eastAsiaTheme="minorEastAsia" w:cstheme="minorEastAsia"/>
          <w:b/>
          <w:bCs/>
          <w:color w:val="auto"/>
          <w:sz w:val="24"/>
          <w:highlight w:val="none"/>
          <w:lang w:eastAsia="zh-CN"/>
        </w:rPr>
        <w:t>谈判</w:t>
      </w:r>
      <w:r>
        <w:rPr>
          <w:rFonts w:hint="eastAsia" w:asciiTheme="minorEastAsia" w:hAnsiTheme="minorEastAsia" w:eastAsiaTheme="minorEastAsia" w:cstheme="minorEastAsia"/>
          <w:b/>
          <w:bCs/>
          <w:color w:val="auto"/>
          <w:sz w:val="24"/>
          <w:highlight w:val="none"/>
        </w:rPr>
        <w:t>文件中有一项未通过上述审查标准，评审委员会将认定整个</w:t>
      </w:r>
      <w:r>
        <w:rPr>
          <w:rFonts w:hint="eastAsia" w:asciiTheme="minorEastAsia" w:hAnsiTheme="minorEastAsia" w:eastAsiaTheme="minorEastAsia" w:cstheme="minorEastAsia"/>
          <w:b/>
          <w:bCs/>
          <w:color w:val="auto"/>
          <w:sz w:val="24"/>
          <w:highlight w:val="none"/>
          <w:lang w:eastAsia="zh-CN"/>
        </w:rPr>
        <w:t>谈判</w:t>
      </w:r>
      <w:r>
        <w:rPr>
          <w:rFonts w:hint="eastAsia" w:asciiTheme="minorEastAsia" w:hAnsiTheme="minorEastAsia" w:eastAsiaTheme="minorEastAsia" w:cstheme="minorEastAsia"/>
          <w:b/>
          <w:bCs/>
          <w:color w:val="auto"/>
          <w:sz w:val="24"/>
          <w:highlight w:val="none"/>
        </w:rPr>
        <w:t>文件未响应</w:t>
      </w:r>
      <w:r>
        <w:rPr>
          <w:rFonts w:hint="eastAsia" w:asciiTheme="minorEastAsia" w:hAnsiTheme="minorEastAsia" w:eastAsiaTheme="minorEastAsia" w:cstheme="minorEastAsia"/>
          <w:b/>
          <w:bCs/>
          <w:color w:val="auto"/>
          <w:sz w:val="24"/>
          <w:highlight w:val="none"/>
          <w:lang w:eastAsia="zh-CN"/>
        </w:rPr>
        <w:t>谈判</w:t>
      </w:r>
      <w:r>
        <w:rPr>
          <w:rFonts w:hint="eastAsia" w:asciiTheme="minorEastAsia" w:hAnsiTheme="minorEastAsia" w:eastAsiaTheme="minorEastAsia" w:cstheme="minorEastAsia"/>
          <w:b/>
          <w:bCs/>
          <w:color w:val="auto"/>
          <w:sz w:val="24"/>
          <w:highlight w:val="none"/>
        </w:rPr>
        <w:t>文件而予以</w:t>
      </w:r>
      <w:r>
        <w:rPr>
          <w:rFonts w:hint="eastAsia" w:asciiTheme="minorEastAsia" w:hAnsiTheme="minorEastAsia" w:eastAsiaTheme="minorEastAsia" w:cstheme="minorEastAsia"/>
          <w:b/>
          <w:bCs/>
          <w:color w:val="auto"/>
          <w:sz w:val="24"/>
          <w:highlight w:val="none"/>
          <w:lang w:val="en-US" w:eastAsia="zh-CN"/>
        </w:rPr>
        <w:t>响应无效</w:t>
      </w:r>
      <w:r>
        <w:rPr>
          <w:rFonts w:hint="eastAsia" w:asciiTheme="minorEastAsia" w:hAnsiTheme="minorEastAsia" w:eastAsiaTheme="minorEastAsia" w:cstheme="minorEastAsia"/>
          <w:b/>
          <w:bCs/>
          <w:color w:val="auto"/>
          <w:sz w:val="24"/>
          <w:highlight w:val="none"/>
        </w:rPr>
        <w:t>处理。</w:t>
      </w:r>
    </w:p>
    <w:p w14:paraId="19D0BA85">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br w:type="page"/>
      </w:r>
    </w:p>
    <w:p w14:paraId="226CFBF6">
      <w:pPr>
        <w:pStyle w:val="9"/>
        <w:rPr>
          <w:rFonts w:hint="eastAsia" w:asciiTheme="minorEastAsia" w:hAnsiTheme="minorEastAsia" w:eastAsiaTheme="minorEastAsia" w:cstheme="minorEastAsia"/>
          <w:color w:val="auto"/>
          <w:highlight w:val="none"/>
          <w:lang w:val="en-US" w:eastAsia="zh-CN"/>
        </w:rPr>
      </w:pPr>
    </w:p>
    <w:p w14:paraId="683833D0">
      <w:pPr>
        <w:rPr>
          <w:rFonts w:hint="eastAsia" w:asciiTheme="minorEastAsia" w:hAnsiTheme="minorEastAsia" w:eastAsiaTheme="minorEastAsia" w:cstheme="minorEastAsia"/>
          <w:color w:val="auto"/>
          <w:sz w:val="24"/>
          <w:szCs w:val="24"/>
          <w:highlight w:val="none"/>
          <w:lang w:val="en-US" w:eastAsia="zh-CN"/>
        </w:rPr>
      </w:pPr>
    </w:p>
    <w:p w14:paraId="52510F63">
      <w:pPr>
        <w:pageBreakBefore w:val="0"/>
        <w:numPr>
          <w:ilvl w:val="0"/>
          <w:numId w:val="0"/>
        </w:numPr>
        <w:kinsoku/>
        <w:wordWrap/>
        <w:overflowPunct/>
        <w:topLinePunct w:val="0"/>
        <w:bidi w:val="0"/>
        <w:spacing w:line="500" w:lineRule="exact"/>
        <w:ind w:leftChars="0"/>
        <w:jc w:val="center"/>
        <w:textAlignment w:val="auto"/>
        <w:outlineLvl w:val="9"/>
        <w:rPr>
          <w:rFonts w:hint="eastAsia" w:asciiTheme="minorEastAsia" w:hAnsiTheme="minorEastAsia" w:eastAsiaTheme="minorEastAsia" w:cstheme="minorEastAsia"/>
          <w:b/>
          <w:bCs w:val="0"/>
          <w:color w:val="auto"/>
          <w:sz w:val="44"/>
          <w:szCs w:val="44"/>
          <w:highlight w:val="none"/>
          <w:lang w:val="en-US" w:eastAsia="zh-CN"/>
        </w:rPr>
      </w:pPr>
    </w:p>
    <w:p w14:paraId="3F188B5F">
      <w:pPr>
        <w:pageBreakBefore w:val="0"/>
        <w:numPr>
          <w:ilvl w:val="0"/>
          <w:numId w:val="0"/>
        </w:numPr>
        <w:kinsoku/>
        <w:wordWrap/>
        <w:overflowPunct/>
        <w:topLinePunct w:val="0"/>
        <w:bidi w:val="0"/>
        <w:spacing w:line="500" w:lineRule="exact"/>
        <w:ind w:leftChars="0"/>
        <w:jc w:val="center"/>
        <w:textAlignment w:val="auto"/>
        <w:outlineLvl w:val="9"/>
        <w:rPr>
          <w:rFonts w:hint="eastAsia" w:asciiTheme="minorEastAsia" w:hAnsiTheme="minorEastAsia" w:eastAsiaTheme="minorEastAsia" w:cstheme="minorEastAsia"/>
          <w:b/>
          <w:bCs w:val="0"/>
          <w:color w:val="auto"/>
          <w:sz w:val="44"/>
          <w:szCs w:val="44"/>
          <w:highlight w:val="none"/>
          <w:lang w:val="en-US" w:eastAsia="zh-CN"/>
        </w:rPr>
      </w:pPr>
      <w:r>
        <w:rPr>
          <w:rFonts w:hint="eastAsia" w:asciiTheme="minorEastAsia" w:hAnsiTheme="minorEastAsia" w:eastAsiaTheme="minorEastAsia" w:cstheme="minorEastAsia"/>
          <w:b/>
          <w:bCs w:val="0"/>
          <w:color w:val="auto"/>
          <w:sz w:val="44"/>
          <w:szCs w:val="44"/>
          <w:highlight w:val="none"/>
          <w:lang w:val="en-US" w:eastAsia="zh-CN"/>
        </w:rPr>
        <w:t>莎车县城市空气监测站设备更新项目</w:t>
      </w:r>
    </w:p>
    <w:p w14:paraId="7CBEA5F1">
      <w:pPr>
        <w:rPr>
          <w:rFonts w:hint="eastAsia" w:asciiTheme="minorEastAsia" w:hAnsiTheme="minorEastAsia" w:eastAsiaTheme="minorEastAsia" w:cstheme="minorEastAsia"/>
          <w:color w:val="auto"/>
          <w:sz w:val="24"/>
          <w:szCs w:val="24"/>
          <w:highlight w:val="none"/>
          <w:lang w:val="en-US" w:eastAsia="zh-CN"/>
        </w:rPr>
      </w:pPr>
    </w:p>
    <w:p w14:paraId="439CA80E">
      <w:pPr>
        <w:pageBreakBefore w:val="0"/>
        <w:numPr>
          <w:ilvl w:val="0"/>
          <w:numId w:val="0"/>
        </w:numPr>
        <w:kinsoku/>
        <w:wordWrap/>
        <w:overflowPunct/>
        <w:topLinePunct w:val="0"/>
        <w:bidi w:val="0"/>
        <w:spacing w:line="500" w:lineRule="exact"/>
        <w:ind w:leftChars="0"/>
        <w:jc w:val="both"/>
        <w:textAlignment w:val="auto"/>
        <w:outlineLvl w:val="9"/>
        <w:rPr>
          <w:rFonts w:hint="eastAsia" w:asciiTheme="minorEastAsia" w:hAnsiTheme="minorEastAsia" w:eastAsiaTheme="minorEastAsia" w:cstheme="minorEastAsia"/>
          <w:b/>
          <w:bCs w:val="0"/>
          <w:color w:val="auto"/>
          <w:sz w:val="44"/>
          <w:szCs w:val="44"/>
          <w:highlight w:val="none"/>
        </w:rPr>
      </w:pPr>
    </w:p>
    <w:p w14:paraId="3B4CCBF6">
      <w:pPr>
        <w:pageBreakBefore w:val="0"/>
        <w:numPr>
          <w:ilvl w:val="0"/>
          <w:numId w:val="0"/>
        </w:numPr>
        <w:kinsoku/>
        <w:wordWrap/>
        <w:overflowPunct/>
        <w:topLinePunct w:val="0"/>
        <w:bidi w:val="0"/>
        <w:spacing w:line="500" w:lineRule="exact"/>
        <w:ind w:leftChars="0"/>
        <w:jc w:val="center"/>
        <w:textAlignment w:val="auto"/>
        <w:outlineLvl w:val="9"/>
        <w:rPr>
          <w:rFonts w:hint="eastAsia" w:asciiTheme="minorEastAsia" w:hAnsiTheme="minorEastAsia" w:eastAsiaTheme="minorEastAsia" w:cstheme="minorEastAsia"/>
          <w:b/>
          <w:bCs w:val="0"/>
          <w:color w:val="auto"/>
          <w:sz w:val="44"/>
          <w:szCs w:val="44"/>
          <w:highlight w:val="none"/>
        </w:rPr>
      </w:pPr>
      <w:r>
        <w:rPr>
          <w:rFonts w:hint="eastAsia" w:asciiTheme="minorEastAsia" w:hAnsiTheme="minorEastAsia" w:eastAsiaTheme="minorEastAsia" w:cstheme="minorEastAsia"/>
          <w:b/>
          <w:bCs w:val="0"/>
          <w:color w:val="auto"/>
          <w:sz w:val="44"/>
          <w:szCs w:val="44"/>
          <w:highlight w:val="none"/>
        </w:rPr>
        <w:t>谈判文件</w:t>
      </w:r>
      <w:bookmarkEnd w:id="838"/>
      <w:bookmarkEnd w:id="839"/>
      <w:bookmarkEnd w:id="840"/>
      <w:bookmarkEnd w:id="841"/>
    </w:p>
    <w:p w14:paraId="40A7CBBA">
      <w:pPr>
        <w:pageBreakBefore w:val="0"/>
        <w:numPr>
          <w:ilvl w:val="0"/>
          <w:numId w:val="0"/>
        </w:numPr>
        <w:kinsoku/>
        <w:wordWrap/>
        <w:overflowPunct/>
        <w:topLinePunct w:val="0"/>
        <w:bidi w:val="0"/>
        <w:spacing w:line="500" w:lineRule="exact"/>
        <w:ind w:leftChars="0"/>
        <w:jc w:val="center"/>
        <w:textAlignment w:val="auto"/>
        <w:rPr>
          <w:rFonts w:hint="eastAsia" w:asciiTheme="minorEastAsia" w:hAnsiTheme="minorEastAsia" w:eastAsiaTheme="minorEastAsia" w:cstheme="minorEastAsia"/>
          <w:b/>
          <w:bCs w:val="0"/>
          <w:color w:val="auto"/>
          <w:sz w:val="44"/>
          <w:szCs w:val="44"/>
          <w:highlight w:val="none"/>
          <w:lang w:val="en-US" w:eastAsia="zh-CN"/>
        </w:rPr>
      </w:pPr>
      <w:r>
        <w:rPr>
          <w:rFonts w:hint="eastAsia" w:asciiTheme="minorEastAsia" w:hAnsiTheme="minorEastAsia" w:eastAsiaTheme="minorEastAsia" w:cstheme="minorEastAsia"/>
          <w:b/>
          <w:bCs w:val="0"/>
          <w:color w:val="auto"/>
          <w:sz w:val="44"/>
          <w:szCs w:val="44"/>
          <w:highlight w:val="none"/>
          <w:lang w:val="en-US" w:eastAsia="zh-CN"/>
        </w:rPr>
        <w:t xml:space="preserve">  </w:t>
      </w:r>
    </w:p>
    <w:p w14:paraId="0391F33F">
      <w:pPr>
        <w:pageBreakBefore w:val="0"/>
        <w:numPr>
          <w:ilvl w:val="0"/>
          <w:numId w:val="0"/>
        </w:numPr>
        <w:kinsoku/>
        <w:wordWrap/>
        <w:overflowPunct/>
        <w:topLinePunct w:val="0"/>
        <w:bidi w:val="0"/>
        <w:spacing w:line="500" w:lineRule="exact"/>
        <w:ind w:leftChars="0"/>
        <w:jc w:val="center"/>
        <w:textAlignment w:val="auto"/>
        <w:rPr>
          <w:rFonts w:hint="eastAsia" w:asciiTheme="minorEastAsia" w:hAnsiTheme="minorEastAsia" w:eastAsiaTheme="minorEastAsia" w:cstheme="minorEastAsia"/>
          <w:b/>
          <w:bCs w:val="0"/>
          <w:color w:val="auto"/>
          <w:sz w:val="44"/>
          <w:szCs w:val="44"/>
          <w:highlight w:val="none"/>
          <w:lang w:val="en-US" w:eastAsia="zh-CN"/>
        </w:rPr>
      </w:pPr>
    </w:p>
    <w:p w14:paraId="6C917312">
      <w:pPr>
        <w:pageBreakBefore w:val="0"/>
        <w:numPr>
          <w:ilvl w:val="0"/>
          <w:numId w:val="0"/>
        </w:numPr>
        <w:kinsoku/>
        <w:wordWrap/>
        <w:overflowPunct/>
        <w:topLinePunct w:val="0"/>
        <w:bidi w:val="0"/>
        <w:spacing w:line="500" w:lineRule="exact"/>
        <w:ind w:leftChars="0"/>
        <w:jc w:val="both"/>
        <w:textAlignment w:val="auto"/>
        <w:rPr>
          <w:rFonts w:hint="eastAsia" w:asciiTheme="minorEastAsia" w:hAnsiTheme="minorEastAsia" w:eastAsiaTheme="minorEastAsia" w:cstheme="minorEastAsia"/>
          <w:b/>
          <w:bCs w:val="0"/>
          <w:color w:val="auto"/>
          <w:sz w:val="44"/>
          <w:szCs w:val="44"/>
          <w:highlight w:val="none"/>
          <w:lang w:val="en-US" w:eastAsia="zh-CN"/>
        </w:rPr>
      </w:pPr>
    </w:p>
    <w:p w14:paraId="5CA49B6C">
      <w:pPr>
        <w:pageBreakBefore w:val="0"/>
        <w:numPr>
          <w:ilvl w:val="0"/>
          <w:numId w:val="0"/>
        </w:numPr>
        <w:kinsoku/>
        <w:wordWrap/>
        <w:overflowPunct/>
        <w:topLinePunct w:val="0"/>
        <w:bidi w:val="0"/>
        <w:spacing w:line="500" w:lineRule="exact"/>
        <w:ind w:leftChars="0"/>
        <w:jc w:val="center"/>
        <w:textAlignment w:val="auto"/>
        <w:rPr>
          <w:rFonts w:hint="eastAsia" w:asciiTheme="minorEastAsia" w:hAnsiTheme="minorEastAsia" w:eastAsiaTheme="minorEastAsia" w:cstheme="minorEastAsia"/>
          <w:b/>
          <w:bCs w:val="0"/>
          <w:color w:val="auto"/>
          <w:sz w:val="44"/>
          <w:szCs w:val="44"/>
          <w:highlight w:val="none"/>
          <w:lang w:val="en-US" w:eastAsia="zh-CN"/>
        </w:rPr>
      </w:pPr>
      <w:r>
        <w:rPr>
          <w:rFonts w:hint="eastAsia" w:asciiTheme="minorEastAsia" w:hAnsiTheme="minorEastAsia" w:eastAsiaTheme="minorEastAsia" w:cstheme="minorEastAsia"/>
          <w:b/>
          <w:bCs w:val="0"/>
          <w:color w:val="auto"/>
          <w:sz w:val="44"/>
          <w:szCs w:val="44"/>
          <w:highlight w:val="none"/>
        </w:rPr>
        <w:t>项目编号：</w:t>
      </w:r>
      <w:bookmarkStart w:id="842" w:name="_Toc25214_WPSOffice_Level1"/>
      <w:r>
        <w:rPr>
          <w:rFonts w:hint="eastAsia" w:asciiTheme="minorEastAsia" w:hAnsiTheme="minorEastAsia" w:eastAsiaTheme="minorEastAsia" w:cstheme="minorEastAsia"/>
          <w:b/>
          <w:bCs w:val="0"/>
          <w:color w:val="auto"/>
          <w:sz w:val="44"/>
          <w:szCs w:val="44"/>
          <w:highlight w:val="none"/>
          <w:lang w:val="en-US" w:eastAsia="zh-CN"/>
        </w:rPr>
        <w:t>XJWSH(JZXTP)2025-03号</w:t>
      </w:r>
    </w:p>
    <w:p w14:paraId="080FC89F">
      <w:pPr>
        <w:pageBreakBefore w:val="0"/>
        <w:numPr>
          <w:ilvl w:val="0"/>
          <w:numId w:val="0"/>
        </w:numPr>
        <w:kinsoku/>
        <w:wordWrap/>
        <w:overflowPunct/>
        <w:topLinePunct w:val="0"/>
        <w:bidi w:val="0"/>
        <w:spacing w:line="500" w:lineRule="exact"/>
        <w:ind w:leftChars="0"/>
        <w:jc w:val="center"/>
        <w:textAlignment w:val="auto"/>
        <w:rPr>
          <w:rFonts w:hint="eastAsia" w:asciiTheme="minorEastAsia" w:hAnsiTheme="minorEastAsia" w:eastAsiaTheme="minorEastAsia" w:cstheme="minorEastAsia"/>
          <w:b/>
          <w:bCs w:val="0"/>
          <w:color w:val="auto"/>
          <w:sz w:val="44"/>
          <w:szCs w:val="44"/>
          <w:highlight w:val="none"/>
        </w:rPr>
      </w:pPr>
    </w:p>
    <w:p w14:paraId="1D0CC240">
      <w:pPr>
        <w:pageBreakBefore w:val="0"/>
        <w:numPr>
          <w:ilvl w:val="0"/>
          <w:numId w:val="0"/>
        </w:numPr>
        <w:kinsoku/>
        <w:wordWrap/>
        <w:overflowPunct/>
        <w:topLinePunct w:val="0"/>
        <w:bidi w:val="0"/>
        <w:spacing w:line="500" w:lineRule="exact"/>
        <w:ind w:leftChars="0"/>
        <w:jc w:val="center"/>
        <w:textAlignment w:val="auto"/>
        <w:rPr>
          <w:rFonts w:hint="eastAsia" w:asciiTheme="minorEastAsia" w:hAnsiTheme="minorEastAsia" w:eastAsiaTheme="minorEastAsia" w:cstheme="minorEastAsia"/>
          <w:b/>
          <w:bCs w:val="0"/>
          <w:color w:val="auto"/>
          <w:sz w:val="44"/>
          <w:szCs w:val="44"/>
          <w:highlight w:val="none"/>
        </w:rPr>
      </w:pPr>
    </w:p>
    <w:p w14:paraId="5B45C0B7">
      <w:pPr>
        <w:pageBreakBefore w:val="0"/>
        <w:numPr>
          <w:ilvl w:val="0"/>
          <w:numId w:val="0"/>
        </w:numPr>
        <w:kinsoku/>
        <w:wordWrap/>
        <w:overflowPunct/>
        <w:topLinePunct w:val="0"/>
        <w:bidi w:val="0"/>
        <w:spacing w:line="500" w:lineRule="exact"/>
        <w:ind w:leftChars="0"/>
        <w:jc w:val="center"/>
        <w:textAlignment w:val="auto"/>
        <w:rPr>
          <w:rFonts w:hint="eastAsia" w:asciiTheme="minorEastAsia" w:hAnsiTheme="minorEastAsia" w:eastAsiaTheme="minorEastAsia" w:cstheme="minorEastAsia"/>
          <w:b/>
          <w:bCs w:val="0"/>
          <w:color w:val="auto"/>
          <w:sz w:val="44"/>
          <w:szCs w:val="44"/>
          <w:highlight w:val="none"/>
        </w:rPr>
      </w:pPr>
    </w:p>
    <w:p w14:paraId="797DA4A9">
      <w:pPr>
        <w:pageBreakBefore w:val="0"/>
        <w:numPr>
          <w:ilvl w:val="0"/>
          <w:numId w:val="0"/>
        </w:numPr>
        <w:kinsoku/>
        <w:wordWrap/>
        <w:overflowPunct/>
        <w:topLinePunct w:val="0"/>
        <w:bidi w:val="0"/>
        <w:spacing w:line="500" w:lineRule="exact"/>
        <w:ind w:leftChars="0"/>
        <w:jc w:val="center"/>
        <w:textAlignment w:val="auto"/>
        <w:rPr>
          <w:rFonts w:hint="eastAsia" w:asciiTheme="minorEastAsia" w:hAnsiTheme="minorEastAsia" w:eastAsiaTheme="minorEastAsia" w:cstheme="minorEastAsia"/>
          <w:b/>
          <w:bCs w:val="0"/>
          <w:color w:val="auto"/>
          <w:sz w:val="44"/>
          <w:szCs w:val="44"/>
          <w:highlight w:val="none"/>
        </w:rPr>
      </w:pPr>
      <w:r>
        <w:rPr>
          <w:rFonts w:hint="eastAsia" w:asciiTheme="minorEastAsia" w:hAnsiTheme="minorEastAsia" w:eastAsiaTheme="minorEastAsia" w:cstheme="minorEastAsia"/>
          <w:b/>
          <w:bCs w:val="0"/>
          <w:color w:val="auto"/>
          <w:sz w:val="44"/>
          <w:szCs w:val="44"/>
          <w:highlight w:val="none"/>
        </w:rPr>
        <w:t>第 三 册</w:t>
      </w:r>
      <w:bookmarkEnd w:id="842"/>
    </w:p>
    <w:p w14:paraId="15A46A18">
      <w:pPr>
        <w:pStyle w:val="8"/>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p>
    <w:bookmarkEnd w:id="722"/>
    <w:bookmarkEnd w:id="723"/>
    <w:bookmarkEnd w:id="724"/>
    <w:bookmarkEnd w:id="725"/>
    <w:p w14:paraId="41F1CDE4">
      <w:pPr>
        <w:rPr>
          <w:rFonts w:hint="eastAsia" w:asciiTheme="minorEastAsia" w:hAnsiTheme="minorEastAsia" w:eastAsiaTheme="minorEastAsia" w:cstheme="minorEastAsia"/>
          <w:b/>
          <w:bCs w:val="0"/>
          <w:color w:val="auto"/>
          <w:sz w:val="28"/>
          <w:szCs w:val="28"/>
          <w:highlight w:val="none"/>
          <w:lang w:val="en-US" w:eastAsia="zh-CN"/>
        </w:rPr>
      </w:pPr>
      <w:bookmarkStart w:id="843" w:name="_Toc515647833"/>
      <w:bookmarkStart w:id="844" w:name="_Toc4796"/>
      <w:bookmarkStart w:id="845" w:name="_Toc6865"/>
      <w:bookmarkStart w:id="846" w:name="_Toc4337"/>
      <w:bookmarkStart w:id="847" w:name="_Toc507399904"/>
      <w:r>
        <w:rPr>
          <w:rFonts w:hint="eastAsia" w:asciiTheme="minorEastAsia" w:hAnsiTheme="minorEastAsia" w:eastAsiaTheme="minorEastAsia" w:cstheme="minorEastAsia"/>
          <w:b/>
          <w:bCs w:val="0"/>
          <w:color w:val="auto"/>
          <w:sz w:val="28"/>
          <w:szCs w:val="28"/>
          <w:highlight w:val="none"/>
          <w:lang w:val="en-US" w:eastAsia="zh-CN"/>
        </w:rPr>
        <w:br w:type="page"/>
      </w:r>
    </w:p>
    <w:bookmarkEnd w:id="843"/>
    <w:bookmarkEnd w:id="844"/>
    <w:bookmarkEnd w:id="845"/>
    <w:bookmarkEnd w:id="846"/>
    <w:bookmarkEnd w:id="847"/>
    <w:p w14:paraId="44D5826A">
      <w:pPr>
        <w:pStyle w:val="2"/>
        <w:tabs>
          <w:tab w:val="left" w:pos="0"/>
        </w:tabs>
        <w:spacing w:before="0" w:after="0" w:line="360" w:lineRule="auto"/>
        <w:jc w:val="center"/>
        <w:rPr>
          <w:rFonts w:ascii="Times New Roman" w:eastAsia="仿宋"/>
          <w:sz w:val="48"/>
          <w:szCs w:val="36"/>
        </w:rPr>
      </w:pPr>
      <w:bookmarkStart w:id="848" w:name="_Toc10930"/>
      <w:r>
        <w:rPr>
          <w:rFonts w:ascii="Times New Roman" w:eastAsia="仿宋"/>
          <w:sz w:val="48"/>
          <w:szCs w:val="36"/>
        </w:rPr>
        <w:t>第</w:t>
      </w:r>
      <w:r>
        <w:rPr>
          <w:rFonts w:hint="eastAsia" w:ascii="Times New Roman" w:eastAsia="仿宋"/>
          <w:sz w:val="48"/>
          <w:szCs w:val="36"/>
        </w:rPr>
        <w:t>7</w:t>
      </w:r>
      <w:r>
        <w:rPr>
          <w:rFonts w:ascii="Times New Roman" w:eastAsia="仿宋"/>
          <w:sz w:val="48"/>
          <w:szCs w:val="36"/>
        </w:rPr>
        <w:t>章政府采购合同</w:t>
      </w:r>
      <w:bookmarkEnd w:id="848"/>
      <w:bookmarkStart w:id="849" w:name="_Hlt487972895"/>
      <w:bookmarkEnd w:id="849"/>
      <w:bookmarkStart w:id="850" w:name="_Toc216513788"/>
      <w:bookmarkStart w:id="851" w:name="_Toc487900382"/>
    </w:p>
    <w:bookmarkEnd w:id="850"/>
    <w:bookmarkEnd w:id="851"/>
    <w:p w14:paraId="648BBB89">
      <w:pPr>
        <w:pStyle w:val="8"/>
        <w:spacing w:line="360" w:lineRule="auto"/>
        <w:ind w:left="1157" w:leftChars="257" w:hanging="540"/>
        <w:jc w:val="center"/>
        <w:rPr>
          <w:rFonts w:ascii="Times New Roman" w:eastAsia="仿宋"/>
          <w:sz w:val="52"/>
          <w:szCs w:val="36"/>
        </w:rPr>
      </w:pPr>
    </w:p>
    <w:p w14:paraId="413F3A4F">
      <w:pPr>
        <w:spacing w:line="360" w:lineRule="auto"/>
        <w:ind w:left="-648" w:leftChars="-270" w:firstLine="540"/>
        <w:jc w:val="center"/>
        <w:rPr>
          <w:rFonts w:eastAsia="仿宋"/>
          <w:kern w:val="44"/>
          <w:sz w:val="52"/>
          <w:szCs w:val="52"/>
        </w:rPr>
      </w:pPr>
      <w:r>
        <w:rPr>
          <w:rFonts w:eastAsia="仿宋"/>
          <w:kern w:val="44"/>
          <w:sz w:val="52"/>
          <w:szCs w:val="52"/>
        </w:rPr>
        <w:t>请参照</w:t>
      </w:r>
      <w:r>
        <w:rPr>
          <w:rFonts w:hint="eastAsia" w:eastAsia="仿宋"/>
          <w:kern w:val="44"/>
          <w:sz w:val="52"/>
          <w:szCs w:val="52"/>
          <w:lang w:val="en-US" w:eastAsia="zh-CN"/>
        </w:rPr>
        <w:t>货物</w:t>
      </w:r>
      <w:r>
        <w:rPr>
          <w:rFonts w:hint="eastAsia" w:eastAsia="仿宋"/>
          <w:kern w:val="44"/>
          <w:sz w:val="52"/>
          <w:szCs w:val="52"/>
        </w:rPr>
        <w:t>类</w:t>
      </w:r>
      <w:r>
        <w:rPr>
          <w:rFonts w:eastAsia="仿宋"/>
          <w:kern w:val="44"/>
          <w:sz w:val="52"/>
          <w:szCs w:val="52"/>
        </w:rPr>
        <w:t>政府采购合同参考范本订立采购合同。</w:t>
      </w:r>
    </w:p>
    <w:p w14:paraId="0FFC7300">
      <w:pPr>
        <w:spacing w:line="360" w:lineRule="auto"/>
        <w:rPr>
          <w:rFonts w:eastAsia="仿宋"/>
          <w:sz w:val="28"/>
          <w:szCs w:val="28"/>
        </w:rPr>
      </w:pPr>
    </w:p>
    <w:p w14:paraId="4280054F">
      <w:pPr>
        <w:rPr>
          <w:rFonts w:eastAsia="仿宋"/>
          <w:sz w:val="28"/>
          <w:szCs w:val="28"/>
        </w:rPr>
      </w:pPr>
      <w:r>
        <w:rPr>
          <w:rFonts w:eastAsia="仿宋"/>
          <w:sz w:val="28"/>
          <w:szCs w:val="28"/>
        </w:rPr>
        <w:br w:type="page"/>
      </w:r>
    </w:p>
    <w:p w14:paraId="03F0CF41">
      <w:pPr>
        <w:spacing w:line="360" w:lineRule="auto"/>
        <w:rPr>
          <w:rFonts w:hint="eastAsia" w:ascii="宋体" w:hAnsi="宋体" w:eastAsia="宋体" w:cs="宋体"/>
          <w:sz w:val="24"/>
          <w:szCs w:val="24"/>
          <w:u w:val="single"/>
        </w:rPr>
      </w:pPr>
      <w:r>
        <w:rPr>
          <w:rFonts w:hint="eastAsia" w:ascii="宋体" w:hAnsi="宋体" w:eastAsia="宋体" w:cs="宋体"/>
          <w:sz w:val="24"/>
          <w:szCs w:val="24"/>
        </w:rPr>
        <w:t>合同编号：</w:t>
      </w:r>
    </w:p>
    <w:p w14:paraId="69F2B344">
      <w:pPr>
        <w:spacing w:line="360" w:lineRule="auto"/>
        <w:rPr>
          <w:rFonts w:hint="eastAsia" w:ascii="宋体" w:hAnsi="宋体" w:eastAsia="宋体" w:cs="宋体"/>
          <w:b/>
          <w:bCs/>
          <w:sz w:val="24"/>
          <w:szCs w:val="24"/>
        </w:rPr>
      </w:pPr>
    </w:p>
    <w:p w14:paraId="79262A64">
      <w:pPr>
        <w:spacing w:line="360" w:lineRule="auto"/>
        <w:jc w:val="center"/>
        <w:outlineLvl w:val="0"/>
        <w:rPr>
          <w:rFonts w:hint="eastAsia" w:ascii="宋体" w:hAnsi="宋体" w:eastAsia="宋体" w:cs="宋体"/>
          <w:b/>
          <w:bCs/>
          <w:sz w:val="24"/>
          <w:szCs w:val="24"/>
        </w:rPr>
      </w:pPr>
      <w:bookmarkStart w:id="852" w:name="_Toc23874"/>
      <w:bookmarkStart w:id="853" w:name="_Toc12783"/>
      <w:bookmarkStart w:id="854" w:name="_Toc28076"/>
      <w:bookmarkStart w:id="855" w:name="_Toc2691"/>
      <w:r>
        <w:rPr>
          <w:rFonts w:hint="eastAsia" w:ascii="宋体" w:hAnsi="宋体" w:eastAsia="宋体" w:cs="宋体"/>
          <w:b/>
          <w:bCs/>
          <w:sz w:val="24"/>
          <w:szCs w:val="24"/>
        </w:rPr>
        <w:t>喀什地区政府采购合同</w:t>
      </w:r>
      <w:bookmarkEnd w:id="852"/>
      <w:bookmarkEnd w:id="853"/>
      <w:bookmarkEnd w:id="854"/>
      <w:bookmarkEnd w:id="855"/>
    </w:p>
    <w:p w14:paraId="4E5B4685">
      <w:pPr>
        <w:pStyle w:val="80"/>
        <w:spacing w:line="360" w:lineRule="auto"/>
        <w:ind w:firstLine="0"/>
        <w:rPr>
          <w:rFonts w:hint="eastAsia" w:ascii="宋体" w:hAnsi="宋体" w:eastAsia="宋体" w:cs="宋体"/>
          <w:sz w:val="24"/>
          <w:szCs w:val="24"/>
        </w:rPr>
      </w:pPr>
    </w:p>
    <w:p w14:paraId="5E149FA7">
      <w:pPr>
        <w:pStyle w:val="80"/>
        <w:spacing w:line="360" w:lineRule="auto"/>
        <w:ind w:firstLine="0"/>
        <w:rPr>
          <w:rFonts w:hint="eastAsia" w:ascii="宋体" w:hAnsi="宋体" w:eastAsia="宋体" w:cs="宋体"/>
          <w:sz w:val="24"/>
          <w:szCs w:val="24"/>
        </w:rPr>
      </w:pPr>
    </w:p>
    <w:p w14:paraId="5E347598">
      <w:pPr>
        <w:pStyle w:val="80"/>
        <w:spacing w:line="360" w:lineRule="auto"/>
        <w:ind w:firstLine="0"/>
        <w:jc w:val="center"/>
        <w:outlineLvl w:val="0"/>
        <w:rPr>
          <w:rFonts w:hint="eastAsia" w:ascii="宋体" w:hAnsi="宋体" w:eastAsia="宋体" w:cs="宋体"/>
          <w:b/>
          <w:bCs/>
          <w:sz w:val="24"/>
          <w:szCs w:val="24"/>
        </w:rPr>
      </w:pPr>
      <w:bookmarkStart w:id="856" w:name="_Toc21311"/>
      <w:bookmarkStart w:id="857" w:name="_Toc1212"/>
      <w:bookmarkStart w:id="858" w:name="_Toc5404"/>
      <w:bookmarkStart w:id="859" w:name="_Toc7173"/>
      <w:r>
        <w:rPr>
          <w:rFonts w:hint="eastAsia" w:ascii="宋体" w:hAnsi="宋体" w:eastAsia="宋体" w:cs="宋体"/>
          <w:b/>
          <w:bCs/>
          <w:sz w:val="24"/>
          <w:szCs w:val="24"/>
        </w:rPr>
        <w:t>第一部分合同书</w:t>
      </w:r>
      <w:bookmarkEnd w:id="856"/>
      <w:bookmarkEnd w:id="857"/>
      <w:bookmarkEnd w:id="858"/>
      <w:bookmarkEnd w:id="859"/>
    </w:p>
    <w:p w14:paraId="1E98F744">
      <w:pPr>
        <w:pStyle w:val="80"/>
        <w:spacing w:line="360" w:lineRule="auto"/>
        <w:ind w:firstLine="0"/>
        <w:rPr>
          <w:rFonts w:hint="eastAsia" w:ascii="宋体" w:hAnsi="宋体" w:eastAsia="宋体" w:cs="宋体"/>
          <w:sz w:val="24"/>
          <w:szCs w:val="24"/>
        </w:rPr>
      </w:pPr>
    </w:p>
    <w:p w14:paraId="662F4CB0">
      <w:pPr>
        <w:pStyle w:val="80"/>
        <w:spacing w:line="360" w:lineRule="auto"/>
        <w:ind w:firstLine="0"/>
        <w:rPr>
          <w:rFonts w:hint="eastAsia" w:ascii="宋体" w:hAnsi="宋体" w:eastAsia="宋体" w:cs="宋体"/>
          <w:sz w:val="24"/>
          <w:szCs w:val="24"/>
        </w:rPr>
      </w:pPr>
    </w:p>
    <w:p w14:paraId="1337C045">
      <w:pPr>
        <w:spacing w:before="120" w:line="360" w:lineRule="auto"/>
        <w:rPr>
          <w:rFonts w:hint="eastAsia" w:ascii="宋体" w:hAnsi="宋体" w:eastAsia="宋体" w:cs="宋体"/>
          <w:sz w:val="24"/>
          <w:szCs w:val="24"/>
        </w:rPr>
      </w:pPr>
    </w:p>
    <w:p w14:paraId="1EDA829E">
      <w:pPr>
        <w:spacing w:line="400" w:lineRule="atLeast"/>
        <w:ind w:firstLine="960" w:firstLineChars="400"/>
        <w:jc w:val="both"/>
        <w:rPr>
          <w:rFonts w:hint="eastAsia" w:ascii="宋体" w:hAnsi="宋体" w:eastAsia="宋体" w:cs="宋体"/>
          <w:sz w:val="24"/>
          <w:szCs w:val="24"/>
          <w:u w:val="single"/>
          <w:lang w:val="en-US" w:eastAsia="zh-CN"/>
        </w:rPr>
      </w:pPr>
      <w:r>
        <w:rPr>
          <w:rFonts w:hint="eastAsia" w:ascii="宋体" w:hAnsi="宋体" w:eastAsia="宋体" w:cs="宋体"/>
          <w:sz w:val="24"/>
          <w:szCs w:val="24"/>
        </w:rPr>
        <w:t>项目名称：</w:t>
      </w:r>
      <w:r>
        <w:rPr>
          <w:rFonts w:hint="eastAsia" w:ascii="宋体" w:hAnsi="宋体" w:eastAsia="宋体" w:cs="宋体"/>
          <w:sz w:val="24"/>
          <w:szCs w:val="24"/>
          <w:lang w:val="en-US" w:eastAsia="zh-CN"/>
        </w:rPr>
        <w:t xml:space="preserve">              </w:t>
      </w:r>
    </w:p>
    <w:p w14:paraId="5D8B763F">
      <w:pPr>
        <w:spacing w:line="360" w:lineRule="auto"/>
        <w:ind w:left="2520" w:hanging="2160" w:hangingChars="900"/>
        <w:jc w:val="left"/>
        <w:rPr>
          <w:rFonts w:hint="eastAsia" w:ascii="宋体" w:hAnsi="宋体" w:eastAsia="宋体" w:cs="宋体"/>
          <w:sz w:val="24"/>
          <w:szCs w:val="24"/>
          <w:u w:val="single"/>
        </w:rPr>
      </w:pPr>
    </w:p>
    <w:p w14:paraId="7AB24673">
      <w:pPr>
        <w:spacing w:before="120" w:line="360" w:lineRule="auto"/>
        <w:ind w:left="960"/>
        <w:rPr>
          <w:rFonts w:hint="eastAsia" w:ascii="宋体" w:hAnsi="宋体" w:eastAsia="宋体" w:cs="宋体"/>
          <w:sz w:val="24"/>
          <w:szCs w:val="24"/>
        </w:rPr>
      </w:pPr>
    </w:p>
    <w:p w14:paraId="723BE840">
      <w:pPr>
        <w:pStyle w:val="88"/>
        <w:spacing w:before="120"/>
        <w:rPr>
          <w:rFonts w:hint="eastAsia" w:ascii="宋体" w:hAnsi="宋体" w:eastAsia="宋体" w:cs="宋体"/>
          <w:sz w:val="24"/>
          <w:szCs w:val="24"/>
        </w:rPr>
      </w:pPr>
    </w:p>
    <w:p w14:paraId="3E665F91">
      <w:pPr>
        <w:spacing w:line="360" w:lineRule="auto"/>
        <w:rPr>
          <w:rFonts w:hint="eastAsia" w:ascii="宋体" w:hAnsi="宋体" w:eastAsia="宋体" w:cs="宋体"/>
          <w:sz w:val="24"/>
          <w:szCs w:val="24"/>
        </w:rPr>
      </w:pPr>
    </w:p>
    <w:p w14:paraId="43F02DAC">
      <w:pPr>
        <w:spacing w:before="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w:t>
      </w:r>
    </w:p>
    <w:p w14:paraId="3BBCA036">
      <w:pPr>
        <w:spacing w:before="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w:t>
      </w:r>
    </w:p>
    <w:p w14:paraId="5162EAAC">
      <w:pPr>
        <w:spacing w:before="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签订地：</w:t>
      </w:r>
    </w:p>
    <w:p w14:paraId="3F1ECD6B">
      <w:pPr>
        <w:spacing w:before="120"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签订日期：年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3AFDB8B2">
      <w:pPr>
        <w:autoSpaceDE w:val="0"/>
        <w:autoSpaceDN w:val="0"/>
        <w:adjustRightInd w:val="0"/>
        <w:spacing w:line="360" w:lineRule="auto"/>
        <w:ind w:firstLine="640"/>
        <w:jc w:val="center"/>
        <w:rPr>
          <w:rFonts w:hint="eastAsia" w:ascii="宋体" w:hAnsi="宋体" w:eastAsia="宋体" w:cs="宋体"/>
          <w:sz w:val="24"/>
          <w:szCs w:val="24"/>
        </w:rPr>
        <w:sectPr>
          <w:headerReference r:id="rId9" w:type="default"/>
          <w:footerReference r:id="rId10" w:type="default"/>
          <w:pgSz w:w="11907" w:h="16840"/>
          <w:pgMar w:top="1474" w:right="1814" w:bottom="1474" w:left="1814" w:header="851" w:footer="851" w:gutter="0"/>
          <w:pgBorders>
            <w:top w:val="none" w:sz="0" w:space="0"/>
            <w:left w:val="none" w:sz="0" w:space="0"/>
            <w:bottom w:val="none" w:sz="0" w:space="0"/>
            <w:right w:val="none" w:sz="0" w:space="0"/>
          </w:pgBorders>
          <w:cols w:space="720" w:num="1"/>
          <w:docGrid w:linePitch="462" w:charSpace="0"/>
        </w:sectPr>
      </w:pPr>
    </w:p>
    <w:p w14:paraId="01EC6CC3">
      <w:pPr>
        <w:spacing w:line="360" w:lineRule="auto"/>
        <w:jc w:val="left"/>
        <w:rPr>
          <w:rFonts w:hint="eastAsia" w:ascii="宋体" w:hAnsi="宋体" w:eastAsia="宋体" w:cs="宋体"/>
          <w:sz w:val="24"/>
          <w:szCs w:val="24"/>
        </w:rPr>
      </w:pP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lang w:val="zh-CN"/>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lang w:val="zh-CN"/>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lang w:val="zh-CN"/>
        </w:rPr>
        <w:t>日</w:t>
      </w:r>
      <w:r>
        <w:rPr>
          <w:rFonts w:hint="eastAsia" w:ascii="宋体" w:hAnsi="宋体" w:eastAsia="宋体" w:cs="宋体"/>
          <w:sz w:val="24"/>
          <w:szCs w:val="24"/>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以</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rPr>
        <w:t>方式</w:t>
      </w:r>
      <w:r>
        <w:rPr>
          <w:rFonts w:hint="eastAsia" w:ascii="宋体" w:hAnsi="宋体" w:eastAsia="宋体" w:cs="宋体"/>
          <w:sz w:val="24"/>
          <w:szCs w:val="24"/>
          <w:highlight w:val="none"/>
        </w:rPr>
        <w:t>对</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rPr>
        <w:t>进行了采购。经</w:t>
      </w:r>
      <w:r>
        <w:rPr>
          <w:rFonts w:hint="eastAsia" w:ascii="宋体" w:hAnsi="宋体" w:eastAsia="宋体" w:cs="宋体"/>
          <w:sz w:val="24"/>
          <w:szCs w:val="24"/>
          <w:u w:val="single"/>
        </w:rPr>
        <w:t>（相关评定主体名称）</w:t>
      </w:r>
      <w:r>
        <w:rPr>
          <w:rFonts w:hint="eastAsia" w:ascii="宋体" w:hAnsi="宋体" w:eastAsia="宋体" w:cs="宋体"/>
          <w:sz w:val="24"/>
          <w:szCs w:val="24"/>
        </w:rPr>
        <w:t>评定，</w:t>
      </w:r>
      <w:r>
        <w:rPr>
          <w:rFonts w:hint="eastAsia" w:ascii="宋体" w:hAnsi="宋体" w:eastAsia="宋体" w:cs="宋体"/>
          <w:sz w:val="24"/>
          <w:szCs w:val="24"/>
          <w:u w:val="single"/>
        </w:rPr>
        <w:t>（</w:t>
      </w:r>
      <w:r>
        <w:rPr>
          <w:rFonts w:hint="eastAsia" w:ascii="宋体" w:hAnsi="宋体" w:eastAsia="宋体" w:cs="宋体"/>
          <w:sz w:val="24"/>
          <w:szCs w:val="24"/>
          <w:u w:val="single"/>
          <w:lang w:eastAsia="zh-CN"/>
        </w:rPr>
        <w:t>成交</w:t>
      </w:r>
      <w:r>
        <w:rPr>
          <w:rFonts w:hint="eastAsia" w:ascii="宋体" w:hAnsi="宋体" w:eastAsia="宋体" w:cs="宋体"/>
          <w:sz w:val="24"/>
          <w:szCs w:val="24"/>
          <w:u w:val="single"/>
        </w:rPr>
        <w:t>供应商名称）</w:t>
      </w:r>
      <w:r>
        <w:rPr>
          <w:rFonts w:hint="eastAsia" w:ascii="宋体" w:hAnsi="宋体" w:eastAsia="宋体" w:cs="宋体"/>
          <w:sz w:val="24"/>
          <w:szCs w:val="24"/>
        </w:rPr>
        <w:t>为该项目</w:t>
      </w:r>
      <w:r>
        <w:rPr>
          <w:rFonts w:hint="eastAsia" w:ascii="宋体" w:hAnsi="宋体" w:eastAsia="宋体" w:cs="宋体"/>
          <w:sz w:val="24"/>
          <w:szCs w:val="24"/>
          <w:lang w:eastAsia="zh-CN"/>
        </w:rPr>
        <w:t>成交</w:t>
      </w:r>
      <w:r>
        <w:rPr>
          <w:rFonts w:hint="eastAsia" w:ascii="宋体" w:hAnsi="宋体" w:eastAsia="宋体" w:cs="宋体"/>
          <w:sz w:val="24"/>
          <w:szCs w:val="24"/>
        </w:rPr>
        <w:t>供应商。现于</w:t>
      </w:r>
      <w:r>
        <w:rPr>
          <w:rFonts w:hint="eastAsia" w:ascii="宋体" w:hAnsi="宋体" w:eastAsia="宋体" w:cs="宋体"/>
          <w:sz w:val="24"/>
          <w:szCs w:val="24"/>
          <w:lang w:eastAsia="zh-CN"/>
        </w:rPr>
        <w:t>成交</w:t>
      </w:r>
      <w:r>
        <w:rPr>
          <w:rFonts w:hint="eastAsia" w:ascii="宋体" w:hAnsi="宋体" w:eastAsia="宋体" w:cs="宋体"/>
          <w:sz w:val="24"/>
          <w:szCs w:val="24"/>
        </w:rPr>
        <w:t>通知书发出之日起三十日内，按照采购文件确定的事项签订本合同。</w:t>
      </w:r>
    </w:p>
    <w:p w14:paraId="3CD189E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根据《中华人民共和国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lang w:val="zh-CN"/>
        </w:rPr>
        <w:t>》、《中华人民共和国政府采购法》等相关法律法规之规定，按照平等、自愿、公平和诚实信用的原则，经</w:t>
      </w:r>
      <w:r>
        <w:rPr>
          <w:rFonts w:hint="eastAsia" w:ascii="宋体" w:hAnsi="宋体" w:eastAsia="宋体" w:cs="宋体"/>
          <w:sz w:val="24"/>
          <w:szCs w:val="24"/>
          <w:u w:val="single"/>
        </w:rPr>
        <w:t>（采购人名称）</w:t>
      </w:r>
      <w:r>
        <w:rPr>
          <w:rFonts w:hint="eastAsia" w:ascii="宋体" w:hAnsi="宋体" w:eastAsia="宋体" w:cs="宋体"/>
          <w:sz w:val="24"/>
          <w:szCs w:val="24"/>
          <w:lang w:val="zh-CN"/>
        </w:rPr>
        <w:t>(以下简称：甲方)和</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成交</w:t>
      </w:r>
      <w:r>
        <w:rPr>
          <w:rFonts w:hint="eastAsia" w:ascii="宋体" w:hAnsi="宋体" w:eastAsia="宋体" w:cs="宋体"/>
          <w:sz w:val="24"/>
          <w:szCs w:val="24"/>
          <w:u w:val="single"/>
        </w:rPr>
        <w:t>供应商名称）</w:t>
      </w:r>
      <w:r>
        <w:rPr>
          <w:rFonts w:hint="eastAsia" w:ascii="宋体" w:hAnsi="宋体" w:eastAsia="宋体" w:cs="宋体"/>
          <w:sz w:val="24"/>
          <w:szCs w:val="24"/>
          <w:lang w:val="zh-CN"/>
        </w:rPr>
        <w:t>(以下简称：乙方)协商一致，约定以下合同</w:t>
      </w:r>
      <w:r>
        <w:rPr>
          <w:rFonts w:hint="eastAsia" w:ascii="宋体" w:hAnsi="宋体" w:eastAsia="宋体" w:cs="宋体"/>
          <w:sz w:val="24"/>
          <w:szCs w:val="24"/>
        </w:rPr>
        <w:t>条款，以兹共同遵守、全面履行。</w:t>
      </w:r>
    </w:p>
    <w:p w14:paraId="41F859E8">
      <w:pPr>
        <w:spacing w:line="360" w:lineRule="auto"/>
        <w:ind w:firstLine="482" w:firstLineChars="200"/>
        <w:outlineLvl w:val="1"/>
        <w:rPr>
          <w:rFonts w:hint="eastAsia" w:ascii="宋体" w:hAnsi="宋体" w:eastAsia="宋体" w:cs="宋体"/>
          <w:sz w:val="24"/>
          <w:szCs w:val="24"/>
        </w:rPr>
      </w:pPr>
      <w:bookmarkStart w:id="860" w:name="_Toc17104"/>
      <w:bookmarkStart w:id="861" w:name="_Toc28855"/>
      <w:bookmarkStart w:id="862" w:name="_Toc13913"/>
      <w:bookmarkStart w:id="863" w:name="_Toc16315"/>
      <w:bookmarkStart w:id="864" w:name="_Toc24382"/>
      <w:bookmarkStart w:id="865" w:name="_Toc20421"/>
      <w:bookmarkStart w:id="866" w:name="_Toc15367"/>
      <w:bookmarkStart w:id="867" w:name="_Toc19273"/>
      <w:bookmarkStart w:id="868" w:name="_Toc15512"/>
      <w:bookmarkStart w:id="869" w:name="_Toc10692"/>
      <w:r>
        <w:rPr>
          <w:rFonts w:hint="eastAsia" w:ascii="宋体" w:hAnsi="宋体" w:eastAsia="宋体" w:cs="宋体"/>
          <w:b/>
          <w:bCs/>
          <w:sz w:val="24"/>
          <w:szCs w:val="24"/>
        </w:rPr>
        <w:t>1.1 合同组成部分</w:t>
      </w:r>
      <w:bookmarkEnd w:id="860"/>
      <w:bookmarkEnd w:id="861"/>
      <w:bookmarkEnd w:id="862"/>
      <w:bookmarkEnd w:id="863"/>
      <w:bookmarkEnd w:id="864"/>
      <w:bookmarkEnd w:id="865"/>
      <w:bookmarkEnd w:id="866"/>
      <w:bookmarkEnd w:id="867"/>
      <w:bookmarkEnd w:id="868"/>
      <w:bookmarkEnd w:id="869"/>
    </w:p>
    <w:p w14:paraId="582C1D2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7C85FC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 本合同及其补充合同、变更协议；</w:t>
      </w:r>
    </w:p>
    <w:p w14:paraId="55E18FC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1.1.2 </w:t>
      </w:r>
      <w:r>
        <w:rPr>
          <w:rFonts w:hint="eastAsia" w:ascii="宋体" w:hAnsi="宋体" w:eastAsia="宋体" w:cs="宋体"/>
          <w:sz w:val="24"/>
          <w:szCs w:val="24"/>
          <w:lang w:val="en-US" w:eastAsia="zh-CN"/>
        </w:rPr>
        <w:t>成交</w:t>
      </w:r>
      <w:r>
        <w:rPr>
          <w:rFonts w:hint="eastAsia" w:ascii="宋体" w:hAnsi="宋体" w:eastAsia="宋体" w:cs="宋体"/>
          <w:sz w:val="24"/>
          <w:szCs w:val="24"/>
        </w:rPr>
        <w:t>通知书；</w:t>
      </w:r>
    </w:p>
    <w:p w14:paraId="17F2D1A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1.1.3 投标文件（含澄清或者说明文件）；</w:t>
      </w:r>
    </w:p>
    <w:p w14:paraId="79CC0BC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1.1.4 招标文件（含澄清或者修改文件）；</w:t>
      </w:r>
    </w:p>
    <w:p w14:paraId="78881A0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1.1.5 其他相关采购文件。</w:t>
      </w:r>
    </w:p>
    <w:p w14:paraId="196C6FC6">
      <w:pPr>
        <w:spacing w:line="360" w:lineRule="auto"/>
        <w:ind w:firstLine="482" w:firstLineChars="200"/>
        <w:outlineLvl w:val="1"/>
        <w:rPr>
          <w:rFonts w:hint="eastAsia" w:ascii="宋体" w:hAnsi="宋体" w:eastAsia="宋体" w:cs="宋体"/>
          <w:b/>
          <w:bCs/>
          <w:sz w:val="24"/>
          <w:szCs w:val="24"/>
        </w:rPr>
      </w:pPr>
      <w:bookmarkStart w:id="870" w:name="_Toc3854"/>
      <w:bookmarkStart w:id="871" w:name="_Toc6311"/>
      <w:bookmarkStart w:id="872" w:name="_Toc24140"/>
      <w:bookmarkStart w:id="873" w:name="_Toc7536"/>
      <w:bookmarkStart w:id="874" w:name="_Toc6773"/>
      <w:bookmarkStart w:id="875" w:name="_Toc10622"/>
      <w:bookmarkStart w:id="876" w:name="_Toc2918"/>
      <w:bookmarkStart w:id="877" w:name="_Toc27040"/>
      <w:bookmarkStart w:id="878" w:name="_Toc10091"/>
      <w:bookmarkStart w:id="879" w:name="_Toc18585"/>
      <w:bookmarkStart w:id="880" w:name="_Toc22185"/>
      <w:r>
        <w:rPr>
          <w:rFonts w:hint="eastAsia" w:ascii="宋体" w:hAnsi="宋体" w:eastAsia="宋体" w:cs="宋体"/>
          <w:b/>
          <w:bCs/>
          <w:sz w:val="24"/>
          <w:szCs w:val="24"/>
        </w:rPr>
        <w:t>1.2 标的</w:t>
      </w:r>
      <w:bookmarkEnd w:id="870"/>
      <w:bookmarkEnd w:id="871"/>
      <w:bookmarkEnd w:id="872"/>
      <w:bookmarkEnd w:id="873"/>
      <w:bookmarkEnd w:id="874"/>
      <w:bookmarkEnd w:id="875"/>
      <w:bookmarkEnd w:id="876"/>
      <w:bookmarkEnd w:id="877"/>
      <w:bookmarkEnd w:id="878"/>
      <w:bookmarkEnd w:id="879"/>
      <w:bookmarkEnd w:id="880"/>
    </w:p>
    <w:p w14:paraId="69F7AF80">
      <w:pPr>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1.2.1 标的名称：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（详见清单）</w:t>
      </w:r>
    </w:p>
    <w:p w14:paraId="25185A85">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1.2.2 标的数量：</w:t>
      </w:r>
      <w:r>
        <w:rPr>
          <w:rFonts w:hint="eastAsia" w:ascii="宋体" w:hAnsi="宋体" w:eastAsia="宋体" w:cs="宋体"/>
          <w:sz w:val="24"/>
          <w:szCs w:val="24"/>
          <w:u w:val="single"/>
        </w:rPr>
        <w:t>按招标文件要求（详见清单）</w:t>
      </w:r>
    </w:p>
    <w:p w14:paraId="4B9922F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1.2.3 标的质量：</w:t>
      </w:r>
      <w:r>
        <w:rPr>
          <w:rFonts w:hint="eastAsia" w:ascii="宋体" w:hAnsi="宋体" w:eastAsia="宋体" w:cs="宋体"/>
          <w:sz w:val="24"/>
          <w:szCs w:val="24"/>
          <w:u w:val="single"/>
        </w:rPr>
        <w:t>按招标文件要求和投标文件的实际填写。</w:t>
      </w:r>
    </w:p>
    <w:p w14:paraId="6F8A7A77">
      <w:pPr>
        <w:spacing w:line="360" w:lineRule="auto"/>
        <w:ind w:firstLine="482" w:firstLineChars="200"/>
        <w:outlineLvl w:val="1"/>
        <w:rPr>
          <w:rFonts w:hint="eastAsia" w:ascii="宋体" w:hAnsi="宋体" w:eastAsia="宋体" w:cs="宋体"/>
          <w:b/>
          <w:bCs/>
          <w:sz w:val="24"/>
          <w:szCs w:val="24"/>
        </w:rPr>
      </w:pPr>
      <w:bookmarkStart w:id="881" w:name="_Toc10350"/>
      <w:bookmarkStart w:id="882" w:name="_Toc1386"/>
      <w:bookmarkStart w:id="883" w:name="_Toc20450"/>
      <w:bookmarkStart w:id="884" w:name="_Toc30162"/>
      <w:bookmarkStart w:id="885" w:name="_Toc4929"/>
      <w:bookmarkStart w:id="886" w:name="_Toc11112"/>
      <w:bookmarkStart w:id="887" w:name="_Toc5635"/>
      <w:bookmarkStart w:id="888" w:name="_Toc13918"/>
      <w:bookmarkStart w:id="889" w:name="_Toc23872"/>
      <w:bookmarkStart w:id="890" w:name="_Toc21124"/>
      <w:bookmarkStart w:id="891" w:name="_Toc22890"/>
      <w:r>
        <w:rPr>
          <w:rFonts w:hint="eastAsia" w:ascii="宋体" w:hAnsi="宋体" w:eastAsia="宋体" w:cs="宋体"/>
          <w:b/>
          <w:bCs/>
          <w:sz w:val="24"/>
          <w:szCs w:val="24"/>
        </w:rPr>
        <w:t>1.3 价款</w:t>
      </w:r>
      <w:bookmarkEnd w:id="881"/>
      <w:bookmarkEnd w:id="882"/>
      <w:bookmarkEnd w:id="883"/>
      <w:bookmarkEnd w:id="884"/>
      <w:bookmarkEnd w:id="885"/>
      <w:bookmarkEnd w:id="886"/>
      <w:bookmarkEnd w:id="887"/>
      <w:bookmarkEnd w:id="888"/>
      <w:bookmarkEnd w:id="889"/>
      <w:bookmarkEnd w:id="890"/>
      <w:bookmarkEnd w:id="891"/>
    </w:p>
    <w:p w14:paraId="69E91D4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本合同总价为：￥元（大写：元人民币）。</w:t>
      </w:r>
    </w:p>
    <w:p w14:paraId="36E734EA">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分项价格：</w:t>
      </w:r>
    </w:p>
    <w:tbl>
      <w:tblPr>
        <w:tblStyle w:val="44"/>
        <w:tblW w:w="7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3690"/>
        <w:gridCol w:w="2768"/>
      </w:tblGrid>
      <w:tr w14:paraId="72F3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1" w:type="dxa"/>
            <w:vAlign w:val="center"/>
          </w:tcPr>
          <w:p w14:paraId="434D3AC6">
            <w:pPr>
              <w:pStyle w:val="76"/>
              <w:spacing w:line="360" w:lineRule="auto"/>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序号</w:t>
            </w:r>
          </w:p>
        </w:tc>
        <w:tc>
          <w:tcPr>
            <w:tcW w:w="3690" w:type="dxa"/>
            <w:vAlign w:val="center"/>
          </w:tcPr>
          <w:p w14:paraId="290E5085">
            <w:pPr>
              <w:pStyle w:val="76"/>
              <w:spacing w:line="360" w:lineRule="auto"/>
              <w:ind w:firstLine="20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分项名称</w:t>
            </w:r>
          </w:p>
        </w:tc>
        <w:tc>
          <w:tcPr>
            <w:tcW w:w="2768" w:type="dxa"/>
            <w:vAlign w:val="center"/>
          </w:tcPr>
          <w:p w14:paraId="0902DFBD">
            <w:pPr>
              <w:pStyle w:val="76"/>
              <w:spacing w:line="360" w:lineRule="auto"/>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分项价格</w:t>
            </w:r>
          </w:p>
        </w:tc>
      </w:tr>
      <w:tr w14:paraId="7046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1" w:type="dxa"/>
            <w:vAlign w:val="center"/>
          </w:tcPr>
          <w:p w14:paraId="559E902A">
            <w:pPr>
              <w:pStyle w:val="76"/>
              <w:spacing w:line="360" w:lineRule="auto"/>
              <w:ind w:firstLine="200"/>
              <w:jc w:val="center"/>
              <w:rPr>
                <w:rFonts w:hint="eastAsia" w:ascii="宋体" w:hAnsi="宋体" w:eastAsia="宋体" w:cs="宋体"/>
                <w:color w:val="000000"/>
                <w:kern w:val="2"/>
                <w:sz w:val="24"/>
                <w:szCs w:val="24"/>
              </w:rPr>
            </w:pPr>
          </w:p>
        </w:tc>
        <w:tc>
          <w:tcPr>
            <w:tcW w:w="3690" w:type="dxa"/>
            <w:vAlign w:val="center"/>
          </w:tcPr>
          <w:p w14:paraId="3287A4DA">
            <w:pPr>
              <w:pStyle w:val="76"/>
              <w:spacing w:line="360" w:lineRule="auto"/>
              <w:ind w:firstLine="200"/>
              <w:jc w:val="center"/>
              <w:rPr>
                <w:rFonts w:hint="eastAsia" w:ascii="宋体" w:hAnsi="宋体" w:eastAsia="宋体" w:cs="宋体"/>
                <w:color w:val="000000"/>
                <w:kern w:val="2"/>
                <w:sz w:val="24"/>
                <w:szCs w:val="24"/>
              </w:rPr>
            </w:pPr>
          </w:p>
        </w:tc>
        <w:tc>
          <w:tcPr>
            <w:tcW w:w="2768" w:type="dxa"/>
            <w:vAlign w:val="center"/>
          </w:tcPr>
          <w:p w14:paraId="6CFE73AA">
            <w:pPr>
              <w:pStyle w:val="76"/>
              <w:spacing w:line="360" w:lineRule="auto"/>
              <w:ind w:firstLine="200"/>
              <w:jc w:val="center"/>
              <w:rPr>
                <w:rFonts w:hint="eastAsia" w:ascii="宋体" w:hAnsi="宋体" w:eastAsia="宋体" w:cs="宋体"/>
                <w:color w:val="000000"/>
                <w:kern w:val="2"/>
                <w:sz w:val="24"/>
                <w:szCs w:val="24"/>
              </w:rPr>
            </w:pPr>
          </w:p>
        </w:tc>
      </w:tr>
      <w:tr w14:paraId="0DBC9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1" w:type="dxa"/>
            <w:vAlign w:val="center"/>
          </w:tcPr>
          <w:p w14:paraId="17114137">
            <w:pPr>
              <w:pStyle w:val="76"/>
              <w:spacing w:line="360" w:lineRule="auto"/>
              <w:ind w:firstLine="200"/>
              <w:jc w:val="center"/>
              <w:rPr>
                <w:rFonts w:hint="eastAsia" w:ascii="宋体" w:hAnsi="宋体" w:eastAsia="宋体" w:cs="宋体"/>
                <w:color w:val="000000"/>
                <w:kern w:val="2"/>
                <w:sz w:val="24"/>
                <w:szCs w:val="24"/>
              </w:rPr>
            </w:pPr>
          </w:p>
        </w:tc>
        <w:tc>
          <w:tcPr>
            <w:tcW w:w="3690" w:type="dxa"/>
            <w:vAlign w:val="center"/>
          </w:tcPr>
          <w:p w14:paraId="6B26A30C">
            <w:pPr>
              <w:pStyle w:val="76"/>
              <w:spacing w:line="360" w:lineRule="auto"/>
              <w:ind w:firstLine="200"/>
              <w:jc w:val="center"/>
              <w:rPr>
                <w:rFonts w:hint="eastAsia" w:ascii="宋体" w:hAnsi="宋体" w:eastAsia="宋体" w:cs="宋体"/>
                <w:color w:val="000000"/>
                <w:kern w:val="2"/>
                <w:sz w:val="24"/>
                <w:szCs w:val="24"/>
              </w:rPr>
            </w:pPr>
          </w:p>
        </w:tc>
        <w:tc>
          <w:tcPr>
            <w:tcW w:w="2768" w:type="dxa"/>
            <w:vAlign w:val="center"/>
          </w:tcPr>
          <w:p w14:paraId="60C296A3">
            <w:pPr>
              <w:pStyle w:val="76"/>
              <w:spacing w:line="360" w:lineRule="auto"/>
              <w:ind w:firstLine="200"/>
              <w:jc w:val="center"/>
              <w:rPr>
                <w:rFonts w:hint="eastAsia" w:ascii="宋体" w:hAnsi="宋体" w:eastAsia="宋体" w:cs="宋体"/>
                <w:color w:val="000000"/>
                <w:kern w:val="2"/>
                <w:sz w:val="24"/>
                <w:szCs w:val="24"/>
              </w:rPr>
            </w:pPr>
          </w:p>
        </w:tc>
      </w:tr>
      <w:tr w14:paraId="0B47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1" w:type="dxa"/>
            <w:vAlign w:val="center"/>
          </w:tcPr>
          <w:p w14:paraId="780F3152">
            <w:pPr>
              <w:pStyle w:val="76"/>
              <w:spacing w:line="360" w:lineRule="auto"/>
              <w:ind w:firstLine="200"/>
              <w:jc w:val="center"/>
              <w:rPr>
                <w:rFonts w:hint="eastAsia" w:ascii="宋体" w:hAnsi="宋体" w:eastAsia="宋体" w:cs="宋体"/>
                <w:color w:val="000000"/>
                <w:kern w:val="2"/>
                <w:sz w:val="24"/>
                <w:szCs w:val="24"/>
              </w:rPr>
            </w:pPr>
          </w:p>
        </w:tc>
        <w:tc>
          <w:tcPr>
            <w:tcW w:w="3690" w:type="dxa"/>
            <w:vAlign w:val="center"/>
          </w:tcPr>
          <w:p w14:paraId="5114FA4C">
            <w:pPr>
              <w:pStyle w:val="76"/>
              <w:spacing w:line="360" w:lineRule="auto"/>
              <w:ind w:firstLine="200"/>
              <w:jc w:val="center"/>
              <w:rPr>
                <w:rFonts w:hint="eastAsia" w:ascii="宋体" w:hAnsi="宋体" w:eastAsia="宋体" w:cs="宋体"/>
                <w:color w:val="000000"/>
                <w:kern w:val="2"/>
                <w:sz w:val="24"/>
                <w:szCs w:val="24"/>
              </w:rPr>
            </w:pPr>
          </w:p>
        </w:tc>
        <w:tc>
          <w:tcPr>
            <w:tcW w:w="2768" w:type="dxa"/>
            <w:vAlign w:val="center"/>
          </w:tcPr>
          <w:p w14:paraId="41D7AA0D">
            <w:pPr>
              <w:pStyle w:val="76"/>
              <w:spacing w:line="360" w:lineRule="auto"/>
              <w:ind w:firstLine="200"/>
              <w:jc w:val="center"/>
              <w:rPr>
                <w:rFonts w:hint="eastAsia" w:ascii="宋体" w:hAnsi="宋体" w:eastAsia="宋体" w:cs="宋体"/>
                <w:color w:val="000000"/>
                <w:kern w:val="2"/>
                <w:sz w:val="24"/>
                <w:szCs w:val="24"/>
              </w:rPr>
            </w:pPr>
          </w:p>
        </w:tc>
      </w:tr>
      <w:tr w14:paraId="5CAC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91" w:type="dxa"/>
            <w:gridSpan w:val="2"/>
            <w:vAlign w:val="center"/>
          </w:tcPr>
          <w:p w14:paraId="4454182F">
            <w:pPr>
              <w:pStyle w:val="76"/>
              <w:spacing w:line="360" w:lineRule="auto"/>
              <w:ind w:firstLine="20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总价</w:t>
            </w:r>
          </w:p>
        </w:tc>
        <w:tc>
          <w:tcPr>
            <w:tcW w:w="2768" w:type="dxa"/>
            <w:vAlign w:val="center"/>
          </w:tcPr>
          <w:p w14:paraId="3E5259C6">
            <w:pPr>
              <w:pStyle w:val="76"/>
              <w:spacing w:line="360" w:lineRule="auto"/>
              <w:ind w:firstLine="200"/>
              <w:jc w:val="center"/>
              <w:rPr>
                <w:rFonts w:hint="eastAsia" w:ascii="宋体" w:hAnsi="宋体" w:eastAsia="宋体" w:cs="宋体"/>
                <w:color w:val="000000"/>
                <w:kern w:val="2"/>
                <w:sz w:val="24"/>
                <w:szCs w:val="24"/>
              </w:rPr>
            </w:pPr>
          </w:p>
        </w:tc>
      </w:tr>
    </w:tbl>
    <w:p w14:paraId="7F49F727">
      <w:pPr>
        <w:spacing w:line="360" w:lineRule="auto"/>
        <w:ind w:firstLine="482" w:firstLineChars="200"/>
        <w:outlineLvl w:val="1"/>
        <w:rPr>
          <w:rFonts w:hint="eastAsia" w:ascii="宋体" w:hAnsi="宋体" w:eastAsia="宋体" w:cs="宋体"/>
          <w:b/>
          <w:bCs/>
          <w:sz w:val="24"/>
          <w:szCs w:val="24"/>
        </w:rPr>
      </w:pPr>
      <w:bookmarkStart w:id="892" w:name="_Toc3654"/>
      <w:bookmarkStart w:id="893" w:name="_Toc31751"/>
      <w:bookmarkStart w:id="894" w:name="_Toc20344"/>
      <w:bookmarkStart w:id="895" w:name="_Toc30506"/>
      <w:bookmarkStart w:id="896" w:name="_Toc8095"/>
      <w:bookmarkStart w:id="897" w:name="_Toc20410"/>
      <w:bookmarkStart w:id="898" w:name="_Toc12997"/>
      <w:bookmarkStart w:id="899" w:name="_Toc26916"/>
      <w:bookmarkStart w:id="900" w:name="_Toc14993"/>
      <w:bookmarkStart w:id="901" w:name="_Toc32618"/>
      <w:bookmarkStart w:id="902" w:name="_Toc30158"/>
      <w:r>
        <w:rPr>
          <w:rFonts w:hint="eastAsia" w:ascii="宋体" w:hAnsi="宋体" w:eastAsia="宋体" w:cs="宋体"/>
          <w:b/>
          <w:bCs/>
          <w:sz w:val="24"/>
          <w:szCs w:val="24"/>
        </w:rPr>
        <w:t>1.4 付款方式和发票开具方式</w:t>
      </w:r>
      <w:bookmarkEnd w:id="892"/>
      <w:bookmarkEnd w:id="893"/>
      <w:bookmarkEnd w:id="894"/>
      <w:bookmarkEnd w:id="895"/>
      <w:bookmarkEnd w:id="896"/>
      <w:bookmarkEnd w:id="897"/>
      <w:bookmarkEnd w:id="898"/>
      <w:bookmarkEnd w:id="899"/>
      <w:bookmarkEnd w:id="900"/>
      <w:bookmarkEnd w:id="901"/>
      <w:bookmarkEnd w:id="902"/>
    </w:p>
    <w:p w14:paraId="75372830">
      <w:pPr>
        <w:pStyle w:val="2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1.4.1付款方式：详见招标文件要求。</w:t>
      </w:r>
    </w:p>
    <w:p w14:paraId="05185EE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1.4.2 发票开具方式：乙方提供发票</w:t>
      </w:r>
    </w:p>
    <w:p w14:paraId="280BA688">
      <w:pPr>
        <w:spacing w:line="360" w:lineRule="auto"/>
        <w:ind w:firstLine="482" w:firstLineChars="200"/>
        <w:outlineLvl w:val="1"/>
        <w:rPr>
          <w:rFonts w:hint="eastAsia" w:ascii="宋体" w:hAnsi="宋体" w:eastAsia="宋体" w:cs="宋体"/>
          <w:b/>
          <w:bCs/>
          <w:sz w:val="24"/>
          <w:szCs w:val="24"/>
        </w:rPr>
      </w:pPr>
      <w:bookmarkStart w:id="903" w:name="_Toc3625"/>
      <w:bookmarkStart w:id="904" w:name="_Toc10054"/>
      <w:bookmarkStart w:id="905" w:name="_Toc3540"/>
      <w:bookmarkStart w:id="906" w:name="_Toc11108"/>
      <w:bookmarkStart w:id="907" w:name="_Toc8772"/>
      <w:bookmarkStart w:id="908" w:name="_Toc9004"/>
      <w:bookmarkStart w:id="909" w:name="_Toc25500"/>
      <w:bookmarkStart w:id="910" w:name="_Toc2641"/>
      <w:bookmarkStart w:id="911" w:name="_Toc31421"/>
      <w:bookmarkStart w:id="912" w:name="_Toc1299"/>
      <w:bookmarkStart w:id="913" w:name="_Toc4760"/>
      <w:r>
        <w:rPr>
          <w:rFonts w:hint="eastAsia" w:ascii="宋体" w:hAnsi="宋体" w:eastAsia="宋体" w:cs="宋体"/>
          <w:b/>
          <w:bCs/>
          <w:sz w:val="24"/>
          <w:szCs w:val="24"/>
        </w:rPr>
        <w:t>1.5 履行期限、地点和方式</w:t>
      </w:r>
      <w:bookmarkEnd w:id="903"/>
      <w:bookmarkEnd w:id="904"/>
      <w:bookmarkEnd w:id="905"/>
      <w:bookmarkEnd w:id="906"/>
      <w:bookmarkEnd w:id="907"/>
      <w:bookmarkEnd w:id="908"/>
      <w:bookmarkEnd w:id="909"/>
      <w:bookmarkEnd w:id="910"/>
      <w:bookmarkEnd w:id="911"/>
      <w:bookmarkEnd w:id="912"/>
      <w:bookmarkEnd w:id="913"/>
    </w:p>
    <w:p w14:paraId="5E825275">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1.5.1 履行期限：</w:t>
      </w:r>
      <w:r>
        <w:rPr>
          <w:rFonts w:hint="eastAsia" w:ascii="宋体" w:hAnsi="宋体" w:eastAsia="宋体" w:cs="宋体"/>
          <w:sz w:val="24"/>
          <w:szCs w:val="24"/>
          <w:u w:val="single"/>
        </w:rPr>
        <w:t>按投标文件要求</w:t>
      </w:r>
    </w:p>
    <w:p w14:paraId="658D0D93">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 xml:space="preserve">1.5.2 </w:t>
      </w:r>
      <w:r>
        <w:rPr>
          <w:rFonts w:hint="eastAsia" w:ascii="宋体" w:hAnsi="宋体" w:eastAsia="宋体" w:cs="宋体"/>
          <w:b/>
          <w:bCs/>
          <w:sz w:val="24"/>
          <w:szCs w:val="24"/>
        </w:rPr>
        <w:t>履行地点：采购人指定地点</w:t>
      </w:r>
    </w:p>
    <w:p w14:paraId="5A099C2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 履行方式：现场验收。</w:t>
      </w:r>
    </w:p>
    <w:p w14:paraId="381C9F67">
      <w:pPr>
        <w:spacing w:line="360" w:lineRule="auto"/>
        <w:ind w:firstLine="482" w:firstLineChars="200"/>
        <w:outlineLvl w:val="1"/>
        <w:rPr>
          <w:rFonts w:hint="eastAsia" w:ascii="宋体" w:hAnsi="宋体" w:eastAsia="宋体" w:cs="宋体"/>
          <w:sz w:val="24"/>
          <w:szCs w:val="24"/>
          <w:u w:val="single"/>
        </w:rPr>
      </w:pPr>
      <w:bookmarkStart w:id="914" w:name="_Toc3079"/>
      <w:bookmarkStart w:id="915" w:name="_Toc31461"/>
      <w:bookmarkStart w:id="916" w:name="_Toc24662"/>
      <w:bookmarkStart w:id="917" w:name="_Toc5698"/>
      <w:bookmarkStart w:id="918" w:name="_Toc32137"/>
      <w:bookmarkStart w:id="919" w:name="_Toc16673"/>
      <w:bookmarkStart w:id="920" w:name="_Toc18565"/>
      <w:bookmarkStart w:id="921" w:name="_Toc29867"/>
      <w:bookmarkStart w:id="922" w:name="_Toc2375"/>
      <w:bookmarkStart w:id="923" w:name="_Toc8586"/>
      <w:bookmarkStart w:id="924" w:name="_Toc21576"/>
      <w:r>
        <w:rPr>
          <w:rFonts w:hint="eastAsia" w:ascii="宋体" w:hAnsi="宋体" w:eastAsia="宋体" w:cs="宋体"/>
          <w:b/>
          <w:bCs/>
          <w:sz w:val="24"/>
          <w:szCs w:val="24"/>
        </w:rPr>
        <w:t>1.6 违约责任</w:t>
      </w:r>
      <w:bookmarkEnd w:id="914"/>
      <w:bookmarkEnd w:id="915"/>
      <w:bookmarkEnd w:id="916"/>
      <w:bookmarkEnd w:id="917"/>
      <w:bookmarkEnd w:id="918"/>
      <w:bookmarkEnd w:id="919"/>
      <w:bookmarkEnd w:id="920"/>
      <w:bookmarkEnd w:id="921"/>
      <w:bookmarkEnd w:id="922"/>
      <w:bookmarkEnd w:id="923"/>
      <w:bookmarkEnd w:id="924"/>
    </w:p>
    <w:p w14:paraId="04EAB48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sz w:val="24"/>
          <w:szCs w:val="24"/>
          <w:u w:val="single"/>
        </w:rPr>
        <w:t xml:space="preserve"> 0.1 </w:t>
      </w:r>
      <w:r>
        <w:rPr>
          <w:rFonts w:hint="eastAsia" w:ascii="宋体" w:hAnsi="宋体" w:eastAsia="宋体" w:cs="宋体"/>
          <w:sz w:val="24"/>
          <w:szCs w:val="24"/>
        </w:rPr>
        <w:t>%计算，最高限额为本合同总价的</w:t>
      </w:r>
      <w:r>
        <w:rPr>
          <w:rFonts w:hint="eastAsia" w:ascii="宋体" w:hAnsi="宋体" w:eastAsia="宋体" w:cs="宋体"/>
          <w:sz w:val="24"/>
          <w:szCs w:val="24"/>
          <w:u w:val="single"/>
        </w:rPr>
        <w:t xml:space="preserve">20 </w:t>
      </w:r>
      <w:r>
        <w:rPr>
          <w:rFonts w:hint="eastAsia" w:ascii="宋体" w:hAnsi="宋体" w:eastAsia="宋体" w:cs="宋体"/>
          <w:sz w:val="24"/>
          <w:szCs w:val="24"/>
        </w:rPr>
        <w:t>%；迟延履行的违约金计算数额达到前述最高限额之日起，甲方有权在要求乙方支付违约金的同时，书面通知乙方解除本合同；</w:t>
      </w:r>
    </w:p>
    <w:p w14:paraId="281B979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sz w:val="24"/>
          <w:szCs w:val="24"/>
          <w:u w:val="single"/>
        </w:rPr>
        <w:t>0.1</w:t>
      </w:r>
      <w:r>
        <w:rPr>
          <w:rFonts w:hint="eastAsia" w:ascii="宋体" w:hAnsi="宋体" w:eastAsia="宋体" w:cs="宋体"/>
          <w:sz w:val="24"/>
          <w:szCs w:val="24"/>
        </w:rPr>
        <w:t>%计算，最高限额为本合同总价的</w:t>
      </w:r>
      <w:r>
        <w:rPr>
          <w:rFonts w:hint="eastAsia" w:ascii="宋体" w:hAnsi="宋体" w:eastAsia="宋体" w:cs="宋体"/>
          <w:sz w:val="24"/>
          <w:szCs w:val="24"/>
          <w:u w:val="single"/>
        </w:rPr>
        <w:t xml:space="preserve"> 10</w:t>
      </w:r>
      <w:r>
        <w:rPr>
          <w:rFonts w:hint="eastAsia" w:ascii="宋体" w:hAnsi="宋体" w:eastAsia="宋体" w:cs="宋体"/>
          <w:sz w:val="24"/>
          <w:szCs w:val="24"/>
        </w:rPr>
        <w:t>%；迟延付款的违约金计算数额达到前述最高限额之日起，乙方有权在要求甲方支付违约金的同时，书面通知甲方解除本合同；</w:t>
      </w:r>
    </w:p>
    <w:p w14:paraId="5419283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7FD575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7B95A7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5332B9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1.6.6 如果出现政府采购监督管理部门在处理投诉事项期间，书面通知甲方暂停采购活动的情形，或者询问或质疑事项可能影响</w:t>
      </w:r>
      <w:r>
        <w:rPr>
          <w:rFonts w:hint="eastAsia" w:ascii="宋体" w:hAnsi="宋体" w:eastAsia="宋体" w:cs="宋体"/>
          <w:sz w:val="24"/>
          <w:szCs w:val="24"/>
          <w:lang w:eastAsia="zh-CN"/>
        </w:rPr>
        <w:t>成交</w:t>
      </w:r>
      <w:r>
        <w:rPr>
          <w:rFonts w:hint="eastAsia" w:ascii="宋体" w:hAnsi="宋体" w:eastAsia="宋体" w:cs="宋体"/>
          <w:sz w:val="24"/>
          <w:szCs w:val="24"/>
        </w:rPr>
        <w:t>结果的，导致甲方中止履行合同的情形，均不视为甲方违约。</w:t>
      </w:r>
    </w:p>
    <w:p w14:paraId="61B9DE0F">
      <w:pPr>
        <w:spacing w:line="360" w:lineRule="auto"/>
        <w:ind w:firstLine="482" w:firstLineChars="200"/>
        <w:outlineLvl w:val="1"/>
        <w:rPr>
          <w:rFonts w:hint="eastAsia" w:ascii="宋体" w:hAnsi="宋体" w:eastAsia="宋体" w:cs="宋体"/>
          <w:b/>
          <w:bCs/>
          <w:sz w:val="24"/>
          <w:szCs w:val="24"/>
        </w:rPr>
      </w:pPr>
      <w:bookmarkStart w:id="925" w:name="_Toc7752"/>
      <w:bookmarkStart w:id="926" w:name="_Toc26807"/>
      <w:bookmarkStart w:id="927" w:name="_Toc32454"/>
      <w:bookmarkStart w:id="928" w:name="_Toc18683"/>
      <w:bookmarkStart w:id="929" w:name="_Toc30329"/>
      <w:bookmarkStart w:id="930" w:name="_Toc12452"/>
      <w:bookmarkStart w:id="931" w:name="_Toc11642"/>
      <w:bookmarkStart w:id="932" w:name="_Toc21005"/>
      <w:bookmarkStart w:id="933" w:name="_Toc7162"/>
      <w:bookmarkStart w:id="934" w:name="_Toc26616"/>
      <w:bookmarkStart w:id="935" w:name="_Toc9497"/>
      <w:r>
        <w:rPr>
          <w:rFonts w:hint="eastAsia" w:ascii="宋体" w:hAnsi="宋体" w:eastAsia="宋体" w:cs="宋体"/>
          <w:b/>
          <w:bCs/>
          <w:sz w:val="24"/>
          <w:szCs w:val="24"/>
        </w:rPr>
        <w:t>1.7 合同争议的解决</w:t>
      </w:r>
      <w:bookmarkEnd w:id="925"/>
      <w:bookmarkEnd w:id="926"/>
      <w:bookmarkEnd w:id="927"/>
      <w:bookmarkEnd w:id="928"/>
      <w:bookmarkEnd w:id="929"/>
      <w:bookmarkEnd w:id="930"/>
      <w:bookmarkEnd w:id="931"/>
      <w:bookmarkEnd w:id="932"/>
      <w:bookmarkEnd w:id="933"/>
      <w:bookmarkEnd w:id="934"/>
      <w:bookmarkEnd w:id="935"/>
    </w:p>
    <w:p w14:paraId="40A6079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本合同履行过程中发生的任何争议，双方当事人均可通过和解或者调解解决；不愿和解、调解或者和解、调解不成的，可以选择下列第</w:t>
      </w:r>
      <w:r>
        <w:rPr>
          <w:rFonts w:hint="eastAsia" w:ascii="宋体" w:hAnsi="宋体" w:eastAsia="宋体" w:cs="宋体"/>
          <w:sz w:val="24"/>
          <w:szCs w:val="24"/>
          <w:u w:val="single"/>
        </w:rPr>
        <w:t xml:space="preserve"> 2 </w:t>
      </w:r>
      <w:r>
        <w:rPr>
          <w:rFonts w:hint="eastAsia" w:ascii="宋体" w:hAnsi="宋体" w:eastAsia="宋体" w:cs="宋体"/>
          <w:sz w:val="24"/>
          <w:szCs w:val="24"/>
        </w:rPr>
        <w:t>种方式解决：</w:t>
      </w:r>
    </w:p>
    <w:p w14:paraId="7D33D05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1.7.1 将争议提交仲裁委员会依申请仲裁时其现行有效的仲裁规则裁决；</w:t>
      </w:r>
    </w:p>
    <w:p w14:paraId="1D0ACF6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1.7.2 向</w:t>
      </w:r>
      <w:r>
        <w:rPr>
          <w:rFonts w:hint="eastAsia" w:ascii="宋体" w:hAnsi="宋体" w:eastAsia="宋体" w:cs="宋体"/>
          <w:sz w:val="24"/>
          <w:szCs w:val="24"/>
          <w:u w:val="single"/>
          <w:lang w:eastAsia="zh-CN"/>
        </w:rPr>
        <w:t>莎车县</w:t>
      </w:r>
      <w:r>
        <w:rPr>
          <w:rFonts w:hint="eastAsia" w:ascii="宋体" w:hAnsi="宋体" w:eastAsia="宋体" w:cs="宋体"/>
          <w:sz w:val="24"/>
          <w:szCs w:val="24"/>
        </w:rPr>
        <w:t>人民法院起诉。</w:t>
      </w:r>
    </w:p>
    <w:p w14:paraId="00877057">
      <w:pPr>
        <w:spacing w:line="360" w:lineRule="auto"/>
        <w:ind w:firstLine="482" w:firstLineChars="200"/>
        <w:outlineLvl w:val="1"/>
        <w:rPr>
          <w:rFonts w:hint="eastAsia" w:ascii="宋体" w:hAnsi="宋体" w:eastAsia="宋体" w:cs="宋体"/>
          <w:b/>
          <w:bCs/>
          <w:sz w:val="24"/>
          <w:szCs w:val="24"/>
        </w:rPr>
      </w:pPr>
      <w:bookmarkStart w:id="936" w:name="_Toc25268"/>
      <w:bookmarkStart w:id="937" w:name="_Toc10387"/>
      <w:bookmarkStart w:id="938" w:name="_Toc16417"/>
      <w:bookmarkStart w:id="939" w:name="_Toc12288"/>
      <w:bookmarkStart w:id="940" w:name="_Toc26227"/>
      <w:bookmarkStart w:id="941" w:name="_Toc22280"/>
      <w:bookmarkStart w:id="942" w:name="_Toc7610"/>
      <w:bookmarkStart w:id="943" w:name="_Toc12273"/>
      <w:bookmarkStart w:id="944" w:name="_Toc15827"/>
      <w:bookmarkStart w:id="945" w:name="_Toc23784"/>
      <w:bookmarkStart w:id="946" w:name="_Toc30200"/>
      <w:r>
        <w:rPr>
          <w:rFonts w:hint="eastAsia" w:ascii="宋体" w:hAnsi="宋体" w:eastAsia="宋体" w:cs="宋体"/>
          <w:b/>
          <w:bCs/>
          <w:sz w:val="24"/>
          <w:szCs w:val="24"/>
        </w:rPr>
        <w:t>1.8 合同生效</w:t>
      </w:r>
      <w:bookmarkEnd w:id="936"/>
      <w:bookmarkEnd w:id="937"/>
      <w:bookmarkEnd w:id="938"/>
      <w:bookmarkEnd w:id="939"/>
      <w:bookmarkEnd w:id="940"/>
      <w:bookmarkEnd w:id="941"/>
      <w:bookmarkEnd w:id="942"/>
      <w:bookmarkEnd w:id="943"/>
      <w:bookmarkEnd w:id="944"/>
      <w:bookmarkEnd w:id="945"/>
      <w:bookmarkEnd w:id="946"/>
    </w:p>
    <w:p w14:paraId="759295C8">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本合同自双方当事人盖章或者签字时生效。</w:t>
      </w:r>
    </w:p>
    <w:p w14:paraId="3BF5E4B5">
      <w:pPr>
        <w:autoSpaceDE w:val="0"/>
        <w:autoSpaceDN w:val="0"/>
        <w:adjustRightInd w:val="0"/>
        <w:spacing w:line="360" w:lineRule="auto"/>
        <w:rPr>
          <w:rFonts w:hint="eastAsia" w:ascii="宋体" w:hAnsi="宋体" w:eastAsia="宋体" w:cs="宋体"/>
          <w:sz w:val="24"/>
          <w:szCs w:val="24"/>
          <w:lang w:val="zh-CN"/>
        </w:rPr>
      </w:pPr>
    </w:p>
    <w:p w14:paraId="1F2895D4">
      <w:pPr>
        <w:autoSpaceDE w:val="0"/>
        <w:autoSpaceDN w:val="0"/>
        <w:adjustRightInd w:val="0"/>
        <w:spacing w:line="360" w:lineRule="auto"/>
        <w:outlineLvl w:val="1"/>
        <w:rPr>
          <w:rFonts w:hint="eastAsia" w:ascii="宋体" w:hAnsi="宋体" w:eastAsia="宋体" w:cs="宋体"/>
          <w:sz w:val="24"/>
          <w:szCs w:val="24"/>
          <w:lang w:val="zh-CN"/>
        </w:rPr>
      </w:pPr>
      <w:bookmarkStart w:id="947" w:name="_Toc26283"/>
      <w:bookmarkStart w:id="948" w:name="_Toc14799"/>
      <w:bookmarkStart w:id="949" w:name="_Toc7991"/>
      <w:bookmarkStart w:id="950" w:name="_Toc16103"/>
      <w:bookmarkStart w:id="951" w:name="_Toc13355"/>
      <w:r>
        <w:rPr>
          <w:rFonts w:hint="eastAsia" w:ascii="宋体" w:hAnsi="宋体" w:eastAsia="宋体" w:cs="宋体"/>
          <w:b/>
          <w:bCs/>
          <w:sz w:val="24"/>
          <w:szCs w:val="24"/>
          <w:lang w:val="zh-CN"/>
        </w:rPr>
        <w:t>甲方</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zh-CN"/>
        </w:rPr>
        <w:t>乙方</w:t>
      </w:r>
      <w:r>
        <w:rPr>
          <w:rFonts w:hint="eastAsia" w:ascii="宋体" w:hAnsi="宋体" w:eastAsia="宋体" w:cs="宋体"/>
          <w:sz w:val="24"/>
          <w:szCs w:val="24"/>
          <w:lang w:val="zh-CN"/>
        </w:rPr>
        <w:t>：</w:t>
      </w:r>
      <w:bookmarkEnd w:id="947"/>
      <w:bookmarkEnd w:id="948"/>
      <w:bookmarkEnd w:id="949"/>
      <w:bookmarkEnd w:id="950"/>
      <w:bookmarkEnd w:id="951"/>
    </w:p>
    <w:p w14:paraId="2F9BA5CE">
      <w:pPr>
        <w:autoSpaceDE w:val="0"/>
        <w:autoSpaceDN w:val="0"/>
        <w:adjustRightInd w:val="0"/>
        <w:spacing w:line="360" w:lineRule="auto"/>
        <w:ind w:left="5880" w:hanging="5040" w:hangingChars="2100"/>
        <w:rPr>
          <w:rFonts w:hint="eastAsia" w:ascii="宋体" w:hAnsi="宋体" w:eastAsia="宋体" w:cs="宋体"/>
          <w:sz w:val="24"/>
          <w:szCs w:val="24"/>
          <w:lang w:val="zh-CN"/>
        </w:rPr>
      </w:pPr>
      <w:r>
        <w:rPr>
          <w:rFonts w:hint="eastAsia" w:ascii="宋体" w:hAnsi="宋体" w:eastAsia="宋体" w:cs="宋体"/>
          <w:sz w:val="24"/>
          <w:szCs w:val="24"/>
          <w:lang w:val="zh-CN"/>
        </w:rPr>
        <w:t>统一社会信用代码：</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统一社会信用代码或身份证号码：</w:t>
      </w:r>
    </w:p>
    <w:p w14:paraId="572A1749">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住所：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住所：</w:t>
      </w:r>
    </w:p>
    <w:p w14:paraId="77F318A6">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法定代表人或法定代表人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 xml:space="preserve">授权代表（签字）：或授权代表（签字）: </w:t>
      </w:r>
    </w:p>
    <w:p w14:paraId="3CB69980">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联系人：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联系人：</w:t>
      </w:r>
    </w:p>
    <w:p w14:paraId="4DA6E752">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约定送达地址：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约定送达地址：</w:t>
      </w:r>
    </w:p>
    <w:p w14:paraId="05844BC1">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邮政编码：</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邮政编码：</w:t>
      </w:r>
    </w:p>
    <w:p w14:paraId="4A7BF4CD">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 xml:space="preserve">电话:                      电话: </w:t>
      </w:r>
    </w:p>
    <w:p w14:paraId="2840A615">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传真:                      传真:</w:t>
      </w:r>
    </w:p>
    <w:p w14:paraId="2C204E65">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zh-CN"/>
        </w:rPr>
        <w:t>电子邮箱：</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电子邮箱：</w:t>
      </w:r>
    </w:p>
    <w:p w14:paraId="499EE6DF">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开户银行：</w:t>
      </w:r>
    </w:p>
    <w:p w14:paraId="2C173D5B">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开户名称：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开户名称：</w:t>
      </w:r>
    </w:p>
    <w:p w14:paraId="3A7294F6">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开户账号：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开户账号：</w:t>
      </w:r>
    </w:p>
    <w:p w14:paraId="69C42CAE">
      <w:pPr>
        <w:pStyle w:val="80"/>
        <w:spacing w:line="360" w:lineRule="auto"/>
        <w:ind w:left="0" w:leftChars="0" w:firstLine="0" w:firstLineChars="0"/>
        <w:jc w:val="both"/>
        <w:outlineLvl w:val="0"/>
        <w:rPr>
          <w:rFonts w:hint="eastAsia" w:ascii="宋体" w:hAnsi="宋体" w:eastAsia="宋体" w:cs="宋体"/>
          <w:b/>
          <w:bCs/>
          <w:sz w:val="24"/>
          <w:szCs w:val="24"/>
        </w:rPr>
      </w:pPr>
    </w:p>
    <w:p w14:paraId="0ABAC26D">
      <w:pPr>
        <w:pStyle w:val="80"/>
        <w:spacing w:line="360" w:lineRule="auto"/>
        <w:ind w:firstLine="200"/>
        <w:jc w:val="center"/>
        <w:outlineLvl w:val="0"/>
        <w:rPr>
          <w:rFonts w:hint="eastAsia" w:ascii="宋体" w:hAnsi="宋体" w:eastAsia="宋体" w:cs="宋体"/>
          <w:b/>
          <w:bCs/>
          <w:sz w:val="24"/>
          <w:szCs w:val="24"/>
        </w:rPr>
      </w:pPr>
      <w:bookmarkStart w:id="952" w:name="_Toc30980"/>
      <w:bookmarkStart w:id="953" w:name="_Toc10214"/>
      <w:bookmarkStart w:id="954" w:name="_Toc3390"/>
      <w:bookmarkStart w:id="955" w:name="_Toc5531"/>
      <w:r>
        <w:rPr>
          <w:rFonts w:hint="eastAsia" w:ascii="宋体" w:hAnsi="宋体" w:eastAsia="宋体" w:cs="宋体"/>
          <w:b/>
          <w:bCs/>
          <w:sz w:val="24"/>
          <w:szCs w:val="24"/>
        </w:rPr>
        <w:t>第二部分合同一般条款</w:t>
      </w:r>
      <w:bookmarkEnd w:id="952"/>
      <w:bookmarkEnd w:id="953"/>
      <w:bookmarkEnd w:id="954"/>
      <w:bookmarkEnd w:id="955"/>
    </w:p>
    <w:p w14:paraId="67C7F274">
      <w:pPr>
        <w:spacing w:line="360" w:lineRule="auto"/>
        <w:ind w:firstLine="482" w:firstLineChars="200"/>
        <w:outlineLvl w:val="1"/>
        <w:rPr>
          <w:rFonts w:hint="eastAsia" w:ascii="宋体" w:hAnsi="宋体" w:eastAsia="宋体" w:cs="宋体"/>
          <w:b/>
          <w:bCs/>
          <w:sz w:val="24"/>
          <w:szCs w:val="24"/>
        </w:rPr>
      </w:pPr>
      <w:bookmarkStart w:id="956" w:name="_Toc25079"/>
      <w:bookmarkStart w:id="957" w:name="_Toc31297"/>
      <w:bookmarkStart w:id="958" w:name="_Toc30493"/>
      <w:bookmarkStart w:id="959" w:name="_Toc19680"/>
      <w:bookmarkStart w:id="960" w:name="_Toc24181"/>
      <w:bookmarkStart w:id="961" w:name="_Toc27123"/>
      <w:bookmarkStart w:id="962" w:name="_Toc14021"/>
      <w:bookmarkStart w:id="963" w:name="_Toc22662"/>
      <w:bookmarkStart w:id="964" w:name="_Toc28784"/>
      <w:bookmarkStart w:id="965" w:name="_Toc28977"/>
      <w:bookmarkStart w:id="966" w:name="_Toc5228"/>
      <w:r>
        <w:rPr>
          <w:rFonts w:hint="eastAsia" w:ascii="宋体" w:hAnsi="宋体" w:eastAsia="宋体" w:cs="宋体"/>
          <w:b/>
          <w:bCs/>
          <w:sz w:val="24"/>
          <w:szCs w:val="24"/>
        </w:rPr>
        <w:t>2.1 定义</w:t>
      </w:r>
      <w:bookmarkEnd w:id="956"/>
      <w:bookmarkEnd w:id="957"/>
      <w:bookmarkEnd w:id="958"/>
      <w:bookmarkEnd w:id="959"/>
      <w:bookmarkEnd w:id="960"/>
      <w:bookmarkEnd w:id="961"/>
      <w:bookmarkEnd w:id="962"/>
      <w:bookmarkEnd w:id="963"/>
      <w:bookmarkEnd w:id="964"/>
      <w:bookmarkEnd w:id="965"/>
      <w:bookmarkEnd w:id="966"/>
    </w:p>
    <w:p w14:paraId="7B8FA31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本合同中的下列词语应按以下内容进行解释：</w:t>
      </w:r>
    </w:p>
    <w:p w14:paraId="2DDC951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2.1.1 “合同”系指采购人和</w:t>
      </w:r>
      <w:r>
        <w:rPr>
          <w:rFonts w:hint="eastAsia" w:ascii="宋体" w:hAnsi="宋体" w:eastAsia="宋体" w:cs="宋体"/>
          <w:sz w:val="24"/>
          <w:szCs w:val="24"/>
          <w:lang w:eastAsia="zh-CN"/>
        </w:rPr>
        <w:t>成交</w:t>
      </w:r>
      <w:r>
        <w:rPr>
          <w:rFonts w:hint="eastAsia" w:ascii="宋体" w:hAnsi="宋体" w:eastAsia="宋体" w:cs="宋体"/>
          <w:sz w:val="24"/>
          <w:szCs w:val="24"/>
        </w:rPr>
        <w:t>供应商签订的载明双方当事人所达成的协议，并包括所有的附件、附录和构成合同的其他文件。</w:t>
      </w:r>
    </w:p>
    <w:p w14:paraId="4F876D9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2.1.2 “合同价”系指根据合同约定，</w:t>
      </w:r>
      <w:r>
        <w:rPr>
          <w:rFonts w:hint="eastAsia" w:ascii="宋体" w:hAnsi="宋体" w:eastAsia="宋体" w:cs="宋体"/>
          <w:sz w:val="24"/>
          <w:szCs w:val="24"/>
          <w:lang w:eastAsia="zh-CN"/>
        </w:rPr>
        <w:t>成交</w:t>
      </w:r>
      <w:r>
        <w:rPr>
          <w:rFonts w:hint="eastAsia" w:ascii="宋体" w:hAnsi="宋体" w:eastAsia="宋体" w:cs="宋体"/>
          <w:sz w:val="24"/>
          <w:szCs w:val="24"/>
        </w:rPr>
        <w:t>供应商在完全履行合同义务后，采购人应支付给</w:t>
      </w:r>
      <w:r>
        <w:rPr>
          <w:rFonts w:hint="eastAsia" w:ascii="宋体" w:hAnsi="宋体" w:eastAsia="宋体" w:cs="宋体"/>
          <w:sz w:val="24"/>
          <w:szCs w:val="24"/>
          <w:lang w:eastAsia="zh-CN"/>
        </w:rPr>
        <w:t>成交</w:t>
      </w:r>
      <w:r>
        <w:rPr>
          <w:rFonts w:hint="eastAsia" w:ascii="宋体" w:hAnsi="宋体" w:eastAsia="宋体" w:cs="宋体"/>
          <w:sz w:val="24"/>
          <w:szCs w:val="24"/>
        </w:rPr>
        <w:t>供应商的价格。</w:t>
      </w:r>
    </w:p>
    <w:p w14:paraId="4C680D86">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2.1.3 “货物”系指</w:t>
      </w:r>
      <w:r>
        <w:rPr>
          <w:rFonts w:hint="eastAsia" w:ascii="宋体" w:hAnsi="宋体" w:eastAsia="宋体" w:cs="宋体"/>
          <w:sz w:val="24"/>
          <w:szCs w:val="24"/>
          <w:lang w:eastAsia="zh-CN"/>
        </w:rPr>
        <w:t>成交</w:t>
      </w:r>
      <w:r>
        <w:rPr>
          <w:rFonts w:hint="eastAsia" w:ascii="宋体" w:hAnsi="宋体" w:eastAsia="宋体" w:cs="宋体"/>
          <w:sz w:val="24"/>
          <w:szCs w:val="24"/>
        </w:rPr>
        <w:t>供应商根据合同约定应向采购人交付的一切各种形态和种类的物品，包括原材料、燃料、设备、机械、仪表、备件、计算机软件、产品等，并包括工具、手册等其他相关资料。</w:t>
      </w:r>
    </w:p>
    <w:p w14:paraId="55FE7BB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2.1.4 “甲方”系指与</w:t>
      </w:r>
      <w:r>
        <w:rPr>
          <w:rFonts w:hint="eastAsia" w:ascii="宋体" w:hAnsi="宋体" w:eastAsia="宋体" w:cs="宋体"/>
          <w:sz w:val="24"/>
          <w:szCs w:val="24"/>
          <w:lang w:eastAsia="zh-CN"/>
        </w:rPr>
        <w:t>成交</w:t>
      </w:r>
      <w:r>
        <w:rPr>
          <w:rFonts w:hint="eastAsia" w:ascii="宋体" w:hAnsi="宋体" w:eastAsia="宋体" w:cs="宋体"/>
          <w:sz w:val="24"/>
          <w:szCs w:val="24"/>
        </w:rPr>
        <w:t>供应商签署合同的采购人；采购人委托采购代理机构代表其与乙方签订合同的，采购人的授权委托书作为合同附件。</w:t>
      </w:r>
    </w:p>
    <w:p w14:paraId="38C1D9E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2.1.5 “乙方”系指根据合同约定提供服务的</w:t>
      </w:r>
      <w:r>
        <w:rPr>
          <w:rFonts w:hint="eastAsia" w:ascii="宋体" w:hAnsi="宋体" w:eastAsia="宋体" w:cs="宋体"/>
          <w:sz w:val="24"/>
          <w:szCs w:val="24"/>
          <w:lang w:eastAsia="zh-CN"/>
        </w:rPr>
        <w:t>成交</w:t>
      </w:r>
      <w:r>
        <w:rPr>
          <w:rFonts w:hint="eastAsia" w:ascii="宋体" w:hAnsi="宋体" w:eastAsia="宋体" w:cs="宋体"/>
          <w:sz w:val="24"/>
          <w:szCs w:val="24"/>
        </w:rPr>
        <w:t>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4B60EE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2.1.6 “现场”系指合同约定提供服务的地点。</w:t>
      </w:r>
    </w:p>
    <w:p w14:paraId="2CE9E4E8">
      <w:pPr>
        <w:spacing w:line="360" w:lineRule="auto"/>
        <w:ind w:firstLine="482" w:firstLineChars="200"/>
        <w:outlineLvl w:val="1"/>
        <w:rPr>
          <w:rFonts w:hint="eastAsia" w:ascii="宋体" w:hAnsi="宋体" w:eastAsia="宋体" w:cs="宋体"/>
          <w:b/>
          <w:bCs/>
          <w:sz w:val="24"/>
          <w:szCs w:val="24"/>
        </w:rPr>
      </w:pPr>
      <w:bookmarkStart w:id="967" w:name="_Toc23289"/>
      <w:bookmarkStart w:id="968" w:name="_Toc5530"/>
      <w:bookmarkStart w:id="969" w:name="_Toc19539"/>
      <w:bookmarkStart w:id="970" w:name="_Toc31402"/>
      <w:bookmarkStart w:id="971" w:name="_Toc24542"/>
      <w:bookmarkStart w:id="972" w:name="_Toc15098"/>
      <w:bookmarkStart w:id="973" w:name="_Toc113"/>
      <w:bookmarkStart w:id="974" w:name="_Toc3769"/>
      <w:bookmarkStart w:id="975" w:name="_Toc16752"/>
      <w:bookmarkStart w:id="976" w:name="_Toc29502"/>
      <w:bookmarkStart w:id="977" w:name="_Toc30691"/>
      <w:r>
        <w:rPr>
          <w:rFonts w:hint="eastAsia" w:ascii="宋体" w:hAnsi="宋体" w:eastAsia="宋体" w:cs="宋体"/>
          <w:b/>
          <w:bCs/>
          <w:sz w:val="24"/>
          <w:szCs w:val="24"/>
        </w:rPr>
        <w:t>2.2 技术规范</w:t>
      </w:r>
      <w:bookmarkEnd w:id="967"/>
      <w:bookmarkEnd w:id="968"/>
      <w:bookmarkEnd w:id="969"/>
      <w:bookmarkEnd w:id="970"/>
      <w:bookmarkEnd w:id="971"/>
      <w:bookmarkEnd w:id="972"/>
      <w:bookmarkEnd w:id="973"/>
      <w:bookmarkEnd w:id="974"/>
      <w:bookmarkEnd w:id="975"/>
      <w:bookmarkEnd w:id="976"/>
      <w:bookmarkEnd w:id="977"/>
    </w:p>
    <w:p w14:paraId="11406671">
      <w:pPr>
        <w:spacing w:line="360" w:lineRule="auto"/>
        <w:ind w:firstLine="480" w:firstLineChars="200"/>
        <w:rPr>
          <w:rFonts w:hint="eastAsia" w:ascii="宋体" w:hAnsi="宋体" w:eastAsia="宋体" w:cs="宋体"/>
          <w:sz w:val="24"/>
          <w:szCs w:val="24"/>
        </w:rPr>
      </w:pPr>
      <w:bookmarkStart w:id="978" w:name="_Toc4133"/>
      <w:bookmarkStart w:id="979" w:name="_Toc10170"/>
      <w:bookmarkStart w:id="980" w:name="_Toc9161"/>
      <w:bookmarkStart w:id="981" w:name="_Toc23803"/>
      <w:bookmarkStart w:id="982" w:name="_Toc4384"/>
      <w:bookmarkStart w:id="983" w:name="_Toc12412"/>
      <w:bookmarkStart w:id="984" w:name="_Toc10746"/>
      <w:bookmarkStart w:id="985" w:name="_Toc1803"/>
      <w:bookmarkStart w:id="986" w:name="_Toc27945"/>
      <w:bookmarkStart w:id="987" w:name="_Toc13673"/>
      <w:r>
        <w:rPr>
          <w:rFonts w:hint="eastAsia" w:ascii="宋体" w:hAnsi="宋体" w:eastAsia="宋体" w:cs="宋体"/>
          <w:sz w:val="24"/>
          <w:szCs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B00D794">
      <w:pPr>
        <w:spacing w:line="360" w:lineRule="auto"/>
        <w:ind w:firstLine="482" w:firstLineChars="200"/>
        <w:outlineLvl w:val="1"/>
        <w:rPr>
          <w:rFonts w:hint="eastAsia" w:ascii="宋体" w:hAnsi="宋体" w:eastAsia="宋体" w:cs="宋体"/>
          <w:b/>
          <w:bCs/>
          <w:sz w:val="24"/>
          <w:szCs w:val="24"/>
        </w:rPr>
      </w:pPr>
      <w:bookmarkStart w:id="988" w:name="_Toc30087"/>
      <w:r>
        <w:rPr>
          <w:rFonts w:hint="eastAsia" w:ascii="宋体" w:hAnsi="宋体" w:eastAsia="宋体" w:cs="宋体"/>
          <w:b/>
          <w:bCs/>
          <w:sz w:val="24"/>
          <w:szCs w:val="24"/>
        </w:rPr>
        <w:t>2.3 知识产权</w:t>
      </w:r>
      <w:bookmarkEnd w:id="978"/>
      <w:bookmarkEnd w:id="979"/>
      <w:bookmarkEnd w:id="980"/>
      <w:bookmarkEnd w:id="981"/>
      <w:bookmarkEnd w:id="982"/>
      <w:bookmarkEnd w:id="983"/>
      <w:bookmarkEnd w:id="984"/>
      <w:bookmarkEnd w:id="985"/>
      <w:bookmarkEnd w:id="986"/>
      <w:bookmarkEnd w:id="987"/>
      <w:bookmarkEnd w:id="988"/>
    </w:p>
    <w:p w14:paraId="7ED858D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31B2803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2.3.2具有知识产权的计算机软件等货物的知识产权归属，详见</w:t>
      </w:r>
      <w:r>
        <w:rPr>
          <w:rFonts w:hint="eastAsia" w:ascii="宋体" w:hAnsi="宋体" w:eastAsia="宋体" w:cs="宋体"/>
          <w:sz w:val="24"/>
          <w:szCs w:val="24"/>
          <w:u w:val="single"/>
        </w:rPr>
        <w:t>合同专用条款</w:t>
      </w:r>
      <w:r>
        <w:rPr>
          <w:rFonts w:hint="eastAsia" w:ascii="宋体" w:hAnsi="宋体" w:eastAsia="宋体" w:cs="宋体"/>
          <w:sz w:val="24"/>
          <w:szCs w:val="24"/>
        </w:rPr>
        <w:t>。</w:t>
      </w:r>
    </w:p>
    <w:p w14:paraId="0D10CBBC">
      <w:pPr>
        <w:spacing w:line="360" w:lineRule="auto"/>
        <w:ind w:firstLine="482" w:firstLineChars="200"/>
        <w:outlineLvl w:val="1"/>
        <w:rPr>
          <w:rFonts w:hint="eastAsia" w:ascii="宋体" w:hAnsi="宋体" w:eastAsia="宋体" w:cs="宋体"/>
          <w:b/>
          <w:bCs/>
          <w:sz w:val="24"/>
          <w:szCs w:val="24"/>
        </w:rPr>
      </w:pPr>
      <w:bookmarkStart w:id="989" w:name="_Toc26940"/>
      <w:bookmarkStart w:id="990" w:name="_Toc29149"/>
      <w:bookmarkStart w:id="991" w:name="_Toc4194"/>
      <w:bookmarkStart w:id="992" w:name="_Toc11932"/>
      <w:r>
        <w:rPr>
          <w:rFonts w:hint="eastAsia" w:ascii="宋体" w:hAnsi="宋体" w:eastAsia="宋体" w:cs="宋体"/>
          <w:b/>
          <w:bCs/>
          <w:sz w:val="24"/>
          <w:szCs w:val="24"/>
        </w:rPr>
        <w:t>2.4 包装和装运</w:t>
      </w:r>
      <w:bookmarkEnd w:id="989"/>
      <w:bookmarkEnd w:id="990"/>
      <w:bookmarkEnd w:id="991"/>
      <w:bookmarkEnd w:id="992"/>
    </w:p>
    <w:p w14:paraId="56830FF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2.4.1除合同专用条款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62AE01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2.4.2 装运货物的要求和通知，详见</w:t>
      </w:r>
      <w:r>
        <w:rPr>
          <w:rFonts w:hint="eastAsia" w:ascii="宋体" w:hAnsi="宋体" w:eastAsia="宋体" w:cs="宋体"/>
          <w:sz w:val="24"/>
          <w:szCs w:val="24"/>
          <w:u w:val="single"/>
        </w:rPr>
        <w:t>合同专用条款</w:t>
      </w:r>
      <w:r>
        <w:rPr>
          <w:rFonts w:hint="eastAsia" w:ascii="宋体" w:hAnsi="宋体" w:eastAsia="宋体" w:cs="宋体"/>
          <w:sz w:val="24"/>
          <w:szCs w:val="24"/>
        </w:rPr>
        <w:t>。</w:t>
      </w:r>
    </w:p>
    <w:p w14:paraId="1BB4EA92">
      <w:pPr>
        <w:spacing w:line="360" w:lineRule="auto"/>
        <w:ind w:firstLine="482" w:firstLineChars="200"/>
        <w:outlineLvl w:val="1"/>
        <w:rPr>
          <w:rFonts w:hint="eastAsia" w:ascii="宋体" w:hAnsi="宋体" w:eastAsia="宋体" w:cs="宋体"/>
          <w:b/>
          <w:bCs/>
          <w:sz w:val="24"/>
          <w:szCs w:val="24"/>
        </w:rPr>
      </w:pPr>
      <w:bookmarkStart w:id="993" w:name="_Toc1404"/>
      <w:bookmarkStart w:id="994" w:name="_Toc31211"/>
      <w:bookmarkStart w:id="995" w:name="_Toc21189"/>
      <w:bookmarkStart w:id="996" w:name="_Toc10477"/>
      <w:r>
        <w:rPr>
          <w:rFonts w:hint="eastAsia" w:ascii="宋体" w:hAnsi="宋体" w:eastAsia="宋体" w:cs="宋体"/>
          <w:b/>
          <w:bCs/>
          <w:sz w:val="24"/>
          <w:szCs w:val="24"/>
        </w:rPr>
        <w:t>2.5履约检查和问题反馈</w:t>
      </w:r>
      <w:bookmarkEnd w:id="993"/>
      <w:bookmarkEnd w:id="994"/>
      <w:bookmarkEnd w:id="995"/>
      <w:bookmarkEnd w:id="996"/>
    </w:p>
    <w:p w14:paraId="7928E3B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2.5.1甲方有权在其认为必要时，对乙方是否能够按照合同约定提供服务进行履约检查，以确保乙方所提供的服务能够依约满足甲方之项目需求，但不得因履约检查妨碍乙方的正常工作，乙方应予积极配合；</w:t>
      </w:r>
    </w:p>
    <w:p w14:paraId="35C7CD8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2.5.2 合同履行期间，甲方有权将履行过程中出现的问题反馈给乙方，双方当事人应以书面形式约定需要完善和改进的内容。</w:t>
      </w:r>
    </w:p>
    <w:p w14:paraId="4B798871">
      <w:pPr>
        <w:spacing w:line="360" w:lineRule="auto"/>
        <w:ind w:firstLine="482" w:firstLineChars="200"/>
        <w:outlineLvl w:val="1"/>
        <w:rPr>
          <w:rFonts w:hint="eastAsia" w:ascii="宋体" w:hAnsi="宋体" w:eastAsia="宋体" w:cs="宋体"/>
          <w:b/>
          <w:bCs/>
          <w:sz w:val="24"/>
          <w:szCs w:val="24"/>
        </w:rPr>
      </w:pPr>
      <w:bookmarkStart w:id="997" w:name="_Toc18990"/>
      <w:bookmarkStart w:id="998" w:name="_Toc16163"/>
      <w:bookmarkStart w:id="999" w:name="_Toc13154"/>
      <w:bookmarkStart w:id="1000" w:name="_Toc13467"/>
      <w:bookmarkStart w:id="1001" w:name="_Toc6801"/>
      <w:bookmarkStart w:id="1002" w:name="_Toc14174"/>
      <w:bookmarkStart w:id="1003" w:name="_Toc27791"/>
      <w:bookmarkStart w:id="1004" w:name="_Toc30507"/>
      <w:bookmarkStart w:id="1005" w:name="_Toc22436"/>
      <w:bookmarkStart w:id="1006" w:name="_Toc21690"/>
      <w:bookmarkStart w:id="1007" w:name="_Toc21308"/>
      <w:r>
        <w:rPr>
          <w:rFonts w:hint="eastAsia" w:ascii="宋体" w:hAnsi="宋体" w:eastAsia="宋体" w:cs="宋体"/>
          <w:b/>
          <w:bCs/>
          <w:sz w:val="24"/>
          <w:szCs w:val="24"/>
        </w:rPr>
        <w:t>2.6技术资料和保密义务</w:t>
      </w:r>
      <w:bookmarkEnd w:id="997"/>
      <w:bookmarkEnd w:id="998"/>
      <w:bookmarkEnd w:id="999"/>
      <w:bookmarkEnd w:id="1000"/>
      <w:bookmarkEnd w:id="1001"/>
      <w:bookmarkEnd w:id="1002"/>
      <w:bookmarkEnd w:id="1003"/>
      <w:bookmarkEnd w:id="1004"/>
      <w:bookmarkEnd w:id="1005"/>
      <w:bookmarkEnd w:id="1006"/>
      <w:bookmarkEnd w:id="1007"/>
    </w:p>
    <w:p w14:paraId="4A3AF52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2.6.1 乙方有权依据合同约定和项目需要，向甲方了解有关情况，调阅有关资料等，甲方应予积极配合；</w:t>
      </w:r>
    </w:p>
    <w:p w14:paraId="10BA151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2.6.2 乙方有义务妥善保管和保护由甲方提供的前款信息和资料等；</w:t>
      </w:r>
    </w:p>
    <w:p w14:paraId="1661F7C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F7834B7">
      <w:pPr>
        <w:spacing w:line="360" w:lineRule="auto"/>
        <w:ind w:firstLine="482" w:firstLineChars="200"/>
        <w:outlineLvl w:val="1"/>
        <w:rPr>
          <w:rFonts w:hint="eastAsia" w:ascii="宋体" w:hAnsi="宋体" w:eastAsia="宋体" w:cs="宋体"/>
          <w:b/>
          <w:bCs/>
          <w:sz w:val="24"/>
          <w:szCs w:val="24"/>
        </w:rPr>
      </w:pPr>
      <w:bookmarkStart w:id="1008" w:name="_Toc27714"/>
      <w:bookmarkStart w:id="1009" w:name="_Toc12301"/>
      <w:bookmarkStart w:id="1010" w:name="_Toc2481"/>
      <w:bookmarkStart w:id="1011" w:name="_Toc22669"/>
      <w:bookmarkStart w:id="1012" w:name="_Toc5307"/>
      <w:bookmarkStart w:id="1013" w:name="_Toc19069"/>
      <w:bookmarkStart w:id="1014" w:name="_Toc22040"/>
      <w:r>
        <w:rPr>
          <w:rFonts w:hint="eastAsia" w:ascii="宋体" w:hAnsi="宋体" w:eastAsia="宋体" w:cs="宋体"/>
          <w:b/>
          <w:bCs/>
          <w:sz w:val="24"/>
          <w:szCs w:val="24"/>
        </w:rPr>
        <w:t>2.7质量保证</w:t>
      </w:r>
      <w:bookmarkEnd w:id="1008"/>
      <w:bookmarkEnd w:id="1009"/>
      <w:bookmarkEnd w:id="1010"/>
      <w:bookmarkEnd w:id="1011"/>
      <w:bookmarkEnd w:id="1012"/>
      <w:bookmarkEnd w:id="1013"/>
      <w:bookmarkEnd w:id="1014"/>
    </w:p>
    <w:p w14:paraId="6F627E9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2.7.1 乙方应建立和完善履行合同的内部质量保证体系，并提供相关内部规章制度给甲方，以便甲方进行监督检查；</w:t>
      </w:r>
    </w:p>
    <w:p w14:paraId="5A74715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2.7.2 乙方应保证履行合同的人员数量和素质、软件和硬件设备的配置、场地、环境和设施等满足全面履行合同的要求，并应接受甲方的监督检查。</w:t>
      </w:r>
    </w:p>
    <w:p w14:paraId="7F01A0BD">
      <w:pPr>
        <w:spacing w:line="360" w:lineRule="auto"/>
        <w:ind w:firstLine="482" w:firstLineChars="200"/>
        <w:outlineLvl w:val="1"/>
        <w:rPr>
          <w:rFonts w:hint="eastAsia" w:ascii="宋体" w:hAnsi="宋体" w:eastAsia="宋体" w:cs="宋体"/>
          <w:b/>
          <w:bCs/>
          <w:sz w:val="24"/>
          <w:szCs w:val="24"/>
        </w:rPr>
      </w:pPr>
      <w:bookmarkStart w:id="1015" w:name="_Toc17244"/>
      <w:bookmarkStart w:id="1016" w:name="_Toc10042"/>
      <w:r>
        <w:rPr>
          <w:rFonts w:hint="eastAsia" w:ascii="宋体" w:hAnsi="宋体" w:eastAsia="宋体" w:cs="宋体"/>
          <w:b/>
          <w:bCs/>
          <w:sz w:val="24"/>
          <w:szCs w:val="24"/>
        </w:rPr>
        <w:t>2.8货物的风险负担</w:t>
      </w:r>
      <w:bookmarkEnd w:id="1015"/>
      <w:bookmarkEnd w:id="1016"/>
    </w:p>
    <w:p w14:paraId="5050DB8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货物或者在途货物或者交付给第一承运人后的货物毁损、灭失的风险负担详见</w:t>
      </w:r>
      <w:r>
        <w:rPr>
          <w:rFonts w:hint="eastAsia" w:ascii="宋体" w:hAnsi="宋体" w:eastAsia="宋体" w:cs="宋体"/>
          <w:sz w:val="24"/>
          <w:szCs w:val="24"/>
          <w:u w:val="single"/>
        </w:rPr>
        <w:t>合同专用条款</w:t>
      </w:r>
      <w:r>
        <w:rPr>
          <w:rFonts w:hint="eastAsia" w:ascii="宋体" w:hAnsi="宋体" w:eastAsia="宋体" w:cs="宋体"/>
          <w:sz w:val="24"/>
          <w:szCs w:val="24"/>
        </w:rPr>
        <w:t>。</w:t>
      </w:r>
    </w:p>
    <w:p w14:paraId="360FDD6F">
      <w:pPr>
        <w:spacing w:line="360" w:lineRule="auto"/>
        <w:ind w:firstLine="482" w:firstLineChars="200"/>
        <w:outlineLvl w:val="1"/>
        <w:rPr>
          <w:rFonts w:hint="eastAsia" w:ascii="宋体" w:hAnsi="宋体" w:eastAsia="宋体" w:cs="宋体"/>
          <w:b/>
          <w:bCs/>
          <w:sz w:val="24"/>
          <w:szCs w:val="24"/>
        </w:rPr>
      </w:pPr>
      <w:bookmarkStart w:id="1017" w:name="_Toc24939"/>
      <w:bookmarkStart w:id="1018" w:name="_Toc10440"/>
      <w:bookmarkStart w:id="1019" w:name="_Toc2673"/>
      <w:bookmarkStart w:id="1020" w:name="_Toc22267"/>
      <w:bookmarkStart w:id="1021" w:name="_Toc29767"/>
      <w:bookmarkStart w:id="1022" w:name="_Toc4146"/>
      <w:bookmarkStart w:id="1023" w:name="_Toc21177"/>
      <w:r>
        <w:rPr>
          <w:rFonts w:hint="eastAsia" w:ascii="宋体" w:hAnsi="宋体" w:eastAsia="宋体" w:cs="宋体"/>
          <w:b/>
          <w:bCs/>
          <w:sz w:val="24"/>
          <w:szCs w:val="24"/>
        </w:rPr>
        <w:t>2.9延迟履行</w:t>
      </w:r>
      <w:bookmarkEnd w:id="1017"/>
      <w:bookmarkEnd w:id="1018"/>
      <w:bookmarkEnd w:id="1019"/>
      <w:bookmarkEnd w:id="1020"/>
      <w:bookmarkEnd w:id="1021"/>
      <w:bookmarkEnd w:id="1022"/>
      <w:bookmarkEnd w:id="1023"/>
    </w:p>
    <w:p w14:paraId="01F2D98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7EBA63C1">
      <w:pPr>
        <w:spacing w:line="360" w:lineRule="auto"/>
        <w:ind w:firstLine="482" w:firstLineChars="200"/>
        <w:outlineLvl w:val="1"/>
        <w:rPr>
          <w:rFonts w:hint="eastAsia" w:ascii="宋体" w:hAnsi="宋体" w:eastAsia="宋体" w:cs="宋体"/>
          <w:b/>
          <w:bCs/>
          <w:sz w:val="24"/>
          <w:szCs w:val="24"/>
        </w:rPr>
      </w:pPr>
      <w:bookmarkStart w:id="1024" w:name="_Toc10611"/>
      <w:bookmarkStart w:id="1025" w:name="_Toc16214"/>
      <w:bookmarkStart w:id="1026" w:name="_Toc3729"/>
      <w:bookmarkStart w:id="1027" w:name="_Toc30048"/>
      <w:bookmarkStart w:id="1028" w:name="_Toc9483"/>
      <w:bookmarkStart w:id="1029" w:name="_Toc2914"/>
      <w:bookmarkStart w:id="1030" w:name="_Toc12749"/>
      <w:r>
        <w:rPr>
          <w:rFonts w:hint="eastAsia" w:ascii="宋体" w:hAnsi="宋体" w:eastAsia="宋体" w:cs="宋体"/>
          <w:b/>
          <w:bCs/>
          <w:sz w:val="24"/>
          <w:szCs w:val="24"/>
        </w:rPr>
        <w:t>2.10合同变更</w:t>
      </w:r>
      <w:bookmarkEnd w:id="1024"/>
      <w:bookmarkEnd w:id="1025"/>
      <w:bookmarkEnd w:id="1026"/>
      <w:bookmarkEnd w:id="1027"/>
      <w:bookmarkEnd w:id="1028"/>
      <w:bookmarkEnd w:id="1029"/>
      <w:bookmarkEnd w:id="1030"/>
    </w:p>
    <w:p w14:paraId="16C416F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2.10.1 双方当事人协商一致，可以签订书面补充合同的形式变更合同，但不得违背采购文件确定的事项，且如果系追加与合同标的相同的服务的，那么所有补充合同的采购金额不得超过原合同价的10%；</w:t>
      </w:r>
    </w:p>
    <w:p w14:paraId="36EF42B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2.10.2 合同继续履行将损害国家利益和社会公共利益的，双方当事人应当以书面形式变更合同。有过错的一方应当承担赔偿责任，双方当事人都有过错的，各自承担相应的责任。</w:t>
      </w:r>
    </w:p>
    <w:p w14:paraId="1428675F">
      <w:pPr>
        <w:spacing w:line="360" w:lineRule="auto"/>
        <w:ind w:firstLine="482" w:firstLineChars="200"/>
        <w:outlineLvl w:val="1"/>
        <w:rPr>
          <w:rFonts w:hint="eastAsia" w:ascii="宋体" w:hAnsi="宋体" w:eastAsia="宋体" w:cs="宋体"/>
          <w:b/>
          <w:bCs/>
          <w:sz w:val="24"/>
          <w:szCs w:val="24"/>
        </w:rPr>
      </w:pPr>
      <w:bookmarkStart w:id="1031" w:name="_Toc30634"/>
      <w:bookmarkStart w:id="1032" w:name="_Toc3584"/>
      <w:bookmarkStart w:id="1033" w:name="_Toc30276"/>
      <w:bookmarkStart w:id="1034" w:name="_Toc42"/>
      <w:bookmarkStart w:id="1035" w:name="_Toc11047"/>
      <w:bookmarkStart w:id="1036" w:name="_Toc21830"/>
      <w:bookmarkStart w:id="1037" w:name="_Toc10663"/>
      <w:bookmarkStart w:id="1038" w:name="_Toc29450"/>
      <w:bookmarkStart w:id="1039" w:name="_Toc24612"/>
      <w:bookmarkStart w:id="1040" w:name="_Toc26689"/>
      <w:bookmarkStart w:id="1041" w:name="_Toc23368"/>
      <w:r>
        <w:rPr>
          <w:rFonts w:hint="eastAsia" w:ascii="宋体" w:hAnsi="宋体" w:eastAsia="宋体" w:cs="宋体"/>
          <w:b/>
          <w:bCs/>
          <w:sz w:val="24"/>
          <w:szCs w:val="24"/>
        </w:rPr>
        <w:t>2.11合同转让和分包</w:t>
      </w:r>
      <w:bookmarkEnd w:id="1031"/>
      <w:bookmarkEnd w:id="1032"/>
      <w:bookmarkEnd w:id="1033"/>
      <w:bookmarkEnd w:id="1034"/>
      <w:bookmarkEnd w:id="1035"/>
      <w:bookmarkEnd w:id="1036"/>
      <w:bookmarkEnd w:id="1037"/>
      <w:bookmarkEnd w:id="1038"/>
      <w:bookmarkEnd w:id="1039"/>
      <w:bookmarkEnd w:id="1040"/>
      <w:bookmarkEnd w:id="1041"/>
    </w:p>
    <w:p w14:paraId="5054476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E5FCE23">
      <w:pPr>
        <w:spacing w:line="360" w:lineRule="auto"/>
        <w:ind w:firstLine="482" w:firstLineChars="200"/>
        <w:outlineLvl w:val="1"/>
        <w:rPr>
          <w:rFonts w:hint="eastAsia" w:ascii="宋体" w:hAnsi="宋体" w:eastAsia="宋体" w:cs="宋体"/>
          <w:b/>
          <w:bCs/>
          <w:sz w:val="24"/>
          <w:szCs w:val="24"/>
        </w:rPr>
      </w:pPr>
      <w:bookmarkStart w:id="1042" w:name="_Toc4720"/>
      <w:bookmarkStart w:id="1043" w:name="_Toc18064"/>
      <w:bookmarkStart w:id="1044" w:name="_Toc8630"/>
      <w:bookmarkStart w:id="1045" w:name="_Toc32494"/>
      <w:bookmarkStart w:id="1046" w:name="_Toc25571"/>
      <w:bookmarkStart w:id="1047" w:name="_Toc17551"/>
      <w:bookmarkStart w:id="1048" w:name="_Toc14371"/>
      <w:bookmarkStart w:id="1049" w:name="_Toc27962"/>
      <w:bookmarkStart w:id="1050" w:name="_Toc10500"/>
      <w:bookmarkStart w:id="1051" w:name="_Toc26633"/>
      <w:bookmarkStart w:id="1052" w:name="_Toc28851"/>
      <w:r>
        <w:rPr>
          <w:rFonts w:hint="eastAsia" w:ascii="宋体" w:hAnsi="宋体" w:eastAsia="宋体" w:cs="宋体"/>
          <w:b/>
          <w:bCs/>
          <w:sz w:val="24"/>
          <w:szCs w:val="24"/>
        </w:rPr>
        <w:t>2.12不可抗力</w:t>
      </w:r>
      <w:bookmarkEnd w:id="1042"/>
      <w:bookmarkEnd w:id="1043"/>
      <w:bookmarkEnd w:id="1044"/>
      <w:bookmarkEnd w:id="1045"/>
      <w:bookmarkEnd w:id="1046"/>
      <w:bookmarkEnd w:id="1047"/>
      <w:bookmarkEnd w:id="1048"/>
      <w:bookmarkEnd w:id="1049"/>
      <w:bookmarkEnd w:id="1050"/>
      <w:bookmarkEnd w:id="1051"/>
      <w:bookmarkEnd w:id="1052"/>
    </w:p>
    <w:p w14:paraId="5E4484A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2.12.1如果任何一方遭遇法律规定的不可抗力，致使合同履行受阻时，履行合同的期限应予延长，延长的期限应相当于不可抗力所影响的时间；</w:t>
      </w:r>
    </w:p>
    <w:p w14:paraId="1E9C3F9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2.12.2 因不可抗力致使不能实现合同目的的，当事人可以解除合同；</w:t>
      </w:r>
    </w:p>
    <w:p w14:paraId="7A3780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2.12.3 因不可抗力致使合同有变更必要的，双方当事人应在</w:t>
      </w:r>
      <w:r>
        <w:rPr>
          <w:rFonts w:hint="eastAsia" w:ascii="宋体" w:hAnsi="宋体" w:eastAsia="宋体" w:cs="宋体"/>
          <w:b/>
          <w:bCs/>
          <w:i/>
          <w:iCs/>
          <w:sz w:val="24"/>
          <w:szCs w:val="24"/>
          <w:u w:val="single"/>
        </w:rPr>
        <w:t>5个工作日</w:t>
      </w:r>
      <w:r>
        <w:rPr>
          <w:rFonts w:hint="eastAsia" w:ascii="宋体" w:hAnsi="宋体" w:eastAsia="宋体" w:cs="宋体"/>
          <w:sz w:val="24"/>
          <w:szCs w:val="24"/>
        </w:rPr>
        <w:t>内以书面形式变更合同；</w:t>
      </w:r>
    </w:p>
    <w:p w14:paraId="5DE9767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2.12.4受不可抗力影响的一方在不可抗力发生后，应在</w:t>
      </w:r>
      <w:r>
        <w:rPr>
          <w:rFonts w:hint="eastAsia" w:ascii="宋体" w:hAnsi="宋体" w:eastAsia="宋体" w:cs="宋体"/>
          <w:b/>
          <w:bCs/>
          <w:i/>
          <w:iCs/>
          <w:sz w:val="24"/>
          <w:szCs w:val="24"/>
          <w:u w:val="single"/>
        </w:rPr>
        <w:t>3个工作日</w:t>
      </w:r>
      <w:r>
        <w:rPr>
          <w:rFonts w:hint="eastAsia" w:ascii="宋体" w:hAnsi="宋体" w:eastAsia="宋体" w:cs="宋体"/>
          <w:sz w:val="24"/>
          <w:szCs w:val="24"/>
        </w:rPr>
        <w:t>内以书面形式通知对方当事人，并在</w:t>
      </w:r>
      <w:r>
        <w:rPr>
          <w:rFonts w:hint="eastAsia" w:ascii="宋体" w:hAnsi="宋体" w:eastAsia="宋体" w:cs="宋体"/>
          <w:b/>
          <w:bCs/>
          <w:i/>
          <w:iCs/>
          <w:sz w:val="24"/>
          <w:szCs w:val="24"/>
          <w:u w:val="single"/>
        </w:rPr>
        <w:t>5个工作日</w:t>
      </w:r>
      <w:r>
        <w:rPr>
          <w:rFonts w:hint="eastAsia" w:ascii="宋体" w:hAnsi="宋体" w:eastAsia="宋体" w:cs="宋体"/>
          <w:sz w:val="24"/>
          <w:szCs w:val="24"/>
        </w:rPr>
        <w:t>内，将有关部门出具的证明文件送达对方当事人。</w:t>
      </w:r>
    </w:p>
    <w:p w14:paraId="52D69BE8">
      <w:pPr>
        <w:spacing w:line="360" w:lineRule="auto"/>
        <w:ind w:firstLine="482" w:firstLineChars="200"/>
        <w:outlineLvl w:val="1"/>
        <w:rPr>
          <w:rFonts w:hint="eastAsia" w:ascii="宋体" w:hAnsi="宋体" w:eastAsia="宋体" w:cs="宋体"/>
          <w:b/>
          <w:bCs/>
          <w:sz w:val="24"/>
          <w:szCs w:val="24"/>
        </w:rPr>
      </w:pPr>
      <w:bookmarkStart w:id="1053" w:name="_Toc12231"/>
      <w:bookmarkStart w:id="1054" w:name="_Toc14115"/>
      <w:bookmarkStart w:id="1055" w:name="_Toc20962"/>
      <w:bookmarkStart w:id="1056" w:name="_Toc3638"/>
      <w:bookmarkStart w:id="1057" w:name="_Toc23854"/>
      <w:bookmarkStart w:id="1058" w:name="_Toc15042"/>
      <w:bookmarkStart w:id="1059" w:name="_Toc914"/>
      <w:bookmarkStart w:id="1060" w:name="_Toc9467"/>
      <w:bookmarkStart w:id="1061" w:name="_Toc24465"/>
      <w:bookmarkStart w:id="1062" w:name="_Toc25783"/>
      <w:r>
        <w:rPr>
          <w:rFonts w:hint="eastAsia" w:ascii="宋体" w:hAnsi="宋体" w:eastAsia="宋体" w:cs="宋体"/>
          <w:b/>
          <w:bCs/>
          <w:sz w:val="24"/>
          <w:szCs w:val="24"/>
        </w:rPr>
        <w:t>2.13税费</w:t>
      </w:r>
      <w:bookmarkEnd w:id="1053"/>
      <w:bookmarkEnd w:id="1054"/>
      <w:bookmarkEnd w:id="1055"/>
      <w:bookmarkEnd w:id="1056"/>
      <w:bookmarkEnd w:id="1057"/>
      <w:bookmarkEnd w:id="1058"/>
      <w:bookmarkEnd w:id="1059"/>
      <w:bookmarkEnd w:id="1060"/>
      <w:bookmarkEnd w:id="1061"/>
      <w:bookmarkEnd w:id="1062"/>
    </w:p>
    <w:p w14:paraId="67EF9ED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与合同有关的一切税费，均按照中华人民共和国法律的相关规定缴纳。</w:t>
      </w:r>
    </w:p>
    <w:p w14:paraId="6BD3A913">
      <w:pPr>
        <w:spacing w:line="360" w:lineRule="auto"/>
        <w:ind w:firstLine="482" w:firstLineChars="200"/>
        <w:outlineLvl w:val="1"/>
        <w:rPr>
          <w:rFonts w:hint="eastAsia" w:ascii="宋体" w:hAnsi="宋体" w:eastAsia="宋体" w:cs="宋体"/>
          <w:b/>
          <w:bCs/>
          <w:sz w:val="24"/>
          <w:szCs w:val="24"/>
        </w:rPr>
      </w:pPr>
      <w:bookmarkStart w:id="1063" w:name="_Toc26476"/>
      <w:bookmarkStart w:id="1064" w:name="_Toc7315"/>
      <w:bookmarkStart w:id="1065" w:name="_Toc26883"/>
      <w:bookmarkStart w:id="1066" w:name="_Toc5302"/>
      <w:bookmarkStart w:id="1067" w:name="_Toc30105"/>
      <w:bookmarkStart w:id="1068" w:name="_Toc14814"/>
      <w:bookmarkStart w:id="1069" w:name="_Toc26678"/>
      <w:bookmarkStart w:id="1070" w:name="_Toc25525"/>
      <w:bookmarkStart w:id="1071" w:name="_Toc21593"/>
      <w:bookmarkStart w:id="1072" w:name="_Toc27164"/>
      <w:r>
        <w:rPr>
          <w:rFonts w:hint="eastAsia" w:ascii="宋体" w:hAnsi="宋体" w:eastAsia="宋体" w:cs="宋体"/>
          <w:b/>
          <w:bCs/>
          <w:sz w:val="24"/>
          <w:szCs w:val="24"/>
        </w:rPr>
        <w:t>2.14乙方破产</w:t>
      </w:r>
      <w:bookmarkEnd w:id="1063"/>
      <w:bookmarkEnd w:id="1064"/>
      <w:bookmarkEnd w:id="1065"/>
      <w:bookmarkEnd w:id="1066"/>
      <w:bookmarkEnd w:id="1067"/>
      <w:bookmarkEnd w:id="1068"/>
      <w:bookmarkEnd w:id="1069"/>
      <w:bookmarkEnd w:id="1070"/>
      <w:bookmarkEnd w:id="1071"/>
      <w:bookmarkEnd w:id="1072"/>
    </w:p>
    <w:p w14:paraId="1D6C1C7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41D3276">
      <w:pPr>
        <w:spacing w:line="360" w:lineRule="auto"/>
        <w:ind w:firstLine="482" w:firstLineChars="200"/>
        <w:outlineLvl w:val="1"/>
        <w:rPr>
          <w:rFonts w:hint="eastAsia" w:ascii="宋体" w:hAnsi="宋体" w:eastAsia="宋体" w:cs="宋体"/>
          <w:b/>
          <w:bCs/>
          <w:sz w:val="24"/>
          <w:szCs w:val="24"/>
        </w:rPr>
      </w:pPr>
      <w:bookmarkStart w:id="1073" w:name="_Toc18508"/>
      <w:bookmarkStart w:id="1074" w:name="_Toc24614"/>
      <w:bookmarkStart w:id="1075" w:name="_Toc9735"/>
      <w:bookmarkStart w:id="1076" w:name="_Toc3791"/>
      <w:bookmarkStart w:id="1077" w:name="_Toc10235"/>
      <w:bookmarkStart w:id="1078" w:name="_Toc2016"/>
      <w:bookmarkStart w:id="1079" w:name="_Toc24189"/>
      <w:bookmarkStart w:id="1080" w:name="_Toc23323"/>
      <w:bookmarkStart w:id="1081" w:name="_Toc1123"/>
      <w:r>
        <w:rPr>
          <w:rFonts w:hint="eastAsia" w:ascii="宋体" w:hAnsi="宋体" w:eastAsia="宋体" w:cs="宋体"/>
          <w:b/>
          <w:bCs/>
          <w:sz w:val="24"/>
          <w:szCs w:val="24"/>
        </w:rPr>
        <w:t>2.15合同中止、终止</w:t>
      </w:r>
      <w:bookmarkEnd w:id="1073"/>
      <w:bookmarkEnd w:id="1074"/>
      <w:bookmarkEnd w:id="1075"/>
      <w:bookmarkEnd w:id="1076"/>
      <w:bookmarkEnd w:id="1077"/>
      <w:bookmarkEnd w:id="1078"/>
      <w:bookmarkEnd w:id="1079"/>
      <w:bookmarkEnd w:id="1080"/>
      <w:bookmarkEnd w:id="1081"/>
    </w:p>
    <w:p w14:paraId="41E843D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2.15.1 双方当事人不得擅自中止或者终止合同；</w:t>
      </w:r>
    </w:p>
    <w:p w14:paraId="2CEDB3D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2.15.2合同继续履行将损害国家利益和社会公共利益的，双方当事人应当中止或者终止合同。有过错的一方应当承担赔偿责任，双方当事人都有过错的，各自承担相应的责任。</w:t>
      </w:r>
    </w:p>
    <w:p w14:paraId="08099436">
      <w:pPr>
        <w:spacing w:line="360" w:lineRule="auto"/>
        <w:ind w:firstLine="482" w:firstLineChars="200"/>
        <w:outlineLvl w:val="1"/>
        <w:rPr>
          <w:rFonts w:hint="eastAsia" w:ascii="宋体" w:hAnsi="宋体" w:eastAsia="宋体" w:cs="宋体"/>
          <w:b/>
          <w:bCs/>
          <w:sz w:val="24"/>
          <w:szCs w:val="24"/>
        </w:rPr>
      </w:pPr>
      <w:bookmarkStart w:id="1082" w:name="_Toc27931"/>
      <w:bookmarkStart w:id="1083" w:name="_Toc1969"/>
      <w:bookmarkStart w:id="1084" w:name="_Toc4661"/>
      <w:bookmarkStart w:id="1085" w:name="_Toc17363"/>
      <w:bookmarkStart w:id="1086" w:name="_Toc31753"/>
      <w:bookmarkStart w:id="1087" w:name="_Toc13139"/>
      <w:bookmarkStart w:id="1088" w:name="_Toc28282"/>
      <w:bookmarkStart w:id="1089" w:name="_Toc14525"/>
      <w:bookmarkStart w:id="1090" w:name="_Toc21927"/>
      <w:r>
        <w:rPr>
          <w:rFonts w:hint="eastAsia" w:ascii="宋体" w:hAnsi="宋体" w:eastAsia="宋体" w:cs="宋体"/>
          <w:b/>
          <w:bCs/>
          <w:sz w:val="24"/>
          <w:szCs w:val="24"/>
        </w:rPr>
        <w:t>2.16检验和验收</w:t>
      </w:r>
      <w:bookmarkEnd w:id="1082"/>
      <w:bookmarkEnd w:id="1083"/>
      <w:bookmarkEnd w:id="1084"/>
      <w:bookmarkEnd w:id="1085"/>
      <w:bookmarkEnd w:id="1086"/>
      <w:bookmarkEnd w:id="1087"/>
      <w:bookmarkEnd w:id="1088"/>
      <w:bookmarkEnd w:id="1089"/>
      <w:bookmarkEnd w:id="1090"/>
    </w:p>
    <w:p w14:paraId="3436BB8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2.16.1货物交付前，乙方应对货物的质量、数量等方面进行详细、全面的检验，并向甲方出具证明货物符合合同约定的文件；货物交付时，乙方在</w:t>
      </w:r>
      <w:r>
        <w:rPr>
          <w:rFonts w:hint="eastAsia" w:ascii="宋体" w:hAnsi="宋体" w:eastAsia="宋体" w:cs="宋体"/>
          <w:sz w:val="24"/>
          <w:szCs w:val="24"/>
          <w:u w:val="single"/>
        </w:rPr>
        <w:t>合同专用条款</w:t>
      </w:r>
      <w:r>
        <w:rPr>
          <w:rFonts w:hint="eastAsia" w:ascii="宋体" w:hAnsi="宋体" w:eastAsia="宋体" w:cs="宋体"/>
          <w:sz w:val="24"/>
          <w:szCs w:val="24"/>
        </w:rPr>
        <w:t>约定时间内组织验收，并可依法邀请相关方参加，验收应出具验收书。</w:t>
      </w:r>
    </w:p>
    <w:p w14:paraId="377C9D9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FC3137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2.16.3 检验和验收标准、程序等具体内容以及前述验收书的效力详见</w:t>
      </w:r>
      <w:r>
        <w:rPr>
          <w:rFonts w:hint="eastAsia" w:ascii="宋体" w:hAnsi="宋体" w:eastAsia="宋体" w:cs="宋体"/>
          <w:sz w:val="24"/>
          <w:szCs w:val="24"/>
          <w:u w:val="single"/>
        </w:rPr>
        <w:t>合同专用条款。</w:t>
      </w:r>
    </w:p>
    <w:p w14:paraId="29A6A117">
      <w:pPr>
        <w:spacing w:line="360" w:lineRule="auto"/>
        <w:ind w:firstLine="482" w:firstLineChars="200"/>
        <w:outlineLvl w:val="1"/>
        <w:rPr>
          <w:rFonts w:hint="eastAsia" w:ascii="宋体" w:hAnsi="宋体" w:eastAsia="宋体" w:cs="宋体"/>
          <w:b/>
          <w:bCs/>
          <w:sz w:val="24"/>
          <w:szCs w:val="24"/>
        </w:rPr>
      </w:pPr>
      <w:bookmarkStart w:id="1091" w:name="_Toc32200"/>
      <w:bookmarkStart w:id="1092" w:name="_Toc9092"/>
      <w:bookmarkStart w:id="1093" w:name="_Toc23066"/>
      <w:bookmarkStart w:id="1094" w:name="_Toc2308"/>
      <w:bookmarkStart w:id="1095" w:name="_Toc21022"/>
      <w:bookmarkStart w:id="1096" w:name="_Toc26606"/>
      <w:bookmarkStart w:id="1097" w:name="_Toc9808"/>
      <w:bookmarkStart w:id="1098" w:name="_Toc12666"/>
      <w:bookmarkStart w:id="1099" w:name="_Toc25198"/>
      <w:bookmarkStart w:id="1100" w:name="_Toc31892"/>
      <w:bookmarkStart w:id="1101" w:name="_Toc2628"/>
      <w:r>
        <w:rPr>
          <w:rFonts w:hint="eastAsia" w:ascii="宋体" w:hAnsi="宋体" w:eastAsia="宋体" w:cs="宋体"/>
          <w:b/>
          <w:bCs/>
          <w:sz w:val="24"/>
          <w:szCs w:val="24"/>
        </w:rPr>
        <w:t>2.17通知和送达</w:t>
      </w:r>
      <w:bookmarkEnd w:id="1091"/>
      <w:bookmarkEnd w:id="1092"/>
      <w:bookmarkEnd w:id="1093"/>
      <w:bookmarkEnd w:id="1094"/>
      <w:bookmarkEnd w:id="1095"/>
      <w:bookmarkEnd w:id="1096"/>
      <w:bookmarkEnd w:id="1097"/>
      <w:bookmarkEnd w:id="1098"/>
      <w:bookmarkEnd w:id="1099"/>
      <w:bookmarkEnd w:id="1100"/>
      <w:bookmarkEnd w:id="1101"/>
    </w:p>
    <w:p w14:paraId="5557DAE0">
      <w:pPr>
        <w:spacing w:line="360" w:lineRule="auto"/>
        <w:ind w:firstLine="480" w:firstLineChars="200"/>
        <w:rPr>
          <w:rFonts w:hint="eastAsia" w:ascii="宋体" w:hAnsi="宋体" w:eastAsia="宋体" w:cs="宋体"/>
          <w:sz w:val="24"/>
          <w:szCs w:val="24"/>
        </w:rPr>
      </w:pPr>
      <w:bookmarkStart w:id="1102" w:name="_Toc29220"/>
      <w:bookmarkStart w:id="1103" w:name="_Toc7073"/>
      <w:r>
        <w:rPr>
          <w:rFonts w:hint="eastAsia" w:ascii="宋体" w:hAnsi="宋体" w:eastAsia="宋体" w:cs="宋体"/>
          <w:sz w:val="24"/>
          <w:szCs w:val="24"/>
        </w:rPr>
        <w:t>2.17.1 任何一方因履行合同而以合同第一部分尾部所列明的所有通知、文件、材料，均视为已向对方当事人送达；任何一方变更上述送达方式或者地址的，应于</w:t>
      </w:r>
      <w:r>
        <w:rPr>
          <w:rFonts w:hint="eastAsia" w:ascii="宋体" w:hAnsi="宋体" w:eastAsia="宋体" w:cs="宋体"/>
          <w:sz w:val="24"/>
          <w:szCs w:val="24"/>
          <w:u w:val="single"/>
        </w:rPr>
        <w:t xml:space="preserve"> 3</w:t>
      </w:r>
      <w:r>
        <w:rPr>
          <w:rFonts w:hint="eastAsia" w:ascii="宋体" w:hAnsi="宋体" w:eastAsia="宋体" w:cs="宋体"/>
          <w:sz w:val="24"/>
          <w:szCs w:val="24"/>
        </w:rPr>
        <w:t>个工作日内书面通知对方当事人，在对方当事人收到有关变更通知之前，变更前的约定送达方式或者地址仍视为有效。</w:t>
      </w:r>
      <w:bookmarkEnd w:id="1102"/>
      <w:bookmarkEnd w:id="1103"/>
    </w:p>
    <w:p w14:paraId="1E1BC0DE">
      <w:pPr>
        <w:spacing w:line="360" w:lineRule="auto"/>
        <w:ind w:firstLine="480" w:firstLineChars="200"/>
        <w:rPr>
          <w:rFonts w:hint="eastAsia" w:ascii="宋体" w:hAnsi="宋体" w:eastAsia="宋体" w:cs="宋体"/>
          <w:sz w:val="24"/>
          <w:szCs w:val="24"/>
        </w:rPr>
      </w:pPr>
      <w:bookmarkStart w:id="1104" w:name="_Toc18401"/>
      <w:bookmarkStart w:id="1105" w:name="_Toc27674"/>
      <w:r>
        <w:rPr>
          <w:rFonts w:hint="eastAsia" w:ascii="宋体" w:hAnsi="宋体" w:eastAsia="宋体" w:cs="宋体"/>
          <w:sz w:val="24"/>
          <w:szCs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104"/>
      <w:bookmarkEnd w:id="1105"/>
    </w:p>
    <w:p w14:paraId="276BE66E">
      <w:pPr>
        <w:spacing w:line="360" w:lineRule="auto"/>
        <w:ind w:firstLine="482" w:firstLineChars="200"/>
        <w:outlineLvl w:val="1"/>
        <w:rPr>
          <w:rFonts w:hint="eastAsia" w:ascii="宋体" w:hAnsi="宋体" w:eastAsia="宋体" w:cs="宋体"/>
          <w:b/>
          <w:bCs/>
          <w:sz w:val="24"/>
          <w:szCs w:val="24"/>
        </w:rPr>
      </w:pPr>
      <w:bookmarkStart w:id="1106" w:name="_Toc17754"/>
      <w:bookmarkStart w:id="1107" w:name="_Toc1478"/>
      <w:bookmarkStart w:id="1108" w:name="_Toc12254"/>
      <w:bookmarkStart w:id="1109" w:name="_Toc6574"/>
      <w:bookmarkStart w:id="1110" w:name="_Toc20171"/>
      <w:bookmarkStart w:id="1111" w:name="_Toc3711"/>
      <w:bookmarkStart w:id="1112" w:name="_Toc28906"/>
      <w:bookmarkStart w:id="1113" w:name="_Toc27644"/>
      <w:bookmarkStart w:id="1114" w:name="_Toc5063"/>
      <w:bookmarkStart w:id="1115" w:name="_Toc1420"/>
      <w:bookmarkStart w:id="1116" w:name="_Toc20808"/>
      <w:r>
        <w:rPr>
          <w:rFonts w:hint="eastAsia" w:ascii="宋体" w:hAnsi="宋体" w:eastAsia="宋体" w:cs="宋体"/>
          <w:b/>
          <w:bCs/>
          <w:sz w:val="24"/>
          <w:szCs w:val="24"/>
        </w:rPr>
        <w:t>2.18合同使用的文字和适用的法律</w:t>
      </w:r>
      <w:bookmarkEnd w:id="1106"/>
      <w:bookmarkEnd w:id="1107"/>
      <w:bookmarkEnd w:id="1108"/>
      <w:bookmarkEnd w:id="1109"/>
      <w:bookmarkEnd w:id="1110"/>
      <w:bookmarkEnd w:id="1111"/>
      <w:bookmarkEnd w:id="1112"/>
      <w:bookmarkEnd w:id="1113"/>
      <w:bookmarkEnd w:id="1114"/>
      <w:bookmarkEnd w:id="1115"/>
      <w:bookmarkEnd w:id="1116"/>
    </w:p>
    <w:p w14:paraId="008EE62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2.18.1 合同使用汉语书就、变更和解释；</w:t>
      </w:r>
    </w:p>
    <w:p w14:paraId="419E90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2.18.2 合同适用中华人民共和国法律。</w:t>
      </w:r>
    </w:p>
    <w:p w14:paraId="30108C82">
      <w:pPr>
        <w:spacing w:line="360" w:lineRule="auto"/>
        <w:ind w:firstLine="482" w:firstLineChars="200"/>
        <w:outlineLvl w:val="1"/>
        <w:rPr>
          <w:rFonts w:hint="eastAsia" w:ascii="宋体" w:hAnsi="宋体" w:eastAsia="宋体" w:cs="宋体"/>
          <w:b/>
          <w:bCs/>
          <w:sz w:val="24"/>
          <w:szCs w:val="24"/>
        </w:rPr>
      </w:pPr>
      <w:bookmarkStart w:id="1117" w:name="_Toc18540"/>
      <w:bookmarkStart w:id="1118" w:name="_Toc4355"/>
      <w:bookmarkStart w:id="1119" w:name="_Toc2476"/>
      <w:r>
        <w:rPr>
          <w:rFonts w:hint="eastAsia" w:ascii="宋体" w:hAnsi="宋体" w:eastAsia="宋体" w:cs="宋体"/>
          <w:b/>
          <w:bCs/>
          <w:sz w:val="24"/>
          <w:szCs w:val="24"/>
        </w:rPr>
        <w:t>2.19 计量单位</w:t>
      </w:r>
      <w:bookmarkEnd w:id="1117"/>
      <w:bookmarkEnd w:id="1118"/>
      <w:bookmarkEnd w:id="1119"/>
    </w:p>
    <w:p w14:paraId="1C82787D">
      <w:pPr>
        <w:pStyle w:val="100"/>
        <w:ind w:firstLine="480" w:firstLineChars="200"/>
        <w:rPr>
          <w:rFonts w:hint="eastAsia" w:ascii="宋体" w:hAnsi="宋体" w:eastAsia="宋体" w:cs="宋体"/>
          <w:sz w:val="24"/>
          <w:szCs w:val="24"/>
        </w:rPr>
      </w:pPr>
      <w:r>
        <w:rPr>
          <w:rFonts w:hint="eastAsia" w:ascii="宋体" w:hAnsi="宋体" w:eastAsia="宋体" w:cs="宋体"/>
          <w:bCs w:val="0"/>
          <w:spacing w:val="0"/>
          <w:kern w:val="2"/>
          <w:sz w:val="24"/>
          <w:szCs w:val="24"/>
        </w:rPr>
        <w:t>除技术规范中另有规定外,合同的计量单位均使用国家法定计量单位。</w:t>
      </w:r>
    </w:p>
    <w:p w14:paraId="3EC37AC1">
      <w:pPr>
        <w:spacing w:line="360" w:lineRule="auto"/>
        <w:ind w:firstLine="482" w:firstLineChars="200"/>
        <w:outlineLvl w:val="1"/>
        <w:rPr>
          <w:rFonts w:hint="eastAsia" w:ascii="宋体" w:hAnsi="宋体" w:eastAsia="宋体" w:cs="宋体"/>
          <w:b/>
          <w:bCs/>
          <w:sz w:val="24"/>
          <w:szCs w:val="24"/>
        </w:rPr>
      </w:pPr>
      <w:bookmarkStart w:id="1120" w:name="_Toc8971"/>
      <w:bookmarkStart w:id="1121" w:name="_Toc27127"/>
      <w:bookmarkStart w:id="1122" w:name="_Toc30096"/>
      <w:bookmarkStart w:id="1123" w:name="_Toc22266"/>
      <w:bookmarkStart w:id="1124" w:name="_Toc23844"/>
      <w:bookmarkStart w:id="1125" w:name="_Toc29801"/>
      <w:bookmarkStart w:id="1126" w:name="_Toc1492"/>
      <w:bookmarkStart w:id="1127" w:name="_Toc27403"/>
      <w:bookmarkStart w:id="1128" w:name="_Toc31842"/>
      <w:bookmarkStart w:id="1129" w:name="_Toc12086"/>
      <w:r>
        <w:rPr>
          <w:rFonts w:hint="eastAsia" w:ascii="宋体" w:hAnsi="宋体" w:eastAsia="宋体" w:cs="宋体"/>
          <w:b/>
          <w:bCs/>
          <w:sz w:val="24"/>
          <w:szCs w:val="24"/>
        </w:rPr>
        <w:t>2.20履约保证金</w:t>
      </w:r>
      <w:bookmarkEnd w:id="1120"/>
      <w:bookmarkEnd w:id="1121"/>
      <w:bookmarkEnd w:id="1122"/>
      <w:bookmarkEnd w:id="1123"/>
      <w:bookmarkEnd w:id="1124"/>
      <w:bookmarkEnd w:id="1125"/>
      <w:bookmarkEnd w:id="1126"/>
      <w:bookmarkEnd w:id="1127"/>
      <w:bookmarkEnd w:id="1128"/>
      <w:bookmarkEnd w:id="1129"/>
    </w:p>
    <w:p w14:paraId="3F712A80">
      <w:pPr>
        <w:spacing w:line="360" w:lineRule="auto"/>
        <w:ind w:firstLine="480" w:firstLineChars="200"/>
        <w:rPr>
          <w:rFonts w:hint="eastAsia" w:ascii="宋体" w:hAnsi="宋体" w:eastAsia="宋体" w:cs="宋体"/>
          <w:color w:val="0000FF"/>
          <w:sz w:val="24"/>
          <w:szCs w:val="24"/>
        </w:rPr>
      </w:pPr>
      <w:r>
        <w:rPr>
          <w:rFonts w:hint="eastAsia" w:ascii="宋体" w:hAnsi="宋体" w:eastAsia="宋体" w:cs="宋体"/>
          <w:sz w:val="24"/>
          <w:szCs w:val="24"/>
        </w:rPr>
        <w:t>2.20.1 采购文件要求乙方提交履约保证金的，乙方应按合同金额的</w:t>
      </w:r>
      <w:r>
        <w:rPr>
          <w:rFonts w:hint="eastAsia" w:ascii="宋体" w:hAnsi="宋体" w:eastAsia="宋体" w:cs="宋体"/>
          <w:b/>
          <w:bCs/>
          <w:sz w:val="24"/>
          <w:szCs w:val="24"/>
          <w:u w:val="single"/>
          <w:lang w:val="en-US" w:eastAsia="zh-CN"/>
        </w:rPr>
        <w:t>5</w:t>
      </w:r>
      <w:r>
        <w:rPr>
          <w:rFonts w:hint="eastAsia" w:ascii="宋体" w:hAnsi="宋体" w:eastAsia="宋体" w:cs="宋体"/>
          <w:b/>
          <w:bCs/>
          <w:sz w:val="24"/>
          <w:szCs w:val="24"/>
          <w:u w:val="single"/>
        </w:rPr>
        <w:t>%</w:t>
      </w:r>
      <w:r>
        <w:rPr>
          <w:rFonts w:hint="eastAsia" w:ascii="宋体" w:hAnsi="宋体" w:eastAsia="宋体" w:cs="宋体"/>
          <w:sz w:val="24"/>
          <w:szCs w:val="24"/>
        </w:rPr>
        <w:t>计算向下取整至万元，以支票、汇票或者转账等非现金形式，在签订合同前5个日历日内向采购人交纳履约保证金；</w:t>
      </w:r>
    </w:p>
    <w:p w14:paraId="7AC456D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2.20.2 履约保证金待质保期满5个工作日内返还乙方；</w:t>
      </w:r>
    </w:p>
    <w:p w14:paraId="4F40F9A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ABC550D">
      <w:pPr>
        <w:spacing w:line="360" w:lineRule="auto"/>
        <w:ind w:firstLine="482" w:firstLineChars="200"/>
        <w:outlineLvl w:val="1"/>
        <w:rPr>
          <w:rFonts w:hint="eastAsia" w:ascii="宋体" w:hAnsi="宋体" w:eastAsia="宋体" w:cs="宋体"/>
          <w:b/>
          <w:bCs/>
          <w:sz w:val="24"/>
          <w:szCs w:val="24"/>
        </w:rPr>
      </w:pPr>
      <w:bookmarkStart w:id="1130" w:name="_Toc3684"/>
      <w:bookmarkStart w:id="1131" w:name="_Toc11668"/>
      <w:bookmarkStart w:id="1132" w:name="_Toc31492"/>
      <w:bookmarkStart w:id="1133" w:name="_Toc2939"/>
      <w:r>
        <w:rPr>
          <w:rFonts w:hint="eastAsia" w:ascii="宋体" w:hAnsi="宋体" w:eastAsia="宋体" w:cs="宋体"/>
          <w:b/>
          <w:bCs/>
          <w:sz w:val="24"/>
          <w:szCs w:val="24"/>
        </w:rPr>
        <w:t>2.21合同份数</w:t>
      </w:r>
      <w:bookmarkEnd w:id="1130"/>
      <w:bookmarkEnd w:id="1131"/>
      <w:bookmarkEnd w:id="1132"/>
      <w:bookmarkEnd w:id="1133"/>
    </w:p>
    <w:p w14:paraId="124CF18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合同一式四份，甲乙双方各持2份，每份均具有同等法律效力。</w:t>
      </w:r>
    </w:p>
    <w:p w14:paraId="6A720E36">
      <w:pPr>
        <w:pStyle w:val="43"/>
        <w:ind w:firstLine="0" w:firstLineChars="0"/>
        <w:rPr>
          <w:rFonts w:hint="eastAsia" w:ascii="宋体" w:hAnsi="宋体" w:eastAsia="宋体" w:cs="宋体"/>
          <w:kern w:val="44"/>
          <w:sz w:val="24"/>
          <w:szCs w:val="24"/>
        </w:rPr>
      </w:pPr>
    </w:p>
    <w:p w14:paraId="2D165798">
      <w:pPr>
        <w:rPr>
          <w:rFonts w:hint="eastAsia" w:ascii="宋体" w:hAnsi="宋体" w:eastAsia="宋体" w:cs="宋体"/>
          <w:b/>
          <w:bCs/>
          <w:kern w:val="2"/>
          <w:sz w:val="24"/>
          <w:szCs w:val="24"/>
        </w:rPr>
      </w:pPr>
      <w:bookmarkStart w:id="1134" w:name="_Toc331685784"/>
      <w:r>
        <w:rPr>
          <w:rFonts w:hint="eastAsia" w:ascii="宋体" w:hAnsi="宋体" w:eastAsia="宋体" w:cs="宋体"/>
          <w:b/>
          <w:bCs/>
          <w:kern w:val="2"/>
          <w:sz w:val="24"/>
          <w:szCs w:val="24"/>
        </w:rPr>
        <w:br w:type="page"/>
      </w:r>
    </w:p>
    <w:p w14:paraId="28330B06">
      <w:pPr>
        <w:pStyle w:val="80"/>
        <w:spacing w:line="560" w:lineRule="exact"/>
        <w:ind w:firstLine="0"/>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第三部分合同专用条款</w:t>
      </w:r>
      <w:bookmarkEnd w:id="1134"/>
    </w:p>
    <w:p w14:paraId="77EDF763">
      <w:pPr>
        <w:spacing w:line="360" w:lineRule="auto"/>
        <w:rPr>
          <w:rFonts w:hint="eastAsia" w:ascii="宋体" w:hAnsi="宋体" w:eastAsia="宋体" w:cs="宋体"/>
          <w:sz w:val="24"/>
          <w:szCs w:val="24"/>
        </w:rPr>
      </w:pPr>
    </w:p>
    <w:p w14:paraId="4128AD06">
      <w:pPr>
        <w:spacing w:line="360" w:lineRule="auto"/>
        <w:ind w:firstLine="480" w:firstLineChars="200"/>
        <w:rPr>
          <w:rFonts w:hint="eastAsia" w:ascii="宋体" w:hAnsi="宋体" w:eastAsia="宋体" w:cs="宋体"/>
          <w:sz w:val="24"/>
          <w:szCs w:val="24"/>
        </w:rPr>
      </w:pPr>
    </w:p>
    <w:p w14:paraId="59A9E2D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2DA968AB">
      <w:pPr>
        <w:pStyle w:val="42"/>
        <w:rPr>
          <w:rFonts w:hint="eastAsia" w:ascii="宋体" w:hAnsi="宋体" w:eastAsia="宋体" w:cs="宋体"/>
          <w:sz w:val="24"/>
          <w:szCs w:val="24"/>
        </w:rPr>
      </w:pPr>
    </w:p>
    <w:p w14:paraId="37781F6D">
      <w:pPr>
        <w:pStyle w:val="42"/>
        <w:rPr>
          <w:rFonts w:hint="eastAsia" w:ascii="宋体" w:hAnsi="宋体" w:eastAsia="宋体" w:cs="宋体"/>
          <w:sz w:val="24"/>
          <w:szCs w:val="24"/>
        </w:rPr>
      </w:pPr>
    </w:p>
    <w:tbl>
      <w:tblPr>
        <w:tblStyle w:val="44"/>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1407D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68F7F126">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条款号</w:t>
            </w:r>
          </w:p>
        </w:tc>
        <w:tc>
          <w:tcPr>
            <w:tcW w:w="7633" w:type="dxa"/>
            <w:vAlign w:val="center"/>
          </w:tcPr>
          <w:p w14:paraId="07AABD48">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约定内容</w:t>
            </w:r>
          </w:p>
        </w:tc>
      </w:tr>
      <w:tr w14:paraId="4299B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14:paraId="5DD5B506">
            <w:pPr>
              <w:spacing w:line="560" w:lineRule="exact"/>
              <w:rPr>
                <w:rFonts w:hint="eastAsia" w:ascii="宋体" w:hAnsi="宋体" w:eastAsia="宋体" w:cs="宋体"/>
                <w:sz w:val="24"/>
                <w:szCs w:val="24"/>
              </w:rPr>
            </w:pPr>
          </w:p>
        </w:tc>
        <w:tc>
          <w:tcPr>
            <w:tcW w:w="7633" w:type="dxa"/>
            <w:vAlign w:val="center"/>
          </w:tcPr>
          <w:p w14:paraId="0ACC30F7">
            <w:pPr>
              <w:spacing w:line="560" w:lineRule="exact"/>
              <w:rPr>
                <w:rFonts w:hint="eastAsia" w:ascii="宋体" w:hAnsi="宋体" w:eastAsia="宋体" w:cs="宋体"/>
                <w:sz w:val="24"/>
                <w:szCs w:val="24"/>
              </w:rPr>
            </w:pPr>
          </w:p>
        </w:tc>
      </w:tr>
      <w:tr w14:paraId="6D7DA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51ED193F">
            <w:pPr>
              <w:spacing w:line="560" w:lineRule="exact"/>
              <w:rPr>
                <w:rFonts w:hint="eastAsia" w:ascii="宋体" w:hAnsi="宋体" w:eastAsia="宋体" w:cs="宋体"/>
                <w:sz w:val="24"/>
                <w:szCs w:val="24"/>
              </w:rPr>
            </w:pPr>
          </w:p>
        </w:tc>
        <w:tc>
          <w:tcPr>
            <w:tcW w:w="7633" w:type="dxa"/>
            <w:vAlign w:val="center"/>
          </w:tcPr>
          <w:p w14:paraId="197DA271">
            <w:pPr>
              <w:spacing w:line="560" w:lineRule="exact"/>
              <w:rPr>
                <w:rFonts w:hint="eastAsia" w:ascii="宋体" w:hAnsi="宋体" w:eastAsia="宋体" w:cs="宋体"/>
                <w:sz w:val="24"/>
                <w:szCs w:val="24"/>
              </w:rPr>
            </w:pPr>
          </w:p>
        </w:tc>
      </w:tr>
      <w:tr w14:paraId="321E8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46611CA2">
            <w:pPr>
              <w:spacing w:line="560" w:lineRule="exact"/>
              <w:rPr>
                <w:rFonts w:hint="eastAsia" w:ascii="宋体" w:hAnsi="宋体" w:eastAsia="宋体" w:cs="宋体"/>
                <w:sz w:val="24"/>
                <w:szCs w:val="24"/>
              </w:rPr>
            </w:pPr>
          </w:p>
        </w:tc>
        <w:tc>
          <w:tcPr>
            <w:tcW w:w="7633" w:type="dxa"/>
            <w:vAlign w:val="center"/>
          </w:tcPr>
          <w:p w14:paraId="3800D503">
            <w:pPr>
              <w:spacing w:line="560" w:lineRule="exact"/>
              <w:rPr>
                <w:rFonts w:hint="eastAsia" w:ascii="宋体" w:hAnsi="宋体" w:eastAsia="宋体" w:cs="宋体"/>
                <w:sz w:val="24"/>
                <w:szCs w:val="24"/>
              </w:rPr>
            </w:pPr>
          </w:p>
        </w:tc>
      </w:tr>
      <w:tr w14:paraId="0BE84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22A7D291">
            <w:pPr>
              <w:spacing w:line="560" w:lineRule="exact"/>
              <w:rPr>
                <w:rFonts w:hint="eastAsia" w:ascii="宋体" w:hAnsi="宋体" w:eastAsia="宋体" w:cs="宋体"/>
                <w:sz w:val="24"/>
                <w:szCs w:val="24"/>
              </w:rPr>
            </w:pPr>
          </w:p>
        </w:tc>
        <w:tc>
          <w:tcPr>
            <w:tcW w:w="7633" w:type="dxa"/>
            <w:vAlign w:val="center"/>
          </w:tcPr>
          <w:p w14:paraId="2F333E8C">
            <w:pPr>
              <w:spacing w:line="560" w:lineRule="exact"/>
              <w:rPr>
                <w:rFonts w:hint="eastAsia" w:ascii="宋体" w:hAnsi="宋体" w:eastAsia="宋体" w:cs="宋体"/>
                <w:sz w:val="24"/>
                <w:szCs w:val="24"/>
              </w:rPr>
            </w:pPr>
          </w:p>
        </w:tc>
      </w:tr>
      <w:tr w14:paraId="499D1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0F8D0D2E">
            <w:pPr>
              <w:spacing w:line="560" w:lineRule="exact"/>
              <w:rPr>
                <w:rFonts w:hint="eastAsia" w:ascii="宋体" w:hAnsi="宋体" w:eastAsia="宋体" w:cs="宋体"/>
                <w:sz w:val="24"/>
                <w:szCs w:val="24"/>
              </w:rPr>
            </w:pPr>
          </w:p>
        </w:tc>
        <w:tc>
          <w:tcPr>
            <w:tcW w:w="7633" w:type="dxa"/>
            <w:vAlign w:val="center"/>
          </w:tcPr>
          <w:p w14:paraId="48A675E1">
            <w:pPr>
              <w:spacing w:line="560" w:lineRule="exact"/>
              <w:rPr>
                <w:rFonts w:hint="eastAsia" w:ascii="宋体" w:hAnsi="宋体" w:eastAsia="宋体" w:cs="宋体"/>
                <w:sz w:val="24"/>
                <w:szCs w:val="24"/>
                <w:u w:val="single"/>
              </w:rPr>
            </w:pPr>
          </w:p>
        </w:tc>
      </w:tr>
      <w:tr w14:paraId="4148D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5FC461BC">
            <w:pPr>
              <w:spacing w:line="560" w:lineRule="exact"/>
              <w:rPr>
                <w:rFonts w:hint="eastAsia" w:ascii="宋体" w:hAnsi="宋体" w:eastAsia="宋体" w:cs="宋体"/>
                <w:sz w:val="24"/>
                <w:szCs w:val="24"/>
              </w:rPr>
            </w:pPr>
          </w:p>
        </w:tc>
        <w:tc>
          <w:tcPr>
            <w:tcW w:w="7633" w:type="dxa"/>
            <w:vAlign w:val="center"/>
          </w:tcPr>
          <w:p w14:paraId="4E6AF8C2">
            <w:pPr>
              <w:spacing w:line="560" w:lineRule="exact"/>
              <w:rPr>
                <w:rFonts w:hint="eastAsia" w:ascii="宋体" w:hAnsi="宋体" w:eastAsia="宋体" w:cs="宋体"/>
                <w:sz w:val="24"/>
                <w:szCs w:val="24"/>
              </w:rPr>
            </w:pPr>
          </w:p>
        </w:tc>
      </w:tr>
      <w:tr w14:paraId="628D2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1EDAC418">
            <w:pPr>
              <w:spacing w:line="560" w:lineRule="exact"/>
              <w:rPr>
                <w:rFonts w:hint="eastAsia" w:ascii="宋体" w:hAnsi="宋体" w:eastAsia="宋体" w:cs="宋体"/>
                <w:sz w:val="24"/>
                <w:szCs w:val="24"/>
              </w:rPr>
            </w:pPr>
          </w:p>
        </w:tc>
        <w:tc>
          <w:tcPr>
            <w:tcW w:w="7633" w:type="dxa"/>
            <w:vAlign w:val="center"/>
          </w:tcPr>
          <w:p w14:paraId="0D59897A">
            <w:pPr>
              <w:spacing w:line="560" w:lineRule="exact"/>
              <w:rPr>
                <w:rFonts w:hint="eastAsia" w:ascii="宋体" w:hAnsi="宋体" w:eastAsia="宋体" w:cs="宋体"/>
                <w:sz w:val="24"/>
                <w:szCs w:val="24"/>
              </w:rPr>
            </w:pPr>
          </w:p>
        </w:tc>
      </w:tr>
      <w:tr w14:paraId="72F6A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00AA95C3">
            <w:pPr>
              <w:spacing w:line="560" w:lineRule="exact"/>
              <w:rPr>
                <w:rFonts w:hint="eastAsia" w:ascii="宋体" w:hAnsi="宋体" w:eastAsia="宋体" w:cs="宋体"/>
                <w:sz w:val="24"/>
                <w:szCs w:val="24"/>
              </w:rPr>
            </w:pPr>
          </w:p>
        </w:tc>
        <w:tc>
          <w:tcPr>
            <w:tcW w:w="7633" w:type="dxa"/>
            <w:vAlign w:val="center"/>
          </w:tcPr>
          <w:p w14:paraId="4799D560">
            <w:pPr>
              <w:spacing w:line="560" w:lineRule="exact"/>
              <w:rPr>
                <w:rFonts w:hint="eastAsia" w:ascii="宋体" w:hAnsi="宋体" w:eastAsia="宋体" w:cs="宋体"/>
                <w:sz w:val="24"/>
                <w:szCs w:val="24"/>
              </w:rPr>
            </w:pPr>
          </w:p>
        </w:tc>
      </w:tr>
      <w:tr w14:paraId="2FB77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013B3194">
            <w:pPr>
              <w:spacing w:line="560" w:lineRule="exact"/>
              <w:rPr>
                <w:rFonts w:hint="eastAsia" w:ascii="宋体" w:hAnsi="宋体" w:eastAsia="宋体" w:cs="宋体"/>
                <w:sz w:val="24"/>
                <w:szCs w:val="24"/>
              </w:rPr>
            </w:pPr>
          </w:p>
        </w:tc>
        <w:tc>
          <w:tcPr>
            <w:tcW w:w="7633" w:type="dxa"/>
            <w:vAlign w:val="center"/>
          </w:tcPr>
          <w:p w14:paraId="2DA8D8C2">
            <w:pPr>
              <w:spacing w:line="560" w:lineRule="exact"/>
              <w:rPr>
                <w:rFonts w:hint="eastAsia" w:ascii="宋体" w:hAnsi="宋体" w:eastAsia="宋体" w:cs="宋体"/>
                <w:sz w:val="24"/>
                <w:szCs w:val="24"/>
              </w:rPr>
            </w:pPr>
          </w:p>
        </w:tc>
      </w:tr>
      <w:tr w14:paraId="1724E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38546D26">
            <w:pPr>
              <w:spacing w:line="560" w:lineRule="exact"/>
              <w:rPr>
                <w:rFonts w:hint="eastAsia" w:ascii="宋体" w:hAnsi="宋体" w:eastAsia="宋体" w:cs="宋体"/>
                <w:sz w:val="24"/>
                <w:szCs w:val="24"/>
              </w:rPr>
            </w:pPr>
          </w:p>
        </w:tc>
        <w:tc>
          <w:tcPr>
            <w:tcW w:w="7633" w:type="dxa"/>
            <w:vAlign w:val="center"/>
          </w:tcPr>
          <w:p w14:paraId="0505E33F">
            <w:pPr>
              <w:spacing w:line="560" w:lineRule="exact"/>
              <w:rPr>
                <w:rFonts w:hint="eastAsia" w:ascii="宋体" w:hAnsi="宋体" w:eastAsia="宋体" w:cs="宋体"/>
                <w:sz w:val="24"/>
                <w:szCs w:val="24"/>
              </w:rPr>
            </w:pPr>
          </w:p>
        </w:tc>
      </w:tr>
      <w:tr w14:paraId="38D33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3951AAB5">
            <w:pPr>
              <w:spacing w:line="560" w:lineRule="exact"/>
              <w:rPr>
                <w:rFonts w:hint="eastAsia" w:ascii="宋体" w:hAnsi="宋体" w:eastAsia="宋体" w:cs="宋体"/>
                <w:sz w:val="24"/>
                <w:szCs w:val="24"/>
              </w:rPr>
            </w:pPr>
          </w:p>
        </w:tc>
        <w:tc>
          <w:tcPr>
            <w:tcW w:w="7633" w:type="dxa"/>
            <w:vAlign w:val="center"/>
          </w:tcPr>
          <w:p w14:paraId="2AA77C67">
            <w:pPr>
              <w:spacing w:line="560" w:lineRule="exact"/>
              <w:rPr>
                <w:rFonts w:hint="eastAsia" w:ascii="宋体" w:hAnsi="宋体" w:eastAsia="宋体" w:cs="宋体"/>
                <w:sz w:val="24"/>
                <w:szCs w:val="24"/>
              </w:rPr>
            </w:pPr>
          </w:p>
        </w:tc>
      </w:tr>
      <w:tr w14:paraId="39B7E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7CC2604C">
            <w:pPr>
              <w:spacing w:line="560" w:lineRule="exact"/>
              <w:rPr>
                <w:rFonts w:hint="eastAsia" w:ascii="宋体" w:hAnsi="宋体" w:eastAsia="宋体" w:cs="宋体"/>
                <w:sz w:val="24"/>
                <w:szCs w:val="24"/>
              </w:rPr>
            </w:pPr>
          </w:p>
        </w:tc>
        <w:tc>
          <w:tcPr>
            <w:tcW w:w="7633" w:type="dxa"/>
            <w:vAlign w:val="center"/>
          </w:tcPr>
          <w:p w14:paraId="39C6F7F1">
            <w:pPr>
              <w:spacing w:line="560" w:lineRule="exact"/>
              <w:rPr>
                <w:rFonts w:hint="eastAsia" w:ascii="宋体" w:hAnsi="宋体" w:eastAsia="宋体" w:cs="宋体"/>
                <w:sz w:val="24"/>
                <w:szCs w:val="24"/>
              </w:rPr>
            </w:pPr>
          </w:p>
        </w:tc>
      </w:tr>
      <w:tr w14:paraId="7A0C4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565ABEB7">
            <w:pPr>
              <w:spacing w:line="560" w:lineRule="exact"/>
              <w:rPr>
                <w:rFonts w:hint="eastAsia" w:ascii="宋体" w:hAnsi="宋体" w:eastAsia="宋体" w:cs="宋体"/>
                <w:sz w:val="24"/>
                <w:szCs w:val="24"/>
              </w:rPr>
            </w:pPr>
          </w:p>
        </w:tc>
        <w:tc>
          <w:tcPr>
            <w:tcW w:w="7633" w:type="dxa"/>
            <w:vAlign w:val="center"/>
          </w:tcPr>
          <w:p w14:paraId="17552BA3">
            <w:pPr>
              <w:spacing w:line="560" w:lineRule="exact"/>
              <w:rPr>
                <w:rFonts w:hint="eastAsia" w:ascii="宋体" w:hAnsi="宋体" w:eastAsia="宋体" w:cs="宋体"/>
                <w:sz w:val="24"/>
                <w:szCs w:val="24"/>
              </w:rPr>
            </w:pPr>
          </w:p>
        </w:tc>
      </w:tr>
      <w:tr w14:paraId="743DA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135D23BE">
            <w:pPr>
              <w:spacing w:line="560" w:lineRule="exact"/>
              <w:rPr>
                <w:rFonts w:hint="eastAsia" w:ascii="宋体" w:hAnsi="宋体" w:eastAsia="宋体" w:cs="宋体"/>
                <w:sz w:val="24"/>
                <w:szCs w:val="24"/>
              </w:rPr>
            </w:pPr>
          </w:p>
        </w:tc>
        <w:tc>
          <w:tcPr>
            <w:tcW w:w="7633" w:type="dxa"/>
            <w:vAlign w:val="center"/>
          </w:tcPr>
          <w:p w14:paraId="42C4B16C">
            <w:pPr>
              <w:spacing w:line="560" w:lineRule="exact"/>
              <w:rPr>
                <w:rFonts w:hint="eastAsia" w:ascii="宋体" w:hAnsi="宋体" w:eastAsia="宋体" w:cs="宋体"/>
                <w:sz w:val="24"/>
                <w:szCs w:val="24"/>
              </w:rPr>
            </w:pPr>
          </w:p>
        </w:tc>
      </w:tr>
    </w:tbl>
    <w:p w14:paraId="6EA7B57D">
      <w:pPr>
        <w:pStyle w:val="8"/>
        <w:pageBreakBefore w:val="0"/>
        <w:kinsoku/>
        <w:wordWrap/>
        <w:overflowPunct/>
        <w:topLinePunct w:val="0"/>
        <w:bidi w:val="0"/>
        <w:spacing w:line="500" w:lineRule="exact"/>
        <w:ind w:firstLine="0"/>
        <w:textAlignment w:val="auto"/>
        <w:outlineLvl w:val="9"/>
        <w:rPr>
          <w:rFonts w:hint="eastAsia" w:ascii="宋体" w:hAnsi="宋体" w:eastAsia="宋体" w:cs="宋体"/>
          <w:b w:val="0"/>
          <w:bCs/>
          <w:color w:val="auto"/>
          <w:sz w:val="24"/>
          <w:szCs w:val="24"/>
          <w:highlight w:val="none"/>
        </w:rPr>
      </w:pPr>
    </w:p>
    <w:sectPr>
      <w:headerReference r:id="rId11" w:type="default"/>
      <w:footerReference r:id="rId12" w:type="default"/>
      <w:pgSz w:w="11907" w:h="16840"/>
      <w:pgMar w:top="1474" w:right="1814" w:bottom="1474" w:left="1814"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203" w:usb1="288F0000" w:usb2="0000000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723EF">
    <w:pPr>
      <w:pStyle w:val="27"/>
      <w:jc w:val="center"/>
    </w:pPr>
  </w:p>
  <w:p w14:paraId="4D2A3982">
    <w:pPr>
      <w:pStyle w:val="2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BDA5F">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CE5A1">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0586F">
    <w:pPr>
      <w:pStyle w:val="27"/>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077F9E0">
                          <w:pPr>
                            <w:pStyle w:val="27"/>
                            <w:jc w:val="center"/>
                          </w:pPr>
                          <w:r>
                            <w:fldChar w:fldCharType="begin"/>
                          </w:r>
                          <w:r>
                            <w:instrText xml:space="preserve">PAGE   \* MERGEFORMAT</w:instrText>
                          </w:r>
                          <w:r>
                            <w:fldChar w:fldCharType="separate"/>
                          </w:r>
                          <w:r>
                            <w:rPr>
                              <w:lang w:val="zh-CN"/>
                            </w:rPr>
                            <w:t>86</w:t>
                          </w:r>
                          <w:r>
                            <w:rPr>
                              <w:lang w:val="zh-CN"/>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RvENcM0BAACnAwAADgAAAAAAAAABACAAAAAeAQAAZHJzL2Uy&#10;b0RvYy54bWxQSwUGAAAAAAYABgBZAQAAXQUAAAAA&#10;">
              <v:fill on="f" focussize="0,0"/>
              <v:stroke on="f"/>
              <v:imagedata o:title=""/>
              <o:lock v:ext="edit" aspectratio="f"/>
              <v:textbox inset="0mm,0mm,0mm,0mm" style="mso-fit-shape-to-text:t;">
                <w:txbxContent>
                  <w:p w14:paraId="4077F9E0">
                    <w:pPr>
                      <w:pStyle w:val="27"/>
                      <w:jc w:val="center"/>
                    </w:pPr>
                    <w:r>
                      <w:fldChar w:fldCharType="begin"/>
                    </w:r>
                    <w:r>
                      <w:instrText xml:space="preserve">PAGE   \* MERGEFORMAT</w:instrText>
                    </w:r>
                    <w:r>
                      <w:fldChar w:fldCharType="separate"/>
                    </w:r>
                    <w:r>
                      <w:rPr>
                        <w:lang w:val="zh-CN"/>
                      </w:rPr>
                      <w:t>86</w:t>
                    </w:r>
                    <w:r>
                      <w:rPr>
                        <w:lang w:val="zh-CN"/>
                      </w:rPr>
                      <w:fldChar w:fldCharType="end"/>
                    </w:r>
                  </w:p>
                </w:txbxContent>
              </v:textbox>
            </v:shape>
          </w:pict>
        </mc:Fallback>
      </mc:AlternateContent>
    </w:r>
  </w:p>
  <w:p w14:paraId="31640649">
    <w:pPr>
      <w:pStyle w:val="2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A95F9">
    <w:pPr>
      <w:pStyle w:val="2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DF7741">
                          <w:pPr>
                            <w:pStyle w:val="2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3DF7741">
                    <w:pPr>
                      <w:pStyle w:val="27"/>
                    </w:pPr>
                    <w:r>
                      <w:fldChar w:fldCharType="begin"/>
                    </w:r>
                    <w:r>
                      <w:instrText xml:space="preserve"> PAGE  \* MERGEFORMAT </w:instrText>
                    </w:r>
                    <w:r>
                      <w:fldChar w:fldCharType="separate"/>
                    </w:r>
                    <w:r>
                      <w:t>29</w:t>
                    </w:r>
                    <w:r>
                      <w:fldChar w:fldCharType="end"/>
                    </w:r>
                  </w:p>
                </w:txbxContent>
              </v:textbox>
            </v:shape>
          </w:pict>
        </mc:Fallback>
      </mc:AlternateContent>
    </w:r>
  </w:p>
  <w:p w14:paraId="0D81C84C">
    <w:pPr>
      <w:pStyle w:val="27"/>
      <w:ind w:right="360"/>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D30C0">
    <w:pPr>
      <w:pStyle w:val="29"/>
      <w:pBdr>
        <w:bottom w:val="none" w:color="auto" w:sz="0" w:space="0"/>
      </w:pBdr>
      <w:jc w:val="left"/>
      <w:rPr>
        <w:rFonts w:hint="eastAsia" w:eastAsia="宋体"/>
        <w:sz w:val="40"/>
        <w:szCs w:val="40"/>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2C2CA">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09708">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3670B">
    <w:pPr>
      <w:pStyle w:val="29"/>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998FC">
    <w:pPr>
      <w:pStyle w:val="29"/>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9FC09"/>
    <w:multiLevelType w:val="singleLevel"/>
    <w:tmpl w:val="98D9FC09"/>
    <w:lvl w:ilvl="0" w:tentative="0">
      <w:start w:val="2"/>
      <w:numFmt w:val="decimal"/>
      <w:suff w:val="nothing"/>
      <w:lvlText w:val="%1、"/>
      <w:lvlJc w:val="left"/>
    </w:lvl>
  </w:abstractNum>
  <w:abstractNum w:abstractNumId="1">
    <w:nsid w:val="E288B66F"/>
    <w:multiLevelType w:val="singleLevel"/>
    <w:tmpl w:val="E288B66F"/>
    <w:lvl w:ilvl="0" w:tentative="0">
      <w:start w:val="4"/>
      <w:numFmt w:val="decimal"/>
      <w:suff w:val="space"/>
      <w:lvlText w:val="第%1章"/>
      <w:lvlJc w:val="left"/>
    </w:lvl>
  </w:abstractNum>
  <w:abstractNum w:abstractNumId="2">
    <w:nsid w:val="0CEC79AC"/>
    <w:multiLevelType w:val="multilevel"/>
    <w:tmpl w:val="0CEC79AC"/>
    <w:lvl w:ilvl="0" w:tentative="0">
      <w:start w:val="1"/>
      <w:numFmt w:val="decimal"/>
      <w:suff w:val="space"/>
      <w:lvlText w:val="%1）"/>
      <w:lvlJc w:val="left"/>
      <w:pPr>
        <w:ind w:left="1260" w:hanging="420"/>
      </w:pPr>
      <w:rPr>
        <w:rFonts w:hint="default"/>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3">
    <w:nsid w:val="124B6F4C"/>
    <w:multiLevelType w:val="multilevel"/>
    <w:tmpl w:val="124B6F4C"/>
    <w:lvl w:ilvl="0" w:tentative="0">
      <w:start w:val="1"/>
      <w:numFmt w:val="decimal"/>
      <w:suff w:val="space"/>
      <w:lvlText w:val="（%1）"/>
      <w:lvlJc w:val="left"/>
      <w:pPr>
        <w:ind w:left="440" w:hanging="440"/>
      </w:pPr>
      <w:rPr>
        <w:rFonts w:hint="eastAsia" w:hAnsi="宋体" w:cs="宋体"/>
        <w:b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22BE0165"/>
    <w:multiLevelType w:val="multilevel"/>
    <w:tmpl w:val="22BE0165"/>
    <w:lvl w:ilvl="0" w:tentative="0">
      <w:start w:val="1"/>
      <w:numFmt w:val="decimal"/>
      <w:suff w:val="space"/>
      <w:lvlText w:val="（%1）"/>
      <w:lvlJc w:val="left"/>
      <w:pPr>
        <w:ind w:left="440" w:hanging="440"/>
      </w:pPr>
      <w:rPr>
        <w:rFonts w:hint="eastAsia" w:hAnsi="宋体" w:cs="宋体"/>
        <w:b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2BDF402C"/>
    <w:multiLevelType w:val="multilevel"/>
    <w:tmpl w:val="2BDF402C"/>
    <w:lvl w:ilvl="0" w:tentative="0">
      <w:start w:val="1"/>
      <w:numFmt w:val="decimal"/>
      <w:suff w:val="space"/>
      <w:lvlText w:val="（%1）"/>
      <w:lvlJc w:val="left"/>
      <w:pPr>
        <w:ind w:left="380" w:hanging="440"/>
      </w:pPr>
      <w:rPr>
        <w:rFonts w:hint="eastAsia" w:hAnsi="宋体" w:cs="宋体"/>
        <w:b w:val="0"/>
      </w:rPr>
    </w:lvl>
    <w:lvl w:ilvl="1" w:tentative="0">
      <w:start w:val="1"/>
      <w:numFmt w:val="lowerLetter"/>
      <w:lvlText w:val="%2)"/>
      <w:lvlJc w:val="left"/>
      <w:pPr>
        <w:ind w:left="820" w:hanging="440"/>
      </w:pPr>
    </w:lvl>
    <w:lvl w:ilvl="2" w:tentative="0">
      <w:start w:val="1"/>
      <w:numFmt w:val="lowerRoman"/>
      <w:lvlText w:val="%3."/>
      <w:lvlJc w:val="right"/>
      <w:pPr>
        <w:ind w:left="1260" w:hanging="440"/>
      </w:pPr>
    </w:lvl>
    <w:lvl w:ilvl="3" w:tentative="0">
      <w:start w:val="1"/>
      <w:numFmt w:val="decimal"/>
      <w:lvlText w:val="%4."/>
      <w:lvlJc w:val="left"/>
      <w:pPr>
        <w:ind w:left="1700" w:hanging="440"/>
      </w:pPr>
    </w:lvl>
    <w:lvl w:ilvl="4" w:tentative="0">
      <w:start w:val="1"/>
      <w:numFmt w:val="lowerLetter"/>
      <w:lvlText w:val="%5)"/>
      <w:lvlJc w:val="left"/>
      <w:pPr>
        <w:ind w:left="2140" w:hanging="440"/>
      </w:pPr>
    </w:lvl>
    <w:lvl w:ilvl="5" w:tentative="0">
      <w:start w:val="1"/>
      <w:numFmt w:val="lowerRoman"/>
      <w:lvlText w:val="%6."/>
      <w:lvlJc w:val="right"/>
      <w:pPr>
        <w:ind w:left="2580" w:hanging="440"/>
      </w:pPr>
    </w:lvl>
    <w:lvl w:ilvl="6" w:tentative="0">
      <w:start w:val="1"/>
      <w:numFmt w:val="decimal"/>
      <w:lvlText w:val="%7."/>
      <w:lvlJc w:val="left"/>
      <w:pPr>
        <w:ind w:left="3020" w:hanging="440"/>
      </w:pPr>
    </w:lvl>
    <w:lvl w:ilvl="7" w:tentative="0">
      <w:start w:val="1"/>
      <w:numFmt w:val="lowerLetter"/>
      <w:lvlText w:val="%8)"/>
      <w:lvlJc w:val="left"/>
      <w:pPr>
        <w:ind w:left="3460" w:hanging="440"/>
      </w:pPr>
    </w:lvl>
    <w:lvl w:ilvl="8" w:tentative="0">
      <w:start w:val="1"/>
      <w:numFmt w:val="lowerRoman"/>
      <w:lvlText w:val="%9."/>
      <w:lvlJc w:val="right"/>
      <w:pPr>
        <w:ind w:left="3900" w:hanging="440"/>
      </w:pPr>
    </w:lvl>
  </w:abstractNum>
  <w:abstractNum w:abstractNumId="6">
    <w:nsid w:val="2FE761EC"/>
    <w:multiLevelType w:val="multilevel"/>
    <w:tmpl w:val="2FE761EC"/>
    <w:lvl w:ilvl="0" w:tentative="0">
      <w:start w:val="1"/>
      <w:numFmt w:val="decimal"/>
      <w:suff w:val="space"/>
      <w:lvlText w:val="（%1）"/>
      <w:lvlJc w:val="left"/>
      <w:pPr>
        <w:ind w:left="440" w:hanging="440"/>
      </w:pPr>
      <w:rPr>
        <w:rFonts w:hint="eastAsia" w:hAnsi="宋体" w:cs="宋体"/>
        <w:b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3AB48CB3"/>
    <w:multiLevelType w:val="singleLevel"/>
    <w:tmpl w:val="3AB48CB3"/>
    <w:lvl w:ilvl="0" w:tentative="0">
      <w:start w:val="1"/>
      <w:numFmt w:val="decimal"/>
      <w:suff w:val="nothing"/>
      <w:lvlText w:val="（%1）"/>
      <w:lvlJc w:val="left"/>
    </w:lvl>
  </w:abstractNum>
  <w:abstractNum w:abstractNumId="8">
    <w:nsid w:val="42450C71"/>
    <w:multiLevelType w:val="multilevel"/>
    <w:tmpl w:val="42450C71"/>
    <w:lvl w:ilvl="0" w:tentative="0">
      <w:start w:val="1"/>
      <w:numFmt w:val="decimal"/>
      <w:suff w:val="space"/>
      <w:lvlText w:val="%1）"/>
      <w:lvlJc w:val="left"/>
      <w:pPr>
        <w:ind w:left="1260" w:hanging="420"/>
      </w:pPr>
      <w:rPr>
        <w:rFonts w:hint="default"/>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9">
    <w:nsid w:val="46916F2A"/>
    <w:multiLevelType w:val="multilevel"/>
    <w:tmpl w:val="46916F2A"/>
    <w:lvl w:ilvl="0" w:tentative="0">
      <w:start w:val="1"/>
      <w:numFmt w:val="decimal"/>
      <w:suff w:val="space"/>
      <w:lvlText w:val="（%1）"/>
      <w:lvlJc w:val="left"/>
      <w:pPr>
        <w:ind w:left="440" w:hanging="440"/>
      </w:pPr>
      <w:rPr>
        <w:rFonts w:hint="eastAsia" w:hAnsi="宋体" w:cs="宋体"/>
        <w:b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50632605"/>
    <w:multiLevelType w:val="multilevel"/>
    <w:tmpl w:val="50632605"/>
    <w:lvl w:ilvl="0" w:tentative="0">
      <w:start w:val="1"/>
      <w:numFmt w:val="decimal"/>
      <w:suff w:val="space"/>
      <w:lvlText w:val="%1）"/>
      <w:lvlJc w:val="left"/>
      <w:pPr>
        <w:ind w:left="1260" w:hanging="420"/>
      </w:pPr>
      <w:rPr>
        <w:rFonts w:hint="default"/>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11">
    <w:nsid w:val="65B634C0"/>
    <w:multiLevelType w:val="multilevel"/>
    <w:tmpl w:val="65B634C0"/>
    <w:lvl w:ilvl="0" w:tentative="0">
      <w:start w:val="1"/>
      <w:numFmt w:val="decimal"/>
      <w:suff w:val="space"/>
      <w:lvlText w:val="（%1）"/>
      <w:lvlJc w:val="left"/>
      <w:pPr>
        <w:ind w:left="440" w:hanging="440"/>
      </w:pPr>
      <w:rPr>
        <w:rFonts w:hint="eastAsia" w:hAnsi="宋体" w:cs="宋体"/>
        <w:b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680F52FA"/>
    <w:multiLevelType w:val="multilevel"/>
    <w:tmpl w:val="680F52FA"/>
    <w:lvl w:ilvl="0" w:tentative="0">
      <w:start w:val="1"/>
      <w:numFmt w:val="decimal"/>
      <w:suff w:val="space"/>
      <w:lvlText w:val="（%1）"/>
      <w:lvlJc w:val="left"/>
      <w:pPr>
        <w:ind w:left="440" w:hanging="440"/>
      </w:pPr>
      <w:rPr>
        <w:rFonts w:hint="eastAsia" w:hAnsi="宋体" w:cs="宋体"/>
        <w:b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6D912ED3"/>
    <w:multiLevelType w:val="multilevel"/>
    <w:tmpl w:val="6D912ED3"/>
    <w:lvl w:ilvl="0" w:tentative="0">
      <w:start w:val="1"/>
      <w:numFmt w:val="decimal"/>
      <w:suff w:val="space"/>
      <w:lvlText w:val="%1）"/>
      <w:lvlJc w:val="left"/>
      <w:pPr>
        <w:ind w:left="1260" w:hanging="420"/>
      </w:pPr>
      <w:rPr>
        <w:rFonts w:hint="default"/>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14">
    <w:nsid w:val="74250C2D"/>
    <w:multiLevelType w:val="multilevel"/>
    <w:tmpl w:val="74250C2D"/>
    <w:lvl w:ilvl="0" w:tentative="0">
      <w:start w:val="1"/>
      <w:numFmt w:val="decimal"/>
      <w:suff w:val="space"/>
      <w:lvlText w:val="%1）"/>
      <w:lvlJc w:val="left"/>
      <w:pPr>
        <w:ind w:left="1260" w:hanging="420"/>
      </w:pPr>
      <w:rPr>
        <w:rFonts w:hint="default"/>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15">
    <w:nsid w:val="75ED633A"/>
    <w:multiLevelType w:val="multilevel"/>
    <w:tmpl w:val="75ED633A"/>
    <w:lvl w:ilvl="0" w:tentative="0">
      <w:start w:val="1"/>
      <w:numFmt w:val="decimal"/>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6">
    <w:nsid w:val="7D410508"/>
    <w:multiLevelType w:val="multilevel"/>
    <w:tmpl w:val="7D410508"/>
    <w:lvl w:ilvl="0" w:tentative="0">
      <w:start w:val="1"/>
      <w:numFmt w:val="decimal"/>
      <w:suff w:val="space"/>
      <w:lvlText w:val="（%1）"/>
      <w:lvlJc w:val="left"/>
      <w:pPr>
        <w:ind w:left="440" w:hanging="440"/>
      </w:pPr>
      <w:rPr>
        <w:rFonts w:hint="eastAsia" w:hAnsi="宋体" w:cs="宋体"/>
        <w:b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 w:numId="3">
    <w:abstractNumId w:val="7"/>
  </w:num>
  <w:num w:numId="4">
    <w:abstractNumId w:val="5"/>
  </w:num>
  <w:num w:numId="5">
    <w:abstractNumId w:val="11"/>
  </w:num>
  <w:num w:numId="6">
    <w:abstractNumId w:val="3"/>
  </w:num>
  <w:num w:numId="7">
    <w:abstractNumId w:val="12"/>
  </w:num>
  <w:num w:numId="8">
    <w:abstractNumId w:val="16"/>
  </w:num>
  <w:num w:numId="9">
    <w:abstractNumId w:val="9"/>
  </w:num>
  <w:num w:numId="10">
    <w:abstractNumId w:val="6"/>
  </w:num>
  <w:num w:numId="11">
    <w:abstractNumId w:val="14"/>
  </w:num>
  <w:num w:numId="12">
    <w:abstractNumId w:val="10"/>
  </w:num>
  <w:num w:numId="13">
    <w:abstractNumId w:val="4"/>
  </w:num>
  <w:num w:numId="14">
    <w:abstractNumId w:val="8"/>
  </w:num>
  <w:num w:numId="15">
    <w:abstractNumId w:val="2"/>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wNzQzZmZjYmFjODc5MDUyMDk0NTBmZTAxMTQwMDAifQ=="/>
  </w:docVars>
  <w:rsids>
    <w:rsidRoot w:val="00172A27"/>
    <w:rsid w:val="000004CD"/>
    <w:rsid w:val="00001783"/>
    <w:rsid w:val="00001797"/>
    <w:rsid w:val="0000273B"/>
    <w:rsid w:val="000041A8"/>
    <w:rsid w:val="000055D7"/>
    <w:rsid w:val="0001343F"/>
    <w:rsid w:val="0001529F"/>
    <w:rsid w:val="000157E2"/>
    <w:rsid w:val="0001697A"/>
    <w:rsid w:val="000169E1"/>
    <w:rsid w:val="00020D78"/>
    <w:rsid w:val="00021486"/>
    <w:rsid w:val="00021AE8"/>
    <w:rsid w:val="00022E94"/>
    <w:rsid w:val="000313B5"/>
    <w:rsid w:val="00032B95"/>
    <w:rsid w:val="000333A8"/>
    <w:rsid w:val="000434F9"/>
    <w:rsid w:val="00043533"/>
    <w:rsid w:val="00045D67"/>
    <w:rsid w:val="0004677C"/>
    <w:rsid w:val="000538CC"/>
    <w:rsid w:val="000541C7"/>
    <w:rsid w:val="00054A8E"/>
    <w:rsid w:val="00055A71"/>
    <w:rsid w:val="00056583"/>
    <w:rsid w:val="00056932"/>
    <w:rsid w:val="00057BB2"/>
    <w:rsid w:val="0006019D"/>
    <w:rsid w:val="000612B3"/>
    <w:rsid w:val="00061B68"/>
    <w:rsid w:val="00063750"/>
    <w:rsid w:val="00065379"/>
    <w:rsid w:val="000673C5"/>
    <w:rsid w:val="00070907"/>
    <w:rsid w:val="000719AB"/>
    <w:rsid w:val="00073852"/>
    <w:rsid w:val="00076670"/>
    <w:rsid w:val="00080B56"/>
    <w:rsid w:val="00080FC7"/>
    <w:rsid w:val="00081D11"/>
    <w:rsid w:val="00083115"/>
    <w:rsid w:val="00093645"/>
    <w:rsid w:val="00096150"/>
    <w:rsid w:val="00096F54"/>
    <w:rsid w:val="000A31C4"/>
    <w:rsid w:val="000A3727"/>
    <w:rsid w:val="000A49C1"/>
    <w:rsid w:val="000A799B"/>
    <w:rsid w:val="000B3242"/>
    <w:rsid w:val="000B3392"/>
    <w:rsid w:val="000B362F"/>
    <w:rsid w:val="000B366A"/>
    <w:rsid w:val="000B6C50"/>
    <w:rsid w:val="000C0FDF"/>
    <w:rsid w:val="000C15AF"/>
    <w:rsid w:val="000C3524"/>
    <w:rsid w:val="000C5071"/>
    <w:rsid w:val="000C55ED"/>
    <w:rsid w:val="000C66DC"/>
    <w:rsid w:val="000C6F86"/>
    <w:rsid w:val="000D10E4"/>
    <w:rsid w:val="000D1613"/>
    <w:rsid w:val="000D19C1"/>
    <w:rsid w:val="000D4E69"/>
    <w:rsid w:val="000D5125"/>
    <w:rsid w:val="000D75FC"/>
    <w:rsid w:val="000D7812"/>
    <w:rsid w:val="000E1288"/>
    <w:rsid w:val="000E1E88"/>
    <w:rsid w:val="000E3784"/>
    <w:rsid w:val="000E37E0"/>
    <w:rsid w:val="000E47A0"/>
    <w:rsid w:val="000E597F"/>
    <w:rsid w:val="000E5BFC"/>
    <w:rsid w:val="000E694F"/>
    <w:rsid w:val="000E6F85"/>
    <w:rsid w:val="000E7158"/>
    <w:rsid w:val="000E74D4"/>
    <w:rsid w:val="000F2D05"/>
    <w:rsid w:val="000F2EEE"/>
    <w:rsid w:val="000F4234"/>
    <w:rsid w:val="000F6215"/>
    <w:rsid w:val="000F63C8"/>
    <w:rsid w:val="000F6581"/>
    <w:rsid w:val="00102417"/>
    <w:rsid w:val="001032CC"/>
    <w:rsid w:val="00105B0B"/>
    <w:rsid w:val="0011024E"/>
    <w:rsid w:val="00112163"/>
    <w:rsid w:val="00114579"/>
    <w:rsid w:val="00115BF1"/>
    <w:rsid w:val="0012032C"/>
    <w:rsid w:val="0012244B"/>
    <w:rsid w:val="001224B5"/>
    <w:rsid w:val="00122643"/>
    <w:rsid w:val="0012425B"/>
    <w:rsid w:val="001244F8"/>
    <w:rsid w:val="001247F0"/>
    <w:rsid w:val="001252D8"/>
    <w:rsid w:val="001257D4"/>
    <w:rsid w:val="00131E0D"/>
    <w:rsid w:val="0013359E"/>
    <w:rsid w:val="00137694"/>
    <w:rsid w:val="00141EAC"/>
    <w:rsid w:val="00143652"/>
    <w:rsid w:val="0014627C"/>
    <w:rsid w:val="0015142E"/>
    <w:rsid w:val="00154A67"/>
    <w:rsid w:val="00157C74"/>
    <w:rsid w:val="00157D8E"/>
    <w:rsid w:val="00161678"/>
    <w:rsid w:val="00161D71"/>
    <w:rsid w:val="00162805"/>
    <w:rsid w:val="00165014"/>
    <w:rsid w:val="0017180F"/>
    <w:rsid w:val="001733C3"/>
    <w:rsid w:val="00173BFF"/>
    <w:rsid w:val="00174749"/>
    <w:rsid w:val="00174FCA"/>
    <w:rsid w:val="00175AFB"/>
    <w:rsid w:val="00176F12"/>
    <w:rsid w:val="001770BE"/>
    <w:rsid w:val="00177A3E"/>
    <w:rsid w:val="00183E4B"/>
    <w:rsid w:val="00187B13"/>
    <w:rsid w:val="00187EB4"/>
    <w:rsid w:val="0019618B"/>
    <w:rsid w:val="00196FA0"/>
    <w:rsid w:val="001A3B44"/>
    <w:rsid w:val="001A4571"/>
    <w:rsid w:val="001A5EEB"/>
    <w:rsid w:val="001A62A5"/>
    <w:rsid w:val="001B4216"/>
    <w:rsid w:val="001B49A4"/>
    <w:rsid w:val="001B521B"/>
    <w:rsid w:val="001B5CC8"/>
    <w:rsid w:val="001B6587"/>
    <w:rsid w:val="001C0582"/>
    <w:rsid w:val="001C058D"/>
    <w:rsid w:val="001C24DD"/>
    <w:rsid w:val="001C54C3"/>
    <w:rsid w:val="001C577E"/>
    <w:rsid w:val="001D027D"/>
    <w:rsid w:val="001D4A1E"/>
    <w:rsid w:val="001D70E9"/>
    <w:rsid w:val="001E181E"/>
    <w:rsid w:val="001E1DCD"/>
    <w:rsid w:val="001E4481"/>
    <w:rsid w:val="001E44EF"/>
    <w:rsid w:val="001E6C1A"/>
    <w:rsid w:val="001E7629"/>
    <w:rsid w:val="001E7846"/>
    <w:rsid w:val="001E7E8B"/>
    <w:rsid w:val="001F2F0B"/>
    <w:rsid w:val="001F3130"/>
    <w:rsid w:val="001F5903"/>
    <w:rsid w:val="001F70FA"/>
    <w:rsid w:val="001F7292"/>
    <w:rsid w:val="002001DC"/>
    <w:rsid w:val="002032B0"/>
    <w:rsid w:val="00203778"/>
    <w:rsid w:val="0020407A"/>
    <w:rsid w:val="00210AE7"/>
    <w:rsid w:val="002123C7"/>
    <w:rsid w:val="002124BD"/>
    <w:rsid w:val="00213411"/>
    <w:rsid w:val="00216D4F"/>
    <w:rsid w:val="00216E43"/>
    <w:rsid w:val="00220866"/>
    <w:rsid w:val="002231A4"/>
    <w:rsid w:val="00223245"/>
    <w:rsid w:val="00224447"/>
    <w:rsid w:val="00224A77"/>
    <w:rsid w:val="0022671D"/>
    <w:rsid w:val="0023090E"/>
    <w:rsid w:val="00231C64"/>
    <w:rsid w:val="00232C22"/>
    <w:rsid w:val="0023318A"/>
    <w:rsid w:val="00234EA0"/>
    <w:rsid w:val="00236A9B"/>
    <w:rsid w:val="0023715B"/>
    <w:rsid w:val="00237592"/>
    <w:rsid w:val="00244A0E"/>
    <w:rsid w:val="00244F73"/>
    <w:rsid w:val="002501BB"/>
    <w:rsid w:val="002509CA"/>
    <w:rsid w:val="00250C1D"/>
    <w:rsid w:val="00251A29"/>
    <w:rsid w:val="00251B89"/>
    <w:rsid w:val="00253615"/>
    <w:rsid w:val="00253950"/>
    <w:rsid w:val="00254F7E"/>
    <w:rsid w:val="0025569E"/>
    <w:rsid w:val="002564FE"/>
    <w:rsid w:val="002603EB"/>
    <w:rsid w:val="00261FEB"/>
    <w:rsid w:val="00264327"/>
    <w:rsid w:val="002650F1"/>
    <w:rsid w:val="00266403"/>
    <w:rsid w:val="00266406"/>
    <w:rsid w:val="002679CA"/>
    <w:rsid w:val="00272722"/>
    <w:rsid w:val="002745E7"/>
    <w:rsid w:val="002760AC"/>
    <w:rsid w:val="00277935"/>
    <w:rsid w:val="00277E8E"/>
    <w:rsid w:val="00280DD6"/>
    <w:rsid w:val="00282496"/>
    <w:rsid w:val="00283033"/>
    <w:rsid w:val="002854DC"/>
    <w:rsid w:val="0028616B"/>
    <w:rsid w:val="00290CDE"/>
    <w:rsid w:val="00290DE2"/>
    <w:rsid w:val="002959CC"/>
    <w:rsid w:val="002A0C27"/>
    <w:rsid w:val="002A2315"/>
    <w:rsid w:val="002A2732"/>
    <w:rsid w:val="002A3153"/>
    <w:rsid w:val="002A6C9C"/>
    <w:rsid w:val="002C10AC"/>
    <w:rsid w:val="002C2AE8"/>
    <w:rsid w:val="002C2FF3"/>
    <w:rsid w:val="002C3A5A"/>
    <w:rsid w:val="002C4ABE"/>
    <w:rsid w:val="002C71EC"/>
    <w:rsid w:val="002C7548"/>
    <w:rsid w:val="002C780B"/>
    <w:rsid w:val="002C7E47"/>
    <w:rsid w:val="002D2C13"/>
    <w:rsid w:val="002D2FFB"/>
    <w:rsid w:val="002D4E0A"/>
    <w:rsid w:val="002D4E16"/>
    <w:rsid w:val="002D505C"/>
    <w:rsid w:val="002D5DF8"/>
    <w:rsid w:val="002E334D"/>
    <w:rsid w:val="002E486A"/>
    <w:rsid w:val="002E53C0"/>
    <w:rsid w:val="002E766C"/>
    <w:rsid w:val="002F02C8"/>
    <w:rsid w:val="002F0A07"/>
    <w:rsid w:val="002F2D5F"/>
    <w:rsid w:val="002F46DC"/>
    <w:rsid w:val="002F5145"/>
    <w:rsid w:val="002F5CB9"/>
    <w:rsid w:val="002F5E9B"/>
    <w:rsid w:val="002F683C"/>
    <w:rsid w:val="00310C52"/>
    <w:rsid w:val="0031140B"/>
    <w:rsid w:val="00314E3D"/>
    <w:rsid w:val="00317120"/>
    <w:rsid w:val="003171BB"/>
    <w:rsid w:val="0032100C"/>
    <w:rsid w:val="003212C2"/>
    <w:rsid w:val="00321921"/>
    <w:rsid w:val="00321926"/>
    <w:rsid w:val="00324608"/>
    <w:rsid w:val="00327707"/>
    <w:rsid w:val="0033060D"/>
    <w:rsid w:val="003318F3"/>
    <w:rsid w:val="00331ECA"/>
    <w:rsid w:val="00333919"/>
    <w:rsid w:val="00334F3E"/>
    <w:rsid w:val="003379AF"/>
    <w:rsid w:val="00337C5C"/>
    <w:rsid w:val="00340C75"/>
    <w:rsid w:val="00343E4C"/>
    <w:rsid w:val="003528B8"/>
    <w:rsid w:val="00352BC8"/>
    <w:rsid w:val="00355D82"/>
    <w:rsid w:val="00356CAF"/>
    <w:rsid w:val="003612A6"/>
    <w:rsid w:val="003671F3"/>
    <w:rsid w:val="00367712"/>
    <w:rsid w:val="00367C88"/>
    <w:rsid w:val="00367DB2"/>
    <w:rsid w:val="00370B19"/>
    <w:rsid w:val="00371C8C"/>
    <w:rsid w:val="00373408"/>
    <w:rsid w:val="003748EB"/>
    <w:rsid w:val="00375DCD"/>
    <w:rsid w:val="00376F36"/>
    <w:rsid w:val="003800A6"/>
    <w:rsid w:val="0038151E"/>
    <w:rsid w:val="00382FFA"/>
    <w:rsid w:val="00383B0A"/>
    <w:rsid w:val="0038491D"/>
    <w:rsid w:val="00387606"/>
    <w:rsid w:val="00391DD2"/>
    <w:rsid w:val="003925E1"/>
    <w:rsid w:val="00393D74"/>
    <w:rsid w:val="003943A7"/>
    <w:rsid w:val="00396A66"/>
    <w:rsid w:val="003A0E06"/>
    <w:rsid w:val="003A1A69"/>
    <w:rsid w:val="003A37B8"/>
    <w:rsid w:val="003A582F"/>
    <w:rsid w:val="003A6B72"/>
    <w:rsid w:val="003B020F"/>
    <w:rsid w:val="003B3917"/>
    <w:rsid w:val="003B41D9"/>
    <w:rsid w:val="003B4356"/>
    <w:rsid w:val="003B5422"/>
    <w:rsid w:val="003B7293"/>
    <w:rsid w:val="003B7D7E"/>
    <w:rsid w:val="003C0EF3"/>
    <w:rsid w:val="003C53B2"/>
    <w:rsid w:val="003C6422"/>
    <w:rsid w:val="003C6C9A"/>
    <w:rsid w:val="003D6961"/>
    <w:rsid w:val="003E01CA"/>
    <w:rsid w:val="003E2C77"/>
    <w:rsid w:val="003E2C89"/>
    <w:rsid w:val="003E3C14"/>
    <w:rsid w:val="003E6516"/>
    <w:rsid w:val="003E747A"/>
    <w:rsid w:val="003F0149"/>
    <w:rsid w:val="003F11BD"/>
    <w:rsid w:val="003F4748"/>
    <w:rsid w:val="003F61AC"/>
    <w:rsid w:val="00401267"/>
    <w:rsid w:val="00401B70"/>
    <w:rsid w:val="00402836"/>
    <w:rsid w:val="0040298F"/>
    <w:rsid w:val="0040367C"/>
    <w:rsid w:val="00404B23"/>
    <w:rsid w:val="00405154"/>
    <w:rsid w:val="004109B8"/>
    <w:rsid w:val="00411CA3"/>
    <w:rsid w:val="0041238C"/>
    <w:rsid w:val="00412829"/>
    <w:rsid w:val="0041314E"/>
    <w:rsid w:val="00414EDB"/>
    <w:rsid w:val="004164DF"/>
    <w:rsid w:val="0042141B"/>
    <w:rsid w:val="00425FB2"/>
    <w:rsid w:val="004261AF"/>
    <w:rsid w:val="00426BB0"/>
    <w:rsid w:val="00427182"/>
    <w:rsid w:val="00433EEA"/>
    <w:rsid w:val="004408B0"/>
    <w:rsid w:val="004408EE"/>
    <w:rsid w:val="00441C7F"/>
    <w:rsid w:val="00441E5E"/>
    <w:rsid w:val="0044524F"/>
    <w:rsid w:val="0044654E"/>
    <w:rsid w:val="004504F2"/>
    <w:rsid w:val="00450C1F"/>
    <w:rsid w:val="00455240"/>
    <w:rsid w:val="0045705D"/>
    <w:rsid w:val="00457AEF"/>
    <w:rsid w:val="0046046C"/>
    <w:rsid w:val="004663F3"/>
    <w:rsid w:val="00467553"/>
    <w:rsid w:val="00471F78"/>
    <w:rsid w:val="00473B94"/>
    <w:rsid w:val="00473DC2"/>
    <w:rsid w:val="0047556E"/>
    <w:rsid w:val="00475991"/>
    <w:rsid w:val="00475B13"/>
    <w:rsid w:val="00480D8D"/>
    <w:rsid w:val="004814E5"/>
    <w:rsid w:val="004827CD"/>
    <w:rsid w:val="00484641"/>
    <w:rsid w:val="004846F8"/>
    <w:rsid w:val="00485EFC"/>
    <w:rsid w:val="00490A94"/>
    <w:rsid w:val="004911E4"/>
    <w:rsid w:val="004912F4"/>
    <w:rsid w:val="004922BC"/>
    <w:rsid w:val="00492CE8"/>
    <w:rsid w:val="00493558"/>
    <w:rsid w:val="00493EC9"/>
    <w:rsid w:val="00494ECE"/>
    <w:rsid w:val="00495251"/>
    <w:rsid w:val="00495B0C"/>
    <w:rsid w:val="004963A5"/>
    <w:rsid w:val="004A1759"/>
    <w:rsid w:val="004A2275"/>
    <w:rsid w:val="004A2A68"/>
    <w:rsid w:val="004A3872"/>
    <w:rsid w:val="004A3AC0"/>
    <w:rsid w:val="004A42D0"/>
    <w:rsid w:val="004A4ED0"/>
    <w:rsid w:val="004A6F61"/>
    <w:rsid w:val="004B0706"/>
    <w:rsid w:val="004B22B1"/>
    <w:rsid w:val="004B3489"/>
    <w:rsid w:val="004B46E5"/>
    <w:rsid w:val="004B6542"/>
    <w:rsid w:val="004B72A3"/>
    <w:rsid w:val="004C1E33"/>
    <w:rsid w:val="004C6870"/>
    <w:rsid w:val="004D29A3"/>
    <w:rsid w:val="004D4D48"/>
    <w:rsid w:val="004D5250"/>
    <w:rsid w:val="004D6AD9"/>
    <w:rsid w:val="004E0517"/>
    <w:rsid w:val="004E0C12"/>
    <w:rsid w:val="004E13F0"/>
    <w:rsid w:val="004E4854"/>
    <w:rsid w:val="004E5FCE"/>
    <w:rsid w:val="004F036B"/>
    <w:rsid w:val="004F052D"/>
    <w:rsid w:val="004F0E54"/>
    <w:rsid w:val="004F7B7E"/>
    <w:rsid w:val="00501785"/>
    <w:rsid w:val="00503724"/>
    <w:rsid w:val="00504E3C"/>
    <w:rsid w:val="00507AD5"/>
    <w:rsid w:val="00513F7C"/>
    <w:rsid w:val="005149B8"/>
    <w:rsid w:val="005168FA"/>
    <w:rsid w:val="005175C0"/>
    <w:rsid w:val="00520001"/>
    <w:rsid w:val="00521717"/>
    <w:rsid w:val="005227D6"/>
    <w:rsid w:val="00522EA1"/>
    <w:rsid w:val="0052391C"/>
    <w:rsid w:val="0052393A"/>
    <w:rsid w:val="00530C3F"/>
    <w:rsid w:val="00532B1D"/>
    <w:rsid w:val="00533524"/>
    <w:rsid w:val="00534347"/>
    <w:rsid w:val="00540C55"/>
    <w:rsid w:val="00542227"/>
    <w:rsid w:val="005422EB"/>
    <w:rsid w:val="0054426F"/>
    <w:rsid w:val="0054508F"/>
    <w:rsid w:val="00546F3A"/>
    <w:rsid w:val="005475C6"/>
    <w:rsid w:val="00550C61"/>
    <w:rsid w:val="00552FBA"/>
    <w:rsid w:val="00554D9D"/>
    <w:rsid w:val="00555A82"/>
    <w:rsid w:val="00556C52"/>
    <w:rsid w:val="0056008C"/>
    <w:rsid w:val="005620BF"/>
    <w:rsid w:val="00570A8A"/>
    <w:rsid w:val="00571BE1"/>
    <w:rsid w:val="0057268E"/>
    <w:rsid w:val="00573C95"/>
    <w:rsid w:val="005750B7"/>
    <w:rsid w:val="005806C7"/>
    <w:rsid w:val="00582CA5"/>
    <w:rsid w:val="00582FE9"/>
    <w:rsid w:val="0058511B"/>
    <w:rsid w:val="005852AF"/>
    <w:rsid w:val="00586FF5"/>
    <w:rsid w:val="005A0332"/>
    <w:rsid w:val="005A1737"/>
    <w:rsid w:val="005A1914"/>
    <w:rsid w:val="005A1D6F"/>
    <w:rsid w:val="005A378B"/>
    <w:rsid w:val="005A3804"/>
    <w:rsid w:val="005A40B3"/>
    <w:rsid w:val="005B1361"/>
    <w:rsid w:val="005B177D"/>
    <w:rsid w:val="005B3B4A"/>
    <w:rsid w:val="005B4C4C"/>
    <w:rsid w:val="005B7966"/>
    <w:rsid w:val="005C0341"/>
    <w:rsid w:val="005C3CDD"/>
    <w:rsid w:val="005D2B33"/>
    <w:rsid w:val="005D4B36"/>
    <w:rsid w:val="005D5B37"/>
    <w:rsid w:val="005D6D35"/>
    <w:rsid w:val="005E1062"/>
    <w:rsid w:val="005E12BD"/>
    <w:rsid w:val="005E132E"/>
    <w:rsid w:val="005E1F41"/>
    <w:rsid w:val="005E305E"/>
    <w:rsid w:val="005E3ECC"/>
    <w:rsid w:val="005E53A4"/>
    <w:rsid w:val="005F1F63"/>
    <w:rsid w:val="005F324D"/>
    <w:rsid w:val="005F4C0F"/>
    <w:rsid w:val="006011F9"/>
    <w:rsid w:val="006016B0"/>
    <w:rsid w:val="00602247"/>
    <w:rsid w:val="006054AE"/>
    <w:rsid w:val="00606661"/>
    <w:rsid w:val="00612A91"/>
    <w:rsid w:val="00615BD4"/>
    <w:rsid w:val="006176D9"/>
    <w:rsid w:val="0062063C"/>
    <w:rsid w:val="00621EEA"/>
    <w:rsid w:val="00622049"/>
    <w:rsid w:val="006267AC"/>
    <w:rsid w:val="006275F8"/>
    <w:rsid w:val="00630C8F"/>
    <w:rsid w:val="0063126C"/>
    <w:rsid w:val="006321D9"/>
    <w:rsid w:val="00635ACD"/>
    <w:rsid w:val="00645F9B"/>
    <w:rsid w:val="006462F4"/>
    <w:rsid w:val="00646C7B"/>
    <w:rsid w:val="00653EEF"/>
    <w:rsid w:val="00656DB1"/>
    <w:rsid w:val="0065706C"/>
    <w:rsid w:val="006570F3"/>
    <w:rsid w:val="006574CA"/>
    <w:rsid w:val="0066028F"/>
    <w:rsid w:val="00663087"/>
    <w:rsid w:val="00666E6E"/>
    <w:rsid w:val="00667926"/>
    <w:rsid w:val="00672A07"/>
    <w:rsid w:val="00672A3D"/>
    <w:rsid w:val="00673284"/>
    <w:rsid w:val="00673C56"/>
    <w:rsid w:val="00674E3C"/>
    <w:rsid w:val="00684218"/>
    <w:rsid w:val="00684A17"/>
    <w:rsid w:val="0068548A"/>
    <w:rsid w:val="00686ACA"/>
    <w:rsid w:val="006904AF"/>
    <w:rsid w:val="00695821"/>
    <w:rsid w:val="0069607D"/>
    <w:rsid w:val="006960C5"/>
    <w:rsid w:val="006A05F8"/>
    <w:rsid w:val="006A0897"/>
    <w:rsid w:val="006A27B1"/>
    <w:rsid w:val="006A4246"/>
    <w:rsid w:val="006A56B9"/>
    <w:rsid w:val="006A64EB"/>
    <w:rsid w:val="006A7750"/>
    <w:rsid w:val="006A7FD4"/>
    <w:rsid w:val="006B0E91"/>
    <w:rsid w:val="006B1891"/>
    <w:rsid w:val="006B37AE"/>
    <w:rsid w:val="006B3C07"/>
    <w:rsid w:val="006B476E"/>
    <w:rsid w:val="006B7254"/>
    <w:rsid w:val="006B73B9"/>
    <w:rsid w:val="006C0F43"/>
    <w:rsid w:val="006C2D51"/>
    <w:rsid w:val="006C4083"/>
    <w:rsid w:val="006C4B81"/>
    <w:rsid w:val="006C517C"/>
    <w:rsid w:val="006C5CAA"/>
    <w:rsid w:val="006C6855"/>
    <w:rsid w:val="006C7F43"/>
    <w:rsid w:val="006D16F3"/>
    <w:rsid w:val="006D49E3"/>
    <w:rsid w:val="006D4C2C"/>
    <w:rsid w:val="006D62FF"/>
    <w:rsid w:val="006E019F"/>
    <w:rsid w:val="006E18C4"/>
    <w:rsid w:val="006E3E50"/>
    <w:rsid w:val="006E402A"/>
    <w:rsid w:val="006E525F"/>
    <w:rsid w:val="006E74F5"/>
    <w:rsid w:val="006E7DCA"/>
    <w:rsid w:val="006F03B7"/>
    <w:rsid w:val="006F2035"/>
    <w:rsid w:val="006F28EE"/>
    <w:rsid w:val="006F42C2"/>
    <w:rsid w:val="006F602A"/>
    <w:rsid w:val="006F7412"/>
    <w:rsid w:val="00704E65"/>
    <w:rsid w:val="0071025E"/>
    <w:rsid w:val="007105A5"/>
    <w:rsid w:val="00710B8D"/>
    <w:rsid w:val="007112D3"/>
    <w:rsid w:val="00712CF9"/>
    <w:rsid w:val="00713024"/>
    <w:rsid w:val="00713EA1"/>
    <w:rsid w:val="00715D6B"/>
    <w:rsid w:val="00717F6B"/>
    <w:rsid w:val="007212F0"/>
    <w:rsid w:val="00722EC6"/>
    <w:rsid w:val="00723FF6"/>
    <w:rsid w:val="0072460B"/>
    <w:rsid w:val="00726876"/>
    <w:rsid w:val="007269B1"/>
    <w:rsid w:val="00730DF7"/>
    <w:rsid w:val="0073123A"/>
    <w:rsid w:val="007331F6"/>
    <w:rsid w:val="0073362F"/>
    <w:rsid w:val="00733A3E"/>
    <w:rsid w:val="00736B54"/>
    <w:rsid w:val="00740605"/>
    <w:rsid w:val="00740FA5"/>
    <w:rsid w:val="007440A8"/>
    <w:rsid w:val="00747B97"/>
    <w:rsid w:val="00747DD4"/>
    <w:rsid w:val="00751820"/>
    <w:rsid w:val="00751B7E"/>
    <w:rsid w:val="00752AB2"/>
    <w:rsid w:val="00754193"/>
    <w:rsid w:val="007556C8"/>
    <w:rsid w:val="00756FA1"/>
    <w:rsid w:val="007605DF"/>
    <w:rsid w:val="0076244A"/>
    <w:rsid w:val="00762D9D"/>
    <w:rsid w:val="00763FD6"/>
    <w:rsid w:val="0076431D"/>
    <w:rsid w:val="00766DE9"/>
    <w:rsid w:val="007678A5"/>
    <w:rsid w:val="00770841"/>
    <w:rsid w:val="00771F67"/>
    <w:rsid w:val="00772012"/>
    <w:rsid w:val="0077418F"/>
    <w:rsid w:val="00774C01"/>
    <w:rsid w:val="007823C9"/>
    <w:rsid w:val="007835B7"/>
    <w:rsid w:val="007841F7"/>
    <w:rsid w:val="007863E1"/>
    <w:rsid w:val="007910D3"/>
    <w:rsid w:val="0079336E"/>
    <w:rsid w:val="007A5BD0"/>
    <w:rsid w:val="007B4B46"/>
    <w:rsid w:val="007B5E5F"/>
    <w:rsid w:val="007B6CA0"/>
    <w:rsid w:val="007B6F71"/>
    <w:rsid w:val="007C06F8"/>
    <w:rsid w:val="007C27E5"/>
    <w:rsid w:val="007C2E24"/>
    <w:rsid w:val="007C3F78"/>
    <w:rsid w:val="007C4B09"/>
    <w:rsid w:val="007C6167"/>
    <w:rsid w:val="007C6EB8"/>
    <w:rsid w:val="007C7809"/>
    <w:rsid w:val="007D13B9"/>
    <w:rsid w:val="007D2774"/>
    <w:rsid w:val="007D71F7"/>
    <w:rsid w:val="007E024C"/>
    <w:rsid w:val="007E160E"/>
    <w:rsid w:val="007E1BDD"/>
    <w:rsid w:val="007E700C"/>
    <w:rsid w:val="007E7388"/>
    <w:rsid w:val="007F1BAF"/>
    <w:rsid w:val="007F1F1C"/>
    <w:rsid w:val="007F2277"/>
    <w:rsid w:val="007F433C"/>
    <w:rsid w:val="007F4428"/>
    <w:rsid w:val="008004B0"/>
    <w:rsid w:val="008045D9"/>
    <w:rsid w:val="00806C8A"/>
    <w:rsid w:val="0080702C"/>
    <w:rsid w:val="00807165"/>
    <w:rsid w:val="00812094"/>
    <w:rsid w:val="0081333B"/>
    <w:rsid w:val="008140D7"/>
    <w:rsid w:val="0081653B"/>
    <w:rsid w:val="00821DF6"/>
    <w:rsid w:val="00823CCC"/>
    <w:rsid w:val="00827179"/>
    <w:rsid w:val="0083029A"/>
    <w:rsid w:val="00830426"/>
    <w:rsid w:val="00830E02"/>
    <w:rsid w:val="00831C83"/>
    <w:rsid w:val="00831E0A"/>
    <w:rsid w:val="008343C4"/>
    <w:rsid w:val="00835847"/>
    <w:rsid w:val="00835C6F"/>
    <w:rsid w:val="00837429"/>
    <w:rsid w:val="0083745B"/>
    <w:rsid w:val="00840252"/>
    <w:rsid w:val="00840420"/>
    <w:rsid w:val="00842DE3"/>
    <w:rsid w:val="00844F5E"/>
    <w:rsid w:val="008466F8"/>
    <w:rsid w:val="00846701"/>
    <w:rsid w:val="0085232F"/>
    <w:rsid w:val="00854E2A"/>
    <w:rsid w:val="008550CD"/>
    <w:rsid w:val="00857E3A"/>
    <w:rsid w:val="00861135"/>
    <w:rsid w:val="00864495"/>
    <w:rsid w:val="0086449D"/>
    <w:rsid w:val="008651BC"/>
    <w:rsid w:val="00867059"/>
    <w:rsid w:val="00867A5A"/>
    <w:rsid w:val="008711B1"/>
    <w:rsid w:val="00871FBA"/>
    <w:rsid w:val="00872119"/>
    <w:rsid w:val="008722FB"/>
    <w:rsid w:val="00877EA2"/>
    <w:rsid w:val="008808CA"/>
    <w:rsid w:val="00887D93"/>
    <w:rsid w:val="00890912"/>
    <w:rsid w:val="00890D7D"/>
    <w:rsid w:val="008917B4"/>
    <w:rsid w:val="008933C7"/>
    <w:rsid w:val="008941B9"/>
    <w:rsid w:val="00894216"/>
    <w:rsid w:val="008959F9"/>
    <w:rsid w:val="00896786"/>
    <w:rsid w:val="00897413"/>
    <w:rsid w:val="008A118C"/>
    <w:rsid w:val="008A46DC"/>
    <w:rsid w:val="008A4806"/>
    <w:rsid w:val="008A4BF4"/>
    <w:rsid w:val="008A510D"/>
    <w:rsid w:val="008A5EDE"/>
    <w:rsid w:val="008A7A4E"/>
    <w:rsid w:val="008A7C4F"/>
    <w:rsid w:val="008B2FA8"/>
    <w:rsid w:val="008B3253"/>
    <w:rsid w:val="008B3F5C"/>
    <w:rsid w:val="008C020E"/>
    <w:rsid w:val="008C2F9E"/>
    <w:rsid w:val="008D03EA"/>
    <w:rsid w:val="008D16BD"/>
    <w:rsid w:val="008D17A7"/>
    <w:rsid w:val="008D2E91"/>
    <w:rsid w:val="008D58E2"/>
    <w:rsid w:val="008D6283"/>
    <w:rsid w:val="008D7FB0"/>
    <w:rsid w:val="008E050B"/>
    <w:rsid w:val="008E1010"/>
    <w:rsid w:val="008E2C2E"/>
    <w:rsid w:val="008E5C25"/>
    <w:rsid w:val="008E72A8"/>
    <w:rsid w:val="008F0627"/>
    <w:rsid w:val="008F1FF1"/>
    <w:rsid w:val="008F2498"/>
    <w:rsid w:val="008F41FB"/>
    <w:rsid w:val="008F4736"/>
    <w:rsid w:val="008F4B49"/>
    <w:rsid w:val="008F5977"/>
    <w:rsid w:val="008F5C9B"/>
    <w:rsid w:val="009039C8"/>
    <w:rsid w:val="00904BCF"/>
    <w:rsid w:val="00905B77"/>
    <w:rsid w:val="00905D14"/>
    <w:rsid w:val="00906FD6"/>
    <w:rsid w:val="009079D0"/>
    <w:rsid w:val="00907DCD"/>
    <w:rsid w:val="009104AA"/>
    <w:rsid w:val="0091295B"/>
    <w:rsid w:val="00914466"/>
    <w:rsid w:val="00915D8A"/>
    <w:rsid w:val="00917746"/>
    <w:rsid w:val="009209A5"/>
    <w:rsid w:val="00920F98"/>
    <w:rsid w:val="00922448"/>
    <w:rsid w:val="009228BB"/>
    <w:rsid w:val="00922FDA"/>
    <w:rsid w:val="009244DF"/>
    <w:rsid w:val="00927EF6"/>
    <w:rsid w:val="00930D45"/>
    <w:rsid w:val="00930E14"/>
    <w:rsid w:val="00933885"/>
    <w:rsid w:val="009338DA"/>
    <w:rsid w:val="00936E93"/>
    <w:rsid w:val="00937FDA"/>
    <w:rsid w:val="00947632"/>
    <w:rsid w:val="0094786C"/>
    <w:rsid w:val="00947B9F"/>
    <w:rsid w:val="00947FB4"/>
    <w:rsid w:val="00952D2F"/>
    <w:rsid w:val="00952D60"/>
    <w:rsid w:val="00952E44"/>
    <w:rsid w:val="00955447"/>
    <w:rsid w:val="00955A17"/>
    <w:rsid w:val="00957C50"/>
    <w:rsid w:val="00960E12"/>
    <w:rsid w:val="0096331F"/>
    <w:rsid w:val="00963914"/>
    <w:rsid w:val="00963A90"/>
    <w:rsid w:val="009729D8"/>
    <w:rsid w:val="0097453F"/>
    <w:rsid w:val="00974577"/>
    <w:rsid w:val="00975045"/>
    <w:rsid w:val="00976670"/>
    <w:rsid w:val="00976BC3"/>
    <w:rsid w:val="00976E64"/>
    <w:rsid w:val="00977929"/>
    <w:rsid w:val="0098426D"/>
    <w:rsid w:val="00993B1F"/>
    <w:rsid w:val="00993F70"/>
    <w:rsid w:val="0099428D"/>
    <w:rsid w:val="00995932"/>
    <w:rsid w:val="00996D49"/>
    <w:rsid w:val="009A1C77"/>
    <w:rsid w:val="009A51E6"/>
    <w:rsid w:val="009A5BC5"/>
    <w:rsid w:val="009A61AA"/>
    <w:rsid w:val="009A747C"/>
    <w:rsid w:val="009A7DAC"/>
    <w:rsid w:val="009B2B6E"/>
    <w:rsid w:val="009B3C1F"/>
    <w:rsid w:val="009B7D7E"/>
    <w:rsid w:val="009C10F7"/>
    <w:rsid w:val="009C11B1"/>
    <w:rsid w:val="009C1722"/>
    <w:rsid w:val="009C6235"/>
    <w:rsid w:val="009C6E76"/>
    <w:rsid w:val="009C7B02"/>
    <w:rsid w:val="009D00B8"/>
    <w:rsid w:val="009D3E42"/>
    <w:rsid w:val="009D682E"/>
    <w:rsid w:val="009E40F9"/>
    <w:rsid w:val="009E5844"/>
    <w:rsid w:val="009E653F"/>
    <w:rsid w:val="009E7C9A"/>
    <w:rsid w:val="009F4C6D"/>
    <w:rsid w:val="009F5062"/>
    <w:rsid w:val="00A01D25"/>
    <w:rsid w:val="00A0624A"/>
    <w:rsid w:val="00A06830"/>
    <w:rsid w:val="00A12892"/>
    <w:rsid w:val="00A149DF"/>
    <w:rsid w:val="00A1634D"/>
    <w:rsid w:val="00A1707B"/>
    <w:rsid w:val="00A32694"/>
    <w:rsid w:val="00A33A18"/>
    <w:rsid w:val="00A350BE"/>
    <w:rsid w:val="00A35C8A"/>
    <w:rsid w:val="00A36343"/>
    <w:rsid w:val="00A36638"/>
    <w:rsid w:val="00A36B9A"/>
    <w:rsid w:val="00A4149B"/>
    <w:rsid w:val="00A51ECF"/>
    <w:rsid w:val="00A5335D"/>
    <w:rsid w:val="00A53EBD"/>
    <w:rsid w:val="00A56524"/>
    <w:rsid w:val="00A610B8"/>
    <w:rsid w:val="00A61208"/>
    <w:rsid w:val="00A62660"/>
    <w:rsid w:val="00A62D2C"/>
    <w:rsid w:val="00A64D6A"/>
    <w:rsid w:val="00A66A0F"/>
    <w:rsid w:val="00A67FB0"/>
    <w:rsid w:val="00A700BE"/>
    <w:rsid w:val="00A7038D"/>
    <w:rsid w:val="00A73440"/>
    <w:rsid w:val="00A75908"/>
    <w:rsid w:val="00A75D01"/>
    <w:rsid w:val="00A76B01"/>
    <w:rsid w:val="00A813D7"/>
    <w:rsid w:val="00A83BB1"/>
    <w:rsid w:val="00A87807"/>
    <w:rsid w:val="00A90332"/>
    <w:rsid w:val="00A94426"/>
    <w:rsid w:val="00A9734B"/>
    <w:rsid w:val="00A97D26"/>
    <w:rsid w:val="00AA06C5"/>
    <w:rsid w:val="00AA1669"/>
    <w:rsid w:val="00AA3A8E"/>
    <w:rsid w:val="00AA5BB8"/>
    <w:rsid w:val="00AA5D50"/>
    <w:rsid w:val="00AA6487"/>
    <w:rsid w:val="00AB001E"/>
    <w:rsid w:val="00AB2D04"/>
    <w:rsid w:val="00AB318B"/>
    <w:rsid w:val="00AB7D6A"/>
    <w:rsid w:val="00AC0A22"/>
    <w:rsid w:val="00AC3A3F"/>
    <w:rsid w:val="00AD190D"/>
    <w:rsid w:val="00AD2DAB"/>
    <w:rsid w:val="00AE1BBB"/>
    <w:rsid w:val="00AE1FEF"/>
    <w:rsid w:val="00AE2F4C"/>
    <w:rsid w:val="00AE3B4A"/>
    <w:rsid w:val="00AE4A87"/>
    <w:rsid w:val="00AE673D"/>
    <w:rsid w:val="00AE749B"/>
    <w:rsid w:val="00AF0629"/>
    <w:rsid w:val="00AF1BF1"/>
    <w:rsid w:val="00AF32B8"/>
    <w:rsid w:val="00AF3CB3"/>
    <w:rsid w:val="00AF531B"/>
    <w:rsid w:val="00AF5337"/>
    <w:rsid w:val="00AF53C2"/>
    <w:rsid w:val="00AF71F6"/>
    <w:rsid w:val="00AF7C60"/>
    <w:rsid w:val="00B005C5"/>
    <w:rsid w:val="00B02305"/>
    <w:rsid w:val="00B02E23"/>
    <w:rsid w:val="00B060D5"/>
    <w:rsid w:val="00B1175D"/>
    <w:rsid w:val="00B12731"/>
    <w:rsid w:val="00B12AA5"/>
    <w:rsid w:val="00B146BC"/>
    <w:rsid w:val="00B14DF1"/>
    <w:rsid w:val="00B153B3"/>
    <w:rsid w:val="00B17CBB"/>
    <w:rsid w:val="00B20BBF"/>
    <w:rsid w:val="00B210BD"/>
    <w:rsid w:val="00B217CC"/>
    <w:rsid w:val="00B25447"/>
    <w:rsid w:val="00B271C9"/>
    <w:rsid w:val="00B31C57"/>
    <w:rsid w:val="00B32F09"/>
    <w:rsid w:val="00B33D96"/>
    <w:rsid w:val="00B33E36"/>
    <w:rsid w:val="00B34F0E"/>
    <w:rsid w:val="00B35F5F"/>
    <w:rsid w:val="00B36F78"/>
    <w:rsid w:val="00B3755E"/>
    <w:rsid w:val="00B404A6"/>
    <w:rsid w:val="00B40A63"/>
    <w:rsid w:val="00B41213"/>
    <w:rsid w:val="00B45C45"/>
    <w:rsid w:val="00B47277"/>
    <w:rsid w:val="00B56FB7"/>
    <w:rsid w:val="00B577A6"/>
    <w:rsid w:val="00B607BE"/>
    <w:rsid w:val="00B61E09"/>
    <w:rsid w:val="00B6274D"/>
    <w:rsid w:val="00B62B63"/>
    <w:rsid w:val="00B64D41"/>
    <w:rsid w:val="00B66654"/>
    <w:rsid w:val="00B66CB3"/>
    <w:rsid w:val="00B66D6E"/>
    <w:rsid w:val="00B67351"/>
    <w:rsid w:val="00B706C6"/>
    <w:rsid w:val="00B739CF"/>
    <w:rsid w:val="00B7475F"/>
    <w:rsid w:val="00B80B07"/>
    <w:rsid w:val="00B8178C"/>
    <w:rsid w:val="00B81BF0"/>
    <w:rsid w:val="00B82E33"/>
    <w:rsid w:val="00B82ECB"/>
    <w:rsid w:val="00B8310B"/>
    <w:rsid w:val="00B83C8B"/>
    <w:rsid w:val="00B85BAF"/>
    <w:rsid w:val="00B90874"/>
    <w:rsid w:val="00B90BFA"/>
    <w:rsid w:val="00B93044"/>
    <w:rsid w:val="00B931B0"/>
    <w:rsid w:val="00B93ED9"/>
    <w:rsid w:val="00B95E2C"/>
    <w:rsid w:val="00BA2C17"/>
    <w:rsid w:val="00BA40F3"/>
    <w:rsid w:val="00BA5F6B"/>
    <w:rsid w:val="00BA6BD0"/>
    <w:rsid w:val="00BB0589"/>
    <w:rsid w:val="00BB1AF8"/>
    <w:rsid w:val="00BB2E2A"/>
    <w:rsid w:val="00BB4B39"/>
    <w:rsid w:val="00BC3515"/>
    <w:rsid w:val="00BC59C2"/>
    <w:rsid w:val="00BD02CC"/>
    <w:rsid w:val="00BD22C7"/>
    <w:rsid w:val="00BD277B"/>
    <w:rsid w:val="00BD530D"/>
    <w:rsid w:val="00BE205B"/>
    <w:rsid w:val="00BE264E"/>
    <w:rsid w:val="00BE4E80"/>
    <w:rsid w:val="00BE68B4"/>
    <w:rsid w:val="00C029B6"/>
    <w:rsid w:val="00C03B0F"/>
    <w:rsid w:val="00C03E68"/>
    <w:rsid w:val="00C05139"/>
    <w:rsid w:val="00C124B7"/>
    <w:rsid w:val="00C16AB3"/>
    <w:rsid w:val="00C17224"/>
    <w:rsid w:val="00C17685"/>
    <w:rsid w:val="00C20CBD"/>
    <w:rsid w:val="00C223A5"/>
    <w:rsid w:val="00C23A93"/>
    <w:rsid w:val="00C23BCF"/>
    <w:rsid w:val="00C2546E"/>
    <w:rsid w:val="00C2648A"/>
    <w:rsid w:val="00C2711D"/>
    <w:rsid w:val="00C275B4"/>
    <w:rsid w:val="00C310A0"/>
    <w:rsid w:val="00C351DB"/>
    <w:rsid w:val="00C36A88"/>
    <w:rsid w:val="00C4049B"/>
    <w:rsid w:val="00C44141"/>
    <w:rsid w:val="00C53EEF"/>
    <w:rsid w:val="00C55A01"/>
    <w:rsid w:val="00C56A39"/>
    <w:rsid w:val="00C57DD6"/>
    <w:rsid w:val="00C607D5"/>
    <w:rsid w:val="00C62A8F"/>
    <w:rsid w:val="00C634E0"/>
    <w:rsid w:val="00C671BC"/>
    <w:rsid w:val="00C70919"/>
    <w:rsid w:val="00C759E4"/>
    <w:rsid w:val="00C75BEC"/>
    <w:rsid w:val="00C80D96"/>
    <w:rsid w:val="00C83560"/>
    <w:rsid w:val="00C836E3"/>
    <w:rsid w:val="00C83A19"/>
    <w:rsid w:val="00C8527E"/>
    <w:rsid w:val="00C855D2"/>
    <w:rsid w:val="00C85E96"/>
    <w:rsid w:val="00C86FBD"/>
    <w:rsid w:val="00C9128F"/>
    <w:rsid w:val="00C91666"/>
    <w:rsid w:val="00C9219D"/>
    <w:rsid w:val="00C923D5"/>
    <w:rsid w:val="00C94E84"/>
    <w:rsid w:val="00CA0D9F"/>
    <w:rsid w:val="00CA14BB"/>
    <w:rsid w:val="00CA18FB"/>
    <w:rsid w:val="00CA1BD1"/>
    <w:rsid w:val="00CA1CEF"/>
    <w:rsid w:val="00CB030A"/>
    <w:rsid w:val="00CB125C"/>
    <w:rsid w:val="00CB455B"/>
    <w:rsid w:val="00CB4D87"/>
    <w:rsid w:val="00CC4E6E"/>
    <w:rsid w:val="00CC6E0A"/>
    <w:rsid w:val="00CC7617"/>
    <w:rsid w:val="00CC7935"/>
    <w:rsid w:val="00CD17D1"/>
    <w:rsid w:val="00CD20F9"/>
    <w:rsid w:val="00CD66FB"/>
    <w:rsid w:val="00CD67D5"/>
    <w:rsid w:val="00CE6D2A"/>
    <w:rsid w:val="00CE70E4"/>
    <w:rsid w:val="00CF0889"/>
    <w:rsid w:val="00CF2156"/>
    <w:rsid w:val="00CF41C5"/>
    <w:rsid w:val="00CF4D7B"/>
    <w:rsid w:val="00CF6914"/>
    <w:rsid w:val="00CF7F30"/>
    <w:rsid w:val="00D003AF"/>
    <w:rsid w:val="00D049C3"/>
    <w:rsid w:val="00D062A5"/>
    <w:rsid w:val="00D07715"/>
    <w:rsid w:val="00D106FE"/>
    <w:rsid w:val="00D10ED3"/>
    <w:rsid w:val="00D125E8"/>
    <w:rsid w:val="00D12D3B"/>
    <w:rsid w:val="00D13D7B"/>
    <w:rsid w:val="00D14535"/>
    <w:rsid w:val="00D15FDA"/>
    <w:rsid w:val="00D161B7"/>
    <w:rsid w:val="00D21A22"/>
    <w:rsid w:val="00D21ED8"/>
    <w:rsid w:val="00D22A32"/>
    <w:rsid w:val="00D23012"/>
    <w:rsid w:val="00D26EC1"/>
    <w:rsid w:val="00D2709A"/>
    <w:rsid w:val="00D30569"/>
    <w:rsid w:val="00D31F30"/>
    <w:rsid w:val="00D31F45"/>
    <w:rsid w:val="00D335BB"/>
    <w:rsid w:val="00D34B05"/>
    <w:rsid w:val="00D37504"/>
    <w:rsid w:val="00D37996"/>
    <w:rsid w:val="00D4725F"/>
    <w:rsid w:val="00D47EAE"/>
    <w:rsid w:val="00D54091"/>
    <w:rsid w:val="00D54B9A"/>
    <w:rsid w:val="00D54F2F"/>
    <w:rsid w:val="00D557F5"/>
    <w:rsid w:val="00D61100"/>
    <w:rsid w:val="00D61C45"/>
    <w:rsid w:val="00D62AEF"/>
    <w:rsid w:val="00D62CE1"/>
    <w:rsid w:val="00D64DD6"/>
    <w:rsid w:val="00D6587C"/>
    <w:rsid w:val="00D72C4E"/>
    <w:rsid w:val="00D756CA"/>
    <w:rsid w:val="00D77713"/>
    <w:rsid w:val="00D7798A"/>
    <w:rsid w:val="00D8307B"/>
    <w:rsid w:val="00D8327C"/>
    <w:rsid w:val="00D836F7"/>
    <w:rsid w:val="00D84645"/>
    <w:rsid w:val="00D864F8"/>
    <w:rsid w:val="00D879A3"/>
    <w:rsid w:val="00D93123"/>
    <w:rsid w:val="00DA527C"/>
    <w:rsid w:val="00DA5B6B"/>
    <w:rsid w:val="00DA700C"/>
    <w:rsid w:val="00DB2EF0"/>
    <w:rsid w:val="00DB4640"/>
    <w:rsid w:val="00DB72D0"/>
    <w:rsid w:val="00DC44F4"/>
    <w:rsid w:val="00DD027E"/>
    <w:rsid w:val="00DD0447"/>
    <w:rsid w:val="00DD05BB"/>
    <w:rsid w:val="00DD688C"/>
    <w:rsid w:val="00DE2783"/>
    <w:rsid w:val="00DE27B8"/>
    <w:rsid w:val="00DE3D55"/>
    <w:rsid w:val="00DE5707"/>
    <w:rsid w:val="00DE70C6"/>
    <w:rsid w:val="00DF0DB1"/>
    <w:rsid w:val="00DF21A8"/>
    <w:rsid w:val="00DF3A84"/>
    <w:rsid w:val="00DF7C6E"/>
    <w:rsid w:val="00E01663"/>
    <w:rsid w:val="00E01A46"/>
    <w:rsid w:val="00E04FDE"/>
    <w:rsid w:val="00E07A39"/>
    <w:rsid w:val="00E104EF"/>
    <w:rsid w:val="00E125CB"/>
    <w:rsid w:val="00E13C7D"/>
    <w:rsid w:val="00E13EDF"/>
    <w:rsid w:val="00E146EE"/>
    <w:rsid w:val="00E165C9"/>
    <w:rsid w:val="00E17165"/>
    <w:rsid w:val="00E202E6"/>
    <w:rsid w:val="00E21B3E"/>
    <w:rsid w:val="00E21F7E"/>
    <w:rsid w:val="00E224C3"/>
    <w:rsid w:val="00E22986"/>
    <w:rsid w:val="00E22BB4"/>
    <w:rsid w:val="00E23B83"/>
    <w:rsid w:val="00E23FD1"/>
    <w:rsid w:val="00E25D87"/>
    <w:rsid w:val="00E27377"/>
    <w:rsid w:val="00E300EC"/>
    <w:rsid w:val="00E31E46"/>
    <w:rsid w:val="00E332F5"/>
    <w:rsid w:val="00E34AE2"/>
    <w:rsid w:val="00E37601"/>
    <w:rsid w:val="00E42235"/>
    <w:rsid w:val="00E43B3E"/>
    <w:rsid w:val="00E4414C"/>
    <w:rsid w:val="00E443BA"/>
    <w:rsid w:val="00E45FB7"/>
    <w:rsid w:val="00E470CE"/>
    <w:rsid w:val="00E50F94"/>
    <w:rsid w:val="00E528C9"/>
    <w:rsid w:val="00E5462E"/>
    <w:rsid w:val="00E62AD0"/>
    <w:rsid w:val="00E65605"/>
    <w:rsid w:val="00E65AFF"/>
    <w:rsid w:val="00E6767D"/>
    <w:rsid w:val="00E7411A"/>
    <w:rsid w:val="00E77A83"/>
    <w:rsid w:val="00E85972"/>
    <w:rsid w:val="00E90E9C"/>
    <w:rsid w:val="00E9512C"/>
    <w:rsid w:val="00EA0077"/>
    <w:rsid w:val="00EA0E38"/>
    <w:rsid w:val="00EA1872"/>
    <w:rsid w:val="00EA604E"/>
    <w:rsid w:val="00EA6536"/>
    <w:rsid w:val="00EA7167"/>
    <w:rsid w:val="00EB0026"/>
    <w:rsid w:val="00EB0384"/>
    <w:rsid w:val="00EB39F8"/>
    <w:rsid w:val="00EB3AE8"/>
    <w:rsid w:val="00EB6196"/>
    <w:rsid w:val="00EB67F0"/>
    <w:rsid w:val="00EB6B0C"/>
    <w:rsid w:val="00EB6F46"/>
    <w:rsid w:val="00EC058C"/>
    <w:rsid w:val="00EC1BDE"/>
    <w:rsid w:val="00EC1F4B"/>
    <w:rsid w:val="00ED1413"/>
    <w:rsid w:val="00ED1663"/>
    <w:rsid w:val="00ED50F5"/>
    <w:rsid w:val="00ED6BE1"/>
    <w:rsid w:val="00ED7099"/>
    <w:rsid w:val="00ED7757"/>
    <w:rsid w:val="00EE027B"/>
    <w:rsid w:val="00EE31DF"/>
    <w:rsid w:val="00EE7916"/>
    <w:rsid w:val="00EF1C6E"/>
    <w:rsid w:val="00EF2C80"/>
    <w:rsid w:val="00EF4D3B"/>
    <w:rsid w:val="00EF6A34"/>
    <w:rsid w:val="00EF7579"/>
    <w:rsid w:val="00F00BE0"/>
    <w:rsid w:val="00F016BD"/>
    <w:rsid w:val="00F026F0"/>
    <w:rsid w:val="00F0680A"/>
    <w:rsid w:val="00F06ED0"/>
    <w:rsid w:val="00F12013"/>
    <w:rsid w:val="00F12999"/>
    <w:rsid w:val="00F13822"/>
    <w:rsid w:val="00F14565"/>
    <w:rsid w:val="00F14A70"/>
    <w:rsid w:val="00F175A5"/>
    <w:rsid w:val="00F230F1"/>
    <w:rsid w:val="00F27B8D"/>
    <w:rsid w:val="00F304FB"/>
    <w:rsid w:val="00F313F8"/>
    <w:rsid w:val="00F315AB"/>
    <w:rsid w:val="00F33F07"/>
    <w:rsid w:val="00F35871"/>
    <w:rsid w:val="00F35D52"/>
    <w:rsid w:val="00F35F8C"/>
    <w:rsid w:val="00F36C93"/>
    <w:rsid w:val="00F373E1"/>
    <w:rsid w:val="00F42574"/>
    <w:rsid w:val="00F45257"/>
    <w:rsid w:val="00F45CA2"/>
    <w:rsid w:val="00F45D78"/>
    <w:rsid w:val="00F46154"/>
    <w:rsid w:val="00F46AD5"/>
    <w:rsid w:val="00F47DCD"/>
    <w:rsid w:val="00F50CA4"/>
    <w:rsid w:val="00F50CE7"/>
    <w:rsid w:val="00F51438"/>
    <w:rsid w:val="00F5301A"/>
    <w:rsid w:val="00F549E7"/>
    <w:rsid w:val="00F5550D"/>
    <w:rsid w:val="00F618BB"/>
    <w:rsid w:val="00F6302F"/>
    <w:rsid w:val="00F67625"/>
    <w:rsid w:val="00F76B14"/>
    <w:rsid w:val="00F81487"/>
    <w:rsid w:val="00F85F21"/>
    <w:rsid w:val="00F90CF5"/>
    <w:rsid w:val="00F91AD8"/>
    <w:rsid w:val="00F922B1"/>
    <w:rsid w:val="00FA1CBD"/>
    <w:rsid w:val="00FA56EF"/>
    <w:rsid w:val="00FA5D99"/>
    <w:rsid w:val="00FA6505"/>
    <w:rsid w:val="00FA72F6"/>
    <w:rsid w:val="00FB10A3"/>
    <w:rsid w:val="00FB36D4"/>
    <w:rsid w:val="00FB3B0F"/>
    <w:rsid w:val="00FB510B"/>
    <w:rsid w:val="00FB5D1B"/>
    <w:rsid w:val="00FB75F9"/>
    <w:rsid w:val="00FB7C5A"/>
    <w:rsid w:val="00FC1C97"/>
    <w:rsid w:val="00FC26BF"/>
    <w:rsid w:val="00FC423E"/>
    <w:rsid w:val="00FC523E"/>
    <w:rsid w:val="00FC6CE0"/>
    <w:rsid w:val="00FC721B"/>
    <w:rsid w:val="00FC7232"/>
    <w:rsid w:val="00FC7525"/>
    <w:rsid w:val="00FD1A30"/>
    <w:rsid w:val="00FD418F"/>
    <w:rsid w:val="00FD4365"/>
    <w:rsid w:val="00FD4D39"/>
    <w:rsid w:val="00FD4F52"/>
    <w:rsid w:val="00FD532F"/>
    <w:rsid w:val="00FE1EF3"/>
    <w:rsid w:val="00FE315D"/>
    <w:rsid w:val="00FE3182"/>
    <w:rsid w:val="00FE41E1"/>
    <w:rsid w:val="00FE55F1"/>
    <w:rsid w:val="00FF213C"/>
    <w:rsid w:val="00FF4D81"/>
    <w:rsid w:val="00FF75F5"/>
    <w:rsid w:val="010C43D8"/>
    <w:rsid w:val="01101675"/>
    <w:rsid w:val="011E2B5E"/>
    <w:rsid w:val="013A0E77"/>
    <w:rsid w:val="015422AA"/>
    <w:rsid w:val="01592D24"/>
    <w:rsid w:val="016604DF"/>
    <w:rsid w:val="01685AF7"/>
    <w:rsid w:val="01764F1A"/>
    <w:rsid w:val="01775986"/>
    <w:rsid w:val="018E7ABF"/>
    <w:rsid w:val="0198796C"/>
    <w:rsid w:val="01A03F2C"/>
    <w:rsid w:val="01C133B8"/>
    <w:rsid w:val="01C63A82"/>
    <w:rsid w:val="01CC3831"/>
    <w:rsid w:val="01DA20AA"/>
    <w:rsid w:val="01DB7ED5"/>
    <w:rsid w:val="01E22456"/>
    <w:rsid w:val="01EC5C3E"/>
    <w:rsid w:val="01EE19B6"/>
    <w:rsid w:val="01F176D1"/>
    <w:rsid w:val="02011034"/>
    <w:rsid w:val="02092C94"/>
    <w:rsid w:val="020F2171"/>
    <w:rsid w:val="02333ED6"/>
    <w:rsid w:val="02533F0F"/>
    <w:rsid w:val="02632B1A"/>
    <w:rsid w:val="02926264"/>
    <w:rsid w:val="02A3645B"/>
    <w:rsid w:val="02A72F23"/>
    <w:rsid w:val="02BA16E0"/>
    <w:rsid w:val="02C10F36"/>
    <w:rsid w:val="02F778BD"/>
    <w:rsid w:val="03121468"/>
    <w:rsid w:val="032B2254"/>
    <w:rsid w:val="03493196"/>
    <w:rsid w:val="034A5006"/>
    <w:rsid w:val="036237B7"/>
    <w:rsid w:val="036E1DB0"/>
    <w:rsid w:val="037901D2"/>
    <w:rsid w:val="03791753"/>
    <w:rsid w:val="03822C68"/>
    <w:rsid w:val="03881CBC"/>
    <w:rsid w:val="03921B3D"/>
    <w:rsid w:val="03950730"/>
    <w:rsid w:val="039702FA"/>
    <w:rsid w:val="039F1992"/>
    <w:rsid w:val="039F2BBC"/>
    <w:rsid w:val="03AD044B"/>
    <w:rsid w:val="03B17E2B"/>
    <w:rsid w:val="03B54E32"/>
    <w:rsid w:val="03D96AC5"/>
    <w:rsid w:val="03E33646"/>
    <w:rsid w:val="03FC57A7"/>
    <w:rsid w:val="042339DB"/>
    <w:rsid w:val="04477850"/>
    <w:rsid w:val="044F0F9D"/>
    <w:rsid w:val="04563EDE"/>
    <w:rsid w:val="04605697"/>
    <w:rsid w:val="047C599F"/>
    <w:rsid w:val="048B3E34"/>
    <w:rsid w:val="048E680D"/>
    <w:rsid w:val="04906BFF"/>
    <w:rsid w:val="04A27D9F"/>
    <w:rsid w:val="04AB4BBE"/>
    <w:rsid w:val="04C67AA9"/>
    <w:rsid w:val="04E97144"/>
    <w:rsid w:val="05071955"/>
    <w:rsid w:val="050B36B6"/>
    <w:rsid w:val="05185A9A"/>
    <w:rsid w:val="051E3875"/>
    <w:rsid w:val="0533125B"/>
    <w:rsid w:val="05340028"/>
    <w:rsid w:val="054F4EE9"/>
    <w:rsid w:val="056F2E0E"/>
    <w:rsid w:val="05892176"/>
    <w:rsid w:val="05CB46CB"/>
    <w:rsid w:val="05D65015"/>
    <w:rsid w:val="05EB1AB8"/>
    <w:rsid w:val="060565BE"/>
    <w:rsid w:val="06471FDD"/>
    <w:rsid w:val="067803E8"/>
    <w:rsid w:val="06811089"/>
    <w:rsid w:val="069845E6"/>
    <w:rsid w:val="069B1D7D"/>
    <w:rsid w:val="06AB5586"/>
    <w:rsid w:val="06AB60C8"/>
    <w:rsid w:val="06AC6595"/>
    <w:rsid w:val="06B00C6A"/>
    <w:rsid w:val="06B04A76"/>
    <w:rsid w:val="06B22DB6"/>
    <w:rsid w:val="06CB44B7"/>
    <w:rsid w:val="06EE20B1"/>
    <w:rsid w:val="06F73CE4"/>
    <w:rsid w:val="06F832D7"/>
    <w:rsid w:val="07166429"/>
    <w:rsid w:val="072B480E"/>
    <w:rsid w:val="072E28A4"/>
    <w:rsid w:val="073149B9"/>
    <w:rsid w:val="07332BC6"/>
    <w:rsid w:val="07386306"/>
    <w:rsid w:val="07510B97"/>
    <w:rsid w:val="075B63E2"/>
    <w:rsid w:val="07690A0B"/>
    <w:rsid w:val="076F1BD0"/>
    <w:rsid w:val="07750484"/>
    <w:rsid w:val="0798091C"/>
    <w:rsid w:val="079B5319"/>
    <w:rsid w:val="07B1625B"/>
    <w:rsid w:val="07C65EBB"/>
    <w:rsid w:val="07CA5154"/>
    <w:rsid w:val="07CF228A"/>
    <w:rsid w:val="07D96E9C"/>
    <w:rsid w:val="07E00B37"/>
    <w:rsid w:val="07E04209"/>
    <w:rsid w:val="07ED2D85"/>
    <w:rsid w:val="07EE04C1"/>
    <w:rsid w:val="07EE196C"/>
    <w:rsid w:val="08064E7A"/>
    <w:rsid w:val="08534B88"/>
    <w:rsid w:val="0855159E"/>
    <w:rsid w:val="0870581B"/>
    <w:rsid w:val="08F062C2"/>
    <w:rsid w:val="08F73566"/>
    <w:rsid w:val="090B19E1"/>
    <w:rsid w:val="0910646C"/>
    <w:rsid w:val="092153A7"/>
    <w:rsid w:val="0923106C"/>
    <w:rsid w:val="095F1771"/>
    <w:rsid w:val="09783992"/>
    <w:rsid w:val="0978425B"/>
    <w:rsid w:val="09AC6517"/>
    <w:rsid w:val="09B3404C"/>
    <w:rsid w:val="09BB2956"/>
    <w:rsid w:val="09E15530"/>
    <w:rsid w:val="09E36427"/>
    <w:rsid w:val="0A1B58FF"/>
    <w:rsid w:val="0A27166F"/>
    <w:rsid w:val="0A4F320E"/>
    <w:rsid w:val="0A5B1B39"/>
    <w:rsid w:val="0A6C3DC0"/>
    <w:rsid w:val="0A6D7B49"/>
    <w:rsid w:val="0A7000FD"/>
    <w:rsid w:val="0A9643DB"/>
    <w:rsid w:val="0AA07E81"/>
    <w:rsid w:val="0AA23AE4"/>
    <w:rsid w:val="0AA23C86"/>
    <w:rsid w:val="0ABA7CC7"/>
    <w:rsid w:val="0ACE05D7"/>
    <w:rsid w:val="0AD11D45"/>
    <w:rsid w:val="0AE332A0"/>
    <w:rsid w:val="0AE5600E"/>
    <w:rsid w:val="0AE903B8"/>
    <w:rsid w:val="0AF6588F"/>
    <w:rsid w:val="0B035220"/>
    <w:rsid w:val="0B054631"/>
    <w:rsid w:val="0B1873A5"/>
    <w:rsid w:val="0B2E376B"/>
    <w:rsid w:val="0B436F8F"/>
    <w:rsid w:val="0B57446E"/>
    <w:rsid w:val="0B5C5BE2"/>
    <w:rsid w:val="0B5E219D"/>
    <w:rsid w:val="0B6F7B86"/>
    <w:rsid w:val="0B7462A1"/>
    <w:rsid w:val="0B805D95"/>
    <w:rsid w:val="0B860EE1"/>
    <w:rsid w:val="0B8909A2"/>
    <w:rsid w:val="0BA16641"/>
    <w:rsid w:val="0BAE6904"/>
    <w:rsid w:val="0BBA0B5B"/>
    <w:rsid w:val="0C012733"/>
    <w:rsid w:val="0C0C2AEE"/>
    <w:rsid w:val="0C107762"/>
    <w:rsid w:val="0C122745"/>
    <w:rsid w:val="0C436DA2"/>
    <w:rsid w:val="0C9623F6"/>
    <w:rsid w:val="0C972597"/>
    <w:rsid w:val="0CAC6BB6"/>
    <w:rsid w:val="0CB70557"/>
    <w:rsid w:val="0CB91973"/>
    <w:rsid w:val="0CC34F37"/>
    <w:rsid w:val="0CE642FD"/>
    <w:rsid w:val="0CEA1C84"/>
    <w:rsid w:val="0CF601FF"/>
    <w:rsid w:val="0D0B1141"/>
    <w:rsid w:val="0D280C0A"/>
    <w:rsid w:val="0D35493D"/>
    <w:rsid w:val="0D3E3859"/>
    <w:rsid w:val="0D6B4459"/>
    <w:rsid w:val="0D864353"/>
    <w:rsid w:val="0DD505F0"/>
    <w:rsid w:val="0DDC6EDE"/>
    <w:rsid w:val="0DE724D7"/>
    <w:rsid w:val="0DEA5E6A"/>
    <w:rsid w:val="0DED333B"/>
    <w:rsid w:val="0DFC36FB"/>
    <w:rsid w:val="0E055EC8"/>
    <w:rsid w:val="0E097B78"/>
    <w:rsid w:val="0E1719B0"/>
    <w:rsid w:val="0E3222EF"/>
    <w:rsid w:val="0E7C5427"/>
    <w:rsid w:val="0E935CB4"/>
    <w:rsid w:val="0EAA055A"/>
    <w:rsid w:val="0EB37705"/>
    <w:rsid w:val="0EBA15E6"/>
    <w:rsid w:val="0EC92B9A"/>
    <w:rsid w:val="0ECA61C3"/>
    <w:rsid w:val="0EE53CAA"/>
    <w:rsid w:val="0EFB5D7C"/>
    <w:rsid w:val="0F0D26CC"/>
    <w:rsid w:val="0F0F048E"/>
    <w:rsid w:val="0F107F05"/>
    <w:rsid w:val="0F184ADA"/>
    <w:rsid w:val="0F5764BE"/>
    <w:rsid w:val="0F5B5590"/>
    <w:rsid w:val="0F5D778B"/>
    <w:rsid w:val="0F7B556E"/>
    <w:rsid w:val="0F8057E5"/>
    <w:rsid w:val="0F876EB2"/>
    <w:rsid w:val="0F935A2E"/>
    <w:rsid w:val="0FA1669B"/>
    <w:rsid w:val="0FA5411D"/>
    <w:rsid w:val="0FAC4C5F"/>
    <w:rsid w:val="0FB6184B"/>
    <w:rsid w:val="0FD1564A"/>
    <w:rsid w:val="10046849"/>
    <w:rsid w:val="1021728F"/>
    <w:rsid w:val="103D0A77"/>
    <w:rsid w:val="103F3D25"/>
    <w:rsid w:val="10556A26"/>
    <w:rsid w:val="106070C3"/>
    <w:rsid w:val="10615FAB"/>
    <w:rsid w:val="109127D2"/>
    <w:rsid w:val="10934CF1"/>
    <w:rsid w:val="109C7328"/>
    <w:rsid w:val="10EF538B"/>
    <w:rsid w:val="10F07BF5"/>
    <w:rsid w:val="110C3C07"/>
    <w:rsid w:val="111228DC"/>
    <w:rsid w:val="11173FEC"/>
    <w:rsid w:val="112B40FD"/>
    <w:rsid w:val="11312DC0"/>
    <w:rsid w:val="1132007E"/>
    <w:rsid w:val="114701EB"/>
    <w:rsid w:val="11661572"/>
    <w:rsid w:val="117D5CFE"/>
    <w:rsid w:val="11870C7E"/>
    <w:rsid w:val="118848CF"/>
    <w:rsid w:val="11B00A36"/>
    <w:rsid w:val="11B6371D"/>
    <w:rsid w:val="11C11380"/>
    <w:rsid w:val="11F55D6E"/>
    <w:rsid w:val="11FF612D"/>
    <w:rsid w:val="120716FB"/>
    <w:rsid w:val="12092462"/>
    <w:rsid w:val="120C7C36"/>
    <w:rsid w:val="120F2891"/>
    <w:rsid w:val="120F4DC7"/>
    <w:rsid w:val="12185560"/>
    <w:rsid w:val="121D403F"/>
    <w:rsid w:val="121E232E"/>
    <w:rsid w:val="12665150"/>
    <w:rsid w:val="12675133"/>
    <w:rsid w:val="12791770"/>
    <w:rsid w:val="12817FED"/>
    <w:rsid w:val="12942106"/>
    <w:rsid w:val="129E2FE9"/>
    <w:rsid w:val="129F7C67"/>
    <w:rsid w:val="12C765B7"/>
    <w:rsid w:val="12D339F7"/>
    <w:rsid w:val="12E0331F"/>
    <w:rsid w:val="12E230F7"/>
    <w:rsid w:val="13031039"/>
    <w:rsid w:val="1324792E"/>
    <w:rsid w:val="133122D9"/>
    <w:rsid w:val="13380DD8"/>
    <w:rsid w:val="13392CAD"/>
    <w:rsid w:val="1344521A"/>
    <w:rsid w:val="13542549"/>
    <w:rsid w:val="13645ACB"/>
    <w:rsid w:val="1368507A"/>
    <w:rsid w:val="136E6DFB"/>
    <w:rsid w:val="138D2DE8"/>
    <w:rsid w:val="138F28CD"/>
    <w:rsid w:val="139D148E"/>
    <w:rsid w:val="13A81537"/>
    <w:rsid w:val="13AE71F7"/>
    <w:rsid w:val="13D505B1"/>
    <w:rsid w:val="13E957B5"/>
    <w:rsid w:val="13F54664"/>
    <w:rsid w:val="14170604"/>
    <w:rsid w:val="142F3CA2"/>
    <w:rsid w:val="14412BB2"/>
    <w:rsid w:val="144C6FE7"/>
    <w:rsid w:val="14504752"/>
    <w:rsid w:val="14522278"/>
    <w:rsid w:val="145A5106"/>
    <w:rsid w:val="145D3FA3"/>
    <w:rsid w:val="146F2D0E"/>
    <w:rsid w:val="147976DB"/>
    <w:rsid w:val="147E51E1"/>
    <w:rsid w:val="148B307B"/>
    <w:rsid w:val="148B4D7B"/>
    <w:rsid w:val="14C435F9"/>
    <w:rsid w:val="14C9193B"/>
    <w:rsid w:val="14E153AA"/>
    <w:rsid w:val="14E54E9B"/>
    <w:rsid w:val="15041F3C"/>
    <w:rsid w:val="15175FAA"/>
    <w:rsid w:val="152F765A"/>
    <w:rsid w:val="1534146F"/>
    <w:rsid w:val="155F3C56"/>
    <w:rsid w:val="156F29B6"/>
    <w:rsid w:val="1588503E"/>
    <w:rsid w:val="15A078BC"/>
    <w:rsid w:val="15AE733A"/>
    <w:rsid w:val="15D3595A"/>
    <w:rsid w:val="15DA3D9A"/>
    <w:rsid w:val="160A5F47"/>
    <w:rsid w:val="161517B0"/>
    <w:rsid w:val="16614263"/>
    <w:rsid w:val="166167A3"/>
    <w:rsid w:val="1671493B"/>
    <w:rsid w:val="167D79BA"/>
    <w:rsid w:val="16AF1C8F"/>
    <w:rsid w:val="16C27FBB"/>
    <w:rsid w:val="16EE0D13"/>
    <w:rsid w:val="16F16191"/>
    <w:rsid w:val="16F93153"/>
    <w:rsid w:val="170E4685"/>
    <w:rsid w:val="172A1253"/>
    <w:rsid w:val="173B58FE"/>
    <w:rsid w:val="173D7210"/>
    <w:rsid w:val="174C1201"/>
    <w:rsid w:val="1765194C"/>
    <w:rsid w:val="176522C3"/>
    <w:rsid w:val="178513C1"/>
    <w:rsid w:val="17DA79FD"/>
    <w:rsid w:val="17ED0D0C"/>
    <w:rsid w:val="18043B11"/>
    <w:rsid w:val="1812030B"/>
    <w:rsid w:val="181A30AD"/>
    <w:rsid w:val="18447EFE"/>
    <w:rsid w:val="18455B2A"/>
    <w:rsid w:val="18770500"/>
    <w:rsid w:val="187A7D80"/>
    <w:rsid w:val="188E09E6"/>
    <w:rsid w:val="18904498"/>
    <w:rsid w:val="18A3471E"/>
    <w:rsid w:val="18A706B9"/>
    <w:rsid w:val="18B232E6"/>
    <w:rsid w:val="18CD45C3"/>
    <w:rsid w:val="18E3738E"/>
    <w:rsid w:val="18E878E8"/>
    <w:rsid w:val="192B4DF7"/>
    <w:rsid w:val="193C7478"/>
    <w:rsid w:val="19571192"/>
    <w:rsid w:val="195E1EBD"/>
    <w:rsid w:val="196626CD"/>
    <w:rsid w:val="19904C5C"/>
    <w:rsid w:val="19966245"/>
    <w:rsid w:val="19980AD2"/>
    <w:rsid w:val="19AB6724"/>
    <w:rsid w:val="19BA6371"/>
    <w:rsid w:val="19E51E52"/>
    <w:rsid w:val="19F83806"/>
    <w:rsid w:val="19F90D7B"/>
    <w:rsid w:val="1A0C3F8E"/>
    <w:rsid w:val="1A4964D8"/>
    <w:rsid w:val="1A6B5A70"/>
    <w:rsid w:val="1A813322"/>
    <w:rsid w:val="1A8E45AE"/>
    <w:rsid w:val="1A9C51E8"/>
    <w:rsid w:val="1AC400A2"/>
    <w:rsid w:val="1ACB0498"/>
    <w:rsid w:val="1AF35C55"/>
    <w:rsid w:val="1AF6583C"/>
    <w:rsid w:val="1B082A0F"/>
    <w:rsid w:val="1B181419"/>
    <w:rsid w:val="1B1A160C"/>
    <w:rsid w:val="1B24423C"/>
    <w:rsid w:val="1B3B70DD"/>
    <w:rsid w:val="1B4A111D"/>
    <w:rsid w:val="1B605875"/>
    <w:rsid w:val="1B6A0FF7"/>
    <w:rsid w:val="1B74720F"/>
    <w:rsid w:val="1B760323"/>
    <w:rsid w:val="1B7B66B5"/>
    <w:rsid w:val="1BDA4758"/>
    <w:rsid w:val="1C00080C"/>
    <w:rsid w:val="1C1C6B42"/>
    <w:rsid w:val="1C225F98"/>
    <w:rsid w:val="1C272EF4"/>
    <w:rsid w:val="1C347FAF"/>
    <w:rsid w:val="1C783F6D"/>
    <w:rsid w:val="1C8727E8"/>
    <w:rsid w:val="1CB05D8E"/>
    <w:rsid w:val="1CF651A4"/>
    <w:rsid w:val="1D065563"/>
    <w:rsid w:val="1D320A97"/>
    <w:rsid w:val="1D3541D9"/>
    <w:rsid w:val="1D354DD1"/>
    <w:rsid w:val="1D3E6FE0"/>
    <w:rsid w:val="1D412D21"/>
    <w:rsid w:val="1D4500BA"/>
    <w:rsid w:val="1D4F2685"/>
    <w:rsid w:val="1D515E95"/>
    <w:rsid w:val="1D71526B"/>
    <w:rsid w:val="1D787CA6"/>
    <w:rsid w:val="1D910295"/>
    <w:rsid w:val="1DAB47E1"/>
    <w:rsid w:val="1DEF1F9B"/>
    <w:rsid w:val="1E0D0FBE"/>
    <w:rsid w:val="1E285DF8"/>
    <w:rsid w:val="1E3E2D25"/>
    <w:rsid w:val="1E4507E4"/>
    <w:rsid w:val="1E5B46B4"/>
    <w:rsid w:val="1E6210B8"/>
    <w:rsid w:val="1EAA3E92"/>
    <w:rsid w:val="1EC014EF"/>
    <w:rsid w:val="1EC664F8"/>
    <w:rsid w:val="1EDA6951"/>
    <w:rsid w:val="1EE04D81"/>
    <w:rsid w:val="1EE33526"/>
    <w:rsid w:val="1EE91F57"/>
    <w:rsid w:val="1F0A6898"/>
    <w:rsid w:val="1F120F82"/>
    <w:rsid w:val="1F1542A8"/>
    <w:rsid w:val="1F157FFF"/>
    <w:rsid w:val="1F257CB7"/>
    <w:rsid w:val="1F3C7DAD"/>
    <w:rsid w:val="1F4B6242"/>
    <w:rsid w:val="1F4E7AE0"/>
    <w:rsid w:val="1F5B3C3A"/>
    <w:rsid w:val="1F5E30FD"/>
    <w:rsid w:val="1F63565F"/>
    <w:rsid w:val="1F724CEB"/>
    <w:rsid w:val="1F752BB5"/>
    <w:rsid w:val="1F931E59"/>
    <w:rsid w:val="1F946598"/>
    <w:rsid w:val="1FBF453A"/>
    <w:rsid w:val="1FCF29CF"/>
    <w:rsid w:val="1FCF7B92"/>
    <w:rsid w:val="1FDF7055"/>
    <w:rsid w:val="1FF3215A"/>
    <w:rsid w:val="1FF91559"/>
    <w:rsid w:val="2001275C"/>
    <w:rsid w:val="20171D13"/>
    <w:rsid w:val="201D2A27"/>
    <w:rsid w:val="206D3F96"/>
    <w:rsid w:val="20862B7C"/>
    <w:rsid w:val="20B815E3"/>
    <w:rsid w:val="20C76788"/>
    <w:rsid w:val="212B66CA"/>
    <w:rsid w:val="214840AD"/>
    <w:rsid w:val="21505D92"/>
    <w:rsid w:val="219D0F12"/>
    <w:rsid w:val="21A3266E"/>
    <w:rsid w:val="21B028CF"/>
    <w:rsid w:val="21B72813"/>
    <w:rsid w:val="21CE7F46"/>
    <w:rsid w:val="21EE7C86"/>
    <w:rsid w:val="21FE759C"/>
    <w:rsid w:val="22155EFF"/>
    <w:rsid w:val="22270C74"/>
    <w:rsid w:val="22384334"/>
    <w:rsid w:val="226006F6"/>
    <w:rsid w:val="22973D42"/>
    <w:rsid w:val="22B02D19"/>
    <w:rsid w:val="22B922F9"/>
    <w:rsid w:val="22BC7F43"/>
    <w:rsid w:val="22C07DB6"/>
    <w:rsid w:val="22C81958"/>
    <w:rsid w:val="22E93B16"/>
    <w:rsid w:val="22EA5D72"/>
    <w:rsid w:val="22ED76B3"/>
    <w:rsid w:val="22F73E0B"/>
    <w:rsid w:val="2301763C"/>
    <w:rsid w:val="23207452"/>
    <w:rsid w:val="233A0AA7"/>
    <w:rsid w:val="234122A0"/>
    <w:rsid w:val="235C146C"/>
    <w:rsid w:val="2364528E"/>
    <w:rsid w:val="238D6F1C"/>
    <w:rsid w:val="238F61D4"/>
    <w:rsid w:val="2395665B"/>
    <w:rsid w:val="239F5661"/>
    <w:rsid w:val="23C73705"/>
    <w:rsid w:val="23C771F8"/>
    <w:rsid w:val="23CE1AEF"/>
    <w:rsid w:val="23EA54E0"/>
    <w:rsid w:val="23ED2965"/>
    <w:rsid w:val="24136EE4"/>
    <w:rsid w:val="24176C4D"/>
    <w:rsid w:val="241C1F5B"/>
    <w:rsid w:val="24647EF0"/>
    <w:rsid w:val="2495668C"/>
    <w:rsid w:val="249D7540"/>
    <w:rsid w:val="24A00DDE"/>
    <w:rsid w:val="24A65CC9"/>
    <w:rsid w:val="24A75954"/>
    <w:rsid w:val="24BF6020"/>
    <w:rsid w:val="24D51767"/>
    <w:rsid w:val="24D94E93"/>
    <w:rsid w:val="24F36825"/>
    <w:rsid w:val="250C3D65"/>
    <w:rsid w:val="25157CCF"/>
    <w:rsid w:val="25181EB1"/>
    <w:rsid w:val="25214A1A"/>
    <w:rsid w:val="25220111"/>
    <w:rsid w:val="25247DAB"/>
    <w:rsid w:val="252B3302"/>
    <w:rsid w:val="25445D9E"/>
    <w:rsid w:val="254556F8"/>
    <w:rsid w:val="254F010E"/>
    <w:rsid w:val="254F63F2"/>
    <w:rsid w:val="2572277A"/>
    <w:rsid w:val="2574490F"/>
    <w:rsid w:val="25781413"/>
    <w:rsid w:val="257D34A3"/>
    <w:rsid w:val="258A2455"/>
    <w:rsid w:val="258B1B3B"/>
    <w:rsid w:val="259326F1"/>
    <w:rsid w:val="259734FD"/>
    <w:rsid w:val="25BD1DD5"/>
    <w:rsid w:val="25C26499"/>
    <w:rsid w:val="26087C2F"/>
    <w:rsid w:val="26124FDE"/>
    <w:rsid w:val="26186AD4"/>
    <w:rsid w:val="26327CD9"/>
    <w:rsid w:val="263D4A6F"/>
    <w:rsid w:val="26754340"/>
    <w:rsid w:val="26777094"/>
    <w:rsid w:val="26A318F7"/>
    <w:rsid w:val="26C02488"/>
    <w:rsid w:val="26C32B62"/>
    <w:rsid w:val="26CB24F5"/>
    <w:rsid w:val="26CF57CC"/>
    <w:rsid w:val="27022042"/>
    <w:rsid w:val="272517E6"/>
    <w:rsid w:val="275F0C35"/>
    <w:rsid w:val="276879F9"/>
    <w:rsid w:val="276C29FF"/>
    <w:rsid w:val="27702CEA"/>
    <w:rsid w:val="279360CF"/>
    <w:rsid w:val="27B13177"/>
    <w:rsid w:val="27B755B5"/>
    <w:rsid w:val="27BE0886"/>
    <w:rsid w:val="27BF3E32"/>
    <w:rsid w:val="27D843EB"/>
    <w:rsid w:val="27E80E23"/>
    <w:rsid w:val="27F811CC"/>
    <w:rsid w:val="2810243A"/>
    <w:rsid w:val="28855A7D"/>
    <w:rsid w:val="28A5497A"/>
    <w:rsid w:val="28A860BF"/>
    <w:rsid w:val="28AA00A1"/>
    <w:rsid w:val="28C9135D"/>
    <w:rsid w:val="28D513A5"/>
    <w:rsid w:val="292D79C6"/>
    <w:rsid w:val="298760C9"/>
    <w:rsid w:val="29AA7275"/>
    <w:rsid w:val="29C15784"/>
    <w:rsid w:val="29CA6ED0"/>
    <w:rsid w:val="29D60A1E"/>
    <w:rsid w:val="29EB624B"/>
    <w:rsid w:val="29F52A7C"/>
    <w:rsid w:val="2A0065C6"/>
    <w:rsid w:val="2A345CF1"/>
    <w:rsid w:val="2A4569A2"/>
    <w:rsid w:val="2A472991"/>
    <w:rsid w:val="2A512F72"/>
    <w:rsid w:val="2A5A3D2A"/>
    <w:rsid w:val="2A787FA4"/>
    <w:rsid w:val="2A866380"/>
    <w:rsid w:val="2A9F18BD"/>
    <w:rsid w:val="2AB63060"/>
    <w:rsid w:val="2ABF25ED"/>
    <w:rsid w:val="2AE63521"/>
    <w:rsid w:val="2B14562C"/>
    <w:rsid w:val="2B275ED7"/>
    <w:rsid w:val="2B2A3917"/>
    <w:rsid w:val="2B2F7684"/>
    <w:rsid w:val="2B5316A3"/>
    <w:rsid w:val="2B5E0BD9"/>
    <w:rsid w:val="2B702035"/>
    <w:rsid w:val="2B8B0961"/>
    <w:rsid w:val="2BA059C8"/>
    <w:rsid w:val="2BB85AB6"/>
    <w:rsid w:val="2BE95450"/>
    <w:rsid w:val="2BFC0FF0"/>
    <w:rsid w:val="2C0440A1"/>
    <w:rsid w:val="2C057C62"/>
    <w:rsid w:val="2C123BC4"/>
    <w:rsid w:val="2C2643AF"/>
    <w:rsid w:val="2C320E50"/>
    <w:rsid w:val="2C35092F"/>
    <w:rsid w:val="2C6223F8"/>
    <w:rsid w:val="2C671A58"/>
    <w:rsid w:val="2C700151"/>
    <w:rsid w:val="2C7A4785"/>
    <w:rsid w:val="2C8A42B0"/>
    <w:rsid w:val="2CBA556F"/>
    <w:rsid w:val="2CBA6023"/>
    <w:rsid w:val="2CBF201D"/>
    <w:rsid w:val="2CC76232"/>
    <w:rsid w:val="2CF271A5"/>
    <w:rsid w:val="2D0A72E3"/>
    <w:rsid w:val="2D1273A8"/>
    <w:rsid w:val="2D2D00C4"/>
    <w:rsid w:val="2D370B72"/>
    <w:rsid w:val="2D395076"/>
    <w:rsid w:val="2D426A09"/>
    <w:rsid w:val="2D4B5A24"/>
    <w:rsid w:val="2D69305E"/>
    <w:rsid w:val="2D6B3E89"/>
    <w:rsid w:val="2D7709A8"/>
    <w:rsid w:val="2D773BB4"/>
    <w:rsid w:val="2D817E99"/>
    <w:rsid w:val="2D8400D7"/>
    <w:rsid w:val="2D851D9A"/>
    <w:rsid w:val="2D9A2633"/>
    <w:rsid w:val="2DD43896"/>
    <w:rsid w:val="2DD73F0D"/>
    <w:rsid w:val="2DF744C0"/>
    <w:rsid w:val="2DFA177E"/>
    <w:rsid w:val="2E1E446E"/>
    <w:rsid w:val="2E383E35"/>
    <w:rsid w:val="2E3A7CB5"/>
    <w:rsid w:val="2E3C6322"/>
    <w:rsid w:val="2E3F19F1"/>
    <w:rsid w:val="2E5C1C86"/>
    <w:rsid w:val="2E911B6C"/>
    <w:rsid w:val="2E960B5C"/>
    <w:rsid w:val="2EAE40F8"/>
    <w:rsid w:val="2EBE03AB"/>
    <w:rsid w:val="2EDE0726"/>
    <w:rsid w:val="2EF266DA"/>
    <w:rsid w:val="2EF37AF2"/>
    <w:rsid w:val="2F22647D"/>
    <w:rsid w:val="2F3C024F"/>
    <w:rsid w:val="2F634EE2"/>
    <w:rsid w:val="2F7506E7"/>
    <w:rsid w:val="2F7B10A8"/>
    <w:rsid w:val="2F9B28CE"/>
    <w:rsid w:val="2FA62C69"/>
    <w:rsid w:val="2FA76898"/>
    <w:rsid w:val="2FB1551A"/>
    <w:rsid w:val="2FB65576"/>
    <w:rsid w:val="2FE57FED"/>
    <w:rsid w:val="2FE7396B"/>
    <w:rsid w:val="2FF13677"/>
    <w:rsid w:val="2FF20C39"/>
    <w:rsid w:val="2FF66226"/>
    <w:rsid w:val="300D7D4A"/>
    <w:rsid w:val="30104898"/>
    <w:rsid w:val="301B5F21"/>
    <w:rsid w:val="303F3688"/>
    <w:rsid w:val="30484E4F"/>
    <w:rsid w:val="305560F9"/>
    <w:rsid w:val="30647164"/>
    <w:rsid w:val="307078B4"/>
    <w:rsid w:val="308601DF"/>
    <w:rsid w:val="30A50CB4"/>
    <w:rsid w:val="30AC493F"/>
    <w:rsid w:val="30B00C7D"/>
    <w:rsid w:val="30B6776F"/>
    <w:rsid w:val="30C113E1"/>
    <w:rsid w:val="30C12837"/>
    <w:rsid w:val="30C27842"/>
    <w:rsid w:val="30C97913"/>
    <w:rsid w:val="30D36097"/>
    <w:rsid w:val="311B5C10"/>
    <w:rsid w:val="313474AF"/>
    <w:rsid w:val="31501098"/>
    <w:rsid w:val="31774489"/>
    <w:rsid w:val="31900FF6"/>
    <w:rsid w:val="31A60AF1"/>
    <w:rsid w:val="31B1462B"/>
    <w:rsid w:val="31B52D03"/>
    <w:rsid w:val="31CB6D6E"/>
    <w:rsid w:val="31CC4EB8"/>
    <w:rsid w:val="31E51AE5"/>
    <w:rsid w:val="31EB11BF"/>
    <w:rsid w:val="31FE7C49"/>
    <w:rsid w:val="3221186D"/>
    <w:rsid w:val="322840AD"/>
    <w:rsid w:val="3240775C"/>
    <w:rsid w:val="32416ED0"/>
    <w:rsid w:val="324463DD"/>
    <w:rsid w:val="324A5069"/>
    <w:rsid w:val="325D1DF6"/>
    <w:rsid w:val="3276707E"/>
    <w:rsid w:val="329C29DB"/>
    <w:rsid w:val="329D53D8"/>
    <w:rsid w:val="329E58DF"/>
    <w:rsid w:val="32A816A9"/>
    <w:rsid w:val="32B26CBD"/>
    <w:rsid w:val="32B47020"/>
    <w:rsid w:val="32C21BC0"/>
    <w:rsid w:val="32DC6318"/>
    <w:rsid w:val="32F80037"/>
    <w:rsid w:val="32FF58CF"/>
    <w:rsid w:val="330E785B"/>
    <w:rsid w:val="331210F9"/>
    <w:rsid w:val="331A1296"/>
    <w:rsid w:val="333D5063"/>
    <w:rsid w:val="336D0DF3"/>
    <w:rsid w:val="33865947"/>
    <w:rsid w:val="33BF6FA3"/>
    <w:rsid w:val="33C72397"/>
    <w:rsid w:val="33F6627E"/>
    <w:rsid w:val="34041AE3"/>
    <w:rsid w:val="34140810"/>
    <w:rsid w:val="34256C0A"/>
    <w:rsid w:val="346644D8"/>
    <w:rsid w:val="34A66F1C"/>
    <w:rsid w:val="34C11948"/>
    <w:rsid w:val="34D16D92"/>
    <w:rsid w:val="34D84DA0"/>
    <w:rsid w:val="34E57718"/>
    <w:rsid w:val="34E6097C"/>
    <w:rsid w:val="34FF0595"/>
    <w:rsid w:val="35052609"/>
    <w:rsid w:val="350C3926"/>
    <w:rsid w:val="351849C1"/>
    <w:rsid w:val="35222B26"/>
    <w:rsid w:val="354830D1"/>
    <w:rsid w:val="355E31A8"/>
    <w:rsid w:val="3580114E"/>
    <w:rsid w:val="35990933"/>
    <w:rsid w:val="35B6520A"/>
    <w:rsid w:val="35C57D83"/>
    <w:rsid w:val="35C7530E"/>
    <w:rsid w:val="35CD5C93"/>
    <w:rsid w:val="360607D9"/>
    <w:rsid w:val="360C24AB"/>
    <w:rsid w:val="360F1920"/>
    <w:rsid w:val="36190C5C"/>
    <w:rsid w:val="361D6A4A"/>
    <w:rsid w:val="362E3B53"/>
    <w:rsid w:val="363237FF"/>
    <w:rsid w:val="36390686"/>
    <w:rsid w:val="363D616D"/>
    <w:rsid w:val="365D2974"/>
    <w:rsid w:val="3680580C"/>
    <w:rsid w:val="36913CE5"/>
    <w:rsid w:val="36B44275"/>
    <w:rsid w:val="36D6690A"/>
    <w:rsid w:val="36DE7697"/>
    <w:rsid w:val="36DF3CD6"/>
    <w:rsid w:val="37165CDA"/>
    <w:rsid w:val="373F5DFE"/>
    <w:rsid w:val="37424D3E"/>
    <w:rsid w:val="37503F9E"/>
    <w:rsid w:val="37816A8C"/>
    <w:rsid w:val="378B7A09"/>
    <w:rsid w:val="37977513"/>
    <w:rsid w:val="379D2075"/>
    <w:rsid w:val="37A10679"/>
    <w:rsid w:val="37B0461F"/>
    <w:rsid w:val="37B0490B"/>
    <w:rsid w:val="37BD2DF2"/>
    <w:rsid w:val="37BE2D67"/>
    <w:rsid w:val="37E40B8A"/>
    <w:rsid w:val="37FD2D4C"/>
    <w:rsid w:val="38127B44"/>
    <w:rsid w:val="3848736B"/>
    <w:rsid w:val="38517209"/>
    <w:rsid w:val="38524D58"/>
    <w:rsid w:val="385A07E5"/>
    <w:rsid w:val="38704497"/>
    <w:rsid w:val="387B123A"/>
    <w:rsid w:val="389E008F"/>
    <w:rsid w:val="38A94C99"/>
    <w:rsid w:val="38D6246F"/>
    <w:rsid w:val="38DB3D3B"/>
    <w:rsid w:val="38F00189"/>
    <w:rsid w:val="39044BA7"/>
    <w:rsid w:val="3910263A"/>
    <w:rsid w:val="39253208"/>
    <w:rsid w:val="393A716A"/>
    <w:rsid w:val="394231B6"/>
    <w:rsid w:val="39433DAC"/>
    <w:rsid w:val="394F33F6"/>
    <w:rsid w:val="3966600F"/>
    <w:rsid w:val="396A4BEA"/>
    <w:rsid w:val="396A6231"/>
    <w:rsid w:val="39833C59"/>
    <w:rsid w:val="39981C2C"/>
    <w:rsid w:val="39B65872"/>
    <w:rsid w:val="39BF0556"/>
    <w:rsid w:val="39F1038F"/>
    <w:rsid w:val="39FA1F27"/>
    <w:rsid w:val="3A111BD1"/>
    <w:rsid w:val="3A2B484E"/>
    <w:rsid w:val="3A3C70DA"/>
    <w:rsid w:val="3A7E52C6"/>
    <w:rsid w:val="3A8972CE"/>
    <w:rsid w:val="3A8E5D10"/>
    <w:rsid w:val="3A9A1F1D"/>
    <w:rsid w:val="3AA60379"/>
    <w:rsid w:val="3AB64A60"/>
    <w:rsid w:val="3ABE17AB"/>
    <w:rsid w:val="3AD62A0C"/>
    <w:rsid w:val="3AE07A47"/>
    <w:rsid w:val="3AE11A4E"/>
    <w:rsid w:val="3B011F11"/>
    <w:rsid w:val="3B10495E"/>
    <w:rsid w:val="3B1A6FF8"/>
    <w:rsid w:val="3B2A4FB6"/>
    <w:rsid w:val="3B8025CE"/>
    <w:rsid w:val="3B932D9C"/>
    <w:rsid w:val="3BA13ACA"/>
    <w:rsid w:val="3BD26834"/>
    <w:rsid w:val="3BE65417"/>
    <w:rsid w:val="3C0812EB"/>
    <w:rsid w:val="3C19288C"/>
    <w:rsid w:val="3C2E263B"/>
    <w:rsid w:val="3C3F097B"/>
    <w:rsid w:val="3C6331C4"/>
    <w:rsid w:val="3C771FCD"/>
    <w:rsid w:val="3C927FF9"/>
    <w:rsid w:val="3CAE0C64"/>
    <w:rsid w:val="3CBA43FC"/>
    <w:rsid w:val="3CC36BB7"/>
    <w:rsid w:val="3CCE5FE8"/>
    <w:rsid w:val="3CD600D4"/>
    <w:rsid w:val="3CE814B7"/>
    <w:rsid w:val="3CE912F1"/>
    <w:rsid w:val="3CEE3FA5"/>
    <w:rsid w:val="3D001BF6"/>
    <w:rsid w:val="3D251A29"/>
    <w:rsid w:val="3D441C59"/>
    <w:rsid w:val="3D4837EC"/>
    <w:rsid w:val="3D4B5C58"/>
    <w:rsid w:val="3D573AAE"/>
    <w:rsid w:val="3D6E0E78"/>
    <w:rsid w:val="3D712021"/>
    <w:rsid w:val="3D981EBA"/>
    <w:rsid w:val="3DBC42D1"/>
    <w:rsid w:val="3DDC6AF7"/>
    <w:rsid w:val="3DE509C4"/>
    <w:rsid w:val="3DEA36D0"/>
    <w:rsid w:val="3E2061C5"/>
    <w:rsid w:val="3E3C34CE"/>
    <w:rsid w:val="3E4D41A5"/>
    <w:rsid w:val="3E5F1E94"/>
    <w:rsid w:val="3E5F2FFB"/>
    <w:rsid w:val="3E8E5AC6"/>
    <w:rsid w:val="3EB46960"/>
    <w:rsid w:val="3EB875B1"/>
    <w:rsid w:val="3EBF42A4"/>
    <w:rsid w:val="3EEF22EE"/>
    <w:rsid w:val="3EFE0737"/>
    <w:rsid w:val="3F010273"/>
    <w:rsid w:val="3F022944"/>
    <w:rsid w:val="3F125943"/>
    <w:rsid w:val="3F161F12"/>
    <w:rsid w:val="3F192EF0"/>
    <w:rsid w:val="3F1F5199"/>
    <w:rsid w:val="3F2902E2"/>
    <w:rsid w:val="3F5574B3"/>
    <w:rsid w:val="3F6F03BB"/>
    <w:rsid w:val="3F6F4ABC"/>
    <w:rsid w:val="3F733A40"/>
    <w:rsid w:val="3F7A7343"/>
    <w:rsid w:val="3F817D6A"/>
    <w:rsid w:val="3F8B3C33"/>
    <w:rsid w:val="3F9505BC"/>
    <w:rsid w:val="3F9675A3"/>
    <w:rsid w:val="3FAF4912"/>
    <w:rsid w:val="3FCB2D86"/>
    <w:rsid w:val="3FDB6351"/>
    <w:rsid w:val="3FF45064"/>
    <w:rsid w:val="4022287A"/>
    <w:rsid w:val="4030141F"/>
    <w:rsid w:val="4044666A"/>
    <w:rsid w:val="406A72FF"/>
    <w:rsid w:val="40893AE9"/>
    <w:rsid w:val="408E454F"/>
    <w:rsid w:val="409131AF"/>
    <w:rsid w:val="40B812A1"/>
    <w:rsid w:val="40C01E9C"/>
    <w:rsid w:val="40CD787E"/>
    <w:rsid w:val="40D53766"/>
    <w:rsid w:val="41061277"/>
    <w:rsid w:val="410B632A"/>
    <w:rsid w:val="411734DA"/>
    <w:rsid w:val="413D1D6A"/>
    <w:rsid w:val="417B26BE"/>
    <w:rsid w:val="41BF6C8C"/>
    <w:rsid w:val="41C95ABA"/>
    <w:rsid w:val="41DA15EE"/>
    <w:rsid w:val="41E01774"/>
    <w:rsid w:val="41ED0891"/>
    <w:rsid w:val="4206214D"/>
    <w:rsid w:val="421B7832"/>
    <w:rsid w:val="42254A34"/>
    <w:rsid w:val="42616642"/>
    <w:rsid w:val="426C1AA7"/>
    <w:rsid w:val="427A7BBB"/>
    <w:rsid w:val="428B67D2"/>
    <w:rsid w:val="42920467"/>
    <w:rsid w:val="429462ED"/>
    <w:rsid w:val="42B07FE6"/>
    <w:rsid w:val="42B41C5B"/>
    <w:rsid w:val="42B519EC"/>
    <w:rsid w:val="42BC7DDF"/>
    <w:rsid w:val="42CA554C"/>
    <w:rsid w:val="43076C51"/>
    <w:rsid w:val="4315273A"/>
    <w:rsid w:val="4340754B"/>
    <w:rsid w:val="434B0A13"/>
    <w:rsid w:val="436400C0"/>
    <w:rsid w:val="437E2698"/>
    <w:rsid w:val="43894C9E"/>
    <w:rsid w:val="43985233"/>
    <w:rsid w:val="43AB72B4"/>
    <w:rsid w:val="43AD43B9"/>
    <w:rsid w:val="43AE66F3"/>
    <w:rsid w:val="43B6787E"/>
    <w:rsid w:val="43BD590F"/>
    <w:rsid w:val="440E054D"/>
    <w:rsid w:val="44201AAB"/>
    <w:rsid w:val="44376959"/>
    <w:rsid w:val="443C0B94"/>
    <w:rsid w:val="443D1EE7"/>
    <w:rsid w:val="4447373B"/>
    <w:rsid w:val="445A46AE"/>
    <w:rsid w:val="4474551E"/>
    <w:rsid w:val="44780FC3"/>
    <w:rsid w:val="448A72D9"/>
    <w:rsid w:val="448C5220"/>
    <w:rsid w:val="44A36211"/>
    <w:rsid w:val="44C3123A"/>
    <w:rsid w:val="44CB1108"/>
    <w:rsid w:val="44EF1B82"/>
    <w:rsid w:val="450374DA"/>
    <w:rsid w:val="45175EE2"/>
    <w:rsid w:val="453436E3"/>
    <w:rsid w:val="45397E15"/>
    <w:rsid w:val="45513D03"/>
    <w:rsid w:val="45520083"/>
    <w:rsid w:val="45535CAF"/>
    <w:rsid w:val="455368DB"/>
    <w:rsid w:val="456068B7"/>
    <w:rsid w:val="45797C51"/>
    <w:rsid w:val="45A168B6"/>
    <w:rsid w:val="45B62C76"/>
    <w:rsid w:val="45C142B9"/>
    <w:rsid w:val="45DD7C49"/>
    <w:rsid w:val="45E76415"/>
    <w:rsid w:val="45EE4E64"/>
    <w:rsid w:val="45F71608"/>
    <w:rsid w:val="45F77C2C"/>
    <w:rsid w:val="45F8417E"/>
    <w:rsid w:val="461B2714"/>
    <w:rsid w:val="46470C62"/>
    <w:rsid w:val="465A4396"/>
    <w:rsid w:val="468C0F80"/>
    <w:rsid w:val="469E6950"/>
    <w:rsid w:val="46AC19F2"/>
    <w:rsid w:val="46B17DE8"/>
    <w:rsid w:val="46D62E16"/>
    <w:rsid w:val="46E02496"/>
    <w:rsid w:val="46E53DBA"/>
    <w:rsid w:val="46F41301"/>
    <w:rsid w:val="46F5246C"/>
    <w:rsid w:val="46FC6C97"/>
    <w:rsid w:val="470A638E"/>
    <w:rsid w:val="47383BB5"/>
    <w:rsid w:val="473D2DF8"/>
    <w:rsid w:val="473D654E"/>
    <w:rsid w:val="4748411F"/>
    <w:rsid w:val="476475F1"/>
    <w:rsid w:val="47781AC6"/>
    <w:rsid w:val="477F2691"/>
    <w:rsid w:val="47CB097D"/>
    <w:rsid w:val="47E11F67"/>
    <w:rsid w:val="47E30E5E"/>
    <w:rsid w:val="47E34E53"/>
    <w:rsid w:val="47F66832"/>
    <w:rsid w:val="47FA4459"/>
    <w:rsid w:val="482D697B"/>
    <w:rsid w:val="483D2C46"/>
    <w:rsid w:val="488B1D2E"/>
    <w:rsid w:val="488B3259"/>
    <w:rsid w:val="48BB6668"/>
    <w:rsid w:val="48CA4C9D"/>
    <w:rsid w:val="48F63EE4"/>
    <w:rsid w:val="48F71CA9"/>
    <w:rsid w:val="49056BAF"/>
    <w:rsid w:val="49181237"/>
    <w:rsid w:val="4929464F"/>
    <w:rsid w:val="49351B68"/>
    <w:rsid w:val="493B05D3"/>
    <w:rsid w:val="496D0338"/>
    <w:rsid w:val="49787384"/>
    <w:rsid w:val="49A87C69"/>
    <w:rsid w:val="49AA1653"/>
    <w:rsid w:val="49AB0E36"/>
    <w:rsid w:val="49C64593"/>
    <w:rsid w:val="4A0D6A19"/>
    <w:rsid w:val="4A0E54B5"/>
    <w:rsid w:val="4A2A14B8"/>
    <w:rsid w:val="4A2F3EE7"/>
    <w:rsid w:val="4A337425"/>
    <w:rsid w:val="4A353E64"/>
    <w:rsid w:val="4A4238F7"/>
    <w:rsid w:val="4A783AE0"/>
    <w:rsid w:val="4A875AD1"/>
    <w:rsid w:val="4A8835F7"/>
    <w:rsid w:val="4AAB5112"/>
    <w:rsid w:val="4AB11DF4"/>
    <w:rsid w:val="4AC50AF6"/>
    <w:rsid w:val="4AE80986"/>
    <w:rsid w:val="4AE83028"/>
    <w:rsid w:val="4AFF2534"/>
    <w:rsid w:val="4B0D23CF"/>
    <w:rsid w:val="4B1D4687"/>
    <w:rsid w:val="4B205AC6"/>
    <w:rsid w:val="4B3B78E8"/>
    <w:rsid w:val="4B3C24B8"/>
    <w:rsid w:val="4B537A9C"/>
    <w:rsid w:val="4B807D59"/>
    <w:rsid w:val="4BA72EF2"/>
    <w:rsid w:val="4BA97CC9"/>
    <w:rsid w:val="4BAF6B3D"/>
    <w:rsid w:val="4BDB6202"/>
    <w:rsid w:val="4BE13907"/>
    <w:rsid w:val="4BEC6847"/>
    <w:rsid w:val="4BED171A"/>
    <w:rsid w:val="4BFA74CA"/>
    <w:rsid w:val="4C165A3D"/>
    <w:rsid w:val="4C1E06B7"/>
    <w:rsid w:val="4C3A6B73"/>
    <w:rsid w:val="4C3E203F"/>
    <w:rsid w:val="4C46553C"/>
    <w:rsid w:val="4C4A2448"/>
    <w:rsid w:val="4C520360"/>
    <w:rsid w:val="4C6904EB"/>
    <w:rsid w:val="4C830CD4"/>
    <w:rsid w:val="4CA87FCD"/>
    <w:rsid w:val="4CC254E6"/>
    <w:rsid w:val="4CCE79E7"/>
    <w:rsid w:val="4CDE12C3"/>
    <w:rsid w:val="4CEE3778"/>
    <w:rsid w:val="4CF6285E"/>
    <w:rsid w:val="4D081CA0"/>
    <w:rsid w:val="4D0B72A7"/>
    <w:rsid w:val="4D11650E"/>
    <w:rsid w:val="4D1A70D0"/>
    <w:rsid w:val="4D647EDD"/>
    <w:rsid w:val="4D720CBA"/>
    <w:rsid w:val="4D744B65"/>
    <w:rsid w:val="4D86660F"/>
    <w:rsid w:val="4D9C1224"/>
    <w:rsid w:val="4D9C458C"/>
    <w:rsid w:val="4DA90454"/>
    <w:rsid w:val="4DB85FA2"/>
    <w:rsid w:val="4DD46D21"/>
    <w:rsid w:val="4DD62D09"/>
    <w:rsid w:val="4DE1732C"/>
    <w:rsid w:val="4DED52D5"/>
    <w:rsid w:val="4E1320C7"/>
    <w:rsid w:val="4E3B2540"/>
    <w:rsid w:val="4E4211B2"/>
    <w:rsid w:val="4E4A4823"/>
    <w:rsid w:val="4E516B8F"/>
    <w:rsid w:val="4E6F75C0"/>
    <w:rsid w:val="4E7F3FFB"/>
    <w:rsid w:val="4E84101B"/>
    <w:rsid w:val="4E9F0DB6"/>
    <w:rsid w:val="4ECF17A1"/>
    <w:rsid w:val="4EE12849"/>
    <w:rsid w:val="4F0B180C"/>
    <w:rsid w:val="4F326136"/>
    <w:rsid w:val="4F3B5E0D"/>
    <w:rsid w:val="4F46739A"/>
    <w:rsid w:val="4F6050C6"/>
    <w:rsid w:val="4F73779A"/>
    <w:rsid w:val="4F7543D5"/>
    <w:rsid w:val="4F7B197C"/>
    <w:rsid w:val="4FB46BA3"/>
    <w:rsid w:val="4FB97DFA"/>
    <w:rsid w:val="4FC55521"/>
    <w:rsid w:val="4FC96418"/>
    <w:rsid w:val="4FCE4FDC"/>
    <w:rsid w:val="4FEE5030"/>
    <w:rsid w:val="4FFB1718"/>
    <w:rsid w:val="501B5045"/>
    <w:rsid w:val="507C775A"/>
    <w:rsid w:val="50866EBE"/>
    <w:rsid w:val="50902684"/>
    <w:rsid w:val="50BD4AFE"/>
    <w:rsid w:val="50D14BB5"/>
    <w:rsid w:val="50DF56DA"/>
    <w:rsid w:val="51057541"/>
    <w:rsid w:val="51124B24"/>
    <w:rsid w:val="51385165"/>
    <w:rsid w:val="513D1E32"/>
    <w:rsid w:val="51651675"/>
    <w:rsid w:val="516A1F01"/>
    <w:rsid w:val="51845232"/>
    <w:rsid w:val="51882AC1"/>
    <w:rsid w:val="518C579C"/>
    <w:rsid w:val="519C0E7C"/>
    <w:rsid w:val="519C60FE"/>
    <w:rsid w:val="51A35FDB"/>
    <w:rsid w:val="51AC6109"/>
    <w:rsid w:val="51D44EF3"/>
    <w:rsid w:val="51DC1DFD"/>
    <w:rsid w:val="51E8779D"/>
    <w:rsid w:val="51F425C1"/>
    <w:rsid w:val="51F85506"/>
    <w:rsid w:val="51FA74D0"/>
    <w:rsid w:val="521B1FEA"/>
    <w:rsid w:val="52291B63"/>
    <w:rsid w:val="523D5F26"/>
    <w:rsid w:val="524452BC"/>
    <w:rsid w:val="52483D78"/>
    <w:rsid w:val="525B7AEE"/>
    <w:rsid w:val="526725A1"/>
    <w:rsid w:val="52693681"/>
    <w:rsid w:val="527103FC"/>
    <w:rsid w:val="52923265"/>
    <w:rsid w:val="529A792F"/>
    <w:rsid w:val="52A4759B"/>
    <w:rsid w:val="52A84F54"/>
    <w:rsid w:val="52B35629"/>
    <w:rsid w:val="52B8094F"/>
    <w:rsid w:val="52CB512E"/>
    <w:rsid w:val="52D32AFD"/>
    <w:rsid w:val="52DA0FA3"/>
    <w:rsid w:val="52E177B3"/>
    <w:rsid w:val="531C097D"/>
    <w:rsid w:val="5324020D"/>
    <w:rsid w:val="532653B1"/>
    <w:rsid w:val="53481136"/>
    <w:rsid w:val="53563CBE"/>
    <w:rsid w:val="536F10C0"/>
    <w:rsid w:val="53784190"/>
    <w:rsid w:val="53786677"/>
    <w:rsid w:val="538C4158"/>
    <w:rsid w:val="5394207E"/>
    <w:rsid w:val="539F3171"/>
    <w:rsid w:val="53B23623"/>
    <w:rsid w:val="53E67D0C"/>
    <w:rsid w:val="5445537F"/>
    <w:rsid w:val="545D1115"/>
    <w:rsid w:val="54A454D1"/>
    <w:rsid w:val="54A86D6F"/>
    <w:rsid w:val="54B472BE"/>
    <w:rsid w:val="54C11A88"/>
    <w:rsid w:val="54DD067A"/>
    <w:rsid w:val="54EA5A15"/>
    <w:rsid w:val="54EB49E8"/>
    <w:rsid w:val="54F41531"/>
    <w:rsid w:val="5508094B"/>
    <w:rsid w:val="55216B22"/>
    <w:rsid w:val="55467D9B"/>
    <w:rsid w:val="556935BA"/>
    <w:rsid w:val="558D41B7"/>
    <w:rsid w:val="559519EA"/>
    <w:rsid w:val="55992337"/>
    <w:rsid w:val="55B81234"/>
    <w:rsid w:val="55BC65C7"/>
    <w:rsid w:val="55F46529"/>
    <w:rsid w:val="55FF779E"/>
    <w:rsid w:val="56094B30"/>
    <w:rsid w:val="561F1F50"/>
    <w:rsid w:val="56262AA1"/>
    <w:rsid w:val="562E2336"/>
    <w:rsid w:val="565F1615"/>
    <w:rsid w:val="567347A3"/>
    <w:rsid w:val="56815B00"/>
    <w:rsid w:val="56821842"/>
    <w:rsid w:val="56CB02B4"/>
    <w:rsid w:val="56D76AC8"/>
    <w:rsid w:val="571100FC"/>
    <w:rsid w:val="57203535"/>
    <w:rsid w:val="57395480"/>
    <w:rsid w:val="573E1C0D"/>
    <w:rsid w:val="574D00A2"/>
    <w:rsid w:val="57811773"/>
    <w:rsid w:val="57835872"/>
    <w:rsid w:val="57AE6523"/>
    <w:rsid w:val="57BE1760"/>
    <w:rsid w:val="57CC32FF"/>
    <w:rsid w:val="57D91936"/>
    <w:rsid w:val="57F23B91"/>
    <w:rsid w:val="58413E77"/>
    <w:rsid w:val="58501BF8"/>
    <w:rsid w:val="5857664C"/>
    <w:rsid w:val="587A5C5C"/>
    <w:rsid w:val="588E76C8"/>
    <w:rsid w:val="58AD163F"/>
    <w:rsid w:val="58AD793B"/>
    <w:rsid w:val="58DC6554"/>
    <w:rsid w:val="58DF6CF4"/>
    <w:rsid w:val="5904132B"/>
    <w:rsid w:val="59157827"/>
    <w:rsid w:val="594400A5"/>
    <w:rsid w:val="59460EC7"/>
    <w:rsid w:val="594A5A09"/>
    <w:rsid w:val="59857E44"/>
    <w:rsid w:val="59A5764A"/>
    <w:rsid w:val="59C90F05"/>
    <w:rsid w:val="59D94E3D"/>
    <w:rsid w:val="59DC5A0C"/>
    <w:rsid w:val="59F20987"/>
    <w:rsid w:val="5A0A4339"/>
    <w:rsid w:val="5A162751"/>
    <w:rsid w:val="5A427C66"/>
    <w:rsid w:val="5A476005"/>
    <w:rsid w:val="5A6477B1"/>
    <w:rsid w:val="5A6E7EC5"/>
    <w:rsid w:val="5A9410D3"/>
    <w:rsid w:val="5AA77AC9"/>
    <w:rsid w:val="5AB23A35"/>
    <w:rsid w:val="5AC16DDD"/>
    <w:rsid w:val="5ACD0EF5"/>
    <w:rsid w:val="5AD2199A"/>
    <w:rsid w:val="5AD75A39"/>
    <w:rsid w:val="5AE25933"/>
    <w:rsid w:val="5AF413B3"/>
    <w:rsid w:val="5B362DF8"/>
    <w:rsid w:val="5B4F7AA0"/>
    <w:rsid w:val="5B86602F"/>
    <w:rsid w:val="5B9329D2"/>
    <w:rsid w:val="5BAD7C78"/>
    <w:rsid w:val="5BC32E03"/>
    <w:rsid w:val="5BD7725D"/>
    <w:rsid w:val="5BDC5CE2"/>
    <w:rsid w:val="5C221398"/>
    <w:rsid w:val="5C3914B8"/>
    <w:rsid w:val="5C3C5D8B"/>
    <w:rsid w:val="5C4714E9"/>
    <w:rsid w:val="5C5D48C1"/>
    <w:rsid w:val="5C621719"/>
    <w:rsid w:val="5C6D68F5"/>
    <w:rsid w:val="5C78679A"/>
    <w:rsid w:val="5C85755D"/>
    <w:rsid w:val="5CC44681"/>
    <w:rsid w:val="5CD86660"/>
    <w:rsid w:val="5CEB6393"/>
    <w:rsid w:val="5D267A55"/>
    <w:rsid w:val="5D337CCE"/>
    <w:rsid w:val="5D551A5E"/>
    <w:rsid w:val="5D7647EC"/>
    <w:rsid w:val="5D7D462F"/>
    <w:rsid w:val="5D894758"/>
    <w:rsid w:val="5D8B36D2"/>
    <w:rsid w:val="5DAA1084"/>
    <w:rsid w:val="5DAD4F7F"/>
    <w:rsid w:val="5DBA1FF8"/>
    <w:rsid w:val="5E022F38"/>
    <w:rsid w:val="5E0E0311"/>
    <w:rsid w:val="5E1D3725"/>
    <w:rsid w:val="5E205353"/>
    <w:rsid w:val="5E280F21"/>
    <w:rsid w:val="5E37668B"/>
    <w:rsid w:val="5E701643"/>
    <w:rsid w:val="5E805680"/>
    <w:rsid w:val="5E8D46A3"/>
    <w:rsid w:val="5E9C51FA"/>
    <w:rsid w:val="5EB86E53"/>
    <w:rsid w:val="5EBD71F7"/>
    <w:rsid w:val="5EC42D73"/>
    <w:rsid w:val="5ED54C52"/>
    <w:rsid w:val="5EDE3420"/>
    <w:rsid w:val="5F00642C"/>
    <w:rsid w:val="5F0707E8"/>
    <w:rsid w:val="5F1C2BF5"/>
    <w:rsid w:val="5F24150D"/>
    <w:rsid w:val="5F27688E"/>
    <w:rsid w:val="5F2D04F1"/>
    <w:rsid w:val="5F3D7194"/>
    <w:rsid w:val="5F400FB5"/>
    <w:rsid w:val="5F92436A"/>
    <w:rsid w:val="5F93686E"/>
    <w:rsid w:val="5F9F5213"/>
    <w:rsid w:val="5FB16DD1"/>
    <w:rsid w:val="5FD71110"/>
    <w:rsid w:val="5FE86BBA"/>
    <w:rsid w:val="5FF4654B"/>
    <w:rsid w:val="60162421"/>
    <w:rsid w:val="603B1A46"/>
    <w:rsid w:val="60455E05"/>
    <w:rsid w:val="606C77EB"/>
    <w:rsid w:val="60C346C6"/>
    <w:rsid w:val="60C73328"/>
    <w:rsid w:val="60E41BB2"/>
    <w:rsid w:val="60F32039"/>
    <w:rsid w:val="610C68D8"/>
    <w:rsid w:val="61141727"/>
    <w:rsid w:val="61254485"/>
    <w:rsid w:val="61354EE6"/>
    <w:rsid w:val="613A6FBE"/>
    <w:rsid w:val="615060DA"/>
    <w:rsid w:val="616404C2"/>
    <w:rsid w:val="616C1AA0"/>
    <w:rsid w:val="61794FB9"/>
    <w:rsid w:val="617C6F1F"/>
    <w:rsid w:val="618B1B80"/>
    <w:rsid w:val="61981C81"/>
    <w:rsid w:val="61B21605"/>
    <w:rsid w:val="61CE3B8D"/>
    <w:rsid w:val="61D41829"/>
    <w:rsid w:val="622B6EAA"/>
    <w:rsid w:val="62401547"/>
    <w:rsid w:val="625E1FC6"/>
    <w:rsid w:val="626E224E"/>
    <w:rsid w:val="62884123"/>
    <w:rsid w:val="62B2507E"/>
    <w:rsid w:val="630048F7"/>
    <w:rsid w:val="63091321"/>
    <w:rsid w:val="63215DB8"/>
    <w:rsid w:val="6323058D"/>
    <w:rsid w:val="632757F0"/>
    <w:rsid w:val="634E4F9C"/>
    <w:rsid w:val="63530905"/>
    <w:rsid w:val="6361115D"/>
    <w:rsid w:val="637349EC"/>
    <w:rsid w:val="637468FE"/>
    <w:rsid w:val="637F7129"/>
    <w:rsid w:val="6381630C"/>
    <w:rsid w:val="63B549CF"/>
    <w:rsid w:val="63B77B8E"/>
    <w:rsid w:val="63CC59BB"/>
    <w:rsid w:val="63D538F9"/>
    <w:rsid w:val="63DE6DCD"/>
    <w:rsid w:val="63EF49BB"/>
    <w:rsid w:val="64061D04"/>
    <w:rsid w:val="64062FF3"/>
    <w:rsid w:val="641371B9"/>
    <w:rsid w:val="64253121"/>
    <w:rsid w:val="642F52A1"/>
    <w:rsid w:val="643E2F77"/>
    <w:rsid w:val="645079A9"/>
    <w:rsid w:val="645B745D"/>
    <w:rsid w:val="647C6246"/>
    <w:rsid w:val="64B11C70"/>
    <w:rsid w:val="64BE130D"/>
    <w:rsid w:val="64D3590C"/>
    <w:rsid w:val="64D468AD"/>
    <w:rsid w:val="64EC617D"/>
    <w:rsid w:val="64EF2605"/>
    <w:rsid w:val="64F315BD"/>
    <w:rsid w:val="650224CC"/>
    <w:rsid w:val="65067046"/>
    <w:rsid w:val="650A4AEB"/>
    <w:rsid w:val="652032A6"/>
    <w:rsid w:val="65377E2F"/>
    <w:rsid w:val="65555B4D"/>
    <w:rsid w:val="655645C6"/>
    <w:rsid w:val="655A348D"/>
    <w:rsid w:val="65850949"/>
    <w:rsid w:val="65B4017A"/>
    <w:rsid w:val="65B754C2"/>
    <w:rsid w:val="65C44AE4"/>
    <w:rsid w:val="65D53486"/>
    <w:rsid w:val="65DB52A5"/>
    <w:rsid w:val="665C2D6F"/>
    <w:rsid w:val="666E595E"/>
    <w:rsid w:val="667B35FA"/>
    <w:rsid w:val="668F7750"/>
    <w:rsid w:val="669E5062"/>
    <w:rsid w:val="66AC5D0A"/>
    <w:rsid w:val="66C67529"/>
    <w:rsid w:val="66E56F57"/>
    <w:rsid w:val="670F6CF5"/>
    <w:rsid w:val="67753429"/>
    <w:rsid w:val="67813ADE"/>
    <w:rsid w:val="679A7125"/>
    <w:rsid w:val="67A81887"/>
    <w:rsid w:val="67D32CF4"/>
    <w:rsid w:val="67D96088"/>
    <w:rsid w:val="67FA2386"/>
    <w:rsid w:val="68380579"/>
    <w:rsid w:val="68394CD8"/>
    <w:rsid w:val="683E2967"/>
    <w:rsid w:val="686C0FC5"/>
    <w:rsid w:val="6878082B"/>
    <w:rsid w:val="6883260C"/>
    <w:rsid w:val="688C7016"/>
    <w:rsid w:val="68CD25CE"/>
    <w:rsid w:val="68DB48A1"/>
    <w:rsid w:val="68F10571"/>
    <w:rsid w:val="68F4037D"/>
    <w:rsid w:val="68F536A2"/>
    <w:rsid w:val="690105C9"/>
    <w:rsid w:val="6905590F"/>
    <w:rsid w:val="692A78CC"/>
    <w:rsid w:val="692B0CE1"/>
    <w:rsid w:val="692E7D33"/>
    <w:rsid w:val="693371CF"/>
    <w:rsid w:val="6940133B"/>
    <w:rsid w:val="694442F1"/>
    <w:rsid w:val="69470DF5"/>
    <w:rsid w:val="699434FE"/>
    <w:rsid w:val="69961B46"/>
    <w:rsid w:val="69B11812"/>
    <w:rsid w:val="69B72B89"/>
    <w:rsid w:val="69BB2759"/>
    <w:rsid w:val="69D626E0"/>
    <w:rsid w:val="69EA4C26"/>
    <w:rsid w:val="69F151D7"/>
    <w:rsid w:val="6A160FCF"/>
    <w:rsid w:val="6A22764B"/>
    <w:rsid w:val="6A296146"/>
    <w:rsid w:val="6A435CB8"/>
    <w:rsid w:val="6A68761D"/>
    <w:rsid w:val="6A732CC7"/>
    <w:rsid w:val="6A77392E"/>
    <w:rsid w:val="6A7B729C"/>
    <w:rsid w:val="6A88096B"/>
    <w:rsid w:val="6A8F72B9"/>
    <w:rsid w:val="6A9228B0"/>
    <w:rsid w:val="6A944A30"/>
    <w:rsid w:val="6AAB7F50"/>
    <w:rsid w:val="6AAF09DB"/>
    <w:rsid w:val="6ABB5CB4"/>
    <w:rsid w:val="6AC120BA"/>
    <w:rsid w:val="6ACD6E25"/>
    <w:rsid w:val="6AF20FCD"/>
    <w:rsid w:val="6B1B7E43"/>
    <w:rsid w:val="6B26639E"/>
    <w:rsid w:val="6B536180"/>
    <w:rsid w:val="6B567439"/>
    <w:rsid w:val="6B583B8B"/>
    <w:rsid w:val="6B8208FC"/>
    <w:rsid w:val="6B8B57FF"/>
    <w:rsid w:val="6BAF6A13"/>
    <w:rsid w:val="6BB46349"/>
    <w:rsid w:val="6BD53A2F"/>
    <w:rsid w:val="6BDF3567"/>
    <w:rsid w:val="6BF608B1"/>
    <w:rsid w:val="6C057E57"/>
    <w:rsid w:val="6C0B1C68"/>
    <w:rsid w:val="6C0E13B6"/>
    <w:rsid w:val="6C1A4450"/>
    <w:rsid w:val="6C310293"/>
    <w:rsid w:val="6C342893"/>
    <w:rsid w:val="6C494E84"/>
    <w:rsid w:val="6C5961A6"/>
    <w:rsid w:val="6C5C6966"/>
    <w:rsid w:val="6C5D7FE5"/>
    <w:rsid w:val="6C754D50"/>
    <w:rsid w:val="6C83371A"/>
    <w:rsid w:val="6C90765F"/>
    <w:rsid w:val="6C9C4790"/>
    <w:rsid w:val="6CA87193"/>
    <w:rsid w:val="6CB83D8D"/>
    <w:rsid w:val="6CC059A0"/>
    <w:rsid w:val="6CC21555"/>
    <w:rsid w:val="6CC90D79"/>
    <w:rsid w:val="6CDB6430"/>
    <w:rsid w:val="6CDC0785"/>
    <w:rsid w:val="6CED1C4E"/>
    <w:rsid w:val="6D125276"/>
    <w:rsid w:val="6D6379E9"/>
    <w:rsid w:val="6D7F16E1"/>
    <w:rsid w:val="6D8A0652"/>
    <w:rsid w:val="6D9956BA"/>
    <w:rsid w:val="6DE74955"/>
    <w:rsid w:val="6DEB6DA4"/>
    <w:rsid w:val="6DFC351E"/>
    <w:rsid w:val="6E11552E"/>
    <w:rsid w:val="6E475B2E"/>
    <w:rsid w:val="6E522A0B"/>
    <w:rsid w:val="6E531FEA"/>
    <w:rsid w:val="6E625129"/>
    <w:rsid w:val="6E7855AD"/>
    <w:rsid w:val="6E7A364B"/>
    <w:rsid w:val="6E85588B"/>
    <w:rsid w:val="6E903FDD"/>
    <w:rsid w:val="6E905858"/>
    <w:rsid w:val="6E9426B2"/>
    <w:rsid w:val="6E9B1EA0"/>
    <w:rsid w:val="6E9F0D8B"/>
    <w:rsid w:val="6EA16987"/>
    <w:rsid w:val="6EA5525C"/>
    <w:rsid w:val="6EA95648"/>
    <w:rsid w:val="6EAD563C"/>
    <w:rsid w:val="6EBF79FB"/>
    <w:rsid w:val="6EC43FE5"/>
    <w:rsid w:val="6EE760FA"/>
    <w:rsid w:val="6F052773"/>
    <w:rsid w:val="6F1B48EA"/>
    <w:rsid w:val="6F280DC1"/>
    <w:rsid w:val="6F2C35F0"/>
    <w:rsid w:val="6F2F4117"/>
    <w:rsid w:val="6F484143"/>
    <w:rsid w:val="6F574271"/>
    <w:rsid w:val="6F5F09D1"/>
    <w:rsid w:val="6F750F26"/>
    <w:rsid w:val="6F7B72E9"/>
    <w:rsid w:val="6F8445D4"/>
    <w:rsid w:val="6F861AEF"/>
    <w:rsid w:val="6F8D5C1A"/>
    <w:rsid w:val="6F8E342E"/>
    <w:rsid w:val="6F8F28C7"/>
    <w:rsid w:val="6FA8133A"/>
    <w:rsid w:val="6FB40B3D"/>
    <w:rsid w:val="6FD27139"/>
    <w:rsid w:val="6FDB2C9E"/>
    <w:rsid w:val="6FE0340A"/>
    <w:rsid w:val="700A0487"/>
    <w:rsid w:val="701E5AE6"/>
    <w:rsid w:val="702B65EE"/>
    <w:rsid w:val="70306F6F"/>
    <w:rsid w:val="70391A19"/>
    <w:rsid w:val="704A4D27"/>
    <w:rsid w:val="70674DD5"/>
    <w:rsid w:val="70995C8F"/>
    <w:rsid w:val="70A44269"/>
    <w:rsid w:val="70AA4481"/>
    <w:rsid w:val="70B054D2"/>
    <w:rsid w:val="70CD2B48"/>
    <w:rsid w:val="70DC0075"/>
    <w:rsid w:val="70E22905"/>
    <w:rsid w:val="70F3413F"/>
    <w:rsid w:val="71126EE7"/>
    <w:rsid w:val="711A6DEF"/>
    <w:rsid w:val="7148395C"/>
    <w:rsid w:val="71654E27"/>
    <w:rsid w:val="71682F60"/>
    <w:rsid w:val="717A6BC0"/>
    <w:rsid w:val="717B5AE0"/>
    <w:rsid w:val="71820DE2"/>
    <w:rsid w:val="718A5D23"/>
    <w:rsid w:val="719E73CE"/>
    <w:rsid w:val="71A32941"/>
    <w:rsid w:val="71B02FE4"/>
    <w:rsid w:val="71B942DA"/>
    <w:rsid w:val="71C472E6"/>
    <w:rsid w:val="71D3093B"/>
    <w:rsid w:val="71D3434C"/>
    <w:rsid w:val="71F6500C"/>
    <w:rsid w:val="71F87130"/>
    <w:rsid w:val="721923EF"/>
    <w:rsid w:val="72372EDC"/>
    <w:rsid w:val="724C2552"/>
    <w:rsid w:val="725C32AC"/>
    <w:rsid w:val="729E377E"/>
    <w:rsid w:val="72A252EE"/>
    <w:rsid w:val="72AB1549"/>
    <w:rsid w:val="72AE5A41"/>
    <w:rsid w:val="72B53A75"/>
    <w:rsid w:val="72BD2C86"/>
    <w:rsid w:val="72BD3ED6"/>
    <w:rsid w:val="72BF5A46"/>
    <w:rsid w:val="72DA047C"/>
    <w:rsid w:val="72EC0A85"/>
    <w:rsid w:val="72F76922"/>
    <w:rsid w:val="7317347D"/>
    <w:rsid w:val="731C694B"/>
    <w:rsid w:val="73302851"/>
    <w:rsid w:val="73741E59"/>
    <w:rsid w:val="737E24ED"/>
    <w:rsid w:val="73972490"/>
    <w:rsid w:val="73C735B4"/>
    <w:rsid w:val="73C77E52"/>
    <w:rsid w:val="73CF3A91"/>
    <w:rsid w:val="73DB610B"/>
    <w:rsid w:val="73F62D3C"/>
    <w:rsid w:val="74027DFF"/>
    <w:rsid w:val="74194580"/>
    <w:rsid w:val="74203020"/>
    <w:rsid w:val="745463B4"/>
    <w:rsid w:val="745A0E84"/>
    <w:rsid w:val="746B063D"/>
    <w:rsid w:val="748A7DE8"/>
    <w:rsid w:val="748C283F"/>
    <w:rsid w:val="749C2C5D"/>
    <w:rsid w:val="749F41A8"/>
    <w:rsid w:val="74C836AD"/>
    <w:rsid w:val="750118E3"/>
    <w:rsid w:val="750473C7"/>
    <w:rsid w:val="750E5E76"/>
    <w:rsid w:val="751204F7"/>
    <w:rsid w:val="753024CA"/>
    <w:rsid w:val="75314C92"/>
    <w:rsid w:val="753A1E84"/>
    <w:rsid w:val="754474AA"/>
    <w:rsid w:val="754C2C03"/>
    <w:rsid w:val="7560289B"/>
    <w:rsid w:val="756A5C79"/>
    <w:rsid w:val="757C043C"/>
    <w:rsid w:val="759240A8"/>
    <w:rsid w:val="75A007E0"/>
    <w:rsid w:val="75BB2FF4"/>
    <w:rsid w:val="75C7199D"/>
    <w:rsid w:val="75D651C8"/>
    <w:rsid w:val="75E9038F"/>
    <w:rsid w:val="7603392E"/>
    <w:rsid w:val="76083EEA"/>
    <w:rsid w:val="760F6C9D"/>
    <w:rsid w:val="76134845"/>
    <w:rsid w:val="763922F4"/>
    <w:rsid w:val="763B030D"/>
    <w:rsid w:val="765952D6"/>
    <w:rsid w:val="76607ECF"/>
    <w:rsid w:val="766A1C7F"/>
    <w:rsid w:val="766A6123"/>
    <w:rsid w:val="76C540FD"/>
    <w:rsid w:val="772207AC"/>
    <w:rsid w:val="7730257F"/>
    <w:rsid w:val="77376AC9"/>
    <w:rsid w:val="773A326A"/>
    <w:rsid w:val="773E4D3D"/>
    <w:rsid w:val="77446043"/>
    <w:rsid w:val="77453361"/>
    <w:rsid w:val="774B075C"/>
    <w:rsid w:val="77896DD2"/>
    <w:rsid w:val="779E3656"/>
    <w:rsid w:val="77AB1E20"/>
    <w:rsid w:val="77ED700C"/>
    <w:rsid w:val="77F13B91"/>
    <w:rsid w:val="77FC07CF"/>
    <w:rsid w:val="77FD2ACD"/>
    <w:rsid w:val="78090273"/>
    <w:rsid w:val="780B5C20"/>
    <w:rsid w:val="781E7E54"/>
    <w:rsid w:val="781F57E8"/>
    <w:rsid w:val="782513D5"/>
    <w:rsid w:val="782A7F03"/>
    <w:rsid w:val="78494B32"/>
    <w:rsid w:val="784B3435"/>
    <w:rsid w:val="78532D97"/>
    <w:rsid w:val="786474C0"/>
    <w:rsid w:val="786F39A0"/>
    <w:rsid w:val="787119EB"/>
    <w:rsid w:val="78A21CA6"/>
    <w:rsid w:val="78AF69D1"/>
    <w:rsid w:val="78B114BE"/>
    <w:rsid w:val="78E95FC9"/>
    <w:rsid w:val="78ED6F4F"/>
    <w:rsid w:val="78FC6F36"/>
    <w:rsid w:val="79181CD3"/>
    <w:rsid w:val="79315495"/>
    <w:rsid w:val="794E03FE"/>
    <w:rsid w:val="79503DC8"/>
    <w:rsid w:val="795F3369"/>
    <w:rsid w:val="79616DC4"/>
    <w:rsid w:val="798057FE"/>
    <w:rsid w:val="79895D12"/>
    <w:rsid w:val="799001B0"/>
    <w:rsid w:val="79BA304A"/>
    <w:rsid w:val="79C23689"/>
    <w:rsid w:val="79D815F5"/>
    <w:rsid w:val="79E820BE"/>
    <w:rsid w:val="79F0693F"/>
    <w:rsid w:val="79F46E59"/>
    <w:rsid w:val="7A1408BE"/>
    <w:rsid w:val="7A164F14"/>
    <w:rsid w:val="7A7B51F5"/>
    <w:rsid w:val="7A837AAD"/>
    <w:rsid w:val="7A862644"/>
    <w:rsid w:val="7AAC158F"/>
    <w:rsid w:val="7AAD4830"/>
    <w:rsid w:val="7AB91782"/>
    <w:rsid w:val="7AC33779"/>
    <w:rsid w:val="7B070316"/>
    <w:rsid w:val="7B14665D"/>
    <w:rsid w:val="7B1E7576"/>
    <w:rsid w:val="7B2A2367"/>
    <w:rsid w:val="7B2E5D41"/>
    <w:rsid w:val="7B3C3676"/>
    <w:rsid w:val="7B4128F5"/>
    <w:rsid w:val="7B564454"/>
    <w:rsid w:val="7B681A01"/>
    <w:rsid w:val="7B86410F"/>
    <w:rsid w:val="7B95521D"/>
    <w:rsid w:val="7BC06311"/>
    <w:rsid w:val="7BC226FF"/>
    <w:rsid w:val="7BC26B0A"/>
    <w:rsid w:val="7BD3202E"/>
    <w:rsid w:val="7BD3539E"/>
    <w:rsid w:val="7BF03551"/>
    <w:rsid w:val="7BFA1CF7"/>
    <w:rsid w:val="7C0E0A42"/>
    <w:rsid w:val="7C1E3BDC"/>
    <w:rsid w:val="7C2E0D6E"/>
    <w:rsid w:val="7C47478B"/>
    <w:rsid w:val="7C4D00CB"/>
    <w:rsid w:val="7C541FEE"/>
    <w:rsid w:val="7C7E0232"/>
    <w:rsid w:val="7CB42860"/>
    <w:rsid w:val="7CCF45CA"/>
    <w:rsid w:val="7CEF7443"/>
    <w:rsid w:val="7D021F92"/>
    <w:rsid w:val="7D1B6DF1"/>
    <w:rsid w:val="7D3A7264"/>
    <w:rsid w:val="7D5844B2"/>
    <w:rsid w:val="7D5B424D"/>
    <w:rsid w:val="7D5B5E7A"/>
    <w:rsid w:val="7D794C6E"/>
    <w:rsid w:val="7D7C7207"/>
    <w:rsid w:val="7D871368"/>
    <w:rsid w:val="7DAD79CE"/>
    <w:rsid w:val="7DBE6237"/>
    <w:rsid w:val="7E6E2E4D"/>
    <w:rsid w:val="7E891110"/>
    <w:rsid w:val="7EA95EF1"/>
    <w:rsid w:val="7EBE6F11"/>
    <w:rsid w:val="7EC00F91"/>
    <w:rsid w:val="7EC40A46"/>
    <w:rsid w:val="7EE30DF1"/>
    <w:rsid w:val="7EEC0DA9"/>
    <w:rsid w:val="7F1E4525"/>
    <w:rsid w:val="7F3904CF"/>
    <w:rsid w:val="7F657E57"/>
    <w:rsid w:val="7F833D8D"/>
    <w:rsid w:val="7F8A1AF5"/>
    <w:rsid w:val="7F97402E"/>
    <w:rsid w:val="7F9930FD"/>
    <w:rsid w:val="7FD3166C"/>
    <w:rsid w:val="7FFD41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微软雅黑" w:cs="Times New Roman"/>
      <w:kern w:val="2"/>
      <w:sz w:val="24"/>
      <w:szCs w:val="24"/>
      <w:lang w:val="en-US" w:eastAsia="zh-CN" w:bidi="ar-SA"/>
    </w:rPr>
  </w:style>
  <w:style w:type="paragraph" w:styleId="2">
    <w:name w:val="heading 1"/>
    <w:basedOn w:val="1"/>
    <w:next w:val="1"/>
    <w:link w:val="53"/>
    <w:qFormat/>
    <w:uiPriority w:val="0"/>
    <w:pPr>
      <w:keepNext/>
      <w:keepLines/>
      <w:autoSpaceDE w:val="0"/>
      <w:autoSpaceDN w:val="0"/>
      <w:adjustRightInd w:val="0"/>
      <w:spacing w:before="240" w:after="120" w:line="300" w:lineRule="auto"/>
      <w:jc w:val="center"/>
      <w:outlineLvl w:val="0"/>
    </w:pPr>
    <w:rPr>
      <w:rFonts w:ascii="宋体" w:hAnsi="宋体"/>
      <w:b/>
      <w:kern w:val="44"/>
      <w:sz w:val="24"/>
      <w:szCs w:val="20"/>
    </w:rPr>
  </w:style>
  <w:style w:type="paragraph" w:styleId="3">
    <w:name w:val="heading 2"/>
    <w:basedOn w:val="1"/>
    <w:next w:val="1"/>
    <w:link w:val="54"/>
    <w:qFormat/>
    <w:uiPriority w:val="0"/>
    <w:pPr>
      <w:keepNext/>
      <w:keepLines/>
      <w:autoSpaceDE w:val="0"/>
      <w:autoSpaceDN w:val="0"/>
      <w:adjustRightInd w:val="0"/>
      <w:spacing w:before="120" w:line="300" w:lineRule="auto"/>
      <w:jc w:val="center"/>
      <w:outlineLvl w:val="1"/>
    </w:pPr>
    <w:rPr>
      <w:rFonts w:ascii="Arial" w:hAnsi="Arial"/>
      <w:b/>
      <w:kern w:val="0"/>
      <w:sz w:val="24"/>
      <w:szCs w:val="20"/>
    </w:rPr>
  </w:style>
  <w:style w:type="paragraph" w:styleId="4">
    <w:name w:val="heading 3"/>
    <w:basedOn w:val="1"/>
    <w:next w:val="1"/>
    <w:link w:val="55"/>
    <w:qFormat/>
    <w:uiPriority w:val="0"/>
    <w:pPr>
      <w:keepNext/>
      <w:keepLines/>
      <w:autoSpaceDE w:val="0"/>
      <w:autoSpaceDN w:val="0"/>
      <w:adjustRightInd w:val="0"/>
      <w:spacing w:before="360" w:after="120"/>
      <w:jc w:val="left"/>
      <w:outlineLvl w:val="2"/>
    </w:pPr>
    <w:rPr>
      <w:rFonts w:ascii="宋体" w:hAnsi="宋体" w:eastAsia="微软雅黑"/>
      <w:b/>
      <w:kern w:val="0"/>
      <w:sz w:val="24"/>
      <w:szCs w:val="20"/>
      <w:u w:val="single"/>
    </w:rPr>
  </w:style>
  <w:style w:type="paragraph" w:styleId="5">
    <w:name w:val="heading 4"/>
    <w:basedOn w:val="1"/>
    <w:next w:val="1"/>
    <w:unhideWhenUsed/>
    <w:qFormat/>
    <w:uiPriority w:val="9"/>
    <w:pPr>
      <w:keepNext/>
      <w:keepLines/>
      <w:spacing w:line="240" w:lineRule="auto"/>
      <w:jc w:val="left"/>
      <w:outlineLvl w:val="3"/>
    </w:pPr>
    <w:rPr>
      <w:rFonts w:eastAsia="仿宋" w:asciiTheme="majorAscii" w:hAnsiTheme="majorAscii" w:cstheme="majorBidi"/>
      <w:b/>
      <w:bCs/>
      <w:sz w:val="28"/>
      <w:szCs w:val="28"/>
    </w:rPr>
  </w:style>
  <w:style w:type="paragraph" w:styleId="6">
    <w:name w:val="heading 9"/>
    <w:basedOn w:val="1"/>
    <w:next w:val="1"/>
    <w:qFormat/>
    <w:uiPriority w:val="0"/>
    <w:pPr>
      <w:keepNext/>
      <w:keepLines/>
      <w:spacing w:before="240" w:beforeLines="0" w:beforeAutospacing="0" w:after="64" w:afterLines="0" w:afterAutospacing="0" w:line="317" w:lineRule="auto"/>
      <w:outlineLvl w:val="8"/>
    </w:pPr>
    <w:rPr>
      <w:rFonts w:ascii="Arial" w:hAnsi="Arial" w:eastAsia="黑体" w:cs="Times New Roman"/>
      <w:sz w:val="21"/>
    </w:rPr>
  </w:style>
  <w:style w:type="character" w:default="1" w:styleId="46">
    <w:name w:val="Default Paragraph Font"/>
    <w:qFormat/>
    <w:uiPriority w:val="0"/>
    <w:rPr>
      <w:rFonts w:ascii="Times New Roman" w:hAnsi="Times New Roman" w:eastAsia="宋体" w:cs="Times New Roman"/>
    </w:rPr>
  </w:style>
  <w:style w:type="table" w:default="1" w:styleId="44">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7">
    <w:name w:val="toc 7"/>
    <w:basedOn w:val="1"/>
    <w:next w:val="1"/>
    <w:qFormat/>
    <w:uiPriority w:val="0"/>
    <w:pPr>
      <w:ind w:left="2520" w:leftChars="1200"/>
    </w:pPr>
    <w:rPr>
      <w:rFonts w:ascii="Times New Roman" w:hAnsi="Times New Roman" w:eastAsia="宋体" w:cs="Times New Roman"/>
    </w:rPr>
  </w:style>
  <w:style w:type="paragraph" w:styleId="8">
    <w:name w:val="Normal Indent"/>
    <w:basedOn w:val="1"/>
    <w:next w:val="9"/>
    <w:qFormat/>
    <w:uiPriority w:val="0"/>
    <w:pPr>
      <w:autoSpaceDE w:val="0"/>
      <w:autoSpaceDN w:val="0"/>
      <w:adjustRightInd w:val="0"/>
      <w:ind w:firstLine="420"/>
      <w:jc w:val="left"/>
    </w:pPr>
    <w:rPr>
      <w:rFonts w:ascii="宋体" w:hAnsi="Times New Roman" w:eastAsia="宋体" w:cs="Times New Roman"/>
      <w:kern w:val="0"/>
      <w:sz w:val="24"/>
      <w:szCs w:val="20"/>
    </w:rPr>
  </w:style>
  <w:style w:type="paragraph" w:styleId="9">
    <w:name w:val="toa heading"/>
    <w:basedOn w:val="1"/>
    <w:next w:val="1"/>
    <w:qFormat/>
    <w:uiPriority w:val="0"/>
    <w:pPr>
      <w:spacing w:before="120"/>
    </w:pPr>
    <w:rPr>
      <w:rFonts w:ascii="Cambria" w:hAnsi="Cambria" w:eastAsia="宋体" w:cs="Times New Roman"/>
      <w:sz w:val="24"/>
      <w:szCs w:val="24"/>
    </w:rPr>
  </w:style>
  <w:style w:type="paragraph" w:styleId="10">
    <w:name w:val="annotation text"/>
    <w:basedOn w:val="1"/>
    <w:link w:val="56"/>
    <w:qFormat/>
    <w:uiPriority w:val="0"/>
    <w:pPr>
      <w:jc w:val="left"/>
    </w:pPr>
    <w:rPr>
      <w:rFonts w:ascii="Times New Roman" w:hAnsi="Times New Roman" w:eastAsia="宋体" w:cs="Times New Roman"/>
    </w:rPr>
  </w:style>
  <w:style w:type="paragraph" w:styleId="11">
    <w:name w:val="Body Text"/>
    <w:basedOn w:val="1"/>
    <w:next w:val="12"/>
    <w:link w:val="57"/>
    <w:qFormat/>
    <w:uiPriority w:val="0"/>
    <w:pPr>
      <w:tabs>
        <w:tab w:val="left" w:pos="567"/>
      </w:tabs>
      <w:spacing w:before="120" w:line="22" w:lineRule="atLeast"/>
    </w:pPr>
    <w:rPr>
      <w:rFonts w:ascii="宋体" w:hAnsi="宋体" w:eastAsia="宋体" w:cs="Times New Roman"/>
      <w:sz w:val="24"/>
    </w:rPr>
  </w:style>
  <w:style w:type="paragraph" w:customStyle="1" w:styleId="12">
    <w:name w:val="style4"/>
    <w:basedOn w:val="1"/>
    <w:next w:val="13"/>
    <w:autoRedefine/>
    <w:qFormat/>
    <w:uiPriority w:val="0"/>
    <w:pPr>
      <w:widowControl/>
      <w:spacing w:before="280" w:after="280"/>
    </w:pPr>
    <w:rPr>
      <w:rFonts w:ascii="宋体" w:hAnsi="Times New Roman" w:eastAsia="宋体" w:cs="Times New Roman"/>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qFormat/>
    <w:uiPriority w:val="0"/>
    <w:pPr>
      <w:spacing w:line="360" w:lineRule="auto"/>
      <w:ind w:firstLine="570"/>
    </w:pPr>
    <w:rPr>
      <w:rFonts w:ascii="Times New Roman" w:hAnsi="Times New Roman" w:eastAsia="宋体" w:cs="Times New Roman"/>
      <w:sz w:val="24"/>
    </w:rPr>
  </w:style>
  <w:style w:type="paragraph" w:styleId="15">
    <w:name w:val="Normal (Web)"/>
    <w:basedOn w:val="1"/>
    <w:next w:val="16"/>
    <w:qFormat/>
    <w:uiPriority w:val="0"/>
    <w:rPr>
      <w:rFonts w:ascii="Times New Roman" w:hAnsi="Times New Roman" w:eastAsia="宋体" w:cs="Times New Roman"/>
      <w:sz w:val="24"/>
      <w:szCs w:val="24"/>
    </w:rPr>
  </w:style>
  <w:style w:type="paragraph" w:customStyle="1" w:styleId="16">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17">
    <w:name w:val="Block Text"/>
    <w:basedOn w:val="1"/>
    <w:qFormat/>
    <w:uiPriority w:val="99"/>
    <w:pPr>
      <w:spacing w:after="120"/>
      <w:ind w:left="1440" w:leftChars="700" w:right="1440" w:rightChars="700"/>
    </w:pPr>
  </w:style>
  <w:style w:type="paragraph" w:styleId="18">
    <w:name w:val="index 4"/>
    <w:basedOn w:val="1"/>
    <w:next w:val="1"/>
    <w:unhideWhenUsed/>
    <w:qFormat/>
    <w:uiPriority w:val="99"/>
    <w:pPr>
      <w:ind w:left="600" w:leftChars="600"/>
    </w:pPr>
  </w:style>
  <w:style w:type="paragraph" w:styleId="19">
    <w:name w:val="toc 5"/>
    <w:basedOn w:val="1"/>
    <w:next w:val="1"/>
    <w:qFormat/>
    <w:uiPriority w:val="0"/>
    <w:pPr>
      <w:ind w:left="1680" w:leftChars="800"/>
    </w:pPr>
    <w:rPr>
      <w:rFonts w:ascii="Times New Roman" w:hAnsi="Times New Roman" w:eastAsia="宋体" w:cs="Times New Roman"/>
    </w:rPr>
  </w:style>
  <w:style w:type="paragraph" w:styleId="20">
    <w:name w:val="toc 3"/>
    <w:basedOn w:val="1"/>
    <w:next w:val="1"/>
    <w:qFormat/>
    <w:uiPriority w:val="0"/>
    <w:pPr>
      <w:tabs>
        <w:tab w:val="left" w:pos="1260"/>
        <w:tab w:val="right" w:leader="dot" w:pos="8630"/>
      </w:tabs>
      <w:ind w:left="840" w:leftChars="400"/>
    </w:pPr>
    <w:rPr>
      <w:rFonts w:ascii="Times New Roman" w:hAnsi="Times New Roman" w:eastAsia="宋体" w:cs="Times New Roman"/>
    </w:rPr>
  </w:style>
  <w:style w:type="paragraph" w:styleId="21">
    <w:name w:val="Plain Text"/>
    <w:basedOn w:val="1"/>
    <w:next w:val="22"/>
    <w:link w:val="58"/>
    <w:qFormat/>
    <w:uiPriority w:val="0"/>
    <w:rPr>
      <w:rFonts w:ascii="宋体" w:hAnsi="Courier New" w:eastAsia="宋体" w:cs="Times New Roman"/>
      <w:szCs w:val="20"/>
    </w:rPr>
  </w:style>
  <w:style w:type="paragraph" w:customStyle="1" w:styleId="22">
    <w:name w:val="toc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23">
    <w:name w:val="toc 8"/>
    <w:basedOn w:val="1"/>
    <w:next w:val="1"/>
    <w:qFormat/>
    <w:uiPriority w:val="0"/>
    <w:pPr>
      <w:ind w:left="2940" w:leftChars="1400"/>
    </w:pPr>
    <w:rPr>
      <w:rFonts w:ascii="Times New Roman" w:hAnsi="Times New Roman" w:eastAsia="宋体" w:cs="Times New Roman"/>
    </w:rPr>
  </w:style>
  <w:style w:type="paragraph" w:styleId="24">
    <w:name w:val="Date"/>
    <w:basedOn w:val="1"/>
    <w:next w:val="1"/>
    <w:link w:val="59"/>
    <w:qFormat/>
    <w:uiPriority w:val="0"/>
    <w:pPr>
      <w:ind w:left="100" w:leftChars="2500"/>
    </w:pPr>
    <w:rPr>
      <w:rFonts w:ascii="仿宋_GB2312" w:hAnsi="宋体" w:eastAsia="仿宋_GB2312" w:cs="Times New Roman"/>
      <w:color w:val="000000"/>
      <w:sz w:val="24"/>
    </w:rPr>
  </w:style>
  <w:style w:type="paragraph" w:styleId="25">
    <w:name w:val="Body Text Indent 2"/>
    <w:basedOn w:val="1"/>
    <w:qFormat/>
    <w:uiPriority w:val="0"/>
    <w:pPr>
      <w:ind w:firstLine="480" w:firstLineChars="200"/>
    </w:pPr>
    <w:rPr>
      <w:rFonts w:ascii="仿宋_GB2312" w:hAnsi="Times New Roman" w:eastAsia="仿宋_GB2312" w:cs="Times New Roman"/>
      <w:sz w:val="24"/>
    </w:rPr>
  </w:style>
  <w:style w:type="paragraph" w:styleId="26">
    <w:name w:val="Balloon Text"/>
    <w:basedOn w:val="1"/>
    <w:link w:val="60"/>
    <w:qFormat/>
    <w:uiPriority w:val="0"/>
    <w:rPr>
      <w:rFonts w:ascii="Times New Roman" w:hAnsi="Times New Roman" w:eastAsia="宋体" w:cs="Times New Roman"/>
      <w:sz w:val="18"/>
      <w:szCs w:val="18"/>
    </w:rPr>
  </w:style>
  <w:style w:type="paragraph" w:styleId="27">
    <w:name w:val="footer"/>
    <w:basedOn w:val="1"/>
    <w:link w:val="61"/>
    <w:qFormat/>
    <w:uiPriority w:val="0"/>
    <w:pPr>
      <w:tabs>
        <w:tab w:val="center" w:pos="4153"/>
        <w:tab w:val="right" w:pos="8306"/>
      </w:tabs>
      <w:autoSpaceDE w:val="0"/>
      <w:autoSpaceDN w:val="0"/>
      <w:adjustRightInd w:val="0"/>
      <w:snapToGrid w:val="0"/>
      <w:jc w:val="left"/>
    </w:pPr>
    <w:rPr>
      <w:rFonts w:ascii="宋体" w:hAnsi="Times New Roman" w:eastAsia="宋体" w:cs="Times New Roman"/>
      <w:kern w:val="0"/>
      <w:sz w:val="18"/>
      <w:szCs w:val="20"/>
    </w:rPr>
  </w:style>
  <w:style w:type="paragraph" w:styleId="28">
    <w:name w:val="envelope return"/>
    <w:basedOn w:val="1"/>
    <w:qFormat/>
    <w:uiPriority w:val="99"/>
  </w:style>
  <w:style w:type="paragraph" w:styleId="29">
    <w:name w:val="header"/>
    <w:basedOn w:val="1"/>
    <w:next w:val="1"/>
    <w:link w:val="62"/>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30">
    <w:name w:val="toc 1"/>
    <w:basedOn w:val="1"/>
    <w:next w:val="1"/>
    <w:qFormat/>
    <w:uiPriority w:val="0"/>
    <w:rPr>
      <w:rFonts w:ascii="Times New Roman" w:hAnsi="Times New Roman" w:eastAsia="宋体" w:cs="Times New Roman"/>
    </w:rPr>
  </w:style>
  <w:style w:type="paragraph" w:styleId="31">
    <w:name w:val="toc 4"/>
    <w:basedOn w:val="1"/>
    <w:next w:val="1"/>
    <w:qFormat/>
    <w:uiPriority w:val="0"/>
    <w:pPr>
      <w:ind w:left="1260" w:leftChars="600"/>
    </w:pPr>
    <w:rPr>
      <w:rFonts w:ascii="Times New Roman" w:hAnsi="Times New Roman" w:eastAsia="宋体" w:cs="Times New Roman"/>
    </w:rPr>
  </w:style>
  <w:style w:type="paragraph" w:styleId="32">
    <w:name w:val="List"/>
    <w:basedOn w:val="1"/>
    <w:unhideWhenUsed/>
    <w:qFormat/>
    <w:uiPriority w:val="99"/>
    <w:pPr>
      <w:ind w:left="200" w:hanging="200" w:hangingChars="200"/>
      <w:contextualSpacing/>
    </w:pPr>
  </w:style>
  <w:style w:type="paragraph" w:styleId="33">
    <w:name w:val="footnote text"/>
    <w:basedOn w:val="1"/>
    <w:qFormat/>
    <w:uiPriority w:val="0"/>
    <w:pPr>
      <w:snapToGrid w:val="0"/>
      <w:jc w:val="left"/>
    </w:pPr>
    <w:rPr>
      <w:rFonts w:ascii="Times New Roman" w:hAnsi="Times New Roman" w:eastAsia="宋体" w:cs="Times New Roman"/>
      <w:sz w:val="18"/>
    </w:rPr>
  </w:style>
  <w:style w:type="paragraph" w:styleId="34">
    <w:name w:val="toc 6"/>
    <w:basedOn w:val="1"/>
    <w:next w:val="1"/>
    <w:qFormat/>
    <w:uiPriority w:val="0"/>
    <w:pPr>
      <w:ind w:left="2100" w:leftChars="1000"/>
    </w:pPr>
    <w:rPr>
      <w:rFonts w:ascii="Times New Roman" w:hAnsi="Times New Roman" w:eastAsia="宋体" w:cs="Times New Roman"/>
    </w:rPr>
  </w:style>
  <w:style w:type="paragraph" w:styleId="35">
    <w:name w:val="Body Text Indent 3"/>
    <w:basedOn w:val="1"/>
    <w:qFormat/>
    <w:uiPriority w:val="0"/>
    <w:pPr>
      <w:autoSpaceDE w:val="0"/>
      <w:autoSpaceDN w:val="0"/>
      <w:adjustRightInd w:val="0"/>
      <w:spacing w:before="120" w:line="22" w:lineRule="atLeast"/>
      <w:ind w:left="720" w:firstLine="480"/>
      <w:jc w:val="left"/>
    </w:pPr>
    <w:rPr>
      <w:rFonts w:ascii="宋体" w:hAnsi="Times New Roman" w:eastAsia="宋体" w:cs="Times New Roman"/>
      <w:kern w:val="0"/>
      <w:sz w:val="24"/>
      <w:szCs w:val="20"/>
    </w:rPr>
  </w:style>
  <w:style w:type="paragraph" w:styleId="36">
    <w:name w:val="index 7"/>
    <w:basedOn w:val="1"/>
    <w:next w:val="1"/>
    <w:qFormat/>
    <w:uiPriority w:val="0"/>
    <w:pPr>
      <w:autoSpaceDE/>
      <w:autoSpaceDN/>
      <w:adjustRightInd/>
      <w:ind w:left="1200" w:leftChars="1200"/>
    </w:pPr>
    <w:rPr>
      <w:color w:val="auto"/>
      <w:kern w:val="2"/>
      <w:szCs w:val="24"/>
    </w:rPr>
  </w:style>
  <w:style w:type="paragraph" w:styleId="37">
    <w:name w:val="toc 2"/>
    <w:basedOn w:val="1"/>
    <w:next w:val="1"/>
    <w:qFormat/>
    <w:uiPriority w:val="0"/>
    <w:pPr>
      <w:ind w:left="420" w:leftChars="200"/>
    </w:pPr>
    <w:rPr>
      <w:rFonts w:ascii="Times New Roman" w:hAnsi="Times New Roman" w:eastAsia="宋体" w:cs="Times New Roman"/>
    </w:rPr>
  </w:style>
  <w:style w:type="paragraph" w:styleId="38">
    <w:name w:val="toc 9"/>
    <w:basedOn w:val="1"/>
    <w:next w:val="1"/>
    <w:qFormat/>
    <w:uiPriority w:val="0"/>
    <w:pPr>
      <w:ind w:left="3360" w:leftChars="1600"/>
    </w:pPr>
    <w:rPr>
      <w:rFonts w:ascii="Times New Roman" w:hAnsi="Times New Roman" w:eastAsia="宋体" w:cs="Times New Roman"/>
    </w:rPr>
  </w:style>
  <w:style w:type="paragraph" w:styleId="39">
    <w:name w:val="index 1"/>
    <w:basedOn w:val="1"/>
    <w:next w:val="1"/>
    <w:qFormat/>
    <w:uiPriority w:val="0"/>
    <w:rPr>
      <w:rFonts w:ascii="Times New Roman" w:hAnsi="Times New Roman" w:eastAsia="宋体" w:cs="Times New Roman"/>
      <w:szCs w:val="20"/>
    </w:rPr>
  </w:style>
  <w:style w:type="paragraph" w:styleId="40">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41">
    <w:name w:val="annotation subject"/>
    <w:basedOn w:val="10"/>
    <w:next w:val="10"/>
    <w:link w:val="63"/>
    <w:qFormat/>
    <w:uiPriority w:val="0"/>
    <w:rPr>
      <w:rFonts w:ascii="Times New Roman" w:hAnsi="Times New Roman" w:eastAsia="宋体" w:cs="Times New Roman"/>
      <w:b/>
      <w:bCs/>
    </w:rPr>
  </w:style>
  <w:style w:type="paragraph" w:styleId="42">
    <w:name w:val="Body Text First Indent"/>
    <w:basedOn w:val="11"/>
    <w:qFormat/>
    <w:uiPriority w:val="0"/>
    <w:pPr>
      <w:ind w:firstLine="420" w:firstLineChars="100"/>
    </w:pPr>
    <w:rPr>
      <w:rFonts w:ascii="Times New Roman" w:hAnsi="Times New Roman" w:eastAsia="宋体" w:cs="Times New Roman"/>
    </w:rPr>
  </w:style>
  <w:style w:type="paragraph" w:styleId="43">
    <w:name w:val="Body Text First Indent 2"/>
    <w:basedOn w:val="14"/>
    <w:next w:val="8"/>
    <w:qFormat/>
    <w:uiPriority w:val="0"/>
    <w:pPr>
      <w:ind w:firstLine="420" w:firstLineChars="200"/>
    </w:pPr>
    <w:rPr>
      <w:rFonts w:ascii="Times New Roman" w:hAnsi="Times New Roman" w:eastAsia="宋体" w:cs="Times New Roman"/>
      <w:szCs w:val="24"/>
    </w:rPr>
  </w:style>
  <w:style w:type="table" w:styleId="45">
    <w:name w:val="Table Grid"/>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basedOn w:val="46"/>
    <w:qFormat/>
    <w:uiPriority w:val="0"/>
    <w:rPr>
      <w:rFonts w:ascii="Times New Roman" w:hAnsi="Times New Roman" w:eastAsia="宋体" w:cs="Times New Roman"/>
      <w:b/>
      <w:bCs/>
    </w:rPr>
  </w:style>
  <w:style w:type="character" w:styleId="48">
    <w:name w:val="page number"/>
    <w:basedOn w:val="46"/>
    <w:qFormat/>
    <w:uiPriority w:val="0"/>
    <w:rPr>
      <w:rFonts w:ascii="Times New Roman" w:hAnsi="Times New Roman" w:eastAsia="宋体" w:cs="Times New Roman"/>
    </w:rPr>
  </w:style>
  <w:style w:type="character" w:styleId="49">
    <w:name w:val="Hyperlink"/>
    <w:qFormat/>
    <w:uiPriority w:val="0"/>
    <w:rPr>
      <w:rFonts w:ascii="Times New Roman" w:hAnsi="Times New Roman" w:eastAsia="宋体" w:cs="Times New Roman"/>
      <w:color w:val="0000FF"/>
      <w:u w:val="single"/>
    </w:rPr>
  </w:style>
  <w:style w:type="character" w:styleId="50">
    <w:name w:val="annotation reference"/>
    <w:qFormat/>
    <w:uiPriority w:val="0"/>
    <w:rPr>
      <w:rFonts w:ascii="Times New Roman" w:hAnsi="Times New Roman" w:eastAsia="宋体" w:cs="Times New Roman"/>
      <w:sz w:val="21"/>
      <w:szCs w:val="21"/>
    </w:rPr>
  </w:style>
  <w:style w:type="character" w:styleId="51">
    <w:name w:val="HTML Sample"/>
    <w:basedOn w:val="46"/>
    <w:qFormat/>
    <w:uiPriority w:val="0"/>
    <w:rPr>
      <w:rFonts w:ascii="Courier New" w:hAnsi="Courier New"/>
    </w:rPr>
  </w:style>
  <w:style w:type="paragraph" w:customStyle="1" w:styleId="52">
    <w:name w:val="_Style 1"/>
    <w:qFormat/>
    <w:uiPriority w:val="1"/>
    <w:pPr>
      <w:adjustRightInd w:val="0"/>
      <w:snapToGrid w:val="0"/>
    </w:pPr>
    <w:rPr>
      <w:rFonts w:ascii="Tahoma" w:hAnsi="Tahoma" w:eastAsia="宋体" w:cs="Times New Roman"/>
      <w:sz w:val="22"/>
      <w:szCs w:val="22"/>
      <w:lang w:val="en-US" w:eastAsia="zh-CN" w:bidi="ar-SA"/>
    </w:rPr>
  </w:style>
  <w:style w:type="character" w:customStyle="1" w:styleId="53">
    <w:name w:val="标题 1 Char"/>
    <w:link w:val="2"/>
    <w:qFormat/>
    <w:uiPriority w:val="0"/>
    <w:rPr>
      <w:rFonts w:ascii="宋体" w:hAnsi="宋体" w:eastAsia="微软雅黑" w:cs="Times New Roman"/>
      <w:b/>
      <w:kern w:val="44"/>
      <w:sz w:val="24"/>
    </w:rPr>
  </w:style>
  <w:style w:type="character" w:customStyle="1" w:styleId="54">
    <w:name w:val="标题 2 Char"/>
    <w:link w:val="3"/>
    <w:qFormat/>
    <w:uiPriority w:val="0"/>
    <w:rPr>
      <w:rFonts w:ascii="Arial" w:hAnsi="Arial" w:eastAsia="微软雅黑" w:cs="Times New Roman"/>
      <w:b/>
      <w:sz w:val="24"/>
    </w:rPr>
  </w:style>
  <w:style w:type="character" w:customStyle="1" w:styleId="55">
    <w:name w:val="标题 3 Char"/>
    <w:link w:val="4"/>
    <w:qFormat/>
    <w:uiPriority w:val="0"/>
    <w:rPr>
      <w:rFonts w:ascii="宋体" w:hAnsi="宋体" w:eastAsia="微软雅黑" w:cs="Times New Roman"/>
      <w:b/>
      <w:sz w:val="24"/>
      <w:u w:val="single"/>
    </w:rPr>
  </w:style>
  <w:style w:type="character" w:customStyle="1" w:styleId="56">
    <w:name w:val="批注文字 Char"/>
    <w:link w:val="10"/>
    <w:qFormat/>
    <w:uiPriority w:val="0"/>
    <w:rPr>
      <w:rFonts w:ascii="Times New Roman" w:hAnsi="Times New Roman" w:eastAsia="宋体" w:cs="Times New Roman"/>
      <w:kern w:val="2"/>
      <w:sz w:val="21"/>
      <w:szCs w:val="24"/>
    </w:rPr>
  </w:style>
  <w:style w:type="character" w:customStyle="1" w:styleId="57">
    <w:name w:val="正文文本 Char"/>
    <w:link w:val="11"/>
    <w:qFormat/>
    <w:uiPriority w:val="0"/>
    <w:rPr>
      <w:rFonts w:ascii="宋体" w:hAnsi="宋体" w:eastAsia="宋体" w:cs="Times New Roman"/>
      <w:kern w:val="2"/>
      <w:sz w:val="24"/>
      <w:szCs w:val="24"/>
    </w:rPr>
  </w:style>
  <w:style w:type="character" w:customStyle="1" w:styleId="58">
    <w:name w:val="纯文本 Char"/>
    <w:link w:val="21"/>
    <w:qFormat/>
    <w:uiPriority w:val="0"/>
    <w:rPr>
      <w:rFonts w:ascii="宋体" w:hAnsi="Courier New" w:eastAsia="宋体" w:cs="Times New Roman"/>
      <w:kern w:val="2"/>
      <w:sz w:val="21"/>
    </w:rPr>
  </w:style>
  <w:style w:type="character" w:customStyle="1" w:styleId="59">
    <w:name w:val="日期 Char"/>
    <w:link w:val="24"/>
    <w:qFormat/>
    <w:uiPriority w:val="0"/>
    <w:rPr>
      <w:rFonts w:ascii="仿宋_GB2312" w:hAnsi="宋体" w:eastAsia="仿宋_GB2312" w:cs="Times New Roman"/>
      <w:color w:val="000000"/>
      <w:kern w:val="2"/>
      <w:sz w:val="24"/>
      <w:szCs w:val="24"/>
    </w:rPr>
  </w:style>
  <w:style w:type="character" w:customStyle="1" w:styleId="60">
    <w:name w:val="批注框文本 Char"/>
    <w:link w:val="26"/>
    <w:qFormat/>
    <w:uiPriority w:val="0"/>
    <w:rPr>
      <w:rFonts w:ascii="Times New Roman" w:hAnsi="Times New Roman" w:eastAsia="宋体" w:cs="Times New Roman"/>
      <w:kern w:val="2"/>
      <w:sz w:val="18"/>
      <w:szCs w:val="18"/>
    </w:rPr>
  </w:style>
  <w:style w:type="character" w:customStyle="1" w:styleId="61">
    <w:name w:val="页脚 Char"/>
    <w:link w:val="27"/>
    <w:qFormat/>
    <w:uiPriority w:val="0"/>
    <w:rPr>
      <w:rFonts w:ascii="宋体" w:hAnsi="Times New Roman" w:eastAsia="宋体" w:cs="Times New Roman"/>
      <w:sz w:val="18"/>
    </w:rPr>
  </w:style>
  <w:style w:type="character" w:customStyle="1" w:styleId="62">
    <w:name w:val="页眉 Char"/>
    <w:link w:val="29"/>
    <w:qFormat/>
    <w:uiPriority w:val="0"/>
    <w:rPr>
      <w:rFonts w:ascii="Times New Roman" w:hAnsi="Times New Roman" w:eastAsia="宋体" w:cs="Times New Roman"/>
      <w:kern w:val="2"/>
      <w:sz w:val="18"/>
      <w:szCs w:val="18"/>
    </w:rPr>
  </w:style>
  <w:style w:type="character" w:customStyle="1" w:styleId="63">
    <w:name w:val="批注主题 Char"/>
    <w:link w:val="41"/>
    <w:qFormat/>
    <w:uiPriority w:val="0"/>
    <w:rPr>
      <w:rFonts w:ascii="Times New Roman" w:hAnsi="Times New Roman" w:eastAsia="宋体" w:cs="Times New Roman"/>
      <w:b/>
      <w:bCs/>
      <w:kern w:val="2"/>
      <w:sz w:val="21"/>
      <w:szCs w:val="24"/>
    </w:rPr>
  </w:style>
  <w:style w:type="character" w:customStyle="1" w:styleId="64">
    <w:name w:val="font21"/>
    <w:basedOn w:val="46"/>
    <w:qFormat/>
    <w:uiPriority w:val="0"/>
    <w:rPr>
      <w:rFonts w:hint="eastAsia" w:ascii="宋体" w:hAnsi="宋体" w:eastAsia="宋体" w:cs="宋体"/>
      <w:b/>
      <w:color w:val="000000"/>
      <w:sz w:val="24"/>
      <w:szCs w:val="24"/>
      <w:u w:val="none"/>
    </w:rPr>
  </w:style>
  <w:style w:type="character" w:customStyle="1" w:styleId="65">
    <w:name w:val="批注文字 Char1"/>
    <w:qFormat/>
    <w:uiPriority w:val="0"/>
    <w:rPr>
      <w:rFonts w:ascii="Times New Roman" w:hAnsi="Times New Roman" w:eastAsia="宋体" w:cs="Times New Roman"/>
      <w:kern w:val="2"/>
      <w:sz w:val="21"/>
      <w:szCs w:val="24"/>
    </w:rPr>
  </w:style>
  <w:style w:type="character" w:customStyle="1" w:styleId="66">
    <w:name w:val="批注框文本 Char1"/>
    <w:qFormat/>
    <w:uiPriority w:val="0"/>
    <w:rPr>
      <w:rFonts w:ascii="Times New Roman" w:hAnsi="Times New Roman" w:eastAsia="宋体" w:cs="Times New Roman"/>
      <w:kern w:val="2"/>
      <w:sz w:val="18"/>
      <w:szCs w:val="18"/>
    </w:rPr>
  </w:style>
  <w:style w:type="character" w:customStyle="1" w:styleId="67">
    <w:name w:val="font61"/>
    <w:basedOn w:val="46"/>
    <w:qFormat/>
    <w:uiPriority w:val="0"/>
    <w:rPr>
      <w:rFonts w:hint="eastAsia" w:ascii="宋体" w:hAnsi="宋体" w:eastAsia="宋体" w:cs="宋体"/>
      <w:b/>
      <w:color w:val="000000"/>
      <w:sz w:val="18"/>
      <w:szCs w:val="18"/>
      <w:u w:val="none"/>
    </w:rPr>
  </w:style>
  <w:style w:type="character" w:customStyle="1" w:styleId="68">
    <w:name w:val="font71"/>
    <w:basedOn w:val="46"/>
    <w:qFormat/>
    <w:uiPriority w:val="0"/>
    <w:rPr>
      <w:rFonts w:ascii="Arial" w:hAnsi="Arial" w:eastAsia="宋体" w:cs="Arial"/>
      <w:color w:val="000000"/>
      <w:sz w:val="20"/>
      <w:szCs w:val="20"/>
      <w:u w:val="none"/>
    </w:rPr>
  </w:style>
  <w:style w:type="character" w:customStyle="1" w:styleId="69">
    <w:name w:val="font31"/>
    <w:qFormat/>
    <w:uiPriority w:val="0"/>
    <w:rPr>
      <w:rFonts w:hint="eastAsia" w:ascii="宋体" w:hAnsi="宋体" w:eastAsia="宋体" w:cs="宋体"/>
      <w:b/>
      <w:color w:val="000000"/>
      <w:sz w:val="18"/>
      <w:szCs w:val="18"/>
      <w:u w:val="none"/>
    </w:rPr>
  </w:style>
  <w:style w:type="character" w:customStyle="1" w:styleId="70">
    <w:name w:val="font01"/>
    <w:basedOn w:val="46"/>
    <w:qFormat/>
    <w:uiPriority w:val="0"/>
    <w:rPr>
      <w:rFonts w:hint="eastAsia" w:ascii="宋体" w:hAnsi="宋体" w:eastAsia="宋体" w:cs="宋体"/>
      <w:color w:val="000000"/>
      <w:sz w:val="20"/>
      <w:szCs w:val="20"/>
      <w:u w:val="none"/>
    </w:rPr>
  </w:style>
  <w:style w:type="character" w:customStyle="1" w:styleId="71">
    <w:name w:val="font41"/>
    <w:qFormat/>
    <w:uiPriority w:val="0"/>
    <w:rPr>
      <w:rFonts w:hint="eastAsia" w:ascii="宋体" w:hAnsi="宋体" w:eastAsia="宋体" w:cs="宋体"/>
      <w:b/>
      <w:color w:val="000000"/>
      <w:sz w:val="18"/>
      <w:szCs w:val="18"/>
      <w:u w:val="none"/>
    </w:rPr>
  </w:style>
  <w:style w:type="character" w:customStyle="1" w:styleId="72">
    <w:name w:val="font11"/>
    <w:basedOn w:val="46"/>
    <w:qFormat/>
    <w:uiPriority w:val="0"/>
    <w:rPr>
      <w:rFonts w:hint="eastAsia" w:ascii="宋体" w:hAnsi="宋体" w:eastAsia="宋体" w:cs="宋体"/>
      <w:color w:val="000000"/>
      <w:sz w:val="24"/>
      <w:szCs w:val="24"/>
      <w:u w:val="none"/>
    </w:rPr>
  </w:style>
  <w:style w:type="character" w:customStyle="1" w:styleId="73">
    <w:name w:val="批注主题 Char1"/>
    <w:qFormat/>
    <w:uiPriority w:val="0"/>
    <w:rPr>
      <w:rFonts w:ascii="Times New Roman" w:hAnsi="Times New Roman" w:eastAsia="宋体" w:cs="Times New Roman"/>
      <w:b/>
      <w:bCs/>
      <w:kern w:val="2"/>
      <w:sz w:val="21"/>
      <w:szCs w:val="24"/>
    </w:rPr>
  </w:style>
  <w:style w:type="character" w:customStyle="1" w:styleId="74">
    <w:name w:val="apple-converted-space"/>
    <w:basedOn w:val="46"/>
    <w:qFormat/>
    <w:uiPriority w:val="0"/>
    <w:rPr>
      <w:rFonts w:ascii="Times New Roman" w:hAnsi="Times New Roman" w:eastAsia="宋体" w:cs="Times New Roman"/>
    </w:rPr>
  </w:style>
  <w:style w:type="character" w:customStyle="1" w:styleId="75">
    <w:name w:val="纯文本 Char1"/>
    <w:link w:val="76"/>
    <w:qFormat/>
    <w:uiPriority w:val="0"/>
    <w:rPr>
      <w:rFonts w:ascii="宋体" w:hAnsi="Courier New" w:eastAsia="宋体" w:cs="Times New Roman"/>
    </w:rPr>
  </w:style>
  <w:style w:type="paragraph" w:customStyle="1" w:styleId="76">
    <w:name w:val="纯文本1"/>
    <w:basedOn w:val="1"/>
    <w:link w:val="75"/>
    <w:qFormat/>
    <w:uiPriority w:val="0"/>
    <w:rPr>
      <w:rFonts w:ascii="宋体" w:hAnsi="Courier New" w:eastAsia="宋体" w:cs="Times New Roman"/>
      <w:kern w:val="0"/>
      <w:sz w:val="20"/>
      <w:szCs w:val="20"/>
    </w:rPr>
  </w:style>
  <w:style w:type="character" w:customStyle="1" w:styleId="77">
    <w:name w:val="font51"/>
    <w:qFormat/>
    <w:uiPriority w:val="0"/>
    <w:rPr>
      <w:rFonts w:hint="eastAsia" w:ascii="宋体" w:hAnsi="宋体" w:eastAsia="宋体" w:cs="宋体"/>
      <w:color w:val="000000"/>
      <w:sz w:val="18"/>
      <w:szCs w:val="18"/>
      <w:u w:val="none"/>
    </w:rPr>
  </w:style>
  <w:style w:type="character" w:customStyle="1" w:styleId="78">
    <w:name w:val="页眉 Char1"/>
    <w:qFormat/>
    <w:uiPriority w:val="0"/>
    <w:rPr>
      <w:rFonts w:ascii="Times New Roman" w:hAnsi="Times New Roman" w:eastAsia="宋体" w:cs="Times New Roman"/>
      <w:kern w:val="2"/>
      <w:sz w:val="18"/>
      <w:szCs w:val="18"/>
    </w:rPr>
  </w:style>
  <w:style w:type="character" w:customStyle="1" w:styleId="79">
    <w:name w:val="正文缩进 Char1"/>
    <w:link w:val="80"/>
    <w:qFormat/>
    <w:uiPriority w:val="0"/>
    <w:rPr>
      <w:rFonts w:ascii="宋体" w:hAnsi="Times New Roman" w:eastAsia="宋体" w:cs="Times New Roman"/>
      <w:sz w:val="24"/>
    </w:rPr>
  </w:style>
  <w:style w:type="paragraph" w:customStyle="1" w:styleId="80">
    <w:name w:val="正文缩进1"/>
    <w:basedOn w:val="1"/>
    <w:link w:val="79"/>
    <w:qFormat/>
    <w:uiPriority w:val="0"/>
    <w:pPr>
      <w:autoSpaceDE w:val="0"/>
      <w:autoSpaceDN w:val="0"/>
      <w:adjustRightInd w:val="0"/>
      <w:ind w:firstLine="420"/>
      <w:jc w:val="left"/>
    </w:pPr>
    <w:rPr>
      <w:rFonts w:ascii="宋体" w:hAnsi="Times New Roman" w:eastAsia="宋体" w:cs="Times New Roman"/>
      <w:kern w:val="0"/>
      <w:sz w:val="24"/>
      <w:szCs w:val="20"/>
    </w:rPr>
  </w:style>
  <w:style w:type="paragraph" w:customStyle="1" w:styleId="81">
    <w:name w:val="WPSOffice手动目录 3"/>
    <w:qFormat/>
    <w:uiPriority w:val="0"/>
    <w:pPr>
      <w:ind w:leftChars="400"/>
    </w:pPr>
    <w:rPr>
      <w:rFonts w:ascii="Times New Roman" w:hAnsi="Times New Roman" w:eastAsia="宋体" w:cs="Times New Roman"/>
      <w:lang w:val="en-US" w:eastAsia="zh-CN" w:bidi="ar-SA"/>
    </w:rPr>
  </w:style>
  <w:style w:type="paragraph" w:customStyle="1" w:styleId="82">
    <w:name w:val="Char"/>
    <w:basedOn w:val="1"/>
    <w:qFormat/>
    <w:uiPriority w:val="0"/>
    <w:pPr>
      <w:tabs>
        <w:tab w:val="left" w:pos="360"/>
      </w:tabs>
    </w:pPr>
    <w:rPr>
      <w:rFonts w:ascii="Times New Roman" w:hAnsi="Times New Roman" w:eastAsia="宋体" w:cs="Times New Roman"/>
      <w:sz w:val="24"/>
    </w:rPr>
  </w:style>
  <w:style w:type="paragraph" w:styleId="83">
    <w:name w:val="List Paragraph"/>
    <w:basedOn w:val="1"/>
    <w:qFormat/>
    <w:uiPriority w:val="0"/>
    <w:pPr>
      <w:widowControl/>
      <w:ind w:firstLine="420" w:firstLineChars="200"/>
      <w:jc w:val="left"/>
    </w:pPr>
    <w:rPr>
      <w:rFonts w:ascii="Times New Roman" w:hAnsi="Times New Roman" w:eastAsia="宋体" w:cs="Times New Roman"/>
      <w:kern w:val="0"/>
      <w:sz w:val="24"/>
    </w:rPr>
  </w:style>
  <w:style w:type="paragraph" w:customStyle="1" w:styleId="84">
    <w:name w:val="WPSOffice手动目录 2"/>
    <w:qFormat/>
    <w:uiPriority w:val="0"/>
    <w:pPr>
      <w:ind w:leftChars="200"/>
    </w:pPr>
    <w:rPr>
      <w:rFonts w:ascii="Times New Roman" w:hAnsi="Times New Roman" w:eastAsia="宋体" w:cs="Times New Roman"/>
      <w:lang w:val="en-US" w:eastAsia="zh-CN" w:bidi="ar-SA"/>
    </w:rPr>
  </w:style>
  <w:style w:type="paragraph" w:customStyle="1" w:styleId="85">
    <w:name w:val="列出段落1"/>
    <w:basedOn w:val="1"/>
    <w:qFormat/>
    <w:uiPriority w:val="0"/>
    <w:pPr>
      <w:ind w:firstLine="420" w:firstLineChars="200"/>
    </w:pPr>
    <w:rPr>
      <w:rFonts w:ascii="Times New Roman" w:hAnsi="Times New Roman" w:eastAsia="宋体" w:cs="Times New Roman"/>
    </w:rPr>
  </w:style>
  <w:style w:type="paragraph" w:customStyle="1" w:styleId="86">
    <w:name w:val="List Paragraph_950ef204-ccf4-4d36-8da3-09d279cbb147"/>
    <w:basedOn w:val="1"/>
    <w:qFormat/>
    <w:uiPriority w:val="0"/>
    <w:pPr>
      <w:ind w:firstLine="420" w:firstLineChars="200"/>
    </w:pPr>
    <w:rPr>
      <w:rFonts w:ascii="Times New Roman" w:hAnsi="Times New Roman" w:eastAsia="宋体" w:cs="Times New Roman"/>
    </w:rPr>
  </w:style>
  <w:style w:type="paragraph" w:customStyle="1" w:styleId="87">
    <w:name w:val="Default"/>
    <w:next w:val="36"/>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88">
    <w:name w:val="索引 11"/>
    <w:basedOn w:val="1"/>
    <w:next w:val="1"/>
    <w:qFormat/>
    <w:uiPriority w:val="0"/>
    <w:pPr>
      <w:spacing w:line="360" w:lineRule="auto"/>
    </w:pPr>
    <w:rPr>
      <w:rFonts w:ascii="仿宋_GB2312" w:hAnsi="Times New Roman" w:eastAsia="仿宋_GB2312" w:cs="Times New Roman"/>
      <w:sz w:val="24"/>
      <w:szCs w:val="20"/>
    </w:rPr>
  </w:style>
  <w:style w:type="paragraph" w:customStyle="1" w:styleId="89">
    <w:name w:val="p0"/>
    <w:basedOn w:val="1"/>
    <w:qFormat/>
    <w:uiPriority w:val="0"/>
    <w:pPr>
      <w:widowControl/>
    </w:pPr>
    <w:rPr>
      <w:rFonts w:ascii="Times New Roman" w:hAnsi="Times New Roman" w:eastAsia="宋体" w:cs="Times New Roman"/>
      <w:kern w:val="0"/>
      <w:szCs w:val="21"/>
    </w:rPr>
  </w:style>
  <w:style w:type="paragraph" w:customStyle="1" w:styleId="90">
    <w:name w:val="WPSOffice手动目录 1"/>
    <w:qFormat/>
    <w:uiPriority w:val="0"/>
    <w:rPr>
      <w:rFonts w:ascii="Times New Roman" w:hAnsi="Times New Roman" w:eastAsia="宋体" w:cs="Times New Roman"/>
      <w:lang w:val="en-US" w:eastAsia="zh-CN" w:bidi="ar-SA"/>
    </w:rPr>
  </w:style>
  <w:style w:type="paragraph" w:customStyle="1" w:styleId="91">
    <w:name w:val="列出段落2"/>
    <w:basedOn w:val="1"/>
    <w:qFormat/>
    <w:uiPriority w:val="34"/>
    <w:pPr>
      <w:ind w:firstLine="420" w:firstLineChars="200"/>
    </w:pPr>
  </w:style>
  <w:style w:type="paragraph" w:customStyle="1" w:styleId="92">
    <w:name w:val="标题 #1"/>
    <w:basedOn w:val="1"/>
    <w:qFormat/>
    <w:uiPriority w:val="0"/>
    <w:pPr>
      <w:widowControl w:val="0"/>
      <w:shd w:val="clear" w:color="auto" w:fill="FFFFFF"/>
      <w:spacing w:after="1180"/>
      <w:ind w:left="1940"/>
      <w:outlineLvl w:val="0"/>
    </w:pPr>
    <w:rPr>
      <w:rFonts w:ascii="新宋体" w:hAnsi="新宋体" w:eastAsia="新宋体" w:cs="新宋体"/>
      <w:sz w:val="62"/>
      <w:szCs w:val="62"/>
      <w:u w:val="none"/>
      <w:lang w:val="zh-CN" w:eastAsia="zh-CN" w:bidi="zh-CN"/>
    </w:rPr>
  </w:style>
  <w:style w:type="paragraph" w:customStyle="1" w:styleId="93">
    <w:name w:val="其他"/>
    <w:basedOn w:val="1"/>
    <w:qFormat/>
    <w:uiPriority w:val="0"/>
    <w:pPr>
      <w:widowControl w:val="0"/>
      <w:shd w:val="clear" w:color="auto" w:fill="FFFFFF"/>
    </w:pPr>
    <w:rPr>
      <w:rFonts w:ascii="新宋体" w:hAnsi="新宋体" w:eastAsia="新宋体" w:cs="新宋体"/>
      <w:sz w:val="30"/>
      <w:szCs w:val="30"/>
      <w:u w:val="none"/>
      <w:lang w:val="zh-CN" w:eastAsia="zh-CN" w:bidi="zh-CN"/>
    </w:rPr>
  </w:style>
  <w:style w:type="paragraph" w:customStyle="1" w:styleId="94">
    <w:name w:val="正文文本 (2)"/>
    <w:basedOn w:val="1"/>
    <w:qFormat/>
    <w:uiPriority w:val="0"/>
    <w:pPr>
      <w:widowControl w:val="0"/>
      <w:shd w:val="clear" w:color="auto" w:fill="FFFFFF"/>
      <w:spacing w:after="760"/>
      <w:ind w:left="5920"/>
    </w:pPr>
    <w:rPr>
      <w:rFonts w:ascii="黑体" w:hAnsi="黑体" w:eastAsia="黑体" w:cs="黑体"/>
      <w:sz w:val="44"/>
      <w:szCs w:val="44"/>
      <w:u w:val="none"/>
      <w:lang w:val="zh-CN" w:eastAsia="zh-CN" w:bidi="zh-CN"/>
    </w:rPr>
  </w:style>
  <w:style w:type="character" w:customStyle="1" w:styleId="95">
    <w:name w:val="font81"/>
    <w:basedOn w:val="46"/>
    <w:qFormat/>
    <w:uiPriority w:val="0"/>
    <w:rPr>
      <w:rFonts w:hint="default" w:ascii="Tahoma" w:hAnsi="Tahoma" w:eastAsia="Tahoma" w:cs="Tahoma"/>
      <w:color w:val="000000"/>
      <w:sz w:val="16"/>
      <w:szCs w:val="16"/>
      <w:u w:val="none"/>
    </w:rPr>
  </w:style>
  <w:style w:type="character" w:customStyle="1" w:styleId="96">
    <w:name w:val="font91"/>
    <w:basedOn w:val="46"/>
    <w:qFormat/>
    <w:uiPriority w:val="0"/>
    <w:rPr>
      <w:rFonts w:hint="default" w:ascii="Tahoma" w:hAnsi="Tahoma" w:eastAsia="Tahoma" w:cs="Tahoma"/>
      <w:color w:val="000000"/>
      <w:sz w:val="18"/>
      <w:szCs w:val="18"/>
      <w:u w:val="none"/>
    </w:rPr>
  </w:style>
  <w:style w:type="character" w:customStyle="1" w:styleId="97">
    <w:name w:val="NormalCharacter"/>
    <w:qFormat/>
    <w:uiPriority w:val="0"/>
    <w:rPr>
      <w:rFonts w:ascii="Times New Roman" w:hAnsi="Times New Roman" w:eastAsia="宋体" w:cs="Times New Roman"/>
      <w:kern w:val="2"/>
      <w:sz w:val="21"/>
      <w:szCs w:val="24"/>
      <w:lang w:val="en-US" w:eastAsia="zh-CN" w:bidi="ar-SA"/>
    </w:rPr>
  </w:style>
  <w:style w:type="table" w:customStyle="1" w:styleId="98">
    <w:name w:val="Table Normal"/>
    <w:semiHidden/>
    <w:unhideWhenUsed/>
    <w:qFormat/>
    <w:uiPriority w:val="0"/>
    <w:tblPr>
      <w:tblCellMar>
        <w:top w:w="0" w:type="dxa"/>
        <w:left w:w="0" w:type="dxa"/>
        <w:bottom w:w="0" w:type="dxa"/>
        <w:right w:w="0" w:type="dxa"/>
      </w:tblCellMar>
    </w:tblPr>
  </w:style>
  <w:style w:type="paragraph" w:customStyle="1" w:styleId="99">
    <w:name w:val="Table Text"/>
    <w:basedOn w:val="1"/>
    <w:semiHidden/>
    <w:qFormat/>
    <w:uiPriority w:val="0"/>
    <w:rPr>
      <w:rFonts w:ascii="Arial" w:hAnsi="Arial" w:eastAsia="Arial" w:cs="Arial"/>
      <w:sz w:val="21"/>
      <w:szCs w:val="21"/>
      <w:lang w:val="en-US" w:eastAsia="en-US" w:bidi="ar-SA"/>
    </w:rPr>
  </w:style>
  <w:style w:type="paragraph" w:customStyle="1" w:styleId="100">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13317</Words>
  <Characters>14114</Characters>
  <Lines>1</Lines>
  <Paragraphs>1</Paragraphs>
  <TotalTime>65</TotalTime>
  <ScaleCrop>false</ScaleCrop>
  <LinksUpToDate>false</LinksUpToDate>
  <CharactersWithSpaces>15433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2018-08-15T03:05:00Z</dcterms:created>
  <dc:creator>USER-</dc:creator>
  <cp:lastModifiedBy>;</cp:lastModifiedBy>
  <cp:lastPrinted>2025-06-18T11:55:07Z</cp:lastPrinted>
  <dcterms:modified xsi:type="dcterms:W3CDTF">2025-06-18T12:02:12Z</dcterms:modified>
  <dc:title>02年杜范本稿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2D26C75AE1C047E98486D6BEEED5FD3D_13</vt:lpwstr>
  </property>
  <property fmtid="{D5CDD505-2E9C-101B-9397-08002B2CF9AE}" pid="4" name="KSOTemplateDocerSaveRecord">
    <vt:lpwstr>eyJoZGlkIjoiZjUzNTJhZGM2ZGI5YTE5M2NlN2E3ODMwYTE4NGVkY2MiLCJ1c2VySWQiOiIyNTExMDUzNjUifQ==</vt:lpwstr>
  </property>
</Properties>
</file>