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jc w:val="center"/>
        <w:rPr>
          <w:rFonts w:hint="eastAsia" w:ascii="仿宋" w:hAnsi="仿宋" w:eastAsia="仿宋" w:cs="仿宋"/>
          <w:b/>
          <w:color w:val="auto"/>
          <w:kern w:val="2"/>
          <w:sz w:val="40"/>
          <w:szCs w:val="40"/>
          <w:highlight w:val="none"/>
          <w:lang w:val="en-US" w:eastAsia="zh-CN" w:bidi="ar-SA"/>
        </w:rPr>
      </w:pPr>
    </w:p>
    <w:p>
      <w:pPr>
        <w:spacing w:line="240" w:lineRule="atLeast"/>
        <w:jc w:val="center"/>
        <w:rPr>
          <w:rFonts w:hint="eastAsia" w:ascii="仿宋" w:hAnsi="仿宋" w:eastAsia="仿宋" w:cs="仿宋"/>
          <w:b/>
          <w:bCs w:val="0"/>
          <w:color w:val="auto"/>
          <w:sz w:val="48"/>
          <w:szCs w:val="48"/>
          <w:highlight w:val="none"/>
          <w:lang w:val="en-US" w:eastAsia="zh-CN"/>
        </w:rPr>
      </w:pPr>
    </w:p>
    <w:p>
      <w:pPr>
        <w:spacing w:line="240" w:lineRule="atLeast"/>
        <w:jc w:val="center"/>
        <w:rPr>
          <w:rFonts w:hint="eastAsia" w:ascii="仿宋" w:hAnsi="仿宋" w:eastAsia="仿宋" w:cs="仿宋"/>
          <w:b/>
          <w:bCs w:val="0"/>
          <w:color w:val="auto"/>
          <w:sz w:val="48"/>
          <w:szCs w:val="48"/>
          <w:highlight w:val="none"/>
          <w:lang w:val="en-US" w:eastAsia="zh-CN"/>
        </w:rPr>
      </w:pPr>
      <w:r>
        <w:rPr>
          <w:rFonts w:hint="eastAsia" w:ascii="仿宋" w:hAnsi="仿宋" w:eastAsia="仿宋" w:cs="仿宋"/>
          <w:b/>
          <w:bCs w:val="0"/>
          <w:color w:val="auto"/>
          <w:sz w:val="48"/>
          <w:szCs w:val="48"/>
          <w:highlight w:val="none"/>
          <w:lang w:val="en-US" w:eastAsia="zh-CN"/>
        </w:rPr>
        <w:t>喀什地区公安局餐饮服务项目</w:t>
      </w:r>
    </w:p>
    <w:p>
      <w:pPr>
        <w:pStyle w:val="9"/>
        <w:ind w:firstLine="480"/>
        <w:jc w:val="center"/>
        <w:rPr>
          <w:rFonts w:hint="eastAsia" w:ascii="仿宋" w:hAnsi="仿宋" w:eastAsia="仿宋" w:cs="仿宋"/>
          <w:b/>
          <w:bCs/>
          <w:highlight w:val="none"/>
          <w:lang w:eastAsia="zh-CN"/>
        </w:rPr>
      </w:pPr>
    </w:p>
    <w:p>
      <w:pPr>
        <w:pStyle w:val="9"/>
        <w:ind w:firstLine="480"/>
        <w:jc w:val="center"/>
        <w:rPr>
          <w:rFonts w:hint="eastAsia" w:ascii="仿宋" w:hAnsi="仿宋" w:eastAsia="仿宋" w:cs="仿宋"/>
          <w:b/>
          <w:bCs w:val="0"/>
          <w:color w:val="auto"/>
          <w:kern w:val="2"/>
          <w:sz w:val="48"/>
          <w:szCs w:val="48"/>
          <w:highlight w:val="none"/>
          <w:lang w:val="en-US" w:eastAsia="zh-CN" w:bidi="ar-SA"/>
        </w:rPr>
      </w:pPr>
      <w:r>
        <w:rPr>
          <w:rFonts w:hint="eastAsia" w:ascii="仿宋" w:hAnsi="仿宋" w:eastAsia="仿宋" w:cs="仿宋"/>
          <w:b/>
          <w:bCs w:val="0"/>
          <w:color w:val="auto"/>
          <w:kern w:val="2"/>
          <w:sz w:val="48"/>
          <w:szCs w:val="48"/>
          <w:highlight w:val="none"/>
          <w:lang w:val="en-US" w:eastAsia="zh-CN" w:bidi="ar-SA"/>
        </w:rPr>
        <w:t>（第一包）</w:t>
      </w:r>
    </w:p>
    <w:p>
      <w:pPr>
        <w:pStyle w:val="5"/>
        <w:rPr>
          <w:rFonts w:hint="eastAsia" w:ascii="仿宋" w:hAnsi="仿宋" w:eastAsia="仿宋" w:cs="仿宋"/>
          <w:b/>
          <w:color w:val="000000"/>
          <w:kern w:val="2"/>
          <w:sz w:val="32"/>
          <w:szCs w:val="24"/>
          <w:highlight w:val="none"/>
          <w:lang w:val="en-US" w:eastAsia="zh-CN" w:bidi="ar-SA"/>
        </w:rPr>
      </w:pPr>
    </w:p>
    <w:p>
      <w:pPr>
        <w:keepNext w:val="0"/>
        <w:keepLines w:val="0"/>
        <w:pageBreakBefore w:val="0"/>
        <w:widowControl w:val="0"/>
        <w:kinsoku/>
        <w:wordWrap/>
        <w:overflowPunct/>
        <w:topLinePunct w:val="0"/>
        <w:bidi w:val="0"/>
        <w:adjustRightInd/>
        <w:spacing w:line="360" w:lineRule="exact"/>
        <w:ind w:firstLine="643" w:firstLineChars="200"/>
        <w:jc w:val="center"/>
        <w:textAlignment w:val="auto"/>
        <w:rPr>
          <w:rFonts w:hint="eastAsia" w:ascii="仿宋" w:hAnsi="仿宋" w:eastAsia="仿宋" w:cs="仿宋"/>
          <w:b/>
          <w:color w:val="000000"/>
          <w:kern w:val="2"/>
          <w:sz w:val="32"/>
          <w:szCs w:val="24"/>
          <w:highlight w:val="none"/>
          <w:lang w:val="en-US" w:eastAsia="zh-CN" w:bidi="ar-SA"/>
        </w:rPr>
      </w:pPr>
      <w:r>
        <w:rPr>
          <w:rFonts w:hint="eastAsia" w:ascii="仿宋" w:hAnsi="仿宋" w:eastAsia="仿宋" w:cs="仿宋"/>
          <w:b/>
          <w:color w:val="000000"/>
          <w:kern w:val="2"/>
          <w:sz w:val="32"/>
          <w:szCs w:val="24"/>
          <w:highlight w:val="none"/>
          <w:lang w:val="en-US" w:eastAsia="zh-CN" w:bidi="ar-SA"/>
        </w:rPr>
        <w:t>项目编号：KSDQ-LJ（GK）-2023-003</w:t>
      </w:r>
    </w:p>
    <w:p>
      <w:pPr>
        <w:spacing w:line="360" w:lineRule="exact"/>
        <w:ind w:firstLine="2249" w:firstLineChars="700"/>
        <w:rPr>
          <w:rFonts w:hint="eastAsia" w:ascii="仿宋" w:hAnsi="仿宋" w:eastAsia="仿宋" w:cs="仿宋"/>
          <w:b/>
          <w:color w:val="000000"/>
          <w:sz w:val="32"/>
          <w:highlight w:val="none"/>
        </w:rPr>
      </w:pPr>
    </w:p>
    <w:p>
      <w:pPr>
        <w:spacing w:line="240" w:lineRule="atLeast"/>
        <w:jc w:val="both"/>
        <w:rPr>
          <w:rFonts w:hint="eastAsia" w:ascii="仿宋" w:hAnsi="仿宋" w:eastAsia="仿宋" w:cs="仿宋"/>
          <w:b/>
          <w:sz w:val="52"/>
          <w:highlight w:val="none"/>
        </w:rPr>
      </w:pPr>
    </w:p>
    <w:p>
      <w:pPr>
        <w:pStyle w:val="29"/>
        <w:rPr>
          <w:rFonts w:hint="eastAsia" w:ascii="仿宋" w:hAnsi="仿宋" w:eastAsia="仿宋" w:cs="仿宋"/>
          <w:highlight w:val="none"/>
        </w:rPr>
      </w:pPr>
    </w:p>
    <w:p>
      <w:pPr>
        <w:widowControl/>
        <w:ind w:firstLine="562" w:firstLineChars="200"/>
        <w:jc w:val="left"/>
        <w:rPr>
          <w:rFonts w:hint="eastAsia" w:ascii="仿宋" w:hAnsi="仿宋" w:eastAsia="仿宋" w:cs="仿宋"/>
          <w:b/>
          <w:sz w:val="28"/>
          <w:szCs w:val="28"/>
          <w:highlight w:val="none"/>
          <w:lang w:val="en-US"/>
        </w:rPr>
      </w:pPr>
      <w:r>
        <w:rPr>
          <w:rFonts w:hint="eastAsia" w:ascii="仿宋" w:hAnsi="仿宋" w:eastAsia="仿宋" w:cs="仿宋"/>
          <w:b/>
          <w:sz w:val="28"/>
          <w:szCs w:val="28"/>
          <w:highlight w:val="none"/>
        </w:rPr>
        <w:t>采购单位名称：</w:t>
      </w:r>
      <w:r>
        <w:rPr>
          <w:rFonts w:hint="eastAsia" w:ascii="仿宋" w:hAnsi="仿宋" w:eastAsia="仿宋" w:cs="仿宋"/>
          <w:b/>
          <w:sz w:val="28"/>
          <w:szCs w:val="28"/>
          <w:highlight w:val="none"/>
          <w:u w:val="single"/>
          <w:lang w:val="en-US" w:eastAsia="zh-CN"/>
        </w:rPr>
        <w:t xml:space="preserve">         喀什地区公安局         </w:t>
      </w:r>
    </w:p>
    <w:p>
      <w:pPr>
        <w:pStyle w:val="9"/>
        <w:ind w:firstLine="480"/>
        <w:rPr>
          <w:rFonts w:hint="eastAsia" w:ascii="仿宋" w:hAnsi="仿宋" w:eastAsia="仿宋" w:cs="仿宋"/>
          <w:highlight w:val="none"/>
        </w:rPr>
      </w:pPr>
    </w:p>
    <w:p>
      <w:pPr>
        <w:spacing w:line="528" w:lineRule="auto"/>
        <w:ind w:firstLine="562" w:firstLineChars="200"/>
        <w:jc w:val="left"/>
        <w:rPr>
          <w:rFonts w:hint="eastAsia" w:ascii="仿宋" w:hAnsi="仿宋" w:eastAsia="仿宋" w:cs="仿宋"/>
          <w:b/>
          <w:sz w:val="28"/>
          <w:szCs w:val="28"/>
          <w:highlight w:val="none"/>
          <w:u w:val="single"/>
          <w:lang w:val="en-US" w:eastAsia="zh-CN"/>
        </w:rPr>
      </w:pPr>
      <w:r>
        <w:rPr>
          <w:rFonts w:hint="eastAsia" w:ascii="仿宋" w:hAnsi="仿宋" w:eastAsia="仿宋" w:cs="仿宋"/>
          <w:b/>
          <w:sz w:val="28"/>
          <w:szCs w:val="28"/>
          <w:highlight w:val="none"/>
        </w:rPr>
        <w:t>联   系   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u w:val="single"/>
          <w:lang w:eastAsia="zh-CN"/>
        </w:rPr>
        <w:t>郑誉</w:t>
      </w:r>
      <w:r>
        <w:rPr>
          <w:rFonts w:hint="eastAsia" w:ascii="仿宋" w:hAnsi="仿宋" w:eastAsia="仿宋" w:cs="仿宋"/>
          <w:b/>
          <w:sz w:val="28"/>
          <w:szCs w:val="28"/>
          <w:highlight w:val="none"/>
          <w:u w:val="single"/>
          <w:lang w:val="en-US" w:eastAsia="zh-CN"/>
        </w:rPr>
        <w:t xml:space="preserve">              </w:t>
      </w:r>
    </w:p>
    <w:p>
      <w:pPr>
        <w:widowControl/>
        <w:ind w:firstLine="562" w:firstLineChars="200"/>
        <w:jc w:val="left"/>
        <w:rPr>
          <w:rFonts w:hint="eastAsia" w:ascii="仿宋" w:hAnsi="仿宋" w:eastAsia="仿宋" w:cs="仿宋"/>
          <w:b/>
          <w:sz w:val="28"/>
          <w:szCs w:val="28"/>
          <w:highlight w:val="none"/>
          <w:u w:val="single"/>
          <w:lang w:val="en-US" w:eastAsia="zh-CN"/>
        </w:rPr>
      </w:pPr>
      <w:r>
        <w:rPr>
          <w:rFonts w:hint="eastAsia" w:ascii="仿宋" w:hAnsi="仿宋" w:eastAsia="仿宋" w:cs="仿宋"/>
          <w:b/>
          <w:sz w:val="28"/>
          <w:szCs w:val="28"/>
          <w:highlight w:val="none"/>
        </w:rPr>
        <w:t>联 系  电 话：</w:t>
      </w:r>
      <w:r>
        <w:rPr>
          <w:rFonts w:hint="eastAsia" w:ascii="仿宋" w:hAnsi="仿宋" w:eastAsia="仿宋" w:cs="仿宋"/>
          <w:b/>
          <w:sz w:val="28"/>
          <w:szCs w:val="28"/>
          <w:highlight w:val="none"/>
          <w:u w:val="single"/>
          <w:lang w:val="en-US" w:eastAsia="zh-CN"/>
        </w:rPr>
        <w:t xml:space="preserve">          18609982458           </w:t>
      </w:r>
    </w:p>
    <w:p>
      <w:pPr>
        <w:spacing w:line="528" w:lineRule="auto"/>
        <w:ind w:firstLine="562" w:firstLineChars="200"/>
        <w:rPr>
          <w:rFonts w:hint="eastAsia" w:ascii="仿宋" w:hAnsi="仿宋" w:eastAsia="仿宋" w:cs="仿宋"/>
          <w:b/>
          <w:sz w:val="28"/>
          <w:szCs w:val="28"/>
          <w:highlight w:val="none"/>
        </w:rPr>
      </w:pPr>
    </w:p>
    <w:p>
      <w:pPr>
        <w:widowControl/>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代理机构名称：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u w:val="single"/>
          <w:lang w:eastAsia="zh-CN"/>
        </w:rPr>
        <w:t>新疆绿建全过程咨询发展有限公</w:t>
      </w:r>
      <w:r>
        <w:rPr>
          <w:rFonts w:hint="eastAsia" w:ascii="仿宋" w:hAnsi="仿宋" w:eastAsia="仿宋" w:cs="仿宋"/>
          <w:b/>
          <w:sz w:val="28"/>
          <w:szCs w:val="28"/>
          <w:highlight w:val="none"/>
          <w:u w:val="single"/>
        </w:rPr>
        <w:t xml:space="preserve">司 </w:t>
      </w:r>
      <w:r>
        <w:rPr>
          <w:rFonts w:hint="eastAsia" w:ascii="仿宋" w:hAnsi="仿宋" w:eastAsia="仿宋" w:cs="仿宋"/>
          <w:b/>
          <w:sz w:val="28"/>
          <w:szCs w:val="28"/>
          <w:highlight w:val="none"/>
        </w:rPr>
        <w:t xml:space="preserve">  </w:t>
      </w:r>
    </w:p>
    <w:p>
      <w:pPr>
        <w:pStyle w:val="5"/>
        <w:rPr>
          <w:rFonts w:hint="eastAsia" w:ascii="仿宋" w:hAnsi="仿宋" w:eastAsia="仿宋" w:cs="仿宋"/>
          <w:highlight w:val="none"/>
        </w:rPr>
      </w:pPr>
    </w:p>
    <w:p>
      <w:pPr>
        <w:widowControl/>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联   系   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eastAsia="zh-CN"/>
        </w:rPr>
        <w:t>赵小飞</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rPr>
        <w:t xml:space="preserve"> </w:t>
      </w:r>
    </w:p>
    <w:p>
      <w:pPr>
        <w:widowControl/>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widowControl/>
        <w:ind w:firstLine="562" w:firstLineChars="200"/>
        <w:jc w:val="left"/>
        <w:rPr>
          <w:rFonts w:hint="eastAsia" w:ascii="仿宋" w:hAnsi="仿宋" w:eastAsia="仿宋" w:cs="仿宋"/>
          <w:b/>
          <w:sz w:val="28"/>
          <w:szCs w:val="28"/>
          <w:highlight w:val="none"/>
          <w:lang w:val="en-US"/>
        </w:rPr>
      </w:pPr>
      <w:r>
        <w:rPr>
          <w:rFonts w:hint="eastAsia" w:ascii="仿宋" w:hAnsi="仿宋" w:eastAsia="仿宋" w:cs="仿宋"/>
          <w:b/>
          <w:sz w:val="28"/>
          <w:szCs w:val="28"/>
          <w:highlight w:val="none"/>
        </w:rPr>
        <w:t>联 系 电 话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 xml:space="preserve">17799551115               </w:t>
      </w:r>
    </w:p>
    <w:p>
      <w:pPr>
        <w:widowControl/>
        <w:jc w:val="left"/>
        <w:rPr>
          <w:rFonts w:hint="eastAsia" w:ascii="仿宋" w:hAnsi="仿宋" w:eastAsia="仿宋" w:cs="仿宋"/>
          <w:b/>
          <w:sz w:val="28"/>
          <w:szCs w:val="28"/>
          <w:highlight w:val="none"/>
        </w:rPr>
      </w:pPr>
    </w:p>
    <w:p>
      <w:pPr>
        <w:spacing w:line="528" w:lineRule="auto"/>
        <w:ind w:firstLine="2530" w:firstLineChars="900"/>
        <w:rPr>
          <w:rFonts w:hint="eastAsia" w:ascii="仿宋" w:hAnsi="仿宋" w:eastAsia="仿宋" w:cs="仿宋"/>
          <w:b/>
          <w:sz w:val="28"/>
          <w:szCs w:val="28"/>
          <w:highlight w:val="none"/>
        </w:rPr>
      </w:pPr>
    </w:p>
    <w:p>
      <w:pPr>
        <w:spacing w:line="528"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日期：202</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lang w:val="en-US" w:eastAsia="zh-CN"/>
        </w:rPr>
        <w:t>11</w:t>
      </w:r>
      <w:r>
        <w:rPr>
          <w:rFonts w:hint="eastAsia" w:ascii="仿宋" w:hAnsi="仿宋" w:eastAsia="仿宋" w:cs="仿宋"/>
          <w:b/>
          <w:sz w:val="28"/>
          <w:szCs w:val="28"/>
          <w:highlight w:val="none"/>
        </w:rPr>
        <w:t>月</w:t>
      </w:r>
    </w:p>
    <w:p>
      <w:pPr>
        <w:spacing w:line="240" w:lineRule="atLeast"/>
        <w:ind w:firstLine="2249" w:firstLineChars="800"/>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pStyle w:val="29"/>
        <w:rPr>
          <w:rFonts w:hint="eastAsia" w:ascii="仿宋" w:hAnsi="仿宋" w:eastAsia="仿宋" w:cs="仿宋"/>
          <w:b/>
          <w:sz w:val="28"/>
          <w:szCs w:val="28"/>
          <w:highlight w:val="none"/>
        </w:rPr>
      </w:pPr>
    </w:p>
    <w:p>
      <w:pPr>
        <w:spacing w:line="240" w:lineRule="atLeast"/>
        <w:jc w:val="center"/>
        <w:rPr>
          <w:rFonts w:hint="eastAsia" w:ascii="仿宋" w:hAnsi="仿宋" w:eastAsia="仿宋" w:cs="仿宋"/>
          <w:b/>
          <w:sz w:val="32"/>
          <w:highlight w:val="none"/>
        </w:rPr>
      </w:pPr>
    </w:p>
    <w:p>
      <w:pPr>
        <w:spacing w:line="240" w:lineRule="atLeast"/>
        <w:jc w:val="center"/>
        <w:rPr>
          <w:rFonts w:hint="eastAsia" w:ascii="仿宋" w:hAnsi="仿宋" w:eastAsia="仿宋" w:cs="仿宋"/>
          <w:b/>
          <w:sz w:val="32"/>
          <w:highlight w:val="none"/>
        </w:rPr>
      </w:pPr>
    </w:p>
    <w:p>
      <w:pPr>
        <w:spacing w:line="240" w:lineRule="atLeast"/>
        <w:jc w:val="center"/>
        <w:rPr>
          <w:rFonts w:hint="eastAsia" w:ascii="仿宋" w:hAnsi="仿宋" w:eastAsia="仿宋" w:cs="仿宋"/>
          <w:b/>
          <w:sz w:val="32"/>
          <w:highlight w:val="none"/>
        </w:rPr>
      </w:pPr>
      <w:r>
        <w:rPr>
          <w:rFonts w:hint="eastAsia" w:ascii="仿宋" w:hAnsi="仿宋" w:eastAsia="仿宋" w:cs="仿宋"/>
          <w:b/>
          <w:sz w:val="32"/>
          <w:highlight w:val="none"/>
        </w:rPr>
        <w:t>目  录</w:t>
      </w:r>
    </w:p>
    <w:p>
      <w:pPr>
        <w:pStyle w:val="20"/>
        <w:rPr>
          <w:rFonts w:hint="eastAsia"/>
        </w:rPr>
      </w:pP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TOC \o "1-2" \h \u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_Toc29357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第一章  供应商须知</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1</w:t>
      </w: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_Toc12783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第二章 响应文件格式</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1</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9</w:t>
      </w: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_Toc17313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 xml:space="preserve">第三章 </w:t>
      </w:r>
      <w:r>
        <w:rPr>
          <w:rFonts w:hint="eastAsia" w:ascii="仿宋" w:hAnsi="仿宋" w:eastAsia="仿宋" w:cs="仿宋"/>
          <w:b/>
          <w:bCs/>
          <w:sz w:val="28"/>
          <w:szCs w:val="36"/>
          <w:highlight w:val="none"/>
          <w:lang w:val="en-US" w:eastAsia="zh-CN"/>
        </w:rPr>
        <w:t>投标</w:t>
      </w:r>
      <w:r>
        <w:rPr>
          <w:rFonts w:hint="eastAsia" w:ascii="仿宋" w:hAnsi="仿宋" w:eastAsia="仿宋" w:cs="仿宋"/>
          <w:b/>
          <w:bCs/>
          <w:sz w:val="28"/>
          <w:szCs w:val="36"/>
          <w:highlight w:val="none"/>
        </w:rPr>
        <w:t>邀请</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4</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2</w:t>
      </w: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_Toc2766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第四章 供应商须知资料表</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4</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2</w:t>
      </w:r>
    </w:p>
    <w:p>
      <w:pPr>
        <w:pStyle w:val="18"/>
        <w:tabs>
          <w:tab w:val="right" w:leader="dot" w:pos="8312"/>
        </w:tabs>
        <w:spacing w:line="480" w:lineRule="auto"/>
        <w:ind w:left="480"/>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_Toc312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资格审查表-开标前审核</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4</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7</w:t>
      </w:r>
    </w:p>
    <w:p>
      <w:pPr>
        <w:pStyle w:val="16"/>
        <w:tabs>
          <w:tab w:val="right" w:leader="dot" w:pos="8312"/>
        </w:tabs>
        <w:spacing w:line="480" w:lineRule="auto"/>
        <w:rPr>
          <w:rFonts w:hint="eastAsia" w:ascii="仿宋" w:hAnsi="仿宋" w:eastAsia="仿宋" w:cs="仿宋"/>
          <w:b/>
          <w:bCs/>
          <w:color w:val="FF0000"/>
          <w:sz w:val="28"/>
          <w:szCs w:val="36"/>
          <w:highlight w:val="none"/>
          <w:lang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_Toc8007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 xml:space="preserve">第五章 </w:t>
      </w:r>
      <w:r>
        <w:rPr>
          <w:rFonts w:hint="eastAsia" w:ascii="仿宋" w:hAnsi="仿宋" w:eastAsia="仿宋" w:cs="仿宋"/>
          <w:b/>
          <w:bCs/>
          <w:sz w:val="28"/>
          <w:szCs w:val="36"/>
          <w:highlight w:val="none"/>
          <w:lang w:val="en-US" w:eastAsia="zh-CN"/>
        </w:rPr>
        <w:t>货物</w:t>
      </w:r>
      <w:r>
        <w:rPr>
          <w:rFonts w:hint="eastAsia" w:ascii="仿宋" w:hAnsi="仿宋" w:eastAsia="仿宋" w:cs="仿宋"/>
          <w:b/>
          <w:bCs/>
          <w:sz w:val="28"/>
          <w:szCs w:val="36"/>
          <w:highlight w:val="none"/>
        </w:rPr>
        <w:t>需求一览表及技术规格</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rPr>
        <w:t>4</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8</w:t>
      </w:r>
    </w:p>
    <w:p>
      <w:pPr>
        <w:pStyle w:val="18"/>
        <w:tabs>
          <w:tab w:val="right" w:leader="dot" w:pos="8312"/>
        </w:tabs>
        <w:spacing w:line="480" w:lineRule="auto"/>
        <w:ind w:left="480"/>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_Toc28816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其他要求：</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5</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2</w:t>
      </w: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_Toc25615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第六章  评审方法和标准</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5</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1</w:t>
      </w:r>
    </w:p>
    <w:p>
      <w:pPr>
        <w:pStyle w:val="18"/>
        <w:tabs>
          <w:tab w:val="right" w:leader="dot" w:pos="8312"/>
        </w:tabs>
        <w:spacing w:line="480" w:lineRule="auto"/>
        <w:ind w:left="480"/>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_Toc10334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综合评分表</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58</w:t>
      </w:r>
    </w:p>
    <w:p>
      <w:pPr>
        <w:pStyle w:val="16"/>
        <w:tabs>
          <w:tab w:val="right" w:leader="dot" w:pos="8312"/>
        </w:tabs>
        <w:spacing w:line="48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rPr>
        <w:fldChar w:fldCharType="begin"/>
      </w:r>
      <w:r>
        <w:rPr>
          <w:rFonts w:hint="eastAsia" w:ascii="仿宋" w:hAnsi="仿宋" w:eastAsia="仿宋" w:cs="仿宋"/>
          <w:b/>
          <w:bCs/>
          <w:sz w:val="28"/>
          <w:szCs w:val="36"/>
          <w:highlight w:val="none"/>
        </w:rPr>
        <w:instrText xml:space="preserve"> HYPERLINK \l _Toc32628 </w:instrText>
      </w:r>
      <w:r>
        <w:rPr>
          <w:rFonts w:hint="eastAsia" w:ascii="仿宋" w:hAnsi="仿宋" w:eastAsia="仿宋" w:cs="仿宋"/>
          <w:b/>
          <w:bCs/>
          <w:sz w:val="28"/>
          <w:szCs w:val="36"/>
          <w:highlight w:val="none"/>
        </w:rPr>
        <w:fldChar w:fldCharType="separate"/>
      </w:r>
      <w:r>
        <w:rPr>
          <w:rFonts w:hint="eastAsia" w:ascii="仿宋" w:hAnsi="仿宋" w:eastAsia="仿宋" w:cs="仿宋"/>
          <w:b/>
          <w:bCs/>
          <w:sz w:val="28"/>
          <w:szCs w:val="36"/>
          <w:highlight w:val="none"/>
        </w:rPr>
        <w:t>第七章 政府采购合同</w:t>
      </w:r>
      <w:r>
        <w:rPr>
          <w:rFonts w:hint="eastAsia" w:ascii="仿宋" w:hAnsi="仿宋" w:eastAsia="仿宋" w:cs="仿宋"/>
          <w:b/>
          <w:bCs/>
          <w:sz w:val="28"/>
          <w:szCs w:val="36"/>
          <w:highlight w:val="none"/>
        </w:rPr>
        <w:tab/>
      </w:r>
      <w:r>
        <w:rPr>
          <w:rFonts w:hint="eastAsia" w:ascii="仿宋" w:hAnsi="仿宋" w:eastAsia="仿宋" w:cs="仿宋"/>
          <w:b/>
          <w:bCs/>
          <w:sz w:val="28"/>
          <w:szCs w:val="36"/>
          <w:highlight w:val="none"/>
          <w:lang w:val="en-US" w:eastAsia="zh-CN"/>
        </w:rPr>
        <w:t>6</w:t>
      </w:r>
      <w:r>
        <w:rPr>
          <w:rFonts w:hint="eastAsia" w:ascii="仿宋" w:hAnsi="仿宋" w:eastAsia="仿宋" w:cs="仿宋"/>
          <w:b/>
          <w:bCs/>
          <w:sz w:val="28"/>
          <w:szCs w:val="36"/>
          <w:highlight w:val="none"/>
        </w:rPr>
        <w:fldChar w:fldCharType="end"/>
      </w:r>
      <w:r>
        <w:rPr>
          <w:rFonts w:hint="eastAsia" w:ascii="仿宋" w:hAnsi="仿宋" w:eastAsia="仿宋" w:cs="仿宋"/>
          <w:b/>
          <w:bCs/>
          <w:sz w:val="28"/>
          <w:szCs w:val="36"/>
          <w:highlight w:val="none"/>
          <w:lang w:val="en-US" w:eastAsia="zh-CN"/>
        </w:rPr>
        <w:t>1</w:t>
      </w:r>
    </w:p>
    <w:p>
      <w:pPr>
        <w:pStyle w:val="2"/>
        <w:spacing w:line="480" w:lineRule="auto"/>
        <w:jc w:val="both"/>
        <w:rPr>
          <w:rFonts w:hint="eastAsia" w:ascii="仿宋" w:hAnsi="仿宋" w:eastAsia="仿宋" w:cs="仿宋"/>
          <w:highlight w:val="none"/>
        </w:rPr>
      </w:pPr>
      <w:r>
        <w:rPr>
          <w:rFonts w:hint="eastAsia" w:ascii="仿宋" w:hAnsi="仿宋" w:eastAsia="仿宋" w:cs="仿宋"/>
          <w:b/>
          <w:bCs/>
          <w:sz w:val="44"/>
          <w:szCs w:val="24"/>
          <w:highlight w:val="none"/>
        </w:rPr>
        <w:fldChar w:fldCharType="end"/>
      </w:r>
    </w:p>
    <w:p>
      <w:pPr>
        <w:rPr>
          <w:rFonts w:hint="eastAsia" w:ascii="仿宋" w:hAnsi="仿宋" w:eastAsia="仿宋" w:cs="仿宋"/>
          <w:b/>
          <w:color w:val="auto"/>
          <w:kern w:val="0"/>
          <w:szCs w:val="21"/>
          <w:highlight w:val="none"/>
        </w:rPr>
      </w:pPr>
    </w:p>
    <w:p>
      <w:pPr>
        <w:pStyle w:val="2"/>
        <w:tabs>
          <w:tab w:val="left" w:pos="0"/>
        </w:tabs>
        <w:spacing w:before="0" w:after="0" w:line="240" w:lineRule="atLeast"/>
        <w:rPr>
          <w:rFonts w:hint="eastAsia" w:ascii="仿宋" w:hAnsi="仿宋" w:eastAsia="仿宋" w:cs="仿宋"/>
          <w:color w:val="auto"/>
          <w:highlight w:val="none"/>
          <w:lang w:eastAsia="zh-CN"/>
        </w:rPr>
      </w:pPr>
      <w:bookmarkStart w:id="0" w:name="_Toc14323"/>
      <w:bookmarkStart w:id="1" w:name="_Toc22005"/>
    </w:p>
    <w:p>
      <w:pPr>
        <w:pStyle w:val="2"/>
        <w:tabs>
          <w:tab w:val="left" w:pos="0"/>
        </w:tabs>
        <w:spacing w:before="0" w:after="0" w:line="240" w:lineRule="atLeast"/>
        <w:rPr>
          <w:rFonts w:hint="eastAsia" w:ascii="仿宋" w:hAnsi="仿宋" w:eastAsia="仿宋" w:cs="仿宋"/>
          <w:color w:val="auto"/>
          <w:highlight w:val="none"/>
          <w:lang w:eastAsia="zh-CN"/>
        </w:rPr>
      </w:pPr>
    </w:p>
    <w:p>
      <w:pPr>
        <w:pStyle w:val="2"/>
        <w:tabs>
          <w:tab w:val="left" w:pos="0"/>
        </w:tabs>
        <w:spacing w:before="0" w:after="0" w:line="240" w:lineRule="atLeast"/>
        <w:rPr>
          <w:rFonts w:hint="eastAsia" w:ascii="仿宋" w:hAnsi="仿宋" w:eastAsia="仿宋" w:cs="仿宋"/>
          <w:color w:val="auto"/>
          <w:highlight w:val="none"/>
          <w:lang w:eastAsia="zh-CN"/>
        </w:rPr>
      </w:pPr>
    </w:p>
    <w:p>
      <w:pPr>
        <w:pStyle w:val="2"/>
        <w:tabs>
          <w:tab w:val="left" w:pos="0"/>
        </w:tabs>
        <w:spacing w:before="0" w:after="0" w:line="240" w:lineRule="atLeast"/>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5"/>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17"/>
        <w:rPr>
          <w:rFonts w:hint="eastAsia" w:ascii="仿宋" w:hAnsi="仿宋" w:eastAsia="仿宋" w:cs="仿宋"/>
          <w:highlight w:val="none"/>
          <w:lang w:eastAsia="zh-CN"/>
        </w:rPr>
      </w:pPr>
    </w:p>
    <w:p>
      <w:pPr>
        <w:pStyle w:val="2"/>
        <w:tabs>
          <w:tab w:val="left" w:pos="0"/>
        </w:tabs>
        <w:spacing w:before="0" w:after="0" w:line="240" w:lineRule="atLeast"/>
        <w:rPr>
          <w:rFonts w:hint="eastAsia" w:ascii="仿宋" w:hAnsi="仿宋" w:eastAsia="仿宋" w:cs="仿宋"/>
          <w:color w:val="auto"/>
          <w:highlight w:val="none"/>
          <w:lang w:eastAsia="zh-CN"/>
        </w:rPr>
        <w:sectPr>
          <w:headerReference r:id="rId3" w:type="default"/>
          <w:footerReference r:id="rId4" w:type="default"/>
          <w:pgSz w:w="11906" w:h="16838"/>
          <w:pgMar w:top="1440" w:right="1797" w:bottom="1440" w:left="1797" w:header="851" w:footer="992" w:gutter="0"/>
          <w:pgNumType w:fmt="decimal"/>
          <w:cols w:space="720" w:num="1"/>
          <w:docGrid w:linePitch="312" w:charSpace="0"/>
        </w:sectPr>
      </w:pPr>
    </w:p>
    <w:p>
      <w:pPr>
        <w:pStyle w:val="2"/>
        <w:tabs>
          <w:tab w:val="left" w:pos="0"/>
        </w:tabs>
        <w:spacing w:before="0" w:after="0" w:line="240" w:lineRule="atLeast"/>
        <w:rPr>
          <w:rFonts w:hint="eastAsia" w:ascii="仿宋" w:hAnsi="仿宋" w:eastAsia="仿宋" w:cs="仿宋"/>
          <w:color w:val="auto"/>
          <w:highlight w:val="none"/>
        </w:rPr>
      </w:pPr>
      <w:r>
        <w:rPr>
          <w:rFonts w:hint="eastAsia" w:ascii="仿宋" w:hAnsi="仿宋" w:eastAsia="仿宋" w:cs="仿宋"/>
          <w:color w:val="auto"/>
          <w:highlight w:val="none"/>
          <w:lang w:eastAsia="zh-CN"/>
        </w:rPr>
        <w:t>第一章供应商</w:t>
      </w:r>
      <w:r>
        <w:rPr>
          <w:rFonts w:hint="eastAsia" w:ascii="仿宋" w:hAnsi="仿宋" w:eastAsia="仿宋" w:cs="仿宋"/>
          <w:color w:val="auto"/>
          <w:highlight w:val="none"/>
        </w:rPr>
        <w:t>须知</w:t>
      </w:r>
      <w:bookmarkEnd w:id="0"/>
      <w:bookmarkEnd w:id="1"/>
    </w:p>
    <w:p>
      <w:pPr>
        <w:pStyle w:val="3"/>
        <w:spacing w:before="0" w:line="240" w:lineRule="atLeast"/>
        <w:ind w:left="1080" w:leftChars="257" w:hanging="540"/>
        <w:rPr>
          <w:rFonts w:hint="eastAsia" w:ascii="仿宋" w:hAnsi="仿宋" w:eastAsia="仿宋" w:cs="仿宋"/>
          <w:color w:val="auto"/>
          <w:szCs w:val="24"/>
          <w:highlight w:val="none"/>
          <w:u w:val="none"/>
        </w:rPr>
      </w:pPr>
      <w:bookmarkStart w:id="2" w:name="_Toc515647757"/>
      <w:bookmarkStart w:id="3" w:name="_Toc216582805"/>
      <w:bookmarkStart w:id="4" w:name="_Toc520356143"/>
      <w:bookmarkStart w:id="5" w:name="_Toc5597"/>
      <w:bookmarkStart w:id="6" w:name="_Toc21015"/>
      <w:bookmarkStart w:id="7" w:name="_Toc21215"/>
      <w:bookmarkStart w:id="8" w:name="_Toc13039"/>
      <w:bookmarkStart w:id="9" w:name="_Toc26928"/>
      <w:r>
        <w:rPr>
          <w:rFonts w:hint="eastAsia" w:ascii="仿宋" w:hAnsi="仿宋" w:eastAsia="仿宋" w:cs="仿宋"/>
          <w:color w:val="auto"/>
          <w:sz w:val="28"/>
          <w:highlight w:val="none"/>
        </w:rPr>
        <w:t xml:space="preserve">一   </w:t>
      </w:r>
      <w:bookmarkEnd w:id="2"/>
      <w:bookmarkEnd w:id="3"/>
      <w:bookmarkEnd w:id="4"/>
      <w:r>
        <w:rPr>
          <w:rFonts w:hint="eastAsia" w:ascii="仿宋" w:hAnsi="仿宋" w:eastAsia="仿宋" w:cs="仿宋"/>
          <w:color w:val="auto"/>
          <w:sz w:val="28"/>
          <w:highlight w:val="none"/>
        </w:rPr>
        <w:t>总 则</w:t>
      </w:r>
      <w:bookmarkEnd w:id="5"/>
      <w:bookmarkEnd w:id="6"/>
      <w:bookmarkEnd w:id="7"/>
      <w:bookmarkEnd w:id="8"/>
      <w:bookmarkEnd w:id="9"/>
      <w:bookmarkStart w:id="10" w:name="_Toc32623"/>
      <w:bookmarkStart w:id="11" w:name="_Toc32189"/>
      <w:bookmarkStart w:id="12" w:name="_Toc520356144"/>
      <w:bookmarkStart w:id="13" w:name="_Toc1120"/>
      <w:bookmarkStart w:id="14" w:name="_Toc515647758"/>
      <w:bookmarkStart w:id="15" w:name="_Toc12641"/>
      <w:bookmarkStart w:id="16" w:name="_Toc7762"/>
    </w:p>
    <w:p>
      <w:pPr>
        <w:pStyle w:val="4"/>
        <w:spacing w:before="0" w:after="0" w:line="400" w:lineRule="exact"/>
        <w:ind w:firstLine="482" w:firstLineChars="200"/>
        <w:rPr>
          <w:rFonts w:hint="eastAsia" w:ascii="仿宋" w:hAnsi="仿宋" w:eastAsia="仿宋" w:cs="仿宋"/>
          <w:color w:val="auto"/>
          <w:szCs w:val="24"/>
          <w:highlight w:val="none"/>
          <w:u w:val="none"/>
        </w:rPr>
      </w:pPr>
    </w:p>
    <w:p>
      <w:pPr>
        <w:pStyle w:val="4"/>
        <w:spacing w:before="0" w:after="0" w:line="400" w:lineRule="exact"/>
        <w:jc w:val="both"/>
        <w:rPr>
          <w:rFonts w:hint="eastAsia" w:ascii="仿宋" w:hAnsi="仿宋" w:eastAsia="仿宋" w:cs="仿宋"/>
          <w:color w:val="auto"/>
          <w:szCs w:val="24"/>
          <w:highlight w:val="none"/>
          <w:u w:val="none"/>
          <w:lang w:eastAsia="zh-CN"/>
        </w:rPr>
      </w:pPr>
      <w:r>
        <w:rPr>
          <w:rFonts w:hint="eastAsia" w:ascii="仿宋" w:hAnsi="仿宋" w:eastAsia="仿宋" w:cs="仿宋"/>
          <w:color w:val="auto"/>
          <w:szCs w:val="24"/>
          <w:highlight w:val="none"/>
          <w:u w:val="none"/>
        </w:rPr>
        <w:t>1.采购人、采购代理机构及</w:t>
      </w:r>
      <w:bookmarkEnd w:id="10"/>
      <w:bookmarkEnd w:id="11"/>
      <w:bookmarkEnd w:id="12"/>
      <w:bookmarkEnd w:id="13"/>
      <w:bookmarkEnd w:id="14"/>
      <w:r>
        <w:rPr>
          <w:rFonts w:hint="eastAsia" w:ascii="仿宋" w:hAnsi="仿宋" w:eastAsia="仿宋" w:cs="仿宋"/>
          <w:color w:val="auto"/>
          <w:szCs w:val="24"/>
          <w:highlight w:val="none"/>
          <w:u w:val="none"/>
          <w:lang w:eastAsia="zh-CN"/>
        </w:rPr>
        <w:t>供应商</w:t>
      </w:r>
      <w:bookmarkEnd w:id="15"/>
      <w:bookmarkEnd w:id="16"/>
    </w:p>
    <w:p>
      <w:pPr>
        <w:numPr>
          <w:ilvl w:val="1"/>
          <w:numId w:val="1"/>
        </w:numPr>
        <w:tabs>
          <w:tab w:val="left" w:pos="0"/>
          <w:tab w:val="clear" w:pos="900"/>
        </w:tabs>
        <w:spacing w:line="400" w:lineRule="exac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采购人：是指依法开展政府采购活动的国家机关、事业单位、团体组织。</w:t>
      </w:r>
    </w:p>
    <w:p>
      <w:pPr>
        <w:tabs>
          <w:tab w:val="left" w:pos="0"/>
        </w:tabs>
        <w:spacing w:line="400" w:lineRule="exac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numPr>
          <w:ilvl w:val="1"/>
          <w:numId w:val="1"/>
        </w:numPr>
        <w:tabs>
          <w:tab w:val="left" w:pos="0"/>
          <w:tab w:val="clear" w:pos="900"/>
        </w:tabs>
        <w:spacing w:line="400" w:lineRule="exac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numPr>
          <w:ilvl w:val="1"/>
          <w:numId w:val="1"/>
        </w:numPr>
        <w:spacing w:line="400" w:lineRule="exac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：是指向采购人提供货物、工程或者服务的法人、非法人组织或者自然人。本项目的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及其投标货物须满足以下条件：</w:t>
      </w:r>
    </w:p>
    <w:p>
      <w:pPr>
        <w:spacing w:line="400" w:lineRule="exac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条件的规定，遵守本项目采购人本级和上级财政部门政府采购的有关规定。</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以采购代理机构认可的方式获得了本项目的招标文件。</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中规定的其他要求。</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中写明允许采购进口产品，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应保证所投产品可履行合法报通关手续进入中国关境内。</w:t>
      </w:r>
    </w:p>
    <w:p>
      <w:pPr>
        <w:spacing w:line="400" w:lineRule="exact"/>
        <w:ind w:left="899"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中未写明允许采购进口产品，如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1.3.6  若</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中写明专门面向中小企业采购的，如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中允许联合体投标，对联合体规定如下：</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两个以上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可以组成一个投标联合体，以一个</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的身份投标。</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的特殊要求，联合体中至少应当有一方符合相关规定。</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联合体各方应签订共同投标协议，明确约定联合体各方承担的工作和相应的责任，并将共同投标协议连同作为投标文件第一部分的内容提交。</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1.4.6  联合体中有同类资质的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按照联合体分工承担相同工作的，按照较低的资质等级确定联合体的资质等级。</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1.4.7  以联合体形式参加政府采购活动的，联合体各方不得再单独参加或者与其他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4"/>
        <w:spacing w:before="0" w:after="0" w:line="400" w:lineRule="exact"/>
        <w:rPr>
          <w:rFonts w:hint="eastAsia" w:ascii="仿宋" w:hAnsi="仿宋" w:eastAsia="仿宋" w:cs="仿宋"/>
          <w:color w:val="auto"/>
          <w:szCs w:val="24"/>
          <w:highlight w:val="none"/>
          <w:u w:val="none"/>
        </w:rPr>
      </w:pPr>
      <w:bookmarkStart w:id="17" w:name="_Toc4067"/>
      <w:bookmarkStart w:id="18" w:name="_Toc515647759"/>
      <w:bookmarkStart w:id="19" w:name="_Toc12139"/>
      <w:bookmarkStart w:id="20" w:name="_Toc5839"/>
      <w:bookmarkStart w:id="21" w:name="_Toc5286"/>
      <w:bookmarkStart w:id="22" w:name="_Toc3927"/>
      <w:r>
        <w:rPr>
          <w:rFonts w:hint="eastAsia" w:ascii="仿宋" w:hAnsi="仿宋" w:eastAsia="仿宋" w:cs="仿宋"/>
          <w:color w:val="auto"/>
          <w:szCs w:val="24"/>
          <w:highlight w:val="none"/>
          <w:u w:val="none"/>
        </w:rPr>
        <w:t>2.资金来源</w:t>
      </w:r>
      <w:bookmarkEnd w:id="17"/>
      <w:bookmarkEnd w:id="18"/>
      <w:bookmarkEnd w:id="19"/>
      <w:bookmarkEnd w:id="20"/>
      <w:bookmarkEnd w:id="21"/>
      <w:bookmarkEnd w:id="22"/>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本项目的采购人已获得足以支付本次招标后所签订的合同项下的资金（包括财政性资金和本项目采购中无法与财政性资金分割的非财政性资金）。</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    项目预算金额和分项或分包最高限价</w:t>
      </w:r>
      <w:r>
        <w:rPr>
          <w:rFonts w:hint="eastAsia" w:ascii="仿宋" w:hAnsi="仿宋" w:eastAsia="仿宋" w:cs="仿宋"/>
          <w:color w:val="auto"/>
          <w:sz w:val="24"/>
          <w:highlight w:val="none"/>
          <w:u w:val="single"/>
        </w:rPr>
        <w:t>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报价超过招标文件规定的预算金额或者分项、分包最高限价的，其投标将被认定为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4"/>
        <w:spacing w:before="0" w:after="0" w:line="400" w:lineRule="exact"/>
        <w:rPr>
          <w:rFonts w:hint="eastAsia" w:ascii="仿宋" w:hAnsi="仿宋" w:eastAsia="仿宋" w:cs="仿宋"/>
          <w:color w:val="auto"/>
          <w:szCs w:val="24"/>
          <w:highlight w:val="none"/>
          <w:u w:val="none"/>
        </w:rPr>
      </w:pPr>
      <w:bookmarkStart w:id="23" w:name="_Toc20526"/>
      <w:bookmarkStart w:id="24" w:name="_Toc520356145"/>
      <w:bookmarkStart w:id="25" w:name="_Toc515647760"/>
      <w:bookmarkStart w:id="26" w:name="_Toc4840"/>
      <w:bookmarkStart w:id="27" w:name="_Toc20065"/>
      <w:bookmarkStart w:id="28" w:name="_Toc15936"/>
      <w:bookmarkStart w:id="29" w:name="_Toc25513"/>
      <w:r>
        <w:rPr>
          <w:rFonts w:hint="eastAsia" w:ascii="仿宋" w:hAnsi="仿宋" w:eastAsia="仿宋" w:cs="仿宋"/>
          <w:color w:val="auto"/>
          <w:szCs w:val="24"/>
          <w:highlight w:val="none"/>
          <w:u w:val="none"/>
        </w:rPr>
        <w:t>3.投标费用</w:t>
      </w:r>
      <w:bookmarkEnd w:id="23"/>
      <w:bookmarkEnd w:id="24"/>
      <w:bookmarkEnd w:id="25"/>
      <w:bookmarkEnd w:id="26"/>
      <w:bookmarkEnd w:id="27"/>
      <w:bookmarkEnd w:id="28"/>
      <w:bookmarkEnd w:id="29"/>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应承担所有与准备和参加投标有关的费用。</w:t>
      </w:r>
    </w:p>
    <w:p>
      <w:pPr>
        <w:pStyle w:val="4"/>
        <w:spacing w:before="0" w:after="0" w:line="400" w:lineRule="exact"/>
        <w:rPr>
          <w:rFonts w:hint="eastAsia" w:ascii="仿宋" w:hAnsi="仿宋" w:eastAsia="仿宋" w:cs="仿宋"/>
          <w:color w:val="auto"/>
          <w:szCs w:val="24"/>
          <w:highlight w:val="none"/>
          <w:u w:val="none"/>
        </w:rPr>
      </w:pPr>
      <w:bookmarkStart w:id="30" w:name="_Toc22810"/>
      <w:bookmarkStart w:id="31" w:name="_Toc6116"/>
      <w:bookmarkStart w:id="32" w:name="_Toc515647761"/>
      <w:bookmarkStart w:id="33" w:name="_Toc4463"/>
      <w:bookmarkStart w:id="34" w:name="_Toc20996"/>
      <w:bookmarkStart w:id="35" w:name="_Toc19072"/>
      <w:r>
        <w:rPr>
          <w:rFonts w:hint="eastAsia" w:ascii="仿宋" w:hAnsi="仿宋" w:eastAsia="仿宋" w:cs="仿宋"/>
          <w:color w:val="auto"/>
          <w:szCs w:val="24"/>
          <w:highlight w:val="none"/>
          <w:u w:val="none"/>
        </w:rPr>
        <w:t>4.适用法律</w:t>
      </w:r>
      <w:bookmarkEnd w:id="30"/>
      <w:bookmarkEnd w:id="31"/>
      <w:bookmarkEnd w:id="32"/>
      <w:bookmarkEnd w:id="33"/>
      <w:bookmarkEnd w:id="34"/>
      <w:bookmarkEnd w:id="35"/>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本项目采购人、采购代理机构、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、评标委员会的相关行为均受《中华人民共和国政府采购法》</w:t>
      </w:r>
      <w:r>
        <w:rPr>
          <w:rFonts w:hint="eastAsia" w:ascii="仿宋" w:hAnsi="仿宋" w:eastAsia="仿宋" w:cs="仿宋"/>
          <w:color w:val="auto"/>
          <w:sz w:val="24"/>
          <w:highlight w:val="none"/>
          <w:lang w:eastAsia="zh-CN"/>
        </w:rPr>
        <w:t>、《政府采购货物和服务招标投标管理办法》财政部令第87号、</w:t>
      </w:r>
      <w:r>
        <w:rPr>
          <w:rFonts w:hint="eastAsia" w:ascii="仿宋" w:hAnsi="仿宋" w:eastAsia="仿宋" w:cs="仿宋"/>
          <w:color w:val="auto"/>
          <w:sz w:val="24"/>
          <w:highlight w:val="none"/>
        </w:rPr>
        <w:t>《中华人民共和国政府采购法实施条例》及本项目本级和上级财政部门政府采购有关规定的约束，其权利受到上述法律法规的保护。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color w:val="auto"/>
          <w:szCs w:val="21"/>
          <w:highlight w:val="none"/>
        </w:rPr>
      </w:pPr>
    </w:p>
    <w:p>
      <w:pPr>
        <w:pStyle w:val="3"/>
        <w:spacing w:before="0" w:line="240" w:lineRule="atLeast"/>
        <w:ind w:left="1080" w:leftChars="257" w:hanging="540"/>
        <w:rPr>
          <w:rFonts w:hint="eastAsia" w:ascii="仿宋" w:hAnsi="仿宋" w:eastAsia="仿宋" w:cs="仿宋"/>
          <w:color w:val="auto"/>
          <w:sz w:val="28"/>
          <w:szCs w:val="28"/>
          <w:highlight w:val="none"/>
        </w:rPr>
      </w:pPr>
      <w:bookmarkStart w:id="36" w:name="_Toc4365"/>
      <w:bookmarkStart w:id="37" w:name="_Toc216582806"/>
      <w:bookmarkStart w:id="38" w:name="_Toc7121"/>
      <w:bookmarkStart w:id="39" w:name="_Toc520356146"/>
      <w:bookmarkStart w:id="40" w:name="_Toc21751"/>
      <w:bookmarkStart w:id="41" w:name="_Toc515647762"/>
      <w:bookmarkStart w:id="42" w:name="_Toc21566"/>
      <w:bookmarkStart w:id="43" w:name="_Toc6382"/>
      <w:r>
        <w:rPr>
          <w:rFonts w:hint="eastAsia" w:ascii="仿宋" w:hAnsi="仿宋" w:eastAsia="仿宋" w:cs="仿宋"/>
          <w:color w:val="auto"/>
          <w:sz w:val="28"/>
          <w:szCs w:val="28"/>
          <w:highlight w:val="none"/>
        </w:rPr>
        <w:t>二   招标文件</w:t>
      </w:r>
      <w:bookmarkEnd w:id="36"/>
      <w:bookmarkEnd w:id="37"/>
      <w:bookmarkEnd w:id="38"/>
      <w:bookmarkEnd w:id="39"/>
      <w:bookmarkEnd w:id="40"/>
      <w:bookmarkEnd w:id="41"/>
      <w:bookmarkEnd w:id="42"/>
      <w:bookmarkEnd w:id="43"/>
    </w:p>
    <w:p>
      <w:pPr>
        <w:pStyle w:val="5"/>
        <w:rPr>
          <w:rFonts w:hint="eastAsia" w:ascii="仿宋" w:hAnsi="仿宋" w:eastAsia="仿宋" w:cs="仿宋"/>
          <w:color w:val="auto"/>
          <w:sz w:val="21"/>
          <w:szCs w:val="21"/>
          <w:highlight w:val="none"/>
        </w:rPr>
      </w:pPr>
    </w:p>
    <w:p>
      <w:pPr>
        <w:pStyle w:val="4"/>
        <w:spacing w:before="0" w:after="0" w:line="400" w:lineRule="exact"/>
        <w:rPr>
          <w:rFonts w:hint="eastAsia" w:ascii="仿宋" w:hAnsi="仿宋" w:eastAsia="仿宋" w:cs="仿宋"/>
          <w:color w:val="auto"/>
          <w:szCs w:val="24"/>
          <w:highlight w:val="none"/>
          <w:u w:val="none"/>
        </w:rPr>
      </w:pPr>
      <w:bookmarkStart w:id="44" w:name="_Toc14084"/>
      <w:bookmarkStart w:id="45" w:name="_Toc114"/>
      <w:bookmarkStart w:id="46" w:name="_Toc25743"/>
      <w:bookmarkStart w:id="47" w:name="_Toc3137"/>
      <w:bookmarkStart w:id="48" w:name="_Toc25000"/>
      <w:bookmarkStart w:id="49" w:name="_Toc515647763"/>
      <w:bookmarkStart w:id="50" w:name="_Toc520356147"/>
      <w:r>
        <w:rPr>
          <w:rFonts w:hint="eastAsia" w:ascii="仿宋" w:hAnsi="仿宋" w:eastAsia="仿宋" w:cs="仿宋"/>
          <w:color w:val="auto"/>
          <w:szCs w:val="24"/>
          <w:highlight w:val="none"/>
          <w:u w:val="none"/>
        </w:rPr>
        <w:t>5.招标文件构成</w:t>
      </w:r>
      <w:bookmarkEnd w:id="44"/>
      <w:bookmarkEnd w:id="45"/>
      <w:bookmarkEnd w:id="46"/>
      <w:bookmarkEnd w:id="47"/>
      <w:bookmarkEnd w:id="48"/>
      <w:bookmarkEnd w:id="49"/>
      <w:bookmarkEnd w:id="50"/>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招标文件分为三册共7章，内容如下：</w:t>
      </w:r>
    </w:p>
    <w:p>
      <w:pPr>
        <w:spacing w:line="400" w:lineRule="exact"/>
        <w:ind w:left="1079"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pPr>
        <w:numPr>
          <w:ilvl w:val="0"/>
          <w:numId w:val="2"/>
        </w:numPr>
        <w:tabs>
          <w:tab w:val="left" w:pos="0"/>
        </w:tabs>
        <w:spacing w:line="400" w:lineRule="exac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w:t>
      </w:r>
    </w:p>
    <w:p>
      <w:pPr>
        <w:numPr>
          <w:ilvl w:val="0"/>
          <w:numId w:val="2"/>
        </w:num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投标文件格式</w:t>
      </w:r>
    </w:p>
    <w:p>
      <w:p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pPr>
        <w:numPr>
          <w:ilvl w:val="0"/>
          <w:numId w:val="2"/>
        </w:num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pPr>
        <w:numPr>
          <w:ilvl w:val="0"/>
          <w:numId w:val="2"/>
        </w:num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须知资料表</w:t>
      </w:r>
    </w:p>
    <w:p>
      <w:pPr>
        <w:numPr>
          <w:ilvl w:val="0"/>
          <w:numId w:val="2"/>
        </w:num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货物需求一览表及技术规格</w:t>
      </w:r>
    </w:p>
    <w:p>
      <w:pPr>
        <w:numPr>
          <w:ilvl w:val="0"/>
          <w:numId w:val="2"/>
        </w:numPr>
        <w:spacing w:line="400" w:lineRule="exact"/>
        <w:ind w:left="1081"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pPr>
        <w:spacing w:line="400" w:lineRule="exac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pPr>
        <w:numPr>
          <w:ilvl w:val="0"/>
          <w:numId w:val="2"/>
        </w:numPr>
        <w:spacing w:line="400" w:lineRule="exac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政府采购合同格式</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应认真阅读招标文件所有的事项、格式、条款和技术规范等。如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4"/>
        <w:spacing w:before="0" w:after="0" w:line="400" w:lineRule="exact"/>
        <w:rPr>
          <w:rFonts w:hint="eastAsia" w:ascii="仿宋" w:hAnsi="仿宋" w:eastAsia="仿宋" w:cs="仿宋"/>
          <w:color w:val="auto"/>
          <w:szCs w:val="24"/>
          <w:highlight w:val="none"/>
          <w:u w:val="none"/>
        </w:rPr>
      </w:pPr>
      <w:bookmarkStart w:id="51" w:name="_Toc515904805"/>
      <w:bookmarkStart w:id="52" w:name="_Toc520356148"/>
      <w:bookmarkStart w:id="53" w:name="_Toc9232"/>
      <w:bookmarkStart w:id="54" w:name="_Toc17938"/>
      <w:bookmarkStart w:id="55" w:name="_Toc28810"/>
      <w:bookmarkStart w:id="56" w:name="_Toc26044"/>
      <w:bookmarkStart w:id="57" w:name="_Toc11638"/>
      <w:r>
        <w:rPr>
          <w:rFonts w:hint="eastAsia" w:ascii="仿宋" w:hAnsi="仿宋" w:eastAsia="仿宋" w:cs="仿宋"/>
          <w:color w:val="auto"/>
          <w:szCs w:val="24"/>
          <w:highlight w:val="none"/>
          <w:u w:val="none"/>
        </w:rPr>
        <w:t>6.招标文件的澄清</w:t>
      </w:r>
      <w:bookmarkEnd w:id="51"/>
      <w:bookmarkEnd w:id="52"/>
      <w:r>
        <w:rPr>
          <w:rFonts w:hint="eastAsia" w:ascii="仿宋" w:hAnsi="仿宋" w:eastAsia="仿宋" w:cs="仿宋"/>
          <w:color w:val="auto"/>
          <w:szCs w:val="24"/>
          <w:highlight w:val="none"/>
          <w:u w:val="none"/>
        </w:rPr>
        <w:t>与修改</w:t>
      </w:r>
      <w:bookmarkEnd w:id="53"/>
      <w:bookmarkEnd w:id="54"/>
      <w:bookmarkEnd w:id="55"/>
      <w:bookmarkEnd w:id="56"/>
      <w:bookmarkEnd w:id="57"/>
    </w:p>
    <w:p>
      <w:pPr>
        <w:pStyle w:val="5"/>
        <w:spacing w:line="400" w:lineRule="exact"/>
        <w:ind w:left="840" w:hanging="840" w:hangingChars="35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    为了保证对招标文件的澄清和修改满足法律的时限要求，任何要求对招标文件进行澄清的</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，均应在投标截止期十五日前，以书面形式将澄清要求通知采购人或采购代理机构。</w:t>
      </w:r>
    </w:p>
    <w:p>
      <w:pPr>
        <w:pStyle w:val="5"/>
        <w:spacing w:line="400" w:lineRule="exact"/>
        <w:ind w:left="840" w:hanging="840" w:hangingChars="350"/>
        <w:rPr>
          <w:rFonts w:hint="eastAsia" w:ascii="仿宋" w:hAnsi="仿宋" w:eastAsia="仿宋" w:cs="仿宋"/>
          <w:color w:val="auto"/>
          <w:szCs w:val="24"/>
          <w:highlight w:val="none"/>
        </w:rPr>
      </w:pPr>
      <w:bookmarkStart w:id="58" w:name="_Ref467378678"/>
      <w:bookmarkStart w:id="59" w:name="_Toc520356149"/>
      <w:bookmarkStart w:id="60" w:name="_Toc515904806"/>
      <w:r>
        <w:rPr>
          <w:rFonts w:hint="eastAsia" w:ascii="仿宋" w:hAnsi="仿宋" w:eastAsia="仿宋" w:cs="仿宋"/>
          <w:color w:val="auto"/>
          <w:szCs w:val="24"/>
          <w:highlight w:val="none"/>
        </w:rPr>
        <w:t>6.2</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采购人可主动地或在解答</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提出的澄清问题时对招标文件进行澄清或修改。采购代理机构将以发布澄清（更正）公告的方式，澄清或修改招标文件，澄清或修改内容作为招标文件的组成部分。</w:t>
      </w:r>
    </w:p>
    <w:p>
      <w:pPr>
        <w:pStyle w:val="5"/>
        <w:spacing w:line="400" w:lineRule="exact"/>
        <w:ind w:left="840" w:hanging="840" w:hangingChars="35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，并对其具有约束力。</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在收到上述通知后，应及时向采购代理机构回函确认。</w:t>
      </w:r>
    </w:p>
    <w:p>
      <w:pPr>
        <w:pStyle w:val="4"/>
        <w:tabs>
          <w:tab w:val="left" w:pos="900"/>
        </w:tabs>
        <w:spacing w:before="0" w:after="0" w:line="400" w:lineRule="exact"/>
        <w:rPr>
          <w:rFonts w:hint="eastAsia" w:ascii="仿宋" w:hAnsi="仿宋" w:eastAsia="仿宋" w:cs="仿宋"/>
          <w:color w:val="auto"/>
          <w:szCs w:val="24"/>
          <w:highlight w:val="none"/>
          <w:u w:val="none"/>
        </w:rPr>
      </w:pPr>
      <w:bookmarkStart w:id="61" w:name="_Toc25635"/>
      <w:bookmarkStart w:id="62" w:name="_Toc17311"/>
      <w:bookmarkStart w:id="63" w:name="_Toc21308"/>
      <w:bookmarkStart w:id="64" w:name="_Toc14569"/>
      <w:bookmarkStart w:id="65" w:name="_Toc11732"/>
      <w:r>
        <w:rPr>
          <w:rFonts w:hint="eastAsia" w:ascii="仿宋" w:hAnsi="仿宋" w:eastAsia="仿宋" w:cs="仿宋"/>
          <w:color w:val="auto"/>
          <w:szCs w:val="24"/>
          <w:highlight w:val="none"/>
          <w:u w:val="none"/>
        </w:rPr>
        <w:t>7</w:t>
      </w:r>
      <w:bookmarkEnd w:id="58"/>
      <w:bookmarkEnd w:id="59"/>
      <w:bookmarkEnd w:id="60"/>
      <w:r>
        <w:rPr>
          <w:rFonts w:hint="eastAsia" w:ascii="仿宋" w:hAnsi="仿宋" w:eastAsia="仿宋" w:cs="仿宋"/>
          <w:color w:val="auto"/>
          <w:szCs w:val="24"/>
          <w:highlight w:val="none"/>
          <w:u w:val="none"/>
        </w:rPr>
        <w:t>.投标截止时间的顺延</w:t>
      </w:r>
      <w:bookmarkEnd w:id="61"/>
      <w:bookmarkEnd w:id="62"/>
      <w:bookmarkEnd w:id="63"/>
      <w:bookmarkEnd w:id="64"/>
      <w:bookmarkEnd w:id="65"/>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准备投标时有足够的时间对招标文件的澄清或者修改部分进行研究，采购人将依法决定是否顺延投标截止时间。</w:t>
      </w:r>
    </w:p>
    <w:p>
      <w:pPr>
        <w:spacing w:line="400" w:lineRule="exact"/>
        <w:ind w:left="900" w:hanging="900" w:hangingChars="375"/>
        <w:rPr>
          <w:rFonts w:hint="eastAsia" w:ascii="仿宋" w:hAnsi="仿宋" w:eastAsia="仿宋" w:cs="仿宋"/>
          <w:color w:val="auto"/>
          <w:sz w:val="24"/>
          <w:highlight w:val="none"/>
        </w:rPr>
      </w:pPr>
    </w:p>
    <w:p>
      <w:pPr>
        <w:pStyle w:val="3"/>
        <w:tabs>
          <w:tab w:val="left" w:pos="900"/>
        </w:tabs>
        <w:spacing w:before="0" w:line="240" w:lineRule="atLeast"/>
        <w:ind w:left="1080" w:leftChars="257" w:hanging="540"/>
        <w:rPr>
          <w:rFonts w:hint="eastAsia" w:ascii="仿宋" w:hAnsi="仿宋" w:eastAsia="仿宋" w:cs="仿宋"/>
          <w:color w:val="auto"/>
          <w:sz w:val="21"/>
          <w:szCs w:val="21"/>
          <w:highlight w:val="none"/>
        </w:rPr>
      </w:pPr>
      <w:bookmarkStart w:id="66" w:name="_Toc516367020"/>
      <w:bookmarkStart w:id="67" w:name="_Toc520356150"/>
      <w:bookmarkStart w:id="68" w:name="_Toc25321"/>
      <w:bookmarkStart w:id="69" w:name="_Toc26234"/>
      <w:bookmarkStart w:id="70" w:name="_Toc7636"/>
      <w:bookmarkStart w:id="71" w:name="_Toc23138"/>
      <w:bookmarkStart w:id="72" w:name="_Toc515647766"/>
      <w:bookmarkStart w:id="73" w:name="_Toc30808"/>
      <w:bookmarkStart w:id="74" w:name="_Toc216582807"/>
      <w:r>
        <w:rPr>
          <w:rFonts w:hint="eastAsia" w:ascii="仿宋" w:hAnsi="仿宋" w:eastAsia="仿宋" w:cs="仿宋"/>
          <w:color w:val="auto"/>
          <w:sz w:val="28"/>
          <w:szCs w:val="28"/>
          <w:highlight w:val="none"/>
        </w:rPr>
        <w:t>三   投标文件</w:t>
      </w:r>
      <w:bookmarkEnd w:id="66"/>
      <w:r>
        <w:rPr>
          <w:rFonts w:hint="eastAsia" w:ascii="仿宋" w:hAnsi="仿宋" w:eastAsia="仿宋" w:cs="仿宋"/>
          <w:color w:val="auto"/>
          <w:sz w:val="28"/>
          <w:szCs w:val="28"/>
          <w:highlight w:val="none"/>
        </w:rPr>
        <w:t>的编制</w:t>
      </w:r>
      <w:bookmarkEnd w:id="67"/>
      <w:bookmarkEnd w:id="68"/>
      <w:bookmarkEnd w:id="69"/>
      <w:bookmarkEnd w:id="70"/>
      <w:bookmarkEnd w:id="71"/>
      <w:bookmarkEnd w:id="72"/>
      <w:bookmarkEnd w:id="73"/>
      <w:bookmarkEnd w:id="74"/>
    </w:p>
    <w:p>
      <w:pPr>
        <w:pStyle w:val="4"/>
        <w:tabs>
          <w:tab w:val="left" w:pos="900"/>
        </w:tabs>
        <w:spacing w:before="0" w:after="0" w:line="400" w:lineRule="exact"/>
        <w:rPr>
          <w:rFonts w:hint="eastAsia" w:ascii="仿宋" w:hAnsi="仿宋" w:eastAsia="仿宋" w:cs="仿宋"/>
          <w:color w:val="auto"/>
          <w:szCs w:val="24"/>
          <w:highlight w:val="none"/>
          <w:u w:val="none"/>
        </w:rPr>
      </w:pPr>
      <w:bookmarkStart w:id="75" w:name="_Toc516367021"/>
      <w:bookmarkStart w:id="76" w:name="_Toc520356151"/>
      <w:bookmarkStart w:id="77" w:name="_Toc3553"/>
      <w:bookmarkStart w:id="78" w:name="_Toc7786"/>
      <w:bookmarkStart w:id="79" w:name="_Toc17497"/>
      <w:bookmarkStart w:id="80" w:name="_Toc515647767"/>
      <w:bookmarkStart w:id="81" w:name="_Toc6484"/>
      <w:bookmarkStart w:id="82" w:name="_Toc30852"/>
      <w:r>
        <w:rPr>
          <w:rFonts w:hint="eastAsia" w:ascii="仿宋" w:hAnsi="仿宋" w:eastAsia="仿宋" w:cs="仿宋"/>
          <w:color w:val="auto"/>
          <w:szCs w:val="24"/>
          <w:highlight w:val="none"/>
          <w:u w:val="none"/>
        </w:rPr>
        <w:t>8.</w:t>
      </w:r>
      <w:r>
        <w:rPr>
          <w:rFonts w:hint="eastAsia" w:ascii="仿宋" w:hAnsi="仿宋" w:eastAsia="仿宋" w:cs="仿宋"/>
          <w:color w:val="auto"/>
          <w:szCs w:val="24"/>
          <w:highlight w:val="none"/>
          <w:u w:val="none"/>
        </w:rPr>
        <w:tab/>
      </w:r>
      <w:r>
        <w:rPr>
          <w:rFonts w:hint="eastAsia" w:ascii="仿宋" w:hAnsi="仿宋" w:eastAsia="仿宋" w:cs="仿宋"/>
          <w:color w:val="auto"/>
          <w:szCs w:val="24"/>
          <w:highlight w:val="none"/>
          <w:u w:val="none"/>
        </w:rPr>
        <w:t>投标范围及投标文件中标准和计量单位的使用</w:t>
      </w:r>
      <w:bookmarkEnd w:id="75"/>
      <w:bookmarkEnd w:id="76"/>
      <w:bookmarkEnd w:id="77"/>
      <w:bookmarkEnd w:id="78"/>
      <w:bookmarkEnd w:id="79"/>
      <w:bookmarkEnd w:id="80"/>
      <w:bookmarkEnd w:id="81"/>
      <w:bookmarkEnd w:id="82"/>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可对招标文件其中某一个或几个分包货物进行投标，除非在</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中另有规定。</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8.2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应当对所投分包招标文件中“服务需求”所列的所有内容进行投标，如仅响应某一包中的部分内容，其该包投标将被认定为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无论招标文件第5章技术需求一览表及技术规格中是否要求，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所投货物均应符合国家强制性标准。</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除招标文件中有特殊要求外，投标文件中所使用的计量单位，应采用中华人民共和国法定计量单位。</w:t>
      </w:r>
    </w:p>
    <w:p>
      <w:pPr>
        <w:pStyle w:val="4"/>
        <w:tabs>
          <w:tab w:val="left" w:pos="900"/>
        </w:tabs>
        <w:spacing w:before="0" w:after="0" w:line="400" w:lineRule="exact"/>
        <w:rPr>
          <w:rFonts w:hint="eastAsia" w:ascii="仿宋" w:hAnsi="仿宋" w:eastAsia="仿宋" w:cs="仿宋"/>
          <w:color w:val="auto"/>
          <w:szCs w:val="24"/>
          <w:highlight w:val="none"/>
          <w:u w:val="none"/>
        </w:rPr>
      </w:pPr>
      <w:bookmarkStart w:id="83" w:name="_Ref467306676"/>
      <w:bookmarkStart w:id="84" w:name="_Ref467306195"/>
      <w:bookmarkStart w:id="85" w:name="_Toc516367022"/>
      <w:bookmarkStart w:id="86" w:name="_Toc19565"/>
      <w:bookmarkStart w:id="87" w:name="_Toc515647768"/>
      <w:bookmarkStart w:id="88" w:name="_Toc12255"/>
      <w:bookmarkStart w:id="89" w:name="_Toc32655"/>
      <w:bookmarkStart w:id="90" w:name="_Toc28307"/>
      <w:bookmarkStart w:id="91" w:name="_Toc520356152"/>
      <w:bookmarkStart w:id="92" w:name="_Toc10364"/>
      <w:r>
        <w:rPr>
          <w:rFonts w:hint="eastAsia" w:ascii="仿宋" w:hAnsi="仿宋" w:eastAsia="仿宋" w:cs="仿宋"/>
          <w:color w:val="auto"/>
          <w:szCs w:val="24"/>
          <w:highlight w:val="none"/>
          <w:u w:val="none"/>
        </w:rPr>
        <w:t>9.投标文件</w:t>
      </w:r>
      <w:bookmarkEnd w:id="83"/>
      <w:bookmarkEnd w:id="84"/>
      <w:bookmarkEnd w:id="85"/>
      <w:r>
        <w:rPr>
          <w:rFonts w:hint="eastAsia" w:ascii="仿宋" w:hAnsi="仿宋" w:eastAsia="仿宋" w:cs="仿宋"/>
          <w:color w:val="auto"/>
          <w:szCs w:val="24"/>
          <w:highlight w:val="none"/>
          <w:u w:val="none"/>
        </w:rPr>
        <w:t>构成</w:t>
      </w:r>
      <w:bookmarkEnd w:id="86"/>
      <w:bookmarkEnd w:id="87"/>
      <w:bookmarkEnd w:id="88"/>
      <w:bookmarkEnd w:id="89"/>
      <w:bookmarkEnd w:id="90"/>
      <w:bookmarkEnd w:id="91"/>
      <w:bookmarkEnd w:id="92"/>
    </w:p>
    <w:p>
      <w:pPr>
        <w:tabs>
          <w:tab w:val="left" w:pos="900"/>
          <w:tab w:val="left" w:pos="5580"/>
        </w:tabs>
        <w:spacing w:line="400" w:lineRule="exact"/>
        <w:ind w:left="960" w:hanging="960" w:hangingChars="400"/>
        <w:jc w:val="left"/>
        <w:rPr>
          <w:rFonts w:hint="eastAsia" w:ascii="仿宋" w:hAnsi="仿宋" w:eastAsia="仿宋" w:cs="仿宋"/>
          <w:color w:val="auto"/>
          <w:sz w:val="24"/>
          <w:highlight w:val="none"/>
          <w:u w:val="single"/>
        </w:rPr>
      </w:pPr>
      <w:bookmarkStart w:id="93" w:name="_Ref467052588"/>
      <w:r>
        <w:rPr>
          <w:rFonts w:hint="eastAsia" w:ascii="仿宋" w:hAnsi="仿宋" w:eastAsia="仿宋" w:cs="仿宋"/>
          <w:color w:val="auto"/>
          <w:sz w:val="24"/>
          <w:highlight w:val="none"/>
        </w:rPr>
        <w:t xml:space="preserve">9.1     </w:t>
      </w:r>
      <w:r>
        <w:rPr>
          <w:rFonts w:hint="eastAsia" w:ascii="仿宋" w:hAnsi="仿宋" w:eastAsia="仿宋" w:cs="仿宋"/>
          <w:b/>
          <w:bCs/>
          <w:sz w:val="24"/>
          <w:highlight w:val="none"/>
          <w:u w:val="single"/>
          <w:lang w:val="en-US" w:eastAsia="zh-CN"/>
        </w:rPr>
        <w:t>投标人应完整地按招标文件提供的投标文件格式及要求编写投标文件，投标人须在投标截止时间前完成在系统上递交电子投标文件。投标人的电子投标文件是经过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r>
        <w:rPr>
          <w:rFonts w:hint="eastAsia" w:ascii="仿宋" w:hAnsi="仿宋" w:eastAsia="仿宋" w:cs="仿宋"/>
          <w:b/>
          <w:bCs/>
          <w:iCs/>
          <w:sz w:val="24"/>
          <w:highlight w:val="none"/>
          <w:u w:val="singl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上述文件应按照招标文件规定的格式填写、签署和盖章。</w:t>
      </w:r>
    </w:p>
    <w:bookmarkEnd w:id="93"/>
    <w:p>
      <w:pPr>
        <w:pStyle w:val="4"/>
        <w:tabs>
          <w:tab w:val="left" w:pos="900"/>
        </w:tabs>
        <w:spacing w:before="0" w:after="0" w:line="400" w:lineRule="exact"/>
        <w:rPr>
          <w:rFonts w:hint="eastAsia" w:ascii="仿宋" w:hAnsi="仿宋" w:eastAsia="仿宋" w:cs="仿宋"/>
          <w:color w:val="auto"/>
          <w:szCs w:val="24"/>
          <w:highlight w:val="none"/>
          <w:u w:val="none"/>
        </w:rPr>
      </w:pPr>
      <w:bookmarkStart w:id="94" w:name="_Toc4601"/>
      <w:bookmarkStart w:id="95" w:name="_Toc515647769"/>
      <w:bookmarkStart w:id="96" w:name="_Toc520356153"/>
      <w:bookmarkStart w:id="97" w:name="_Toc516367023"/>
      <w:bookmarkStart w:id="98" w:name="_Toc23555"/>
      <w:bookmarkStart w:id="99" w:name="_Toc10379"/>
      <w:bookmarkStart w:id="100" w:name="_Toc18475"/>
      <w:bookmarkStart w:id="101" w:name="_Toc27659"/>
      <w:r>
        <w:rPr>
          <w:rFonts w:hint="eastAsia" w:ascii="仿宋" w:hAnsi="仿宋" w:eastAsia="仿宋" w:cs="仿宋"/>
          <w:color w:val="auto"/>
          <w:szCs w:val="24"/>
          <w:highlight w:val="none"/>
          <w:u w:val="none"/>
        </w:rPr>
        <w:t>10.</w:t>
      </w:r>
      <w:r>
        <w:rPr>
          <w:rFonts w:hint="eastAsia" w:ascii="仿宋" w:hAnsi="仿宋" w:eastAsia="仿宋" w:cs="仿宋"/>
          <w:color w:val="auto"/>
          <w:szCs w:val="24"/>
          <w:highlight w:val="none"/>
          <w:u w:val="none"/>
        </w:rPr>
        <w:tab/>
      </w:r>
      <w:r>
        <w:rPr>
          <w:rFonts w:hint="eastAsia" w:ascii="仿宋" w:hAnsi="仿宋" w:eastAsia="仿宋" w:cs="仿宋"/>
          <w:color w:val="auto"/>
          <w:szCs w:val="24"/>
          <w:highlight w:val="none"/>
          <w:u w:val="none"/>
        </w:rPr>
        <w:t>证明投标标的的合格性和符合招标文件规定的技术文件</w:t>
      </w:r>
      <w:bookmarkEnd w:id="94"/>
      <w:bookmarkEnd w:id="95"/>
      <w:bookmarkEnd w:id="96"/>
      <w:bookmarkEnd w:id="97"/>
      <w:bookmarkEnd w:id="98"/>
      <w:bookmarkEnd w:id="99"/>
      <w:bookmarkEnd w:id="100"/>
      <w:bookmarkEnd w:id="101"/>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应提交证明文件，证明其投标内容符合招标文件规定。该证明文件是投标文件的一部分。</w:t>
      </w:r>
    </w:p>
    <w:p>
      <w:pPr>
        <w:spacing w:line="400" w:lineRule="exact"/>
        <w:ind w:left="900" w:hanging="900" w:hangingChars="375"/>
        <w:rPr>
          <w:rFonts w:hint="eastAsia" w:ascii="仿宋" w:hAnsi="仿宋" w:eastAsia="仿宋" w:cs="仿宋"/>
          <w:color w:val="auto"/>
          <w:sz w:val="24"/>
          <w:highlight w:val="none"/>
        </w:rPr>
      </w:pPr>
      <w:bookmarkStart w:id="102"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102"/>
      <w:r>
        <w:rPr>
          <w:rFonts w:hint="eastAsia" w:ascii="仿宋" w:hAnsi="仿宋" w:eastAsia="仿宋" w:cs="仿宋"/>
          <w:color w:val="auto"/>
          <w:sz w:val="24"/>
          <w:highlight w:val="none"/>
        </w:rPr>
        <w:t>它包括：</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货物主要技术指标和性能的详细说明；</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货物从买方开始使用至招标文件规定的保质期内正常、连续地使用所必须的备件和专用工具清单，包括备件和专用工具的货源及现行价格；</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对照招标文件技术规格，逐条说明所提供货物及伴随的工程和服务已对招标文件的技术规格做出了实质性的响应，或申明与技术规格条文的偏差和例外。</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应注意采购人在技术规格中指出的工艺、材料和设备的参照品牌型号或分类号仅起说明作用，并没有任何限制性。</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在投标中可以选用替代牌号或分类号，但这些替代要实质上相当于技术规格的要求。采购人、采购代理机构承诺不以上述参照品牌型号或分类号作为评标时判定其投标是否有效的标准。</w:t>
      </w:r>
    </w:p>
    <w:p>
      <w:pPr>
        <w:pStyle w:val="4"/>
        <w:spacing w:before="0" w:after="0" w:line="400" w:lineRule="exact"/>
        <w:rPr>
          <w:rFonts w:hint="eastAsia" w:ascii="仿宋" w:hAnsi="仿宋" w:eastAsia="仿宋" w:cs="仿宋"/>
          <w:color w:val="auto"/>
          <w:szCs w:val="24"/>
          <w:highlight w:val="none"/>
          <w:u w:val="none"/>
        </w:rPr>
      </w:pPr>
      <w:bookmarkStart w:id="103" w:name="_Toc28654"/>
      <w:bookmarkStart w:id="104" w:name="_Toc6878"/>
      <w:bookmarkStart w:id="105" w:name="_Toc23231"/>
      <w:bookmarkStart w:id="106" w:name="_Toc520356155"/>
      <w:bookmarkStart w:id="107" w:name="_Toc28367"/>
      <w:bookmarkStart w:id="108" w:name="_Toc2248"/>
      <w:bookmarkStart w:id="109" w:name="_Toc515647770"/>
      <w:r>
        <w:rPr>
          <w:rFonts w:hint="eastAsia" w:ascii="仿宋" w:hAnsi="仿宋" w:eastAsia="仿宋" w:cs="仿宋"/>
          <w:color w:val="auto"/>
          <w:szCs w:val="24"/>
          <w:highlight w:val="none"/>
          <w:u w:val="none"/>
        </w:rPr>
        <w:t>11.投标报价</w:t>
      </w:r>
      <w:bookmarkEnd w:id="103"/>
      <w:bookmarkEnd w:id="104"/>
      <w:bookmarkEnd w:id="105"/>
      <w:bookmarkEnd w:id="106"/>
      <w:bookmarkEnd w:id="107"/>
      <w:bookmarkEnd w:id="108"/>
      <w:bookmarkEnd w:id="109"/>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应在投标分项报价表上标明投标货物及相关服务的单价（如适用）和总价，并由法定代表人或其授权代表签署。</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投标分项报价表上的价格应按下列方式填写：</w:t>
      </w:r>
    </w:p>
    <w:p>
      <w:pPr>
        <w:spacing w:line="400" w:lineRule="exact"/>
        <w:ind w:left="900" w:hanging="900" w:hangingChars="375"/>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11.3.1</w:t>
      </w:r>
      <w:r>
        <w:rPr>
          <w:rFonts w:hint="eastAsia" w:ascii="仿宋" w:hAnsi="仿宋" w:eastAsia="仿宋" w:cs="仿宋"/>
          <w:b w:val="0"/>
          <w:bCs w:val="0"/>
          <w:color w:val="auto"/>
          <w:sz w:val="24"/>
          <w:highlight w:val="none"/>
        </w:rPr>
        <w:t xml:space="preserve">  投标货物（包括备品备件、专用工具等）的出厂价（包括已在中国国内的进口货物完税后的仓库交货价、展室交货价或货架交货价），投标货物安装、调试、检验、技术服务和培训等费用；</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11.3.2  货物运至最终目的地的运输费和保险费用。</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每种货物只能有一个投标报价。采购人不接受具有附加条件的报价。</w:t>
      </w:r>
    </w:p>
    <w:p>
      <w:pPr>
        <w:pStyle w:val="4"/>
        <w:spacing w:before="0" w:after="0" w:line="400" w:lineRule="exact"/>
        <w:rPr>
          <w:rFonts w:hint="eastAsia" w:ascii="仿宋" w:hAnsi="仿宋" w:eastAsia="仿宋" w:cs="仿宋"/>
          <w:color w:val="auto"/>
          <w:szCs w:val="24"/>
          <w:highlight w:val="none"/>
          <w:u w:val="none"/>
        </w:rPr>
      </w:pPr>
      <w:bookmarkStart w:id="110" w:name="_Ref467306513"/>
      <w:bookmarkStart w:id="111" w:name="_Toc17788"/>
      <w:bookmarkStart w:id="112" w:name="_Toc520356156"/>
      <w:bookmarkStart w:id="113" w:name="_Toc23985"/>
      <w:bookmarkStart w:id="114" w:name="_Toc32054"/>
      <w:bookmarkStart w:id="115" w:name="_Toc515647771"/>
      <w:bookmarkStart w:id="116" w:name="_Toc11514"/>
      <w:bookmarkStart w:id="117" w:name="_Toc2925"/>
      <w:r>
        <w:rPr>
          <w:rFonts w:hint="eastAsia" w:ascii="仿宋" w:hAnsi="仿宋" w:eastAsia="仿宋" w:cs="仿宋"/>
          <w:color w:val="auto"/>
          <w:szCs w:val="24"/>
          <w:highlight w:val="none"/>
          <w:u w:val="none"/>
        </w:rPr>
        <w:t>12.投标保证金</w:t>
      </w:r>
      <w:bookmarkEnd w:id="110"/>
      <w:bookmarkEnd w:id="111"/>
      <w:bookmarkEnd w:id="112"/>
      <w:bookmarkEnd w:id="113"/>
      <w:bookmarkEnd w:id="114"/>
      <w:bookmarkEnd w:id="115"/>
      <w:bookmarkEnd w:id="116"/>
      <w:bookmarkEnd w:id="117"/>
    </w:p>
    <w:p>
      <w:pPr>
        <w:spacing w:line="400" w:lineRule="exact"/>
        <w:ind w:left="900" w:hanging="900" w:hangingChars="375"/>
        <w:rPr>
          <w:rFonts w:hint="eastAsia" w:ascii="仿宋" w:hAnsi="仿宋" w:eastAsia="仿宋" w:cs="仿宋"/>
          <w:color w:val="auto"/>
          <w:sz w:val="24"/>
          <w:highlight w:val="none"/>
        </w:rPr>
      </w:pPr>
      <w:bookmarkStart w:id="118"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应提交</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中规定的投标保证金</w:t>
      </w:r>
      <w:bookmarkEnd w:id="118"/>
      <w:r>
        <w:rPr>
          <w:rFonts w:hint="eastAsia" w:ascii="仿宋" w:hAnsi="仿宋" w:eastAsia="仿宋" w:cs="仿宋"/>
          <w:color w:val="auto"/>
          <w:sz w:val="24"/>
          <w:highlight w:val="none"/>
        </w:rPr>
        <w:t>，并作为其投标的一部分。</w:t>
      </w:r>
    </w:p>
    <w:p>
      <w:pPr>
        <w:spacing w:line="400" w:lineRule="exact"/>
        <w:ind w:left="900" w:hanging="900" w:hangingChars="375"/>
        <w:outlineLvl w:val="1"/>
        <w:rPr>
          <w:rFonts w:hint="eastAsia" w:ascii="仿宋" w:hAnsi="仿宋" w:eastAsia="仿宋" w:cs="仿宋"/>
          <w:strike w:val="0"/>
          <w:dstrike w:val="0"/>
          <w:color w:val="0000FF"/>
          <w:sz w:val="24"/>
          <w:highlight w:val="none"/>
        </w:rPr>
      </w:pPr>
      <w:bookmarkStart w:id="119" w:name="_Toc1160"/>
      <w:bookmarkStart w:id="120" w:name="_Ref467306336"/>
      <w:r>
        <w:rPr>
          <w:rFonts w:hint="eastAsia" w:ascii="仿宋" w:hAnsi="仿宋" w:eastAsia="仿宋" w:cs="仿宋"/>
          <w:sz w:val="24"/>
          <w:highlight w:val="none"/>
        </w:rPr>
        <w:t>12.2</w:t>
      </w:r>
      <w:r>
        <w:rPr>
          <w:rFonts w:hint="eastAsia" w:ascii="仿宋" w:hAnsi="仿宋" w:eastAsia="仿宋" w:cs="仿宋"/>
          <w:sz w:val="24"/>
          <w:highlight w:val="none"/>
        </w:rPr>
        <w:tab/>
      </w:r>
      <w:r>
        <w:rPr>
          <w:rFonts w:hint="eastAsia" w:ascii="仿宋" w:hAnsi="仿宋" w:eastAsia="仿宋" w:cs="仿宋"/>
          <w:strike/>
          <w:dstrike w:val="0"/>
          <w:color w:val="0000FF"/>
          <w:sz w:val="24"/>
          <w:highlight w:val="none"/>
        </w:rPr>
        <w:t>供应商存在下列情形的，</w:t>
      </w:r>
      <w:r>
        <w:rPr>
          <w:rFonts w:hint="eastAsia" w:ascii="仿宋" w:hAnsi="仿宋" w:eastAsia="仿宋" w:cs="仿宋"/>
          <w:strike/>
          <w:dstrike w:val="0"/>
          <w:color w:val="0000FF"/>
          <w:sz w:val="24"/>
          <w:highlight w:val="none"/>
          <w:lang w:eastAsia="zh-CN"/>
        </w:rPr>
        <w:t>投标</w:t>
      </w:r>
      <w:r>
        <w:rPr>
          <w:rFonts w:hint="eastAsia" w:ascii="仿宋" w:hAnsi="仿宋" w:eastAsia="仿宋" w:cs="仿宋"/>
          <w:strike/>
          <w:dstrike w:val="0"/>
          <w:color w:val="0000FF"/>
          <w:sz w:val="24"/>
          <w:highlight w:val="none"/>
        </w:rPr>
        <w:t>保证金不予退还：</w:t>
      </w:r>
      <w:bookmarkEnd w:id="119"/>
      <w:r>
        <w:rPr>
          <w:rFonts w:hint="eastAsia" w:ascii="仿宋" w:hAnsi="仿宋" w:eastAsia="仿宋" w:cs="仿宋"/>
          <w:strike w:val="0"/>
          <w:dstrike w:val="0"/>
          <w:color w:val="0000FF"/>
          <w:sz w:val="24"/>
          <w:highlight w:val="none"/>
        </w:rPr>
        <w:t>（</w:t>
      </w:r>
      <w:r>
        <w:rPr>
          <w:rFonts w:hint="eastAsia" w:ascii="仿宋" w:hAnsi="仿宋" w:eastAsia="仿宋" w:cs="仿宋"/>
          <w:strike w:val="0"/>
          <w:dstrike w:val="0"/>
          <w:color w:val="0000FF"/>
          <w:sz w:val="24"/>
          <w:highlight w:val="none"/>
          <w:lang w:val="en-US" w:eastAsia="zh-Hans"/>
        </w:rPr>
        <w:t>注</w:t>
      </w:r>
      <w:r>
        <w:rPr>
          <w:rFonts w:hint="eastAsia" w:ascii="仿宋" w:hAnsi="仿宋" w:eastAsia="仿宋" w:cs="仿宋"/>
          <w:strike w:val="0"/>
          <w:dstrike w:val="0"/>
          <w:color w:val="0000FF"/>
          <w:sz w:val="24"/>
          <w:highlight w:val="none"/>
          <w:lang w:eastAsia="zh-Hans"/>
        </w:rPr>
        <w:t>.《新疆维吾尔自治区财政厅关于政府采购保证金和行政处罚罚款上缴事项的通知》</w:t>
      </w:r>
      <w:r>
        <w:rPr>
          <w:rFonts w:hint="eastAsia" w:ascii="仿宋" w:hAnsi="仿宋" w:eastAsia="仿宋" w:cs="仿宋"/>
          <w:strike w:val="0"/>
          <w:dstrike w:val="0"/>
          <w:color w:val="0000FF"/>
          <w:sz w:val="24"/>
          <w:highlight w:val="none"/>
          <w:lang w:val="en-US" w:eastAsia="zh-Hans"/>
        </w:rPr>
        <w:t>第一条规定“在政府采购活动中，供应商出现政府采购相关规定和采购文件约定不予退还保证金（投标保证金和履约保证金）的情形，由集中采购机构、采购人按照就地缴库程序，将不予退还的保证金上缴当地国库。”</w:t>
      </w:r>
      <w:r>
        <w:rPr>
          <w:rFonts w:hint="eastAsia" w:ascii="仿宋" w:hAnsi="仿宋" w:eastAsia="仿宋" w:cs="仿宋"/>
          <w:strike w:val="0"/>
          <w:dstrike w:val="0"/>
          <w:color w:val="0000FF"/>
          <w:sz w:val="24"/>
          <w:highlight w:val="none"/>
          <w:lang w:eastAsia="zh-Hans"/>
        </w:rPr>
        <w:t>，</w:t>
      </w:r>
    </w:p>
    <w:p>
      <w:pPr>
        <w:spacing w:line="400" w:lineRule="exact"/>
        <w:ind w:left="1752" w:leftChars="400" w:hanging="912" w:hangingChars="380"/>
        <w:rPr>
          <w:rFonts w:hint="eastAsia" w:ascii="仿宋" w:hAnsi="仿宋" w:eastAsia="仿宋" w:cs="仿宋"/>
          <w:strike/>
          <w:dstrike w:val="0"/>
          <w:color w:val="0000FF"/>
          <w:sz w:val="24"/>
          <w:highlight w:val="none"/>
        </w:rPr>
      </w:pPr>
      <w:r>
        <w:rPr>
          <w:rFonts w:hint="eastAsia" w:ascii="仿宋" w:hAnsi="仿宋" w:eastAsia="仿宋" w:cs="仿宋"/>
          <w:strike/>
          <w:dstrike w:val="0"/>
          <w:color w:val="0000FF"/>
          <w:sz w:val="24"/>
          <w:highlight w:val="none"/>
        </w:rPr>
        <w:t>（1）在</w:t>
      </w:r>
      <w:r>
        <w:rPr>
          <w:rFonts w:hint="eastAsia" w:ascii="仿宋" w:hAnsi="仿宋" w:eastAsia="仿宋" w:cs="仿宋"/>
          <w:strike/>
          <w:dstrike w:val="0"/>
          <w:color w:val="0000FF"/>
          <w:sz w:val="24"/>
          <w:highlight w:val="none"/>
          <w:lang w:eastAsia="zh-CN"/>
        </w:rPr>
        <w:t>投标</w:t>
      </w:r>
      <w:r>
        <w:rPr>
          <w:rFonts w:hint="eastAsia" w:ascii="仿宋" w:hAnsi="仿宋" w:eastAsia="仿宋" w:cs="仿宋"/>
          <w:strike/>
          <w:dstrike w:val="0"/>
          <w:color w:val="0000FF"/>
          <w:sz w:val="24"/>
          <w:highlight w:val="none"/>
        </w:rPr>
        <w:t>有效期内，撤销</w:t>
      </w:r>
      <w:r>
        <w:rPr>
          <w:rFonts w:hint="eastAsia" w:ascii="仿宋" w:hAnsi="仿宋" w:eastAsia="仿宋" w:cs="仿宋"/>
          <w:strike/>
          <w:dstrike w:val="0"/>
          <w:color w:val="0000FF"/>
          <w:sz w:val="24"/>
          <w:highlight w:val="none"/>
          <w:lang w:eastAsia="zh-CN"/>
        </w:rPr>
        <w:t>投标</w:t>
      </w:r>
      <w:r>
        <w:rPr>
          <w:rFonts w:hint="eastAsia" w:ascii="仿宋" w:hAnsi="仿宋" w:eastAsia="仿宋" w:cs="仿宋"/>
          <w:strike/>
          <w:dstrike w:val="0"/>
          <w:color w:val="0000FF"/>
          <w:sz w:val="24"/>
          <w:highlight w:val="none"/>
        </w:rPr>
        <w:t>的；</w:t>
      </w:r>
    </w:p>
    <w:p>
      <w:pPr>
        <w:pStyle w:val="11"/>
        <w:tabs>
          <w:tab w:val="left" w:pos="2240"/>
        </w:tabs>
        <w:spacing w:line="400" w:lineRule="exact"/>
        <w:ind w:left="1079" w:leftChars="371" w:hanging="300" w:hangingChars="125"/>
        <w:rPr>
          <w:rFonts w:hint="eastAsia" w:ascii="仿宋" w:hAnsi="仿宋" w:eastAsia="仿宋" w:cs="仿宋"/>
          <w:strike/>
          <w:dstrike w:val="0"/>
          <w:color w:val="0000FF"/>
          <w:sz w:val="24"/>
          <w:highlight w:val="none"/>
        </w:rPr>
      </w:pPr>
      <w:r>
        <w:rPr>
          <w:rFonts w:hint="eastAsia" w:ascii="仿宋" w:hAnsi="仿宋" w:eastAsia="仿宋" w:cs="仿宋"/>
          <w:strike/>
          <w:dstrike w:val="0"/>
          <w:color w:val="0000FF"/>
          <w:sz w:val="24"/>
          <w:highlight w:val="none"/>
        </w:rPr>
        <w:t>（2）成交后不按本须知第30条的规定与采购人签订合同的；</w:t>
      </w:r>
    </w:p>
    <w:p>
      <w:pPr>
        <w:pStyle w:val="11"/>
        <w:tabs>
          <w:tab w:val="left" w:pos="2240"/>
        </w:tabs>
        <w:spacing w:line="400" w:lineRule="exact"/>
        <w:ind w:left="1079" w:leftChars="371" w:hanging="300" w:hangingChars="125"/>
        <w:rPr>
          <w:rFonts w:hint="eastAsia" w:ascii="仿宋" w:hAnsi="仿宋" w:eastAsia="仿宋" w:cs="仿宋"/>
          <w:strike/>
          <w:dstrike w:val="0"/>
          <w:color w:val="0000FF"/>
          <w:sz w:val="24"/>
          <w:highlight w:val="none"/>
        </w:rPr>
      </w:pPr>
      <w:r>
        <w:rPr>
          <w:rFonts w:hint="eastAsia" w:ascii="仿宋" w:hAnsi="仿宋" w:eastAsia="仿宋" w:cs="仿宋"/>
          <w:strike/>
          <w:dstrike w:val="0"/>
          <w:color w:val="0000FF"/>
          <w:sz w:val="24"/>
          <w:highlight w:val="none"/>
        </w:rPr>
        <w:t>（3）成交后不按本须知第31条的规定缴纳成交服务费的；</w:t>
      </w:r>
    </w:p>
    <w:p>
      <w:pPr>
        <w:pStyle w:val="11"/>
        <w:tabs>
          <w:tab w:val="left" w:pos="2240"/>
        </w:tabs>
        <w:spacing w:line="400" w:lineRule="exact"/>
        <w:ind w:left="1079" w:leftChars="371" w:hanging="300" w:hangingChars="125"/>
        <w:rPr>
          <w:rFonts w:hint="eastAsia" w:ascii="仿宋" w:hAnsi="仿宋" w:eastAsia="仿宋" w:cs="仿宋"/>
          <w:strike/>
          <w:dstrike w:val="0"/>
          <w:color w:val="0000FF"/>
          <w:sz w:val="24"/>
          <w:highlight w:val="none"/>
        </w:rPr>
      </w:pPr>
      <w:r>
        <w:rPr>
          <w:rFonts w:hint="eastAsia" w:ascii="仿宋" w:hAnsi="仿宋" w:eastAsia="仿宋" w:cs="仿宋"/>
          <w:strike/>
          <w:dstrike w:val="0"/>
          <w:color w:val="0000FF"/>
          <w:sz w:val="24"/>
          <w:highlight w:val="none"/>
        </w:rPr>
        <w:t>（4）存在其他违法违规行为的。</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120"/>
      <w:r>
        <w:rPr>
          <w:rFonts w:hint="eastAsia" w:ascii="仿宋" w:hAnsi="仿宋" w:eastAsia="仿宋" w:cs="仿宋"/>
          <w:color w:val="auto"/>
          <w:sz w:val="24"/>
          <w:highlight w:val="none"/>
        </w:rPr>
        <w:t>政府采购信用担保试点范围内的项目，接受符合财政部门规定的政府采购投标担保函原件。</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pPr>
        <w:spacing w:line="400" w:lineRule="exac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未及时提交支票或支票不符合银行委托收款要求（如污损、折叠、胶装等），导致投标保证金不能按时进入指定账户的，将按照招标文件的第22.2条相关规定处理。</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pPr>
        <w:spacing w:line="400" w:lineRule="exac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12.6.1  </w:t>
      </w:r>
      <w:r>
        <w:rPr>
          <w:rFonts w:hint="eastAsia" w:ascii="仿宋" w:hAnsi="仿宋" w:eastAsia="仿宋" w:cs="仿宋"/>
          <w:b/>
          <w:bCs/>
          <w:color w:val="auto"/>
          <w:sz w:val="24"/>
          <w:highlight w:val="none"/>
        </w:rPr>
        <w:t>中标人应在与采购人签订合同之日起5个工作日内，及时联系保证金收受机构办理投标保证金无息退还手续。</w:t>
      </w:r>
    </w:p>
    <w:p>
      <w:pPr>
        <w:spacing w:line="400" w:lineRule="exac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未中标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的投标保证金将在中标通知书发出之日暨中标结果公告公布之日起5个工作日内无息退还。</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应及时联系保证金收受机构办理退还投标保证金手续。</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pPr>
        <w:spacing w:line="400" w:lineRule="exac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自身原因导致无法及时退还的，采购人或采购代理机构将不承担相应责任。</w:t>
      </w:r>
    </w:p>
    <w:p>
      <w:pPr>
        <w:pStyle w:val="4"/>
        <w:pageBreakBefore w:val="0"/>
        <w:kinsoku/>
        <w:wordWrap/>
        <w:overflowPunct/>
        <w:topLinePunct w:val="0"/>
        <w:bidi w:val="0"/>
        <w:snapToGrid/>
        <w:spacing w:before="0" w:after="0" w:line="390" w:lineRule="exact"/>
        <w:ind w:left="0" w:leftChars="0"/>
        <w:textAlignment w:val="auto"/>
        <w:rPr>
          <w:rFonts w:hint="eastAsia" w:ascii="仿宋" w:hAnsi="仿宋" w:eastAsia="仿宋" w:cs="仿宋"/>
          <w:color w:val="auto"/>
          <w:szCs w:val="24"/>
          <w:highlight w:val="none"/>
          <w:u w:val="none"/>
        </w:rPr>
      </w:pPr>
      <w:bookmarkStart w:id="121" w:name="_Toc3449"/>
      <w:bookmarkStart w:id="122" w:name="_Toc520356157"/>
      <w:bookmarkStart w:id="123" w:name="_Toc515647772"/>
      <w:bookmarkStart w:id="124" w:name="_Toc26580"/>
      <w:bookmarkStart w:id="125" w:name="_Toc6989"/>
      <w:bookmarkStart w:id="126" w:name="_Toc32569"/>
      <w:bookmarkStart w:id="127" w:name="_Toc23590"/>
      <w:r>
        <w:rPr>
          <w:rFonts w:hint="eastAsia" w:ascii="仿宋" w:hAnsi="仿宋" w:eastAsia="仿宋" w:cs="仿宋"/>
          <w:color w:val="auto"/>
          <w:szCs w:val="24"/>
          <w:highlight w:val="none"/>
          <w:u w:val="none"/>
        </w:rPr>
        <w:t>13.投标有效期</w:t>
      </w:r>
      <w:bookmarkEnd w:id="121"/>
      <w:bookmarkEnd w:id="122"/>
      <w:bookmarkEnd w:id="123"/>
      <w:bookmarkEnd w:id="124"/>
      <w:bookmarkEnd w:id="125"/>
      <w:bookmarkEnd w:id="126"/>
      <w:bookmarkEnd w:id="127"/>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延长投标文件的有效期。接受该要求的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将不会被要求和允许修正其投标，且本须知中有关投标保证金的要求须在延长的有效期内继续有效。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可以拒绝延长投标有效期的要求，其投标保证金将及时无息退还。上述要求和答复都应以书面形式提交。</w:t>
      </w:r>
    </w:p>
    <w:p>
      <w:pPr>
        <w:pStyle w:val="4"/>
        <w:shd w:val="clear"/>
        <w:spacing w:before="0" w:after="0" w:line="360" w:lineRule="exact"/>
        <w:rPr>
          <w:rFonts w:hint="eastAsia" w:ascii="仿宋" w:hAnsi="仿宋" w:eastAsia="仿宋" w:cs="仿宋"/>
          <w:color w:val="auto"/>
          <w:highlight w:val="none"/>
          <w:u w:val="none"/>
        </w:rPr>
      </w:pPr>
      <w:bookmarkStart w:id="128" w:name="_Toc30127"/>
      <w:bookmarkStart w:id="129" w:name="_Toc10391"/>
      <w:bookmarkStart w:id="130" w:name="_Toc9672"/>
      <w:bookmarkStart w:id="131" w:name="_Toc24787"/>
      <w:bookmarkStart w:id="132" w:name="_Toc4425"/>
      <w:bookmarkStart w:id="133" w:name="_Toc3558"/>
      <w:bookmarkStart w:id="134" w:name="_Toc6286"/>
      <w:bookmarkStart w:id="135" w:name="_Toc16503"/>
      <w:bookmarkStart w:id="136" w:name="_Toc29619"/>
      <w:bookmarkStart w:id="137" w:name="_Toc10484"/>
      <w:bookmarkStart w:id="138" w:name="_Toc11669"/>
      <w:bookmarkStart w:id="139" w:name="_Toc520356161"/>
      <w:bookmarkStart w:id="140" w:name="_Toc9840"/>
      <w:bookmarkStart w:id="141" w:name="_Toc515647776"/>
      <w:bookmarkStart w:id="142" w:name="_Toc12751"/>
      <w:r>
        <w:rPr>
          <w:rFonts w:hint="eastAsia" w:ascii="仿宋" w:hAnsi="仿宋" w:eastAsia="仿宋" w:cs="仿宋"/>
          <w:color w:val="auto"/>
          <w:highlight w:val="none"/>
          <w:u w:val="none"/>
        </w:rPr>
        <w:t>14.投标文件的签署及规定</w:t>
      </w:r>
      <w:bookmarkEnd w:id="128"/>
      <w:bookmarkEnd w:id="129"/>
      <w:bookmarkEnd w:id="130"/>
      <w:bookmarkEnd w:id="131"/>
      <w:bookmarkEnd w:id="132"/>
      <w:bookmarkEnd w:id="133"/>
      <w:bookmarkEnd w:id="134"/>
      <w:bookmarkEnd w:id="135"/>
      <w:bookmarkEnd w:id="136"/>
      <w:r>
        <w:rPr>
          <w:rFonts w:hint="eastAsia" w:ascii="仿宋" w:hAnsi="仿宋" w:eastAsia="仿宋" w:cs="仿宋"/>
          <w:b/>
          <w:i w:val="0"/>
          <w:caps w:val="0"/>
          <w:color w:val="auto"/>
          <w:spacing w:val="0"/>
          <w:w w:val="100"/>
          <w:sz w:val="24"/>
          <w:highlight w:val="none"/>
          <w:u w:val="single" w:color="000000"/>
          <w:lang w:eastAsia="zh-CN"/>
        </w:rPr>
        <w:t>（</w:t>
      </w:r>
      <w:r>
        <w:rPr>
          <w:rFonts w:hint="eastAsia" w:ascii="仿宋" w:hAnsi="仿宋" w:eastAsia="仿宋" w:cs="仿宋"/>
          <w:b/>
          <w:i w:val="0"/>
          <w:caps w:val="0"/>
          <w:color w:val="auto"/>
          <w:spacing w:val="0"/>
          <w:w w:val="100"/>
          <w:sz w:val="24"/>
          <w:highlight w:val="none"/>
          <w:u w:val="single" w:color="000000"/>
          <w:lang w:val="en-US" w:eastAsia="zh-CN"/>
        </w:rPr>
        <w:t>后期邮寄的投标文件</w:t>
      </w:r>
      <w:r>
        <w:rPr>
          <w:rFonts w:hint="eastAsia" w:ascii="仿宋" w:hAnsi="仿宋" w:eastAsia="仿宋" w:cs="仿宋"/>
          <w:b/>
          <w:i w:val="0"/>
          <w:caps w:val="0"/>
          <w:color w:val="auto"/>
          <w:spacing w:val="0"/>
          <w:w w:val="100"/>
          <w:sz w:val="24"/>
          <w:highlight w:val="none"/>
          <w:u w:val="single" w:color="000000"/>
          <w:lang w:eastAsia="zh-CN"/>
        </w:rPr>
        <w:t>）</w:t>
      </w:r>
      <w:bookmarkEnd w:id="137"/>
      <w:bookmarkEnd w:id="138"/>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供应商应按供应商须知资料表中的规定，准备和递交</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报价一览表”。</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szCs w:val="24"/>
          <w:highlight w:val="none"/>
        </w:rPr>
        <w:t>投标文件的正本需打印或用不褪色墨水书写，并由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经其正式委托代理人按招标文件规定在投标文件上签字并加盖单位印章。委托代理人须持有书面的“法定代表人授权委托书”（投标文件格式二），并将其附在投标文件中。如对投标文件进行了修改，则应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的法定代表人或其委托代理人在每一修改处签字。投标文件的副本可采用正本的复印件。</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14.3    所有投标文件采用不可拆装的胶订方式装订，否则其投标文件将被认定为无效。</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投标文件因字迹潦草、表达不清或装订不当所引起的后果由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w:t>
      </w:r>
    </w:p>
    <w:p>
      <w:pPr>
        <w:pStyle w:val="5"/>
        <w:pageBreakBefore w:val="0"/>
        <w:widowControl w:val="0"/>
        <w:kinsoku/>
        <w:wordWrap/>
        <w:overflowPunct/>
        <w:topLinePunct w:val="0"/>
        <w:bidi w:val="0"/>
        <w:snapToGrid/>
        <w:spacing w:line="400" w:lineRule="exact"/>
        <w:ind w:left="0" w:leftChars="0" w:firstLine="0"/>
        <w:textAlignment w:val="auto"/>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14.5    投标文件必须制作目录及页码，页码必须连续并与目录相对应。</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14.6    未按本须知规定编制、密封、标记及签署盖章的投标文件将被认定为无效。</w:t>
      </w:r>
    </w:p>
    <w:p>
      <w:pPr>
        <w:pStyle w:val="3"/>
        <w:pageBreakBefore w:val="0"/>
        <w:widowControl w:val="0"/>
        <w:kinsoku/>
        <w:wordWrap/>
        <w:overflowPunct/>
        <w:topLinePunct w:val="0"/>
        <w:bidi w:val="0"/>
        <w:snapToGrid/>
        <w:spacing w:before="0" w:line="400" w:lineRule="exact"/>
        <w:ind w:left="0" w:leftChars="0" w:hanging="540"/>
        <w:textAlignment w:val="auto"/>
        <w:rPr>
          <w:rFonts w:hint="eastAsia" w:ascii="仿宋" w:hAnsi="仿宋" w:eastAsia="仿宋" w:cs="仿宋"/>
          <w:color w:val="auto"/>
          <w:sz w:val="28"/>
          <w:szCs w:val="28"/>
          <w:highlight w:val="none"/>
        </w:rPr>
      </w:pPr>
      <w:bookmarkStart w:id="143" w:name="_Toc29176"/>
      <w:bookmarkStart w:id="144" w:name="_Toc9173"/>
      <w:bookmarkStart w:id="145" w:name="_Toc16504"/>
      <w:r>
        <w:rPr>
          <w:rFonts w:hint="eastAsia" w:ascii="仿宋" w:hAnsi="仿宋" w:eastAsia="仿宋" w:cs="仿宋"/>
          <w:color w:val="auto"/>
          <w:sz w:val="28"/>
          <w:szCs w:val="28"/>
          <w:highlight w:val="none"/>
        </w:rPr>
        <w:t>四   投标文件的递交</w:t>
      </w:r>
      <w:bookmarkEnd w:id="143"/>
      <w:bookmarkEnd w:id="144"/>
      <w:bookmarkEnd w:id="145"/>
    </w:p>
    <w:bookmarkEnd w:id="139"/>
    <w:bookmarkEnd w:id="140"/>
    <w:bookmarkEnd w:id="141"/>
    <w:bookmarkEnd w:id="142"/>
    <w:p>
      <w:pPr>
        <w:pStyle w:val="4"/>
        <w:spacing w:before="0" w:after="0" w:line="400" w:lineRule="exact"/>
        <w:rPr>
          <w:rFonts w:hint="eastAsia" w:ascii="仿宋" w:hAnsi="仿宋" w:eastAsia="仿宋" w:cs="仿宋"/>
          <w:highlight w:val="none"/>
          <w:u w:val="none"/>
        </w:rPr>
      </w:pPr>
      <w:bookmarkStart w:id="146" w:name="_Toc518923079"/>
      <w:bookmarkStart w:id="147" w:name="_Toc13247"/>
      <w:bookmarkStart w:id="148" w:name="_Toc520356160"/>
      <w:bookmarkStart w:id="149" w:name="_Toc24004_WPSOffice_Level2"/>
      <w:bookmarkStart w:id="150" w:name="_Toc22654_WPSOffice_Level2"/>
      <w:r>
        <w:rPr>
          <w:rFonts w:hint="eastAsia" w:ascii="仿宋" w:hAnsi="仿宋" w:eastAsia="仿宋" w:cs="仿宋"/>
          <w:highlight w:val="none"/>
          <w:u w:val="none"/>
        </w:rPr>
        <w:t>15.响应文件的密封和标记</w:t>
      </w:r>
      <w:bookmarkEnd w:id="146"/>
      <w:bookmarkEnd w:id="147"/>
      <w:bookmarkEnd w:id="148"/>
      <w:bookmarkEnd w:id="149"/>
      <w:bookmarkEnd w:id="150"/>
      <w:r>
        <w:rPr>
          <w:rFonts w:hint="eastAsia" w:ascii="仿宋" w:hAnsi="仿宋" w:eastAsia="仿宋" w:cs="仿宋"/>
          <w:b/>
          <w:i w:val="0"/>
          <w:caps w:val="0"/>
          <w:color w:val="auto"/>
          <w:spacing w:val="0"/>
          <w:w w:val="100"/>
          <w:sz w:val="24"/>
          <w:highlight w:val="none"/>
          <w:u w:val="single" w:color="000000"/>
          <w:lang w:eastAsia="zh-CN"/>
        </w:rPr>
        <w:t>（</w:t>
      </w:r>
      <w:r>
        <w:rPr>
          <w:rFonts w:hint="eastAsia" w:ascii="仿宋" w:hAnsi="仿宋" w:eastAsia="仿宋" w:cs="仿宋"/>
          <w:b/>
          <w:i w:val="0"/>
          <w:caps w:val="0"/>
          <w:color w:val="auto"/>
          <w:spacing w:val="0"/>
          <w:w w:val="100"/>
          <w:sz w:val="24"/>
          <w:highlight w:val="none"/>
          <w:u w:val="single" w:color="000000"/>
          <w:lang w:val="en-US" w:eastAsia="zh-CN"/>
        </w:rPr>
        <w:t>后期邮寄的投标文件</w:t>
      </w:r>
      <w:r>
        <w:rPr>
          <w:rFonts w:hint="eastAsia" w:ascii="仿宋" w:hAnsi="仿宋" w:eastAsia="仿宋" w:cs="仿宋"/>
          <w:b/>
          <w:i w:val="0"/>
          <w:caps w:val="0"/>
          <w:color w:val="auto"/>
          <w:spacing w:val="0"/>
          <w:w w:val="100"/>
          <w:sz w:val="24"/>
          <w:highlight w:val="none"/>
          <w:u w:val="single" w:color="000000"/>
          <w:lang w:eastAsia="zh-CN"/>
        </w:rPr>
        <w:t>）</w:t>
      </w:r>
    </w:p>
    <w:p>
      <w:pPr>
        <w:pStyle w:val="4"/>
        <w:spacing w:before="0" w:after="0" w:line="400" w:lineRule="exact"/>
        <w:ind w:left="480" w:hanging="480" w:hangingChars="200"/>
        <w:rPr>
          <w:rFonts w:hint="eastAsia" w:ascii="仿宋" w:hAnsi="仿宋" w:eastAsia="仿宋" w:cs="仿宋"/>
          <w:b w:val="0"/>
          <w:bCs/>
          <w:kern w:val="2"/>
          <w:sz w:val="24"/>
          <w:szCs w:val="24"/>
          <w:highlight w:val="none"/>
          <w:u w:val="none"/>
          <w:lang w:val="en-US" w:eastAsia="zh-CN" w:bidi="ar-SA"/>
        </w:rPr>
      </w:pPr>
      <w:r>
        <w:rPr>
          <w:rFonts w:hint="eastAsia" w:ascii="仿宋" w:hAnsi="仿宋" w:eastAsia="仿宋" w:cs="仿宋"/>
          <w:b w:val="0"/>
          <w:bCs/>
          <w:kern w:val="2"/>
          <w:sz w:val="24"/>
          <w:szCs w:val="24"/>
          <w:highlight w:val="none"/>
          <w:u w:val="none"/>
          <w:lang w:val="en-US" w:eastAsia="zh-CN" w:bidi="ar-SA"/>
        </w:rPr>
        <w:t xml:space="preserve">15.1   为方便评审及进行资格审查，投标人应完整地按招标文件提供的投标文件格式及要求编写投标文件， 投标人须在投标截止时间前完成在系统上 </w:t>
      </w:r>
    </w:p>
    <w:p>
      <w:pPr>
        <w:pStyle w:val="4"/>
        <w:spacing w:before="0" w:after="0" w:line="400" w:lineRule="exact"/>
        <w:ind w:left="479" w:leftChars="228" w:firstLine="0" w:firstLineChars="0"/>
        <w:rPr>
          <w:rFonts w:hint="eastAsia" w:ascii="仿宋" w:hAnsi="仿宋" w:eastAsia="仿宋" w:cs="仿宋"/>
          <w:b w:val="0"/>
          <w:bCs/>
          <w:kern w:val="2"/>
          <w:sz w:val="24"/>
          <w:szCs w:val="24"/>
          <w:highlight w:val="none"/>
          <w:u w:val="none"/>
          <w:lang w:val="en-US" w:eastAsia="zh-CN" w:bidi="ar-SA"/>
        </w:rPr>
      </w:pPr>
      <w:r>
        <w:rPr>
          <w:rFonts w:hint="eastAsia" w:ascii="仿宋" w:hAnsi="仿宋" w:eastAsia="仿宋" w:cs="仿宋"/>
          <w:b w:val="0"/>
          <w:bCs/>
          <w:kern w:val="2"/>
          <w:sz w:val="24"/>
          <w:szCs w:val="24"/>
          <w:highlight w:val="none"/>
          <w:u w:val="none"/>
          <w:lang w:val="en-US" w:eastAsia="zh-CN" w:bidi="ar-SA"/>
        </w:rPr>
        <w:t>递交电子投标文件。投标人的电子投标文件是经过 CA 证书加密后上传提交的，任何单位或个人均无法在投标截止时间(即开标时间)之前查看或篡改，不存在泄密风险。（严格按照政采云电子投标流程制作并上传电子投标文件）。</w:t>
      </w:r>
    </w:p>
    <w:p>
      <w:pPr>
        <w:shd w:val="clea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15.2   如果供应商未按上述要求标记的，将承担相应的后果。</w:t>
      </w:r>
    </w:p>
    <w:p>
      <w:pPr>
        <w:shd w:val="clear"/>
        <w:spacing w:line="360" w:lineRule="exact"/>
        <w:outlineLvl w:val="2"/>
        <w:rPr>
          <w:rFonts w:hint="eastAsia" w:ascii="仿宋" w:hAnsi="仿宋" w:eastAsia="仿宋" w:cs="仿宋"/>
          <w:color w:val="auto"/>
          <w:sz w:val="24"/>
          <w:highlight w:val="none"/>
        </w:rPr>
      </w:pPr>
      <w:bookmarkStart w:id="151" w:name="_Toc14619"/>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w:t>
      </w:r>
      <w:bookmarkEnd w:id="151"/>
    </w:p>
    <w:p>
      <w:pPr>
        <w:shd w:val="clea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投标人应在招标文件中规定的截止时间前，将电子投标文件上传到政采云平台。 </w:t>
      </w:r>
    </w:p>
    <w:p>
      <w:pPr>
        <w:shd w:val="clea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采购人和采购代理机构有权按本须知的规定，延迟</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截止时间。在此情况下，采购人、采购代理机构和供应商受</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截止时间制约的所有权利和义务均应延长至新的截止时间。</w:t>
      </w:r>
    </w:p>
    <w:p>
      <w:pPr>
        <w:shd w:val="clea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采购人和采购代理机构将拒绝接收在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截止时间后上传的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pPr>
        <w:shd w:val="clear"/>
        <w:spacing w:line="360" w:lineRule="exact"/>
        <w:outlineLvl w:val="2"/>
        <w:rPr>
          <w:rFonts w:hint="eastAsia" w:ascii="仿宋" w:hAnsi="仿宋" w:eastAsia="仿宋" w:cs="仿宋"/>
          <w:b/>
          <w:bCs/>
          <w:color w:val="auto"/>
          <w:sz w:val="24"/>
          <w:highlight w:val="none"/>
        </w:rPr>
      </w:pPr>
      <w:bookmarkStart w:id="152" w:name="_Toc21169"/>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的接收、修改与撤回</w:t>
      </w:r>
      <w:bookmarkEnd w:id="152"/>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17.1</w:t>
      </w:r>
      <w:bookmarkStart w:id="153" w:name="_Toc7495"/>
      <w:r>
        <w:rPr>
          <w:rFonts w:hint="eastAsia" w:ascii="仿宋" w:hAnsi="仿宋" w:eastAsia="仿宋" w:cs="仿宋"/>
          <w:b w:val="0"/>
          <w:kern w:val="2"/>
          <w:sz w:val="24"/>
          <w:szCs w:val="24"/>
          <w:highlight w:val="none"/>
          <w:lang w:val="en-US" w:eastAsia="zh-CN" w:bidi="ar-SA"/>
        </w:rPr>
        <w:t>在投标文件提交截止时间前，投标人须将电子投标文件成功完整上传到政采云平台项目采购系统。时间以政采云平台项目采购系统服务器从中国科</w:t>
      </w:r>
      <w:bookmarkEnd w:id="153"/>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79" w:leftChars="228" w:firstLine="0" w:firstLineChars="0"/>
        <w:jc w:val="left"/>
        <w:rPr>
          <w:rFonts w:hint="eastAsia" w:ascii="仿宋" w:hAnsi="仿宋" w:eastAsia="仿宋" w:cs="仿宋"/>
          <w:b w:val="0"/>
          <w:kern w:val="2"/>
          <w:sz w:val="24"/>
          <w:szCs w:val="24"/>
          <w:highlight w:val="none"/>
          <w:lang w:val="en-US" w:eastAsia="zh-CN" w:bidi="ar-SA"/>
        </w:rPr>
      </w:pPr>
      <w:bookmarkStart w:id="154" w:name="_Toc19045"/>
      <w:r>
        <w:rPr>
          <w:rFonts w:hint="eastAsia" w:ascii="仿宋" w:hAnsi="仿宋" w:eastAsia="仿宋" w:cs="仿宋"/>
          <w:b w:val="0"/>
          <w:kern w:val="2"/>
          <w:sz w:val="24"/>
          <w:szCs w:val="24"/>
          <w:highlight w:val="none"/>
          <w:lang w:val="en-US" w:eastAsia="zh-CN" w:bidi="ar-SA"/>
        </w:rPr>
        <w:t>学院国家授时中心取得的北京时间为准，投标截止时间结束后，系统将不允许投标人上传投标文件，已上传投标文件但未完成传输的文件系统将拒绝接收。</w:t>
      </w:r>
      <w:bookmarkEnd w:id="154"/>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55" w:name="_Toc21274"/>
      <w:r>
        <w:rPr>
          <w:rFonts w:hint="eastAsia" w:ascii="仿宋" w:hAnsi="仿宋" w:eastAsia="仿宋" w:cs="仿宋"/>
          <w:b w:val="0"/>
          <w:kern w:val="2"/>
          <w:sz w:val="24"/>
          <w:szCs w:val="24"/>
          <w:highlight w:val="none"/>
          <w:lang w:val="en-US" w:eastAsia="zh-CN" w:bidi="ar-SA"/>
        </w:rPr>
        <w:t>17.2 代理机构对因不可抗力事件造成的投标文件的损坏、丢失的，不承担责任。</w:t>
      </w:r>
      <w:bookmarkEnd w:id="155"/>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56" w:name="_Toc19265"/>
      <w:r>
        <w:rPr>
          <w:rFonts w:hint="eastAsia" w:ascii="仿宋" w:hAnsi="仿宋" w:eastAsia="仿宋" w:cs="仿宋"/>
          <w:b w:val="0"/>
          <w:kern w:val="2"/>
          <w:sz w:val="24"/>
          <w:szCs w:val="24"/>
          <w:highlight w:val="none"/>
          <w:lang w:val="en-US" w:eastAsia="zh-CN" w:bidi="ar-SA"/>
        </w:rPr>
        <w:t>17.3 出现下述情形之一，属于未成功提交投标文件，按无效投标处理：</w:t>
      </w:r>
      <w:bookmarkEnd w:id="156"/>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57" w:name="_Toc9385"/>
      <w:r>
        <w:rPr>
          <w:rFonts w:hint="eastAsia" w:ascii="仿宋" w:hAnsi="仿宋" w:eastAsia="仿宋" w:cs="仿宋"/>
          <w:b w:val="0"/>
          <w:kern w:val="2"/>
          <w:sz w:val="24"/>
          <w:szCs w:val="24"/>
          <w:highlight w:val="none"/>
          <w:lang w:val="en-US" w:eastAsia="zh-CN" w:bidi="ar-SA"/>
        </w:rPr>
        <w:t>（1）至提交投标文件截止时间，投标文件未完整上传的。</w:t>
      </w:r>
      <w:bookmarkEnd w:id="157"/>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58" w:name="_Toc10443"/>
      <w:r>
        <w:rPr>
          <w:rFonts w:hint="eastAsia" w:ascii="仿宋" w:hAnsi="仿宋" w:eastAsia="仿宋" w:cs="仿宋"/>
          <w:b w:val="0"/>
          <w:kern w:val="2"/>
          <w:sz w:val="24"/>
          <w:szCs w:val="24"/>
          <w:highlight w:val="none"/>
          <w:lang w:val="en-US" w:eastAsia="zh-CN" w:bidi="ar-SA"/>
        </w:rPr>
        <w:t>（2）投标文件未按投标格式中注明需签字盖章的要求进行签名（含电子签名）和加盖电子印章，或签名（含电子签名）或电子印章不完整的。</w:t>
      </w:r>
      <w:bookmarkEnd w:id="158"/>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59" w:name="_Toc10631"/>
      <w:r>
        <w:rPr>
          <w:rFonts w:hint="eastAsia" w:ascii="仿宋" w:hAnsi="仿宋" w:eastAsia="仿宋" w:cs="仿宋"/>
          <w:b w:val="0"/>
          <w:kern w:val="2"/>
          <w:sz w:val="24"/>
          <w:szCs w:val="24"/>
          <w:highlight w:val="none"/>
          <w:lang w:val="en-US" w:eastAsia="zh-CN" w:bidi="ar-SA"/>
        </w:rPr>
        <w:t>（3）投标文件损坏或格式不正确的。</w:t>
      </w:r>
      <w:bookmarkEnd w:id="159"/>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60" w:name="_Toc1908"/>
      <w:r>
        <w:rPr>
          <w:rFonts w:hint="eastAsia" w:ascii="仿宋" w:hAnsi="仿宋" w:eastAsia="仿宋" w:cs="仿宋"/>
          <w:b w:val="0"/>
          <w:kern w:val="2"/>
          <w:sz w:val="24"/>
          <w:szCs w:val="24"/>
          <w:highlight w:val="none"/>
          <w:lang w:val="en-US" w:eastAsia="zh-CN" w:bidi="ar-SA"/>
        </w:rPr>
        <w:t>17.4 在提交投标文件截止时间前，投标人可以修改或撤回未解密的电子投标文件，并于提交投标文件截止时间前将修改后重新生成的电子投标文件上传</w:t>
      </w:r>
      <w:bookmarkEnd w:id="160"/>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79" w:leftChars="228" w:firstLine="0" w:firstLineChars="0"/>
        <w:jc w:val="left"/>
        <w:rPr>
          <w:rFonts w:hint="eastAsia" w:ascii="仿宋" w:hAnsi="仿宋" w:eastAsia="仿宋" w:cs="仿宋"/>
          <w:b w:val="0"/>
          <w:kern w:val="2"/>
          <w:sz w:val="24"/>
          <w:szCs w:val="24"/>
          <w:highlight w:val="none"/>
          <w:lang w:val="en-US" w:eastAsia="zh-CN" w:bidi="ar-SA"/>
        </w:rPr>
      </w:pPr>
      <w:bookmarkStart w:id="161" w:name="_Toc29013"/>
      <w:r>
        <w:rPr>
          <w:rFonts w:hint="eastAsia" w:ascii="仿宋" w:hAnsi="仿宋" w:eastAsia="仿宋" w:cs="仿宋"/>
          <w:b w:val="0"/>
          <w:kern w:val="2"/>
          <w:sz w:val="24"/>
          <w:szCs w:val="24"/>
          <w:highlight w:val="none"/>
          <w:lang w:val="en-US" w:eastAsia="zh-CN" w:bidi="ar-SA"/>
        </w:rPr>
        <w:t>至政采云平台项目采购系统，到达投标文件提交截止时间后，将不允许修改或撤回。</w:t>
      </w:r>
      <w:bookmarkEnd w:id="161"/>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62" w:name="_Toc4196"/>
      <w:r>
        <w:rPr>
          <w:rFonts w:hint="eastAsia" w:ascii="仿宋" w:hAnsi="仿宋" w:eastAsia="仿宋" w:cs="仿宋"/>
          <w:b w:val="0"/>
          <w:kern w:val="2"/>
          <w:sz w:val="24"/>
          <w:szCs w:val="24"/>
          <w:highlight w:val="none"/>
          <w:lang w:val="en-US" w:eastAsia="zh-CN" w:bidi="ar-SA"/>
        </w:rPr>
        <w:t>17.5 在提交投标文件截止时间后，投标人不得补充、修改和更换投标文件。</w:t>
      </w:r>
      <w:bookmarkEnd w:id="162"/>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163" w:name="_Toc21901"/>
      <w:r>
        <w:rPr>
          <w:rFonts w:hint="eastAsia" w:ascii="仿宋" w:hAnsi="仿宋" w:eastAsia="仿宋" w:cs="仿宋"/>
          <w:b w:val="0"/>
          <w:kern w:val="2"/>
          <w:sz w:val="24"/>
          <w:szCs w:val="24"/>
          <w:highlight w:val="none"/>
          <w:lang w:val="en-US" w:eastAsia="zh-CN" w:bidi="ar-SA"/>
        </w:rPr>
        <w:t>17.6 到达开标时间后，投标人需使用上传投标文件的同一数字证书解密，投标人须在采购代理机构规定的时间内完成投标文件解密，投标人因非系统原</w:t>
      </w:r>
      <w:bookmarkEnd w:id="163"/>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79" w:leftChars="228" w:firstLine="0" w:firstLineChars="0"/>
        <w:jc w:val="left"/>
        <w:rPr>
          <w:rFonts w:hint="eastAsia" w:ascii="仿宋" w:hAnsi="仿宋" w:eastAsia="仿宋" w:cs="仿宋"/>
          <w:sz w:val="24"/>
          <w:highlight w:val="none"/>
        </w:rPr>
      </w:pPr>
      <w:bookmarkStart w:id="164" w:name="_Toc13760"/>
      <w:r>
        <w:rPr>
          <w:rFonts w:hint="eastAsia" w:ascii="仿宋" w:hAnsi="仿宋" w:eastAsia="仿宋" w:cs="仿宋"/>
          <w:b w:val="0"/>
          <w:kern w:val="2"/>
          <w:sz w:val="24"/>
          <w:szCs w:val="24"/>
          <w:highlight w:val="none"/>
          <w:lang w:val="en-US" w:eastAsia="zh-CN" w:bidi="ar-SA"/>
        </w:rPr>
        <w:t>因导致的逾期未解密投标文件，将作无效投标处理。</w:t>
      </w:r>
      <w:bookmarkEnd w:id="164"/>
    </w:p>
    <w:p>
      <w:pPr>
        <w:pageBreakBefore w:val="0"/>
        <w:kinsoku/>
        <w:wordWrap/>
        <w:overflowPunct/>
        <w:topLinePunct w:val="0"/>
        <w:bidi w:val="0"/>
        <w:snapToGrid/>
        <w:spacing w:line="420" w:lineRule="exact"/>
        <w:ind w:left="0" w:leftChars="0"/>
        <w:textAlignment w:val="auto"/>
        <w:rPr>
          <w:rFonts w:hint="eastAsia" w:ascii="仿宋" w:hAnsi="仿宋" w:eastAsia="仿宋" w:cs="仿宋"/>
          <w:color w:val="auto"/>
          <w:szCs w:val="21"/>
          <w:highlight w:val="none"/>
        </w:rPr>
      </w:pPr>
    </w:p>
    <w:p>
      <w:pPr>
        <w:pStyle w:val="3"/>
        <w:pageBreakBefore w:val="0"/>
        <w:kinsoku/>
        <w:wordWrap/>
        <w:overflowPunct/>
        <w:topLinePunct w:val="0"/>
        <w:bidi w:val="0"/>
        <w:snapToGrid/>
        <w:spacing w:before="0" w:line="420" w:lineRule="exact"/>
        <w:ind w:left="0" w:leftChars="0" w:hanging="540"/>
        <w:textAlignment w:val="auto"/>
        <w:rPr>
          <w:rFonts w:hint="eastAsia" w:ascii="仿宋" w:hAnsi="仿宋" w:eastAsia="仿宋" w:cs="仿宋"/>
          <w:color w:val="auto"/>
          <w:sz w:val="21"/>
          <w:szCs w:val="21"/>
          <w:highlight w:val="none"/>
        </w:rPr>
      </w:pPr>
      <w:bookmarkStart w:id="165" w:name="_Toc28398"/>
      <w:bookmarkStart w:id="166" w:name="_Toc8092"/>
      <w:bookmarkStart w:id="167" w:name="_Toc12436"/>
      <w:bookmarkStart w:id="168" w:name="_Toc520356163"/>
      <w:bookmarkStart w:id="169" w:name="_Toc216582809"/>
      <w:bookmarkStart w:id="170" w:name="_Toc15421"/>
      <w:bookmarkStart w:id="171" w:name="_Toc28397"/>
      <w:bookmarkStart w:id="172" w:name="_Toc515647778"/>
      <w:r>
        <w:rPr>
          <w:rFonts w:hint="eastAsia" w:ascii="仿宋" w:hAnsi="仿宋" w:eastAsia="仿宋" w:cs="仿宋"/>
          <w:color w:val="auto"/>
          <w:sz w:val="28"/>
          <w:szCs w:val="28"/>
          <w:highlight w:val="none"/>
        </w:rPr>
        <w:t>五   开标及评标</w:t>
      </w:r>
      <w:bookmarkEnd w:id="165"/>
      <w:bookmarkEnd w:id="166"/>
      <w:bookmarkEnd w:id="167"/>
      <w:bookmarkEnd w:id="168"/>
      <w:bookmarkEnd w:id="169"/>
      <w:bookmarkEnd w:id="170"/>
      <w:bookmarkEnd w:id="171"/>
      <w:bookmarkEnd w:id="172"/>
    </w:p>
    <w:p>
      <w:pPr>
        <w:pStyle w:val="4"/>
        <w:numPr>
          <w:ilvl w:val="0"/>
          <w:numId w:val="0"/>
        </w:numPr>
        <w:shd w:val="clear" w:color="auto" w:fill="auto"/>
        <w:spacing w:before="0" w:line="360" w:lineRule="exact"/>
        <w:rPr>
          <w:rFonts w:hint="eastAsia" w:ascii="仿宋" w:hAnsi="仿宋" w:eastAsia="仿宋" w:cs="仿宋"/>
          <w:b/>
          <w:bCs/>
          <w:kern w:val="2"/>
          <w:sz w:val="24"/>
          <w:szCs w:val="24"/>
          <w:highlight w:val="none"/>
          <w:lang w:val="en-US" w:eastAsia="zh-CN" w:bidi="ar-SA"/>
        </w:rPr>
      </w:pPr>
      <w:bookmarkStart w:id="173" w:name="_Toc32409"/>
      <w:bookmarkStart w:id="174" w:name="_Toc515647779"/>
      <w:bookmarkStart w:id="175" w:name="_Toc28057"/>
      <w:bookmarkStart w:id="176" w:name="_Toc9432"/>
      <w:bookmarkStart w:id="177" w:name="_Toc7186"/>
      <w:bookmarkStart w:id="178" w:name="_Toc1738"/>
      <w:bookmarkStart w:id="179" w:name="_Toc9482"/>
      <w:bookmarkStart w:id="180" w:name="_Toc2886"/>
      <w:bookmarkStart w:id="181" w:name="_Toc520356164"/>
      <w:bookmarkStart w:id="182" w:name="_Toc24922"/>
      <w:bookmarkStart w:id="183" w:name="_Toc23772"/>
      <w:bookmarkStart w:id="184" w:name="_Toc63"/>
      <w:bookmarkStart w:id="185" w:name="_Toc21418"/>
      <w:bookmarkStart w:id="186" w:name="_Toc25345"/>
      <w:bookmarkStart w:id="187" w:name="_Toc23987"/>
      <w:bookmarkStart w:id="188" w:name="_Toc4771"/>
      <w:bookmarkStart w:id="189" w:name="_Toc11726"/>
      <w:bookmarkStart w:id="190" w:name="_Toc16864"/>
      <w:bookmarkStart w:id="191" w:name="_Toc18233"/>
      <w:bookmarkStart w:id="192" w:name="_Toc18228"/>
      <w:bookmarkStart w:id="193" w:name="_Toc10746"/>
      <w:bookmarkStart w:id="194" w:name="_Toc26266"/>
      <w:bookmarkStart w:id="195" w:name="_Toc5052"/>
      <w:bookmarkStart w:id="196" w:name="_Toc10550"/>
      <w:bookmarkStart w:id="197" w:name="_Toc28586"/>
      <w:bookmarkStart w:id="198" w:name="_Toc22792"/>
      <w:bookmarkStart w:id="199" w:name="_Toc22770"/>
      <w:bookmarkStart w:id="200" w:name="_Toc21667"/>
      <w:bookmarkStart w:id="201" w:name="_Toc4063"/>
      <w:bookmarkStart w:id="202" w:name="_Toc2316"/>
      <w:bookmarkStart w:id="203" w:name="_Toc3080"/>
      <w:bookmarkStart w:id="204" w:name="_Toc515647780"/>
      <w:bookmarkStart w:id="205" w:name="_Toc520356165"/>
      <w:bookmarkStart w:id="206" w:name="_Toc1381"/>
      <w:bookmarkStart w:id="207" w:name="_Toc14136"/>
      <w:bookmarkStart w:id="208" w:name="_Toc19296"/>
      <w:bookmarkStart w:id="209" w:name="_Toc21372"/>
      <w:bookmarkStart w:id="210" w:name="_Toc22596"/>
      <w:r>
        <w:rPr>
          <w:rFonts w:hint="eastAsia" w:ascii="仿宋" w:hAnsi="仿宋" w:eastAsia="仿宋" w:cs="仿宋"/>
          <w:color w:val="auto"/>
          <w:highlight w:val="none"/>
          <w:u w:val="none"/>
          <w:lang w:val="en-US" w:eastAsia="zh-CN"/>
        </w:rPr>
        <w:t>18.</w:t>
      </w:r>
      <w:r>
        <w:rPr>
          <w:rFonts w:hint="eastAsia" w:ascii="仿宋" w:hAnsi="仿宋" w:eastAsia="仿宋" w:cs="仿宋"/>
          <w:color w:val="auto"/>
          <w:highlight w:val="none"/>
          <w:u w:val="none"/>
        </w:rPr>
        <w:t>开标</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211" w:name="_Toc3024"/>
      <w:r>
        <w:rPr>
          <w:rFonts w:hint="eastAsia" w:ascii="仿宋" w:hAnsi="仿宋" w:eastAsia="仿宋" w:cs="仿宋"/>
          <w:b w:val="0"/>
          <w:kern w:val="2"/>
          <w:sz w:val="24"/>
          <w:szCs w:val="24"/>
          <w:highlight w:val="none"/>
          <w:lang w:val="en-US" w:eastAsia="zh-CN" w:bidi="ar-SA"/>
        </w:rPr>
        <w:t>18.1 采购人和采购代理机构将按投标人须知资料表中规定的开标时间组织公开开标并邀请所有投标人代表参加。投标人不足3家的，不得开标。</w:t>
      </w:r>
      <w:bookmarkEnd w:id="211"/>
      <w:r>
        <w:rPr>
          <w:rFonts w:hint="eastAsia" w:ascii="仿宋" w:hAnsi="仿宋" w:eastAsia="仿宋" w:cs="仿宋"/>
          <w:b w:val="0"/>
          <w:kern w:val="2"/>
          <w:sz w:val="24"/>
          <w:szCs w:val="24"/>
          <w:highlight w:val="none"/>
          <w:lang w:val="en-US" w:eastAsia="zh-CN" w:bidi="ar-SA"/>
        </w:rPr>
        <w:t xml:space="preserve"> </w:t>
      </w:r>
    </w:p>
    <w:p>
      <w:pPr>
        <w:pStyle w:val="3"/>
        <w:spacing w:before="0" w:line="400" w:lineRule="exact"/>
        <w:ind w:left="480" w:hanging="480" w:hangingChars="200"/>
        <w:jc w:val="left"/>
        <w:rPr>
          <w:rFonts w:hint="eastAsia" w:ascii="仿宋" w:hAnsi="仿宋" w:eastAsia="仿宋" w:cs="仿宋"/>
          <w:b w:val="0"/>
          <w:kern w:val="2"/>
          <w:sz w:val="24"/>
          <w:szCs w:val="24"/>
          <w:highlight w:val="none"/>
          <w:lang w:val="en-US" w:eastAsia="zh-CN" w:bidi="ar-SA"/>
        </w:rPr>
      </w:pPr>
      <w:bookmarkStart w:id="212" w:name="_Toc7471"/>
      <w:r>
        <w:rPr>
          <w:rFonts w:hint="eastAsia" w:ascii="仿宋" w:hAnsi="仿宋" w:eastAsia="仿宋" w:cs="仿宋"/>
          <w:b w:val="0"/>
          <w:kern w:val="2"/>
          <w:sz w:val="24"/>
          <w:szCs w:val="24"/>
          <w:highlight w:val="none"/>
          <w:lang w:val="en-US" w:eastAsia="zh-CN" w:bidi="ar-SA"/>
        </w:rPr>
        <w:t>18.2 投标人应当按照本采购文件载明的时间和模式等要求参加开标。开标时投标人应当使用上传本项目（采购包）电子响应文件时加密所用数字证书在开始解密后按照代理机构规定的时间内完成电子响应文件的解密，如遇不可抗力等其他特殊情况，采购代理机构可视情况延长解密时间。投标人未携带数字证书或其他非系统原因导致的在规定时间内未解密响应文件，将作无效投标处理。（采用不见面电子开标，各投标人在参加开标以前须自行对使用电脑的网络环境、驱动安装、客户端安装以及数字证书的有效性等进行检测，确保可以正常使用）。</w:t>
      </w:r>
      <w:bookmarkEnd w:id="212"/>
      <w:r>
        <w:rPr>
          <w:rFonts w:hint="eastAsia" w:ascii="仿宋" w:hAnsi="仿宋" w:eastAsia="仿宋" w:cs="仿宋"/>
          <w:b w:val="0"/>
          <w:kern w:val="2"/>
          <w:sz w:val="24"/>
          <w:szCs w:val="24"/>
          <w:highlight w:val="none"/>
          <w:lang w:val="en-US" w:eastAsia="zh-CN" w:bidi="ar-SA"/>
        </w:rPr>
        <w:t xml:space="preserve"> </w:t>
      </w:r>
    </w:p>
    <w:p>
      <w:pPr>
        <w:keepNext w:val="0"/>
        <w:keepLines w:val="0"/>
        <w:pageBreakBefore w:val="0"/>
        <w:widowControl w:val="0"/>
        <w:shd w:val="clear" w:color="auto" w:fill="auto"/>
        <w:kinsoku/>
        <w:wordWrap/>
        <w:overflowPunct/>
        <w:topLinePunct w:val="0"/>
        <w:bidi w:val="0"/>
        <w:snapToGrid/>
        <w:spacing w:line="387" w:lineRule="exact"/>
        <w:ind w:left="960" w:hanging="960" w:hanging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18.3   </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val="en-US" w:eastAsia="zh-CN"/>
        </w:rPr>
        <w:t>在规定时间内度投标文件进行</w:t>
      </w:r>
      <w:r>
        <w:rPr>
          <w:rFonts w:hint="eastAsia" w:ascii="仿宋" w:hAnsi="仿宋" w:eastAsia="仿宋" w:cs="仿宋"/>
          <w:b/>
          <w:bCs/>
          <w:color w:val="auto"/>
          <w:sz w:val="24"/>
          <w:highlight w:val="none"/>
          <w:lang w:val="en-US" w:eastAsia="zh-CN"/>
        </w:rPr>
        <w:t>解密，时长为30分钟</w:t>
      </w:r>
      <w:r>
        <w:rPr>
          <w:rFonts w:hint="eastAsia" w:ascii="仿宋" w:hAnsi="仿宋" w:eastAsia="仿宋" w:cs="仿宋"/>
          <w:color w:val="auto"/>
          <w:sz w:val="24"/>
          <w:highlight w:val="none"/>
          <w:lang w:val="en-US" w:eastAsia="zh-CN"/>
        </w:rPr>
        <w:t>。</w:t>
      </w:r>
    </w:p>
    <w:p>
      <w:pPr>
        <w:keepNext w:val="0"/>
        <w:keepLines w:val="0"/>
        <w:pageBreakBefore w:val="0"/>
        <w:widowControl w:val="0"/>
        <w:shd w:val="clear" w:color="auto" w:fill="auto"/>
        <w:kinsoku/>
        <w:wordWrap/>
        <w:overflowPunct/>
        <w:topLinePunct w:val="0"/>
        <w:bidi w:val="0"/>
        <w:snapToGrid/>
        <w:spacing w:line="387" w:lineRule="exact"/>
        <w:ind w:left="960" w:hanging="960" w:hangingChars="4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18.4   由</w:t>
      </w: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val="en-US" w:eastAsia="zh-CN"/>
        </w:rPr>
        <w:t>开启开标记录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在政采云平台对报价进行签字确认。</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2"/>
        <w:rPr>
          <w:rFonts w:hint="eastAsia" w:ascii="仿宋" w:hAnsi="仿宋" w:eastAsia="仿宋" w:cs="仿宋"/>
          <w:color w:val="auto"/>
          <w:sz w:val="24"/>
          <w:highlight w:val="none"/>
          <w:lang w:eastAsia="zh-CN"/>
        </w:rPr>
      </w:pPr>
      <w:bookmarkStart w:id="213" w:name="_Toc6159"/>
      <w:r>
        <w:rPr>
          <w:rFonts w:hint="eastAsia" w:ascii="仿宋" w:hAnsi="仿宋" w:eastAsia="仿宋" w:cs="仿宋"/>
          <w:color w:val="auto"/>
          <w:sz w:val="24"/>
          <w:highlight w:val="none"/>
          <w:lang w:eastAsia="zh-CN"/>
        </w:rPr>
        <w:t>19.资格审查及组建评标委员会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13"/>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19.1</w:t>
      </w:r>
      <w:r>
        <w:rPr>
          <w:rFonts w:hint="eastAsia" w:ascii="仿宋" w:hAnsi="仿宋" w:eastAsia="仿宋" w:cs="仿宋"/>
          <w:color w:val="auto"/>
          <w:sz w:val="24"/>
          <w:highlight w:val="none"/>
          <w:lang w:eastAsia="zh-CN"/>
        </w:rPr>
        <w:t xml:space="preserve"> 采购人或采购代理机构依据法律法规和招标文件中规定的内容，对供应商及其服务的资格进行审查，本项目审查内容如下：</w:t>
      </w:r>
    </w:p>
    <w:p>
      <w:pPr>
        <w:ind w:firstLine="241" w:firstLineChars="100"/>
        <w:rPr>
          <w:rFonts w:hint="eastAsia" w:ascii="仿宋" w:hAnsi="仿宋" w:eastAsia="仿宋" w:cs="仿宋"/>
          <w:highlight w:val="none"/>
          <w:lang w:eastAsia="zh-CN"/>
        </w:rPr>
      </w:pPr>
      <w:r>
        <w:rPr>
          <w:rFonts w:hint="eastAsia" w:ascii="仿宋" w:hAnsi="仿宋" w:eastAsia="仿宋" w:cs="仿宋"/>
          <w:b/>
          <w:bCs/>
          <w:kern w:val="2"/>
          <w:sz w:val="24"/>
          <w:szCs w:val="24"/>
          <w:highlight w:val="none"/>
          <w:lang w:val="en-US" w:eastAsia="zh-CN" w:bidi="ar-SA"/>
        </w:rPr>
        <w:t>满足《中华人民共和国政府采购法》第二十二条规定；</w:t>
      </w:r>
    </w:p>
    <w:bookmarkEnd w:id="204"/>
    <w:bookmarkEnd w:id="205"/>
    <w:bookmarkEnd w:id="206"/>
    <w:bookmarkEnd w:id="207"/>
    <w:bookmarkEnd w:id="208"/>
    <w:bookmarkEnd w:id="209"/>
    <w:bookmarkEnd w:id="210"/>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1.具有相应经营范围的企业营业执照、《银行开户许可证》或《基本存款账户信息》；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2.法人本人投标需提供法人身份证及法定代表人资格证明书；授权委托人投标需提供法人授权委托书、法人身份证复印件及被授权委托人身份证；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3..具有良好的商业信誉和健全的财务会计制度，提供2022年度经审计的财务报告；（2022年10月份后成立的公司提供近三个月任意一个月的银行资信证明）；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4.投标企业在项目进行期内提供本单位缴纳的近三个月任意一个月的社保缴纳证明、具有税务局开具依法缴纳近三个月任意一个月的完税证明；</w:t>
      </w:r>
    </w:p>
    <w:p>
      <w:pPr>
        <w:pStyle w:val="17"/>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5.有效期内的《餐饮服务许可证》或《食品经营许可证》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7.提供针对本次项目《反商业贿赂承诺书》；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8.参加政府采购活动前三年内在经营活动中没有重大违法记录的书面声明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9.投标人可提供有利于投标的其他资格证明材料。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10.缴纳投标保证的有效凭证。</w:t>
      </w:r>
    </w:p>
    <w:p>
      <w:pPr>
        <w:spacing w:line="360" w:lineRule="exact"/>
        <w:ind w:firstLine="482" w:firstLineChars="200"/>
        <w:rPr>
          <w:rFonts w:hint="eastAsia" w:ascii="仿宋" w:hAnsi="仿宋" w:eastAsia="仿宋" w:cs="仿宋"/>
          <w:sz w:val="24"/>
        </w:rPr>
      </w:pPr>
      <w:r>
        <w:rPr>
          <w:rFonts w:hint="eastAsia" w:ascii="仿宋" w:hAnsi="仿宋" w:eastAsia="仿宋" w:cs="仿宋"/>
          <w:b/>
          <w:bCs/>
          <w:sz w:val="24"/>
        </w:rPr>
        <w:t>未通过资格审查的供应商不进入评标；通过资格审查的供应商少于不足三家的，不得评标。</w:t>
      </w:r>
    </w:p>
    <w:p>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采购人或采购代理机构将在开标前1个工作日至投标截止后1小时的期间内查询</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的信用记录。</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19.2.1 不良信用记录指：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r>
        <w:rPr>
          <w:rFonts w:hint="eastAsia" w:ascii="仿宋" w:hAnsi="仿宋" w:eastAsia="仿宋" w:cs="仿宋"/>
          <w:color w:val="auto"/>
          <w:sz w:val="24"/>
          <w:highlight w:val="none"/>
        </w:rPr>
        <w:t>。</w:t>
      </w:r>
    </w:p>
    <w:p>
      <w:pPr>
        <w:pageBreakBefore w:val="0"/>
        <w:widowControl w:val="0"/>
        <w:kinsoku/>
        <w:wordWrap/>
        <w:overflowPunct/>
        <w:topLinePunct w:val="0"/>
        <w:bidi w:val="0"/>
        <w:spacing w:line="360" w:lineRule="exact"/>
        <w:ind w:left="958" w:leftChars="456" w:firstLine="60" w:firstLineChars="2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5"/>
        <w:pageBreakBefore w:val="0"/>
        <w:widowControl w:val="0"/>
        <w:kinsoku/>
        <w:wordWrap/>
        <w:overflowPunct/>
        <w:topLinePunct w:val="0"/>
        <w:bidi w:val="0"/>
        <w:spacing w:line="360" w:lineRule="exact"/>
        <w:ind w:left="849" w:leftChars="0" w:hanging="849" w:hangingChars="354"/>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19.2.2 查询及记录方式：采购人或采购代理机构经办人将查询网页打印、签字并存档备查。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不良信用记录以采购人或采购代理机构查询结果为准。</w:t>
      </w:r>
    </w:p>
    <w:p>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 xml:space="preserve">19.3 </w:t>
      </w:r>
      <w:bookmarkStart w:id="214" w:name="_Toc520356166"/>
      <w:r>
        <w:rPr>
          <w:rFonts w:hint="eastAsia" w:ascii="仿宋" w:hAnsi="仿宋" w:eastAsia="仿宋" w:cs="仿宋"/>
          <w:color w:val="auto"/>
          <w:sz w:val="24"/>
          <w:highlight w:val="none"/>
        </w:rPr>
        <w:t>按照《中华人民共和国政府采购法》、《中华人民共和国政府采购法实施条例》</w:t>
      </w:r>
      <w:r>
        <w:rPr>
          <w:rFonts w:hint="eastAsia" w:ascii="仿宋" w:hAnsi="仿宋" w:eastAsia="仿宋" w:cs="仿宋"/>
          <w:color w:val="auto"/>
          <w:sz w:val="24"/>
          <w:highlight w:val="none"/>
          <w:lang w:eastAsia="zh-CN"/>
        </w:rPr>
        <w:t>、《政府采购货物和服务招标投标管理办法》财政部令第87号</w:t>
      </w:r>
      <w:r>
        <w:rPr>
          <w:rFonts w:hint="eastAsia" w:ascii="仿宋" w:hAnsi="仿宋" w:eastAsia="仿宋" w:cs="仿宋"/>
          <w:color w:val="auto"/>
          <w:sz w:val="24"/>
          <w:highlight w:val="none"/>
        </w:rPr>
        <w:t>及本项目本级和上级财政部门的有关规定依法</w:t>
      </w:r>
      <w:r>
        <w:rPr>
          <w:rFonts w:hint="eastAsia" w:ascii="仿宋" w:hAnsi="仿宋" w:eastAsia="仿宋" w:cs="仿宋"/>
          <w:color w:val="auto"/>
          <w:sz w:val="24"/>
          <w:highlight w:val="none"/>
          <w:lang w:eastAsia="zh-CN"/>
        </w:rPr>
        <w:t>在</w:t>
      </w:r>
      <w:r>
        <w:rPr>
          <w:rFonts w:hint="eastAsia" w:ascii="仿宋" w:hAnsi="仿宋" w:eastAsia="仿宋" w:cs="仿宋"/>
          <w:b/>
          <w:bCs/>
          <w:color w:val="auto"/>
          <w:sz w:val="24"/>
          <w:highlight w:val="none"/>
          <w:lang w:eastAsia="zh-CN"/>
        </w:rPr>
        <w:t>政采云平台上随机抽取</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名</w:t>
      </w:r>
      <w:r>
        <w:rPr>
          <w:rFonts w:hint="eastAsia" w:ascii="仿宋" w:hAnsi="仿宋" w:eastAsia="仿宋" w:cs="仿宋"/>
          <w:b/>
          <w:bCs/>
          <w:color w:val="auto"/>
          <w:sz w:val="24"/>
          <w:highlight w:val="none"/>
          <w:lang w:eastAsia="zh-CN"/>
        </w:rPr>
        <w:t>专家</w:t>
      </w:r>
      <w:r>
        <w:rPr>
          <w:rFonts w:hint="eastAsia" w:ascii="仿宋" w:hAnsi="仿宋" w:eastAsia="仿宋" w:cs="仿宋"/>
          <w:b/>
          <w:bCs/>
          <w:color w:val="auto"/>
          <w:sz w:val="24"/>
          <w:highlight w:val="none"/>
        </w:rPr>
        <w:t>，共计</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名评标委员会成员</w:t>
      </w:r>
      <w:r>
        <w:rPr>
          <w:rFonts w:hint="eastAsia" w:ascii="仿宋" w:hAnsi="仿宋" w:eastAsia="仿宋" w:cs="仿宋"/>
          <w:color w:val="auto"/>
          <w:sz w:val="24"/>
          <w:highlight w:val="none"/>
        </w:rPr>
        <w:t>负责评标工作。</w:t>
      </w:r>
    </w:p>
    <w:p>
      <w:pPr>
        <w:pStyle w:val="4"/>
        <w:spacing w:before="0" w:after="0" w:line="400" w:lineRule="exact"/>
        <w:rPr>
          <w:rFonts w:hint="eastAsia" w:ascii="仿宋" w:hAnsi="仿宋" w:eastAsia="仿宋" w:cs="仿宋"/>
          <w:b w:val="0"/>
          <w:bCs/>
          <w:color w:val="auto"/>
          <w:szCs w:val="24"/>
          <w:highlight w:val="none"/>
          <w:bdr w:val="single" w:color="auto" w:sz="4" w:space="0"/>
        </w:rPr>
      </w:pPr>
      <w:bookmarkStart w:id="215" w:name="_Toc20758"/>
      <w:bookmarkStart w:id="216" w:name="_Toc28479"/>
      <w:bookmarkStart w:id="217" w:name="_Toc515647781"/>
      <w:bookmarkStart w:id="218" w:name="_Toc19916"/>
      <w:bookmarkStart w:id="219" w:name="_Toc25607"/>
      <w:bookmarkStart w:id="220" w:name="_Toc19949"/>
      <w:r>
        <w:rPr>
          <w:rFonts w:hint="eastAsia" w:ascii="仿宋" w:hAnsi="仿宋" w:eastAsia="仿宋" w:cs="仿宋"/>
          <w:color w:val="auto"/>
          <w:szCs w:val="24"/>
          <w:highlight w:val="none"/>
          <w:u w:val="none"/>
        </w:rPr>
        <w:t>20.投标文件</w:t>
      </w:r>
      <w:bookmarkEnd w:id="214"/>
      <w:r>
        <w:rPr>
          <w:rFonts w:hint="eastAsia" w:ascii="仿宋" w:hAnsi="仿宋" w:eastAsia="仿宋" w:cs="仿宋"/>
          <w:color w:val="auto"/>
          <w:szCs w:val="24"/>
          <w:highlight w:val="none"/>
          <w:u w:val="none"/>
        </w:rPr>
        <w:t>符合性审查与澄清</w:t>
      </w:r>
      <w:bookmarkEnd w:id="215"/>
      <w:bookmarkEnd w:id="216"/>
      <w:bookmarkEnd w:id="217"/>
      <w:bookmarkEnd w:id="218"/>
      <w:bookmarkEnd w:id="219"/>
      <w:bookmarkEnd w:id="220"/>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符合性审查是指依据招标文件的规定，从投标文件的有效性和完整性对招标文件的响应程度进行审查，以确定是否对招标文件的实质性要求做出响应。</w:t>
      </w:r>
      <w:bookmarkStart w:id="221" w:name="_Hlt522424701"/>
      <w:bookmarkEnd w:id="221"/>
      <w:bookmarkStart w:id="222" w:name="_Toc520356167"/>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投标文件的澄清</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的报价明显低于其他通过符合性检查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的报价，有可能影响履约的情况作必要的澄清、说明或补正。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的澄清、说明或补正应在评标委员会规定的时间内以书面方式进行，并不得超出投标文件范围或者改变投标文件的实质性内容。</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20.2.2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的澄清、说明或补正将作为投标文件的一部分。</w:t>
      </w:r>
    </w:p>
    <w:p>
      <w:pPr>
        <w:spacing w:line="400" w:lineRule="exact"/>
        <w:ind w:left="900" w:hanging="900" w:hangingChars="375"/>
        <w:rPr>
          <w:rFonts w:hint="eastAsia" w:ascii="仿宋" w:hAnsi="仿宋" w:eastAsia="仿宋" w:cs="仿宋"/>
          <w:b/>
          <w:bCs/>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b/>
          <w:bCs/>
          <w:sz w:val="24"/>
          <w:highlight w:val="none"/>
          <w:lang w:eastAsia="zh-CN"/>
        </w:rPr>
        <w:t>投标</w:t>
      </w:r>
      <w:r>
        <w:rPr>
          <w:rFonts w:hint="eastAsia" w:ascii="仿宋" w:hAnsi="仿宋" w:eastAsia="仿宋" w:cs="仿宋"/>
          <w:b/>
          <w:bCs/>
          <w:sz w:val="24"/>
          <w:highlight w:val="none"/>
        </w:rPr>
        <w:t>文件报价出现前后不一致的，按照下列规定修正：</w:t>
      </w:r>
    </w:p>
    <w:p>
      <w:pPr>
        <w:spacing w:line="400" w:lineRule="exact"/>
        <w:ind w:left="1020" w:hanging="1024" w:hangingChars="425"/>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　　   （一）响应文件中开启报价一览表（报价表）内容与响应文件中相应内容不一致的，以报价一览表（报价表）为准</w:t>
      </w:r>
      <w:r>
        <w:rPr>
          <w:rFonts w:hint="eastAsia" w:ascii="仿宋" w:hAnsi="仿宋" w:eastAsia="仿宋" w:cs="仿宋"/>
          <w:b/>
          <w:bCs/>
          <w:sz w:val="24"/>
          <w:highlight w:val="none"/>
          <w:lang w:val="en-US" w:eastAsia="zh-CN"/>
        </w:rPr>
        <w:t>,响应文件中开标报价一览表报价与电子开标报价不一致的以解密后的电子开标报价为准；</w:t>
      </w:r>
    </w:p>
    <w:p>
      <w:pPr>
        <w:spacing w:line="400" w:lineRule="exact"/>
        <w:ind w:left="900" w:hanging="904" w:hangingChars="375"/>
        <w:rPr>
          <w:rFonts w:hint="eastAsia" w:ascii="仿宋" w:hAnsi="仿宋" w:eastAsia="仿宋" w:cs="仿宋"/>
          <w:b/>
          <w:bCs/>
          <w:sz w:val="24"/>
          <w:highlight w:val="none"/>
        </w:rPr>
      </w:pPr>
      <w:r>
        <w:rPr>
          <w:rFonts w:hint="eastAsia" w:ascii="仿宋" w:hAnsi="仿宋" w:eastAsia="仿宋" w:cs="仿宋"/>
          <w:b/>
          <w:bCs/>
          <w:sz w:val="24"/>
          <w:highlight w:val="none"/>
        </w:rPr>
        <w:t>　　   （二）大写金额和小写金额不一致的，以大写金额为准；</w:t>
      </w:r>
    </w:p>
    <w:p>
      <w:pPr>
        <w:spacing w:line="400" w:lineRule="exact"/>
        <w:ind w:left="1020" w:hanging="1024" w:hangingChars="425"/>
        <w:rPr>
          <w:rFonts w:hint="eastAsia" w:ascii="仿宋" w:hAnsi="仿宋" w:eastAsia="仿宋" w:cs="仿宋"/>
          <w:b/>
          <w:bCs/>
          <w:sz w:val="24"/>
          <w:highlight w:val="none"/>
        </w:rPr>
      </w:pPr>
      <w:r>
        <w:rPr>
          <w:rFonts w:hint="eastAsia" w:ascii="仿宋" w:hAnsi="仿宋" w:eastAsia="仿宋" w:cs="仿宋"/>
          <w:b/>
          <w:bCs/>
          <w:sz w:val="24"/>
          <w:highlight w:val="none"/>
        </w:rPr>
        <w:t>　   　（三）单价金额小数点或者百分比有明显错位的，以开启报价一览表的总价为准，并修改单价；</w:t>
      </w:r>
    </w:p>
    <w:p>
      <w:pPr>
        <w:spacing w:line="400" w:lineRule="exact"/>
        <w:ind w:left="900" w:hanging="904" w:hangingChars="375"/>
        <w:rPr>
          <w:rFonts w:hint="eastAsia" w:ascii="仿宋" w:hAnsi="仿宋" w:eastAsia="仿宋" w:cs="仿宋"/>
          <w:b/>
          <w:bCs/>
          <w:sz w:val="24"/>
          <w:highlight w:val="none"/>
        </w:rPr>
      </w:pPr>
      <w:r>
        <w:rPr>
          <w:rFonts w:hint="eastAsia" w:ascii="仿宋" w:hAnsi="仿宋" w:eastAsia="仿宋" w:cs="仿宋"/>
          <w:b/>
          <w:bCs/>
          <w:sz w:val="24"/>
          <w:highlight w:val="none"/>
        </w:rPr>
        <w:t>　   　（四）总价金额与按单价汇总金额不一致的，以单价金额计算结果为准。</w:t>
      </w:r>
    </w:p>
    <w:p>
      <w:pPr>
        <w:spacing w:line="400" w:lineRule="exact"/>
        <w:ind w:left="900" w:hanging="904" w:hangingChars="375"/>
        <w:rPr>
          <w:rFonts w:hint="eastAsia" w:ascii="仿宋" w:hAnsi="仿宋" w:eastAsia="仿宋" w:cs="仿宋"/>
          <w:b/>
          <w:bCs/>
          <w:sz w:val="24"/>
          <w:highlight w:val="none"/>
        </w:rPr>
      </w:pPr>
      <w:r>
        <w:rPr>
          <w:rFonts w:hint="eastAsia" w:ascii="仿宋" w:hAnsi="仿宋" w:eastAsia="仿宋" w:cs="仿宋"/>
          <w:b/>
          <w:bCs/>
          <w:sz w:val="24"/>
          <w:highlight w:val="none"/>
        </w:rPr>
        <w:t>　　    同时出现两种以上不一致的，按照前款规定的顺序修正。修正后的报价按照第20.2条的规定经供应商确认后产生约束力，供应商不确认的，将被认定为无效。</w:t>
      </w:r>
    </w:p>
    <w:p>
      <w:pPr>
        <w:spacing w:line="40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b/>
          <w:bCs/>
          <w:sz w:val="24"/>
          <w:highlight w:val="none"/>
        </w:rPr>
        <w:t>对不同文字文本响应文件的解释发生异议的，以中文文本为准。</w:t>
      </w:r>
    </w:p>
    <w:p>
      <w:pPr>
        <w:pageBreakBefore w:val="0"/>
        <w:widowControl w:val="0"/>
        <w:kinsoku/>
        <w:wordWrap/>
        <w:overflowPunct/>
        <w:topLinePunct w:val="0"/>
        <w:bidi w:val="0"/>
        <w:snapToGrid/>
        <w:spacing w:line="44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所投产品为同一品牌的，按如下方式处理：</w:t>
      </w:r>
    </w:p>
    <w:p>
      <w:pPr>
        <w:pageBreakBefore w:val="0"/>
        <w:widowControl w:val="0"/>
        <w:kinsoku/>
        <w:wordWrap/>
        <w:overflowPunct/>
        <w:topLinePunct w:val="0"/>
        <w:bidi w:val="0"/>
        <w:snapToGrid/>
        <w:spacing w:line="440" w:lineRule="exact"/>
        <w:ind w:left="420" w:leftChars="0" w:hanging="420" w:hangingChars="1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如本项目使用综合评分法，提供相同品牌产品且通过资格审查、符合性审查的不同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，按一家</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计算，评审后得分最高的同品牌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获得中标人推荐资格；未规定的采取随机抽取方式确定，其他同品牌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不作为中标候选人。</w:t>
      </w:r>
    </w:p>
    <w:p>
      <w:pPr>
        <w:pageBreakBefore w:val="0"/>
        <w:widowControl w:val="0"/>
        <w:kinsoku/>
        <w:wordWrap/>
        <w:overflowPunct/>
        <w:topLinePunct w:val="0"/>
        <w:bidi w:val="0"/>
        <w:snapToGrid/>
        <w:spacing w:line="44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20.5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pPr>
        <w:pageBreakBefore w:val="0"/>
        <w:widowControl w:val="0"/>
        <w:kinsoku/>
        <w:wordWrap/>
        <w:overflowPunct/>
        <w:topLinePunct w:val="0"/>
        <w:bidi w:val="0"/>
        <w:snapToGrid/>
        <w:spacing w:line="44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如采购人所采购产品为政府强制采购的节能产品，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所投产品的品牌及型号必须为清单中有效期内产品并提供证明文件，否则其投标将被认定为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pPr>
        <w:pStyle w:val="4"/>
        <w:pageBreakBefore w:val="0"/>
        <w:widowControl w:val="0"/>
        <w:kinsoku/>
        <w:wordWrap/>
        <w:overflowPunct/>
        <w:topLinePunct w:val="0"/>
        <w:bidi w:val="0"/>
        <w:snapToGrid/>
        <w:spacing w:before="0" w:after="0" w:line="440" w:lineRule="exact"/>
        <w:ind w:left="0" w:leftChars="0"/>
        <w:textAlignment w:val="auto"/>
        <w:rPr>
          <w:rFonts w:hint="eastAsia" w:ascii="仿宋" w:hAnsi="仿宋" w:eastAsia="仿宋" w:cs="仿宋"/>
          <w:color w:val="auto"/>
          <w:szCs w:val="24"/>
          <w:highlight w:val="none"/>
          <w:u w:val="none"/>
        </w:rPr>
      </w:pPr>
      <w:bookmarkStart w:id="223" w:name="_Toc6364"/>
      <w:bookmarkStart w:id="224" w:name="_Toc16744"/>
      <w:bookmarkStart w:id="225" w:name="_Toc28888"/>
      <w:bookmarkStart w:id="226" w:name="_Toc9469"/>
      <w:bookmarkStart w:id="227" w:name="_Toc515647782"/>
      <w:bookmarkStart w:id="228" w:name="_Toc30543"/>
      <w:r>
        <w:rPr>
          <w:rFonts w:hint="eastAsia" w:ascii="仿宋" w:hAnsi="仿宋" w:eastAsia="仿宋" w:cs="仿宋"/>
          <w:color w:val="auto"/>
          <w:szCs w:val="24"/>
          <w:highlight w:val="none"/>
          <w:u w:val="none"/>
        </w:rPr>
        <w:t>21.投标偏离</w:t>
      </w:r>
      <w:bookmarkEnd w:id="223"/>
      <w:bookmarkEnd w:id="224"/>
      <w:bookmarkEnd w:id="225"/>
      <w:bookmarkEnd w:id="226"/>
      <w:bookmarkEnd w:id="227"/>
      <w:bookmarkEnd w:id="228"/>
    </w:p>
    <w:p>
      <w:pPr>
        <w:pageBreakBefore w:val="0"/>
        <w:widowControl w:val="0"/>
        <w:kinsoku/>
        <w:wordWrap/>
        <w:overflowPunct/>
        <w:topLinePunct w:val="0"/>
        <w:bidi w:val="0"/>
        <w:snapToGrid/>
        <w:spacing w:line="440" w:lineRule="exact"/>
        <w:ind w:left="640" w:leftChars="0" w:hanging="640" w:hanging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评标委员会可以接受投标文件中不构成实质性偏离的不正规或不一致。</w:t>
      </w:r>
      <w:bookmarkStart w:id="229" w:name="_Toc515647783"/>
      <w:bookmarkStart w:id="230" w:name="_Toc6092"/>
      <w:bookmarkStart w:id="231" w:name="_Toc4950"/>
    </w:p>
    <w:p>
      <w:pPr>
        <w:pStyle w:val="4"/>
        <w:pageBreakBefore w:val="0"/>
        <w:widowControl w:val="0"/>
        <w:kinsoku/>
        <w:wordWrap/>
        <w:overflowPunct/>
        <w:topLinePunct w:val="0"/>
        <w:bidi w:val="0"/>
        <w:snapToGrid/>
        <w:spacing w:before="0" w:after="0" w:line="440" w:lineRule="exact"/>
        <w:ind w:left="0" w:leftChars="0"/>
        <w:textAlignment w:val="auto"/>
        <w:rPr>
          <w:rFonts w:hint="eastAsia" w:ascii="仿宋" w:hAnsi="仿宋" w:eastAsia="仿宋" w:cs="仿宋"/>
          <w:color w:val="auto"/>
          <w:szCs w:val="24"/>
          <w:highlight w:val="none"/>
          <w:u w:val="none"/>
        </w:rPr>
      </w:pPr>
      <w:bookmarkStart w:id="232" w:name="_Toc15024"/>
      <w:bookmarkStart w:id="233" w:name="_Toc20254"/>
      <w:bookmarkStart w:id="234" w:name="_Toc28902"/>
      <w:r>
        <w:rPr>
          <w:rFonts w:hint="eastAsia" w:ascii="仿宋" w:hAnsi="仿宋" w:eastAsia="仿宋" w:cs="仿宋"/>
          <w:color w:val="auto"/>
          <w:szCs w:val="24"/>
          <w:highlight w:val="none"/>
          <w:u w:val="none"/>
        </w:rPr>
        <w:t>22.投标</w:t>
      </w:r>
      <w:bookmarkEnd w:id="229"/>
      <w:r>
        <w:rPr>
          <w:rFonts w:hint="eastAsia" w:ascii="仿宋" w:hAnsi="仿宋" w:eastAsia="仿宋" w:cs="仿宋"/>
          <w:color w:val="auto"/>
          <w:szCs w:val="24"/>
          <w:highlight w:val="none"/>
          <w:u w:val="none"/>
        </w:rPr>
        <w:t>无效</w:t>
      </w:r>
      <w:bookmarkEnd w:id="230"/>
      <w:bookmarkEnd w:id="231"/>
      <w:bookmarkEnd w:id="232"/>
      <w:bookmarkEnd w:id="233"/>
      <w:bookmarkEnd w:id="234"/>
    </w:p>
    <w:p>
      <w:pPr>
        <w:pageBreakBefore w:val="0"/>
        <w:widowControl w:val="0"/>
        <w:kinsoku/>
        <w:wordWrap/>
        <w:overflowPunct/>
        <w:topLinePunct w:val="0"/>
        <w:bidi w:val="0"/>
        <w:snapToGrid/>
        <w:spacing w:line="44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不得通过修正或撤销不符合要求的偏离，从而使其投标成为实质上响应的投标。</w:t>
      </w:r>
    </w:p>
    <w:p>
      <w:pPr>
        <w:pageBreakBefore w:val="0"/>
        <w:widowControl w:val="0"/>
        <w:kinsoku/>
        <w:wordWrap/>
        <w:overflowPunct/>
        <w:topLinePunct w:val="0"/>
        <w:bidi w:val="0"/>
        <w:snapToGrid/>
        <w:spacing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评标委员会决定投标的响应性只根据招标文件要求、投标文件内容及财政主管部门指定相关信息发布媒体。</w:t>
      </w:r>
    </w:p>
    <w:p>
      <w:pPr>
        <w:spacing w:line="400" w:lineRule="exac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如发现下列情况之一的，其投标将被认定为投标无效：</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未按招标文件规定的形式和金额提交投标保证金的；</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未按照招标文件规定要求签署、盖章的；</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未满足招标文件中技术条款的实质性要求；</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串通投标，或者与招标人串通投标；</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属于招标文件规定的其他投标无效情形；</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的报价明显低于其他通过符合性检查</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的报价，有可能影响履约的，且</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未按照规定证明其报价合理性的；</w:t>
      </w:r>
    </w:p>
    <w:p>
      <w:pPr>
        <w:numPr>
          <w:ilvl w:val="0"/>
          <w:numId w:val="3"/>
        </w:numPr>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投标文件含有采购人不能接受的附加条件的；</w:t>
      </w:r>
    </w:p>
    <w:p>
      <w:pPr>
        <w:numPr>
          <w:ilvl w:val="0"/>
          <w:numId w:val="3"/>
        </w:numPr>
        <w:tabs>
          <w:tab w:val="left" w:pos="0"/>
        </w:tabs>
        <w:spacing w:line="400" w:lineRule="exact"/>
        <w:ind w:left="1020" w:leftChars="0" w:hanging="18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不符合法规和招标文件中规定的其他实质性要求的。</w:t>
      </w:r>
    </w:p>
    <w:p>
      <w:pPr>
        <w:spacing w:line="400" w:lineRule="exact"/>
        <w:outlineLvl w:val="2"/>
        <w:rPr>
          <w:rFonts w:hint="eastAsia" w:ascii="仿宋" w:hAnsi="仿宋" w:eastAsia="仿宋" w:cs="仿宋"/>
          <w:b/>
          <w:bCs/>
          <w:color w:val="auto"/>
          <w:sz w:val="24"/>
          <w:highlight w:val="none"/>
        </w:rPr>
      </w:pPr>
      <w:bookmarkStart w:id="235" w:name="_Toc13652"/>
      <w:bookmarkStart w:id="236" w:name="_Toc9326"/>
      <w:bookmarkStart w:id="237" w:name="_Toc10960"/>
      <w:bookmarkStart w:id="238" w:name="_Toc515647784"/>
      <w:bookmarkStart w:id="239" w:name="_Toc25297"/>
      <w:bookmarkStart w:id="240" w:name="_Toc22941"/>
      <w:r>
        <w:rPr>
          <w:rFonts w:hint="eastAsia" w:ascii="仿宋" w:hAnsi="仿宋" w:eastAsia="仿宋" w:cs="仿宋"/>
          <w:b/>
          <w:bCs/>
          <w:color w:val="auto"/>
          <w:sz w:val="24"/>
          <w:highlight w:val="none"/>
        </w:rPr>
        <w:t>23.</w:t>
      </w:r>
      <w:bookmarkEnd w:id="222"/>
      <w:r>
        <w:rPr>
          <w:rFonts w:hint="eastAsia" w:ascii="仿宋" w:hAnsi="仿宋" w:eastAsia="仿宋" w:cs="仿宋"/>
          <w:b/>
          <w:bCs/>
          <w:color w:val="auto"/>
          <w:sz w:val="24"/>
          <w:highlight w:val="none"/>
        </w:rPr>
        <w:t>比较与评价</w:t>
      </w:r>
      <w:bookmarkEnd w:id="235"/>
      <w:bookmarkEnd w:id="236"/>
      <w:bookmarkEnd w:id="237"/>
      <w:bookmarkEnd w:id="238"/>
      <w:bookmarkEnd w:id="239"/>
      <w:bookmarkEnd w:id="240"/>
    </w:p>
    <w:p>
      <w:pPr>
        <w:spacing w:line="400" w:lineRule="exact"/>
        <w:ind w:left="900" w:hanging="900" w:hangingChars="375"/>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b w:val="0"/>
          <w:bCs w:val="0"/>
          <w:color w:val="auto"/>
          <w:sz w:val="24"/>
          <w:highlight w:val="none"/>
        </w:rPr>
        <w:t>经符合性审查合格的投标文件，评标委员会将根据招标文件确定的评标方法和标准，对其技术部分和商务部分作进一步的比较和评价。</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评标严格按照招标文件的要求和条件进行。根据实际情况，在</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中规定采用下列一种评标方法，详细评标标准见招标文件第六章：</w:t>
      </w:r>
    </w:p>
    <w:p>
      <w:pPr>
        <w:pStyle w:val="11"/>
        <w:spacing w:line="400" w:lineRule="exact"/>
        <w:ind w:left="958" w:leftChars="456" w:firstLine="34" w:firstLineChars="14"/>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本项目采用采购方式：</w:t>
      </w:r>
      <w:r>
        <w:rPr>
          <w:rFonts w:hint="eastAsia" w:ascii="仿宋" w:hAnsi="仿宋" w:eastAsia="仿宋" w:cs="仿宋"/>
          <w:b/>
          <w:bCs/>
          <w:sz w:val="24"/>
          <w:szCs w:val="24"/>
          <w:highlight w:val="none"/>
          <w:lang w:eastAsia="zh-CN"/>
        </w:rPr>
        <w:t>公开招标</w:t>
      </w:r>
      <w:r>
        <w:rPr>
          <w:rFonts w:hint="eastAsia" w:ascii="仿宋" w:hAnsi="仿宋" w:eastAsia="仿宋" w:cs="仿宋"/>
          <w:b/>
          <w:bCs/>
          <w:sz w:val="24"/>
          <w:szCs w:val="24"/>
          <w:highlight w:val="none"/>
        </w:rPr>
        <w:t>，评分方法：综合评分法</w:t>
      </w:r>
    </w:p>
    <w:p>
      <w:pPr>
        <w:pStyle w:val="11"/>
        <w:spacing w:line="400" w:lineRule="exact"/>
        <w:ind w:left="958" w:leftChars="456" w:firstLine="33" w:firstLineChars="14"/>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pPr>
        <w:pStyle w:val="11"/>
        <w:spacing w:line="400" w:lineRule="exact"/>
        <w:ind w:left="900" w:hanging="900" w:hangingChars="375"/>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 xml:space="preserve">23.3  </w:t>
      </w:r>
      <w:r>
        <w:rPr>
          <w:rFonts w:hint="eastAsia" w:ascii="仿宋" w:hAnsi="仿宋" w:eastAsia="仿宋" w:cs="仿宋"/>
          <w:b/>
          <w:bCs/>
          <w:color w:val="auto"/>
          <w:sz w:val="24"/>
          <w:szCs w:val="24"/>
          <w:highlight w:val="none"/>
        </w:rPr>
        <w:t xml:space="preserve"> 根据《政府采购促进中小企业发展管理办法》（财库[2020]46号）、《关    于进一步加大政府采购支持中小企业力度的通知》（财库【2022】19号）、《财政部 司法部关于政府采购支持监狱企业发展有关问题的通知》（财库〔2014〕68号）和《三部门联合发布关于促进残疾人就业政府采购政策的通知》（</w:t>
      </w:r>
      <w:bookmarkStart w:id="241" w:name="sendNo"/>
      <w:r>
        <w:rPr>
          <w:rFonts w:hint="eastAsia" w:ascii="仿宋" w:hAnsi="仿宋" w:eastAsia="仿宋" w:cs="仿宋"/>
          <w:b/>
          <w:bCs/>
          <w:color w:val="auto"/>
          <w:sz w:val="24"/>
          <w:szCs w:val="24"/>
          <w:highlight w:val="none"/>
        </w:rPr>
        <w:t>财库〔</w:t>
      </w:r>
      <w:bookmarkEnd w:id="241"/>
      <w:r>
        <w:rPr>
          <w:rFonts w:hint="eastAsia" w:ascii="仿宋" w:hAnsi="仿宋" w:eastAsia="仿宋" w:cs="仿宋"/>
          <w:b/>
          <w:bCs/>
          <w:color w:val="auto"/>
          <w:sz w:val="24"/>
          <w:szCs w:val="24"/>
          <w:highlight w:val="none"/>
        </w:rPr>
        <w:t>2017〕141号）的规定，对满足价格扣除条件且在投标文件中提交了《投标人企业类型声明函》或省级以上监狱管理局、戒毒管理局（含新疆生产建设兵团）出具的属于监狱企业的证明文件的投标人，其投标报价扣除6</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%后参与评审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对于同时属于小微企业、监狱企业或残疾人福利性单位的，不重复进行投标报价扣除。</w:t>
      </w:r>
    </w:p>
    <w:p>
      <w:pPr>
        <w:pStyle w:val="4"/>
        <w:spacing w:before="0" w:after="0" w:line="400" w:lineRule="exact"/>
        <w:rPr>
          <w:rFonts w:hint="eastAsia" w:ascii="仿宋" w:hAnsi="仿宋" w:eastAsia="仿宋" w:cs="仿宋"/>
          <w:b w:val="0"/>
          <w:color w:val="auto"/>
          <w:kern w:val="2"/>
          <w:sz w:val="24"/>
          <w:szCs w:val="24"/>
          <w:highlight w:val="none"/>
          <w:u w:val="none"/>
          <w:lang w:val="en-US" w:eastAsia="zh-CN" w:bidi="ar-SA"/>
        </w:rPr>
      </w:pPr>
      <w:bookmarkStart w:id="242" w:name="_Toc520356168"/>
      <w:bookmarkStart w:id="243" w:name="_Toc20227"/>
      <w:bookmarkStart w:id="244" w:name="_Toc26143"/>
      <w:bookmarkStart w:id="245" w:name="_Toc5745"/>
      <w:bookmarkStart w:id="246" w:name="_Toc9378"/>
      <w:bookmarkStart w:id="247" w:name="_Toc515647785"/>
      <w:bookmarkStart w:id="248" w:name="_Toc24797"/>
      <w:r>
        <w:rPr>
          <w:rFonts w:hint="eastAsia" w:ascii="仿宋" w:hAnsi="仿宋" w:eastAsia="仿宋" w:cs="仿宋"/>
          <w:b w:val="0"/>
          <w:color w:val="auto"/>
          <w:kern w:val="2"/>
          <w:sz w:val="24"/>
          <w:szCs w:val="24"/>
          <w:highlight w:val="none"/>
          <w:u w:val="none"/>
          <w:lang w:val="en-US" w:eastAsia="zh-CN" w:bidi="ar-SA"/>
        </w:rPr>
        <w:t>24</w:t>
      </w:r>
      <w:bookmarkEnd w:id="242"/>
      <w:r>
        <w:rPr>
          <w:rFonts w:hint="eastAsia" w:ascii="仿宋" w:hAnsi="仿宋" w:eastAsia="仿宋" w:cs="仿宋"/>
          <w:b w:val="0"/>
          <w:color w:val="auto"/>
          <w:kern w:val="2"/>
          <w:sz w:val="24"/>
          <w:szCs w:val="24"/>
          <w:highlight w:val="none"/>
          <w:u w:val="none"/>
          <w:lang w:val="en-US" w:eastAsia="zh-CN" w:bidi="ar-SA"/>
        </w:rPr>
        <w:t>.废标</w:t>
      </w:r>
      <w:bookmarkEnd w:id="243"/>
      <w:bookmarkEnd w:id="244"/>
      <w:bookmarkEnd w:id="245"/>
      <w:bookmarkEnd w:id="246"/>
      <w:bookmarkEnd w:id="247"/>
      <w:bookmarkEnd w:id="248"/>
    </w:p>
    <w:p>
      <w:pPr>
        <w:spacing w:line="400" w:lineRule="exact"/>
        <w:ind w:left="898" w:leftChars="399" w:hanging="60" w:hangingChars="25"/>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出现下列情形之一，将导致项目废标： </w:t>
      </w:r>
    </w:p>
    <w:p>
      <w:pPr>
        <w:numPr>
          <w:ilvl w:val="0"/>
          <w:numId w:val="4"/>
        </w:numPr>
        <w:spacing w:line="400" w:lineRule="exact"/>
        <w:ind w:left="900" w:leftChars="0"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符合专业条件的</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或者对招标</w:t>
      </w:r>
    </w:p>
    <w:p>
      <w:pPr>
        <w:numPr>
          <w:ilvl w:val="0"/>
          <w:numId w:val="4"/>
        </w:numPr>
        <w:spacing w:line="400" w:lineRule="exact"/>
        <w:ind w:left="900" w:leftChars="0" w:firstLine="0"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文件做实质性响应的</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不足三家；</w:t>
      </w:r>
    </w:p>
    <w:p>
      <w:pPr>
        <w:spacing w:line="400" w:lineRule="exact"/>
        <w:ind w:left="900" w:hanging="900" w:hangingChars="375"/>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ab/>
      </w:r>
      <w:r>
        <w:rPr>
          <w:rFonts w:hint="eastAsia" w:ascii="仿宋" w:hAnsi="仿宋" w:eastAsia="仿宋" w:cs="仿宋"/>
          <w:b w:val="0"/>
          <w:bCs w:val="0"/>
          <w:color w:val="auto"/>
          <w:sz w:val="24"/>
          <w:highlight w:val="none"/>
        </w:rPr>
        <w:t>（2）出现影响采购公正的违法、违规行为的；</w:t>
      </w:r>
    </w:p>
    <w:p>
      <w:pPr>
        <w:spacing w:line="400" w:lineRule="exact"/>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的报价均超过了采购预算，采购人不能支付的；</w:t>
      </w:r>
    </w:p>
    <w:p>
      <w:pPr>
        <w:spacing w:line="400" w:lineRule="exact"/>
        <w:ind w:firstLine="960" w:firstLineChars="4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（4）因重大变故，采购任务取消的。   </w:t>
      </w:r>
    </w:p>
    <w:p>
      <w:pPr>
        <w:pStyle w:val="4"/>
        <w:pageBreakBefore w:val="0"/>
        <w:widowControl w:val="0"/>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49" w:name="_Toc31289"/>
      <w:bookmarkStart w:id="250" w:name="_Toc24972"/>
      <w:bookmarkStart w:id="251" w:name="_Toc515647786"/>
      <w:bookmarkStart w:id="252" w:name="_Toc16041"/>
      <w:bookmarkStart w:id="253" w:name="_Toc32694"/>
      <w:bookmarkStart w:id="254" w:name="_Toc29491"/>
      <w:bookmarkStart w:id="255" w:name="_Toc520356169"/>
      <w:r>
        <w:rPr>
          <w:rFonts w:hint="eastAsia" w:ascii="仿宋" w:hAnsi="仿宋" w:eastAsia="仿宋" w:cs="仿宋"/>
          <w:color w:val="auto"/>
          <w:szCs w:val="24"/>
          <w:highlight w:val="none"/>
          <w:u w:val="none"/>
        </w:rPr>
        <w:t>25.保密原则</w:t>
      </w:r>
      <w:bookmarkEnd w:id="249"/>
      <w:bookmarkEnd w:id="250"/>
      <w:bookmarkEnd w:id="251"/>
      <w:bookmarkEnd w:id="252"/>
      <w:bookmarkEnd w:id="253"/>
      <w:bookmarkEnd w:id="254"/>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政府采购评审专家应当遵守评审工作纪律，不得泄露评审文件、评审情况和评审中获悉的商业秘密。</w:t>
      </w:r>
    </w:p>
    <w:p>
      <w:pPr>
        <w:pageBreakBefore w:val="0"/>
        <w:widowControl w:val="0"/>
        <w:kinsoku/>
        <w:wordWrap/>
        <w:overflowPunct/>
        <w:topLinePunct w:val="0"/>
        <w:bidi w:val="0"/>
        <w:snapToGrid/>
        <w:spacing w:line="360" w:lineRule="exact"/>
        <w:ind w:left="0" w:leftChars="0" w:hanging="540"/>
        <w:textAlignment w:val="auto"/>
        <w:rPr>
          <w:rFonts w:hint="eastAsia" w:ascii="仿宋" w:hAnsi="仿宋" w:eastAsia="仿宋" w:cs="仿宋"/>
          <w:color w:val="auto"/>
          <w:sz w:val="24"/>
          <w:highlight w:val="none"/>
        </w:rPr>
      </w:pPr>
    </w:p>
    <w:p>
      <w:pPr>
        <w:pStyle w:val="3"/>
        <w:pageBreakBefore w:val="0"/>
        <w:widowControl w:val="0"/>
        <w:kinsoku/>
        <w:wordWrap/>
        <w:overflowPunct/>
        <w:topLinePunct w:val="0"/>
        <w:bidi w:val="0"/>
        <w:snapToGrid/>
        <w:spacing w:before="0" w:line="360" w:lineRule="exact"/>
        <w:ind w:left="0" w:leftChars="0" w:hanging="540"/>
        <w:textAlignment w:val="auto"/>
        <w:rPr>
          <w:rFonts w:hint="eastAsia" w:ascii="仿宋" w:hAnsi="仿宋" w:eastAsia="仿宋" w:cs="仿宋"/>
          <w:color w:val="auto"/>
          <w:sz w:val="28"/>
          <w:szCs w:val="28"/>
          <w:highlight w:val="none"/>
        </w:rPr>
      </w:pPr>
      <w:bookmarkStart w:id="256" w:name="_Toc20578"/>
      <w:bookmarkStart w:id="257" w:name="_Toc216582810"/>
      <w:bookmarkStart w:id="258" w:name="_Toc25455"/>
      <w:bookmarkStart w:id="259" w:name="_Toc13769"/>
      <w:bookmarkStart w:id="260" w:name="_Toc12143"/>
      <w:bookmarkStart w:id="261" w:name="_Toc23904"/>
      <w:bookmarkStart w:id="262" w:name="_Toc515647787"/>
      <w:r>
        <w:rPr>
          <w:rFonts w:hint="eastAsia" w:ascii="仿宋" w:hAnsi="仿宋" w:eastAsia="仿宋" w:cs="仿宋"/>
          <w:color w:val="auto"/>
          <w:sz w:val="28"/>
          <w:szCs w:val="28"/>
          <w:highlight w:val="none"/>
        </w:rPr>
        <w:t xml:space="preserve">六   </w:t>
      </w:r>
      <w:bookmarkEnd w:id="255"/>
      <w:r>
        <w:rPr>
          <w:rFonts w:hint="eastAsia" w:ascii="仿宋" w:hAnsi="仿宋" w:eastAsia="仿宋" w:cs="仿宋"/>
          <w:color w:val="auto"/>
          <w:sz w:val="28"/>
          <w:szCs w:val="28"/>
          <w:highlight w:val="none"/>
        </w:rPr>
        <w:t>确定中标</w:t>
      </w:r>
      <w:bookmarkEnd w:id="256"/>
      <w:bookmarkEnd w:id="257"/>
      <w:bookmarkEnd w:id="258"/>
      <w:bookmarkEnd w:id="259"/>
      <w:bookmarkEnd w:id="260"/>
      <w:bookmarkEnd w:id="261"/>
      <w:bookmarkEnd w:id="262"/>
    </w:p>
    <w:p>
      <w:pPr>
        <w:pStyle w:val="5"/>
        <w:pageBreakBefore w:val="0"/>
        <w:widowControl w:val="0"/>
        <w:kinsoku/>
        <w:wordWrap/>
        <w:overflowPunct/>
        <w:topLinePunct w:val="0"/>
        <w:bidi w:val="0"/>
        <w:snapToGrid/>
        <w:spacing w:line="360" w:lineRule="exact"/>
        <w:ind w:left="0" w:leftChars="0"/>
        <w:textAlignment w:val="auto"/>
        <w:rPr>
          <w:rFonts w:hint="eastAsia" w:ascii="仿宋" w:hAnsi="仿宋" w:eastAsia="仿宋" w:cs="仿宋"/>
          <w:color w:val="auto"/>
          <w:sz w:val="21"/>
          <w:szCs w:val="21"/>
          <w:highlight w:val="none"/>
        </w:rPr>
      </w:pPr>
    </w:p>
    <w:p>
      <w:pPr>
        <w:pStyle w:val="4"/>
        <w:pageBreakBefore w:val="0"/>
        <w:widowControl w:val="0"/>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63" w:name="_Toc23617"/>
      <w:bookmarkStart w:id="264" w:name="_Toc5198"/>
      <w:bookmarkStart w:id="265" w:name="_Toc10050"/>
      <w:bookmarkStart w:id="266" w:name="_Toc14824"/>
      <w:bookmarkStart w:id="267" w:name="_Toc515647788"/>
      <w:bookmarkStart w:id="268" w:name="_Toc520356170"/>
      <w:bookmarkStart w:id="269" w:name="_Ref467307010"/>
      <w:bookmarkStart w:id="270" w:name="_Toc23762"/>
      <w:r>
        <w:rPr>
          <w:rFonts w:hint="eastAsia" w:ascii="仿宋" w:hAnsi="仿宋" w:eastAsia="仿宋" w:cs="仿宋"/>
          <w:color w:val="auto"/>
          <w:szCs w:val="24"/>
          <w:highlight w:val="none"/>
          <w:u w:val="none"/>
        </w:rPr>
        <w:t>26.中标候选人的确定原则及标准</w:t>
      </w:r>
      <w:bookmarkEnd w:id="263"/>
      <w:bookmarkEnd w:id="264"/>
      <w:bookmarkEnd w:id="265"/>
      <w:bookmarkEnd w:id="266"/>
      <w:bookmarkEnd w:id="267"/>
      <w:bookmarkEnd w:id="268"/>
      <w:bookmarkEnd w:id="269"/>
      <w:bookmarkEnd w:id="270"/>
    </w:p>
    <w:p>
      <w:pPr>
        <w:keepNext w:val="0"/>
        <w:keepLines w:val="0"/>
        <w:pageBreakBefore w:val="0"/>
        <w:widowControl w:val="0"/>
        <w:kinsoku/>
        <w:wordWrap/>
        <w:overflowPunct/>
        <w:topLinePunct w:val="0"/>
        <w:autoSpaceDE/>
        <w:autoSpaceDN/>
        <w:bidi w:val="0"/>
        <w:adjustRightInd/>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对实质上响应招标文件的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按下列方法进行排序，确定投标候选人：</w:t>
      </w: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采用最低评标价法的，</w:t>
      </w:r>
      <w:bookmarkStart w:id="271" w:name="_Toc520356171"/>
      <w:bookmarkStart w:id="272" w:name="_Toc515647789"/>
      <w:r>
        <w:rPr>
          <w:rFonts w:hint="eastAsia" w:ascii="仿宋" w:hAnsi="仿宋" w:eastAsia="仿宋" w:cs="仿宋"/>
          <w:color w:val="auto"/>
          <w:sz w:val="24"/>
          <w:highlight w:val="none"/>
          <w:lang w:val="en-US" w:eastAsia="zh-CN"/>
        </w:rPr>
        <w:t>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ageBreakBefore w:val="0"/>
        <w:widowControl w:val="0"/>
        <w:kinsoku/>
        <w:wordWrap/>
        <w:overflowPunct/>
        <w:topLinePunct w:val="0"/>
        <w:bidi w:val="0"/>
        <w:snapToGrid/>
        <w:spacing w:line="3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采用综合评分法的，评标结果按评审后得分由高到低顺序排列。得分相同的，按修正和扣除后的投标报价由低到高顺序排列。得分与投标报价均相同的处理方式详见招标文件第6章。</w:t>
      </w:r>
    </w:p>
    <w:p>
      <w:pPr>
        <w:pageBreakBefore w:val="0"/>
        <w:widowControl w:val="0"/>
        <w:kinsoku/>
        <w:wordWrap/>
        <w:overflowPunct/>
        <w:topLinePunct w:val="0"/>
        <w:bidi w:val="0"/>
        <w:snapToGrid/>
        <w:spacing w:line="360" w:lineRule="exact"/>
        <w:ind w:left="0" w:leftChars="0" w:firstLine="482" w:firstLineChars="200"/>
        <w:textAlignment w:val="auto"/>
        <w:rPr>
          <w:rFonts w:hint="eastAsia" w:ascii="仿宋" w:hAnsi="仿宋" w:eastAsia="仿宋" w:cs="仿宋"/>
          <w:b/>
          <w:bCs/>
          <w:color w:val="auto"/>
          <w:sz w:val="24"/>
          <w:highlight w:val="none"/>
          <w:u w:val="thick"/>
          <w:lang w:val="en-US" w:eastAsia="zh-CN"/>
        </w:rPr>
      </w:pPr>
      <w:r>
        <w:rPr>
          <w:rFonts w:hint="eastAsia" w:ascii="仿宋" w:hAnsi="仿宋" w:eastAsia="仿宋" w:cs="仿宋"/>
          <w:b/>
          <w:bCs/>
          <w:color w:val="auto"/>
          <w:sz w:val="24"/>
          <w:highlight w:val="none"/>
          <w:u w:val="thick"/>
          <w:lang w:val="en-US" w:eastAsia="zh-CN"/>
        </w:rPr>
        <w:t>本项目采用综合评分法，其中价格占30%，商务技术占70%。</w:t>
      </w:r>
    </w:p>
    <w:p>
      <w:pPr>
        <w:pStyle w:val="4"/>
        <w:pageBreakBefore w:val="0"/>
        <w:widowControl w:val="0"/>
        <w:tabs>
          <w:tab w:val="left" w:pos="900"/>
        </w:tabs>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73" w:name="_Toc9653"/>
      <w:bookmarkStart w:id="274" w:name="_Toc9286"/>
      <w:bookmarkStart w:id="275" w:name="_Toc8718"/>
      <w:bookmarkStart w:id="276" w:name="_Toc23951"/>
      <w:bookmarkStart w:id="277" w:name="_Toc22289"/>
      <w:r>
        <w:rPr>
          <w:rFonts w:hint="eastAsia" w:ascii="仿宋" w:hAnsi="仿宋" w:eastAsia="仿宋" w:cs="仿宋"/>
          <w:color w:val="auto"/>
          <w:szCs w:val="24"/>
          <w:highlight w:val="none"/>
          <w:u w:val="none"/>
        </w:rPr>
        <w:t>27</w:t>
      </w:r>
      <w:bookmarkEnd w:id="271"/>
      <w:r>
        <w:rPr>
          <w:rFonts w:hint="eastAsia" w:ascii="仿宋" w:hAnsi="仿宋" w:eastAsia="仿宋" w:cs="仿宋"/>
          <w:color w:val="auto"/>
          <w:szCs w:val="24"/>
          <w:highlight w:val="none"/>
          <w:u w:val="none"/>
        </w:rPr>
        <w:t>.确定中标候选人和中标人</w:t>
      </w:r>
      <w:bookmarkEnd w:id="272"/>
      <w:bookmarkEnd w:id="273"/>
      <w:bookmarkEnd w:id="274"/>
      <w:bookmarkEnd w:id="275"/>
      <w:bookmarkEnd w:id="276"/>
      <w:bookmarkEnd w:id="277"/>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须知资料表中</w:t>
      </w:r>
      <w:r>
        <w:rPr>
          <w:rFonts w:hint="eastAsia" w:ascii="仿宋" w:hAnsi="仿宋" w:eastAsia="仿宋" w:cs="仿宋"/>
          <w:color w:val="auto"/>
          <w:sz w:val="24"/>
          <w:highlight w:val="none"/>
        </w:rPr>
        <w:t>规定数量推荐中标候选人；或根据采购人的委托，直接确定中标人。</w:t>
      </w:r>
    </w:p>
    <w:p>
      <w:pPr>
        <w:pStyle w:val="4"/>
        <w:pageBreakBefore w:val="0"/>
        <w:widowControl w:val="0"/>
        <w:tabs>
          <w:tab w:val="left" w:pos="900"/>
        </w:tabs>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78" w:name="_Toc520356173"/>
      <w:bookmarkStart w:id="279" w:name="_Ref467306874"/>
      <w:bookmarkStart w:id="280" w:name="_Toc515647790"/>
      <w:bookmarkStart w:id="281" w:name="_Toc28562"/>
      <w:bookmarkStart w:id="282" w:name="_Toc380"/>
      <w:bookmarkStart w:id="283" w:name="_Toc8389"/>
      <w:bookmarkStart w:id="284" w:name="_Toc5496"/>
      <w:bookmarkStart w:id="285" w:name="_Toc13783"/>
      <w:r>
        <w:rPr>
          <w:rFonts w:hint="eastAsia" w:ascii="仿宋" w:hAnsi="仿宋" w:eastAsia="仿宋" w:cs="仿宋"/>
          <w:color w:val="auto"/>
          <w:szCs w:val="24"/>
          <w:highlight w:val="none"/>
          <w:u w:val="none"/>
        </w:rPr>
        <w:t>28.</w:t>
      </w:r>
      <w:bookmarkEnd w:id="278"/>
      <w:bookmarkEnd w:id="279"/>
      <w:r>
        <w:rPr>
          <w:rFonts w:hint="eastAsia" w:ascii="仿宋" w:hAnsi="仿宋" w:eastAsia="仿宋" w:cs="仿宋"/>
          <w:color w:val="auto"/>
          <w:szCs w:val="24"/>
          <w:highlight w:val="none"/>
          <w:u w:val="none"/>
        </w:rPr>
        <w:t>采购任务取消</w:t>
      </w:r>
      <w:bookmarkEnd w:id="280"/>
      <w:bookmarkEnd w:id="281"/>
      <w:bookmarkEnd w:id="282"/>
      <w:bookmarkEnd w:id="283"/>
      <w:bookmarkEnd w:id="284"/>
      <w:bookmarkEnd w:id="285"/>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中标，且对受影响的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不承担任何责任。</w:t>
      </w:r>
      <w:bookmarkStart w:id="286" w:name="_Toc520356174"/>
    </w:p>
    <w:p>
      <w:pPr>
        <w:pStyle w:val="4"/>
        <w:pageBreakBefore w:val="0"/>
        <w:widowControl w:val="0"/>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87" w:name="_Toc515647791"/>
      <w:bookmarkStart w:id="288" w:name="_Toc8579"/>
      <w:bookmarkStart w:id="289" w:name="_Toc31099"/>
      <w:bookmarkStart w:id="290" w:name="_Toc30170"/>
      <w:bookmarkStart w:id="291" w:name="_Toc12824"/>
      <w:bookmarkStart w:id="292" w:name="_Toc28358"/>
      <w:r>
        <w:rPr>
          <w:rFonts w:hint="eastAsia" w:ascii="仿宋" w:hAnsi="仿宋" w:eastAsia="仿宋" w:cs="仿宋"/>
          <w:color w:val="auto"/>
          <w:szCs w:val="24"/>
          <w:highlight w:val="none"/>
          <w:u w:val="none"/>
        </w:rPr>
        <w:t>29.中标通知书</w:t>
      </w:r>
      <w:bookmarkEnd w:id="286"/>
      <w:r>
        <w:rPr>
          <w:rFonts w:hint="eastAsia" w:ascii="仿宋" w:hAnsi="仿宋" w:eastAsia="仿宋" w:cs="仿宋"/>
          <w:color w:val="auto"/>
          <w:szCs w:val="24"/>
          <w:highlight w:val="none"/>
          <w:u w:val="none"/>
        </w:rPr>
        <w:t>和招标结果通知书</w:t>
      </w:r>
      <w:bookmarkEnd w:id="287"/>
      <w:bookmarkEnd w:id="288"/>
      <w:bookmarkEnd w:id="289"/>
      <w:bookmarkEnd w:id="290"/>
      <w:bookmarkEnd w:id="291"/>
      <w:bookmarkEnd w:id="292"/>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在投标有效期内，中标人确定后，采购人或者采购代理机构发布中标公告，同时以书面形式向中标人发出中标通知书。</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中标通知书是合同的组成部分。</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招标结果通知书和中标通知书同时发出。招标结果通知书中将告知未通过资格审查的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未通过的原因；采用综合评分法评审的，还将告知未中标人本人的评审得分和排序。</w:t>
      </w:r>
    </w:p>
    <w:p>
      <w:pPr>
        <w:pStyle w:val="4"/>
        <w:pageBreakBefore w:val="0"/>
        <w:widowControl w:val="0"/>
        <w:kinsoku/>
        <w:wordWrap/>
        <w:overflowPunct/>
        <w:topLinePunct w:val="0"/>
        <w:bidi w:val="0"/>
        <w:snapToGrid/>
        <w:spacing w:before="0" w:after="0" w:line="360" w:lineRule="exact"/>
        <w:ind w:left="0" w:leftChars="0"/>
        <w:textAlignment w:val="auto"/>
        <w:rPr>
          <w:rFonts w:hint="eastAsia" w:ascii="仿宋" w:hAnsi="仿宋" w:eastAsia="仿宋" w:cs="仿宋"/>
          <w:color w:val="auto"/>
          <w:szCs w:val="24"/>
          <w:highlight w:val="none"/>
          <w:u w:val="none"/>
        </w:rPr>
      </w:pPr>
      <w:bookmarkStart w:id="293" w:name="_Toc515647792"/>
      <w:bookmarkStart w:id="294" w:name="_Ref467306978"/>
      <w:bookmarkStart w:id="295" w:name="_Ref467307062"/>
      <w:bookmarkStart w:id="296" w:name="_Toc520356175"/>
      <w:bookmarkStart w:id="297" w:name="_Ref467307204"/>
      <w:bookmarkStart w:id="298" w:name="_Toc18514"/>
      <w:bookmarkStart w:id="299" w:name="_Toc7779"/>
      <w:bookmarkStart w:id="300" w:name="_Ref467306377"/>
      <w:bookmarkStart w:id="301" w:name="_Toc790"/>
      <w:bookmarkStart w:id="302" w:name="_Toc9446"/>
      <w:bookmarkStart w:id="303" w:name="_Toc15653"/>
      <w:r>
        <w:rPr>
          <w:rFonts w:hint="eastAsia" w:ascii="仿宋" w:hAnsi="仿宋" w:eastAsia="仿宋" w:cs="仿宋"/>
          <w:color w:val="auto"/>
          <w:szCs w:val="24"/>
          <w:highlight w:val="none"/>
          <w:u w:val="none"/>
        </w:rPr>
        <w:t>30.签订合同</w:t>
      </w:r>
      <w:bookmarkEnd w:id="293"/>
      <w:bookmarkEnd w:id="294"/>
      <w:bookmarkEnd w:id="295"/>
      <w:bookmarkEnd w:id="296"/>
      <w:bookmarkEnd w:id="297"/>
      <w:bookmarkEnd w:id="298"/>
      <w:bookmarkEnd w:id="299"/>
      <w:bookmarkEnd w:id="300"/>
      <w:bookmarkEnd w:id="301"/>
      <w:bookmarkEnd w:id="302"/>
      <w:bookmarkEnd w:id="303"/>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中标人应当自发出中标通知书之日起30日内，与采购人签订合同。</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304" w:name="_Ref467306425"/>
      <w:bookmarkStart w:id="305" w:name="_Ref467307090"/>
      <w:bookmarkStart w:id="306" w:name="_Toc520356176"/>
      <w:r>
        <w:rPr>
          <w:rFonts w:hint="eastAsia" w:ascii="仿宋" w:hAnsi="仿宋" w:eastAsia="仿宋" w:cs="仿宋"/>
          <w:color w:val="auto"/>
          <w:sz w:val="24"/>
          <w:highlight w:val="none"/>
        </w:rPr>
        <w:t>招标文件、中标人的投标文件及其澄清文件等，均为签订合同的依据。</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30.3   中标人拒绝与采购人签订合同的，采购人可以按照评审报告推荐的中标候选人名单排序，确定下一中标候选人为中标人，也可以重新开展政府采购活动。</w:t>
      </w:r>
    </w:p>
    <w:p>
      <w:pPr>
        <w:pageBreakBefore w:val="0"/>
        <w:widowControl w:val="0"/>
        <w:kinsoku/>
        <w:wordWrap/>
        <w:overflowPunct/>
        <w:topLinePunct w:val="0"/>
        <w:bidi w:val="0"/>
        <w:snapToGrid/>
        <w:spacing w:line="360" w:lineRule="exact"/>
        <w:ind w:left="900" w:leftChars="0" w:hanging="900" w:hangingChars="3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w:t>
      </w:r>
      <w:r>
        <w:rPr>
          <w:rFonts w:hint="eastAsia" w:ascii="仿宋" w:hAnsi="仿宋" w:eastAsia="仿宋" w:cs="仿宋"/>
          <w:b w:val="0"/>
          <w:bCs w:val="0"/>
          <w:color w:val="auto"/>
          <w:sz w:val="24"/>
          <w:highlight w:val="none"/>
        </w:rPr>
        <w:t>的中标无效或中标结果无效情</w:t>
      </w:r>
      <w:r>
        <w:rPr>
          <w:rFonts w:hint="eastAsia" w:ascii="仿宋" w:hAnsi="仿宋" w:eastAsia="仿宋" w:cs="仿宋"/>
          <w:color w:val="auto"/>
          <w:sz w:val="24"/>
          <w:highlight w:val="none"/>
        </w:rPr>
        <w:t>形时，采购人可与排名下一位的中标候选人另行签订合同，或依法重新开展采购活动。</w:t>
      </w:r>
    </w:p>
    <w:p>
      <w:pPr>
        <w:pStyle w:val="4"/>
        <w:spacing w:before="0" w:after="0" w:line="400" w:lineRule="exact"/>
        <w:rPr>
          <w:rFonts w:hint="eastAsia" w:ascii="仿宋" w:hAnsi="仿宋" w:eastAsia="仿宋" w:cs="仿宋"/>
          <w:color w:val="auto"/>
          <w:szCs w:val="24"/>
          <w:highlight w:val="none"/>
          <w:u w:val="none"/>
        </w:rPr>
      </w:pPr>
      <w:bookmarkStart w:id="307" w:name="_Toc3909"/>
      <w:bookmarkStart w:id="308" w:name="_Toc22555"/>
      <w:bookmarkStart w:id="309" w:name="_Toc14080"/>
      <w:bookmarkStart w:id="310" w:name="_Toc515647793"/>
      <w:bookmarkStart w:id="311" w:name="_Toc20240"/>
      <w:bookmarkStart w:id="312" w:name="_Toc26659"/>
      <w:r>
        <w:rPr>
          <w:rFonts w:hint="eastAsia" w:ascii="仿宋" w:hAnsi="仿宋" w:eastAsia="仿宋" w:cs="仿宋"/>
          <w:color w:val="auto"/>
          <w:szCs w:val="24"/>
          <w:highlight w:val="none"/>
          <w:u w:val="none"/>
        </w:rPr>
        <w:t>31.履约保证金</w:t>
      </w:r>
      <w:bookmarkEnd w:id="304"/>
      <w:bookmarkEnd w:id="305"/>
      <w:bookmarkEnd w:id="306"/>
      <w:bookmarkEnd w:id="307"/>
      <w:bookmarkEnd w:id="308"/>
      <w:bookmarkEnd w:id="309"/>
      <w:bookmarkEnd w:id="310"/>
      <w:bookmarkEnd w:id="311"/>
      <w:bookmarkEnd w:id="312"/>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中标人应按照</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规定向采购人缴纳履约保证金（如采用保函形式，格式见本章附件1）。</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政府采购利用担保试点范围内的项目，除31.1规定的情形外，中标人也可以按照财政部门的规定，向采购人提供合格的履约担保函（格式见本章附件2）。</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4"/>
        <w:spacing w:before="0" w:after="0" w:line="400" w:lineRule="exact"/>
        <w:rPr>
          <w:rFonts w:hint="eastAsia" w:ascii="仿宋" w:hAnsi="仿宋" w:eastAsia="仿宋" w:cs="仿宋"/>
          <w:color w:val="auto"/>
          <w:szCs w:val="24"/>
          <w:highlight w:val="none"/>
          <w:u w:val="none"/>
        </w:rPr>
      </w:pPr>
      <w:bookmarkStart w:id="313" w:name="_Toc515647794"/>
      <w:bookmarkStart w:id="314" w:name="_Toc3090"/>
      <w:bookmarkStart w:id="315" w:name="_Toc22490"/>
      <w:bookmarkStart w:id="316" w:name="_Toc29627"/>
      <w:bookmarkStart w:id="317" w:name="_Toc8972"/>
      <w:bookmarkStart w:id="318" w:name="_Toc29408"/>
      <w:r>
        <w:rPr>
          <w:rFonts w:hint="eastAsia" w:ascii="仿宋" w:hAnsi="仿宋" w:eastAsia="仿宋" w:cs="仿宋"/>
          <w:color w:val="auto"/>
          <w:szCs w:val="24"/>
          <w:highlight w:val="none"/>
          <w:u w:val="none"/>
        </w:rPr>
        <w:t>32.中标服务费</w:t>
      </w:r>
      <w:bookmarkEnd w:id="313"/>
      <w:bookmarkEnd w:id="314"/>
      <w:bookmarkEnd w:id="315"/>
      <w:bookmarkEnd w:id="316"/>
      <w:bookmarkEnd w:id="317"/>
      <w:bookmarkEnd w:id="318"/>
    </w:p>
    <w:p>
      <w:pPr>
        <w:spacing w:line="400" w:lineRule="exac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中标人须按照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规定，向采购代理机构支付中标服务费。</w:t>
      </w:r>
    </w:p>
    <w:p>
      <w:pPr>
        <w:pStyle w:val="4"/>
        <w:spacing w:before="0" w:after="0" w:line="400" w:lineRule="exact"/>
        <w:rPr>
          <w:rFonts w:hint="eastAsia" w:ascii="仿宋" w:hAnsi="仿宋" w:eastAsia="仿宋" w:cs="仿宋"/>
          <w:color w:val="auto"/>
          <w:szCs w:val="24"/>
          <w:highlight w:val="none"/>
          <w:u w:val="none"/>
        </w:rPr>
      </w:pPr>
      <w:bookmarkStart w:id="319" w:name="_Toc515647795"/>
      <w:bookmarkStart w:id="320" w:name="_Toc8524"/>
      <w:bookmarkStart w:id="321" w:name="_Toc7049"/>
      <w:bookmarkStart w:id="322" w:name="_Toc22487"/>
      <w:bookmarkStart w:id="323" w:name="_Toc6923"/>
      <w:bookmarkStart w:id="324" w:name="_Toc4863"/>
      <w:r>
        <w:rPr>
          <w:rFonts w:hint="eastAsia" w:ascii="仿宋" w:hAnsi="仿宋" w:eastAsia="仿宋" w:cs="仿宋"/>
          <w:color w:val="auto"/>
          <w:szCs w:val="24"/>
          <w:highlight w:val="none"/>
          <w:u w:val="none"/>
        </w:rPr>
        <w:t>33.政府采购信用担保</w:t>
      </w:r>
      <w:bookmarkEnd w:id="319"/>
      <w:bookmarkEnd w:id="320"/>
      <w:bookmarkEnd w:id="321"/>
      <w:bookmarkEnd w:id="322"/>
      <w:bookmarkEnd w:id="323"/>
      <w:bookmarkEnd w:id="324"/>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spacing w:line="400" w:lineRule="exac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可以自由按照财政部门的规定，采用投标担保、履约担保和融资担保。</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33.2.1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递交的投标担保函和履约担保函应符合本招标文件的规定。</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中标人可以采取融资担保的形式为政府采购项目履约进行融资。</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r>
        <w:rPr>
          <w:rFonts w:hint="eastAsia" w:ascii="仿宋" w:hAnsi="仿宋" w:eastAsia="仿宋" w:cs="仿宋"/>
          <w:color w:val="auto"/>
          <w:sz w:val="24"/>
          <w:highlight w:val="none"/>
        </w:rPr>
        <w:t>。</w:t>
      </w:r>
    </w:p>
    <w:p>
      <w:pPr>
        <w:pStyle w:val="4"/>
        <w:spacing w:before="0" w:after="0" w:line="400" w:lineRule="exact"/>
        <w:rPr>
          <w:rFonts w:hint="eastAsia" w:ascii="仿宋" w:hAnsi="仿宋" w:eastAsia="仿宋" w:cs="仿宋"/>
          <w:color w:val="auto"/>
          <w:szCs w:val="24"/>
          <w:highlight w:val="none"/>
          <w:u w:val="none"/>
        </w:rPr>
      </w:pPr>
      <w:bookmarkStart w:id="325" w:name="_Toc32441"/>
      <w:bookmarkStart w:id="326" w:name="_Toc2133"/>
      <w:bookmarkStart w:id="327" w:name="_Toc15266"/>
      <w:bookmarkStart w:id="328" w:name="_Toc515647796"/>
      <w:bookmarkStart w:id="329" w:name="_Toc23999"/>
      <w:bookmarkStart w:id="330" w:name="_Toc12709"/>
      <w:r>
        <w:rPr>
          <w:rFonts w:hint="eastAsia" w:ascii="仿宋" w:hAnsi="仿宋" w:eastAsia="仿宋" w:cs="仿宋"/>
          <w:color w:val="auto"/>
          <w:szCs w:val="24"/>
          <w:highlight w:val="none"/>
          <w:u w:val="none"/>
        </w:rPr>
        <w:t>34.廉洁自律规定</w:t>
      </w:r>
      <w:bookmarkEnd w:id="325"/>
      <w:bookmarkEnd w:id="326"/>
      <w:bookmarkEnd w:id="327"/>
      <w:bookmarkEnd w:id="328"/>
      <w:bookmarkEnd w:id="329"/>
      <w:bookmarkEnd w:id="330"/>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恶意串通操纵政府采购活动。</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组织的宴请、旅游、娱乐，不得收受礼品、现金、有价证券等，不得向采购人或者</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报销应当由个人承担的费用。</w:t>
      </w:r>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可按</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须知资料表中的</w:t>
      </w:r>
      <w:r>
        <w:rPr>
          <w:rFonts w:hint="eastAsia" w:ascii="仿宋" w:hAnsi="仿宋" w:eastAsia="仿宋" w:cs="仿宋"/>
          <w:color w:val="auto"/>
          <w:sz w:val="24"/>
          <w:highlight w:val="none"/>
        </w:rPr>
        <w:t>监督电话和邮箱，反映采购代理机构的廉洁自律等问题。</w:t>
      </w:r>
    </w:p>
    <w:p>
      <w:pPr>
        <w:pStyle w:val="4"/>
        <w:spacing w:before="0" w:after="0" w:line="400" w:lineRule="exact"/>
        <w:rPr>
          <w:rFonts w:hint="eastAsia" w:ascii="仿宋" w:hAnsi="仿宋" w:eastAsia="仿宋" w:cs="仿宋"/>
          <w:color w:val="auto"/>
          <w:szCs w:val="24"/>
          <w:highlight w:val="none"/>
          <w:u w:val="none"/>
        </w:rPr>
      </w:pPr>
      <w:bookmarkStart w:id="331" w:name="_Toc25480"/>
      <w:bookmarkStart w:id="332" w:name="_Toc12865"/>
      <w:bookmarkStart w:id="333" w:name="_Toc515647797"/>
      <w:bookmarkStart w:id="334" w:name="_Toc14691"/>
      <w:bookmarkStart w:id="335" w:name="_Toc11586"/>
      <w:bookmarkStart w:id="336" w:name="_Toc2222"/>
      <w:r>
        <w:rPr>
          <w:rFonts w:hint="eastAsia" w:ascii="仿宋" w:hAnsi="仿宋" w:eastAsia="仿宋" w:cs="仿宋"/>
          <w:color w:val="auto"/>
          <w:szCs w:val="24"/>
          <w:highlight w:val="none"/>
          <w:u w:val="none"/>
        </w:rPr>
        <w:t>35.人员回避</w:t>
      </w:r>
      <w:bookmarkEnd w:id="331"/>
      <w:bookmarkEnd w:id="332"/>
      <w:bookmarkEnd w:id="333"/>
      <w:bookmarkEnd w:id="334"/>
      <w:bookmarkEnd w:id="335"/>
      <w:bookmarkEnd w:id="336"/>
    </w:p>
    <w:p>
      <w:pPr>
        <w:spacing w:line="40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认为采购人员及其相关人员有法律法规所列与其他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有利害关系的，可以向采购人或采购代理机构书面提出回避申请，并说明理由。</w:t>
      </w:r>
    </w:p>
    <w:p>
      <w:pPr>
        <w:pStyle w:val="4"/>
        <w:spacing w:before="0" w:after="0" w:line="400" w:lineRule="exact"/>
        <w:rPr>
          <w:rFonts w:hint="eastAsia" w:ascii="仿宋" w:hAnsi="仿宋" w:eastAsia="仿宋" w:cs="仿宋"/>
          <w:color w:val="auto"/>
          <w:szCs w:val="24"/>
          <w:highlight w:val="none"/>
          <w:u w:val="none"/>
        </w:rPr>
      </w:pPr>
      <w:bookmarkStart w:id="337" w:name="_Toc515647798"/>
      <w:bookmarkStart w:id="338" w:name="_Toc1148"/>
      <w:bookmarkStart w:id="339" w:name="_Toc11115"/>
      <w:bookmarkStart w:id="340" w:name="_Toc16548"/>
      <w:bookmarkStart w:id="341" w:name="_Toc25253"/>
      <w:bookmarkStart w:id="342" w:name="_Toc3355"/>
      <w:r>
        <w:rPr>
          <w:rFonts w:hint="eastAsia" w:ascii="仿宋" w:hAnsi="仿宋" w:eastAsia="仿宋" w:cs="仿宋"/>
          <w:color w:val="auto"/>
          <w:szCs w:val="24"/>
          <w:highlight w:val="none"/>
          <w:u w:val="none"/>
        </w:rPr>
        <w:t>36.质疑与接收</w:t>
      </w:r>
      <w:bookmarkEnd w:id="337"/>
      <w:bookmarkEnd w:id="338"/>
      <w:bookmarkEnd w:id="339"/>
      <w:bookmarkEnd w:id="340"/>
      <w:bookmarkEnd w:id="341"/>
      <w:bookmarkEnd w:id="342"/>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36.1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29"/>
        <w:spacing w:line="400" w:lineRule="exact"/>
        <w:rPr>
          <w:rFonts w:hint="eastAsia" w:ascii="仿宋" w:hAnsi="仿宋" w:eastAsia="仿宋" w:cs="仿宋"/>
          <w:b w:val="0"/>
          <w:bCs w:val="0"/>
          <w:color w:val="auto"/>
          <w:highlight w:val="none"/>
        </w:rPr>
      </w:pPr>
      <w:r>
        <w:rPr>
          <w:rFonts w:hint="eastAsia" w:ascii="仿宋" w:hAnsi="仿宋" w:eastAsia="仿宋" w:cs="仿宋"/>
          <w:color w:val="auto"/>
          <w:highlight w:val="none"/>
        </w:rPr>
        <w:t xml:space="preserve">36.2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对本项目提出质疑，必须按照相关法律法规的要求和程序，提供的质疑材料必须具备事实依据和法律依</w:t>
      </w:r>
      <w:r>
        <w:rPr>
          <w:rFonts w:hint="eastAsia" w:ascii="仿宋" w:hAnsi="仿宋" w:eastAsia="仿宋" w:cs="仿宋"/>
          <w:b w:val="0"/>
          <w:bCs w:val="0"/>
          <w:color w:val="auto"/>
          <w:highlight w:val="none"/>
        </w:rPr>
        <w:t>据。质疑函应当包含具体的质疑事项及事实依据，不得进行虚假及恶意质疑，如所提供的质疑材料出现恶意诋毁或与事实不符等现象，我公司将该企业的行为上报相应主管部门。</w:t>
      </w:r>
    </w:p>
    <w:p>
      <w:pPr>
        <w:pStyle w:val="29"/>
        <w:spacing w:line="400" w:lineRule="exact"/>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36.4 质疑</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将依法承担不利后果。</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36.5  采购代理机构质疑函接收部门、联系电话和通讯地址, 见</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须知资料表。</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36.6   供应商认为采购文件、采购过程和</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结果使自己的权益受到损害的，可以在知道或者应知其权益受到损害之日起7个工作日内，以书面形式向采购方提出质疑。供应商应知其权益受到损害之日，是指：</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（一）对可以质疑的采购文件提出质疑的，为收到采购文件之日或者采购文件公告期限届满之日；</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（三）对</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结果提出质疑的，为</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结果公告期限届满之日。</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36.8   对采购过程和</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结果提出质疑的，质疑人为直接参与本项目的报价方。采购过程,即从采购项目信息公告发布起到</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结果公告止，包括采购文件的发出、提交响应文件、响应文件开启、评审等各个采购程序环节。</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36.11  质疑人所提供的证明材料应当具有真实性、合法性以及与质疑事项的关联性和证明力，否则不能作为认定该质疑事项成立的依据。</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36.12  质疑人提出质疑时应当提交质疑函。质疑函包括下列内容：</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36.13  质疑人可以委托代理人进行质疑。代理人应当提交授权委托书。授权委托书应当载明委托代理的具体权限、期限和相关事项。</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36.14  质疑的审查和受理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36.15  对不符合质疑受理条件的，分别按照下列不同情形予以处理：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36.16  质疑的处理和答复</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36.17  采购方受理质疑后，将及时把质疑函发送给被质疑人，并要求其在一定限期内提交书面答复，同时提供有关证据、依据和相关材料。</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36.18  对于质疑事项中涉及的问题较多、情况比较复杂的，为了全面查清事实、取得充分的证据，采购方认为有必要时，可以进行调查取证或者组织质证。</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36.19  对评审过程、</w:t>
      </w:r>
      <w:r>
        <w:rPr>
          <w:rFonts w:hint="eastAsia" w:ascii="仿宋" w:hAnsi="仿宋" w:eastAsia="仿宋" w:cs="仿宋"/>
          <w:color w:val="auto"/>
          <w:sz w:val="24"/>
          <w:highlight w:val="none"/>
          <w:lang w:eastAsia="zh-CN"/>
        </w:rPr>
        <w:t>中标</w:t>
      </w:r>
      <w:r>
        <w:rPr>
          <w:rFonts w:hint="eastAsia" w:ascii="仿宋" w:hAnsi="仿宋" w:eastAsia="仿宋" w:cs="仿宋"/>
          <w:color w:val="auto"/>
          <w:sz w:val="24"/>
          <w:highlight w:val="none"/>
        </w:rPr>
        <w:t>结果提出质疑的，采购方可以组织原评审委员会协助答复质疑。</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36.20  质疑处理过程中，质疑人书面申请撤回质疑的，将终止质疑处理程序。</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36.21  质疑人拒绝配合采购方依法对质疑进行调查处理的，采购方将按质疑人自动撤回质疑处理；被质疑人拒绝配合采购方依法对质疑进行调查处理的，采购方将视同其认可质疑事项。</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36.22  质疑人拒绝配合采购方依法对质疑进行调查处理的，采购方将按质疑人自动撤回质疑处理；被质疑人拒绝配合采购方依法对质疑进行调查处理的，采购方将视同其认可质疑事项。</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36.23  采购方将在正式受理质疑后7个工作日内作出答复。</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36</w:t>
      </w:r>
      <w:r>
        <w:rPr>
          <w:rFonts w:hint="eastAsia" w:ascii="仿宋" w:hAnsi="仿宋" w:eastAsia="仿宋" w:cs="仿宋"/>
          <w:color w:val="auto"/>
          <w:highlight w:val="none"/>
        </w:rPr>
        <w:t>.24  质疑答复应当包括下列内容：</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（一）质疑人的姓名或者名称；</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（二）收到质疑函的日期、质疑项目名称及编号；</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（三）质疑事项、质疑答复的具体内容、事实依据和法律依据；</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（四）告知质疑供应商依法投诉的权利；</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（五）质疑答复人名称；</w:t>
      </w:r>
    </w:p>
    <w:p>
      <w:pPr>
        <w:pStyle w:val="29"/>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hint="eastAsia" w:ascii="仿宋" w:hAnsi="仿宋" w:eastAsia="仿宋" w:cs="仿宋"/>
          <w:b/>
          <w:bCs/>
          <w:color w:val="auto"/>
          <w:sz w:val="24"/>
          <w:highlight w:val="none"/>
        </w:rPr>
      </w:pPr>
      <w:r>
        <w:rPr>
          <w:rFonts w:hint="eastAsia" w:ascii="仿宋" w:hAnsi="仿宋" w:eastAsia="仿宋" w:cs="仿宋"/>
          <w:color w:val="auto"/>
          <w:highlight w:val="none"/>
        </w:rPr>
        <w:t>（六）答复质疑的日期。</w:t>
      </w:r>
    </w:p>
    <w:p>
      <w:pPr>
        <w:spacing w:line="400" w:lineRule="exact"/>
        <w:jc w:val="center"/>
        <w:outlineLvl w:val="2"/>
        <w:rPr>
          <w:rFonts w:hint="eastAsia" w:ascii="仿宋" w:hAnsi="仿宋" w:eastAsia="仿宋" w:cs="仿宋"/>
          <w:b/>
          <w:bCs/>
          <w:color w:val="auto"/>
          <w:sz w:val="24"/>
          <w:highlight w:val="none"/>
        </w:rPr>
      </w:pPr>
      <w:bookmarkStart w:id="343" w:name="_Toc30093"/>
      <w:bookmarkStart w:id="344" w:name="_Toc15318"/>
      <w:bookmarkStart w:id="345" w:name="_Toc16553"/>
      <w:r>
        <w:rPr>
          <w:rFonts w:hint="eastAsia" w:ascii="仿宋" w:hAnsi="仿宋" w:eastAsia="仿宋" w:cs="仿宋"/>
          <w:b/>
          <w:bCs/>
          <w:color w:val="auto"/>
          <w:sz w:val="24"/>
          <w:highlight w:val="none"/>
        </w:rPr>
        <w:t>质疑函范本</w:t>
      </w:r>
      <w:bookmarkEnd w:id="343"/>
      <w:bookmarkEnd w:id="344"/>
      <w:bookmarkEnd w:id="345"/>
    </w:p>
    <w:p>
      <w:pPr>
        <w:adjustRightInd w:val="0"/>
        <w:snapToGrid w:val="0"/>
        <w:spacing w:before="240" w:beforeLines="100"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adjustRightInd w:val="0"/>
        <w:snapToGrid w:val="0"/>
        <w:spacing w:before="240" w:beforeLines="100"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adjustRightInd w:val="0"/>
        <w:snapToGrid w:val="0"/>
        <w:spacing w:before="240" w:beforeLines="100"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adjustRightInd w:val="0"/>
        <w:snapToGrid w:val="0"/>
        <w:spacing w:before="240" w:beforeLines="100"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adjustRightInd w:val="0"/>
        <w:snapToGrid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签字(签章)：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公章：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400" w:lineRule="exact"/>
        <w:rPr>
          <w:rFonts w:hint="eastAsia" w:ascii="仿宋" w:hAnsi="仿宋" w:eastAsia="仿宋" w:cs="仿宋"/>
          <w:b/>
          <w:color w:val="auto"/>
          <w:sz w:val="24"/>
          <w:highlight w:val="none"/>
        </w:rPr>
      </w:pPr>
    </w:p>
    <w:p>
      <w:p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pStyle w:val="5"/>
        <w:spacing w:line="400" w:lineRule="exact"/>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pPr>
        <w:pStyle w:val="2"/>
        <w:spacing w:before="0" w:after="0" w:line="240" w:lineRule="atLeast"/>
        <w:ind w:left="1844" w:firstLine="964" w:firstLineChars="300"/>
        <w:jc w:val="left"/>
        <w:rPr>
          <w:rFonts w:hint="eastAsia" w:ascii="仿宋" w:hAnsi="仿宋" w:eastAsia="仿宋" w:cs="仿宋"/>
          <w:color w:val="auto"/>
          <w:szCs w:val="32"/>
          <w:highlight w:val="none"/>
        </w:rPr>
      </w:pPr>
      <w:bookmarkStart w:id="346" w:name="_Toc515647802"/>
      <w:bookmarkStart w:id="347" w:name="_Toc3574"/>
      <w:bookmarkStart w:id="348" w:name="_Toc702"/>
      <w:bookmarkStart w:id="349" w:name="_Toc29770"/>
      <w:bookmarkStart w:id="350" w:name="_Toc728"/>
      <w:bookmarkStart w:id="351" w:name="_Toc216582812"/>
      <w:bookmarkStart w:id="352" w:name="_Toc16274"/>
      <w:r>
        <w:rPr>
          <w:rFonts w:hint="eastAsia" w:ascii="仿宋" w:hAnsi="仿宋" w:eastAsia="仿宋" w:cs="仿宋"/>
          <w:color w:val="auto"/>
          <w:szCs w:val="32"/>
          <w:highlight w:val="none"/>
          <w:lang w:eastAsia="zh-CN"/>
        </w:rPr>
        <w:t>第</w:t>
      </w:r>
      <w:r>
        <w:rPr>
          <w:rFonts w:hint="eastAsia" w:ascii="仿宋" w:hAnsi="仿宋" w:eastAsia="仿宋" w:cs="仿宋"/>
          <w:color w:val="auto"/>
          <w:szCs w:val="32"/>
          <w:highlight w:val="none"/>
          <w:lang w:val="en-US" w:eastAsia="zh-CN"/>
        </w:rPr>
        <w:t xml:space="preserve">2章   </w:t>
      </w:r>
      <w:r>
        <w:rPr>
          <w:rFonts w:hint="eastAsia" w:ascii="仿宋" w:hAnsi="仿宋" w:eastAsia="仿宋" w:cs="仿宋"/>
          <w:color w:val="auto"/>
          <w:szCs w:val="32"/>
          <w:highlight w:val="none"/>
        </w:rPr>
        <w:t>投标文件格式</w:t>
      </w:r>
      <w:bookmarkEnd w:id="346"/>
      <w:bookmarkEnd w:id="347"/>
      <w:bookmarkEnd w:id="348"/>
      <w:bookmarkEnd w:id="349"/>
      <w:bookmarkEnd w:id="350"/>
      <w:bookmarkEnd w:id="351"/>
      <w:bookmarkEnd w:id="352"/>
    </w:p>
    <w:p>
      <w:pPr>
        <w:spacing w:line="240" w:lineRule="atLeast"/>
        <w:ind w:left="735" w:leftChars="350" w:firstLine="105" w:firstLineChars="50"/>
        <w:rPr>
          <w:rFonts w:hint="eastAsia" w:ascii="仿宋" w:hAnsi="仿宋" w:eastAsia="仿宋" w:cs="仿宋"/>
          <w:color w:val="auto"/>
          <w:szCs w:val="21"/>
          <w:highlight w:val="none"/>
        </w:rPr>
      </w:pPr>
    </w:p>
    <w:p>
      <w:pPr>
        <w:pStyle w:val="3"/>
        <w:spacing w:before="0" w:line="240" w:lineRule="atLeast"/>
        <w:ind w:left="1080" w:leftChars="257" w:hanging="540"/>
        <w:rPr>
          <w:rFonts w:hint="eastAsia" w:ascii="仿宋" w:hAnsi="仿宋" w:eastAsia="仿宋" w:cs="仿宋"/>
          <w:color w:val="auto"/>
          <w:sz w:val="28"/>
          <w:szCs w:val="28"/>
          <w:highlight w:val="none"/>
        </w:rPr>
      </w:pPr>
      <w:bookmarkStart w:id="353" w:name="_Toc32079"/>
      <w:bookmarkStart w:id="354" w:name="_Toc22572"/>
      <w:bookmarkStart w:id="355" w:name="_Toc18974"/>
      <w:bookmarkStart w:id="356" w:name="_Toc515647803"/>
      <w:bookmarkStart w:id="357" w:name="_Toc32123"/>
      <w:bookmarkStart w:id="358" w:name="_Toc18694"/>
      <w:bookmarkStart w:id="359" w:name="_Toc30912"/>
      <w:r>
        <w:rPr>
          <w:rFonts w:hint="eastAsia" w:ascii="仿宋" w:hAnsi="仿宋" w:eastAsia="仿宋" w:cs="仿宋"/>
          <w:color w:val="auto"/>
          <w:sz w:val="28"/>
          <w:szCs w:val="28"/>
          <w:highlight w:val="none"/>
        </w:rPr>
        <w:t>第一部分 开标一览表及资格证明文件</w:t>
      </w:r>
      <w:bookmarkEnd w:id="353"/>
      <w:bookmarkEnd w:id="354"/>
      <w:bookmarkEnd w:id="355"/>
      <w:bookmarkEnd w:id="356"/>
      <w:bookmarkEnd w:id="357"/>
      <w:bookmarkEnd w:id="358"/>
      <w:bookmarkEnd w:id="359"/>
    </w:p>
    <w:p>
      <w:pPr>
        <w:spacing w:line="240" w:lineRule="atLeast"/>
        <w:ind w:left="619" w:hanging="619" w:hangingChars="295"/>
        <w:jc w:val="center"/>
        <w:rPr>
          <w:rFonts w:hint="eastAsia" w:ascii="仿宋" w:hAnsi="仿宋" w:eastAsia="仿宋" w:cs="仿宋"/>
          <w:color w:val="auto"/>
          <w:szCs w:val="21"/>
          <w:highlight w:val="none"/>
        </w:rPr>
      </w:pPr>
    </w:p>
    <w:p>
      <w:pPr>
        <w:widowControl/>
        <w:spacing w:line="48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1、报价一览表；</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2.具有相应经营范围的企业营业执照、《银行开户许可证》或《基本存款账户信息》；</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3.法人本人投标需提供法人身份证及法定代表人资格证明书；授权委托人投标需提供法人授权委托书、法人身份证复印件及被授权委托人身份证；</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4.具有良好的商业信誉和健全的财务会计制度，提供2022年度经审计的财务报告；（2022年10月份后成立的公司提供近三个月任意一个月的银行资信证明）；</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5.投标企业在项目进行期内提供本单位缴纳的近三个月任意一个月的社保缴纳证明、具有税务局开具依法缴纳近三个月任意一个月完税证明；</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有效</w:t>
      </w:r>
      <w:r>
        <w:rPr>
          <w:rFonts w:hint="eastAsia" w:ascii="仿宋" w:hAnsi="仿宋" w:eastAsia="仿宋" w:cs="仿宋"/>
          <w:sz w:val="24"/>
          <w:szCs w:val="24"/>
          <w:highlight w:val="none"/>
          <w:lang w:eastAsia="zh-CN"/>
        </w:rPr>
        <w:t>期内</w:t>
      </w:r>
      <w:r>
        <w:rPr>
          <w:rFonts w:hint="eastAsia" w:ascii="仿宋" w:hAnsi="仿宋" w:eastAsia="仿宋" w:cs="仿宋"/>
          <w:sz w:val="24"/>
          <w:szCs w:val="24"/>
          <w:highlight w:val="none"/>
        </w:rPr>
        <w:t>的《餐饮服务许可证》或《食品经营许可证》</w:t>
      </w:r>
      <w:r>
        <w:rPr>
          <w:rFonts w:hint="eastAsia" w:ascii="仿宋" w:hAnsi="仿宋" w:eastAsia="仿宋" w:cs="仿宋"/>
          <w:sz w:val="24"/>
          <w:szCs w:val="24"/>
          <w:highlight w:val="none"/>
          <w:lang w:val="en-US" w:eastAsia="zh-CN"/>
        </w:rPr>
        <w:t>、大厨具备国家认可的二级厨师证及以上资质，二厨具备国家认可的三级厨师证及以上资质</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8.提供针对本次项目《反商业贿赂承诺书》；</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9.参加政府采购活动前三年内在经营活动中没有重大违法记录的书面声明</w:t>
      </w:r>
    </w:p>
    <w:p>
      <w:pPr>
        <w:widowControl/>
        <w:spacing w:line="48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10.缴纳投标保证的有效凭证；</w:t>
      </w:r>
    </w:p>
    <w:p>
      <w:pPr>
        <w:widowControl/>
        <w:spacing w:line="48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11、投标人可提供有利于投标的其他资格证明材料</w:t>
      </w:r>
      <w:r>
        <w:rPr>
          <w:rFonts w:hint="eastAsia" w:ascii="仿宋" w:hAnsi="仿宋" w:eastAsia="仿宋" w:cs="仿宋"/>
          <w:sz w:val="24"/>
          <w:szCs w:val="24"/>
          <w:highlight w:val="none"/>
        </w:rPr>
        <w:t>。</w:t>
      </w:r>
    </w:p>
    <w:p>
      <w:pPr>
        <w:tabs>
          <w:tab w:val="left" w:pos="5580"/>
        </w:tabs>
        <w:spacing w:line="400" w:lineRule="exact"/>
        <w:ind w:firstLine="480" w:firstLineChars="200"/>
        <w:rPr>
          <w:rFonts w:hint="eastAsia" w:ascii="仿宋" w:hAnsi="仿宋" w:eastAsia="仿宋" w:cs="仿宋"/>
          <w:color w:val="auto"/>
          <w:sz w:val="24"/>
          <w:highlight w:val="none"/>
        </w:rPr>
      </w:pPr>
    </w:p>
    <w:p>
      <w:pPr>
        <w:tabs>
          <w:tab w:val="left" w:pos="5580"/>
        </w:tabs>
        <w:spacing w:line="400" w:lineRule="exact"/>
        <w:ind w:firstLine="480" w:firstLineChars="200"/>
        <w:rPr>
          <w:rFonts w:hint="eastAsia" w:ascii="仿宋" w:hAnsi="仿宋" w:eastAsia="仿宋" w:cs="仿宋"/>
          <w:color w:val="auto"/>
          <w:sz w:val="24"/>
          <w:highlight w:val="none"/>
        </w:rPr>
      </w:pPr>
    </w:p>
    <w:p>
      <w:pPr>
        <w:pStyle w:val="5"/>
        <w:rPr>
          <w:rFonts w:hint="eastAsia" w:ascii="仿宋" w:hAnsi="仿宋" w:eastAsia="仿宋" w:cs="仿宋"/>
          <w:color w:val="auto"/>
          <w:sz w:val="21"/>
          <w:szCs w:val="21"/>
          <w:highlight w:val="none"/>
        </w:rPr>
      </w:pPr>
    </w:p>
    <w:p>
      <w:pPr>
        <w:tabs>
          <w:tab w:val="left" w:pos="5580"/>
        </w:tabs>
        <w:spacing w:line="240" w:lineRule="atLeast"/>
        <w:rPr>
          <w:rFonts w:hint="eastAsia" w:ascii="仿宋" w:hAnsi="仿宋" w:eastAsia="仿宋" w:cs="仿宋"/>
          <w:color w:val="auto"/>
          <w:szCs w:val="21"/>
          <w:highlight w:val="none"/>
        </w:rPr>
      </w:pPr>
    </w:p>
    <w:p>
      <w:pPr>
        <w:pStyle w:val="9"/>
        <w:rPr>
          <w:rFonts w:hint="eastAsia" w:ascii="仿宋" w:hAnsi="仿宋" w:eastAsia="仿宋" w:cs="仿宋"/>
          <w:color w:val="auto"/>
          <w:szCs w:val="21"/>
          <w:highlight w:val="none"/>
        </w:rPr>
      </w:pPr>
    </w:p>
    <w:p>
      <w:pPr>
        <w:pStyle w:val="9"/>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5"/>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pStyle w:val="20"/>
        <w:rPr>
          <w:rFonts w:hint="eastAsia" w:ascii="仿宋" w:hAnsi="仿宋" w:eastAsia="仿宋" w:cs="仿宋"/>
          <w:color w:val="auto"/>
          <w:szCs w:val="21"/>
          <w:highlight w:val="none"/>
        </w:rPr>
      </w:pPr>
    </w:p>
    <w:p>
      <w:pPr>
        <w:rPr>
          <w:rFonts w:hint="eastAsia" w:ascii="仿宋" w:hAnsi="仿宋" w:eastAsia="仿宋" w:cs="仿宋"/>
          <w:highlight w:val="none"/>
        </w:rPr>
      </w:pPr>
    </w:p>
    <w:p>
      <w:pPr>
        <w:pStyle w:val="9"/>
        <w:ind w:left="0" w:leftChars="0" w:firstLine="0" w:firstLineChars="0"/>
        <w:rPr>
          <w:rFonts w:hint="eastAsia" w:ascii="仿宋" w:hAnsi="仿宋" w:eastAsia="仿宋" w:cs="仿宋"/>
          <w:color w:val="auto"/>
          <w:szCs w:val="21"/>
          <w:highlight w:val="none"/>
        </w:rPr>
      </w:pPr>
    </w:p>
    <w:p>
      <w:pPr>
        <w:pStyle w:val="9"/>
        <w:ind w:left="0" w:leftChars="0" w:firstLine="0" w:firstLineChars="0"/>
        <w:rPr>
          <w:rFonts w:hint="eastAsia" w:ascii="仿宋" w:hAnsi="仿宋" w:eastAsia="仿宋" w:cs="仿宋"/>
          <w:color w:val="auto"/>
          <w:szCs w:val="21"/>
          <w:highlight w:val="none"/>
        </w:rPr>
      </w:pPr>
    </w:p>
    <w:p>
      <w:pPr>
        <w:pStyle w:val="3"/>
        <w:spacing w:before="0" w:line="400" w:lineRule="exact"/>
        <w:jc w:val="both"/>
        <w:rPr>
          <w:rFonts w:hint="eastAsia" w:ascii="仿宋" w:hAnsi="仿宋" w:eastAsia="仿宋" w:cs="仿宋"/>
          <w:color w:val="auto"/>
          <w:sz w:val="24"/>
          <w:highlight w:val="none"/>
        </w:rPr>
      </w:pPr>
      <w:bookmarkStart w:id="360" w:name="_Toc16750"/>
      <w:bookmarkStart w:id="361" w:name="_Toc11138"/>
      <w:bookmarkStart w:id="362" w:name="_Toc29091"/>
      <w:bookmarkStart w:id="363" w:name="_Toc16568"/>
      <w:bookmarkStart w:id="364" w:name="_Toc13595"/>
      <w:bookmarkStart w:id="365" w:name="_Toc522"/>
      <w:bookmarkStart w:id="366" w:name="_Toc21614"/>
      <w:bookmarkStart w:id="367" w:name="_Toc515647804"/>
      <w:bookmarkStart w:id="368" w:name="_Toc3620"/>
      <w:bookmarkStart w:id="369" w:name="_Toc14118"/>
      <w:bookmarkStart w:id="370" w:name="_Toc30630"/>
      <w:bookmarkStart w:id="371" w:name="_Toc30524"/>
      <w:bookmarkStart w:id="372" w:name="_Toc25472"/>
      <w:bookmarkStart w:id="373" w:name="_Toc216582813"/>
      <w:bookmarkStart w:id="374" w:name="_Toc480942349"/>
      <w:bookmarkStart w:id="375" w:name="_Ref467988698"/>
      <w:bookmarkStart w:id="376" w:name="_Toc520356217"/>
    </w:p>
    <w:p>
      <w:pPr>
        <w:pStyle w:val="3"/>
        <w:spacing w:before="0"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开标一览表（投标文件格式一）</w:t>
      </w:r>
      <w:bookmarkEnd w:id="360"/>
      <w:bookmarkEnd w:id="361"/>
      <w:bookmarkEnd w:id="362"/>
      <w:bookmarkEnd w:id="363"/>
      <w:bookmarkEnd w:id="364"/>
      <w:bookmarkEnd w:id="365"/>
      <w:bookmarkEnd w:id="366"/>
      <w:bookmarkEnd w:id="367"/>
      <w:bookmarkEnd w:id="368"/>
      <w:bookmarkEnd w:id="369"/>
      <w:bookmarkEnd w:id="370"/>
      <w:bookmarkEnd w:id="371"/>
      <w:bookmarkEnd w:id="372"/>
    </w:p>
    <w:p>
      <w:pPr>
        <w:pStyle w:val="11"/>
        <w:tabs>
          <w:tab w:val="left" w:pos="5580"/>
        </w:tabs>
        <w:spacing w:line="400" w:lineRule="exact"/>
        <w:rPr>
          <w:rFonts w:hint="eastAsia" w:ascii="仿宋" w:hAnsi="仿宋" w:eastAsia="仿宋" w:cs="仿宋"/>
          <w:color w:val="auto"/>
          <w:sz w:val="24"/>
          <w:szCs w:val="24"/>
          <w:highlight w:val="none"/>
        </w:rPr>
      </w:pPr>
    </w:p>
    <w:p>
      <w:pPr>
        <w:pStyle w:val="5"/>
        <w:tabs>
          <w:tab w:val="left" w:pos="5580"/>
        </w:tabs>
        <w:spacing w:line="400" w:lineRule="exact"/>
        <w:ind w:left="1080" w:leftChars="257" w:hanging="540"/>
        <w:jc w:val="center"/>
        <w:rPr>
          <w:rFonts w:hint="eastAsia" w:ascii="仿宋" w:hAnsi="仿宋" w:eastAsia="仿宋" w:cs="仿宋"/>
          <w:color w:val="auto"/>
          <w:highlight w:val="none"/>
        </w:rPr>
      </w:pPr>
      <w:bookmarkStart w:id="377" w:name="_Hlt520356241"/>
      <w:bookmarkEnd w:id="377"/>
      <w:bookmarkStart w:id="378" w:name="_Toc494296984"/>
      <w:r>
        <w:rPr>
          <w:rFonts w:hint="eastAsia" w:ascii="仿宋" w:hAnsi="仿宋" w:eastAsia="仿宋" w:cs="仿宋"/>
          <w:b/>
          <w:color w:val="auto"/>
          <w:highlight w:val="none"/>
        </w:rPr>
        <w:t>开标一览表</w:t>
      </w:r>
      <w:bookmarkEnd w:id="378"/>
    </w:p>
    <w:p>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w:t>
      </w:r>
    </w:p>
    <w:p>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报价单位：</w:t>
      </w:r>
      <w:r>
        <w:rPr>
          <w:rFonts w:hint="eastAsia" w:ascii="仿宋" w:hAnsi="仿宋" w:eastAsia="仿宋" w:cs="仿宋"/>
          <w:color w:val="auto"/>
          <w:sz w:val="24"/>
          <w:highlight w:val="none"/>
          <w:lang w:val="en-US" w:eastAsia="zh-CN"/>
        </w:rPr>
        <w:t>人民币元</w:t>
      </w:r>
    </w:p>
    <w:tbl>
      <w:tblPr>
        <w:tblStyle w:val="21"/>
        <w:tblW w:w="9552" w:type="dxa"/>
        <w:tblInd w:w="-278" w:type="dxa"/>
        <w:tblLayout w:type="fixed"/>
        <w:tblCellMar>
          <w:top w:w="0" w:type="dxa"/>
          <w:left w:w="0" w:type="dxa"/>
          <w:bottom w:w="0" w:type="dxa"/>
          <w:right w:w="0" w:type="dxa"/>
        </w:tblCellMar>
      </w:tblPr>
      <w:tblGrid>
        <w:gridCol w:w="1212"/>
        <w:gridCol w:w="1539"/>
        <w:gridCol w:w="1350"/>
        <w:gridCol w:w="1380"/>
        <w:gridCol w:w="1500"/>
        <w:gridCol w:w="2571"/>
      </w:tblGrid>
      <w:tr>
        <w:tblPrEx>
          <w:tblCellMar>
            <w:top w:w="0" w:type="dxa"/>
            <w:left w:w="0" w:type="dxa"/>
            <w:bottom w:w="0" w:type="dxa"/>
            <w:right w:w="0" w:type="dxa"/>
          </w:tblCellMar>
        </w:tblPrEx>
        <w:trPr>
          <w:trHeight w:val="662" w:hRule="atLeast"/>
        </w:trPr>
        <w:tc>
          <w:tcPr>
            <w:tcW w:w="1212"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400" w:lineRule="exact"/>
              <w:ind w:right="-199" w:firstLine="220" w:firstLineChars="1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项目名称</w:t>
            </w:r>
          </w:p>
        </w:tc>
        <w:tc>
          <w:tcPr>
            <w:tcW w:w="1539"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投标总价</w:t>
            </w:r>
          </w:p>
        </w:tc>
        <w:tc>
          <w:tcPr>
            <w:tcW w:w="1350" w:type="dxa"/>
            <w:tcBorders>
              <w:top w:val="single" w:color="auto" w:sz="8" w:space="0"/>
              <w:left w:val="nil"/>
              <w:bottom w:val="single" w:color="auto" w:sz="8"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1380" w:type="dxa"/>
            <w:tcBorders>
              <w:top w:val="single" w:color="auto" w:sz="8" w:space="0"/>
              <w:left w:val="nil"/>
              <w:bottom w:val="single" w:color="auto" w:sz="8"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服务期</w:t>
            </w:r>
          </w:p>
        </w:tc>
        <w:tc>
          <w:tcPr>
            <w:tcW w:w="1500" w:type="dxa"/>
            <w:tcBorders>
              <w:top w:val="single" w:color="auto" w:sz="8" w:space="0"/>
              <w:left w:val="nil"/>
              <w:bottom w:val="single" w:color="auto" w:sz="8"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服务</w:t>
            </w:r>
            <w:r>
              <w:rPr>
                <w:rFonts w:hint="eastAsia" w:ascii="仿宋" w:hAnsi="仿宋" w:eastAsia="仿宋" w:cs="仿宋"/>
                <w:color w:val="auto"/>
                <w:sz w:val="22"/>
                <w:szCs w:val="22"/>
                <w:highlight w:val="none"/>
              </w:rPr>
              <w:t>地点</w:t>
            </w:r>
          </w:p>
        </w:tc>
        <w:tc>
          <w:tcPr>
            <w:tcW w:w="2571"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r>
      <w:tr>
        <w:tblPrEx>
          <w:tblCellMar>
            <w:top w:w="0" w:type="dxa"/>
            <w:left w:w="0" w:type="dxa"/>
            <w:bottom w:w="0" w:type="dxa"/>
            <w:right w:w="0" w:type="dxa"/>
          </w:tblCellMar>
        </w:tblPrEx>
        <w:trPr>
          <w:cantSplit/>
          <w:trHeight w:val="1940" w:hRule="atLeast"/>
        </w:trPr>
        <w:tc>
          <w:tcPr>
            <w:tcW w:w="1212"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400" w:lineRule="exact"/>
              <w:ind w:left="1080" w:leftChars="257" w:hanging="540"/>
              <w:jc w:val="center"/>
              <w:rPr>
                <w:rFonts w:hint="eastAsia" w:ascii="仿宋" w:hAnsi="仿宋" w:eastAsia="仿宋" w:cs="仿宋"/>
                <w:color w:val="auto"/>
                <w:sz w:val="24"/>
                <w:highlight w:val="none"/>
              </w:rPr>
            </w:pPr>
          </w:p>
        </w:tc>
        <w:tc>
          <w:tcPr>
            <w:tcW w:w="1539"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400" w:lineRule="exact"/>
              <w:jc w:val="left"/>
              <w:rPr>
                <w:rFonts w:hint="eastAsia" w:ascii="仿宋" w:hAnsi="仿宋" w:eastAsia="仿宋" w:cs="仿宋"/>
                <w:color w:val="auto"/>
                <w:sz w:val="24"/>
                <w:highlight w:val="none"/>
              </w:rPr>
            </w:pPr>
          </w:p>
        </w:tc>
        <w:tc>
          <w:tcPr>
            <w:tcW w:w="1350" w:type="dxa"/>
            <w:tcBorders>
              <w:top w:val="single" w:color="auto" w:sz="8" w:space="0"/>
              <w:left w:val="nil"/>
              <w:bottom w:val="single" w:color="auto" w:sz="4" w:space="0"/>
              <w:right w:val="single" w:color="auto" w:sz="4" w:space="0"/>
            </w:tcBorders>
            <w:noWrap w:val="0"/>
            <w:vAlign w:val="center"/>
          </w:tcPr>
          <w:p>
            <w:pPr>
              <w:tabs>
                <w:tab w:val="left" w:pos="5580"/>
              </w:tabs>
              <w:spacing w:line="400" w:lineRule="exact"/>
              <w:ind w:left="1080" w:leftChars="257" w:hanging="540"/>
              <w:jc w:val="center"/>
              <w:rPr>
                <w:rFonts w:hint="eastAsia" w:ascii="仿宋" w:hAnsi="仿宋" w:eastAsia="仿宋" w:cs="仿宋"/>
                <w:color w:val="auto"/>
                <w:sz w:val="24"/>
                <w:highlight w:val="none"/>
              </w:rPr>
            </w:pPr>
          </w:p>
        </w:tc>
        <w:tc>
          <w:tcPr>
            <w:tcW w:w="1380" w:type="dxa"/>
            <w:tcBorders>
              <w:top w:val="single" w:color="auto" w:sz="8" w:space="0"/>
              <w:left w:val="nil"/>
              <w:bottom w:val="single" w:color="auto" w:sz="4" w:space="0"/>
              <w:right w:val="single" w:color="auto" w:sz="4" w:space="0"/>
            </w:tcBorders>
            <w:noWrap w:val="0"/>
            <w:vAlign w:val="center"/>
          </w:tcPr>
          <w:p>
            <w:pPr>
              <w:tabs>
                <w:tab w:val="left" w:pos="5580"/>
              </w:tabs>
              <w:spacing w:line="400" w:lineRule="exact"/>
              <w:ind w:left="1080" w:leftChars="257" w:hanging="540"/>
              <w:jc w:val="center"/>
              <w:rPr>
                <w:rFonts w:hint="eastAsia" w:ascii="仿宋" w:hAnsi="仿宋" w:eastAsia="仿宋" w:cs="仿宋"/>
                <w:color w:val="auto"/>
                <w:sz w:val="24"/>
                <w:highlight w:val="none"/>
              </w:rPr>
            </w:pPr>
          </w:p>
        </w:tc>
        <w:tc>
          <w:tcPr>
            <w:tcW w:w="1500" w:type="dxa"/>
            <w:tcBorders>
              <w:top w:val="single" w:color="auto" w:sz="8" w:space="0"/>
              <w:left w:val="nil"/>
              <w:bottom w:val="single" w:color="auto" w:sz="4" w:space="0"/>
              <w:right w:val="single" w:color="auto" w:sz="4" w:space="0"/>
            </w:tcBorders>
            <w:noWrap w:val="0"/>
            <w:vAlign w:val="center"/>
          </w:tcPr>
          <w:p>
            <w:pPr>
              <w:tabs>
                <w:tab w:val="left" w:pos="5580"/>
              </w:tabs>
              <w:spacing w:line="400" w:lineRule="exact"/>
              <w:ind w:left="1080" w:leftChars="257" w:hanging="540"/>
              <w:jc w:val="center"/>
              <w:rPr>
                <w:rFonts w:hint="eastAsia" w:ascii="仿宋" w:hAnsi="仿宋" w:eastAsia="仿宋" w:cs="仿宋"/>
                <w:color w:val="auto"/>
                <w:sz w:val="24"/>
                <w:highlight w:val="none"/>
              </w:rPr>
            </w:pPr>
          </w:p>
        </w:tc>
        <w:tc>
          <w:tcPr>
            <w:tcW w:w="2571" w:type="dxa"/>
            <w:tcBorders>
              <w:top w:val="single" w:color="auto" w:sz="8" w:space="0"/>
              <w:left w:val="single" w:color="auto" w:sz="4" w:space="0"/>
              <w:bottom w:val="single" w:color="auto" w:sz="4" w:space="0"/>
              <w:right w:val="single" w:color="auto" w:sz="8" w:space="0"/>
            </w:tcBorders>
            <w:noWrap w:val="0"/>
            <w:vAlign w:val="center"/>
          </w:tcPr>
          <w:p>
            <w:pPr>
              <w:pStyle w:val="20"/>
              <w:ind w:left="0" w:leftChars="0" w:firstLine="0" w:firstLineChars="0"/>
              <w:rPr>
                <w:rFonts w:hint="eastAsia" w:ascii="仿宋" w:hAnsi="仿宋" w:eastAsia="仿宋" w:cs="仿宋"/>
                <w:highlight w:val="none"/>
                <w:lang w:val="en-US" w:eastAsia="zh-CN"/>
              </w:rPr>
            </w:pPr>
            <w:r>
              <w:rPr>
                <w:rFonts w:hint="eastAsia" w:ascii="仿宋" w:hAnsi="仿宋" w:eastAsia="仿宋" w:cs="仿宋"/>
                <w:color w:val="auto"/>
                <w:sz w:val="21"/>
                <w:szCs w:val="21"/>
                <w:highlight w:val="none"/>
                <w:lang w:val="en-US" w:eastAsia="zh-CN"/>
              </w:rPr>
              <w:t xml:space="preserve">   </w:t>
            </w:r>
          </w:p>
        </w:tc>
      </w:tr>
    </w:tbl>
    <w:p>
      <w:pPr>
        <w:pStyle w:val="11"/>
        <w:tabs>
          <w:tab w:val="left" w:pos="5580"/>
        </w:tabs>
        <w:spacing w:line="400" w:lineRule="exact"/>
        <w:ind w:left="1080" w:leftChars="257" w:hanging="540"/>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single"/>
          <w:lang w:val="en-US" w:eastAsia="zh-CN"/>
        </w:rPr>
        <w:t>投标报价含：人工费、社保、各项税费、卫生健康体检费、利润、工装、防护装备及合同实施过程中不可预见费用等。投标价为包干价，含餐饮服务期间产生所有费用。</w:t>
      </w: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单位公章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pPr>
        <w:pStyle w:val="11"/>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注:1、此表应按</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的规定装订密封。</w:t>
      </w:r>
    </w:p>
    <w:p>
      <w:pPr>
        <w:pStyle w:val="11"/>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此表中，</w:t>
      </w:r>
      <w:r>
        <w:rPr>
          <w:rFonts w:hint="eastAsia" w:ascii="仿宋" w:hAnsi="仿宋" w:eastAsia="仿宋" w:cs="仿宋"/>
          <w:color w:val="auto"/>
          <w:sz w:val="24"/>
          <w:highlight w:val="none"/>
          <w:lang w:val="en-US" w:eastAsia="zh-CN"/>
        </w:rPr>
        <w:t>标的</w:t>
      </w:r>
      <w:r>
        <w:rPr>
          <w:rFonts w:hint="eastAsia" w:ascii="仿宋" w:hAnsi="仿宋" w:eastAsia="仿宋" w:cs="仿宋"/>
          <w:color w:val="auto"/>
          <w:sz w:val="24"/>
          <w:highlight w:val="none"/>
        </w:rPr>
        <w:t>总价应和</w:t>
      </w:r>
      <w:r>
        <w:rPr>
          <w:rFonts w:hint="eastAsia" w:ascii="仿宋" w:hAnsi="仿宋" w:eastAsia="仿宋" w:cs="仿宋"/>
          <w:color w:val="auto"/>
          <w:sz w:val="24"/>
          <w:highlight w:val="none"/>
          <w:lang w:eastAsia="zh-CN"/>
        </w:rPr>
        <w:t>分项报价表</w:t>
      </w:r>
      <w:r>
        <w:rPr>
          <w:rFonts w:hint="eastAsia" w:ascii="仿宋" w:hAnsi="仿宋" w:eastAsia="仿宋" w:cs="仿宋"/>
          <w:color w:val="auto"/>
          <w:sz w:val="24"/>
          <w:highlight w:val="none"/>
        </w:rPr>
        <w:t>的总价相一致。</w:t>
      </w:r>
    </w:p>
    <w:p>
      <w:pPr>
        <w:pStyle w:val="11"/>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此报价包含与本项目有关的所有费用。</w:t>
      </w:r>
    </w:p>
    <w:p>
      <w:pPr>
        <w:pStyle w:val="11"/>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根据</w:t>
      </w:r>
      <w:r>
        <w:rPr>
          <w:rFonts w:hint="eastAsia" w:ascii="仿宋" w:hAnsi="仿宋" w:eastAsia="仿宋" w:cs="仿宋"/>
          <w:color w:val="auto"/>
          <w:sz w:val="24"/>
          <w:highlight w:val="none"/>
          <w:lang w:val="en-US" w:eastAsia="zh-CN"/>
        </w:rPr>
        <w:t>中华人民共和国财政部令第87号--政府采购货物和服务招标投标管理办法</w:t>
      </w:r>
      <w:r>
        <w:rPr>
          <w:rFonts w:hint="eastAsia" w:ascii="仿宋" w:hAnsi="仿宋" w:eastAsia="仿宋" w:cs="仿宋"/>
          <w:color w:val="auto"/>
          <w:sz w:val="24"/>
          <w:highlight w:val="none"/>
        </w:rPr>
        <w:t>第六十条评标委员会认为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的报价明显低于其他通过符合性审查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不能证明其报价合理性的，评标委员会应当将其作为无效投标处理。</w:t>
      </w:r>
    </w:p>
    <w:p>
      <w:pPr>
        <w:pStyle w:val="11"/>
        <w:tabs>
          <w:tab w:val="left" w:pos="5580"/>
        </w:tabs>
        <w:spacing w:line="240" w:lineRule="atLeast"/>
        <w:rPr>
          <w:rFonts w:hint="eastAsia" w:ascii="仿宋" w:hAnsi="仿宋" w:eastAsia="仿宋" w:cs="仿宋"/>
          <w:b/>
          <w:color w:val="auto"/>
          <w:sz w:val="24"/>
          <w:highlight w:val="none"/>
        </w:rPr>
      </w:pPr>
    </w:p>
    <w:p>
      <w:pPr>
        <w:pStyle w:val="11"/>
        <w:tabs>
          <w:tab w:val="left" w:pos="5580"/>
        </w:tabs>
        <w:spacing w:line="240" w:lineRule="atLeast"/>
        <w:rPr>
          <w:rFonts w:hint="eastAsia" w:ascii="仿宋" w:hAnsi="仿宋" w:eastAsia="仿宋" w:cs="仿宋"/>
          <w:b/>
          <w:color w:val="auto"/>
          <w:sz w:val="24"/>
          <w:highlight w:val="none"/>
        </w:rPr>
      </w:pPr>
    </w:p>
    <w:p>
      <w:pPr>
        <w:pStyle w:val="11"/>
        <w:tabs>
          <w:tab w:val="left" w:pos="5580"/>
        </w:tabs>
        <w:spacing w:line="240" w:lineRule="atLeast"/>
        <w:rPr>
          <w:rFonts w:hint="eastAsia" w:ascii="仿宋" w:hAnsi="仿宋" w:eastAsia="仿宋" w:cs="仿宋"/>
          <w:b/>
          <w:color w:val="auto"/>
          <w:sz w:val="24"/>
          <w:highlight w:val="none"/>
        </w:rPr>
      </w:pPr>
    </w:p>
    <w:p>
      <w:pPr>
        <w:pStyle w:val="11"/>
        <w:tabs>
          <w:tab w:val="left" w:pos="5580"/>
        </w:tabs>
        <w:spacing w:line="400" w:lineRule="exact"/>
        <w:jc w:val="both"/>
        <w:rPr>
          <w:rFonts w:hint="eastAsia" w:ascii="仿宋" w:hAnsi="仿宋" w:eastAsia="仿宋" w:cs="仿宋"/>
          <w:b/>
          <w:color w:val="auto"/>
          <w:sz w:val="24"/>
          <w:highlight w:val="none"/>
        </w:rPr>
      </w:pPr>
      <w:bookmarkStart w:id="379" w:name="_Toc3891_WPSOffice_Level2"/>
      <w:bookmarkStart w:id="380" w:name="_Toc14539"/>
      <w:bookmarkStart w:id="381" w:name="_Toc7581"/>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w:t>
      </w:r>
      <w:bookmarkEnd w:id="379"/>
      <w:bookmarkEnd w:id="380"/>
      <w:bookmarkEnd w:id="381"/>
      <w:r>
        <w:rPr>
          <w:rFonts w:hint="eastAsia" w:ascii="仿宋" w:hAnsi="仿宋" w:eastAsia="仿宋" w:cs="仿宋"/>
          <w:b/>
          <w:color w:val="auto"/>
          <w:sz w:val="24"/>
          <w:highlight w:val="none"/>
          <w:lang w:val="en-US" w:eastAsia="zh-CN"/>
        </w:rPr>
        <w:t>具有相应经营范围的企业营业执照、《银行开户许可证》或《基本存款账户信息》</w:t>
      </w:r>
      <w:r>
        <w:rPr>
          <w:rFonts w:hint="eastAsia" w:ascii="仿宋" w:hAnsi="仿宋" w:eastAsia="仿宋" w:cs="仿宋"/>
          <w:b/>
          <w:color w:val="auto"/>
          <w:sz w:val="24"/>
          <w:highlight w:val="none"/>
        </w:rPr>
        <w:t>；</w:t>
      </w:r>
    </w:p>
    <w:p>
      <w:pPr>
        <w:pStyle w:val="11"/>
        <w:tabs>
          <w:tab w:val="left" w:pos="5580"/>
        </w:tabs>
        <w:spacing w:line="400" w:lineRule="exact"/>
        <w:jc w:val="both"/>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bidi w:val="0"/>
        <w:adjustRightInd/>
        <w:spacing w:line="360" w:lineRule="exact"/>
        <w:ind w:firstLine="482" w:firstLineChars="200"/>
        <w:textAlignment w:val="auto"/>
        <w:rPr>
          <w:rFonts w:hint="eastAsia" w:ascii="仿宋" w:hAnsi="仿宋" w:eastAsia="仿宋" w:cs="仿宋"/>
          <w:b/>
          <w:color w:val="auto"/>
          <w:sz w:val="24"/>
          <w:szCs w:val="20"/>
          <w:highlight w:val="none"/>
        </w:rPr>
      </w:pPr>
      <w:bookmarkStart w:id="382" w:name="_Toc6475"/>
      <w:bookmarkStart w:id="383" w:name="_Toc3087"/>
      <w:bookmarkStart w:id="384" w:name="_Toc11840"/>
      <w:bookmarkStart w:id="385" w:name="_Toc1957"/>
      <w:bookmarkStart w:id="386" w:name="_Toc32302"/>
      <w:bookmarkStart w:id="387" w:name="_Toc28979"/>
      <w:bookmarkStart w:id="388" w:name="_Toc16184"/>
      <w:bookmarkStart w:id="389" w:name="_Toc17619"/>
    </w:p>
    <w:p>
      <w:pPr>
        <w:pStyle w:val="17"/>
        <w:rPr>
          <w:rFonts w:hint="eastAsia" w:ascii="仿宋" w:hAnsi="仿宋" w:eastAsia="仿宋" w:cs="仿宋"/>
          <w:b/>
          <w:color w:val="auto"/>
          <w:sz w:val="24"/>
          <w:szCs w:val="20"/>
          <w:highlight w:val="none"/>
        </w:rPr>
      </w:pPr>
    </w:p>
    <w:p>
      <w:pPr>
        <w:pStyle w:val="7"/>
        <w:rPr>
          <w:rFonts w:hint="eastAsia" w:ascii="仿宋" w:hAnsi="仿宋" w:eastAsia="仿宋" w:cs="仿宋"/>
          <w:highlight w:val="none"/>
        </w:rPr>
      </w:pPr>
    </w:p>
    <w:p>
      <w:pPr>
        <w:adjustRightInd w:val="0"/>
        <w:snapToGrid w:val="0"/>
        <w:spacing w:before="240" w:beforeLines="100" w:after="240" w:afterLines="100" w:line="400" w:lineRule="exact"/>
        <w:jc w:val="left"/>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sz w:val="24"/>
          <w:szCs w:val="20"/>
          <w:highlight w:val="none"/>
        </w:rPr>
        <w:t xml:space="preserve">3 </w:t>
      </w:r>
      <w:bookmarkEnd w:id="382"/>
      <w:bookmarkEnd w:id="383"/>
      <w:bookmarkEnd w:id="384"/>
      <w:bookmarkEnd w:id="385"/>
      <w:bookmarkEnd w:id="386"/>
      <w:bookmarkEnd w:id="387"/>
      <w:bookmarkEnd w:id="388"/>
      <w:r>
        <w:rPr>
          <w:rFonts w:hint="eastAsia" w:ascii="仿宋" w:hAnsi="仿宋" w:eastAsia="仿宋" w:cs="仿宋"/>
          <w:b/>
          <w:color w:val="auto"/>
          <w:kern w:val="2"/>
          <w:sz w:val="24"/>
          <w:szCs w:val="20"/>
          <w:highlight w:val="none"/>
          <w:lang w:val="en-US" w:eastAsia="zh-CN" w:bidi="ar-SA"/>
        </w:rPr>
        <w:t>、</w:t>
      </w:r>
      <w:bookmarkEnd w:id="389"/>
      <w:r>
        <w:rPr>
          <w:rFonts w:hint="eastAsia" w:ascii="仿宋" w:hAnsi="仿宋" w:eastAsia="仿宋" w:cs="仿宋"/>
          <w:b/>
          <w:color w:val="auto"/>
          <w:kern w:val="2"/>
          <w:sz w:val="24"/>
          <w:szCs w:val="20"/>
          <w:highlight w:val="none"/>
          <w:lang w:val="en-US" w:eastAsia="zh-CN" w:bidi="ar-SA"/>
        </w:rPr>
        <w:t>法人本人投标需提供法人身份证及法定代表人资格证明书；授权委托人投标需提供法人授权委托书、法人身份证复印件及被授权委托人身份证；</w:t>
      </w:r>
    </w:p>
    <w:p>
      <w:pPr>
        <w:adjustRightInd w:val="0"/>
        <w:snapToGrid w:val="0"/>
        <w:spacing w:before="240" w:beforeLines="100" w:after="240" w:afterLines="100"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法定代表人身份证明</w:t>
      </w:r>
    </w:p>
    <w:p>
      <w:pPr>
        <w:spacing w:line="4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同志，现任我单位          职务，为法定代表人，特此证明。</w:t>
      </w:r>
    </w:p>
    <w:p>
      <w:pPr>
        <w:spacing w:line="400" w:lineRule="exact"/>
        <w:ind w:firstLine="240" w:firstLineChars="10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 xml:space="preserve">签发日期：                  单位：           </w:t>
      </w:r>
      <w:r>
        <w:rPr>
          <w:rFonts w:hint="eastAsia" w:ascii="仿宋" w:hAnsi="仿宋" w:eastAsia="仿宋" w:cs="仿宋"/>
          <w:color w:val="auto"/>
          <w:sz w:val="24"/>
          <w:szCs w:val="20"/>
          <w:highlight w:val="none"/>
          <w:lang w:val="en-US" w:eastAsia="zh-CN"/>
        </w:rPr>
        <w:t xml:space="preserve"> </w:t>
      </w:r>
    </w:p>
    <w:p>
      <w:pPr>
        <w:spacing w:line="400" w:lineRule="exact"/>
        <w:ind w:firstLine="240" w:firstLineChars="1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附：代表人性别：            年龄：           身份证号码：</w:t>
      </w:r>
    </w:p>
    <w:p>
      <w:pPr>
        <w:spacing w:line="400" w:lineRule="exact"/>
        <w:ind w:firstLine="240" w:firstLineChars="1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联系电话：</w:t>
      </w:r>
    </w:p>
    <w:p>
      <w:pPr>
        <w:spacing w:line="400" w:lineRule="exact"/>
        <w:ind w:firstLine="240" w:firstLineChars="1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营业执照号码：              经济性质：</w:t>
      </w:r>
    </w:p>
    <w:p>
      <w:pPr>
        <w:spacing w:line="4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说明：</w:t>
      </w:r>
    </w:p>
    <w:p>
      <w:pPr>
        <w:spacing w:line="400" w:lineRule="exact"/>
        <w:ind w:firstLine="240" w:firstLineChars="1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1、法定代表人为企业事业单位、国家机关、社会团体的主要行政负责人。</w:t>
      </w:r>
    </w:p>
    <w:p>
      <w:pPr>
        <w:spacing w:line="4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2、内容必须填写真实、清楚、涂改无效，不得转让。</w:t>
      </w:r>
    </w:p>
    <w:p>
      <w:pPr>
        <w:spacing w:line="400" w:lineRule="exact"/>
        <w:ind w:firstLine="240" w:firstLineChars="1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3、将此证明书原件提交采购代理机构作为谈判</w:t>
      </w:r>
      <w:r>
        <w:rPr>
          <w:rFonts w:hint="eastAsia" w:ascii="仿宋" w:hAnsi="仿宋" w:eastAsia="仿宋" w:cs="仿宋"/>
          <w:color w:val="auto"/>
          <w:sz w:val="24"/>
          <w:szCs w:val="20"/>
          <w:highlight w:val="none"/>
          <w:lang w:eastAsia="zh-CN"/>
        </w:rPr>
        <w:t>投标文件</w:t>
      </w:r>
      <w:r>
        <w:rPr>
          <w:rFonts w:hint="eastAsia" w:ascii="仿宋" w:hAnsi="仿宋" w:eastAsia="仿宋" w:cs="仿宋"/>
          <w:color w:val="auto"/>
          <w:sz w:val="24"/>
          <w:szCs w:val="20"/>
          <w:highlight w:val="none"/>
        </w:rPr>
        <w:t>附件。</w:t>
      </w:r>
    </w:p>
    <w:p>
      <w:pPr>
        <w:spacing w:line="400" w:lineRule="exac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(为避免废标，请</w:t>
      </w:r>
      <w:r>
        <w:rPr>
          <w:rFonts w:hint="eastAsia" w:ascii="仿宋" w:hAnsi="仿宋" w:eastAsia="仿宋" w:cs="仿宋"/>
          <w:color w:val="auto"/>
          <w:sz w:val="24"/>
          <w:szCs w:val="20"/>
          <w:highlight w:val="none"/>
          <w:lang w:eastAsia="zh-CN"/>
        </w:rPr>
        <w:t>供应商</w:t>
      </w:r>
      <w:r>
        <w:rPr>
          <w:rFonts w:hint="eastAsia" w:ascii="仿宋" w:hAnsi="仿宋" w:eastAsia="仿宋" w:cs="仿宋"/>
          <w:color w:val="auto"/>
          <w:sz w:val="24"/>
          <w:szCs w:val="20"/>
          <w:highlight w:val="none"/>
        </w:rPr>
        <w:t>务必提供本附件)</w:t>
      </w:r>
    </w:p>
    <w:p>
      <w:pP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10795"/>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val="en-US" w:eastAsia="zh-CN"/>
                              </w:rPr>
                            </w:pPr>
                            <w:r>
                              <w:rPr>
                                <w:rFonts w:hint="eastAsia" w:hAnsi="宋体"/>
                                <w:szCs w:val="21"/>
                              </w:rPr>
                              <w:t>法定代表人身份证复印件</w:t>
                            </w:r>
                            <w:r>
                              <w:rPr>
                                <w:rFonts w:hint="eastAsia" w:hAnsi="宋体"/>
                                <w:szCs w:val="21"/>
                                <w:lang w:val="en-US" w:eastAsia="zh-CN"/>
                              </w:rPr>
                              <w:t>正面</w:t>
                            </w:r>
                          </w:p>
                        </w:txbxContent>
                      </wps:txbx>
                      <wps:bodyPr upright="1"/>
                    </wps:wsp>
                  </a:graphicData>
                </a:graphic>
              </wp:anchor>
            </w:drawing>
          </mc:Choice>
          <mc:Fallback>
            <w:pict>
              <v:shape id="_x0000_s1026"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mdeJ/VAAAACAEAAA8AAAAAAAAAAQAgAAAAIgAAAGRycy9kb3ducmV2LnhtbFBLAQIU&#10;ABQAAAAIAIdO4kCBPmRDLwIAAGAEAAAOAAAAAAAAAAEAIAAAACQ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eastAsia="宋体"/>
                          <w:szCs w:val="21"/>
                          <w:lang w:val="en-US" w:eastAsia="zh-CN"/>
                        </w:rPr>
                      </w:pPr>
                      <w:r>
                        <w:rPr>
                          <w:rFonts w:hint="eastAsia" w:hAnsi="宋体"/>
                          <w:szCs w:val="21"/>
                        </w:rPr>
                        <w:t>法定代表人身份证复印件</w:t>
                      </w:r>
                      <w:r>
                        <w:rPr>
                          <w:rFonts w:hint="eastAsia" w:hAnsi="宋体"/>
                          <w:szCs w:val="21"/>
                          <w:lang w:val="en-US" w:eastAsia="zh-CN"/>
                        </w:rPr>
                        <w:t>正面</w:t>
                      </w:r>
                    </w:p>
                  </w:txbxContent>
                </v:textbox>
              </v:shape>
            </w:pict>
          </mc:Fallback>
        </mc:AlternateContent>
      </w:r>
      <w:r>
        <w:rPr>
          <w:rFonts w:hint="eastAsia" w:ascii="仿宋" w:hAnsi="仿宋" w:eastAsia="仿宋" w:cs="仿宋"/>
          <w:color w:val="auto"/>
          <w:sz w:val="24"/>
          <w:szCs w:val="20"/>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077085" cy="1385570"/>
                <wp:effectExtent l="7620" t="7620" r="10795" b="16510"/>
                <wp:wrapNone/>
                <wp:docPr id="18" name="圆角矩形 1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r>
                              <w:rPr>
                                <w:rFonts w:hint="eastAsia" w:hAnsi="宋体"/>
                                <w:szCs w:val="21"/>
                              </w:rPr>
                              <w:t>法定代表人身份证复印件</w:t>
                            </w:r>
                            <w:r>
                              <w:rPr>
                                <w:rFonts w:hint="eastAsia" w:hAnsi="宋体"/>
                                <w:szCs w:val="21"/>
                                <w:lang w:val="en-US" w:eastAsia="zh-CN"/>
                              </w:rPr>
                              <w:t>反面</w:t>
                            </w:r>
                          </w:p>
                          <w:p>
                            <w:pPr>
                              <w:pStyle w:val="5"/>
                            </w:pPr>
                          </w:p>
                          <w:p>
                            <w:pPr>
                              <w:pStyle w:val="5"/>
                            </w:pPr>
                          </w:p>
                          <w:p>
                            <w:pPr>
                              <w:pStyle w:val="5"/>
                            </w:pPr>
                          </w:p>
                          <w:p>
                            <w:pPr>
                              <w:pStyle w:val="5"/>
                            </w:pPr>
                          </w:p>
                        </w:txbxContent>
                      </wps:txbx>
                      <wps:bodyPr upright="1"/>
                    </wps:wsp>
                  </a:graphicData>
                </a:graphic>
              </wp:anchor>
            </w:drawing>
          </mc:Choice>
          <mc:Fallback>
            <w:pict>
              <v:roundrect id="_x0000_s1026" o:spid="_x0000_s1026" o:spt="2" style="position:absolute;left:0pt;margin-left:229.8pt;margin-top:2.25pt;height:109.1pt;width:163.55pt;z-index:251660288;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CmKa1a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CmKa1a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r>
                        <w:rPr>
                          <w:rFonts w:hint="eastAsia" w:hAnsi="宋体"/>
                          <w:szCs w:val="21"/>
                        </w:rPr>
                        <w:t>法定代表人身份证复印件</w:t>
                      </w:r>
                      <w:r>
                        <w:rPr>
                          <w:rFonts w:hint="eastAsia" w:hAnsi="宋体"/>
                          <w:szCs w:val="21"/>
                          <w:lang w:val="en-US" w:eastAsia="zh-CN"/>
                        </w:rPr>
                        <w:t>反面</w:t>
                      </w:r>
                    </w:p>
                    <w:p>
                      <w:pPr>
                        <w:pStyle w:val="5"/>
                      </w:pPr>
                    </w:p>
                    <w:p>
                      <w:pPr>
                        <w:pStyle w:val="5"/>
                      </w:pPr>
                    </w:p>
                    <w:p>
                      <w:pPr>
                        <w:pStyle w:val="5"/>
                      </w:pPr>
                    </w:p>
                    <w:p>
                      <w:pPr>
                        <w:pStyle w:val="5"/>
                      </w:pPr>
                    </w:p>
                  </w:txbxContent>
                </v:textbox>
              </v:roundrect>
            </w:pict>
          </mc:Fallback>
        </mc:AlternateContent>
      </w:r>
    </w:p>
    <w:p>
      <w:pPr>
        <w:rPr>
          <w:rFonts w:hint="eastAsia" w:ascii="仿宋" w:hAnsi="仿宋" w:eastAsia="仿宋" w:cs="仿宋"/>
          <w:color w:val="auto"/>
          <w:sz w:val="24"/>
          <w:szCs w:val="20"/>
          <w:highlight w:val="none"/>
        </w:rPr>
      </w:pPr>
    </w:p>
    <w:p>
      <w:pPr>
        <w:rPr>
          <w:rFonts w:hint="eastAsia" w:ascii="仿宋" w:hAnsi="仿宋" w:eastAsia="仿宋" w:cs="仿宋"/>
          <w:color w:val="auto"/>
          <w:sz w:val="24"/>
          <w:szCs w:val="20"/>
          <w:highlight w:val="none"/>
        </w:rPr>
      </w:pPr>
    </w:p>
    <w:p>
      <w:pPr>
        <w:pStyle w:val="20"/>
        <w:rPr>
          <w:rFonts w:hint="eastAsia" w:ascii="仿宋" w:hAnsi="仿宋" w:eastAsia="仿宋" w:cs="仿宋"/>
          <w:color w:val="auto"/>
          <w:sz w:val="24"/>
          <w:szCs w:val="20"/>
          <w:highlight w:val="none"/>
        </w:rPr>
      </w:pPr>
    </w:p>
    <w:p>
      <w:pPr>
        <w:rPr>
          <w:rFonts w:hint="eastAsia" w:ascii="仿宋" w:hAnsi="仿宋" w:eastAsia="仿宋" w:cs="仿宋"/>
          <w:color w:val="auto"/>
          <w:sz w:val="24"/>
          <w:szCs w:val="20"/>
          <w:highlight w:val="none"/>
        </w:rPr>
      </w:pPr>
    </w:p>
    <w:p>
      <w:pPr>
        <w:pStyle w:val="20"/>
        <w:rPr>
          <w:rFonts w:hint="eastAsia" w:ascii="仿宋" w:hAnsi="仿宋" w:eastAsia="仿宋" w:cs="仿宋"/>
          <w:color w:val="auto"/>
          <w:sz w:val="24"/>
          <w:szCs w:val="20"/>
          <w:highlight w:val="none"/>
        </w:rPr>
      </w:pPr>
    </w:p>
    <w:p>
      <w:pPr>
        <w:rPr>
          <w:rFonts w:hint="eastAsia" w:ascii="仿宋" w:hAnsi="仿宋" w:eastAsia="仿宋" w:cs="仿宋"/>
          <w:highlight w:val="none"/>
        </w:rPr>
      </w:pPr>
    </w:p>
    <w:p>
      <w:pPr>
        <w:autoSpaceDE w:val="0"/>
        <w:autoSpaceDN w:val="0"/>
        <w:adjustRightInd w:val="0"/>
        <w:ind w:right="246"/>
        <w:rPr>
          <w:rFonts w:hint="eastAsia" w:ascii="仿宋" w:hAnsi="仿宋" w:eastAsia="仿宋" w:cs="仿宋"/>
          <w:color w:val="auto"/>
          <w:sz w:val="24"/>
          <w:szCs w:val="20"/>
          <w:highlight w:val="none"/>
        </w:rPr>
      </w:pPr>
    </w:p>
    <w:p>
      <w:pPr>
        <w:autoSpaceDE w:val="0"/>
        <w:autoSpaceDN w:val="0"/>
        <w:adjustRightInd w:val="0"/>
        <w:ind w:right="246"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eastAsia="zh-CN"/>
        </w:rPr>
        <w:t>供应商</w:t>
      </w:r>
      <w:r>
        <w:rPr>
          <w:rFonts w:hint="eastAsia" w:ascii="仿宋" w:hAnsi="仿宋" w:eastAsia="仿宋" w:cs="仿宋"/>
          <w:color w:val="auto"/>
          <w:sz w:val="24"/>
          <w:szCs w:val="20"/>
          <w:highlight w:val="none"/>
        </w:rPr>
        <w:t xml:space="preserve">（盖章）：                              </w:t>
      </w:r>
    </w:p>
    <w:p>
      <w:pPr>
        <w:pStyle w:val="11"/>
        <w:tabs>
          <w:tab w:val="left" w:pos="5580"/>
        </w:tabs>
        <w:spacing w:line="400" w:lineRule="exact"/>
        <w:ind w:left="1155" w:leftChars="371" w:hanging="376" w:hangingChars="15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法定代表人</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 xml:space="preserve">      </w:t>
      </w:r>
    </w:p>
    <w:p>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日期：                                       </w:t>
      </w:r>
    </w:p>
    <w:p>
      <w:pPr>
        <w:pStyle w:val="11"/>
        <w:tabs>
          <w:tab w:val="left" w:pos="55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为自然人的，应提供身份证明的复印件。</w:t>
      </w: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bookmarkStart w:id="390" w:name="_Toc16640"/>
      <w:bookmarkStart w:id="391" w:name="_Toc22472"/>
      <w:bookmarkStart w:id="392" w:name="_Toc21867"/>
      <w:bookmarkStart w:id="393" w:name="_Toc515647807"/>
      <w:bookmarkStart w:id="394" w:name="_Toc13107"/>
      <w:bookmarkStart w:id="395" w:name="_Toc5436"/>
      <w:bookmarkStart w:id="396" w:name="_Toc1083"/>
      <w:bookmarkStart w:id="397" w:name="_Toc6829"/>
    </w:p>
    <w:p>
      <w:pPr>
        <w:pStyle w:val="11"/>
        <w:tabs>
          <w:tab w:val="left" w:pos="5580"/>
        </w:tabs>
        <w:spacing w:line="400" w:lineRule="exact"/>
        <w:ind w:left="1155" w:leftChars="371" w:hanging="376" w:hangingChars="157"/>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投标企业必须按此格式签署，否则将以不响应招标文件处理</w:t>
      </w:r>
    </w:p>
    <w:p>
      <w:pPr>
        <w:pStyle w:val="11"/>
        <w:tabs>
          <w:tab w:val="left" w:pos="5580"/>
        </w:tabs>
        <w:spacing w:line="400" w:lineRule="exact"/>
        <w:ind w:left="1080" w:leftChars="257" w:hanging="540"/>
        <w:rPr>
          <w:rFonts w:hint="eastAsia" w:ascii="仿宋" w:hAnsi="仿宋" w:eastAsia="仿宋" w:cs="仿宋"/>
          <w:color w:val="auto"/>
          <w:sz w:val="24"/>
          <w:highlight w:val="none"/>
        </w:rPr>
      </w:pPr>
    </w:p>
    <w:p>
      <w:pPr>
        <w:pStyle w:val="11"/>
        <w:tabs>
          <w:tab w:val="left" w:pos="5580"/>
        </w:tabs>
        <w:spacing w:line="400" w:lineRule="exact"/>
        <w:ind w:left="1080" w:leftChars="257" w:hanging="540"/>
        <w:rPr>
          <w:rFonts w:hint="eastAsia" w:ascii="仿宋" w:hAnsi="仿宋" w:eastAsia="仿宋" w:cs="仿宋"/>
          <w:color w:val="auto"/>
          <w:sz w:val="24"/>
          <w:highlight w:val="none"/>
        </w:rPr>
      </w:pPr>
    </w:p>
    <w:p>
      <w:pPr>
        <w:pStyle w:val="11"/>
        <w:tabs>
          <w:tab w:val="left" w:pos="5580"/>
        </w:tabs>
        <w:spacing w:line="400" w:lineRule="exact"/>
        <w:ind w:left="1080" w:leftChars="257" w:hanging="540"/>
        <w:rPr>
          <w:rFonts w:hint="eastAsia" w:ascii="仿宋" w:hAnsi="仿宋" w:eastAsia="仿宋" w:cs="仿宋"/>
          <w:color w:val="auto"/>
          <w:sz w:val="24"/>
          <w:highlight w:val="none"/>
        </w:rPr>
      </w:pPr>
    </w:p>
    <w:p>
      <w:pPr>
        <w:pStyle w:val="3"/>
        <w:spacing w:before="0" w:line="400" w:lineRule="exact"/>
        <w:jc w:val="both"/>
        <w:rPr>
          <w:rFonts w:hint="eastAsia" w:ascii="仿宋" w:hAnsi="仿宋" w:eastAsia="仿宋" w:cs="仿宋"/>
          <w:color w:val="auto"/>
          <w:sz w:val="24"/>
          <w:highlight w:val="none"/>
        </w:rPr>
      </w:pPr>
      <w:bookmarkStart w:id="398" w:name="_Toc24769"/>
      <w:bookmarkStart w:id="399" w:name="_Toc6179"/>
      <w:bookmarkStart w:id="400" w:name="_Toc32380"/>
      <w:bookmarkStart w:id="401" w:name="_Toc2141"/>
    </w:p>
    <w:p>
      <w:pPr>
        <w:rPr>
          <w:rFonts w:hint="eastAsia" w:ascii="仿宋" w:hAnsi="仿宋" w:eastAsia="仿宋" w:cs="仿宋"/>
          <w:color w:val="auto"/>
          <w:sz w:val="24"/>
          <w:highlight w:val="none"/>
        </w:rPr>
      </w:pPr>
    </w:p>
    <w:p>
      <w:pPr>
        <w:pStyle w:val="17"/>
        <w:rPr>
          <w:rFonts w:hint="eastAsia" w:ascii="仿宋" w:hAnsi="仿宋" w:eastAsia="仿宋" w:cs="仿宋"/>
          <w:color w:val="auto"/>
          <w:sz w:val="24"/>
          <w:highlight w:val="none"/>
        </w:rPr>
      </w:pPr>
    </w:p>
    <w:p>
      <w:pPr>
        <w:pStyle w:val="17"/>
        <w:rPr>
          <w:rFonts w:hint="eastAsia" w:ascii="仿宋" w:hAnsi="仿宋" w:eastAsia="仿宋" w:cs="仿宋"/>
          <w:color w:val="auto"/>
          <w:sz w:val="24"/>
          <w:highlight w:val="none"/>
        </w:rPr>
      </w:pPr>
    </w:p>
    <w:p>
      <w:pPr>
        <w:pStyle w:val="7"/>
        <w:rPr>
          <w:rFonts w:hint="eastAsia" w:ascii="仿宋" w:hAnsi="仿宋" w:eastAsia="仿宋" w:cs="仿宋"/>
          <w:highlight w:val="none"/>
        </w:rPr>
      </w:pPr>
    </w:p>
    <w:p>
      <w:pPr>
        <w:rPr>
          <w:rFonts w:hint="eastAsia" w:ascii="仿宋" w:hAnsi="仿宋" w:eastAsia="仿宋" w:cs="仿宋"/>
          <w:highlight w:val="none"/>
        </w:rPr>
      </w:pPr>
    </w:p>
    <w:p>
      <w:pPr>
        <w:pStyle w:val="3"/>
        <w:spacing w:before="0" w:line="400" w:lineRule="exact"/>
        <w:ind w:left="1080" w:leftChars="257" w:hanging="540"/>
        <w:jc w:val="both"/>
        <w:rPr>
          <w:rFonts w:hint="eastAsia" w:ascii="仿宋" w:hAnsi="仿宋" w:eastAsia="仿宋" w:cs="仿宋"/>
          <w:b w:val="0"/>
          <w:color w:val="auto"/>
          <w:sz w:val="24"/>
          <w:highlight w:val="none"/>
          <w:u w:val="single"/>
        </w:rPr>
      </w:pPr>
      <w:r>
        <w:rPr>
          <w:rFonts w:hint="eastAsia" w:ascii="仿宋" w:hAnsi="仿宋" w:eastAsia="仿宋" w:cs="仿宋"/>
          <w:color w:val="auto"/>
          <w:sz w:val="24"/>
          <w:highlight w:val="none"/>
        </w:rPr>
        <w:t>法定代表人授权委托书(投标文件格式二，自然人投标的无需提供)</w:t>
      </w:r>
      <w:bookmarkEnd w:id="390"/>
      <w:bookmarkEnd w:id="391"/>
      <w:bookmarkEnd w:id="392"/>
      <w:bookmarkEnd w:id="393"/>
      <w:bookmarkEnd w:id="394"/>
      <w:bookmarkEnd w:id="395"/>
      <w:bookmarkEnd w:id="396"/>
      <w:bookmarkEnd w:id="397"/>
      <w:bookmarkEnd w:id="398"/>
      <w:bookmarkEnd w:id="399"/>
      <w:bookmarkEnd w:id="400"/>
      <w:bookmarkEnd w:id="401"/>
    </w:p>
    <w:p>
      <w:pPr>
        <w:pStyle w:val="11"/>
        <w:tabs>
          <w:tab w:val="left" w:pos="5580"/>
        </w:tabs>
        <w:spacing w:line="400" w:lineRule="exact"/>
        <w:rPr>
          <w:rFonts w:hint="eastAsia" w:ascii="仿宋" w:hAnsi="仿宋" w:eastAsia="仿宋" w:cs="仿宋"/>
          <w:color w:val="auto"/>
          <w:sz w:val="24"/>
          <w:highlight w:val="none"/>
        </w:rPr>
      </w:pPr>
      <w:bookmarkStart w:id="402" w:name="_Toc515647808"/>
      <w:bookmarkStart w:id="403" w:name="_Toc32520"/>
      <w:bookmarkStart w:id="404" w:name="_Toc7039"/>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本授权书声明：注册于（国家或地区的名称）的（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）的在下面签字的（法人代表姓名、职务）代表我单位授权（单位名称）的在下面签字的（被授权人的姓名、职务）为我单位的合法代理人，就（项目名称）的投标，以我单位名义处理一切与之有关的事务。　　</w:t>
      </w: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           年     月     日签字生效,特此声明。</w:t>
      </w:r>
    </w:p>
    <w:p>
      <w:pPr>
        <w:pStyle w:val="11"/>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97155</wp:posOffset>
                </wp:positionV>
                <wp:extent cx="2478405" cy="1387475"/>
                <wp:effectExtent l="7620" t="7620" r="9525" b="14605"/>
                <wp:wrapNone/>
                <wp:docPr id="15" name="圆角矩形 1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7.65pt;height:109.25pt;width:195.15pt;z-index:251662336;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C1gORLAIAAGgEAAAOAAAAAAAAAAEAIAAAACoBAABkcnMvZTJvRG9jLnht&#10;bFBLBQYAAAAABgAGAFkBAADIBQ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405890"/>
                <wp:effectExtent l="4445" t="4445" r="21590" b="18415"/>
                <wp:wrapNone/>
                <wp:docPr id="19" name="流程图: 可选过程 1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110.7pt;width:197.45pt;z-index:251661312;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5Lq23XAAAACAEAAA8AAAAAAAAAAQAgAAAAIgAAAGRycy9kb3ducmV2Lnht&#10;bFBLAQIUABQAAAAIAIdO4kAhHg3IMwIAAGAEAAAOAAAAAAAAAAEAIAAAACYBAABkcnMvZTJvRG9j&#10;LnhtbFBLBQYAAAAABgAGAFkBAADL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pStyle w:val="11"/>
        <w:tabs>
          <w:tab w:val="left" w:pos="5580"/>
        </w:tabs>
        <w:spacing w:line="240" w:lineRule="atLeast"/>
        <w:ind w:left="1080" w:leftChars="257" w:hanging="540"/>
        <w:rPr>
          <w:rFonts w:hint="eastAsia" w:ascii="仿宋" w:hAnsi="仿宋" w:eastAsia="仿宋" w:cs="仿宋"/>
          <w:color w:val="auto"/>
          <w:sz w:val="24"/>
          <w:highlight w:val="none"/>
        </w:rPr>
      </w:pPr>
    </w:p>
    <w:p>
      <w:pPr>
        <w:pStyle w:val="11"/>
        <w:tabs>
          <w:tab w:val="left" w:pos="5580"/>
        </w:tabs>
        <w:spacing w:line="240" w:lineRule="atLeast"/>
        <w:rPr>
          <w:rFonts w:hint="eastAsia" w:ascii="仿宋" w:hAnsi="仿宋" w:eastAsia="仿宋" w:cs="仿宋"/>
          <w:color w:val="auto"/>
          <w:sz w:val="24"/>
          <w:highlight w:val="none"/>
        </w:rPr>
      </w:pPr>
    </w:p>
    <w:p>
      <w:pPr>
        <w:pStyle w:val="11"/>
        <w:tabs>
          <w:tab w:val="left" w:pos="5580"/>
        </w:tabs>
        <w:spacing w:line="240" w:lineRule="atLeast"/>
        <w:rPr>
          <w:rFonts w:hint="eastAsia" w:ascii="仿宋" w:hAnsi="仿宋" w:eastAsia="仿宋" w:cs="仿宋"/>
          <w:color w:val="auto"/>
          <w:sz w:val="24"/>
          <w:highlight w:val="none"/>
        </w:rPr>
      </w:pPr>
    </w:p>
    <w:p>
      <w:pPr>
        <w:pStyle w:val="11"/>
        <w:tabs>
          <w:tab w:val="left" w:pos="5580"/>
        </w:tabs>
        <w:spacing w:line="240" w:lineRule="atLeast"/>
        <w:ind w:left="1080" w:leftChars="257" w:hanging="540"/>
        <w:rPr>
          <w:rFonts w:hint="eastAsia" w:ascii="仿宋" w:hAnsi="仿宋" w:eastAsia="仿宋" w:cs="仿宋"/>
          <w:color w:val="auto"/>
          <w:sz w:val="24"/>
          <w:highlight w:val="none"/>
        </w:rPr>
      </w:pPr>
    </w:p>
    <w:p>
      <w:pPr>
        <w:pStyle w:val="11"/>
        <w:tabs>
          <w:tab w:val="left" w:pos="5580"/>
        </w:tabs>
        <w:spacing w:line="240" w:lineRule="atLeast"/>
        <w:ind w:left="1080" w:leftChars="257" w:hanging="540"/>
        <w:rPr>
          <w:rFonts w:hint="eastAsia" w:ascii="仿宋" w:hAnsi="仿宋" w:eastAsia="仿宋" w:cs="仿宋"/>
          <w:color w:val="auto"/>
          <w:sz w:val="24"/>
          <w:highlight w:val="none"/>
        </w:rPr>
      </w:pPr>
    </w:p>
    <w:p>
      <w:pPr>
        <w:pStyle w:val="11"/>
        <w:tabs>
          <w:tab w:val="left" w:pos="5580"/>
        </w:tabs>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235585</wp:posOffset>
                </wp:positionV>
                <wp:extent cx="2555240" cy="1409065"/>
                <wp:effectExtent l="7620" t="7620" r="8890" b="12065"/>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2.35pt;margin-top:18.55pt;height:110.95pt;width:201.2pt;z-index:251663360;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1cJUzZAAAACAEAAA8AAAAAAAAAAQAgAAAAIgAAAGRycy9kb3ducmV2LnhtbFBL&#10;AQIUABQAAAAIAIdO4kAMhxpXLgIAAGgEAAAOAAAAAAAAAAEAIAAAACgBAABkcnMvZTJvRG9jLnht&#10;bFBLBQYAAAAABgAGAFkBAADIBQ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pStyle w:val="11"/>
        <w:tabs>
          <w:tab w:val="left" w:pos="5580"/>
        </w:tabs>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140335</wp:posOffset>
                </wp:positionV>
                <wp:extent cx="2535555" cy="1252220"/>
                <wp:effectExtent l="7620" t="7620" r="9525" b="16510"/>
                <wp:wrapNone/>
                <wp:docPr id="13" name="圆角矩形 1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8.45pt;margin-top:11.05pt;height:98.6pt;width:199.65pt;z-index:251664384;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uFvz7bAAAACgEAAA8AAAAAAAAAAQAgAAAAIgAAAGRycy9kb3ducmV2LnhtbFBL&#10;AQIUABQAAAAIAIdO4kCVfMpDLAIAAGgEAAAOAAAAAAAAAAEAIAAAACoBAABkcnMvZTJvRG9jLnht&#10;bFBLBQYAAAAABgAGAFkBAADIBQ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p>
    <w:p>
      <w:pPr>
        <w:pStyle w:val="11"/>
        <w:tabs>
          <w:tab w:val="left" w:pos="5580"/>
        </w:tabs>
        <w:spacing w:line="240" w:lineRule="atLeast"/>
        <w:rPr>
          <w:rFonts w:hint="eastAsia" w:ascii="仿宋" w:hAnsi="仿宋" w:eastAsia="仿宋" w:cs="仿宋"/>
          <w:color w:val="auto"/>
          <w:sz w:val="24"/>
          <w:highlight w:val="none"/>
        </w:rPr>
      </w:pPr>
    </w:p>
    <w:p>
      <w:pPr>
        <w:pStyle w:val="11"/>
        <w:tabs>
          <w:tab w:val="left" w:pos="5580"/>
        </w:tabs>
        <w:spacing w:line="240" w:lineRule="atLeast"/>
        <w:rPr>
          <w:rFonts w:hint="eastAsia" w:ascii="仿宋" w:hAnsi="仿宋" w:eastAsia="仿宋" w:cs="仿宋"/>
          <w:color w:val="auto"/>
          <w:sz w:val="24"/>
          <w:highlight w:val="none"/>
        </w:rPr>
      </w:pPr>
    </w:p>
    <w:p>
      <w:pPr>
        <w:pStyle w:val="11"/>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pPr>
        <w:pStyle w:val="11"/>
        <w:tabs>
          <w:tab w:val="left" w:pos="5580"/>
        </w:tabs>
        <w:spacing w:line="240" w:lineRule="atLeast"/>
        <w:ind w:left="1080" w:leftChars="257" w:hanging="540"/>
        <w:rPr>
          <w:rFonts w:hint="eastAsia" w:ascii="仿宋" w:hAnsi="仿宋" w:eastAsia="仿宋" w:cs="仿宋"/>
          <w:color w:val="auto"/>
          <w:sz w:val="24"/>
          <w:highlight w:val="none"/>
        </w:rPr>
      </w:pPr>
    </w:p>
    <w:p>
      <w:pPr>
        <w:pStyle w:val="11"/>
        <w:tabs>
          <w:tab w:val="left" w:pos="5580"/>
        </w:tabs>
        <w:spacing w:line="240" w:lineRule="atLeast"/>
        <w:ind w:left="1080" w:leftChars="257" w:hanging="540"/>
        <w:rPr>
          <w:rFonts w:hint="eastAsia" w:ascii="仿宋" w:hAnsi="仿宋" w:eastAsia="仿宋" w:cs="仿宋"/>
          <w:color w:val="auto"/>
          <w:sz w:val="24"/>
          <w:highlight w:val="none"/>
        </w:rPr>
      </w:pPr>
    </w:p>
    <w:p>
      <w:pPr>
        <w:pStyle w:val="11"/>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szCs w:val="24"/>
          <w:highlight w:val="none"/>
        </w:rPr>
        <w:t>（签/章）</w:t>
      </w:r>
      <w:r>
        <w:rPr>
          <w:rFonts w:hint="eastAsia" w:ascii="仿宋" w:hAnsi="仿宋" w:eastAsia="仿宋" w:cs="仿宋"/>
          <w:color w:val="auto"/>
          <w:sz w:val="24"/>
          <w:highlight w:val="none"/>
        </w:rPr>
        <w:t xml:space="preserve">：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身份证号码：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szCs w:val="24"/>
          <w:highlight w:val="none"/>
        </w:rPr>
        <w:t>（签/章）</w:t>
      </w:r>
      <w:r>
        <w:rPr>
          <w:rFonts w:hint="eastAsia" w:ascii="仿宋" w:hAnsi="仿宋" w:eastAsia="仿宋" w:cs="仿宋"/>
          <w:color w:val="auto"/>
          <w:sz w:val="24"/>
          <w:highlight w:val="none"/>
        </w:rPr>
        <w:t xml:space="preserve">：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身份证号码：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详细通讯地址：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 政 编 码 ：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pPr>
        <w:pStyle w:val="11"/>
        <w:tabs>
          <w:tab w:val="left" w:pos="5580"/>
        </w:tabs>
        <w:spacing w:line="400" w:lineRule="exact"/>
        <w:ind w:left="1079" w:leftChars="257" w:hanging="53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　　　　话：       </w:t>
      </w:r>
      <w:bookmarkEnd w:id="402"/>
      <w:bookmarkEnd w:id="403"/>
      <w:bookmarkEnd w:id="404"/>
    </w:p>
    <w:p>
      <w:pPr>
        <w:pStyle w:val="11"/>
        <w:tabs>
          <w:tab w:val="left" w:pos="5580"/>
        </w:tabs>
        <w:spacing w:line="400" w:lineRule="exact"/>
        <w:ind w:left="1079" w:leftChars="257" w:hanging="539"/>
        <w:rPr>
          <w:rFonts w:hint="eastAsia" w:ascii="仿宋" w:hAnsi="仿宋" w:eastAsia="仿宋" w:cs="仿宋"/>
          <w:color w:val="auto"/>
          <w:sz w:val="24"/>
          <w:highlight w:val="none"/>
        </w:rPr>
      </w:pPr>
    </w:p>
    <w:p>
      <w:pPr>
        <w:pStyle w:val="11"/>
        <w:tabs>
          <w:tab w:val="left" w:pos="5580"/>
        </w:tabs>
        <w:spacing w:line="400" w:lineRule="exact"/>
        <w:ind w:left="1079" w:leftChars="257" w:hanging="539"/>
        <w:rPr>
          <w:rFonts w:hint="eastAsia" w:ascii="仿宋" w:hAnsi="仿宋" w:eastAsia="仿宋" w:cs="仿宋"/>
          <w:color w:val="auto"/>
          <w:sz w:val="24"/>
          <w:highlight w:val="none"/>
        </w:rPr>
      </w:pPr>
    </w:p>
    <w:p>
      <w:pPr>
        <w:pStyle w:val="11"/>
        <w:tabs>
          <w:tab w:val="left" w:pos="5580"/>
        </w:tabs>
        <w:spacing w:line="400" w:lineRule="exact"/>
        <w:ind w:left="1079" w:leftChars="257" w:hanging="539"/>
        <w:rPr>
          <w:rFonts w:hint="eastAsia" w:ascii="仿宋" w:hAnsi="仿宋" w:eastAsia="仿宋" w:cs="仿宋"/>
          <w:color w:val="auto"/>
          <w:sz w:val="24"/>
          <w:highlight w:val="none"/>
        </w:rPr>
      </w:pPr>
    </w:p>
    <w:p>
      <w:pPr>
        <w:pStyle w:val="11"/>
        <w:tabs>
          <w:tab w:val="left" w:pos="5580"/>
        </w:tabs>
        <w:spacing w:line="400" w:lineRule="exact"/>
        <w:ind w:left="1079" w:leftChars="257" w:hanging="539"/>
        <w:rPr>
          <w:rFonts w:hint="eastAsia" w:ascii="仿宋" w:hAnsi="仿宋" w:eastAsia="仿宋" w:cs="仿宋"/>
          <w:color w:val="auto"/>
          <w:sz w:val="24"/>
          <w:highlight w:val="none"/>
        </w:rPr>
      </w:pPr>
    </w:p>
    <w:p>
      <w:pPr>
        <w:pStyle w:val="11"/>
        <w:tabs>
          <w:tab w:val="left" w:pos="5580"/>
        </w:tabs>
        <w:spacing w:line="400" w:lineRule="exact"/>
        <w:jc w:val="left"/>
        <w:rPr>
          <w:rFonts w:hint="eastAsia" w:ascii="仿宋" w:hAnsi="仿宋" w:eastAsia="仿宋" w:cs="仿宋"/>
          <w:b/>
          <w:color w:val="auto"/>
          <w:kern w:val="0"/>
          <w:sz w:val="24"/>
          <w:highlight w:val="none"/>
          <w:lang w:val="en-US" w:eastAsia="zh-CN"/>
        </w:rPr>
      </w:pPr>
      <w:bookmarkStart w:id="405" w:name="_Toc9423"/>
      <w:r>
        <w:rPr>
          <w:rFonts w:hint="eastAsia" w:ascii="仿宋" w:hAnsi="仿宋" w:eastAsia="仿宋" w:cs="仿宋"/>
          <w:b/>
          <w:color w:val="auto"/>
          <w:kern w:val="0"/>
          <w:sz w:val="24"/>
          <w:highlight w:val="none"/>
          <w:lang w:val="en-US" w:eastAsia="zh-CN"/>
        </w:rPr>
        <w:t>4</w:t>
      </w:r>
      <w:bookmarkEnd w:id="405"/>
      <w:r>
        <w:rPr>
          <w:rFonts w:hint="eastAsia" w:ascii="仿宋" w:hAnsi="仿宋" w:eastAsia="仿宋" w:cs="仿宋"/>
          <w:b/>
          <w:color w:val="auto"/>
          <w:kern w:val="0"/>
          <w:sz w:val="24"/>
          <w:highlight w:val="none"/>
          <w:lang w:val="en-US" w:eastAsia="zh-CN"/>
        </w:rPr>
        <w:t>、具有良好的商业信誉和健全的财务会计制度，提供2022年度经审计的财务报告；（2022年10月份后成立的公司提供近三个月任意一个月的银行资信证明）；</w:t>
      </w:r>
    </w:p>
    <w:p>
      <w:pPr>
        <w:pStyle w:val="11"/>
        <w:tabs>
          <w:tab w:val="left" w:pos="5580"/>
        </w:tabs>
        <w:spacing w:line="400" w:lineRule="exact"/>
        <w:jc w:val="left"/>
        <w:rPr>
          <w:rFonts w:hint="eastAsia" w:ascii="仿宋" w:hAnsi="仿宋" w:eastAsia="仿宋" w:cs="仿宋"/>
          <w:b/>
          <w:color w:val="auto"/>
          <w:kern w:val="0"/>
          <w:sz w:val="24"/>
          <w:szCs w:val="20"/>
          <w:highlight w:val="none"/>
          <w:lang w:val="en-US" w:eastAsia="zh-CN" w:bidi="ar-SA"/>
        </w:rPr>
      </w:pPr>
    </w:p>
    <w:p>
      <w:pPr>
        <w:tabs>
          <w:tab w:val="left" w:pos="5580"/>
        </w:tabs>
        <w:spacing w:line="400" w:lineRule="exact"/>
        <w:ind w:firstLine="482" w:firstLineChars="200"/>
        <w:rPr>
          <w:rFonts w:hint="eastAsia" w:ascii="仿宋" w:hAnsi="仿宋" w:eastAsia="仿宋" w:cs="仿宋"/>
          <w:b/>
          <w:color w:val="auto"/>
          <w:kern w:val="0"/>
          <w:sz w:val="24"/>
          <w:szCs w:val="20"/>
          <w:highlight w:val="none"/>
          <w:lang w:val="en-US" w:eastAsia="zh-CN" w:bidi="ar-SA"/>
        </w:rPr>
      </w:pPr>
    </w:p>
    <w:p>
      <w:pPr>
        <w:keepNext w:val="0"/>
        <w:keepLines w:val="0"/>
        <w:pageBreakBefore w:val="0"/>
        <w:widowControl w:val="0"/>
        <w:kinsoku/>
        <w:wordWrap/>
        <w:overflowPunct/>
        <w:topLinePunct w:val="0"/>
        <w:bidi w:val="0"/>
        <w:adjustRightInd/>
        <w:spacing w:line="360" w:lineRule="exact"/>
        <w:ind w:firstLine="482" w:firstLineChars="200"/>
        <w:textAlignment w:val="auto"/>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5、投标企业在项目进行期内提供本单位缴纳的近三个月任意一个月社保缴纳证明、具有税务局开具依法缴纳近三个月任意一个月的完税证明；</w:t>
      </w:r>
    </w:p>
    <w:p>
      <w:pPr>
        <w:keepNext w:val="0"/>
        <w:keepLines w:val="0"/>
        <w:pageBreakBefore w:val="0"/>
        <w:widowControl w:val="0"/>
        <w:kinsoku/>
        <w:wordWrap/>
        <w:overflowPunct/>
        <w:topLinePunct w:val="0"/>
        <w:bidi w:val="0"/>
        <w:adjustRightInd/>
        <w:spacing w:line="360" w:lineRule="exact"/>
        <w:textAlignment w:val="auto"/>
        <w:rPr>
          <w:rFonts w:hint="eastAsia" w:ascii="仿宋" w:hAnsi="仿宋" w:eastAsia="仿宋" w:cs="仿宋"/>
          <w:b/>
          <w:highlight w:val="none"/>
          <w:lang w:val="en-US" w:eastAsia="zh-CN"/>
        </w:rPr>
      </w:pPr>
    </w:p>
    <w:p>
      <w:pPr>
        <w:pStyle w:val="11"/>
        <w:tabs>
          <w:tab w:val="left" w:pos="5580"/>
        </w:tabs>
        <w:spacing w:line="240" w:lineRule="atLeast"/>
        <w:ind w:firstLine="240" w:firstLineChars="100"/>
        <w:rPr>
          <w:rFonts w:hint="eastAsia" w:ascii="仿宋" w:hAnsi="仿宋" w:eastAsia="仿宋" w:cs="仿宋"/>
          <w:sz w:val="24"/>
          <w:highlight w:val="none"/>
        </w:rPr>
      </w:pPr>
      <w:r>
        <w:rPr>
          <w:rFonts w:hint="eastAsia" w:ascii="仿宋" w:hAnsi="仿宋" w:eastAsia="仿宋" w:cs="仿宋"/>
          <w:sz w:val="24"/>
          <w:highlight w:val="none"/>
        </w:rPr>
        <w:t>说明：</w:t>
      </w:r>
    </w:p>
    <w:p>
      <w:pPr>
        <w:pStyle w:val="11"/>
        <w:tabs>
          <w:tab w:val="left" w:pos="5580"/>
        </w:tabs>
        <w:spacing w:line="240" w:lineRule="atLeast"/>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社会保障资金的缴纳记录证明：供应商提供单位社保缴纳凭证</w:t>
      </w:r>
    </w:p>
    <w:p>
      <w:pPr>
        <w:pStyle w:val="11"/>
        <w:tabs>
          <w:tab w:val="left" w:pos="5580"/>
        </w:tabs>
        <w:spacing w:line="240" w:lineRule="atLeast"/>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依法缴纳税收良好记录证明：供应商提供税务机关打印的完税凭证。</w:t>
      </w:r>
    </w:p>
    <w:p>
      <w:pPr>
        <w:pStyle w:val="11"/>
        <w:tabs>
          <w:tab w:val="left" w:pos="5580"/>
        </w:tabs>
        <w:spacing w:line="240" w:lineRule="atLeast"/>
        <w:rPr>
          <w:rFonts w:hint="eastAsia" w:ascii="仿宋" w:hAnsi="仿宋" w:eastAsia="仿宋" w:cs="仿宋"/>
          <w:color w:val="000000"/>
          <w:sz w:val="24"/>
          <w:highlight w:val="none"/>
        </w:rPr>
      </w:pPr>
    </w:p>
    <w:p>
      <w:pPr>
        <w:pStyle w:val="11"/>
        <w:tabs>
          <w:tab w:val="left" w:pos="5580"/>
        </w:tabs>
        <w:spacing w:line="240" w:lineRule="atLeas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说明：1</w:t>
      </w:r>
      <w:r>
        <w:rPr>
          <w:rFonts w:hint="eastAsia" w:ascii="仿宋" w:hAnsi="仿宋" w:eastAsia="仿宋" w:cs="仿宋"/>
          <w:color w:val="000000"/>
          <w:sz w:val="24"/>
          <w:highlight w:val="none"/>
          <w:u w:val="single"/>
        </w:rPr>
        <w:t>.按照投标人须知资料表中的规定提供复印</w:t>
      </w:r>
      <w:r>
        <w:rPr>
          <w:rFonts w:hint="eastAsia" w:ascii="仿宋" w:hAnsi="仿宋" w:eastAsia="仿宋" w:cs="仿宋"/>
          <w:color w:val="000000"/>
          <w:sz w:val="24"/>
          <w:highlight w:val="none"/>
          <w:u w:val="single"/>
          <w:lang w:val="en-US" w:eastAsia="zh-CN"/>
        </w:rPr>
        <w:t>件，</w:t>
      </w:r>
      <w:r>
        <w:rPr>
          <w:rFonts w:hint="eastAsia" w:ascii="仿宋" w:hAnsi="仿宋" w:eastAsia="仿宋" w:cs="仿宋"/>
          <w:color w:val="000000"/>
          <w:sz w:val="24"/>
          <w:highlight w:val="none"/>
          <w:u w:val="single"/>
        </w:rPr>
        <w:t>复印件上应加盖本单位章。</w:t>
      </w:r>
    </w:p>
    <w:p>
      <w:pPr>
        <w:pStyle w:val="4"/>
        <w:numPr>
          <w:ilvl w:val="0"/>
          <w:numId w:val="0"/>
        </w:numPr>
        <w:ind w:firstLine="720" w:firstLineChars="300"/>
        <w:rPr>
          <w:rFonts w:hint="eastAsia" w:ascii="仿宋" w:hAnsi="仿宋" w:eastAsia="仿宋" w:cs="仿宋"/>
          <w:b w:val="0"/>
          <w:color w:val="000000"/>
          <w:kern w:val="2"/>
          <w:highlight w:val="none"/>
          <w:lang w:val="en-US" w:eastAsia="zh-CN"/>
        </w:rPr>
      </w:pPr>
      <w:r>
        <w:rPr>
          <w:rFonts w:hint="eastAsia" w:ascii="仿宋" w:hAnsi="仿宋" w:eastAsia="仿宋" w:cs="仿宋"/>
          <w:b w:val="0"/>
          <w:color w:val="000000"/>
          <w:kern w:val="2"/>
          <w:highlight w:val="none"/>
          <w:lang w:val="en-US" w:eastAsia="zh-CN"/>
        </w:rPr>
        <w:t>2.如果是联合体投标，联合体各方均需提供上述证明。</w:t>
      </w:r>
    </w:p>
    <w:p>
      <w:pPr>
        <w:pStyle w:val="17"/>
        <w:rPr>
          <w:rFonts w:hint="eastAsia" w:ascii="仿宋" w:hAnsi="仿宋" w:eastAsia="仿宋" w:cs="仿宋"/>
          <w:b/>
          <w:bCs/>
          <w:color w:val="auto"/>
          <w:sz w:val="22"/>
          <w:szCs w:val="21"/>
          <w:highlight w:val="none"/>
          <w:lang w:val="en-US" w:eastAsia="zh-CN"/>
        </w:rPr>
      </w:pPr>
    </w:p>
    <w:p>
      <w:pPr>
        <w:pStyle w:val="17"/>
        <w:rPr>
          <w:rFonts w:hint="eastAsia" w:ascii="仿宋" w:hAnsi="仿宋" w:eastAsia="仿宋" w:cs="仿宋"/>
          <w:b/>
          <w:bCs/>
          <w:color w:val="auto"/>
          <w:sz w:val="22"/>
          <w:szCs w:val="21"/>
          <w:highlight w:val="none"/>
          <w:lang w:val="en-US" w:eastAsia="zh-CN"/>
        </w:rPr>
      </w:pPr>
    </w:p>
    <w:p>
      <w:pPr>
        <w:pStyle w:val="17"/>
        <w:rPr>
          <w:rFonts w:hint="eastAsia" w:ascii="仿宋" w:hAnsi="仿宋" w:eastAsia="仿宋" w:cs="仿宋"/>
          <w:b/>
          <w:bCs/>
          <w:color w:val="auto"/>
          <w:sz w:val="22"/>
          <w:szCs w:val="21"/>
          <w:highlight w:val="none"/>
          <w:lang w:val="en-US" w:eastAsia="zh-CN"/>
        </w:rPr>
      </w:pPr>
    </w:p>
    <w:p>
      <w:pPr>
        <w:pStyle w:val="17"/>
        <w:rPr>
          <w:rFonts w:hint="eastAsia" w:ascii="仿宋" w:hAnsi="仿宋" w:eastAsia="仿宋" w:cs="仿宋"/>
          <w:b/>
          <w:bCs/>
          <w:color w:val="auto"/>
          <w:sz w:val="22"/>
          <w:szCs w:val="21"/>
          <w:highlight w:val="none"/>
          <w:lang w:val="en-US" w:eastAsia="zh-CN"/>
        </w:rPr>
      </w:pPr>
    </w:p>
    <w:p>
      <w:pPr>
        <w:pStyle w:val="17"/>
        <w:rPr>
          <w:rFonts w:hint="eastAsia" w:ascii="仿宋" w:hAnsi="仿宋" w:eastAsia="仿宋" w:cs="仿宋"/>
          <w:b/>
          <w:bCs/>
          <w:color w:val="auto"/>
          <w:sz w:val="22"/>
          <w:szCs w:val="21"/>
          <w:highlight w:val="none"/>
          <w:lang w:val="en-US" w:eastAsia="zh-CN"/>
        </w:rPr>
      </w:pPr>
      <w:r>
        <w:rPr>
          <w:rFonts w:hint="eastAsia" w:ascii="仿宋" w:hAnsi="仿宋" w:eastAsia="仿宋" w:cs="仿宋"/>
          <w:b/>
          <w:bCs/>
          <w:color w:val="auto"/>
          <w:sz w:val="22"/>
          <w:szCs w:val="21"/>
          <w:highlight w:val="none"/>
          <w:lang w:val="en-US" w:eastAsia="zh-CN"/>
        </w:rPr>
        <w:t>6、有效的《餐饮服务许可证》或《食品经营许可证》；</w:t>
      </w:r>
    </w:p>
    <w:p>
      <w:pPr>
        <w:pStyle w:val="17"/>
        <w:rPr>
          <w:rFonts w:hint="eastAsia" w:ascii="仿宋" w:hAnsi="仿宋" w:eastAsia="仿宋" w:cs="仿宋"/>
          <w:highlight w:val="none"/>
          <w:lang w:val="en-US" w:eastAsia="zh-CN"/>
        </w:rPr>
      </w:pPr>
    </w:p>
    <w:p>
      <w:pPr>
        <w:tabs>
          <w:tab w:val="left" w:pos="5580"/>
        </w:tabs>
        <w:spacing w:line="400" w:lineRule="exact"/>
        <w:ind w:firstLine="482" w:firstLineChars="200"/>
        <w:rPr>
          <w:rFonts w:hint="eastAsia" w:ascii="仿宋" w:hAnsi="仿宋" w:eastAsia="仿宋" w:cs="仿宋"/>
          <w:b/>
          <w:color w:val="auto"/>
          <w:kern w:val="0"/>
          <w:sz w:val="24"/>
          <w:szCs w:val="20"/>
          <w:highlight w:val="none"/>
          <w:lang w:val="en-US" w:eastAsia="zh-CN" w:bidi="ar-SA"/>
        </w:rPr>
      </w:pPr>
    </w:p>
    <w:p>
      <w:pPr>
        <w:pStyle w:val="9"/>
        <w:widowControl w:val="0"/>
        <w:numPr>
          <w:ilvl w:val="0"/>
          <w:numId w:val="0"/>
        </w:numPr>
        <w:spacing w:line="400" w:lineRule="exact"/>
        <w:jc w:val="both"/>
        <w:rPr>
          <w:rFonts w:hint="eastAsia" w:ascii="仿宋" w:hAnsi="仿宋" w:eastAsia="仿宋" w:cs="仿宋"/>
          <w:b/>
          <w:color w:val="auto"/>
          <w:kern w:val="0"/>
          <w:sz w:val="24"/>
          <w:szCs w:val="20"/>
          <w:highlight w:val="none"/>
          <w:lang w:val="en-US" w:eastAsia="zh-CN" w:bidi="ar-SA"/>
        </w:rPr>
      </w:pPr>
    </w:p>
    <w:p>
      <w:pPr>
        <w:pStyle w:val="9"/>
        <w:widowControl w:val="0"/>
        <w:numPr>
          <w:ilvl w:val="0"/>
          <w:numId w:val="0"/>
        </w:numPr>
        <w:spacing w:line="400" w:lineRule="exact"/>
        <w:jc w:val="both"/>
        <w:rPr>
          <w:rFonts w:hint="eastAsia" w:ascii="仿宋" w:hAnsi="仿宋" w:eastAsia="仿宋" w:cs="仿宋"/>
          <w:b/>
          <w:color w:val="auto"/>
          <w:kern w:val="0"/>
          <w:sz w:val="24"/>
          <w:szCs w:val="20"/>
          <w:highlight w:val="none"/>
          <w:lang w:val="en-US" w:eastAsia="zh-CN" w:bidi="ar-SA"/>
        </w:rPr>
      </w:pPr>
    </w:p>
    <w:p>
      <w:pPr>
        <w:spacing w:line="400" w:lineRule="exact"/>
        <w:outlineLvl w:val="1"/>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szCs w:val="20"/>
          <w:highlight w:val="none"/>
          <w:lang w:val="en-US" w:eastAsia="zh-CN" w:bidi="ar-SA"/>
        </w:rPr>
        <w:t>7、</w:t>
      </w:r>
      <w:r>
        <w:rPr>
          <w:rFonts w:hint="eastAsia" w:ascii="仿宋" w:hAnsi="仿宋" w:eastAsia="仿宋" w:cs="仿宋"/>
          <w:b/>
          <w:color w:val="auto"/>
          <w:kern w:val="0"/>
          <w:sz w:val="24"/>
          <w:highlight w:val="none"/>
        </w:rPr>
        <w:t>根据《财政部关于在政府采购活动中查询及使用信用记录有关问题的通知》（财库﹝2016﹞125号）的要求，凡拟参加本次招标项目的供应商，如在“信用中国”网站（ www.creditchina.gov.cn） 被列入失信被执行人、重大税收违法案件当事人名单(</w:t>
      </w:r>
      <w:r>
        <w:rPr>
          <w:rFonts w:hint="eastAsia" w:ascii="仿宋" w:hAnsi="仿宋" w:eastAsia="仿宋" w:cs="仿宋"/>
          <w:b/>
          <w:color w:val="auto"/>
          <w:kern w:val="0"/>
          <w:sz w:val="24"/>
          <w:highlight w:val="none"/>
          <w:lang w:eastAsia="zh-CN"/>
        </w:rPr>
        <w:t>信用服务-重点领域严重失信主体名单查询-搜索栏输入单位全称-截图</w:t>
      </w:r>
      <w:r>
        <w:rPr>
          <w:rFonts w:hint="eastAsia" w:ascii="仿宋" w:hAnsi="仿宋" w:eastAsia="仿宋" w:cs="仿宋"/>
          <w:b/>
          <w:color w:val="auto"/>
          <w:kern w:val="0"/>
          <w:sz w:val="24"/>
          <w:highlight w:val="none"/>
        </w:rPr>
        <w:t>)、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及企业信用信息公示报告，将拒绝其参加本次招标活动</w:t>
      </w:r>
      <w:r>
        <w:rPr>
          <w:rFonts w:hint="eastAsia" w:ascii="仿宋" w:hAnsi="仿宋" w:eastAsia="仿宋" w:cs="仿宋"/>
          <w:b/>
          <w:color w:val="auto"/>
          <w:kern w:val="0"/>
          <w:sz w:val="24"/>
          <w:highlight w:val="none"/>
          <w:lang w:eastAsia="zh-CN"/>
        </w:rPr>
        <w:t>；</w:t>
      </w:r>
    </w:p>
    <w:p>
      <w:pPr>
        <w:pStyle w:val="11"/>
        <w:tabs>
          <w:tab w:val="left" w:pos="5580"/>
        </w:tabs>
        <w:spacing w:line="400" w:lineRule="exact"/>
        <w:rPr>
          <w:rFonts w:hint="eastAsia" w:ascii="仿宋" w:hAnsi="仿宋" w:eastAsia="仿宋" w:cs="仿宋"/>
          <w:b/>
          <w:color w:val="auto"/>
          <w:kern w:val="0"/>
          <w:sz w:val="24"/>
          <w:szCs w:val="20"/>
          <w:highlight w:val="none"/>
          <w:lang w:val="en-US" w:eastAsia="zh-CN" w:bidi="ar-SA"/>
        </w:rPr>
      </w:pPr>
      <w:bookmarkStart w:id="406" w:name="_Toc13283"/>
    </w:p>
    <w:bookmarkEnd w:id="406"/>
    <w:p>
      <w:pPr>
        <w:pStyle w:val="11"/>
        <w:numPr>
          <w:ilvl w:val="0"/>
          <w:numId w:val="5"/>
        </w:numPr>
        <w:tabs>
          <w:tab w:val="left" w:pos="5580"/>
        </w:tabs>
        <w:spacing w:line="400" w:lineRule="exact"/>
        <w:ind w:firstLine="241" w:firstLineChars="100"/>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提供针对本次项目《反商业贿赂承诺书》；</w:t>
      </w: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pStyle w:val="11"/>
        <w:widowControl w:val="0"/>
        <w:numPr>
          <w:ilvl w:val="0"/>
          <w:numId w:val="0"/>
        </w:numPr>
        <w:tabs>
          <w:tab w:val="left" w:pos="5580"/>
        </w:tabs>
        <w:spacing w:line="400" w:lineRule="exact"/>
        <w:ind w:firstLine="241" w:firstLineChars="100"/>
        <w:jc w:val="both"/>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9、参与政府采购活动前3年内未被列入失信、重大税收违法案件、财政部门禁止参加政府采购活动的承诺书。</w:t>
      </w:r>
    </w:p>
    <w:p>
      <w:pPr>
        <w:pStyle w:val="11"/>
        <w:widowControl w:val="0"/>
        <w:numPr>
          <w:ilvl w:val="0"/>
          <w:numId w:val="0"/>
        </w:numPr>
        <w:tabs>
          <w:tab w:val="left" w:pos="5580"/>
        </w:tabs>
        <w:spacing w:line="400" w:lineRule="exact"/>
        <w:jc w:val="both"/>
        <w:rPr>
          <w:rFonts w:hint="eastAsia" w:ascii="仿宋" w:hAnsi="仿宋" w:eastAsia="仿宋" w:cs="仿宋"/>
          <w:b/>
          <w:color w:val="auto"/>
          <w:kern w:val="0"/>
          <w:sz w:val="24"/>
          <w:szCs w:val="20"/>
          <w:highlight w:val="none"/>
          <w:lang w:val="en-US" w:eastAsia="zh-CN" w:bidi="ar-SA"/>
        </w:rPr>
      </w:pPr>
    </w:p>
    <w:p>
      <w:pPr>
        <w:tabs>
          <w:tab w:val="left" w:pos="5580"/>
        </w:tabs>
        <w:spacing w:line="400" w:lineRule="exact"/>
        <w:rPr>
          <w:rFonts w:hint="eastAsia" w:ascii="仿宋" w:hAnsi="仿宋" w:eastAsia="仿宋" w:cs="仿宋"/>
          <w:b/>
          <w:color w:val="auto"/>
          <w:kern w:val="0"/>
          <w:sz w:val="24"/>
          <w:szCs w:val="20"/>
          <w:highlight w:val="none"/>
          <w:lang w:val="en-US" w:eastAsia="zh-CN" w:bidi="ar-SA"/>
        </w:rPr>
      </w:pPr>
    </w:p>
    <w:p>
      <w:pPr>
        <w:tabs>
          <w:tab w:val="left" w:pos="5580"/>
        </w:tabs>
        <w:spacing w:line="400" w:lineRule="exact"/>
        <w:rPr>
          <w:rFonts w:hint="eastAsia" w:ascii="仿宋" w:hAnsi="仿宋" w:eastAsia="仿宋" w:cs="仿宋"/>
          <w:b/>
          <w:color w:val="auto"/>
          <w:kern w:val="0"/>
          <w:sz w:val="24"/>
          <w:szCs w:val="20"/>
          <w:highlight w:val="none"/>
          <w:lang w:val="en-US" w:eastAsia="zh-CN" w:bidi="ar-SA"/>
        </w:rPr>
      </w:pPr>
    </w:p>
    <w:p>
      <w:pPr>
        <w:tabs>
          <w:tab w:val="left" w:pos="5580"/>
        </w:tabs>
        <w:spacing w:line="400" w:lineRule="exact"/>
        <w:rPr>
          <w:rFonts w:hint="eastAsia" w:ascii="仿宋" w:hAnsi="仿宋" w:eastAsia="仿宋" w:cs="仿宋"/>
          <w:b/>
          <w:color w:val="auto"/>
          <w:kern w:val="0"/>
          <w:sz w:val="24"/>
          <w:szCs w:val="20"/>
          <w:highlight w:val="none"/>
          <w:lang w:val="en-US" w:eastAsia="zh-CN" w:bidi="ar-SA"/>
        </w:rPr>
      </w:pPr>
    </w:p>
    <w:p>
      <w:pPr>
        <w:tabs>
          <w:tab w:val="left" w:pos="5580"/>
        </w:tabs>
        <w:spacing w:line="400" w:lineRule="exact"/>
        <w:rPr>
          <w:rFonts w:hint="eastAsia" w:ascii="仿宋" w:hAnsi="仿宋" w:eastAsia="仿宋" w:cs="仿宋"/>
          <w:b/>
          <w:color w:val="auto"/>
          <w:kern w:val="0"/>
          <w:sz w:val="24"/>
          <w:szCs w:val="20"/>
          <w:highlight w:val="none"/>
          <w:lang w:val="en-US" w:eastAsia="zh-CN" w:bidi="ar-SA"/>
        </w:rPr>
      </w:pPr>
    </w:p>
    <w:p>
      <w:pPr>
        <w:pStyle w:val="17"/>
        <w:ind w:firstLine="241" w:firstLineChars="100"/>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0"/>
          <w:highlight w:val="none"/>
          <w:lang w:val="en-US" w:eastAsia="zh-CN" w:bidi="ar-SA"/>
        </w:rPr>
        <w:t>10、</w:t>
      </w:r>
      <w:r>
        <w:rPr>
          <w:rFonts w:hint="eastAsia" w:ascii="仿宋" w:hAnsi="仿宋" w:eastAsia="仿宋" w:cs="仿宋"/>
          <w:b/>
          <w:color w:val="auto"/>
          <w:kern w:val="0"/>
          <w:sz w:val="24"/>
          <w:szCs w:val="24"/>
          <w:highlight w:val="none"/>
          <w:lang w:val="en-US" w:eastAsia="zh-CN" w:bidi="ar-SA"/>
        </w:rPr>
        <w:t>缴纳投标保证的有效凭证</w:t>
      </w:r>
    </w:p>
    <w:p>
      <w:pPr>
        <w:tabs>
          <w:tab w:val="left" w:pos="5580"/>
        </w:tabs>
        <w:spacing w:line="400" w:lineRule="exact"/>
        <w:ind w:firstLine="241" w:firstLineChars="100"/>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ind w:left="540" w:leftChars="257"/>
        <w:rPr>
          <w:rFonts w:hint="eastAsia" w:ascii="仿宋" w:hAnsi="仿宋" w:eastAsia="仿宋" w:cs="仿宋"/>
          <w:b/>
          <w:color w:val="auto"/>
          <w:kern w:val="0"/>
          <w:sz w:val="24"/>
          <w:szCs w:val="20"/>
          <w:highlight w:val="none"/>
          <w:lang w:val="en-US" w:eastAsia="zh-CN" w:bidi="ar-SA"/>
        </w:rPr>
      </w:pPr>
    </w:p>
    <w:p>
      <w:pPr>
        <w:pStyle w:val="11"/>
        <w:tabs>
          <w:tab w:val="left" w:pos="5580"/>
        </w:tabs>
        <w:spacing w:line="400" w:lineRule="exact"/>
        <w:rPr>
          <w:rFonts w:hint="eastAsia" w:ascii="仿宋" w:hAnsi="仿宋" w:eastAsia="仿宋" w:cs="仿宋"/>
          <w:b/>
          <w:color w:val="auto"/>
          <w:kern w:val="0"/>
          <w:sz w:val="24"/>
          <w:szCs w:val="20"/>
          <w:highlight w:val="none"/>
          <w:lang w:val="en-US" w:eastAsia="zh-CN" w:bidi="ar-SA"/>
        </w:rPr>
      </w:pPr>
    </w:p>
    <w:p>
      <w:pPr>
        <w:pStyle w:val="3"/>
        <w:numPr>
          <w:ilvl w:val="0"/>
          <w:numId w:val="0"/>
        </w:numPr>
        <w:spacing w:before="0" w:line="400" w:lineRule="exact"/>
        <w:jc w:val="both"/>
        <w:rPr>
          <w:rFonts w:hint="eastAsia" w:ascii="仿宋" w:hAnsi="仿宋" w:eastAsia="仿宋" w:cs="仿宋"/>
          <w:b/>
          <w:color w:val="auto"/>
          <w:kern w:val="0"/>
          <w:sz w:val="24"/>
          <w:szCs w:val="20"/>
          <w:highlight w:val="none"/>
          <w:lang w:val="en-US" w:eastAsia="zh-CN" w:bidi="ar-SA"/>
        </w:rPr>
      </w:pPr>
      <w:bookmarkStart w:id="407" w:name="_Toc17795"/>
      <w:r>
        <w:rPr>
          <w:rFonts w:hint="eastAsia" w:ascii="仿宋" w:hAnsi="仿宋" w:eastAsia="仿宋" w:cs="仿宋"/>
          <w:b/>
          <w:color w:val="auto"/>
          <w:kern w:val="0"/>
          <w:sz w:val="24"/>
          <w:szCs w:val="20"/>
          <w:highlight w:val="none"/>
          <w:lang w:val="en-US" w:eastAsia="zh-CN" w:bidi="ar-SA"/>
        </w:rPr>
        <w:t>11、供应商可提供有利于投标的其他资格证明材料</w:t>
      </w:r>
      <w:bookmarkEnd w:id="407"/>
      <w:bookmarkStart w:id="408" w:name="_Toc11180"/>
      <w:bookmarkStart w:id="409" w:name="_Toc30653"/>
      <w:bookmarkStart w:id="410" w:name="_Toc18263"/>
      <w:bookmarkStart w:id="411" w:name="_Toc515647816"/>
      <w:bookmarkStart w:id="412" w:name="_Toc22967"/>
      <w:bookmarkStart w:id="413" w:name="_Toc15346"/>
    </w:p>
    <w:p>
      <w:pPr>
        <w:pStyle w:val="5"/>
        <w:rPr>
          <w:rFonts w:hint="eastAsia" w:ascii="仿宋" w:hAnsi="仿宋" w:eastAsia="仿宋" w:cs="仿宋"/>
          <w:b/>
          <w:color w:val="auto"/>
          <w:kern w:val="0"/>
          <w:sz w:val="24"/>
          <w:szCs w:val="20"/>
          <w:highlight w:val="none"/>
          <w:lang w:val="en-US" w:eastAsia="zh-CN" w:bidi="ar-SA"/>
        </w:rPr>
      </w:pPr>
    </w:p>
    <w:p>
      <w:pPr>
        <w:rPr>
          <w:rFonts w:hint="eastAsia" w:ascii="仿宋" w:hAnsi="仿宋" w:eastAsia="仿宋" w:cs="仿宋"/>
          <w:b/>
          <w:color w:val="auto"/>
          <w:kern w:val="0"/>
          <w:sz w:val="24"/>
          <w:szCs w:val="20"/>
          <w:highlight w:val="none"/>
        </w:rPr>
      </w:pPr>
    </w:p>
    <w:p>
      <w:pPr>
        <w:pStyle w:val="9"/>
        <w:rPr>
          <w:rFonts w:hint="eastAsia" w:ascii="仿宋" w:hAnsi="仿宋" w:eastAsia="仿宋" w:cs="仿宋"/>
          <w:color w:val="auto"/>
          <w:highlight w:val="none"/>
          <w:lang w:val="en-US" w:eastAsia="zh-CN"/>
        </w:rPr>
      </w:pPr>
    </w:p>
    <w:p>
      <w:pPr>
        <w:pStyle w:val="4"/>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pStyle w:val="5"/>
        <w:ind w:left="0" w:leftChars="0" w:firstLine="0" w:firstLineChars="0"/>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highlight w:val="none"/>
        </w:rPr>
      </w:pPr>
    </w:p>
    <w:p>
      <w:pPr>
        <w:pStyle w:val="17"/>
        <w:rPr>
          <w:rFonts w:hint="eastAsia" w:ascii="仿宋" w:hAnsi="仿宋" w:eastAsia="仿宋" w:cs="仿宋"/>
          <w:highlight w:val="none"/>
        </w:rPr>
      </w:pPr>
      <w:bookmarkStart w:id="414" w:name="_Toc4082"/>
    </w:p>
    <w:p>
      <w:pPr>
        <w:pStyle w:val="7"/>
        <w:rPr>
          <w:rFonts w:hint="eastAsia" w:ascii="仿宋" w:hAnsi="仿宋" w:eastAsia="仿宋" w:cs="仿宋"/>
          <w:highlight w:val="none"/>
        </w:rPr>
      </w:pPr>
    </w:p>
    <w:bookmarkEnd w:id="414"/>
    <w:p>
      <w:pPr>
        <w:pStyle w:val="3"/>
        <w:spacing w:before="0" w:line="400" w:lineRule="exact"/>
        <w:ind w:left="540" w:leftChars="257"/>
        <w:jc w:val="center"/>
        <w:rPr>
          <w:rFonts w:hint="eastAsia" w:ascii="仿宋" w:hAnsi="仿宋" w:eastAsia="仿宋" w:cs="仿宋"/>
          <w:color w:val="auto"/>
          <w:sz w:val="24"/>
          <w:szCs w:val="24"/>
          <w:highlight w:val="none"/>
        </w:rPr>
      </w:pPr>
      <w:bookmarkStart w:id="415" w:name="_Toc14915"/>
      <w:bookmarkStart w:id="416" w:name="_Toc515647817"/>
      <w:bookmarkStart w:id="417" w:name="_Toc2041"/>
      <w:r>
        <w:rPr>
          <w:rFonts w:hint="eastAsia" w:ascii="仿宋" w:hAnsi="仿宋" w:eastAsia="仿宋" w:cs="仿宋"/>
          <w:color w:val="auto"/>
          <w:sz w:val="24"/>
          <w:szCs w:val="24"/>
          <w:highlight w:val="none"/>
        </w:rPr>
        <w:t>第二部分  商务及技术文件</w:t>
      </w:r>
    </w:p>
    <w:p>
      <w:pPr>
        <w:pStyle w:val="11"/>
        <w:spacing w:line="400" w:lineRule="exact"/>
        <w:ind w:left="1079" w:leftChars="257" w:hanging="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1、投标书</w:t>
      </w: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规格偏离表</w:t>
      </w: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、商务条款偏离表</w:t>
      </w:r>
    </w:p>
    <w:p>
      <w:pPr>
        <w:pStyle w:val="11"/>
        <w:spacing w:line="400" w:lineRule="exact"/>
        <w:ind w:left="311" w:leftChars="148" w:firstLine="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-1中小企业声明函</w:t>
      </w:r>
    </w:p>
    <w:p>
      <w:pPr>
        <w:pStyle w:val="11"/>
        <w:spacing w:line="400" w:lineRule="exact"/>
        <w:ind w:left="311" w:leftChars="148" w:firstLine="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-2《残疾人福利性单位声明函》</w:t>
      </w:r>
    </w:p>
    <w:p>
      <w:pPr>
        <w:pStyle w:val="11"/>
        <w:spacing w:line="400" w:lineRule="exact"/>
        <w:ind w:left="311" w:leftChars="148" w:firstLine="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、供应商关联单位的说明</w:t>
      </w: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、供应商可提供有利于投标的其他资格证明材料</w:t>
      </w: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投标文件格式范本</w:t>
      </w:r>
    </w:p>
    <w:p>
      <w:pPr>
        <w:pStyle w:val="5"/>
        <w:ind w:left="0" w:leftChars="0" w:firstLine="0" w:firstLineChars="0"/>
        <w:rPr>
          <w:rFonts w:hint="eastAsia" w:ascii="仿宋" w:hAnsi="仿宋" w:eastAsia="仿宋" w:cs="仿宋"/>
          <w:b/>
          <w:bCs/>
          <w:color w:val="auto"/>
          <w:sz w:val="28"/>
          <w:szCs w:val="21"/>
          <w:highlight w:val="none"/>
        </w:rPr>
      </w:pPr>
    </w:p>
    <w:p>
      <w:pPr>
        <w:pStyle w:val="11"/>
        <w:spacing w:line="360" w:lineRule="auto"/>
        <w:ind w:left="1080" w:leftChars="257" w:hanging="540"/>
        <w:jc w:val="left"/>
        <w:rPr>
          <w:rFonts w:hint="eastAsia" w:ascii="仿宋" w:hAnsi="仿宋" w:eastAsia="仿宋" w:cs="仿宋"/>
          <w:sz w:val="28"/>
          <w:szCs w:val="21"/>
          <w:highlight w:val="none"/>
          <w:lang w:eastAsia="zh-CN"/>
        </w:rPr>
      </w:pPr>
      <w:r>
        <w:rPr>
          <w:rFonts w:hint="eastAsia" w:ascii="仿宋" w:hAnsi="仿宋" w:eastAsia="仿宋" w:cs="仿宋"/>
          <w:b/>
          <w:bCs/>
          <w:color w:val="000000"/>
          <w:kern w:val="0"/>
          <w:sz w:val="28"/>
          <w:szCs w:val="28"/>
          <w:highlight w:val="none"/>
          <w:lang w:val="en-US" w:eastAsia="zh-CN" w:bidi="ar"/>
        </w:rPr>
        <w:t>（注：响应文件包括但不仅限于上述内容，如有不足，请自行补充提供。）</w:t>
      </w:r>
    </w:p>
    <w:p>
      <w:pPr>
        <w:spacing w:line="360" w:lineRule="auto"/>
        <w:rPr>
          <w:rFonts w:hint="eastAsia" w:ascii="仿宋" w:hAnsi="仿宋" w:eastAsia="仿宋" w:cs="仿宋"/>
          <w:color w:val="auto"/>
          <w:sz w:val="24"/>
          <w:highlight w:val="none"/>
        </w:rPr>
      </w:pPr>
    </w:p>
    <w:p>
      <w:pPr>
        <w:pStyle w:val="11"/>
        <w:tabs>
          <w:tab w:val="left" w:pos="5580"/>
        </w:tabs>
        <w:spacing w:line="240" w:lineRule="atLeast"/>
        <w:rPr>
          <w:rFonts w:hint="eastAsia" w:ascii="仿宋" w:hAnsi="仿宋" w:eastAsia="仿宋" w:cs="仿宋"/>
          <w:color w:val="auto"/>
          <w:szCs w:val="21"/>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bookmarkStart w:id="418" w:name="_Toc29757"/>
      <w:bookmarkStart w:id="419" w:name="_Toc21772"/>
      <w:bookmarkStart w:id="420" w:name="_Toc29625"/>
      <w:bookmarkStart w:id="421" w:name="_Toc30408"/>
      <w:bookmarkStart w:id="422" w:name="_Toc25918"/>
    </w:p>
    <w:p>
      <w:pPr>
        <w:pStyle w:val="11"/>
        <w:tabs>
          <w:tab w:val="left" w:pos="5580"/>
        </w:tabs>
        <w:spacing w:line="400" w:lineRule="exact"/>
        <w:outlineLvl w:val="1"/>
        <w:rPr>
          <w:rFonts w:hint="eastAsia" w:ascii="仿宋" w:hAnsi="仿宋" w:eastAsia="仿宋" w:cs="仿宋"/>
          <w:b/>
          <w:bCs/>
          <w:color w:val="auto"/>
          <w:sz w:val="24"/>
          <w:szCs w:val="24"/>
          <w:highlight w:val="none"/>
        </w:rPr>
      </w:pPr>
    </w:p>
    <w:p>
      <w:pPr>
        <w:pStyle w:val="11"/>
        <w:tabs>
          <w:tab w:val="left" w:pos="5580"/>
        </w:tabs>
        <w:spacing w:line="400" w:lineRule="exact"/>
        <w:outlineLvl w:val="1"/>
        <w:rPr>
          <w:rFonts w:hint="eastAsia" w:ascii="仿宋" w:hAnsi="仿宋" w:eastAsia="仿宋" w:cs="仿宋"/>
          <w:b/>
          <w:bCs/>
          <w:color w:val="auto"/>
          <w:sz w:val="24"/>
          <w:szCs w:val="24"/>
          <w:highlight w:val="none"/>
        </w:rPr>
      </w:pPr>
    </w:p>
    <w:p>
      <w:pPr>
        <w:pStyle w:val="11"/>
        <w:tabs>
          <w:tab w:val="left" w:pos="5580"/>
        </w:tabs>
        <w:spacing w:line="400" w:lineRule="exact"/>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b/>
          <w:bCs/>
          <w:color w:val="auto"/>
          <w:sz w:val="24"/>
          <w:szCs w:val="24"/>
          <w:highlight w:val="none"/>
        </w:rPr>
      </w:pPr>
    </w:p>
    <w:p>
      <w:pPr>
        <w:pStyle w:val="11"/>
        <w:tabs>
          <w:tab w:val="left" w:pos="5580"/>
        </w:tabs>
        <w:spacing w:line="400" w:lineRule="exact"/>
        <w:ind w:firstLine="3855" w:firstLineChars="1600"/>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 投标书</w:t>
      </w:r>
      <w:bookmarkEnd w:id="415"/>
      <w:bookmarkEnd w:id="416"/>
      <w:bookmarkEnd w:id="417"/>
      <w:bookmarkEnd w:id="418"/>
      <w:bookmarkEnd w:id="419"/>
      <w:bookmarkEnd w:id="420"/>
      <w:bookmarkEnd w:id="421"/>
      <w:bookmarkEnd w:id="422"/>
    </w:p>
    <w:p>
      <w:pPr>
        <w:tabs>
          <w:tab w:val="left" w:pos="5580"/>
        </w:tabs>
        <w:spacing w:line="40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新疆绿建全过程咨询发展有限公司</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p>
    <w:p>
      <w:pPr>
        <w:pStyle w:val="11"/>
        <w:tabs>
          <w:tab w:val="left" w:pos="5580"/>
        </w:tabs>
        <w:spacing w:line="4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招标编号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）提交下述文件正本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份及电子文档</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pPr>
        <w:pStyle w:val="11"/>
        <w:tabs>
          <w:tab w:val="left" w:pos="720"/>
          <w:tab w:val="left" w:pos="900"/>
        </w:tabs>
        <w:spacing w:line="400" w:lineRule="exact"/>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（1）附投标价格表中规定的应提供货物的投标总价详见开标一览表，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（6）我方不是为本项目提供整体设计、规范编制或者项目管理、监理、检测等服务的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，我方不是采购代理机构的附属机构。</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pPr>
        <w:pStyle w:val="11"/>
        <w:tabs>
          <w:tab w:val="left" w:pos="5580"/>
        </w:tabs>
        <w:spacing w:line="400" w:lineRule="exact"/>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供应商（公章）</w:t>
      </w:r>
      <w:r>
        <w:rPr>
          <w:rFonts w:hint="eastAsia" w:ascii="仿宋" w:hAnsi="仿宋" w:eastAsia="仿宋" w:cs="仿宋"/>
          <w:color w:val="auto"/>
          <w:sz w:val="24"/>
          <w:szCs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pPr>
        <w:pStyle w:val="11"/>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pStyle w:val="11"/>
        <w:spacing w:line="400" w:lineRule="exact"/>
        <w:rPr>
          <w:rFonts w:hint="eastAsia" w:ascii="仿宋" w:hAnsi="仿宋" w:eastAsia="仿宋" w:cs="仿宋"/>
          <w:b/>
          <w:bCs/>
          <w:color w:val="auto"/>
          <w:sz w:val="22"/>
          <w:szCs w:val="22"/>
          <w:highlight w:val="none"/>
        </w:rPr>
      </w:pPr>
      <w:r>
        <w:rPr>
          <w:rFonts w:hint="eastAsia" w:ascii="仿宋" w:hAnsi="仿宋" w:eastAsia="仿宋" w:cs="仿宋"/>
          <w:color w:val="auto"/>
          <w:sz w:val="24"/>
          <w:szCs w:val="24"/>
          <w:highlight w:val="none"/>
        </w:rPr>
        <w:br w:type="page"/>
      </w:r>
      <w:bookmarkStart w:id="423" w:name="_Toc216582817"/>
      <w:bookmarkStart w:id="424" w:name="_Toc28959"/>
      <w:bookmarkStart w:id="425" w:name="_Toc22563"/>
      <w:bookmarkStart w:id="426" w:name="_Toc515647820"/>
    </w:p>
    <w:p>
      <w:pPr>
        <w:pStyle w:val="11"/>
        <w:spacing w:line="240" w:lineRule="atLeast"/>
        <w:ind w:left="1378" w:leftChars="656" w:firstLine="1524" w:firstLineChars="542"/>
        <w:jc w:val="both"/>
        <w:outlineLvl w:val="1"/>
        <w:rPr>
          <w:rFonts w:hint="eastAsia" w:ascii="仿宋" w:hAnsi="仿宋" w:eastAsia="仿宋" w:cs="仿宋"/>
          <w:b/>
          <w:bCs/>
          <w:color w:val="auto"/>
          <w:sz w:val="28"/>
          <w:szCs w:val="28"/>
          <w:highlight w:val="none"/>
        </w:rPr>
      </w:pPr>
      <w:bookmarkStart w:id="427" w:name="_Toc10562"/>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技术规格偏离表</w:t>
      </w:r>
      <w:bookmarkEnd w:id="427"/>
    </w:p>
    <w:p>
      <w:pPr>
        <w:pStyle w:val="11"/>
        <w:spacing w:line="240" w:lineRule="atLeast"/>
        <w:ind w:left="1080" w:leftChars="257" w:hanging="540"/>
        <w:rPr>
          <w:rFonts w:hint="eastAsia" w:ascii="仿宋" w:hAnsi="仿宋" w:eastAsia="仿宋" w:cs="仿宋"/>
          <w:color w:val="auto"/>
          <w:szCs w:val="21"/>
          <w:highlight w:val="none"/>
        </w:rPr>
      </w:pPr>
    </w:p>
    <w:p>
      <w:pPr>
        <w:pStyle w:val="11"/>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招标编号:                 包号:</w:t>
      </w:r>
    </w:p>
    <w:p>
      <w:pPr>
        <w:pStyle w:val="11"/>
        <w:spacing w:line="400" w:lineRule="exact"/>
        <w:ind w:left="1080" w:leftChars="257" w:hanging="540"/>
        <w:rPr>
          <w:rFonts w:hint="eastAsia" w:ascii="仿宋" w:hAnsi="仿宋" w:eastAsia="仿宋" w:cs="仿宋"/>
          <w:color w:val="auto"/>
          <w:sz w:val="24"/>
          <w:szCs w:val="24"/>
          <w:highlight w:val="none"/>
        </w:rPr>
      </w:pPr>
    </w:p>
    <w:tbl>
      <w:tblPr>
        <w:tblStyle w:val="2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30"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2472" w:type="dxa"/>
            <w:noWrap w:val="0"/>
            <w:vAlign w:val="center"/>
          </w:tcPr>
          <w:p>
            <w:pPr>
              <w:pStyle w:val="11"/>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331"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1331"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950"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951"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2472"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33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95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bl>
    <w:p>
      <w:pPr>
        <w:pStyle w:val="11"/>
        <w:spacing w:line="400" w:lineRule="exact"/>
        <w:rPr>
          <w:rFonts w:hint="eastAsia" w:ascii="仿宋" w:hAnsi="仿宋" w:eastAsia="仿宋" w:cs="仿宋"/>
          <w:color w:val="auto"/>
          <w:sz w:val="24"/>
          <w:szCs w:val="24"/>
          <w:highlight w:val="none"/>
        </w:rPr>
      </w:pP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pStyle w:val="11"/>
        <w:tabs>
          <w:tab w:val="left" w:pos="5370"/>
        </w:tabs>
        <w:spacing w:line="400" w:lineRule="exact"/>
        <w:ind w:left="1080" w:leftChars="257" w:hanging="54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bookmarkEnd w:id="423"/>
    <w:bookmarkEnd w:id="424"/>
    <w:bookmarkEnd w:id="425"/>
    <w:bookmarkEnd w:id="426"/>
    <w:p>
      <w:pPr>
        <w:spacing w:line="400" w:lineRule="exact"/>
        <w:rPr>
          <w:rFonts w:hint="eastAsia" w:ascii="仿宋" w:hAnsi="仿宋" w:eastAsia="仿宋" w:cs="仿宋"/>
          <w:color w:val="auto"/>
          <w:sz w:val="24"/>
          <w:highlight w:val="none"/>
        </w:rPr>
      </w:pPr>
      <w:bookmarkStart w:id="428" w:name="_Toc216582818"/>
      <w:bookmarkStart w:id="429" w:name="_Toc515647821"/>
      <w:bookmarkStart w:id="430" w:name="_Toc31439"/>
      <w:bookmarkStart w:id="431" w:name="_Toc23"/>
      <w:bookmarkStart w:id="432" w:name="_Toc1980"/>
    </w:p>
    <w:p>
      <w:pPr>
        <w:rPr>
          <w:rFonts w:hint="eastAsia" w:ascii="仿宋" w:hAnsi="仿宋" w:eastAsia="仿宋" w:cs="仿宋"/>
          <w:color w:val="auto"/>
          <w:highlight w:val="none"/>
        </w:rPr>
      </w:pPr>
    </w:p>
    <w:p>
      <w:pPr>
        <w:rPr>
          <w:rFonts w:hint="eastAsia" w:ascii="仿宋" w:hAnsi="仿宋" w:eastAsia="仿宋" w:cs="仿宋"/>
          <w:color w:val="auto"/>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29"/>
        <w:rPr>
          <w:rFonts w:hint="eastAsia" w:ascii="仿宋" w:hAnsi="仿宋" w:eastAsia="仿宋" w:cs="仿宋"/>
          <w:color w:val="auto"/>
          <w:sz w:val="21"/>
          <w:szCs w:val="21"/>
          <w:highlight w:val="none"/>
        </w:rPr>
      </w:pPr>
    </w:p>
    <w:p>
      <w:pPr>
        <w:pStyle w:val="3"/>
        <w:spacing w:before="0" w:line="240" w:lineRule="atLeast"/>
        <w:ind w:firstLine="3092" w:firstLineChars="1100"/>
        <w:jc w:val="both"/>
        <w:rPr>
          <w:rFonts w:hint="eastAsia" w:ascii="仿宋" w:hAnsi="仿宋" w:eastAsia="仿宋" w:cs="仿宋"/>
          <w:color w:val="auto"/>
          <w:szCs w:val="21"/>
          <w:highlight w:val="none"/>
        </w:rPr>
      </w:pPr>
      <w:bookmarkStart w:id="433" w:name="_Toc17324"/>
      <w:bookmarkStart w:id="434" w:name="_Toc22109"/>
      <w:bookmarkStart w:id="435" w:name="_Toc14887"/>
      <w:bookmarkStart w:id="436" w:name="_Toc12914"/>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商务条款偏离表</w:t>
      </w:r>
      <w:bookmarkEnd w:id="428"/>
      <w:bookmarkEnd w:id="429"/>
      <w:bookmarkEnd w:id="430"/>
      <w:bookmarkEnd w:id="431"/>
      <w:bookmarkEnd w:id="432"/>
      <w:bookmarkEnd w:id="433"/>
      <w:bookmarkEnd w:id="434"/>
      <w:bookmarkEnd w:id="435"/>
      <w:bookmarkEnd w:id="436"/>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招标编号:             包号:</w:t>
      </w:r>
    </w:p>
    <w:p>
      <w:pPr>
        <w:pStyle w:val="11"/>
        <w:spacing w:line="400" w:lineRule="exact"/>
        <w:ind w:left="1080" w:leftChars="257" w:hanging="540"/>
        <w:rPr>
          <w:rFonts w:hint="eastAsia" w:ascii="仿宋" w:hAnsi="仿宋" w:eastAsia="仿宋" w:cs="仿宋"/>
          <w:color w:val="auto"/>
          <w:sz w:val="24"/>
          <w:szCs w:val="24"/>
          <w:highlight w:val="none"/>
        </w:rPr>
      </w:pPr>
    </w:p>
    <w:tbl>
      <w:tblPr>
        <w:tblStyle w:val="2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35"/>
        <w:gridCol w:w="1987"/>
        <w:gridCol w:w="1860"/>
        <w:gridCol w:w="129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35"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987"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860" w:type="dxa"/>
            <w:noWrap w:val="0"/>
            <w:vAlign w:val="center"/>
          </w:tcPr>
          <w:p>
            <w:pPr>
              <w:pStyle w:val="11"/>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1298" w:type="dxa"/>
            <w:noWrap w:val="0"/>
            <w:vAlign w:val="center"/>
          </w:tcPr>
          <w:p>
            <w:pPr>
              <w:pStyle w:val="11"/>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偏离</w:t>
            </w:r>
          </w:p>
        </w:tc>
        <w:tc>
          <w:tcPr>
            <w:tcW w:w="735" w:type="dxa"/>
            <w:noWrap w:val="0"/>
            <w:vAlign w:val="center"/>
          </w:tcPr>
          <w:p>
            <w:pPr>
              <w:pStyle w:val="11"/>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jc w:val="center"/>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jc w:val="center"/>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11"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987"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860"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1298"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c>
          <w:tcPr>
            <w:tcW w:w="735" w:type="dxa"/>
            <w:noWrap w:val="0"/>
            <w:vAlign w:val="top"/>
          </w:tcPr>
          <w:p>
            <w:pPr>
              <w:pStyle w:val="11"/>
              <w:spacing w:line="400" w:lineRule="exact"/>
              <w:ind w:left="1080" w:leftChars="257" w:hanging="540"/>
              <w:rPr>
                <w:rFonts w:hint="eastAsia" w:ascii="仿宋" w:hAnsi="仿宋" w:eastAsia="仿宋" w:cs="仿宋"/>
                <w:color w:val="auto"/>
                <w:sz w:val="24"/>
                <w:szCs w:val="24"/>
                <w:highlight w:val="none"/>
              </w:rPr>
            </w:pPr>
          </w:p>
        </w:tc>
      </w:tr>
    </w:tbl>
    <w:p>
      <w:pPr>
        <w:pStyle w:val="11"/>
        <w:spacing w:line="400" w:lineRule="exact"/>
        <w:ind w:left="1080" w:leftChars="257" w:hanging="540"/>
        <w:rPr>
          <w:rFonts w:hint="eastAsia" w:ascii="仿宋" w:hAnsi="仿宋" w:eastAsia="仿宋" w:cs="仿宋"/>
          <w:color w:val="auto"/>
          <w:sz w:val="24"/>
          <w:szCs w:val="24"/>
          <w:highlight w:val="none"/>
        </w:rPr>
      </w:pPr>
    </w:p>
    <w:p>
      <w:pPr>
        <w:pStyle w:val="11"/>
        <w:spacing w:line="400" w:lineRule="exact"/>
        <w:ind w:left="1080" w:leftChars="257" w:hanging="540"/>
        <w:rPr>
          <w:rFonts w:hint="eastAsia" w:ascii="仿宋" w:hAnsi="仿宋" w:eastAsia="仿宋" w:cs="仿宋"/>
          <w:color w:val="auto"/>
          <w:sz w:val="24"/>
          <w:szCs w:val="24"/>
          <w:highlight w:val="none"/>
        </w:rPr>
      </w:pPr>
    </w:p>
    <w:p>
      <w:pPr>
        <w:pStyle w:val="11"/>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pPr>
        <w:pStyle w:val="11"/>
        <w:tabs>
          <w:tab w:val="left" w:pos="5370"/>
        </w:tabs>
        <w:spacing w:line="400" w:lineRule="exac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11"/>
        <w:spacing w:line="400" w:lineRule="exact"/>
        <w:rPr>
          <w:rFonts w:hint="eastAsia" w:ascii="仿宋" w:hAnsi="仿宋" w:eastAsia="仿宋" w:cs="仿宋"/>
          <w:color w:val="auto"/>
          <w:sz w:val="24"/>
          <w:szCs w:val="24"/>
          <w:highlight w:val="none"/>
          <w:lang w:val="en-US" w:eastAsia="zh-CN"/>
        </w:rPr>
      </w:pPr>
      <w:bookmarkStart w:id="437" w:name="_Hlt520343392"/>
      <w:bookmarkEnd w:id="437"/>
      <w:bookmarkStart w:id="438" w:name="_Hlt520350918"/>
      <w:bookmarkEnd w:id="438"/>
      <w:bookmarkStart w:id="439" w:name="_Hlt520350957"/>
      <w:bookmarkEnd w:id="439"/>
      <w:bookmarkStart w:id="440" w:name="_Hlt520274407"/>
      <w:bookmarkEnd w:id="440"/>
      <w:bookmarkStart w:id="441" w:name="_Hlt520274911"/>
      <w:bookmarkEnd w:id="441"/>
      <w:bookmarkStart w:id="442" w:name="_Hlt520343000"/>
      <w:bookmarkEnd w:id="442"/>
      <w:bookmarkStart w:id="443" w:name="_Hlt520274393"/>
      <w:bookmarkEnd w:id="443"/>
      <w:bookmarkStart w:id="444" w:name="_Hlt520271212"/>
      <w:bookmarkEnd w:id="444"/>
      <w:bookmarkStart w:id="445" w:name="_Hlt520273973"/>
      <w:bookmarkEnd w:id="445"/>
      <w:bookmarkStart w:id="446" w:name="_Hlt520274065"/>
      <w:bookmarkEnd w:id="446"/>
      <w:bookmarkStart w:id="447" w:name="_Hlt520273711"/>
      <w:bookmarkEnd w:id="447"/>
      <w:bookmarkStart w:id="448" w:name="_Toc17820"/>
      <w:bookmarkStart w:id="449" w:name="_Toc10725"/>
      <w:bookmarkStart w:id="450" w:name="_Toc21312"/>
      <w:bookmarkStart w:id="451" w:name="_Toc31694"/>
      <w:bookmarkStart w:id="452" w:name="_Toc31244"/>
      <w:bookmarkStart w:id="453" w:name="_Toc515647823"/>
      <w:bookmarkStart w:id="454" w:name="_Toc27043"/>
      <w:bookmarkStart w:id="455" w:name="_Toc25797"/>
    </w:p>
    <w:bookmarkEnd w:id="448"/>
    <w:bookmarkEnd w:id="449"/>
    <w:bookmarkEnd w:id="450"/>
    <w:bookmarkEnd w:id="451"/>
    <w:bookmarkEnd w:id="452"/>
    <w:bookmarkEnd w:id="453"/>
    <w:bookmarkEnd w:id="454"/>
    <w:bookmarkEnd w:id="455"/>
    <w:p>
      <w:pPr>
        <w:pStyle w:val="3"/>
        <w:spacing w:before="0" w:line="400" w:lineRule="exact"/>
        <w:jc w:val="center"/>
        <w:rPr>
          <w:rFonts w:hint="eastAsia" w:ascii="仿宋" w:hAnsi="仿宋" w:eastAsia="仿宋" w:cs="仿宋"/>
          <w:color w:val="auto"/>
          <w:sz w:val="24"/>
          <w:szCs w:val="24"/>
          <w:highlight w:val="none"/>
          <w:lang w:val="en-US" w:eastAsia="zh-CN"/>
        </w:rPr>
      </w:pPr>
      <w:bookmarkStart w:id="456" w:name="_Toc25039"/>
      <w:bookmarkStart w:id="457" w:name="_Toc515647824"/>
      <w:bookmarkStart w:id="458" w:name="_Toc11803"/>
      <w:bookmarkStart w:id="459" w:name="_Toc21610"/>
      <w:bookmarkStart w:id="460" w:name="_Toc3861"/>
      <w:bookmarkStart w:id="461" w:name="_Toc10977"/>
      <w:bookmarkStart w:id="462" w:name="_Toc2709"/>
      <w:bookmarkStart w:id="463" w:name="_Toc11343"/>
      <w:bookmarkStart w:id="464" w:name="_Toc9687"/>
    </w:p>
    <w:p>
      <w:pPr>
        <w:pStyle w:val="3"/>
        <w:spacing w:before="0" w:line="400" w:lineRule="exact"/>
        <w:jc w:val="center"/>
        <w:rPr>
          <w:rFonts w:hint="eastAsia" w:ascii="仿宋" w:hAnsi="仿宋" w:eastAsia="仿宋" w:cs="仿宋"/>
          <w:b/>
          <w:i w:val="0"/>
          <w:caps w:val="0"/>
          <w:color w:val="auto"/>
          <w:spacing w:val="0"/>
          <w:w w:val="100"/>
          <w:kern w:val="0"/>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中小企业声明函</w:t>
      </w:r>
      <w:bookmarkEnd w:id="456"/>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w:t>
      </w:r>
      <w:r>
        <w:rPr>
          <w:rFonts w:hint="eastAsia" w:ascii="仿宋" w:hAnsi="仿宋" w:eastAsia="仿宋" w:cs="仿宋"/>
          <w:i w:val="0"/>
          <w:iCs w:val="0"/>
          <w:caps w:val="0"/>
          <w:color w:val="auto"/>
          <w:spacing w:val="0"/>
          <w:kern w:val="0"/>
          <w:sz w:val="24"/>
          <w:szCs w:val="24"/>
          <w:highlight w:val="none"/>
          <w:shd w:val="clear" w:color="auto" w:fill="FFFFFF"/>
          <w:vertAlign w:val="superscript"/>
          <w:lang w:val="en-US" w:eastAsia="zh-CN"/>
        </w:rPr>
        <w:t>1</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w:t>
      </w:r>
      <w:r>
        <w:rPr>
          <w:rFonts w:hint="eastAsia" w:ascii="仿宋" w:hAnsi="仿宋" w:eastAsia="仿宋" w:cs="仿宋"/>
          <w:i w:val="0"/>
          <w:iCs w:val="0"/>
          <w:caps w:val="0"/>
          <w:color w:val="auto"/>
          <w:spacing w:val="0"/>
          <w:kern w:val="0"/>
          <w:sz w:val="24"/>
          <w:szCs w:val="24"/>
          <w:highlight w:val="none"/>
          <w:shd w:val="clear" w:color="auto" w:fill="FFFFFF"/>
          <w:vertAlign w:val="superscript"/>
          <w:lang w:val="en-US" w:eastAsia="zh-CN"/>
        </w:rPr>
        <w:t>1</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日 期：</w:t>
      </w:r>
    </w:p>
    <w:p>
      <w:pPr>
        <w:pStyle w:val="17"/>
        <w:keepNext w:val="0"/>
        <w:keepLines w:val="0"/>
        <w:pageBreakBefore w:val="0"/>
        <w:shd w:val="clear" w:color="auto" w:fill="auto"/>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pPr>
        <w:pStyle w:val="17"/>
        <w:rPr>
          <w:rFonts w:hint="eastAsia" w:ascii="仿宋" w:hAnsi="仿宋" w:eastAsia="仿宋" w:cs="仿宋"/>
          <w:b/>
          <w:bCs/>
          <w:color w:val="auto"/>
          <w:sz w:val="24"/>
          <w:szCs w:val="24"/>
          <w:highlight w:val="none"/>
          <w:lang w:val="en-US" w:eastAsia="zh-CN"/>
        </w:rPr>
      </w:pPr>
    </w:p>
    <w:p>
      <w:pPr>
        <w:pStyle w:val="7"/>
        <w:rPr>
          <w:rFonts w:hint="eastAsia" w:ascii="仿宋" w:hAnsi="仿宋" w:eastAsia="仿宋" w:cs="仿宋"/>
          <w:highlight w:val="none"/>
          <w:lang w:val="en-US" w:eastAsia="zh-CN"/>
        </w:rPr>
      </w:pPr>
    </w:p>
    <w:bookmarkEnd w:id="457"/>
    <w:bookmarkEnd w:id="458"/>
    <w:bookmarkEnd w:id="459"/>
    <w:bookmarkEnd w:id="460"/>
    <w:bookmarkEnd w:id="461"/>
    <w:bookmarkEnd w:id="462"/>
    <w:bookmarkEnd w:id="463"/>
    <w:bookmarkEnd w:id="464"/>
    <w:p>
      <w:pPr>
        <w:pStyle w:val="3"/>
        <w:spacing w:before="0" w:line="400" w:lineRule="exact"/>
        <w:jc w:val="center"/>
        <w:rPr>
          <w:rFonts w:hint="eastAsia" w:ascii="仿宋" w:hAnsi="仿宋" w:eastAsia="仿宋" w:cs="仿宋"/>
          <w:color w:val="auto"/>
          <w:sz w:val="24"/>
          <w:szCs w:val="24"/>
          <w:highlight w:val="none"/>
        </w:rPr>
      </w:pPr>
      <w:bookmarkStart w:id="465" w:name="_Toc24526"/>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-2  </w:t>
      </w:r>
      <w:bookmarkStart w:id="466" w:name="_Toc515647825"/>
      <w:bookmarkStart w:id="467" w:name="_Toc19312"/>
      <w:bookmarkStart w:id="468" w:name="_Toc11516"/>
      <w:bookmarkStart w:id="469" w:name="_Toc31700"/>
      <w:bookmarkStart w:id="470" w:name="OLE_LINK14"/>
      <w:bookmarkStart w:id="471" w:name="_Toc19284"/>
      <w:bookmarkStart w:id="472" w:name="_Toc15294"/>
      <w:bookmarkStart w:id="473" w:name="_Toc23068"/>
      <w:bookmarkStart w:id="474" w:name="OLE_LINK13"/>
      <w:r>
        <w:rPr>
          <w:rFonts w:hint="eastAsia" w:ascii="仿宋" w:hAnsi="仿宋" w:eastAsia="仿宋" w:cs="仿宋"/>
          <w:color w:val="auto"/>
          <w:sz w:val="24"/>
          <w:szCs w:val="24"/>
          <w:highlight w:val="none"/>
        </w:rPr>
        <w:t>残疾人福利性单位声明函</w:t>
      </w:r>
      <w:bookmarkEnd w:id="465"/>
      <w:bookmarkEnd w:id="466"/>
      <w:bookmarkEnd w:id="467"/>
      <w:bookmarkEnd w:id="468"/>
      <w:bookmarkEnd w:id="469"/>
      <w:bookmarkEnd w:id="470"/>
      <w:bookmarkEnd w:id="471"/>
      <w:bookmarkEnd w:id="472"/>
      <w:bookmarkEnd w:id="473"/>
      <w:bookmarkEnd w:id="474"/>
    </w:p>
    <w:p>
      <w:pPr>
        <w:spacing w:line="400" w:lineRule="exact"/>
        <w:ind w:left="1080" w:leftChars="257" w:hanging="540"/>
        <w:jc w:val="center"/>
        <w:rPr>
          <w:rFonts w:hint="eastAsia" w:ascii="仿宋" w:hAnsi="仿宋" w:eastAsia="仿宋" w:cs="仿宋"/>
          <w:color w:val="auto"/>
          <w:kern w:val="0"/>
          <w:sz w:val="24"/>
          <w:highlight w:val="none"/>
        </w:rPr>
      </w:pPr>
    </w:p>
    <w:p>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pPr>
        <w:spacing w:line="400" w:lineRule="exact"/>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pPr>
        <w:spacing w:line="400" w:lineRule="exact"/>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pPr>
        <w:spacing w:line="400" w:lineRule="exact"/>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pPr>
        <w:pStyle w:val="9"/>
        <w:spacing w:line="400" w:lineRule="exact"/>
        <w:ind w:firstLine="480"/>
        <w:rPr>
          <w:rFonts w:hint="eastAsia" w:ascii="仿宋" w:hAnsi="仿宋" w:eastAsia="仿宋" w:cs="仿宋"/>
          <w:color w:val="auto"/>
          <w:highlight w:val="none"/>
        </w:rPr>
      </w:pPr>
    </w:p>
    <w:p>
      <w:pPr>
        <w:pStyle w:val="9"/>
        <w:spacing w:line="400" w:lineRule="exact"/>
        <w:ind w:firstLine="480"/>
        <w:rPr>
          <w:rFonts w:hint="eastAsia" w:ascii="仿宋" w:hAnsi="仿宋" w:eastAsia="仿宋" w:cs="仿宋"/>
          <w:color w:val="auto"/>
          <w:highlight w:val="none"/>
        </w:rPr>
      </w:pPr>
    </w:p>
    <w:p>
      <w:pPr>
        <w:pStyle w:val="3"/>
        <w:spacing w:before="0" w:line="400" w:lineRule="exact"/>
        <w:jc w:val="both"/>
        <w:rPr>
          <w:rFonts w:hint="eastAsia" w:ascii="仿宋" w:hAnsi="仿宋" w:eastAsia="仿宋" w:cs="仿宋"/>
          <w:color w:val="auto"/>
          <w:sz w:val="24"/>
          <w:szCs w:val="24"/>
          <w:highlight w:val="none"/>
        </w:rPr>
      </w:pPr>
      <w:bookmarkStart w:id="475" w:name="_Toc6004"/>
      <w:bookmarkStart w:id="476" w:name="_Toc17401"/>
      <w:bookmarkStart w:id="477" w:name="_Toc30795"/>
      <w:bookmarkStart w:id="478" w:name="_Toc3037"/>
      <w:bookmarkStart w:id="479" w:name="_Toc28099"/>
      <w:bookmarkStart w:id="480" w:name="_Toc515647827"/>
      <w:bookmarkStart w:id="481" w:name="_Toc23926"/>
      <w:bookmarkStart w:id="482" w:name="_Toc22102"/>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供应商关联单位的说明</w:t>
      </w:r>
      <w:bookmarkEnd w:id="475"/>
      <w:bookmarkEnd w:id="476"/>
      <w:bookmarkEnd w:id="477"/>
      <w:bookmarkEnd w:id="478"/>
      <w:bookmarkEnd w:id="479"/>
      <w:bookmarkEnd w:id="480"/>
      <w:bookmarkEnd w:id="481"/>
      <w:bookmarkEnd w:id="482"/>
    </w:p>
    <w:p>
      <w:pPr>
        <w:pStyle w:val="5"/>
        <w:spacing w:line="400" w:lineRule="exact"/>
        <w:jc w:val="center"/>
        <w:rPr>
          <w:rFonts w:hint="eastAsia" w:ascii="仿宋" w:hAnsi="仿宋" w:eastAsia="仿宋" w:cs="仿宋"/>
          <w:color w:val="auto"/>
          <w:szCs w:val="24"/>
          <w:highlight w:val="none"/>
        </w:rPr>
      </w:pPr>
    </w:p>
    <w:p>
      <w:pPr>
        <w:pStyle w:val="5"/>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说明：供应商应当如实披露与本单位存在下列关联关系的单位名称：</w:t>
      </w:r>
    </w:p>
    <w:p>
      <w:pPr>
        <w:pStyle w:val="5"/>
        <w:spacing w:line="400" w:lineRule="exact"/>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（1）与供应商单位负责人为同一人的其他单位；</w:t>
      </w:r>
    </w:p>
    <w:p>
      <w:pPr>
        <w:pStyle w:val="5"/>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（2）与供应商存在直接控股、管理关系的其他单位。</w:t>
      </w:r>
    </w:p>
    <w:p>
      <w:pPr>
        <w:pStyle w:val="6"/>
        <w:rPr>
          <w:rFonts w:hint="eastAsia" w:ascii="仿宋" w:hAnsi="仿宋" w:eastAsia="仿宋" w:cs="仿宋"/>
          <w:color w:val="auto"/>
          <w:highlight w:val="none"/>
        </w:rPr>
      </w:pPr>
    </w:p>
    <w:p>
      <w:pPr>
        <w:pStyle w:val="17"/>
        <w:rPr>
          <w:rFonts w:hint="eastAsia" w:ascii="仿宋" w:hAnsi="仿宋" w:eastAsia="仿宋" w:cs="仿宋"/>
          <w:b/>
          <w:color w:val="auto"/>
          <w:kern w:val="0"/>
          <w:sz w:val="24"/>
          <w:highlight w:val="none"/>
        </w:rPr>
      </w:pPr>
    </w:p>
    <w:p>
      <w:pPr>
        <w:pStyle w:val="5"/>
        <w:ind w:left="0" w:leftChars="0" w:firstLine="0" w:firstLineChars="0"/>
        <w:outlineLvl w:val="1"/>
        <w:rPr>
          <w:rFonts w:hint="eastAsia" w:ascii="仿宋" w:hAnsi="仿宋" w:eastAsia="仿宋" w:cs="仿宋"/>
          <w:color w:val="auto"/>
          <w:sz w:val="24"/>
          <w:highlight w:val="none"/>
        </w:rPr>
      </w:pPr>
      <w:bookmarkStart w:id="483" w:name="_Toc20476"/>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供应商可提供有利于投标的其他资格证明材料</w:t>
      </w:r>
      <w:bookmarkEnd w:id="483"/>
    </w:p>
    <w:p>
      <w:pPr>
        <w:pStyle w:val="5"/>
        <w:spacing w:line="400" w:lineRule="exact"/>
        <w:rPr>
          <w:rFonts w:hint="eastAsia" w:ascii="仿宋" w:hAnsi="仿宋" w:eastAsia="仿宋" w:cs="仿宋"/>
          <w:color w:val="auto"/>
          <w:szCs w:val="24"/>
          <w:highlight w:val="none"/>
        </w:rPr>
      </w:pPr>
    </w:p>
    <w:p>
      <w:pPr>
        <w:pStyle w:val="5"/>
        <w:spacing w:line="400" w:lineRule="exact"/>
        <w:rPr>
          <w:rFonts w:hint="eastAsia" w:ascii="仿宋" w:hAnsi="仿宋" w:eastAsia="仿宋" w:cs="仿宋"/>
          <w:color w:val="auto"/>
          <w:szCs w:val="24"/>
          <w:highlight w:val="none"/>
        </w:rPr>
      </w:pPr>
    </w:p>
    <w:p>
      <w:pPr>
        <w:pStyle w:val="5"/>
        <w:spacing w:line="400" w:lineRule="exact"/>
        <w:rPr>
          <w:rFonts w:hint="eastAsia" w:ascii="仿宋" w:hAnsi="仿宋" w:eastAsia="仿宋" w:cs="仿宋"/>
          <w:color w:val="auto"/>
          <w:szCs w:val="24"/>
          <w:highlight w:val="none"/>
        </w:rPr>
      </w:pPr>
    </w:p>
    <w:p>
      <w:pPr>
        <w:pStyle w:val="11"/>
        <w:spacing w:line="360" w:lineRule="auto"/>
        <w:jc w:val="left"/>
        <w:rPr>
          <w:rFonts w:hint="eastAsia" w:ascii="仿宋" w:hAnsi="仿宋" w:eastAsia="仿宋" w:cs="仿宋"/>
          <w:sz w:val="28"/>
          <w:szCs w:val="21"/>
          <w:highlight w:val="none"/>
          <w:lang w:eastAsia="zh-CN"/>
        </w:rPr>
      </w:pPr>
      <w:r>
        <w:rPr>
          <w:rFonts w:hint="eastAsia" w:ascii="仿宋" w:hAnsi="仿宋" w:eastAsia="仿宋" w:cs="仿宋"/>
          <w:b/>
          <w:bCs/>
          <w:color w:val="000000"/>
          <w:kern w:val="0"/>
          <w:sz w:val="28"/>
          <w:szCs w:val="28"/>
          <w:highlight w:val="none"/>
          <w:lang w:val="en-US" w:eastAsia="zh-CN" w:bidi="ar"/>
        </w:rPr>
        <w:t>（注：响应文件包括但不仅限于上述内容，如有不足，请自行补充提供。）</w:t>
      </w:r>
    </w:p>
    <w:p>
      <w:pPr>
        <w:rPr>
          <w:rFonts w:hint="eastAsia" w:ascii="仿宋" w:hAnsi="仿宋" w:eastAsia="仿宋" w:cs="仿宋"/>
          <w:highlight w:val="none"/>
        </w:rPr>
      </w:pPr>
    </w:p>
    <w:tbl>
      <w:tblPr>
        <w:tblStyle w:val="21"/>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pPr>
              <w:pStyle w:val="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（正本/副本）</w:t>
            </w:r>
          </w:p>
          <w:p>
            <w:pPr>
              <w:pStyle w:val="7"/>
              <w:ind w:firstLine="4216" w:firstLineChars="1500"/>
              <w:rPr>
                <w:rFonts w:hint="eastAsia" w:ascii="仿宋" w:hAnsi="仿宋" w:eastAsia="仿宋" w:cs="仿宋"/>
                <w:b/>
                <w:bCs/>
                <w:color w:val="auto"/>
                <w:sz w:val="28"/>
                <w:szCs w:val="28"/>
                <w:highlight w:val="none"/>
              </w:rPr>
            </w:pPr>
          </w:p>
          <w:p>
            <w:pPr>
              <w:pStyle w:val="7"/>
              <w:ind w:firstLine="4216" w:firstLineChars="1500"/>
              <w:rPr>
                <w:rFonts w:hint="eastAsia" w:ascii="仿宋" w:hAnsi="仿宋" w:eastAsia="仿宋" w:cs="仿宋"/>
                <w:b/>
                <w:bCs/>
                <w:color w:val="auto"/>
                <w:sz w:val="28"/>
                <w:szCs w:val="28"/>
                <w:highlight w:val="none"/>
              </w:rPr>
            </w:pPr>
          </w:p>
          <w:p>
            <w:pPr>
              <w:pStyle w:val="7"/>
              <w:rPr>
                <w:rFonts w:hint="eastAsia" w:ascii="仿宋" w:hAnsi="仿宋" w:eastAsia="仿宋" w:cs="仿宋"/>
                <w:b/>
                <w:bCs/>
                <w:color w:val="auto"/>
                <w:sz w:val="28"/>
                <w:szCs w:val="28"/>
                <w:highlight w:val="none"/>
              </w:rPr>
            </w:pPr>
          </w:p>
          <w:p>
            <w:pPr>
              <w:pStyle w:val="7"/>
              <w:ind w:firstLine="2530"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 *** *** ***   项目</w:t>
            </w:r>
          </w:p>
          <w:p>
            <w:pPr>
              <w:pStyle w:val="7"/>
              <w:jc w:val="center"/>
              <w:rPr>
                <w:rFonts w:hint="eastAsia" w:ascii="仿宋" w:hAnsi="仿宋" w:eastAsia="仿宋" w:cs="仿宋"/>
                <w:b/>
                <w:bCs/>
                <w:color w:val="auto"/>
                <w:sz w:val="21"/>
                <w:szCs w:val="21"/>
                <w:highlight w:val="none"/>
              </w:rPr>
            </w:pPr>
          </w:p>
          <w:p>
            <w:pPr>
              <w:pStyle w:val="7"/>
              <w:ind w:firstLine="3162" w:firstLineChars="15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编号 ＊＊＊      包号：</w:t>
            </w:r>
          </w:p>
          <w:p>
            <w:pPr>
              <w:pStyle w:val="7"/>
              <w:jc w:val="center"/>
              <w:rPr>
                <w:rFonts w:hint="eastAsia" w:ascii="仿宋" w:hAnsi="仿宋" w:eastAsia="仿宋" w:cs="仿宋"/>
                <w:b/>
                <w:bCs/>
                <w:color w:val="auto"/>
                <w:sz w:val="48"/>
                <w:highlight w:val="none"/>
              </w:rPr>
            </w:pPr>
          </w:p>
          <w:p>
            <w:pPr>
              <w:pStyle w:val="7"/>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pPr>
              <w:pStyle w:val="5"/>
              <w:ind w:firstLine="0"/>
              <w:rPr>
                <w:rFonts w:hint="eastAsia" w:ascii="仿宋" w:hAnsi="仿宋" w:eastAsia="仿宋" w:cs="仿宋"/>
                <w:b/>
                <w:color w:val="auto"/>
                <w:sz w:val="32"/>
                <w:highlight w:val="none"/>
              </w:rPr>
            </w:pPr>
          </w:p>
          <w:p>
            <w:pPr>
              <w:pStyle w:val="5"/>
              <w:rPr>
                <w:rFonts w:hint="eastAsia" w:ascii="仿宋" w:hAnsi="仿宋" w:eastAsia="仿宋" w:cs="仿宋"/>
                <w:b/>
                <w:color w:val="auto"/>
                <w:sz w:val="32"/>
                <w:highlight w:val="none"/>
              </w:rPr>
            </w:pPr>
          </w:p>
          <w:p>
            <w:pPr>
              <w:spacing w:line="360" w:lineRule="auto"/>
              <w:ind w:left="176" w:leftChars="84"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投标单位</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pPr>
              <w:spacing w:line="360" w:lineRule="auto"/>
              <w:ind w:left="176" w:leftChars="84"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pPr>
              <w:spacing w:line="360" w:lineRule="auto"/>
              <w:ind w:left="176" w:leftChars="84"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pPr>
              <w:spacing w:line="360" w:lineRule="auto"/>
              <w:ind w:left="176" w:leftChars="84" w:firstLine="840" w:firstLineChars="400"/>
              <w:rPr>
                <w:rFonts w:hint="eastAsia" w:ascii="仿宋" w:hAnsi="仿宋" w:eastAsia="仿宋" w:cs="仿宋"/>
                <w:highlight w:val="none"/>
                <w:u w:val="single"/>
                <w:lang w:val="en-US" w:eastAsia="zh-CN"/>
              </w:rPr>
            </w:pPr>
            <w:r>
              <w:rPr>
                <w:rFonts w:hint="eastAsia" w:ascii="仿宋" w:hAnsi="仿宋" w:eastAsia="仿宋" w:cs="仿宋"/>
                <w:color w:val="auto"/>
                <w:szCs w:val="21"/>
                <w:highlight w:val="none"/>
                <w:u w:val="none"/>
                <w:lang w:val="en-US" w:eastAsia="zh-CN"/>
              </w:rPr>
              <w:t>法定代表人：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p>
          <w:p>
            <w:pPr>
              <w:spacing w:line="360" w:lineRule="auto"/>
              <w:ind w:left="176" w:leftChars="84"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 xml:space="preserve"> （签字）</w:t>
            </w:r>
          </w:p>
          <w:p>
            <w:pPr>
              <w:spacing w:line="360" w:lineRule="auto"/>
              <w:ind w:left="176" w:leftChars="84"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pPr>
              <w:spacing w:line="360" w:lineRule="auto"/>
              <w:ind w:left="176" w:leftChars="84" w:firstLine="840" w:firstLineChars="400"/>
              <w:rPr>
                <w:rFonts w:hint="eastAsia" w:ascii="仿宋" w:hAnsi="仿宋" w:eastAsia="仿宋" w:cs="仿宋"/>
                <w:b/>
                <w:bCs/>
                <w:color w:val="auto"/>
                <w:highlight w:val="none"/>
              </w:rPr>
            </w:pPr>
            <w:r>
              <w:rPr>
                <w:rFonts w:hint="eastAsia" w:ascii="仿宋" w:hAnsi="仿宋" w:eastAsia="仿宋" w:cs="仿宋"/>
                <w:color w:val="auto"/>
                <w:szCs w:val="21"/>
                <w:highlight w:val="none"/>
              </w:rPr>
              <w:t xml:space="preserve">地    址  ：  </w:t>
            </w:r>
            <w:r>
              <w:rPr>
                <w:rFonts w:hint="eastAsia" w:ascii="仿宋" w:hAnsi="仿宋" w:eastAsia="仿宋" w:cs="仿宋"/>
                <w:color w:val="auto"/>
                <w:szCs w:val="21"/>
                <w:highlight w:val="none"/>
                <w:u w:val="single"/>
              </w:rPr>
              <w:t xml:space="preserve">                                    </w:t>
            </w:r>
          </w:p>
          <w:p>
            <w:pPr>
              <w:pStyle w:val="5"/>
              <w:ind w:left="0" w:leftChars="0" w:firstLine="0" w:firstLineChars="0"/>
              <w:rPr>
                <w:rFonts w:hint="eastAsia" w:ascii="仿宋" w:hAnsi="仿宋" w:eastAsia="仿宋" w:cs="仿宋"/>
                <w:color w:val="auto"/>
                <w:highlight w:val="none"/>
              </w:rPr>
            </w:pPr>
          </w:p>
          <w:p>
            <w:pPr>
              <w:jc w:val="center"/>
              <w:rPr>
                <w:rFonts w:hint="eastAsia" w:ascii="仿宋" w:hAnsi="仿宋" w:eastAsia="仿宋" w:cs="仿宋"/>
                <w:b/>
                <w:bCs/>
                <w:color w:val="auto"/>
                <w:highlight w:val="none"/>
              </w:rPr>
            </w:pPr>
          </w:p>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   在202</w:t>
            </w:r>
            <w:r>
              <w:rPr>
                <w:rFonts w:hint="eastAsia" w:ascii="仿宋" w:hAnsi="仿宋" w:eastAsia="仿宋" w:cs="仿宋"/>
                <w:b/>
                <w:bCs/>
                <w:color w:val="auto"/>
                <w:highlight w:val="none"/>
                <w:lang w:val="en-US" w:eastAsia="zh-CN"/>
              </w:rPr>
              <w:t>X</w:t>
            </w:r>
            <w:r>
              <w:rPr>
                <w:rFonts w:hint="eastAsia" w:ascii="仿宋" w:hAnsi="仿宋" w:eastAsia="仿宋" w:cs="仿宋"/>
                <w:b/>
                <w:bCs/>
                <w:color w:val="auto"/>
                <w:highlight w:val="none"/>
              </w:rPr>
              <w:t>年   月  日</w:t>
            </w:r>
            <w:r>
              <w:rPr>
                <w:rFonts w:hint="eastAsia" w:ascii="仿宋" w:hAnsi="仿宋" w:eastAsia="仿宋" w:cs="仿宋"/>
                <w:color w:val="auto"/>
                <w:kern w:val="0"/>
                <w:szCs w:val="21"/>
                <w:highlight w:val="none"/>
                <w:lang w:bidi="ar"/>
              </w:rPr>
              <w:t>X</w:t>
            </w:r>
            <w:r>
              <w:rPr>
                <w:rFonts w:hint="eastAsia" w:ascii="仿宋" w:hAnsi="仿宋" w:eastAsia="仿宋" w:cs="仿宋"/>
                <w:b/>
                <w:bCs/>
                <w:color w:val="auto"/>
                <w:highlight w:val="none"/>
              </w:rPr>
              <w:t>午</w:t>
            </w:r>
            <w:r>
              <w:rPr>
                <w:rFonts w:hint="eastAsia" w:ascii="仿宋" w:hAnsi="仿宋" w:eastAsia="仿宋" w:cs="仿宋"/>
                <w:color w:val="auto"/>
                <w:kern w:val="0"/>
                <w:szCs w:val="21"/>
                <w:highlight w:val="none"/>
                <w:lang w:bidi="ar"/>
              </w:rPr>
              <w:t>XX</w:t>
            </w:r>
            <w:r>
              <w:rPr>
                <w:rFonts w:hint="eastAsia" w:ascii="仿宋" w:hAnsi="仿宋" w:eastAsia="仿宋" w:cs="仿宋"/>
                <w:b/>
                <w:bCs/>
                <w:color w:val="auto"/>
                <w:highlight w:val="none"/>
              </w:rPr>
              <w:t>之前不得启封</w:t>
            </w:r>
          </w:p>
          <w:p>
            <w:pPr>
              <w:jc w:val="center"/>
              <w:rPr>
                <w:rFonts w:hint="eastAsia" w:ascii="仿宋" w:hAnsi="仿宋" w:eastAsia="仿宋" w:cs="仿宋"/>
                <w:b/>
                <w:bCs/>
                <w:color w:val="auto"/>
                <w:highlight w:val="none"/>
              </w:rPr>
            </w:pPr>
          </w:p>
        </w:tc>
      </w:tr>
    </w:tbl>
    <w:p>
      <w:pPr>
        <w:spacing w:line="240" w:lineRule="atLeast"/>
        <w:ind w:left="1157" w:leftChars="371" w:hanging="378" w:hangingChars="157"/>
        <w:outlineLvl w:val="1"/>
        <w:rPr>
          <w:rFonts w:hint="eastAsia" w:ascii="仿宋" w:hAnsi="仿宋" w:eastAsia="仿宋" w:cs="仿宋"/>
          <w:b/>
          <w:color w:val="auto"/>
          <w:kern w:val="0"/>
          <w:sz w:val="24"/>
          <w:szCs w:val="20"/>
          <w:highlight w:val="none"/>
        </w:rPr>
      </w:pPr>
      <w:bookmarkStart w:id="484" w:name="_Toc26507"/>
      <w:r>
        <w:rPr>
          <w:rFonts w:hint="eastAsia" w:ascii="仿宋" w:hAnsi="仿宋" w:eastAsia="仿宋" w:cs="仿宋"/>
          <w:b/>
          <w:color w:val="auto"/>
          <w:kern w:val="0"/>
          <w:sz w:val="24"/>
          <w:szCs w:val="20"/>
          <w:highlight w:val="none"/>
          <w:lang w:val="en-US" w:eastAsia="zh-CN"/>
        </w:rPr>
        <w:t>8、</w:t>
      </w:r>
      <w:r>
        <w:rPr>
          <w:rFonts w:hint="eastAsia" w:ascii="仿宋" w:hAnsi="仿宋" w:eastAsia="仿宋" w:cs="仿宋"/>
          <w:b/>
          <w:color w:val="auto"/>
          <w:kern w:val="0"/>
          <w:sz w:val="24"/>
          <w:szCs w:val="20"/>
          <w:highlight w:val="none"/>
        </w:rPr>
        <w:t xml:space="preserve"> 投标文件格式范本</w:t>
      </w:r>
      <w:bookmarkEnd w:id="484"/>
    </w:p>
    <w:p>
      <w:pPr>
        <w:spacing w:line="240" w:lineRule="atLeast"/>
        <w:rPr>
          <w:rFonts w:hint="eastAsia" w:ascii="仿宋" w:hAnsi="仿宋" w:eastAsia="仿宋" w:cs="仿宋"/>
          <w:b/>
          <w:color w:val="auto"/>
          <w:sz w:val="30"/>
          <w:szCs w:val="30"/>
          <w:highlight w:val="none"/>
        </w:rPr>
      </w:pPr>
      <w:r>
        <w:rPr>
          <w:rFonts w:hint="eastAsia" w:ascii="仿宋" w:hAnsi="仿宋" w:eastAsia="仿宋" w:cs="仿宋"/>
          <w:color w:val="auto"/>
          <w:sz w:val="24"/>
          <w:highlight w:val="none"/>
        </w:rPr>
        <w:br w:type="page"/>
      </w:r>
    </w:p>
    <w:p>
      <w:pPr>
        <w:spacing w:line="240" w:lineRule="atLeast"/>
        <w:jc w:val="center"/>
        <w:rPr>
          <w:rFonts w:hint="eastAsia" w:ascii="仿宋" w:hAnsi="仿宋" w:eastAsia="仿宋" w:cs="仿宋"/>
          <w:b/>
          <w:color w:val="auto"/>
          <w:sz w:val="32"/>
          <w:highlight w:val="none"/>
        </w:rPr>
      </w:pPr>
    </w:p>
    <w:p>
      <w:pPr>
        <w:spacing w:line="240" w:lineRule="atLeast"/>
        <w:jc w:val="center"/>
        <w:rPr>
          <w:rFonts w:hint="eastAsia" w:ascii="仿宋" w:hAnsi="仿宋" w:eastAsia="仿宋" w:cs="仿宋"/>
          <w:b/>
          <w:color w:val="auto"/>
          <w:sz w:val="32"/>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pStyle w:val="20"/>
        <w:rPr>
          <w:rFonts w:hint="eastAsia" w:ascii="仿宋" w:hAnsi="仿宋" w:eastAsia="仿宋" w:cs="仿宋"/>
          <w:b/>
          <w:color w:val="auto"/>
          <w:sz w:val="44"/>
          <w:szCs w:val="44"/>
          <w:highlight w:val="none"/>
        </w:rPr>
      </w:pPr>
    </w:p>
    <w:p>
      <w:pPr>
        <w:rPr>
          <w:rFonts w:hint="eastAsia" w:ascii="仿宋" w:hAnsi="仿宋" w:eastAsia="仿宋" w:cs="仿宋"/>
          <w:b/>
          <w:color w:val="auto"/>
          <w:sz w:val="44"/>
          <w:szCs w:val="44"/>
          <w:highlight w:val="none"/>
        </w:rPr>
      </w:pPr>
    </w:p>
    <w:p>
      <w:pPr>
        <w:pStyle w:val="20"/>
        <w:rPr>
          <w:rFonts w:hint="eastAsia" w:ascii="仿宋" w:hAnsi="仿宋" w:eastAsia="仿宋" w:cs="仿宋"/>
          <w:b/>
          <w:color w:val="auto"/>
          <w:sz w:val="44"/>
          <w:szCs w:val="44"/>
          <w:highlight w:val="none"/>
        </w:rPr>
      </w:pPr>
    </w:p>
    <w:p>
      <w:pPr>
        <w:rPr>
          <w:rFonts w:hint="eastAsia" w:ascii="仿宋" w:hAnsi="仿宋" w:eastAsia="仿宋" w:cs="仿宋"/>
          <w:b/>
          <w:color w:val="auto"/>
          <w:sz w:val="44"/>
          <w:szCs w:val="44"/>
          <w:highlight w:val="none"/>
        </w:rPr>
      </w:pPr>
    </w:p>
    <w:p>
      <w:pPr>
        <w:pStyle w:val="20"/>
        <w:rPr>
          <w:rFonts w:hint="eastAsia" w:ascii="仿宋" w:hAnsi="仿宋" w:eastAsia="仿宋" w:cs="仿宋"/>
          <w:highlight w:val="none"/>
        </w:rPr>
      </w:pPr>
    </w:p>
    <w:p>
      <w:pPr>
        <w:spacing w:line="240" w:lineRule="atLeast"/>
        <w:jc w:val="both"/>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招 标 文 件</w:t>
      </w:r>
    </w:p>
    <w:p>
      <w:pPr>
        <w:spacing w:line="240" w:lineRule="atLeast"/>
        <w:jc w:val="center"/>
        <w:rPr>
          <w:rFonts w:hint="eastAsia" w:ascii="仿宋" w:hAnsi="仿宋" w:eastAsia="仿宋" w:cs="仿宋"/>
          <w:b/>
          <w:color w:val="auto"/>
          <w:sz w:val="40"/>
          <w:szCs w:val="40"/>
          <w:highlight w:val="none"/>
        </w:rPr>
      </w:pPr>
    </w:p>
    <w:p>
      <w:pPr>
        <w:spacing w:line="240" w:lineRule="atLeast"/>
        <w:jc w:val="center"/>
        <w:rPr>
          <w:rFonts w:hint="eastAsia" w:ascii="仿宋" w:hAnsi="仿宋" w:eastAsia="仿宋" w:cs="仿宋"/>
          <w:b/>
          <w:color w:val="auto"/>
          <w:sz w:val="32"/>
          <w:highlight w:val="none"/>
          <w:lang w:val="en-US"/>
        </w:rPr>
      </w:pPr>
      <w:bookmarkStart w:id="485" w:name="_Toc24900_WPSOffice_Level2"/>
      <w:r>
        <w:rPr>
          <w:rFonts w:hint="eastAsia" w:ascii="仿宋" w:hAnsi="仿宋" w:eastAsia="仿宋" w:cs="仿宋"/>
          <w:b/>
          <w:color w:val="auto"/>
          <w:sz w:val="36"/>
          <w:szCs w:val="36"/>
          <w:highlight w:val="none"/>
        </w:rPr>
        <w:t xml:space="preserve">项目编号： </w:t>
      </w:r>
      <w:bookmarkEnd w:id="485"/>
      <w:r>
        <w:rPr>
          <w:rFonts w:hint="eastAsia" w:ascii="仿宋" w:hAnsi="仿宋" w:eastAsia="仿宋" w:cs="仿宋"/>
          <w:b/>
          <w:color w:val="auto"/>
          <w:sz w:val="36"/>
          <w:szCs w:val="36"/>
          <w:highlight w:val="none"/>
          <w:lang w:val="en-US" w:eastAsia="zh-CN"/>
        </w:rPr>
        <w:t>KSDQ-LJ(GK)-2023-003</w:t>
      </w:r>
    </w:p>
    <w:p>
      <w:pPr>
        <w:spacing w:line="240" w:lineRule="atLeast"/>
        <w:jc w:val="center"/>
        <w:rPr>
          <w:rFonts w:hint="eastAsia" w:ascii="仿宋" w:hAnsi="仿宋" w:eastAsia="仿宋" w:cs="仿宋"/>
          <w:b/>
          <w:color w:val="auto"/>
          <w:sz w:val="32"/>
          <w:highlight w:val="none"/>
        </w:rPr>
      </w:pPr>
    </w:p>
    <w:p>
      <w:pPr>
        <w:spacing w:line="240" w:lineRule="atLeast"/>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pPr>
        <w:pStyle w:val="4"/>
        <w:rPr>
          <w:rFonts w:hint="eastAsia" w:ascii="仿宋" w:hAnsi="仿宋" w:eastAsia="仿宋" w:cs="仿宋"/>
          <w:b/>
          <w:color w:val="auto"/>
          <w:sz w:val="44"/>
          <w:szCs w:val="36"/>
          <w:highlight w:val="none"/>
        </w:rPr>
      </w:pPr>
    </w:p>
    <w:p>
      <w:pPr>
        <w:pStyle w:val="5"/>
        <w:rPr>
          <w:rFonts w:hint="eastAsia" w:ascii="仿宋" w:hAnsi="仿宋" w:eastAsia="仿宋" w:cs="仿宋"/>
          <w:b/>
          <w:color w:val="auto"/>
          <w:sz w:val="44"/>
          <w:szCs w:val="36"/>
          <w:highlight w:val="none"/>
        </w:rPr>
      </w:pPr>
    </w:p>
    <w:p>
      <w:pPr>
        <w:pStyle w:val="6"/>
        <w:rPr>
          <w:rFonts w:hint="eastAsia" w:ascii="仿宋" w:hAnsi="仿宋" w:eastAsia="仿宋" w:cs="仿宋"/>
          <w:b/>
          <w:color w:val="auto"/>
          <w:sz w:val="44"/>
          <w:szCs w:val="36"/>
          <w:highlight w:val="none"/>
        </w:rPr>
      </w:pPr>
    </w:p>
    <w:p>
      <w:pPr>
        <w:pStyle w:val="4"/>
        <w:rPr>
          <w:rFonts w:hint="eastAsia" w:ascii="仿宋" w:hAnsi="仿宋" w:eastAsia="仿宋" w:cs="仿宋"/>
          <w:color w:val="auto"/>
          <w:highlight w:val="none"/>
        </w:rPr>
      </w:pPr>
    </w:p>
    <w:p>
      <w:pPr>
        <w:spacing w:line="240" w:lineRule="atLeast"/>
        <w:jc w:val="center"/>
        <w:rPr>
          <w:rFonts w:hint="eastAsia" w:ascii="仿宋" w:hAnsi="仿宋" w:eastAsia="仿宋" w:cs="仿宋"/>
          <w:b/>
          <w:color w:val="auto"/>
          <w:sz w:val="32"/>
          <w:highlight w:val="none"/>
        </w:rPr>
      </w:pPr>
    </w:p>
    <w:bookmarkEnd w:id="373"/>
    <w:bookmarkEnd w:id="374"/>
    <w:bookmarkEnd w:id="375"/>
    <w:bookmarkEnd w:id="376"/>
    <w:bookmarkEnd w:id="408"/>
    <w:bookmarkEnd w:id="409"/>
    <w:bookmarkEnd w:id="410"/>
    <w:bookmarkEnd w:id="411"/>
    <w:bookmarkEnd w:id="412"/>
    <w:bookmarkEnd w:id="413"/>
    <w:p>
      <w:pPr>
        <w:widowControl/>
        <w:numPr>
          <w:ilvl w:val="0"/>
          <w:numId w:val="0"/>
        </w:numPr>
        <w:spacing w:line="440" w:lineRule="exact"/>
        <w:jc w:val="both"/>
        <w:outlineLvl w:val="0"/>
        <w:rPr>
          <w:rStyle w:val="30"/>
          <w:rFonts w:hint="eastAsia" w:ascii="仿宋" w:hAnsi="仿宋" w:eastAsia="仿宋" w:cs="仿宋"/>
          <w:color w:val="auto"/>
          <w:highlight w:val="none"/>
        </w:rPr>
      </w:pPr>
      <w:bookmarkStart w:id="486" w:name="_Toc29715"/>
      <w:bookmarkStart w:id="487" w:name="_Toc16370"/>
      <w:bookmarkStart w:id="488" w:name="_Toc22081"/>
      <w:bookmarkStart w:id="489" w:name="_Toc216582822"/>
      <w:bookmarkStart w:id="490" w:name="_Toc218935350"/>
      <w:bookmarkStart w:id="491" w:name="_Toc28765"/>
      <w:bookmarkStart w:id="492" w:name="_Toc219175634"/>
      <w:bookmarkStart w:id="493" w:name="_Toc515647829"/>
      <w:bookmarkStart w:id="494" w:name="_Toc507399902"/>
    </w:p>
    <w:p>
      <w:pPr>
        <w:pStyle w:val="17"/>
        <w:rPr>
          <w:rStyle w:val="30"/>
          <w:rFonts w:hint="eastAsia" w:ascii="仿宋" w:hAnsi="仿宋" w:eastAsia="仿宋" w:cs="仿宋"/>
          <w:color w:val="auto"/>
          <w:highlight w:val="none"/>
        </w:rPr>
      </w:pPr>
    </w:p>
    <w:p>
      <w:pPr>
        <w:pStyle w:val="7"/>
        <w:rPr>
          <w:rFonts w:hint="eastAsia" w:ascii="仿宋" w:hAnsi="仿宋" w:eastAsia="仿宋" w:cs="仿宋"/>
          <w:highlight w:val="none"/>
        </w:rPr>
      </w:pPr>
    </w:p>
    <w:p>
      <w:pPr>
        <w:widowControl/>
        <w:numPr>
          <w:ilvl w:val="0"/>
          <w:numId w:val="0"/>
        </w:numPr>
        <w:spacing w:line="440" w:lineRule="exact"/>
        <w:jc w:val="both"/>
        <w:outlineLvl w:val="0"/>
        <w:rPr>
          <w:rStyle w:val="30"/>
          <w:rFonts w:hint="eastAsia" w:ascii="仿宋" w:hAnsi="仿宋" w:eastAsia="仿宋" w:cs="仿宋"/>
          <w:color w:val="auto"/>
          <w:sz w:val="28"/>
          <w:szCs w:val="18"/>
          <w:highlight w:val="none"/>
          <w:lang w:val="en-US" w:eastAsia="zh-CN"/>
        </w:rPr>
      </w:pPr>
      <w:bookmarkStart w:id="495" w:name="_Toc20270"/>
    </w:p>
    <w:p>
      <w:pPr>
        <w:widowControl/>
        <w:numPr>
          <w:ilvl w:val="0"/>
          <w:numId w:val="0"/>
        </w:numPr>
        <w:spacing w:line="440" w:lineRule="exact"/>
        <w:jc w:val="center"/>
        <w:outlineLvl w:val="0"/>
        <w:rPr>
          <w:rStyle w:val="30"/>
          <w:rFonts w:hint="eastAsia" w:ascii="仿宋" w:hAnsi="仿宋" w:eastAsia="仿宋" w:cs="仿宋"/>
          <w:color w:val="auto"/>
          <w:sz w:val="32"/>
          <w:szCs w:val="20"/>
          <w:highlight w:val="none"/>
        </w:rPr>
      </w:pPr>
      <w:r>
        <w:rPr>
          <w:rStyle w:val="30"/>
          <w:rFonts w:hint="eastAsia" w:ascii="仿宋" w:hAnsi="仿宋" w:eastAsia="仿宋" w:cs="仿宋"/>
          <w:color w:val="auto"/>
          <w:sz w:val="32"/>
          <w:szCs w:val="20"/>
          <w:highlight w:val="none"/>
          <w:lang w:val="en-US" w:eastAsia="zh-CN"/>
        </w:rPr>
        <w:t>第3章</w:t>
      </w:r>
      <w:r>
        <w:rPr>
          <w:rStyle w:val="30"/>
          <w:rFonts w:hint="eastAsia" w:ascii="仿宋" w:hAnsi="仿宋" w:eastAsia="仿宋" w:cs="仿宋"/>
          <w:color w:val="auto"/>
          <w:sz w:val="32"/>
          <w:szCs w:val="20"/>
          <w:highlight w:val="none"/>
        </w:rPr>
        <w:t>投标邀请</w:t>
      </w:r>
      <w:bookmarkEnd w:id="486"/>
      <w:bookmarkEnd w:id="487"/>
      <w:bookmarkEnd w:id="488"/>
      <w:bookmarkEnd w:id="489"/>
      <w:bookmarkEnd w:id="490"/>
      <w:bookmarkEnd w:id="491"/>
      <w:bookmarkEnd w:id="492"/>
      <w:bookmarkEnd w:id="493"/>
      <w:bookmarkEnd w:id="494"/>
      <w:bookmarkEnd w:id="495"/>
      <w:bookmarkStart w:id="496" w:name="_Toc515647830"/>
      <w:bookmarkStart w:id="497" w:name="_Toc10488"/>
      <w:bookmarkStart w:id="498" w:name="_Toc216582823"/>
      <w:bookmarkStart w:id="499" w:name="_Toc5272"/>
      <w:bookmarkStart w:id="500" w:name="_Toc31583"/>
      <w:bookmarkStart w:id="501" w:name="_Toc507399903"/>
      <w:bookmarkStart w:id="502" w:name="_Toc512937850"/>
    </w:p>
    <w:p>
      <w:pPr>
        <w:pStyle w:val="5"/>
        <w:jc w:val="center"/>
        <w:rPr>
          <w:rFonts w:hint="eastAsia" w:ascii="仿宋" w:hAnsi="仿宋" w:eastAsia="仿宋" w:cs="仿宋"/>
          <w:b/>
          <w:bCs/>
          <w:color w:val="000000"/>
          <w:kern w:val="2"/>
          <w:sz w:val="36"/>
          <w:szCs w:val="36"/>
          <w:highlight w:val="none"/>
          <w:shd w:val="clear" w:color="auto" w:fill="FFFFFF"/>
          <w:lang w:val="en-US" w:eastAsia="zh-CN" w:bidi="ar-SA"/>
        </w:rPr>
      </w:pPr>
      <w:bookmarkStart w:id="503" w:name="_Toc29132"/>
      <w:bookmarkStart w:id="504" w:name="_Toc23630"/>
      <w:r>
        <w:rPr>
          <w:rFonts w:hint="eastAsia" w:ascii="仿宋" w:hAnsi="仿宋" w:eastAsia="仿宋" w:cs="仿宋"/>
          <w:b/>
          <w:bCs/>
          <w:color w:val="000000"/>
          <w:kern w:val="2"/>
          <w:sz w:val="36"/>
          <w:szCs w:val="36"/>
          <w:highlight w:val="none"/>
          <w:shd w:val="clear" w:color="auto" w:fill="FFFFFF"/>
          <w:lang w:val="en-US" w:eastAsia="zh-CN" w:bidi="ar-SA"/>
        </w:rPr>
        <w:t>喀什地区公安局餐饮服务项目</w:t>
      </w:r>
    </w:p>
    <w:p>
      <w:pPr>
        <w:pStyle w:val="5"/>
        <w:jc w:val="center"/>
        <w:rPr>
          <w:rFonts w:hint="eastAsia" w:ascii="仿宋" w:hAnsi="仿宋" w:eastAsia="仿宋" w:cs="仿宋"/>
          <w:szCs w:val="21"/>
          <w:highlight w:val="none"/>
          <w:lang w:val="en-US" w:eastAsia="zh-CN"/>
        </w:rPr>
      </w:pPr>
      <w:r>
        <w:rPr>
          <w:rFonts w:hint="eastAsia" w:ascii="仿宋" w:hAnsi="仿宋" w:eastAsia="仿宋" w:cs="仿宋"/>
          <w:b/>
          <w:bCs/>
          <w:color w:val="000000"/>
          <w:kern w:val="2"/>
          <w:sz w:val="36"/>
          <w:szCs w:val="36"/>
          <w:highlight w:val="none"/>
          <w:shd w:val="clear" w:color="auto" w:fill="FFFFFF"/>
          <w:lang w:val="en-US" w:eastAsia="zh-CN" w:bidi="ar-SA"/>
        </w:rPr>
        <w:t>公开招标的公告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0" w:lineRule="exact"/>
        <w:ind w:firstLine="442" w:firstLineChars="200"/>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lang w:val="en-US" w:eastAsia="zh-CN"/>
        </w:rPr>
        <w:t>喀什地区公安局餐饮服务项目</w:t>
      </w:r>
      <w:r>
        <w:rPr>
          <w:rFonts w:hint="eastAsia" w:ascii="仿宋" w:hAnsi="仿宋" w:eastAsia="仿宋" w:cs="仿宋"/>
          <w:color w:val="auto"/>
          <w:sz w:val="22"/>
          <w:szCs w:val="22"/>
          <w:highlight w:val="none"/>
        </w:rPr>
        <w:t>的潜在供应商应在</w:t>
      </w:r>
      <w:r>
        <w:rPr>
          <w:rFonts w:hint="eastAsia" w:ascii="仿宋" w:hAnsi="仿宋" w:eastAsia="仿宋" w:cs="仿宋"/>
          <w:color w:val="auto"/>
          <w:sz w:val="22"/>
          <w:szCs w:val="22"/>
          <w:highlight w:val="none"/>
          <w:u w:val="single"/>
          <w:lang w:val="en-US" w:eastAsia="zh-CN"/>
        </w:rPr>
        <w:t>政采云平台（http://www.ccgp-xinjiang.gov.cn/）</w:t>
      </w:r>
      <w:r>
        <w:rPr>
          <w:rFonts w:hint="eastAsia" w:ascii="仿宋" w:hAnsi="仿宋" w:eastAsia="仿宋" w:cs="仿宋"/>
          <w:color w:val="auto"/>
          <w:sz w:val="22"/>
          <w:szCs w:val="22"/>
          <w:highlight w:val="none"/>
        </w:rPr>
        <w:t>获取招标文件，并于</w:t>
      </w:r>
      <w:r>
        <w:rPr>
          <w:rFonts w:hint="eastAsia" w:ascii="仿宋" w:hAnsi="仿宋" w:eastAsia="仿宋" w:cs="仿宋"/>
          <w:color w:val="auto"/>
          <w:sz w:val="22"/>
          <w:szCs w:val="22"/>
          <w:highlight w:val="none"/>
          <w:u w:val="single"/>
        </w:rPr>
        <w:t>202</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年</w:t>
      </w:r>
      <w:r>
        <w:rPr>
          <w:rFonts w:hint="eastAsia" w:ascii="仿宋" w:hAnsi="仿宋" w:eastAsia="仿宋" w:cs="仿宋"/>
          <w:color w:val="auto"/>
          <w:sz w:val="22"/>
          <w:szCs w:val="22"/>
          <w:highlight w:val="none"/>
          <w:u w:val="single"/>
          <w:lang w:val="en-US" w:eastAsia="zh-CN"/>
        </w:rPr>
        <w:t>11月24日</w:t>
      </w:r>
      <w:r>
        <w:rPr>
          <w:rFonts w:hint="eastAsia" w:ascii="仿宋" w:hAnsi="仿宋" w:eastAsia="仿宋" w:cs="仿宋"/>
          <w:color w:val="auto"/>
          <w:sz w:val="22"/>
          <w:szCs w:val="22"/>
          <w:highlight w:val="none"/>
          <w:u w:val="single"/>
          <w:lang w:eastAsia="zh-CN"/>
        </w:rPr>
        <w:t>上</w:t>
      </w:r>
      <w:r>
        <w:rPr>
          <w:rFonts w:hint="eastAsia" w:ascii="仿宋" w:hAnsi="仿宋" w:eastAsia="仿宋" w:cs="仿宋"/>
          <w:color w:val="auto"/>
          <w:sz w:val="22"/>
          <w:szCs w:val="22"/>
          <w:highlight w:val="none"/>
          <w:u w:val="single"/>
          <w:lang w:val="en-US" w:eastAsia="zh-CN"/>
        </w:rPr>
        <w:t>11</w:t>
      </w:r>
      <w:r>
        <w:rPr>
          <w:rFonts w:hint="eastAsia" w:ascii="仿宋" w:hAnsi="仿宋" w:eastAsia="仿宋" w:cs="仿宋"/>
          <w:color w:val="auto"/>
          <w:sz w:val="22"/>
          <w:szCs w:val="22"/>
          <w:highlight w:val="none"/>
          <w:u w:val="single"/>
        </w:rPr>
        <w:t>点</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0分（北京时间）</w:t>
      </w:r>
      <w:r>
        <w:rPr>
          <w:rFonts w:hint="eastAsia" w:ascii="仿宋" w:hAnsi="仿宋" w:eastAsia="仿宋" w:cs="仿宋"/>
          <w:bCs/>
          <w:color w:val="auto"/>
          <w:sz w:val="22"/>
          <w:szCs w:val="22"/>
          <w:highlight w:val="none"/>
        </w:rPr>
        <w:t>前递交投标文件</w:t>
      </w:r>
      <w:r>
        <w:rPr>
          <w:rFonts w:hint="eastAsia" w:ascii="仿宋" w:hAnsi="仿宋" w:eastAsia="仿宋" w:cs="仿宋"/>
          <w:color w:val="auto"/>
          <w:sz w:val="22"/>
          <w:szCs w:val="22"/>
          <w:highlight w:val="none"/>
        </w:rPr>
        <w:t>。</w:t>
      </w:r>
      <w:bookmarkStart w:id="505" w:name="_Toc28217"/>
      <w:bookmarkStart w:id="506" w:name="_Toc28359002"/>
      <w:bookmarkStart w:id="507" w:name="_Toc35393790"/>
      <w:bookmarkStart w:id="508" w:name="_Toc28359079"/>
      <w:bookmarkStart w:id="509" w:name="_Toc35393621"/>
      <w:bookmarkStart w:id="510" w:name="_Hlk24379207"/>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bookmarkStart w:id="511" w:name="_Toc20970"/>
      <w:bookmarkStart w:id="512" w:name="_Toc28253"/>
      <w:r>
        <w:rPr>
          <w:rFonts w:hint="eastAsia" w:ascii="仿宋" w:hAnsi="仿宋" w:eastAsia="仿宋" w:cs="仿宋"/>
          <w:b/>
          <w:bCs w:val="0"/>
          <w:color w:val="auto"/>
          <w:sz w:val="22"/>
          <w:szCs w:val="22"/>
          <w:highlight w:val="none"/>
        </w:rPr>
        <w:t>一、</w:t>
      </w:r>
      <w:bookmarkEnd w:id="505"/>
      <w:bookmarkEnd w:id="506"/>
      <w:bookmarkEnd w:id="507"/>
      <w:bookmarkEnd w:id="508"/>
      <w:bookmarkEnd w:id="509"/>
      <w:r>
        <w:rPr>
          <w:rFonts w:hint="eastAsia" w:ascii="仿宋" w:hAnsi="仿宋" w:eastAsia="仿宋" w:cs="仿宋"/>
          <w:b/>
          <w:bCs w:val="0"/>
          <w:color w:val="auto"/>
          <w:sz w:val="22"/>
          <w:szCs w:val="22"/>
          <w:highlight w:val="none"/>
        </w:rPr>
        <w:t>项目基本情况</w:t>
      </w:r>
      <w:bookmarkEnd w:id="511"/>
      <w:bookmarkEnd w:id="512"/>
    </w:p>
    <w:bookmarkEnd w:id="510"/>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项目编号：KSDQ-XY(XJ)-2023-003</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项目名称：喀什地区公安局餐饮服务项目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采购方式：公开招标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预算金额（元）：第一包7527600元，第二包952606元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标项一</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标项名称:喀什地区公安局餐饮服务项目（第一包）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预算金额（元）:7527600.00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服务内容：喀什地区公安局，特警支队、莎车县分队、强制隔离戒毒、机场分局餐饮服务。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标项二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标项名称:喀什地区公安局餐饮服务项目（第二包）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预算金额（元）:952606.00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采购内容：喀什地区公安局交警支队餐饮服务。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2、本项目不接受联合体投标。</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color w:val="auto"/>
          <w:sz w:val="22"/>
          <w:szCs w:val="22"/>
          <w:highlight w:val="none"/>
        </w:rPr>
      </w:pPr>
      <w:bookmarkStart w:id="513" w:name="_Toc29506"/>
      <w:bookmarkStart w:id="514" w:name="_Toc28359080"/>
      <w:bookmarkStart w:id="515" w:name="_Toc13688"/>
      <w:bookmarkStart w:id="516" w:name="_Toc35393791"/>
      <w:bookmarkStart w:id="517" w:name="_Toc35393622"/>
      <w:bookmarkStart w:id="518" w:name="_Toc1145"/>
      <w:bookmarkStart w:id="519" w:name="_Toc28359003"/>
      <w:bookmarkStart w:id="520" w:name="_Toc19260"/>
      <w:r>
        <w:rPr>
          <w:rFonts w:hint="eastAsia" w:ascii="仿宋" w:hAnsi="仿宋" w:eastAsia="仿宋" w:cs="仿宋"/>
          <w:b/>
          <w:color w:val="auto"/>
          <w:sz w:val="22"/>
          <w:szCs w:val="22"/>
          <w:highlight w:val="none"/>
        </w:rPr>
        <w:t>二、</w:t>
      </w:r>
      <w:r>
        <w:rPr>
          <w:rFonts w:hint="eastAsia" w:ascii="仿宋" w:hAnsi="仿宋" w:eastAsia="仿宋" w:cs="仿宋"/>
          <w:b/>
          <w:color w:val="auto"/>
          <w:sz w:val="22"/>
          <w:szCs w:val="22"/>
          <w:highlight w:val="none"/>
          <w:lang w:eastAsia="zh-CN"/>
        </w:rPr>
        <w:t>投标供应商</w:t>
      </w:r>
      <w:r>
        <w:rPr>
          <w:rFonts w:hint="eastAsia" w:ascii="仿宋" w:hAnsi="仿宋" w:eastAsia="仿宋" w:cs="仿宋"/>
          <w:b/>
          <w:color w:val="auto"/>
          <w:sz w:val="22"/>
          <w:szCs w:val="22"/>
          <w:highlight w:val="none"/>
        </w:rPr>
        <w:t>资格要求：</w:t>
      </w:r>
      <w:bookmarkEnd w:id="513"/>
      <w:bookmarkEnd w:id="514"/>
      <w:bookmarkEnd w:id="515"/>
      <w:bookmarkEnd w:id="516"/>
      <w:bookmarkEnd w:id="517"/>
      <w:bookmarkEnd w:id="518"/>
      <w:bookmarkEnd w:id="519"/>
      <w:bookmarkEnd w:id="520"/>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bookmarkStart w:id="521" w:name="_Toc35393792"/>
      <w:bookmarkStart w:id="522" w:name="_Toc28359004"/>
      <w:bookmarkStart w:id="523" w:name="_Toc27678"/>
      <w:bookmarkStart w:id="524" w:name="_Toc28359081"/>
      <w:bookmarkStart w:id="525" w:name="_Toc35393623"/>
      <w:bookmarkStart w:id="526" w:name="_Toc32226"/>
      <w:r>
        <w:rPr>
          <w:rFonts w:hint="eastAsia" w:ascii="仿宋" w:hAnsi="仿宋" w:eastAsia="仿宋" w:cs="仿宋"/>
          <w:color w:val="auto"/>
          <w:sz w:val="22"/>
          <w:szCs w:val="22"/>
          <w:highlight w:val="none"/>
          <w:lang w:val="en-US" w:eastAsia="zh-CN"/>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2.落实政府采购政策需满足的资格要求：标项1、2：供应商为中小企业。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3本项目特定资格要求：标项1、2：</w:t>
      </w:r>
      <w:r>
        <w:rPr>
          <w:rFonts w:hint="eastAsia" w:ascii="仿宋" w:hAnsi="仿宋" w:eastAsia="仿宋" w:cs="仿宋"/>
          <w:sz w:val="24"/>
          <w:szCs w:val="24"/>
          <w:highlight w:val="none"/>
        </w:rPr>
        <w:t>有效</w:t>
      </w:r>
      <w:r>
        <w:rPr>
          <w:rFonts w:hint="eastAsia" w:ascii="仿宋" w:hAnsi="仿宋" w:eastAsia="仿宋" w:cs="仿宋"/>
          <w:sz w:val="24"/>
          <w:szCs w:val="24"/>
          <w:highlight w:val="none"/>
          <w:lang w:eastAsia="zh-CN"/>
        </w:rPr>
        <w:t>期</w:t>
      </w:r>
      <w:r>
        <w:rPr>
          <w:rFonts w:hint="eastAsia" w:ascii="仿宋" w:hAnsi="仿宋" w:eastAsia="仿宋" w:cs="仿宋"/>
          <w:sz w:val="24"/>
          <w:szCs w:val="24"/>
          <w:highlight w:val="none"/>
        </w:rPr>
        <w:t>的《餐饮服务许可证》或《食品经营许可证》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0" w:lineRule="exact"/>
        <w:ind w:left="420" w:lef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三、获取招标文件</w:t>
      </w:r>
      <w:bookmarkEnd w:id="521"/>
      <w:bookmarkEnd w:id="522"/>
      <w:bookmarkEnd w:id="523"/>
      <w:bookmarkEnd w:id="524"/>
      <w:bookmarkEnd w:id="525"/>
      <w:bookmarkEnd w:id="526"/>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获取时间：202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11月3日</w:t>
      </w:r>
      <w:r>
        <w:rPr>
          <w:rFonts w:hint="eastAsia" w:ascii="仿宋" w:hAnsi="仿宋" w:eastAsia="仿宋" w:cs="仿宋"/>
          <w:color w:val="auto"/>
          <w:sz w:val="22"/>
          <w:szCs w:val="22"/>
          <w:highlight w:val="none"/>
        </w:rPr>
        <w:t>至202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11月10日</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全天均可获取招标文件。</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获取方式：</w:t>
      </w:r>
      <w:r>
        <w:rPr>
          <w:rFonts w:hint="eastAsia" w:ascii="仿宋" w:hAnsi="仿宋" w:eastAsia="仿宋" w:cs="仿宋"/>
          <w:color w:val="auto"/>
          <w:sz w:val="22"/>
          <w:szCs w:val="22"/>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获取地点：政采云平台（https://login.zcygov.cn/user-login/#/login）</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售价（元）：</w:t>
      </w:r>
      <w:r>
        <w:rPr>
          <w:rFonts w:hint="eastAsia" w:ascii="仿宋" w:hAnsi="仿宋" w:eastAsia="仿宋" w:cs="仿宋"/>
          <w:color w:val="auto"/>
          <w:sz w:val="22"/>
          <w:szCs w:val="22"/>
          <w:highlight w:val="none"/>
          <w:lang w:val="en-US" w:eastAsia="zh-CN"/>
        </w:rPr>
        <w:t>0元</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bookmarkStart w:id="527" w:name="_Toc28359082"/>
      <w:bookmarkStart w:id="528" w:name="_Toc28359005"/>
      <w:bookmarkStart w:id="529" w:name="_Toc2422"/>
      <w:bookmarkStart w:id="530" w:name="_Toc9047"/>
      <w:bookmarkStart w:id="531" w:name="_Toc35393793"/>
      <w:bookmarkStart w:id="532" w:name="_Toc35393624"/>
      <w:bookmarkStart w:id="533" w:name="_Toc2532"/>
      <w:bookmarkStart w:id="534" w:name="_Toc952"/>
      <w:r>
        <w:rPr>
          <w:rFonts w:hint="eastAsia" w:ascii="仿宋" w:hAnsi="仿宋" w:eastAsia="仿宋" w:cs="仿宋"/>
          <w:b/>
          <w:bCs w:val="0"/>
          <w:color w:val="auto"/>
          <w:sz w:val="22"/>
          <w:szCs w:val="22"/>
          <w:highlight w:val="none"/>
        </w:rPr>
        <w:t>四、提交投标文件</w:t>
      </w:r>
      <w:bookmarkEnd w:id="527"/>
      <w:bookmarkEnd w:id="528"/>
      <w:r>
        <w:rPr>
          <w:rFonts w:hint="eastAsia" w:ascii="仿宋" w:hAnsi="仿宋" w:eastAsia="仿宋" w:cs="仿宋"/>
          <w:b/>
          <w:bCs w:val="0"/>
          <w:color w:val="auto"/>
          <w:sz w:val="22"/>
          <w:szCs w:val="22"/>
          <w:highlight w:val="none"/>
        </w:rPr>
        <w:t>截止时间、开标时间和地点</w:t>
      </w:r>
      <w:bookmarkEnd w:id="529"/>
      <w:bookmarkEnd w:id="530"/>
      <w:bookmarkEnd w:id="531"/>
      <w:bookmarkEnd w:id="532"/>
      <w:bookmarkEnd w:id="533"/>
      <w:bookmarkEnd w:id="534"/>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lang w:eastAsia="zh-CN"/>
        </w:rPr>
        <w:t>提交投标文件截止</w:t>
      </w:r>
      <w:r>
        <w:rPr>
          <w:rFonts w:hint="eastAsia" w:ascii="仿宋" w:hAnsi="仿宋" w:eastAsia="仿宋" w:cs="仿宋"/>
          <w:color w:val="auto"/>
          <w:sz w:val="22"/>
          <w:szCs w:val="22"/>
          <w:highlight w:val="none"/>
        </w:rPr>
        <w:t>时间：</w:t>
      </w:r>
      <w:bookmarkStart w:id="535" w:name="_Toc28359007"/>
      <w:bookmarkStart w:id="536" w:name="_Toc28359084"/>
      <w:bookmarkStart w:id="537" w:name="_Toc35393625"/>
      <w:bookmarkStart w:id="538" w:name="_Toc35393794"/>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11月24日上午</w:t>
      </w:r>
      <w:r>
        <w:rPr>
          <w:rFonts w:hint="eastAsia" w:ascii="仿宋" w:hAnsi="仿宋" w:eastAsia="仿宋" w:cs="仿宋"/>
          <w:bCs/>
          <w:color w:val="auto"/>
          <w:sz w:val="22"/>
          <w:szCs w:val="22"/>
          <w:highlight w:val="none"/>
          <w:lang w:val="en-US" w:eastAsia="zh-CN"/>
        </w:rPr>
        <w:t>11</w:t>
      </w:r>
      <w:r>
        <w:rPr>
          <w:rFonts w:hint="eastAsia" w:ascii="仿宋" w:hAnsi="仿宋" w:eastAsia="仿宋" w:cs="仿宋"/>
          <w:bCs/>
          <w:color w:val="auto"/>
          <w:sz w:val="22"/>
          <w:szCs w:val="22"/>
          <w:highlight w:val="none"/>
        </w:rPr>
        <w:t>点</w:t>
      </w:r>
      <w:r>
        <w:rPr>
          <w:rFonts w:hint="eastAsia" w:ascii="仿宋" w:hAnsi="仿宋" w:eastAsia="仿宋" w:cs="仿宋"/>
          <w:bCs/>
          <w:color w:val="auto"/>
          <w:sz w:val="22"/>
          <w:szCs w:val="22"/>
          <w:highlight w:val="none"/>
          <w:lang w:val="en-US" w:eastAsia="zh-CN"/>
        </w:rPr>
        <w:t>30</w:t>
      </w:r>
      <w:r>
        <w:rPr>
          <w:rFonts w:hint="eastAsia" w:ascii="仿宋" w:hAnsi="仿宋" w:eastAsia="仿宋" w:cs="仿宋"/>
          <w:bCs/>
          <w:color w:val="auto"/>
          <w:sz w:val="22"/>
          <w:szCs w:val="22"/>
          <w:highlight w:val="none"/>
        </w:rPr>
        <w:t>分（北京时间）</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地点：</w:t>
      </w:r>
      <w:r>
        <w:rPr>
          <w:rFonts w:hint="eastAsia" w:ascii="仿宋" w:hAnsi="仿宋" w:eastAsia="仿宋" w:cs="仿宋"/>
          <w:color w:val="auto"/>
          <w:kern w:val="0"/>
          <w:sz w:val="22"/>
          <w:szCs w:val="22"/>
          <w:highlight w:val="none"/>
          <w:lang w:eastAsia="zh-CN"/>
        </w:rPr>
        <w:t>政采云平台</w:t>
      </w:r>
      <w:r>
        <w:rPr>
          <w:rFonts w:hint="eastAsia" w:ascii="仿宋" w:hAnsi="仿宋" w:eastAsia="仿宋" w:cs="仿宋"/>
          <w:color w:val="auto"/>
          <w:sz w:val="22"/>
          <w:szCs w:val="22"/>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开标时间：</w:t>
      </w:r>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11月24日上午</w:t>
      </w:r>
      <w:r>
        <w:rPr>
          <w:rFonts w:hint="eastAsia" w:ascii="仿宋" w:hAnsi="仿宋" w:eastAsia="仿宋" w:cs="仿宋"/>
          <w:bCs/>
          <w:color w:val="auto"/>
          <w:sz w:val="22"/>
          <w:szCs w:val="22"/>
          <w:highlight w:val="none"/>
          <w:lang w:val="en-US" w:eastAsia="zh-CN"/>
        </w:rPr>
        <w:t>11</w:t>
      </w:r>
      <w:r>
        <w:rPr>
          <w:rFonts w:hint="eastAsia" w:ascii="仿宋" w:hAnsi="仿宋" w:eastAsia="仿宋" w:cs="仿宋"/>
          <w:bCs/>
          <w:color w:val="auto"/>
          <w:sz w:val="22"/>
          <w:szCs w:val="22"/>
          <w:highlight w:val="none"/>
        </w:rPr>
        <w:t>点</w:t>
      </w:r>
      <w:r>
        <w:rPr>
          <w:rFonts w:hint="eastAsia" w:ascii="仿宋" w:hAnsi="仿宋" w:eastAsia="仿宋" w:cs="仿宋"/>
          <w:bCs/>
          <w:color w:val="auto"/>
          <w:sz w:val="22"/>
          <w:szCs w:val="22"/>
          <w:highlight w:val="none"/>
          <w:lang w:val="en-US" w:eastAsia="zh-CN"/>
        </w:rPr>
        <w:t>30</w:t>
      </w:r>
      <w:r>
        <w:rPr>
          <w:rFonts w:hint="eastAsia" w:ascii="仿宋" w:hAnsi="仿宋" w:eastAsia="仿宋" w:cs="仿宋"/>
          <w:bCs/>
          <w:color w:val="auto"/>
          <w:sz w:val="22"/>
          <w:szCs w:val="22"/>
          <w:highlight w:val="none"/>
        </w:rPr>
        <w:t>分（北京时间）</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jc w:val="both"/>
        <w:textAlignment w:val="auto"/>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开标地点：</w:t>
      </w:r>
      <w:bookmarkStart w:id="539" w:name="_Toc30400"/>
      <w:bookmarkStart w:id="540" w:name="_Toc32108"/>
      <w:bookmarkStart w:id="541" w:name="_Toc23672"/>
      <w:bookmarkStart w:id="542" w:name="_Toc20863"/>
      <w:r>
        <w:rPr>
          <w:rFonts w:hint="eastAsia" w:ascii="仿宋" w:hAnsi="仿宋" w:eastAsia="仿宋" w:cs="仿宋"/>
          <w:color w:val="auto"/>
          <w:kern w:val="0"/>
          <w:sz w:val="22"/>
          <w:szCs w:val="22"/>
          <w:highlight w:val="none"/>
          <w:lang w:eastAsia="zh-CN"/>
        </w:rPr>
        <w:t>政采云平台</w:t>
      </w:r>
      <w:r>
        <w:rPr>
          <w:rFonts w:hint="eastAsia" w:ascii="仿宋" w:hAnsi="仿宋" w:eastAsia="仿宋" w:cs="仿宋"/>
          <w:color w:val="auto"/>
          <w:sz w:val="22"/>
          <w:szCs w:val="22"/>
          <w:highlight w:val="none"/>
        </w:rPr>
        <w:t>（https://login.zcygov.cn/user-login/#/login）</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五、公告期限</w:t>
      </w:r>
      <w:bookmarkEnd w:id="535"/>
      <w:bookmarkEnd w:id="536"/>
      <w:bookmarkEnd w:id="537"/>
      <w:bookmarkEnd w:id="538"/>
      <w:bookmarkEnd w:id="539"/>
      <w:bookmarkEnd w:id="540"/>
      <w:bookmarkEnd w:id="541"/>
      <w:bookmarkEnd w:id="542"/>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自本公告发布之日起</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个工作日。</w:t>
      </w:r>
    </w:p>
    <w:p>
      <w:pPr>
        <w:keepNext w:val="0"/>
        <w:keepLines w:val="0"/>
        <w:pageBreakBefore w:val="0"/>
        <w:widowControl w:val="0"/>
        <w:kinsoku/>
        <w:wordWrap/>
        <w:overflowPunct/>
        <w:topLinePunct w:val="0"/>
        <w:autoSpaceDE/>
        <w:autoSpaceDN/>
        <w:bidi w:val="0"/>
        <w:adjustRightInd/>
        <w:snapToGrid/>
        <w:spacing w:line="310" w:lineRule="exact"/>
        <w:jc w:val="both"/>
        <w:textAlignment w:val="auto"/>
        <w:outlineLvl w:val="9"/>
        <w:rPr>
          <w:rFonts w:hint="eastAsia" w:ascii="仿宋" w:hAnsi="仿宋" w:eastAsia="仿宋" w:cs="仿宋"/>
          <w:b/>
          <w:bCs w:val="0"/>
          <w:color w:val="auto"/>
          <w:sz w:val="22"/>
          <w:szCs w:val="22"/>
          <w:highlight w:val="none"/>
          <w:lang w:eastAsia="zh-CN"/>
        </w:rPr>
      </w:pPr>
      <w:r>
        <w:rPr>
          <w:rFonts w:hint="eastAsia" w:ascii="仿宋" w:hAnsi="仿宋" w:eastAsia="仿宋" w:cs="仿宋"/>
          <w:b/>
          <w:bCs w:val="0"/>
          <w:color w:val="auto"/>
          <w:sz w:val="22"/>
          <w:szCs w:val="22"/>
          <w:highlight w:val="none"/>
          <w:lang w:eastAsia="zh-CN"/>
        </w:rPr>
        <w:t>六、其它补充事宜</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widowControl w:val="0"/>
        <w:shd w:val="clear" w:color="auto" w:fill="auto"/>
        <w:kinsoku/>
        <w:wordWrap/>
        <w:overflowPunct/>
        <w:topLinePunct w:val="0"/>
        <w:autoSpaceDE/>
        <w:autoSpaceDN/>
        <w:bidi w:val="0"/>
        <w:adjustRightInd/>
        <w:snapToGrid/>
        <w:spacing w:line="310" w:lineRule="exact"/>
        <w:ind w:left="0" w:leftChars="0" w:firstLine="540"/>
        <w:textAlignment w:val="auto"/>
        <w:rPr>
          <w:rFonts w:hint="eastAsia" w:ascii="仿宋" w:hAnsi="仿宋" w:eastAsia="仿宋" w:cs="仿宋"/>
          <w:color w:val="auto"/>
          <w:sz w:val="20"/>
          <w:szCs w:val="22"/>
          <w:highlight w:val="none"/>
          <w:lang w:eastAsia="zh-CN"/>
        </w:rPr>
      </w:pPr>
      <w:r>
        <w:rPr>
          <w:rFonts w:hint="eastAsia" w:ascii="仿宋" w:hAnsi="仿宋" w:eastAsia="仿宋" w:cs="仿宋"/>
          <w:color w:val="auto"/>
          <w:sz w:val="22"/>
          <w:szCs w:val="22"/>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outlineLvl w:val="9"/>
        <w:rPr>
          <w:rFonts w:hint="eastAsia" w:ascii="仿宋" w:hAnsi="仿宋" w:eastAsia="仿宋" w:cs="仿宋"/>
          <w:b/>
          <w:bCs w:val="0"/>
          <w:color w:val="auto"/>
          <w:sz w:val="22"/>
          <w:szCs w:val="22"/>
          <w:highlight w:val="none"/>
        </w:rPr>
      </w:pPr>
      <w:bookmarkStart w:id="543" w:name="_Toc35393795"/>
      <w:bookmarkStart w:id="544" w:name="_Toc35393626"/>
      <w:bookmarkStart w:id="545" w:name="_Toc18258"/>
      <w:bookmarkStart w:id="546" w:name="_Toc647"/>
      <w:bookmarkStart w:id="547" w:name="_Toc999"/>
      <w:bookmarkStart w:id="548" w:name="_Toc13675"/>
      <w:r>
        <w:rPr>
          <w:rFonts w:hint="eastAsia" w:ascii="仿宋" w:hAnsi="仿宋" w:eastAsia="仿宋" w:cs="仿宋"/>
          <w:b/>
          <w:bCs w:val="0"/>
          <w:color w:val="auto"/>
          <w:sz w:val="22"/>
          <w:szCs w:val="22"/>
          <w:highlight w:val="none"/>
          <w:lang w:val="en-US" w:eastAsia="zh-CN"/>
        </w:rPr>
        <w:t>七</w:t>
      </w:r>
      <w:r>
        <w:rPr>
          <w:rFonts w:hint="eastAsia" w:ascii="仿宋" w:hAnsi="仿宋" w:eastAsia="仿宋" w:cs="仿宋"/>
          <w:b/>
          <w:bCs w:val="0"/>
          <w:color w:val="auto"/>
          <w:sz w:val="22"/>
          <w:szCs w:val="22"/>
          <w:highlight w:val="none"/>
        </w:rPr>
        <w:t>、</w:t>
      </w:r>
      <w:bookmarkEnd w:id="543"/>
      <w:bookmarkEnd w:id="544"/>
      <w:bookmarkStart w:id="549" w:name="_Toc28359008"/>
      <w:bookmarkStart w:id="550" w:name="_Toc28359085"/>
      <w:bookmarkStart w:id="551" w:name="_Toc35393627"/>
      <w:bookmarkStart w:id="552" w:name="_Toc35393796"/>
      <w:r>
        <w:rPr>
          <w:rFonts w:hint="eastAsia" w:ascii="仿宋" w:hAnsi="仿宋" w:eastAsia="仿宋" w:cs="仿宋"/>
          <w:b/>
          <w:bCs w:val="0"/>
          <w:color w:val="auto"/>
          <w:sz w:val="22"/>
          <w:szCs w:val="22"/>
          <w:highlight w:val="none"/>
        </w:rPr>
        <w:t>对本次招标提出询问，请按以下方式联系。</w:t>
      </w:r>
      <w:bookmarkEnd w:id="545"/>
      <w:bookmarkEnd w:id="546"/>
      <w:bookmarkEnd w:id="547"/>
      <w:bookmarkEnd w:id="548"/>
      <w:bookmarkEnd w:id="549"/>
      <w:bookmarkEnd w:id="550"/>
      <w:bookmarkEnd w:id="551"/>
      <w:bookmarkEnd w:id="552"/>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bookmarkStart w:id="553" w:name="_Toc28359096"/>
      <w:bookmarkStart w:id="554" w:name="_Toc35393806"/>
      <w:bookmarkStart w:id="555" w:name="_Toc35393637"/>
      <w:bookmarkStart w:id="556" w:name="_Toc28359019"/>
      <w:r>
        <w:rPr>
          <w:rFonts w:hint="eastAsia" w:ascii="仿宋" w:hAnsi="仿宋" w:eastAsia="仿宋" w:cs="仿宋"/>
          <w:color w:val="auto"/>
          <w:kern w:val="0"/>
          <w:sz w:val="22"/>
          <w:szCs w:val="22"/>
          <w:highlight w:val="none"/>
          <w:lang w:eastAsia="zh-CN"/>
        </w:rPr>
        <w:t>1.采购人信息</w:t>
      </w:r>
      <w:bookmarkEnd w:id="553"/>
      <w:bookmarkEnd w:id="554"/>
      <w:bookmarkEnd w:id="555"/>
      <w:bookmarkEnd w:id="556"/>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名    称：</w:t>
      </w:r>
      <w:bookmarkStart w:id="557" w:name="_Toc28359097"/>
      <w:bookmarkStart w:id="558" w:name="_Toc28359020"/>
      <w:bookmarkStart w:id="559" w:name="_Toc35393807"/>
      <w:bookmarkStart w:id="560" w:name="_Toc35393638"/>
      <w:r>
        <w:rPr>
          <w:rFonts w:hint="eastAsia" w:ascii="仿宋" w:hAnsi="仿宋" w:eastAsia="仿宋" w:cs="仿宋"/>
          <w:color w:val="auto"/>
          <w:kern w:val="0"/>
          <w:sz w:val="22"/>
          <w:szCs w:val="22"/>
          <w:highlight w:val="none"/>
          <w:lang w:eastAsia="zh-CN"/>
        </w:rPr>
        <w:t>喀什地区公安局</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 xml:space="preserve">联 系 人：郑誉 </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联系方式：</w:t>
      </w:r>
      <w:bookmarkStart w:id="561" w:name="_Toc6476"/>
      <w:r>
        <w:rPr>
          <w:rFonts w:hint="eastAsia" w:ascii="仿宋" w:hAnsi="仿宋" w:eastAsia="仿宋" w:cs="仿宋"/>
          <w:color w:val="auto"/>
          <w:kern w:val="0"/>
          <w:sz w:val="22"/>
          <w:szCs w:val="22"/>
          <w:highlight w:val="none"/>
          <w:lang w:eastAsia="zh-CN"/>
        </w:rPr>
        <w:t xml:space="preserve"> </w:t>
      </w:r>
      <w:r>
        <w:rPr>
          <w:rFonts w:hint="eastAsia" w:ascii="仿宋" w:hAnsi="仿宋" w:eastAsia="仿宋" w:cs="仿宋"/>
          <w:color w:val="auto"/>
          <w:kern w:val="0"/>
          <w:sz w:val="22"/>
          <w:szCs w:val="22"/>
          <w:highlight w:val="none"/>
          <w:lang w:val="en-US" w:eastAsia="zh-CN"/>
        </w:rPr>
        <w:t>18609982458</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2.采购代理机构信息</w:t>
      </w:r>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bookmarkStart w:id="562" w:name="_Toc24331"/>
      <w:r>
        <w:rPr>
          <w:rFonts w:hint="eastAsia" w:ascii="仿宋" w:hAnsi="仿宋" w:eastAsia="仿宋" w:cs="仿宋"/>
          <w:color w:val="auto"/>
          <w:kern w:val="0"/>
          <w:sz w:val="22"/>
          <w:szCs w:val="22"/>
          <w:highlight w:val="none"/>
          <w:lang w:eastAsia="zh-CN"/>
        </w:rPr>
        <w:t xml:space="preserve">名 </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lang w:eastAsia="zh-CN"/>
        </w:rPr>
        <w:t>称：</w:t>
      </w:r>
      <w:r>
        <w:rPr>
          <w:rFonts w:hint="eastAsia" w:ascii="仿宋" w:hAnsi="仿宋" w:eastAsia="仿宋" w:cs="仿宋"/>
          <w:color w:val="auto"/>
          <w:kern w:val="0"/>
          <w:sz w:val="22"/>
          <w:szCs w:val="22"/>
          <w:highlight w:val="none"/>
          <w:lang w:val="en-US" w:eastAsia="zh-CN"/>
        </w:rPr>
        <w:t>新疆绿建全过程咨询发展有限公司</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地</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lang w:eastAsia="zh-CN"/>
        </w:rPr>
        <w:t>址：</w:t>
      </w:r>
      <w:r>
        <w:rPr>
          <w:rFonts w:hint="eastAsia" w:ascii="仿宋" w:hAnsi="仿宋" w:eastAsia="仿宋" w:cs="仿宋"/>
          <w:color w:val="auto"/>
          <w:kern w:val="0"/>
          <w:sz w:val="22"/>
          <w:szCs w:val="22"/>
          <w:highlight w:val="none"/>
          <w:lang w:val="en-US" w:eastAsia="zh-CN"/>
        </w:rPr>
        <w:t>喀什经济开发区深喀大道总部经济区浙商大厦1206室</w:t>
      </w:r>
      <w:r>
        <w:rPr>
          <w:rFonts w:hint="eastAsia" w:ascii="仿宋" w:hAnsi="仿宋" w:eastAsia="仿宋" w:cs="仿宋"/>
          <w:color w:val="auto"/>
          <w:kern w:val="0"/>
          <w:sz w:val="22"/>
          <w:szCs w:val="2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联 系 人：赵小飞</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eastAsia="zh-CN"/>
        </w:rPr>
        <w:t>联系电</w:t>
      </w:r>
      <w:r>
        <w:rPr>
          <w:rFonts w:hint="eastAsia" w:ascii="仿宋" w:hAnsi="仿宋" w:eastAsia="仿宋" w:cs="仿宋"/>
          <w:color w:val="auto"/>
          <w:kern w:val="0"/>
          <w:sz w:val="22"/>
          <w:szCs w:val="22"/>
          <w:highlight w:val="none"/>
          <w:lang w:val="en-US" w:eastAsia="zh-CN"/>
        </w:rPr>
        <w:t>话：</w:t>
      </w:r>
      <w:bookmarkEnd w:id="562"/>
      <w:r>
        <w:rPr>
          <w:rFonts w:hint="eastAsia" w:ascii="仿宋" w:hAnsi="仿宋" w:eastAsia="仿宋" w:cs="仿宋"/>
          <w:color w:val="auto"/>
          <w:kern w:val="0"/>
          <w:sz w:val="22"/>
          <w:szCs w:val="22"/>
          <w:highlight w:val="none"/>
          <w:lang w:val="en-US" w:eastAsia="zh-CN"/>
        </w:rPr>
        <w:t>17799551115</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3.监督部门</w:t>
      </w:r>
    </w:p>
    <w:p>
      <w:pPr>
        <w:keepNext w:val="0"/>
        <w:keepLines w:val="0"/>
        <w:pageBreakBefore w:val="0"/>
        <w:widowControl w:val="0"/>
        <w:kinsoku/>
        <w:wordWrap/>
        <w:overflowPunct/>
        <w:topLinePunct w:val="0"/>
        <w:autoSpaceDE/>
        <w:autoSpaceDN/>
        <w:bidi w:val="0"/>
        <w:adjustRightInd/>
        <w:snapToGrid/>
        <w:spacing w:line="31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名   称：喀什地区财政局政府采购管理办公室</w:t>
      </w:r>
    </w:p>
    <w:p>
      <w:pPr>
        <w:keepNext w:val="0"/>
        <w:keepLines w:val="0"/>
        <w:pageBreakBefore w:val="0"/>
        <w:widowControl w:val="0"/>
        <w:kinsoku/>
        <w:wordWrap/>
        <w:overflowPunct/>
        <w:topLinePunct w:val="0"/>
        <w:autoSpaceDE/>
        <w:autoSpaceDN/>
        <w:bidi w:val="0"/>
        <w:adjustRightInd/>
        <w:snapToGrid/>
        <w:spacing w:line="330" w:lineRule="exact"/>
        <w:ind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联系电话：2597200</w:t>
      </w:r>
    </w:p>
    <w:p>
      <w:pPr>
        <w:pStyle w:val="2"/>
        <w:tabs>
          <w:tab w:val="left" w:pos="0"/>
        </w:tabs>
        <w:spacing w:before="0" w:after="0" w:line="240" w:lineRule="atLeast"/>
        <w:jc w:val="cente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rPr>
          <w:rFonts w:hint="eastAsia" w:ascii="仿宋" w:hAnsi="仿宋" w:eastAsia="仿宋" w:cs="仿宋"/>
          <w:color w:val="auto"/>
          <w:highlight w:val="none"/>
          <w:lang w:eastAsia="zh-CN"/>
        </w:rPr>
      </w:pPr>
    </w:p>
    <w:p>
      <w:pPr>
        <w:pStyle w:val="2"/>
        <w:tabs>
          <w:tab w:val="left" w:pos="0"/>
        </w:tabs>
        <w:spacing w:before="0" w:after="0" w:line="240" w:lineRule="atLeast"/>
        <w:jc w:val="center"/>
        <w:rPr>
          <w:rFonts w:hint="eastAsia" w:ascii="仿宋" w:hAnsi="仿宋" w:eastAsia="仿宋" w:cs="仿宋"/>
          <w:b w:val="0"/>
          <w:color w:val="auto"/>
          <w:szCs w:val="32"/>
          <w:highlight w:val="none"/>
        </w:rPr>
      </w:pPr>
      <w:r>
        <w:rPr>
          <w:rFonts w:hint="eastAsia" w:ascii="仿宋" w:hAnsi="仿宋" w:eastAsia="仿宋" w:cs="仿宋"/>
          <w:color w:val="auto"/>
          <w:highlight w:val="none"/>
          <w:lang w:eastAsia="zh-CN"/>
        </w:rPr>
        <w:t>第</w:t>
      </w:r>
      <w:r>
        <w:rPr>
          <w:rFonts w:hint="eastAsia" w:ascii="仿宋" w:hAnsi="仿宋" w:eastAsia="仿宋" w:cs="仿宋"/>
          <w:color w:val="auto"/>
          <w:highlight w:val="none"/>
          <w:lang w:val="en-US" w:eastAsia="zh-CN"/>
        </w:rPr>
        <w:t xml:space="preserve">4章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须知资料表</w:t>
      </w:r>
      <w:bookmarkEnd w:id="496"/>
      <w:bookmarkEnd w:id="497"/>
      <w:bookmarkEnd w:id="498"/>
      <w:bookmarkEnd w:id="499"/>
      <w:bookmarkEnd w:id="500"/>
      <w:bookmarkEnd w:id="501"/>
      <w:bookmarkEnd w:id="503"/>
      <w:bookmarkEnd w:id="504"/>
    </w:p>
    <w:bookmarkEnd w:id="502"/>
    <w:p>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须知的具体补充和修改，如有矛盾，应以本资料表为准。</w:t>
      </w:r>
    </w:p>
    <w:tbl>
      <w:tblPr>
        <w:tblStyle w:val="21"/>
        <w:tblW w:w="91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2"/>
        <w:gridCol w:w="15"/>
        <w:gridCol w:w="7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12" w:type="dxa"/>
            <w:noWrap w:val="0"/>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800" w:type="dxa"/>
            <w:gridSpan w:val="2"/>
            <w:noWrap w:val="0"/>
            <w:vAlign w:val="center"/>
          </w:tcPr>
          <w:p>
            <w:pPr>
              <w:spacing w:line="400" w:lineRule="exact"/>
              <w:ind w:left="1080"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00"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440" w:lineRule="atLeast"/>
              <w:ind w:firstLine="0"/>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采购人：</w:t>
            </w:r>
            <w:r>
              <w:rPr>
                <w:rFonts w:hint="eastAsia" w:ascii="仿宋" w:hAnsi="仿宋" w:eastAsia="仿宋" w:cs="仿宋"/>
                <w:sz w:val="24"/>
                <w:szCs w:val="24"/>
                <w:highlight w:val="none"/>
                <w:lang w:val="en-US" w:eastAsia="zh-CN"/>
              </w:rPr>
              <w:t>喀什地区公安局</w:t>
            </w:r>
          </w:p>
          <w:p>
            <w:pPr>
              <w:keepNext w:val="0"/>
              <w:keepLines w:val="0"/>
              <w:pageBreakBefore w:val="0"/>
              <w:kinsoku/>
              <w:wordWrap/>
              <w:overflowPunct/>
              <w:topLinePunct w:val="0"/>
              <w:autoSpaceDE/>
              <w:autoSpaceDN/>
              <w:bidi w:val="0"/>
              <w:adjustRightInd/>
              <w:snapToGrid/>
              <w:spacing w:line="440" w:lineRule="atLeas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kern w:val="0"/>
                <w:sz w:val="24"/>
                <w:szCs w:val="20"/>
                <w:highlight w:val="none"/>
                <w:lang w:val="en-US" w:eastAsia="zh-CN" w:bidi="ar-SA"/>
              </w:rPr>
              <w:t>联系人：</w:t>
            </w:r>
            <w:r>
              <w:rPr>
                <w:rFonts w:hint="eastAsia" w:ascii="仿宋" w:hAnsi="仿宋" w:eastAsia="仿宋" w:cs="仿宋"/>
                <w:sz w:val="24"/>
                <w:szCs w:val="24"/>
                <w:highlight w:val="none"/>
                <w:lang w:val="en-US" w:eastAsia="zh-CN"/>
              </w:rPr>
              <w:t>郑誉</w:t>
            </w:r>
            <w:r>
              <w:rPr>
                <w:rFonts w:hint="eastAsia" w:ascii="仿宋" w:hAnsi="仿宋" w:eastAsia="仿宋" w:cs="仿宋"/>
                <w:kern w:val="0"/>
                <w:sz w:val="24"/>
                <w:szCs w:val="20"/>
                <w:highlight w:val="none"/>
                <w:lang w:val="en-US" w:eastAsia="zh-CN" w:bidi="ar-SA"/>
              </w:rPr>
              <w:t xml:space="preserve">   电  话：18609982458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7800" w:type="dxa"/>
            <w:gridSpan w:val="2"/>
            <w:noWrap w:val="0"/>
            <w:vAlign w:val="center"/>
          </w:tcPr>
          <w:p>
            <w:pPr>
              <w:keepNext w:val="0"/>
              <w:keepLines w:val="0"/>
              <w:pageBreakBefore w:val="0"/>
              <w:kinsoku/>
              <w:wordWrap/>
              <w:overflowPunct/>
              <w:topLinePunct w:val="0"/>
              <w:autoSpaceDE/>
              <w:autoSpaceDN/>
              <w:bidi w:val="0"/>
              <w:adjustRightInd/>
              <w:snapToGrid/>
              <w:spacing w:line="440" w:lineRule="atLeast"/>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 xml:space="preserve">购代理机构：新疆绿建全过程咨询发展有限公司  </w:t>
            </w:r>
          </w:p>
          <w:p>
            <w:pPr>
              <w:keepNext w:val="0"/>
              <w:keepLines w:val="0"/>
              <w:pageBreakBefore w:val="0"/>
              <w:kinsoku/>
              <w:wordWrap/>
              <w:overflowPunct/>
              <w:topLinePunct w:val="0"/>
              <w:autoSpaceDE/>
              <w:autoSpaceDN/>
              <w:bidi w:val="0"/>
              <w:adjustRightInd/>
              <w:snapToGrid/>
              <w:spacing w:line="440" w:lineRule="atLeast"/>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 xml:space="preserve">地址： 喀什经济开发区深喀大道浙商大厦第12层1206室  </w:t>
            </w:r>
          </w:p>
          <w:p>
            <w:pPr>
              <w:keepNext w:val="0"/>
              <w:keepLines w:val="0"/>
              <w:pageBreakBefore w:val="0"/>
              <w:kinsoku/>
              <w:wordWrap/>
              <w:overflowPunct/>
              <w:topLinePunct w:val="0"/>
              <w:autoSpaceDE/>
              <w:autoSpaceDN/>
              <w:bidi w:val="0"/>
              <w:adjustRightInd/>
              <w:snapToGrid/>
              <w:spacing w:line="440" w:lineRule="atLeas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kern w:val="0"/>
                <w:sz w:val="24"/>
                <w:szCs w:val="20"/>
                <w:highlight w:val="none"/>
                <w:lang w:val="en-US" w:eastAsia="zh-CN" w:bidi="ar-SA"/>
              </w:rPr>
              <w:t>业务联系人：赵小飞     电话：17799551115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的其他资格要求：</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1.具有相应经营范围的企业营业执照、《银行开户许可证》或《基本存款账户信息》；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2.法人本人投标需提供法人身份证及法定代表人资格证明书；授权委托人投标需提供法人授权委托书、法人身份证及被授权委托人身份证；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3.具有良好的商业信誉和健全的财务会计制度，提供2022年度经审计的财务报告；（2022年10月份后成立的公司提供近三个月任意一个月银行资信证明）；</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4.投标企业在项目进行期内提供本单位缴纳的近三个月任意一个月社保缴纳证明、具有税务局开具依法缴纳近三个月任意一个月的完税证明；</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5.有效期内的《餐饮服务许可证》或《食品经营许可证》；大厨具备国家认可的二级厨师证及以上资质，二厨具备国家认可的三级厨师证及以上资质；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7.提供针对本次项目《反商业贿赂承诺书》；</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9.缴纳投标保证的有效凭证；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10、投标人可提供有利于投标的其他资格证明材料。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left="0" w:leftChars="0"/>
              <w:jc w:val="left"/>
              <w:textAlignment w:val="auto"/>
              <w:rPr>
                <w:rFonts w:hint="eastAsia" w:ascii="仿宋" w:hAnsi="仿宋" w:eastAsia="仿宋" w:cs="仿宋"/>
                <w:b/>
                <w:bCs/>
                <w:i w:val="0"/>
                <w:caps w:val="0"/>
                <w:color w:val="auto"/>
                <w:spacing w:val="0"/>
                <w:w w:val="100"/>
                <w:sz w:val="24"/>
                <w:highlight w:val="none"/>
              </w:rPr>
            </w:pPr>
            <w:r>
              <w:rPr>
                <w:rFonts w:hint="eastAsia" w:ascii="仿宋" w:hAnsi="仿宋" w:eastAsia="仿宋" w:cs="仿宋"/>
                <w:b/>
                <w:bCs/>
                <w:i w:val="0"/>
                <w:caps w:val="0"/>
                <w:color w:val="auto"/>
                <w:spacing w:val="0"/>
                <w:w w:val="100"/>
                <w:sz w:val="24"/>
                <w:highlight w:val="none"/>
              </w:rPr>
              <w:t>注：1、“提供税务部门出具的</w:t>
            </w:r>
            <w:r>
              <w:rPr>
                <w:rFonts w:hint="eastAsia" w:ascii="仿宋" w:hAnsi="仿宋" w:eastAsia="仿宋" w:cs="仿宋"/>
                <w:b/>
                <w:bCs/>
                <w:i w:val="0"/>
                <w:caps w:val="0"/>
                <w:color w:val="auto"/>
                <w:spacing w:val="0"/>
                <w:w w:val="100"/>
                <w:sz w:val="24"/>
                <w:highlight w:val="none"/>
                <w:lang w:val="en-US" w:eastAsia="zh-CN"/>
              </w:rPr>
              <w:t>近三个月任意一个月的</w:t>
            </w:r>
            <w:r>
              <w:rPr>
                <w:rFonts w:hint="eastAsia" w:ascii="仿宋" w:hAnsi="仿宋" w:eastAsia="仿宋" w:cs="仿宋"/>
                <w:b/>
                <w:bCs/>
                <w:i w:val="0"/>
                <w:caps w:val="0"/>
                <w:color w:val="auto"/>
                <w:spacing w:val="0"/>
                <w:w w:val="100"/>
                <w:sz w:val="24"/>
                <w:highlight w:val="none"/>
              </w:rPr>
              <w:t>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b/>
                <w:bCs/>
                <w:i w:val="0"/>
                <w:caps w:val="0"/>
                <w:color w:val="auto"/>
                <w:spacing w:val="0"/>
                <w:w w:val="100"/>
                <w:sz w:val="24"/>
                <w:highlight w:val="none"/>
              </w:rPr>
              <w:t>提示：上述资质开标现场能够通过官方网络查证的，均视为合格供应商。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1.3.5   </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是否允许采购进口产品：</w:t>
            </w:r>
            <w:r>
              <w:rPr>
                <w:rFonts w:hint="eastAsia" w:ascii="仿宋" w:hAnsi="仿宋" w:eastAsia="仿宋" w:cs="仿宋"/>
                <w:b w:val="0"/>
                <w:bCs w:val="0"/>
                <w:color w:val="auto"/>
                <w:sz w:val="24"/>
                <w:highlight w:val="none"/>
                <w:u w:val="single"/>
              </w:rPr>
              <w:t xml:space="preserve"> 否  </w:t>
            </w:r>
            <w:r>
              <w:rPr>
                <w:rFonts w:hint="eastAsia" w:ascii="仿宋" w:hAnsi="仿宋" w:eastAsia="仿宋" w:cs="仿宋"/>
                <w:b w:val="0"/>
                <w:bCs w:val="0"/>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1.3.6</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i/>
                <w:color w:val="auto"/>
                <w:sz w:val="24"/>
                <w:highlight w:val="none"/>
              </w:rPr>
              <w:t>（是、否）</w:t>
            </w:r>
            <w:r>
              <w:rPr>
                <w:rFonts w:hint="eastAsia" w:ascii="仿宋" w:hAnsi="仿宋" w:eastAsia="仿宋" w:cs="仿宋"/>
                <w:i/>
                <w:color w:val="auto"/>
                <w:sz w:val="24"/>
                <w:highlight w:val="none"/>
                <w:u w:val="single"/>
                <w:lang w:eastAsia="zh-CN"/>
              </w:rPr>
              <w:t>潜在投标企业属于中小微企业的，请在投标文件中提供“中小企业声明函”，如果未提供或提供虚假的“中小微企业声明函”，投标企业将承担由此造成的一切不利于后果</w:t>
            </w:r>
            <w:r>
              <w:rPr>
                <w:rFonts w:hint="eastAsia" w:ascii="仿宋" w:hAnsi="仿宋" w:eastAsia="仿宋" w:cs="仿宋"/>
                <w:i/>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w:t>
            </w:r>
            <w:r>
              <w:rPr>
                <w:rFonts w:hint="eastAsia" w:ascii="仿宋" w:hAnsi="仿宋" w:eastAsia="仿宋" w:cs="仿宋"/>
                <w:color w:val="auto"/>
                <w:sz w:val="24"/>
                <w:highlight w:val="none"/>
                <w:u w:val="single"/>
              </w:rPr>
              <w:t xml:space="preserve">  否  </w:t>
            </w:r>
            <w:r>
              <w:rPr>
                <w:rFonts w:hint="eastAsia" w:ascii="仿宋" w:hAnsi="仿宋" w:eastAsia="仿宋" w:cs="仿宋"/>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1.4.8</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ind w:left="240" w:hanging="240" w:hanging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highlight w:val="none"/>
                <w:lang w:val="en-US" w:eastAsia="zh-CN"/>
              </w:rPr>
              <w:t>¥7527600元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柒佰伍拾贰万柒仟陆佰元整</w:t>
            </w:r>
            <w:r>
              <w:rPr>
                <w:rFonts w:hint="eastAsia" w:ascii="仿宋" w:hAnsi="仿宋" w:eastAsia="仿宋" w:cs="仿宋"/>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2"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xml:space="preserve">保证金形式：☑保函☑电汇□支票☑对公转账（本项目允许的其他形式） </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保证金数额：</w:t>
            </w:r>
            <w:r>
              <w:rPr>
                <w:rFonts w:hint="eastAsia" w:ascii="仿宋" w:hAnsi="仿宋" w:eastAsia="仿宋" w:cs="仿宋"/>
                <w:color w:val="auto"/>
                <w:sz w:val="24"/>
                <w:highlight w:val="none"/>
                <w:lang w:val="en-US" w:eastAsia="zh-CN"/>
              </w:rPr>
              <w:t>100000</w:t>
            </w:r>
            <w:r>
              <w:rPr>
                <w:rFonts w:hint="eastAsia" w:ascii="仿宋" w:hAnsi="仿宋" w:eastAsia="仿宋" w:cs="仿宋"/>
                <w:color w:val="auto"/>
                <w:sz w:val="24"/>
                <w:highlight w:val="none"/>
                <w:lang w:val="zh-CN" w:eastAsia="zh-CN"/>
              </w:rPr>
              <w:t>元（人民币壹拾万元</w:t>
            </w:r>
            <w:r>
              <w:rPr>
                <w:rFonts w:hint="eastAsia" w:ascii="仿宋" w:hAnsi="仿宋" w:eastAsia="仿宋" w:cs="仿宋"/>
                <w:color w:val="auto"/>
                <w:sz w:val="24"/>
                <w:highlight w:val="none"/>
                <w:lang w:val="en-US" w:eastAsia="zh-CN"/>
              </w:rPr>
              <w:t>整</w:t>
            </w:r>
            <w:r>
              <w:rPr>
                <w:rFonts w:hint="eastAsia" w:ascii="仿宋" w:hAnsi="仿宋" w:eastAsia="仿宋" w:cs="仿宋"/>
                <w:color w:val="auto"/>
                <w:sz w:val="24"/>
                <w:highlight w:val="none"/>
                <w:lang w:val="zh-CN" w:eastAsia="zh-CN"/>
              </w:rPr>
              <w:t xml:space="preserve">） </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eastAsia="zh-CN"/>
              </w:rPr>
              <w:t>（按照控制金额2%以内的整数计算）</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证金收款人：</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公司名称：新疆绿建全过程咨询发展有限公司</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收款账号：65050111052900000290</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开户行：中国建设银行股份有限公司喀什经济开发区支行</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（电汇时请在汇款备注栏注明项目名称及编号、包号（如有），并注明是投标保证金）     </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行     号：105894000168</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财务室联系方式：15770117906</w:t>
            </w:r>
          </w:p>
          <w:p>
            <w:pPr>
              <w:pStyle w:val="5"/>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b/>
                <w:bCs/>
                <w:highlight w:val="none"/>
                <w:u w:val="single"/>
                <w:lang w:val="en-US" w:eastAsia="zh-CN"/>
              </w:rPr>
            </w:pPr>
            <w:r>
              <w:rPr>
                <w:rFonts w:hint="eastAsia" w:ascii="仿宋" w:hAnsi="仿宋" w:eastAsia="仿宋" w:cs="仿宋"/>
                <w:b/>
                <w:bCs/>
                <w:highlight w:val="none"/>
                <w:u w:val="single"/>
                <w:lang w:val="en-US" w:eastAsia="zh-CN"/>
              </w:rPr>
              <w:t>缴纳保证金截止时间：2023年11月23日18:00时</w:t>
            </w:r>
            <w:r>
              <w:rPr>
                <w:rFonts w:hint="eastAsia" w:ascii="仿宋" w:hAnsi="仿宋" w:eastAsia="仿宋" w:cs="仿宋"/>
                <w:color w:val="auto"/>
                <w:sz w:val="24"/>
                <w:highlight w:val="none"/>
                <w:u w:val="single"/>
                <w:lang w:val="en-US" w:eastAsia="zh-CN"/>
              </w:rPr>
              <w:t>（北京时间）</w:t>
            </w:r>
          </w:p>
          <w:p>
            <w:pPr>
              <w:keepNext w:val="0"/>
              <w:keepLines w:val="0"/>
              <w:pageBreakBefore w:val="0"/>
              <w:kinsoku/>
              <w:wordWrap/>
              <w:overflowPunct/>
              <w:topLinePunct w:val="0"/>
              <w:bidi w:val="0"/>
              <w:adjustRightInd/>
              <w:snapToGrid/>
              <w:spacing w:line="480" w:lineRule="atLeast"/>
              <w:ind w:firstLine="482" w:firstLineChars="200"/>
              <w:textAlignment w:val="auto"/>
              <w:rPr>
                <w:rFonts w:hint="eastAsia" w:ascii="仿宋" w:hAnsi="仿宋" w:eastAsia="仿宋" w:cs="仿宋"/>
                <w:b/>
                <w:bCs/>
                <w:kern w:val="2"/>
                <w:sz w:val="24"/>
                <w:szCs w:val="24"/>
                <w:highlight w:val="none"/>
                <w:u w:val="single"/>
                <w:lang w:val="en-US" w:eastAsia="zh-CN" w:bidi="ar-SA"/>
              </w:rPr>
            </w:pPr>
            <w:r>
              <w:rPr>
                <w:rFonts w:hint="eastAsia" w:ascii="仿宋" w:hAnsi="仿宋" w:eastAsia="仿宋" w:cs="仿宋"/>
                <w:b/>
                <w:bCs/>
                <w:kern w:val="2"/>
                <w:sz w:val="24"/>
                <w:szCs w:val="24"/>
                <w:highlight w:val="none"/>
                <w:u w:val="single"/>
                <w:lang w:val="en-US" w:eastAsia="zh-CN" w:bidi="ar-SA"/>
              </w:rPr>
              <w:t>标保证金必须在提交投标文件截止时间前从投标供应商的基本账户一次性汇入指定账户中（以实际到账为准）。不接受现金及任何个人、分公司汇款。投标文件内放置银行转账回执单扫描件，投标文件内未放置转账回执单扫描件将做无效投标处理。</w:t>
            </w:r>
          </w:p>
          <w:p>
            <w:pPr>
              <w:keepNext w:val="0"/>
              <w:keepLines w:val="0"/>
              <w:pageBreakBefore w:val="0"/>
              <w:kinsoku/>
              <w:wordWrap/>
              <w:overflowPunct/>
              <w:topLinePunct w:val="0"/>
              <w:bidi w:val="0"/>
              <w:adjustRightInd/>
              <w:snapToGrid/>
              <w:spacing w:line="480" w:lineRule="atLeast"/>
              <w:ind w:firstLine="482" w:firstLineChars="200"/>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u w:val="single"/>
                <w:lang w:val="en-US" w:eastAsia="zh-CN" w:bidi="ar-SA"/>
              </w:rPr>
              <w:t>电子保函形式：</w:t>
            </w:r>
            <w:r>
              <w:rPr>
                <w:rFonts w:hint="eastAsia" w:ascii="仿宋" w:hAnsi="仿宋" w:eastAsia="仿宋" w:cs="仿宋"/>
                <w:b/>
                <w:bCs/>
                <w:kern w:val="2"/>
                <w:sz w:val="24"/>
                <w:szCs w:val="24"/>
                <w:highlight w:val="none"/>
                <w:lang w:val="en-US" w:eastAsia="zh-CN" w:bidi="ar-SA"/>
              </w:rPr>
              <w:t>按照政采云电子投标流程制作并上传电子保函 中标结果公示期后，发出《成交通知书》之后 5 个工作日内退还投标保证金。</w:t>
            </w:r>
          </w:p>
          <w:p>
            <w:pPr>
              <w:keepNext w:val="0"/>
              <w:keepLines w:val="0"/>
              <w:pageBreakBefore w:val="0"/>
              <w:widowControl w:val="0"/>
              <w:kinsoku/>
              <w:wordWrap/>
              <w:overflowPunct/>
              <w:topLinePunct w:val="0"/>
              <w:autoSpaceDE/>
              <w:autoSpaceDN/>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u w:val="single"/>
              </w:rPr>
              <w:t>退投标保证金：</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p>
            <w:pPr>
              <w:keepNext w:val="0"/>
              <w:keepLines w:val="0"/>
              <w:pageBreakBefore w:val="0"/>
              <w:kinsoku/>
              <w:wordWrap/>
              <w:overflowPunct/>
              <w:topLinePunct w:val="0"/>
              <w:bidi w:val="0"/>
              <w:adjustRightInd/>
              <w:snapToGrid/>
              <w:spacing w:line="480" w:lineRule="atLeast"/>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fldChar w:fldCharType="begin"/>
            </w:r>
            <w:r>
              <w:rPr>
                <w:rFonts w:hint="eastAsia" w:ascii="仿宋" w:hAnsi="仿宋" w:eastAsia="仿宋" w:cs="仿宋"/>
                <w:b/>
                <w:bCs/>
                <w:color w:val="auto"/>
                <w:sz w:val="24"/>
                <w:highlight w:val="none"/>
                <w:lang w:eastAsia="zh-CN"/>
              </w:rPr>
              <w:instrText xml:space="preserve"> HYPERLINK "mailto:中标供应商的投标保证金在与采购单位签订合同后，把合同扫描件发送至邮箱3465165565@qq.com后，当日或次日即原账户退回。" </w:instrText>
            </w:r>
            <w:r>
              <w:rPr>
                <w:rFonts w:hint="eastAsia" w:ascii="仿宋" w:hAnsi="仿宋" w:eastAsia="仿宋" w:cs="仿宋"/>
                <w:b/>
                <w:bCs/>
                <w:color w:val="auto"/>
                <w:sz w:val="24"/>
                <w:highlight w:val="none"/>
                <w:lang w:eastAsia="zh-CN"/>
              </w:rPr>
              <w:fldChar w:fldCharType="separate"/>
            </w:r>
            <w:r>
              <w:rPr>
                <w:rStyle w:val="26"/>
                <w:rFonts w:hint="eastAsia" w:ascii="仿宋" w:hAnsi="仿宋" w:eastAsia="仿宋" w:cs="仿宋"/>
                <w:b/>
                <w:bCs/>
                <w:color w:val="auto"/>
                <w:sz w:val="24"/>
                <w:highlight w:val="none"/>
                <w:lang w:eastAsia="zh-CN"/>
              </w:rPr>
              <w:t>中标</w:t>
            </w:r>
            <w:r>
              <w:rPr>
                <w:rStyle w:val="26"/>
                <w:rFonts w:hint="eastAsia" w:ascii="仿宋" w:hAnsi="仿宋" w:eastAsia="仿宋" w:cs="仿宋"/>
                <w:b/>
                <w:bCs/>
                <w:color w:val="auto"/>
                <w:sz w:val="24"/>
                <w:highlight w:val="none"/>
                <w:lang w:val="en-US" w:eastAsia="zh-CN"/>
              </w:rPr>
              <w:t>供应商的</w:t>
            </w:r>
            <w:r>
              <w:rPr>
                <w:rStyle w:val="26"/>
                <w:rFonts w:hint="eastAsia" w:ascii="仿宋" w:hAnsi="仿宋" w:eastAsia="仿宋" w:cs="仿宋"/>
                <w:b/>
                <w:bCs/>
                <w:color w:val="auto"/>
                <w:sz w:val="24"/>
                <w:highlight w:val="none"/>
                <w:lang w:eastAsia="zh-CN"/>
              </w:rPr>
              <w:t>投标保证金在与采购单位签订合同后，把合同扫描件发</w:t>
            </w:r>
            <w:r>
              <w:rPr>
                <w:rStyle w:val="26"/>
                <w:rFonts w:hint="eastAsia" w:ascii="仿宋" w:hAnsi="仿宋" w:eastAsia="仿宋" w:cs="仿宋"/>
                <w:b/>
                <w:bCs/>
                <w:color w:val="auto"/>
                <w:sz w:val="24"/>
                <w:highlight w:val="none"/>
                <w:lang w:val="en-US" w:eastAsia="zh-CN"/>
              </w:rPr>
              <w:t>送至邮箱758914043@qq.com</w:t>
            </w:r>
            <w:r>
              <w:rPr>
                <w:rStyle w:val="26"/>
                <w:rFonts w:hint="eastAsia" w:ascii="仿宋" w:hAnsi="仿宋" w:eastAsia="仿宋" w:cs="仿宋"/>
                <w:b/>
                <w:bCs/>
                <w:color w:val="auto"/>
                <w:sz w:val="24"/>
                <w:highlight w:val="none"/>
                <w:lang w:eastAsia="zh-CN"/>
              </w:rPr>
              <w:t>后，当日或次日即原账户退回。</w:t>
            </w:r>
            <w:r>
              <w:rPr>
                <w:rFonts w:hint="eastAsia" w:ascii="仿宋" w:hAnsi="仿宋" w:eastAsia="仿宋" w:cs="仿宋"/>
                <w:b/>
                <w:bCs/>
                <w:color w:val="auto"/>
                <w:sz w:val="24"/>
                <w:highlight w:val="none"/>
                <w:lang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投标有效期：</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7800" w:type="dxa"/>
            <w:gridSpan w:val="2"/>
            <w:noWrap w:val="0"/>
            <w:vAlign w:val="center"/>
          </w:tcPr>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（2）本项目实行网上投标，采用电子投标文件(供应商须使用CA加密设备通过政采云电子投标客户端制作投标文件)。若供应商参与投标，自行承担投标一切费用。</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lang w:val="en-US" w:eastAsia="zh-CN"/>
              </w:rPr>
              <w:t>（5）供应商在开标时须使用制作加密电子投标文件所使用的CA锁及电脑，电脑须提前配置好浏览器（建议使用谷歌浏览器），以便开标时解锁。</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b/>
                <w:bCs/>
                <w:color w:val="auto"/>
                <w:sz w:val="24"/>
                <w:highlight w:val="none"/>
                <w:lang w:val="en-US" w:eastAsia="zh-CN"/>
              </w:rPr>
              <w:t>各供应商</w:t>
            </w:r>
            <w:r>
              <w:rPr>
                <w:rFonts w:hint="eastAsia" w:ascii="仿宋" w:hAnsi="仿宋" w:eastAsia="仿宋" w:cs="仿宋"/>
                <w:b/>
                <w:bCs/>
                <w:color w:val="auto"/>
                <w:sz w:val="24"/>
                <w:highlight w:val="none"/>
              </w:rPr>
              <w:t>须在投标截止时间前完成在系统上递交电子</w:t>
            </w:r>
            <w:r>
              <w:rPr>
                <w:rFonts w:hint="eastAsia" w:ascii="仿宋" w:hAnsi="仿宋" w:eastAsia="仿宋" w:cs="仿宋"/>
                <w:b/>
                <w:bCs/>
                <w:color w:val="auto"/>
                <w:sz w:val="24"/>
                <w:highlight w:val="none"/>
                <w:lang w:val="en-US" w:eastAsia="zh-CN"/>
              </w:rPr>
              <w:t>投标文件</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投标供应商</w:t>
            </w:r>
            <w:r>
              <w:rPr>
                <w:rFonts w:hint="eastAsia" w:ascii="仿宋" w:hAnsi="仿宋" w:eastAsia="仿宋" w:cs="仿宋"/>
                <w:b/>
                <w:bCs/>
                <w:color w:val="auto"/>
                <w:sz w:val="24"/>
                <w:highlight w:val="none"/>
              </w:rPr>
              <w:t>的电子</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各供应商在投标截止时间前将“投标文件”上传至政采云平台。投标文件包括“开标一览表表及资格证明文件”与“商务及技术文件”两部分合并成一册。投标文件应按照招标文件规定的格式填写、签署和盖章，并以PDF格式上传至政采云开评标平台（投标文件为正本扫描件）。</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b/>
                <w:bCs/>
                <w:color w:val="auto"/>
                <w:sz w:val="24"/>
                <w:highlight w:val="none"/>
                <w:lang w:val="en-US" w:eastAsia="zh-CN"/>
              </w:rPr>
              <w:t>所有投标供应商应在中标公告公示期结束后7个工作日内将纸质版投标文件邮寄至代理机构备案，纸质版投标文件</w:t>
            </w:r>
            <w:r>
              <w:rPr>
                <w:rFonts w:hint="eastAsia" w:ascii="仿宋" w:hAnsi="仿宋" w:eastAsia="仿宋" w:cs="仿宋"/>
                <w:b/>
                <w:bCs/>
                <w:color w:val="auto"/>
                <w:sz w:val="24"/>
                <w:highlight w:val="none"/>
              </w:rPr>
              <w:t>包括“</w:t>
            </w:r>
            <w:r>
              <w:rPr>
                <w:rFonts w:hint="eastAsia" w:ascii="仿宋" w:hAnsi="仿宋" w:eastAsia="仿宋" w:cs="仿宋"/>
                <w:b/>
                <w:bCs/>
                <w:color w:val="auto"/>
                <w:sz w:val="24"/>
                <w:highlight w:val="none"/>
                <w:lang w:val="en-US" w:eastAsia="zh-CN"/>
              </w:rPr>
              <w:t>开标一览表</w:t>
            </w:r>
            <w:r>
              <w:rPr>
                <w:rFonts w:hint="eastAsia" w:ascii="仿宋" w:hAnsi="仿宋" w:eastAsia="仿宋" w:cs="仿宋"/>
                <w:b/>
                <w:bCs/>
                <w:color w:val="auto"/>
                <w:sz w:val="24"/>
                <w:highlight w:val="none"/>
                <w:lang w:eastAsia="zh-CN"/>
              </w:rPr>
              <w:t>表</w:t>
            </w:r>
            <w:r>
              <w:rPr>
                <w:rFonts w:hint="eastAsia" w:ascii="仿宋" w:hAnsi="仿宋" w:eastAsia="仿宋" w:cs="仿宋"/>
                <w:b/>
                <w:bCs/>
                <w:color w:val="auto"/>
                <w:sz w:val="24"/>
                <w:highlight w:val="none"/>
              </w:rPr>
              <w:t>及资格证明文件”和“商务及技术文件”两部分，两部分合订成一册递交。</w:t>
            </w:r>
            <w:r>
              <w:rPr>
                <w:rFonts w:hint="eastAsia" w:ascii="仿宋" w:hAnsi="仿宋" w:eastAsia="仿宋" w:cs="仿宋"/>
                <w:b/>
                <w:bCs/>
                <w:color w:val="auto"/>
                <w:sz w:val="24"/>
                <w:highlight w:val="none"/>
                <w:lang w:val="en-US" w:eastAsia="zh-CN"/>
              </w:rPr>
              <w:t>(邮寄标书事项会影响退还投标保证金)</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递交数量：</w:t>
            </w:r>
            <w:r>
              <w:rPr>
                <w:rFonts w:hint="eastAsia" w:ascii="仿宋" w:hAnsi="仿宋" w:eastAsia="仿宋" w:cs="仿宋"/>
                <w:color w:val="auto"/>
                <w:sz w:val="24"/>
                <w:highlight w:val="none"/>
              </w:rPr>
              <w:t>正本：壹份、副本：</w:t>
            </w:r>
            <w:r>
              <w:rPr>
                <w:rFonts w:hint="eastAsia" w:ascii="仿宋" w:hAnsi="仿宋" w:eastAsia="仿宋" w:cs="仿宋"/>
                <w:color w:val="auto"/>
                <w:sz w:val="24"/>
                <w:highlight w:val="none"/>
                <w:lang w:val="en-US" w:eastAsia="zh-CN"/>
              </w:rPr>
              <w:t>贰份</w:t>
            </w:r>
            <w:r>
              <w:rPr>
                <w:rFonts w:hint="eastAsia" w:ascii="仿宋" w:hAnsi="仿宋" w:eastAsia="仿宋" w:cs="仿宋"/>
                <w:color w:val="auto"/>
                <w:sz w:val="24"/>
                <w:highlight w:val="none"/>
              </w:rPr>
              <w:t>；电子文档1份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以正本为准，副本可以是正本的复印件）</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color w:val="auto"/>
                <w:sz w:val="24"/>
                <w:highlight w:val="none"/>
                <w:lang w:val="en-US" w:eastAsia="zh-CN"/>
              </w:rPr>
            </w:pPr>
            <w:bookmarkStart w:id="563" w:name="_Toc14647"/>
            <w:r>
              <w:rPr>
                <w:rFonts w:hint="eastAsia" w:ascii="仿宋" w:hAnsi="仿宋" w:eastAsia="仿宋" w:cs="仿宋"/>
                <w:b/>
                <w:bCs/>
                <w:color w:val="auto"/>
                <w:sz w:val="24"/>
                <w:highlight w:val="none"/>
                <w:lang w:val="en-US" w:eastAsia="zh-CN"/>
              </w:rPr>
              <w:t>纸质投标文件</w:t>
            </w:r>
            <w:r>
              <w:rPr>
                <w:rFonts w:hint="eastAsia" w:ascii="仿宋" w:hAnsi="仿宋" w:eastAsia="仿宋" w:cs="仿宋"/>
                <w:b/>
                <w:bCs/>
                <w:color w:val="auto"/>
                <w:sz w:val="24"/>
                <w:highlight w:val="none"/>
              </w:rPr>
              <w:t>的签署及规定</w:t>
            </w:r>
            <w:r>
              <w:rPr>
                <w:rFonts w:hint="eastAsia" w:ascii="仿宋" w:hAnsi="仿宋" w:eastAsia="仿宋" w:cs="仿宋"/>
                <w:b/>
                <w:bCs/>
                <w:color w:val="auto"/>
                <w:sz w:val="24"/>
                <w:highlight w:val="none"/>
                <w:lang w:eastAsia="zh-CN"/>
              </w:rPr>
              <w:t>：</w:t>
            </w:r>
            <w:bookmarkEnd w:id="563"/>
            <w:r>
              <w:rPr>
                <w:rFonts w:hint="eastAsia" w:ascii="仿宋" w:hAnsi="仿宋" w:eastAsia="仿宋" w:cs="仿宋"/>
                <w:color w:val="auto"/>
                <w:sz w:val="24"/>
                <w:highlight w:val="none"/>
                <w:lang w:val="en-US" w:eastAsia="zh-CN"/>
              </w:rPr>
              <w:t>投标文件</w:t>
            </w:r>
            <w:r>
              <w:rPr>
                <w:rFonts w:hint="eastAsia" w:ascii="仿宋" w:hAnsi="仿宋" w:eastAsia="仿宋" w:cs="仿宋"/>
                <w:color w:val="auto"/>
                <w:sz w:val="24"/>
                <w:highlight w:val="none"/>
              </w:rPr>
              <w:t>的正</w:t>
            </w:r>
            <w:r>
              <w:rPr>
                <w:rFonts w:hint="eastAsia" w:ascii="仿宋" w:hAnsi="仿宋" w:eastAsia="仿宋" w:cs="仿宋"/>
                <w:color w:val="auto"/>
                <w:sz w:val="24"/>
                <w:highlight w:val="none"/>
                <w:lang w:val="en-US" w:eastAsia="zh-CN"/>
              </w:rPr>
              <w:t>副本</w:t>
            </w:r>
            <w:r>
              <w:rPr>
                <w:rFonts w:hint="eastAsia" w:ascii="仿宋" w:hAnsi="仿宋" w:eastAsia="仿宋" w:cs="仿宋"/>
                <w:color w:val="auto"/>
                <w:sz w:val="24"/>
                <w:highlight w:val="none"/>
              </w:rPr>
              <w:t>需打印或用不褪色墨水书写，并由</w:t>
            </w:r>
            <w:r>
              <w:rPr>
                <w:rFonts w:hint="eastAsia" w:ascii="仿宋" w:hAnsi="仿宋" w:eastAsia="仿宋" w:cs="仿宋"/>
                <w:color w:val="auto"/>
                <w:sz w:val="24"/>
                <w:highlight w:val="none"/>
                <w:lang w:eastAsia="zh-CN"/>
              </w:rPr>
              <w:t>供应</w:t>
            </w:r>
            <w:r>
              <w:rPr>
                <w:rFonts w:hint="eastAsia" w:ascii="仿宋" w:hAnsi="仿宋" w:eastAsia="仿宋" w:cs="仿宋"/>
                <w:color w:val="auto"/>
                <w:sz w:val="24"/>
                <w:highlight w:val="none"/>
                <w:lang w:val="en-US" w:eastAsia="zh-CN"/>
              </w:rPr>
              <w:t>商的法定代表人或经其正式委托代理人按招标文件规定在投标文件上签字或盖章，并加盖单位印章。</w:t>
            </w:r>
          </w:p>
          <w:p>
            <w:pPr>
              <w:keepNext w:val="0"/>
              <w:keepLines w:val="0"/>
              <w:pageBreakBefore w:val="0"/>
              <w:shd w:val="clear"/>
              <w:kinsoku/>
              <w:wordWrap/>
              <w:overflowPunct/>
              <w:topLinePunct w:val="0"/>
              <w:bidi w:val="0"/>
              <w:adjustRightInd/>
              <w:snapToGrid/>
              <w:spacing w:line="480" w:lineRule="atLeast"/>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b/>
                <w:bCs/>
                <w:color w:val="auto"/>
                <w:sz w:val="24"/>
                <w:highlight w:val="none"/>
                <w:lang w:val="en-US" w:eastAsia="zh-CN"/>
              </w:rPr>
              <w:t>）解密时长为30分钟。</w:t>
            </w:r>
          </w:p>
          <w:p>
            <w:pPr>
              <w:keepNext w:val="0"/>
              <w:keepLines w:val="0"/>
              <w:pageBreakBefore w:val="0"/>
              <w:kinsoku/>
              <w:wordWrap/>
              <w:overflowPunct/>
              <w:topLinePunct w:val="0"/>
              <w:bidi w:val="0"/>
              <w:adjustRightInd/>
              <w:snapToGrid/>
              <w:spacing w:line="480" w:lineRule="atLeast"/>
              <w:jc w:val="left"/>
              <w:textAlignment w:val="auto"/>
              <w:rPr>
                <w:rFonts w:hint="eastAsia" w:ascii="仿宋" w:hAnsi="仿宋" w:eastAsia="仿宋" w:cs="仿宋"/>
                <w:highlight w:val="none"/>
              </w:rPr>
            </w:pPr>
            <w:r>
              <w:rPr>
                <w:rFonts w:hint="eastAsia" w:ascii="仿宋" w:hAnsi="仿宋" w:eastAsia="仿宋" w:cs="仿宋"/>
                <w:b/>
                <w:bCs/>
                <w:color w:val="auto"/>
                <w:sz w:val="24"/>
                <w:highlight w:val="none"/>
                <w:lang w:val="en-US" w:eastAsia="zh-CN"/>
              </w:rPr>
              <w:t>（12）须供应商提供备份的投标文件。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11月24日11</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u w:val="single"/>
              </w:rPr>
              <w:t>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开标时间：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年</w:t>
            </w:r>
            <w:r>
              <w:rPr>
                <w:rFonts w:hint="eastAsia" w:ascii="仿宋" w:hAnsi="仿宋" w:eastAsia="仿宋" w:cs="仿宋"/>
                <w:b/>
                <w:bCs/>
                <w:color w:val="auto"/>
                <w:sz w:val="24"/>
                <w:highlight w:val="none"/>
                <w:u w:val="single"/>
                <w:lang w:val="en-US" w:eastAsia="zh-CN"/>
              </w:rPr>
              <w:t>11月24日11</w:t>
            </w:r>
            <w:r>
              <w:rPr>
                <w:rFonts w:hint="eastAsia" w:ascii="仿宋" w:hAnsi="仿宋" w:eastAsia="仿宋" w:cs="仿宋"/>
                <w:b/>
                <w:bCs/>
                <w:color w:val="auto"/>
                <w:sz w:val="24"/>
                <w:highlight w:val="none"/>
                <w:u w:val="single"/>
              </w:rPr>
              <w:t>点</w:t>
            </w:r>
            <w:r>
              <w:rPr>
                <w:rFonts w:hint="eastAsia" w:ascii="仿宋" w:hAnsi="仿宋" w:eastAsia="仿宋" w:cs="仿宋"/>
                <w:b/>
                <w:bCs/>
                <w:color w:val="auto"/>
                <w:sz w:val="24"/>
                <w:highlight w:val="none"/>
                <w:u w:val="single"/>
                <w:lang w:val="en-US" w:eastAsia="zh-CN"/>
              </w:rPr>
              <w:t>30</w:t>
            </w:r>
            <w:r>
              <w:rPr>
                <w:rFonts w:hint="eastAsia" w:ascii="仿宋" w:hAnsi="仿宋" w:eastAsia="仿宋" w:cs="仿宋"/>
                <w:b/>
                <w:bCs/>
                <w:color w:val="auto"/>
                <w:sz w:val="24"/>
                <w:highlight w:val="none"/>
                <w:u w:val="single"/>
              </w:rPr>
              <w:t>分（北京时间）</w:t>
            </w:r>
          </w:p>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开标地点：</w:t>
            </w:r>
            <w:r>
              <w:rPr>
                <w:rFonts w:hint="eastAsia" w:ascii="仿宋" w:hAnsi="仿宋" w:eastAsia="仿宋" w:cs="仿宋"/>
                <w:b/>
                <w:bCs/>
                <w:color w:val="auto"/>
                <w:sz w:val="24"/>
                <w:highlight w:val="none"/>
                <w:lang w:eastAsia="zh-CN"/>
              </w:rPr>
              <w:t>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kinsoku/>
              <w:wordWrap/>
              <w:overflowPunct/>
              <w:topLinePunct w:val="0"/>
              <w:bidi w:val="0"/>
              <w:adjustRightInd/>
              <w:snapToGrid/>
              <w:spacing w:line="48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800" w:type="dxa"/>
            <w:gridSpan w:val="2"/>
            <w:noWrap w:val="0"/>
            <w:vAlign w:val="center"/>
          </w:tcPr>
          <w:p>
            <w:pPr>
              <w:keepNext w:val="0"/>
              <w:keepLines w:val="0"/>
              <w:pageBreakBefore w:val="0"/>
              <w:kinsoku/>
              <w:wordWrap/>
              <w:overflowPunct/>
              <w:topLinePunct w:val="0"/>
              <w:bidi w:val="0"/>
              <w:adjustRightInd/>
              <w:snapToGrid/>
              <w:spacing w:line="480" w:lineRule="atLeast"/>
              <w:textAlignment w:val="auto"/>
              <w:rPr>
                <w:rFonts w:hint="eastAsia" w:ascii="仿宋" w:hAnsi="仿宋" w:eastAsia="仿宋" w:cs="仿宋"/>
                <w:i/>
                <w:color w:val="auto"/>
                <w:sz w:val="24"/>
                <w:highlight w:val="none"/>
              </w:rPr>
            </w:pPr>
            <w:r>
              <w:rPr>
                <w:rFonts w:hint="eastAsia" w:ascii="仿宋" w:hAnsi="仿宋" w:eastAsia="仿宋" w:cs="仿宋"/>
                <w:color w:val="auto"/>
                <w:sz w:val="24"/>
                <w:highlight w:val="none"/>
              </w:rPr>
              <w:t>评标方法：适用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中标成交供应商家数：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招标人是否委托评标委员会直接确定中标人：</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r>
              <w:rPr>
                <w:rFonts w:hint="eastAsia" w:ascii="仿宋" w:hAnsi="仿宋" w:eastAsia="仿宋" w:cs="仿宋"/>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i/>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5%　</w:t>
            </w:r>
            <w:r>
              <w:rPr>
                <w:rFonts w:hint="eastAsia" w:ascii="仿宋" w:hAnsi="仿宋" w:eastAsia="仿宋" w:cs="仿宋"/>
                <w:i/>
                <w:color w:val="auto"/>
                <w:sz w:val="24"/>
                <w:highlight w:val="none"/>
              </w:rPr>
              <w:t>（不得超过政府采购合同金额的10%）</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履约保证金形式：</w:t>
            </w:r>
            <w:r>
              <w:rPr>
                <w:rFonts w:hint="eastAsia" w:ascii="仿宋" w:hAnsi="仿宋" w:eastAsia="仿宋" w:cs="仿宋"/>
                <w:color w:val="auto"/>
                <w:sz w:val="24"/>
                <w:highlight w:val="none"/>
                <w:u w:val="single"/>
              </w:rPr>
              <w:t xml:space="preserve"> 合同约定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提交履约保证金的时间：签订合同前 </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日历日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打入甲方指定账户</w:t>
            </w:r>
            <w:r>
              <w:rPr>
                <w:rFonts w:hint="eastAsia" w:ascii="仿宋" w:hAnsi="仿宋" w:eastAsia="仿宋" w:cs="仿宋"/>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中标服务费：根据发改委价格[2015]299文件</w:t>
            </w:r>
            <w:r>
              <w:rPr>
                <w:rFonts w:hint="eastAsia" w:ascii="仿宋" w:hAnsi="仿宋" w:eastAsia="仿宋" w:cs="仿宋"/>
                <w:color w:val="auto"/>
                <w:sz w:val="24"/>
                <w:highlight w:val="none"/>
                <w:lang w:val="en-US" w:eastAsia="zh-CN"/>
              </w:rPr>
              <w:t>：经采购单位与招标代理公司协商确定代理服务费</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支付时间：领取中标通知书时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p>
        </w:tc>
        <w:tc>
          <w:tcPr>
            <w:tcW w:w="7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本项目是否属于信用担保试点范围：</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r>
              <w:rPr>
                <w:rFonts w:hint="eastAsia" w:ascii="仿宋" w:hAnsi="仿宋" w:eastAsia="仿宋" w:cs="仿宋"/>
                <w:i/>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trPr>
        <w:tc>
          <w:tcPr>
            <w:tcW w:w="1327" w:type="dxa"/>
            <w:gridSpan w:val="2"/>
            <w:tcBorders>
              <w:top w:val="single" w:color="auto" w:sz="12"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33.2</w:t>
            </w:r>
          </w:p>
        </w:tc>
        <w:tc>
          <w:tcPr>
            <w:tcW w:w="7785" w:type="dxa"/>
            <w:tcBorders>
              <w:top w:val="single" w:color="auto" w:sz="12"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其他要求：1.投标人须严格按照服务需求中的成本核算要求（即早中晚餐费用标准）严格执行，并出具承诺说明，无承诺说明按无效投标处理。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2.签订合同后一个月内若中标方服务</w:t>
            </w:r>
            <w:r>
              <w:rPr>
                <w:rFonts w:hint="eastAsia" w:ascii="仿宋" w:hAnsi="仿宋" w:eastAsia="仿宋" w:cs="仿宋"/>
                <w:b/>
                <w:bCs/>
                <w:color w:val="000000" w:themeColor="text1"/>
                <w:sz w:val="24"/>
                <w:highlight w:val="none"/>
                <w14:textFill>
                  <w14:solidFill>
                    <w14:schemeClr w14:val="tx1"/>
                  </w14:solidFill>
                </w14:textFill>
              </w:rPr>
              <w:t>未达到</w:t>
            </w:r>
            <w:r>
              <w:rPr>
                <w:rFonts w:hint="eastAsia" w:ascii="仿宋" w:hAnsi="仿宋" w:eastAsia="仿宋" w:cs="仿宋"/>
                <w:b/>
                <w:bCs/>
                <w:color w:val="000000" w:themeColor="text1"/>
                <w:sz w:val="24"/>
                <w:highlight w:val="none"/>
                <w:lang w:val="en-US" w:eastAsia="zh-CN"/>
                <w14:textFill>
                  <w14:solidFill>
                    <w14:schemeClr w14:val="tx1"/>
                  </w14:solidFill>
                </w14:textFill>
              </w:rPr>
              <w:t>服务标准</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甲方有权</w:t>
            </w:r>
            <w:r>
              <w:rPr>
                <w:rFonts w:hint="eastAsia" w:ascii="仿宋" w:hAnsi="仿宋" w:eastAsia="仿宋" w:cs="仿宋"/>
                <w:b/>
                <w:bCs/>
                <w:color w:val="000000" w:themeColor="text1"/>
                <w:sz w:val="24"/>
                <w:highlight w:val="none"/>
                <w14:textFill>
                  <w14:solidFill>
                    <w14:schemeClr w14:val="tx1"/>
                  </w14:solidFill>
                </w14:textFill>
              </w:rPr>
              <w:t>中止合同。</w:t>
            </w:r>
          </w:p>
        </w:tc>
      </w:tr>
    </w:tbl>
    <w:p>
      <w:pPr>
        <w:spacing w:line="240" w:lineRule="atLeast"/>
        <w:ind w:left="1080" w:leftChars="257" w:hanging="540"/>
        <w:rPr>
          <w:rFonts w:hint="eastAsia" w:ascii="仿宋" w:hAnsi="仿宋" w:eastAsia="仿宋" w:cs="仿宋"/>
          <w:color w:val="auto"/>
          <w:sz w:val="24"/>
          <w:highlight w:val="none"/>
        </w:rPr>
        <w:sectPr>
          <w:footerReference r:id="rId5" w:type="default"/>
          <w:pgSz w:w="11906" w:h="16838"/>
          <w:pgMar w:top="1440" w:right="1797" w:bottom="1440" w:left="1797" w:header="851" w:footer="992" w:gutter="0"/>
          <w:pgNumType w:fmt="decimal" w:start="1"/>
          <w:cols w:space="720" w:num="1"/>
          <w:docGrid w:linePitch="312" w:charSpace="0"/>
        </w:sectPr>
      </w:pPr>
    </w:p>
    <w:p>
      <w:pPr>
        <w:widowControl/>
        <w:ind w:firstLine="5622" w:firstLineChars="2000"/>
        <w:jc w:val="both"/>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资格审查表</w:t>
      </w:r>
    </w:p>
    <w:tbl>
      <w:tblPr>
        <w:tblStyle w:val="21"/>
        <w:tblpPr w:leftFromText="180" w:rightFromText="180" w:vertAnchor="text" w:horzAnchor="page" w:tblpXSpec="center" w:tblpY="5"/>
        <w:tblOverlap w:val="never"/>
        <w:tblW w:w="5617" w:type="pct"/>
        <w:jc w:val="center"/>
        <w:tblLayout w:type="fixed"/>
        <w:tblCellMar>
          <w:top w:w="0" w:type="dxa"/>
          <w:left w:w="108" w:type="dxa"/>
          <w:bottom w:w="0" w:type="dxa"/>
          <w:right w:w="108" w:type="dxa"/>
        </w:tblCellMar>
      </w:tblPr>
      <w:tblGrid>
        <w:gridCol w:w="365"/>
        <w:gridCol w:w="1227"/>
        <w:gridCol w:w="1560"/>
        <w:gridCol w:w="1178"/>
        <w:gridCol w:w="1515"/>
        <w:gridCol w:w="888"/>
        <w:gridCol w:w="1492"/>
        <w:gridCol w:w="3691"/>
        <w:gridCol w:w="960"/>
        <w:gridCol w:w="1152"/>
        <w:gridCol w:w="120"/>
        <w:gridCol w:w="888"/>
        <w:gridCol w:w="888"/>
      </w:tblGrid>
      <w:tr>
        <w:tblPrEx>
          <w:tblCellMar>
            <w:top w:w="0" w:type="dxa"/>
            <w:left w:w="108" w:type="dxa"/>
            <w:bottom w:w="0" w:type="dxa"/>
            <w:right w:w="108" w:type="dxa"/>
          </w:tblCellMar>
        </w:tblPrEx>
        <w:trPr>
          <w:trHeight w:val="481" w:hRule="atLeast"/>
          <w:jc w:val="center"/>
        </w:trPr>
        <w:tc>
          <w:tcPr>
            <w:tcW w:w="11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 w:hAnsi="仿宋" w:eastAsia="仿宋" w:cs="仿宋"/>
                <w:color w:val="auto"/>
                <w:sz w:val="20"/>
                <w:szCs w:val="20"/>
                <w:highlight w:val="none"/>
              </w:rPr>
            </w:pPr>
            <w:bookmarkStart w:id="564" w:name="_Toc216513787"/>
            <w:bookmarkStart w:id="565" w:name="_Toc216582811"/>
            <w:bookmarkStart w:id="566" w:name="_Toc218935351"/>
            <w:bookmarkStart w:id="567" w:name="_Toc219175635"/>
            <w:r>
              <w:rPr>
                <w:rFonts w:hint="eastAsia" w:ascii="仿宋" w:hAnsi="仿宋" w:eastAsia="仿宋" w:cs="仿宋"/>
                <w:color w:val="auto"/>
                <w:sz w:val="20"/>
                <w:szCs w:val="20"/>
                <w:highlight w:val="none"/>
                <w:lang w:eastAsia="zh-CN"/>
              </w:rPr>
              <w:t>供应商</w:t>
            </w:r>
            <w:r>
              <w:rPr>
                <w:rFonts w:hint="eastAsia" w:ascii="仿宋" w:hAnsi="仿宋" w:eastAsia="仿宋" w:cs="仿宋"/>
                <w:color w:val="auto"/>
                <w:sz w:val="20"/>
                <w:szCs w:val="20"/>
                <w:highlight w:val="none"/>
              </w:rPr>
              <w:t>名称</w:t>
            </w:r>
          </w:p>
        </w:tc>
        <w:tc>
          <w:tcPr>
            <w:tcW w:w="4327" w:type="pct"/>
            <w:gridSpan w:val="10"/>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审查项目</w:t>
            </w:r>
          </w:p>
        </w:tc>
        <w:tc>
          <w:tcPr>
            <w:tcW w:w="2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rPr>
            </w:pPr>
          </w:p>
        </w:tc>
        <w:tc>
          <w:tcPr>
            <w:tcW w:w="2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w:t>
            </w:r>
          </w:p>
        </w:tc>
      </w:tr>
      <w:tr>
        <w:tblPrEx>
          <w:tblCellMar>
            <w:top w:w="0" w:type="dxa"/>
            <w:left w:w="108" w:type="dxa"/>
            <w:bottom w:w="0" w:type="dxa"/>
            <w:right w:w="108" w:type="dxa"/>
          </w:tblCellMar>
        </w:tblPrEx>
        <w:trPr>
          <w:trHeight w:val="4628" w:hRule="atLeast"/>
          <w:jc w:val="center"/>
        </w:trPr>
        <w:tc>
          <w:tcPr>
            <w:tcW w:w="114"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rPr>
            </w:pPr>
          </w:p>
        </w:tc>
        <w:tc>
          <w:tcPr>
            <w:tcW w:w="385" w:type="pct"/>
            <w:tcBorders>
              <w:top w:val="nil"/>
              <w:left w:val="nil"/>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16"/>
                <w:szCs w:val="16"/>
                <w:highlight w:val="none"/>
              </w:rPr>
            </w:pPr>
            <w:r>
              <w:rPr>
                <w:rFonts w:hint="eastAsia" w:ascii="仿宋" w:hAnsi="仿宋" w:eastAsia="仿宋" w:cs="仿宋"/>
                <w:color w:val="000000"/>
                <w:kern w:val="0"/>
                <w:sz w:val="18"/>
                <w:szCs w:val="18"/>
                <w:highlight w:val="none"/>
                <w:lang w:val="en-US" w:eastAsia="zh-CN" w:bidi="ar-SA"/>
              </w:rPr>
              <w:t>具有相应经营范围的企业营业执照、《银行开户许可证》或《基本存款账户信息》</w:t>
            </w:r>
          </w:p>
        </w:tc>
        <w:tc>
          <w:tcPr>
            <w:tcW w:w="489" w:type="pct"/>
            <w:tcBorders>
              <w:top w:val="nil"/>
              <w:left w:val="nil"/>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16"/>
                <w:szCs w:val="16"/>
                <w:highlight w:val="none"/>
                <w:lang w:eastAsia="zh-CN"/>
              </w:rPr>
            </w:pPr>
            <w:r>
              <w:rPr>
                <w:rFonts w:hint="eastAsia" w:ascii="仿宋" w:hAnsi="仿宋" w:eastAsia="仿宋" w:cs="仿宋"/>
                <w:color w:val="000000"/>
                <w:kern w:val="0"/>
                <w:sz w:val="18"/>
                <w:szCs w:val="18"/>
                <w:highlight w:val="none"/>
                <w:lang w:val="en-US" w:eastAsia="zh-CN"/>
              </w:rPr>
              <w:t>法人本人投标需提供法人身份证及法定代表人资格证明书；授权委托人投标需提供法人授权委托书、法人身份证及被授权委托人身份证；</w:t>
            </w:r>
          </w:p>
        </w:tc>
        <w:tc>
          <w:tcPr>
            <w:tcW w:w="3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16"/>
                <w:szCs w:val="16"/>
                <w:highlight w:val="none"/>
                <w:lang w:val="en-US" w:eastAsia="zh-CN"/>
              </w:rPr>
            </w:pPr>
            <w:r>
              <w:rPr>
                <w:rFonts w:hint="eastAsia" w:ascii="仿宋" w:hAnsi="仿宋" w:eastAsia="仿宋" w:cs="仿宋"/>
                <w:color w:val="000000"/>
                <w:kern w:val="0"/>
                <w:sz w:val="18"/>
                <w:szCs w:val="18"/>
                <w:highlight w:val="none"/>
                <w:lang w:val="en-US" w:eastAsia="zh-CN"/>
              </w:rPr>
              <w:t>具有良好的商业信誉和健全的财务会计制度，提供2022年度经审计的财务报告；（2022年10月份后成立的公司提供近三个月任意一个月银行资信证明）；</w:t>
            </w:r>
          </w:p>
        </w:tc>
        <w:tc>
          <w:tcPr>
            <w:tcW w:w="475" w:type="pct"/>
            <w:tcBorders>
              <w:top w:val="nil"/>
              <w:left w:val="nil"/>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000000"/>
                <w:kern w:val="0"/>
                <w:sz w:val="18"/>
                <w:szCs w:val="18"/>
                <w:highlight w:val="none"/>
                <w:lang w:val="en-US" w:eastAsia="zh-CN" w:bidi="ar-SA"/>
              </w:rPr>
              <w:t>投标企业在项目进行期内提供本单位缴纳的近三个月任意一个月社保缴纳证明、具有税务局开具依法缴纳近三个月任意一个月完税证明；</w:t>
            </w:r>
          </w:p>
        </w:tc>
        <w:tc>
          <w:tcPr>
            <w:tcW w:w="2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kern w:val="0"/>
                <w:sz w:val="18"/>
                <w:szCs w:val="18"/>
                <w:highlight w:val="none"/>
                <w:lang w:val="en-US" w:eastAsia="zh-CN" w:bidi="ar-SA"/>
              </w:rPr>
            </w:pPr>
            <w:r>
              <w:rPr>
                <w:rFonts w:hint="eastAsia" w:ascii="仿宋" w:hAnsi="仿宋" w:eastAsia="仿宋" w:cs="仿宋"/>
                <w:color w:val="000000"/>
                <w:kern w:val="0"/>
                <w:sz w:val="18"/>
                <w:szCs w:val="18"/>
                <w:highlight w:val="none"/>
                <w:lang w:val="en-US" w:eastAsia="zh-CN" w:bidi="ar-SA"/>
              </w:rPr>
              <w:t>有效期内的《餐饮服务许可证》或《食品经营许可证》</w:t>
            </w:r>
          </w:p>
        </w:tc>
        <w:tc>
          <w:tcPr>
            <w:tcW w:w="46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kern w:val="0"/>
                <w:sz w:val="18"/>
                <w:szCs w:val="18"/>
                <w:highlight w:val="none"/>
                <w:lang w:val="en-US" w:eastAsia="zh-CN" w:bidi="ar-SA"/>
              </w:rPr>
            </w:pPr>
            <w:r>
              <w:rPr>
                <w:rFonts w:hint="eastAsia" w:ascii="仿宋" w:hAnsi="仿宋" w:eastAsia="仿宋" w:cs="仿宋"/>
                <w:color w:val="000000"/>
                <w:kern w:val="0"/>
                <w:sz w:val="18"/>
                <w:szCs w:val="18"/>
                <w:highlight w:val="none"/>
                <w:lang w:val="en-US" w:eastAsia="zh-CN" w:bidi="ar-SA"/>
              </w:rPr>
              <w:t>大厨具备国家认可的二级厨师证及以上资质，二厨具备国家认可的三级厨师证及以上资质；</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kern w:val="2"/>
                <w:sz w:val="6"/>
                <w:szCs w:val="4"/>
                <w:highlight w:val="none"/>
                <w:lang w:val="en-US" w:eastAsia="zh-CN" w:bidi="ar-SA"/>
              </w:rPr>
            </w:pPr>
            <w:r>
              <w:rPr>
                <w:rFonts w:hint="eastAsia" w:ascii="仿宋" w:hAnsi="仿宋" w:eastAsia="仿宋" w:cs="仿宋"/>
                <w:color w:val="000000"/>
                <w:kern w:val="0"/>
                <w:sz w:val="18"/>
                <w:szCs w:val="18"/>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16"/>
                <w:szCs w:val="16"/>
                <w:highlight w:val="none"/>
              </w:rPr>
            </w:pPr>
            <w:r>
              <w:rPr>
                <w:rFonts w:hint="eastAsia" w:ascii="仿宋" w:hAnsi="仿宋" w:eastAsia="仿宋" w:cs="仿宋"/>
                <w:color w:val="000000"/>
                <w:kern w:val="0"/>
                <w:sz w:val="18"/>
                <w:szCs w:val="18"/>
                <w:highlight w:val="none"/>
                <w:lang w:val="en-US" w:eastAsia="zh-CN" w:bidi="ar-SA"/>
              </w:rPr>
              <w:t>提供针对本次项目《反商业贿赂承诺书》</w:t>
            </w:r>
            <w:r>
              <w:rPr>
                <w:rFonts w:hint="eastAsia" w:ascii="仿宋" w:hAnsi="仿宋" w:eastAsia="仿宋" w:cs="仿宋"/>
                <w:color w:val="auto"/>
                <w:sz w:val="16"/>
                <w:szCs w:val="16"/>
                <w:highlight w:val="none"/>
                <w:lang w:val="en-US" w:eastAsia="zh-CN"/>
              </w:rPr>
              <w:t>；</w:t>
            </w:r>
          </w:p>
        </w:tc>
        <w:tc>
          <w:tcPr>
            <w:tcW w:w="36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000000"/>
                <w:kern w:val="0"/>
                <w:sz w:val="18"/>
                <w:szCs w:val="18"/>
                <w:highlight w:val="none"/>
                <w:lang w:val="en-US" w:eastAsia="zh-CN" w:bidi="ar-SA"/>
              </w:rPr>
              <w:t>参加政府采购活动前三年内在经营活动中没有重大违法记录的书面声明</w:t>
            </w: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400" w:lineRule="exact"/>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000000"/>
                <w:kern w:val="0"/>
                <w:sz w:val="18"/>
                <w:szCs w:val="18"/>
                <w:highlight w:val="none"/>
                <w:lang w:val="en-US" w:eastAsia="zh-CN" w:bidi="ar-SA"/>
              </w:rPr>
              <w:t>缴纳投标保证的有效凭证</w:t>
            </w:r>
          </w:p>
        </w:tc>
        <w:tc>
          <w:tcPr>
            <w:tcW w:w="2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结论（合格或不合格）</w:t>
            </w:r>
          </w:p>
        </w:tc>
      </w:tr>
      <w:tr>
        <w:tblPrEx>
          <w:tblCellMar>
            <w:top w:w="0" w:type="dxa"/>
            <w:left w:w="108" w:type="dxa"/>
            <w:bottom w:w="0" w:type="dxa"/>
            <w:right w:w="108" w:type="dxa"/>
          </w:tblCellMar>
        </w:tblPrEx>
        <w:trPr>
          <w:trHeight w:val="278" w:hRule="atLeast"/>
          <w:jc w:val="center"/>
        </w:trPr>
        <w:tc>
          <w:tcPr>
            <w:tcW w:w="11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rPr>
            </w:pPr>
          </w:p>
        </w:tc>
        <w:tc>
          <w:tcPr>
            <w:tcW w:w="385"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rPr>
            </w:pPr>
          </w:p>
        </w:tc>
        <w:tc>
          <w:tcPr>
            <w:tcW w:w="489"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lang w:eastAsia="zh-CN"/>
              </w:rPr>
            </w:pPr>
          </w:p>
        </w:tc>
        <w:tc>
          <w:tcPr>
            <w:tcW w:w="36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15"/>
                <w:szCs w:val="15"/>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15"/>
                <w:szCs w:val="15"/>
                <w:highlight w:val="none"/>
                <w:lang w:val="en-US" w:eastAsia="zh-CN"/>
              </w:rPr>
            </w:pPr>
          </w:p>
        </w:tc>
        <w:tc>
          <w:tcPr>
            <w:tcW w:w="2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15"/>
                <w:szCs w:val="15"/>
                <w:highlight w:val="none"/>
                <w:lang w:val="en-US" w:eastAsia="zh-CN"/>
              </w:rPr>
            </w:pPr>
          </w:p>
        </w:tc>
        <w:tc>
          <w:tcPr>
            <w:tcW w:w="46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15"/>
                <w:szCs w:val="15"/>
                <w:highlight w:val="none"/>
                <w:lang w:val="en-US" w:eastAsia="zh-CN"/>
              </w:rPr>
            </w:pPr>
          </w:p>
        </w:tc>
        <w:tc>
          <w:tcPr>
            <w:tcW w:w="1158" w:type="pct"/>
            <w:tcBorders>
              <w:top w:val="single" w:color="auto" w:sz="4" w:space="0"/>
              <w:left w:val="nil"/>
              <w:bottom w:val="single" w:color="auto" w:sz="4" w:space="0"/>
              <w:right w:val="single" w:color="auto" w:sz="4" w:space="0"/>
            </w:tcBorders>
            <w:noWrap w:val="0"/>
            <w:vAlign w:val="center"/>
          </w:tcPr>
          <w:p>
            <w:pPr>
              <w:tabs>
                <w:tab w:val="left" w:pos="5580"/>
              </w:tabs>
              <w:spacing w:line="400" w:lineRule="exact"/>
              <w:rPr>
                <w:rFonts w:hint="eastAsia" w:ascii="仿宋" w:hAnsi="仿宋" w:eastAsia="仿宋" w:cs="仿宋"/>
                <w:color w:val="auto"/>
                <w:sz w:val="15"/>
                <w:szCs w:val="15"/>
                <w:highlight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rPr>
            </w:pPr>
          </w:p>
        </w:tc>
        <w:tc>
          <w:tcPr>
            <w:tcW w:w="361"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400" w:lineRule="exact"/>
              <w:rPr>
                <w:rFonts w:hint="eastAsia" w:ascii="仿宋" w:hAnsi="仿宋" w:eastAsia="仿宋" w:cs="仿宋"/>
                <w:color w:val="auto"/>
                <w:sz w:val="15"/>
                <w:szCs w:val="15"/>
                <w:highlight w:val="none"/>
                <w:lang w:val="en-US" w:eastAsia="zh-CN"/>
              </w:rPr>
            </w:pPr>
          </w:p>
        </w:tc>
        <w:tc>
          <w:tcPr>
            <w:tcW w:w="316"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spacing w:line="400" w:lineRule="exact"/>
              <w:rPr>
                <w:rFonts w:hint="eastAsia" w:ascii="仿宋" w:hAnsi="仿宋" w:eastAsia="仿宋" w:cs="仿宋"/>
                <w:color w:val="auto"/>
                <w:sz w:val="15"/>
                <w:szCs w:val="15"/>
                <w:highlight w:val="none"/>
                <w:lang w:val="en-US" w:eastAsia="zh-CN"/>
              </w:rPr>
            </w:pPr>
          </w:p>
        </w:tc>
        <w:tc>
          <w:tcPr>
            <w:tcW w:w="2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auto"/>
                <w:sz w:val="15"/>
                <w:szCs w:val="15"/>
                <w:highlight w:val="none"/>
                <w:lang w:val="en-US" w:eastAsia="zh-CN"/>
              </w:rPr>
            </w:pPr>
          </w:p>
        </w:tc>
      </w:tr>
      <w:bookmarkEnd w:id="564"/>
      <w:bookmarkEnd w:id="565"/>
      <w:bookmarkEnd w:id="566"/>
      <w:bookmarkEnd w:id="567"/>
    </w:tbl>
    <w:p>
      <w:pPr>
        <w:pStyle w:val="9"/>
        <w:ind w:firstLine="0" w:firstLineChars="0"/>
        <w:jc w:val="both"/>
        <w:rPr>
          <w:rFonts w:hint="eastAsia" w:ascii="仿宋" w:hAnsi="仿宋" w:eastAsia="仿宋" w:cs="仿宋"/>
          <w:b/>
          <w:bCs/>
          <w:kern w:val="2"/>
          <w:sz w:val="20"/>
          <w:szCs w:val="16"/>
          <w:highlight w:val="none"/>
          <w:lang w:val="en-US" w:eastAsia="zh-CN" w:bidi="ar-SA"/>
        </w:rPr>
      </w:pPr>
      <w:r>
        <w:rPr>
          <w:rFonts w:hint="eastAsia" w:ascii="仿宋" w:hAnsi="仿宋" w:eastAsia="仿宋" w:cs="仿宋"/>
          <w:b/>
          <w:bCs/>
          <w:kern w:val="2"/>
          <w:sz w:val="20"/>
          <w:szCs w:val="16"/>
          <w:highlight w:val="none"/>
          <w:lang w:val="en-US" w:eastAsia="zh-CN" w:bidi="ar-SA"/>
        </w:rPr>
        <w:t>*在资格审查过程中，上述资质开标现场能够通过官方网络查证的，均视为合格供应商，不能通过网络查验的且投标文件中未提供的视为不合格，不进行下一阶段的评审。</w:t>
      </w:r>
    </w:p>
    <w:p>
      <w:pPr>
        <w:pStyle w:val="9"/>
        <w:ind w:firstLine="0" w:firstLineChars="0"/>
        <w:jc w:val="both"/>
        <w:rPr>
          <w:rFonts w:hint="eastAsia" w:ascii="仿宋" w:hAnsi="仿宋" w:eastAsia="仿宋" w:cs="仿宋"/>
          <w:b/>
          <w:bCs/>
          <w:color w:val="auto"/>
          <w:sz w:val="28"/>
          <w:szCs w:val="28"/>
          <w:highlight w:val="none"/>
        </w:rPr>
        <w:sectPr>
          <w:pgSz w:w="16838" w:h="11906" w:orient="landscape"/>
          <w:pgMar w:top="1797" w:right="1440" w:bottom="1797" w:left="1440" w:header="851" w:footer="992" w:gutter="0"/>
          <w:pgNumType w:fmt="decimal"/>
          <w:cols w:space="720" w:num="1"/>
          <w:docGrid w:linePitch="312" w:charSpace="0"/>
        </w:sectPr>
      </w:pPr>
    </w:p>
    <w:p>
      <w:pPr>
        <w:pStyle w:val="2"/>
        <w:numPr>
          <w:ilvl w:val="0"/>
          <w:numId w:val="6"/>
        </w:numPr>
        <w:tabs>
          <w:tab w:val="left" w:pos="0"/>
        </w:tabs>
        <w:spacing w:before="0" w:after="0" w:line="240" w:lineRule="atLeast"/>
        <w:rPr>
          <w:rFonts w:hint="eastAsia" w:ascii="仿宋" w:hAnsi="仿宋" w:eastAsia="仿宋" w:cs="仿宋"/>
          <w:color w:val="auto"/>
          <w:highlight w:val="none"/>
        </w:rPr>
      </w:pPr>
      <w:bookmarkStart w:id="568" w:name="_Toc9887"/>
      <w:bookmarkStart w:id="569" w:name="_Toc507399906"/>
      <w:bookmarkStart w:id="570" w:name="_Toc9032"/>
      <w:bookmarkStart w:id="571" w:name="_Toc16437"/>
      <w:bookmarkStart w:id="572" w:name="_Toc30873"/>
      <w:bookmarkStart w:id="573" w:name="_Toc219175638"/>
      <w:bookmarkStart w:id="574" w:name="_Toc216582825"/>
      <w:bookmarkStart w:id="575" w:name="_Toc515647831"/>
      <w:bookmarkStart w:id="576" w:name="_Toc218935354"/>
      <w:bookmarkStart w:id="577" w:name="_Toc27439"/>
      <w:bookmarkStart w:id="578" w:name="_Toc512937852"/>
      <w:r>
        <w:rPr>
          <w:rFonts w:hint="eastAsia" w:ascii="仿宋" w:hAnsi="仿宋" w:eastAsia="仿宋" w:cs="仿宋"/>
          <w:color w:val="auto"/>
          <w:highlight w:val="none"/>
          <w:lang w:eastAsia="zh-CN"/>
        </w:rPr>
        <w:t>服务</w:t>
      </w:r>
      <w:r>
        <w:rPr>
          <w:rFonts w:hint="eastAsia" w:ascii="仿宋" w:hAnsi="仿宋" w:eastAsia="仿宋" w:cs="仿宋"/>
          <w:color w:val="auto"/>
          <w:highlight w:val="none"/>
        </w:rPr>
        <w:t>需求一览表及技术规格</w:t>
      </w:r>
      <w:bookmarkEnd w:id="568"/>
      <w:bookmarkEnd w:id="569"/>
      <w:bookmarkEnd w:id="570"/>
      <w:bookmarkEnd w:id="571"/>
      <w:bookmarkEnd w:id="572"/>
      <w:bookmarkEnd w:id="573"/>
      <w:bookmarkEnd w:id="574"/>
      <w:bookmarkEnd w:id="575"/>
      <w:bookmarkEnd w:id="576"/>
      <w:bookmarkEnd w:id="577"/>
    </w:p>
    <w:bookmarkEnd w:id="578"/>
    <w:p>
      <w:pPr>
        <w:widowControl/>
        <w:jc w:val="left"/>
        <w:rPr>
          <w:rFonts w:hint="eastAsia" w:ascii="仿宋" w:hAnsi="仿宋" w:eastAsia="仿宋" w:cs="仿宋"/>
          <w:b/>
          <w:color w:val="000000"/>
          <w:kern w:val="0"/>
          <w:sz w:val="28"/>
          <w:szCs w:val="28"/>
          <w:highlight w:val="none"/>
        </w:rPr>
      </w:pPr>
      <w:bookmarkStart w:id="579" w:name="_Toc216582826"/>
      <w:bookmarkStart w:id="580" w:name="_Toc13057"/>
      <w:bookmarkStart w:id="581" w:name="_Toc31636"/>
      <w:bookmarkStart w:id="582" w:name="_Toc32647"/>
      <w:bookmarkStart w:id="583" w:name="_Toc31645"/>
      <w:bookmarkStart w:id="584" w:name="_Toc3501"/>
      <w:bookmarkStart w:id="585" w:name="_Toc22083"/>
      <w:bookmarkStart w:id="586" w:name="_Toc1934"/>
      <w:bookmarkStart w:id="587" w:name="_Toc7971"/>
      <w:bookmarkStart w:id="588" w:name="_Toc17321"/>
      <w:bookmarkStart w:id="589" w:name="_Toc515647832"/>
      <w:bookmarkStart w:id="590" w:name="_Toc507399907"/>
      <w:bookmarkStart w:id="591" w:name="_Toc219175639"/>
      <w:bookmarkStart w:id="592" w:name="_Toc218935355"/>
      <w:bookmarkStart w:id="593" w:name="_Toc16093"/>
      <w:r>
        <w:rPr>
          <w:rFonts w:hint="eastAsia" w:ascii="仿宋" w:hAnsi="仿宋" w:eastAsia="仿宋" w:cs="仿宋"/>
          <w:b/>
          <w:color w:val="000000"/>
          <w:kern w:val="0"/>
          <w:sz w:val="28"/>
          <w:szCs w:val="28"/>
          <w:highlight w:val="none"/>
        </w:rPr>
        <w:t>一、招标项目概况：</w:t>
      </w:r>
    </w:p>
    <w:p>
      <w:pPr>
        <w:ind w:firstLine="280" w:firstLineChars="100"/>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本次招标项目为</w:t>
      </w:r>
      <w:r>
        <w:rPr>
          <w:rFonts w:hint="eastAsia" w:ascii="仿宋" w:hAnsi="仿宋" w:eastAsia="仿宋" w:cs="仿宋"/>
          <w:color w:val="000000"/>
          <w:kern w:val="0"/>
          <w:sz w:val="28"/>
          <w:szCs w:val="28"/>
          <w:highlight w:val="none"/>
          <w:lang w:val="en-US" w:eastAsia="zh-CN" w:bidi="ar-SA"/>
        </w:rPr>
        <w:t>喀什地区公安局，特警支队、莎车县分队、强制隔离戒毒、机场分局</w:t>
      </w:r>
      <w:r>
        <w:rPr>
          <w:rFonts w:hint="eastAsia" w:ascii="仿宋" w:hAnsi="仿宋" w:eastAsia="仿宋" w:cs="仿宋"/>
          <w:color w:val="000000"/>
          <w:kern w:val="0"/>
          <w:sz w:val="28"/>
          <w:szCs w:val="28"/>
          <w:highlight w:val="none"/>
        </w:rPr>
        <w:t>餐饮服务，本次招标双方拟签订一至三年的餐饮服务合同</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8"/>
          <w:szCs w:val="28"/>
          <w:highlight w:val="none"/>
          <w:lang w:eastAsia="zh-CN"/>
        </w:rPr>
        <w:t>服务期间甲方对乙方服务水平和质量进行不定期服务评价，如满意度评价良好以上达到80%，则可按照相关规定续签服务合同，否则甲方将终止服务合同。</w:t>
      </w:r>
    </w:p>
    <w:p>
      <w:pPr>
        <w:ind w:firstLine="280" w:firstLineChars="1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甲方要求乙方提供可满足采购单位工作勤务模式，且在满员在岗情况下同时就餐的餐饮服务（日常就餐按实际人数确定）。乙方按照甲方工作勤务的实际就餐需求，按照实际情况设立全日制大厨、二厨、切配、面点师、抓饭，拉面师傅、杂工、服务员等岗位人员，以保证甲方各单位工作人员就餐。</w:t>
      </w:r>
    </w:p>
    <w:p>
      <w:pPr>
        <w:pStyle w:val="20"/>
        <w:ind w:firstLine="560" w:firstLineChars="200"/>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在服务履行期内食堂的用于做饭的燃气费用由乙方自行采购，水电，暖气及食堂的设施设备由甲方提供，食堂内的设施设备维护维修及损坏更换由乙方承担（包括食堂内的空调）</w:t>
      </w:r>
    </w:p>
    <w:p>
      <w:pPr>
        <w:pStyle w:val="20"/>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二、安保要求：</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1、因食堂设在各单位办公的区域内，安保工作尤为重要，所有管理和服务人员必须具备较高的安保意识、保密意识，严格遵守招标人的各项规定。</w:t>
      </w:r>
    </w:p>
    <w:p>
      <w:pPr>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bidi="ar-SA"/>
        </w:rPr>
        <w:t xml:space="preserve">  2、所有工作人员上岗前必须持有当地派出所出具的无犯罪记录证明，政审不合格人员不得录用。</w:t>
      </w:r>
    </w:p>
    <w:p>
      <w:pPr>
        <w:widowControl/>
        <w:ind w:firstLine="281" w:firstLineChars="100"/>
        <w:jc w:val="left"/>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三、项目要求：</w:t>
      </w:r>
    </w:p>
    <w:p>
      <w:pPr>
        <w:pStyle w:val="20"/>
        <w:ind w:firstLine="560" w:firstLineChars="2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1、本次招标的投标报价为完成三年期全部服务的投标报价，“投标总报价”中须包括投标人为履行合同所包含的全部</w:t>
      </w:r>
      <w:r>
        <w:rPr>
          <w:rFonts w:hint="eastAsia" w:ascii="仿宋" w:hAnsi="仿宋" w:eastAsia="仿宋" w:cs="仿宋"/>
          <w:color w:val="000000"/>
          <w:kern w:val="0"/>
          <w:sz w:val="28"/>
          <w:szCs w:val="28"/>
          <w:highlight w:val="none"/>
          <w:lang w:val="en-US" w:eastAsia="zh-CN" w:bidi="ar-SA"/>
        </w:rPr>
        <w:fldChar w:fldCharType="begin"/>
      </w:r>
      <w:r>
        <w:rPr>
          <w:rFonts w:hint="eastAsia" w:ascii="仿宋" w:hAnsi="仿宋" w:eastAsia="仿宋" w:cs="仿宋"/>
          <w:color w:val="000000"/>
          <w:kern w:val="0"/>
          <w:sz w:val="28"/>
          <w:szCs w:val="28"/>
          <w:highlight w:val="none"/>
          <w:lang w:val="en-US" w:eastAsia="zh-CN" w:bidi="ar-SA"/>
        </w:rPr>
        <w:instrText xml:space="preserve">HYPERLINK "http://www.baidu.com/s?wd=%E4%BA%BA%E5%B7%A5%E8%B4%B9&amp;hl_tag=textlink&amp;tn=SE_hldp01350_v6v6zkg6" \t "_blank"</w:instrText>
      </w:r>
      <w:r>
        <w:rPr>
          <w:rFonts w:hint="eastAsia" w:ascii="仿宋" w:hAnsi="仿宋" w:eastAsia="仿宋" w:cs="仿宋"/>
          <w:color w:val="000000"/>
          <w:kern w:val="0"/>
          <w:sz w:val="28"/>
          <w:szCs w:val="28"/>
          <w:highlight w:val="none"/>
          <w:lang w:val="en-US" w:eastAsia="zh-CN" w:bidi="ar-SA"/>
        </w:rPr>
        <w:fldChar w:fldCharType="separate"/>
      </w:r>
      <w:r>
        <w:rPr>
          <w:rFonts w:hint="eastAsia" w:ascii="仿宋" w:hAnsi="仿宋" w:eastAsia="仿宋" w:cs="仿宋"/>
          <w:color w:val="000000"/>
          <w:kern w:val="0"/>
          <w:sz w:val="28"/>
          <w:szCs w:val="28"/>
          <w:highlight w:val="none"/>
          <w:lang w:val="en-US" w:eastAsia="zh-CN" w:bidi="ar-SA"/>
        </w:rPr>
        <w:t>人工费</w:t>
      </w:r>
      <w:r>
        <w:rPr>
          <w:rFonts w:hint="eastAsia" w:ascii="仿宋" w:hAnsi="仿宋" w:eastAsia="仿宋" w:cs="仿宋"/>
          <w:color w:val="000000"/>
          <w:kern w:val="0"/>
          <w:sz w:val="28"/>
          <w:szCs w:val="28"/>
          <w:highlight w:val="none"/>
          <w:lang w:val="en-US" w:eastAsia="zh-CN" w:bidi="ar-SA"/>
        </w:rPr>
        <w:fldChar w:fldCharType="end"/>
      </w:r>
      <w:r>
        <w:rPr>
          <w:rFonts w:hint="eastAsia" w:ascii="仿宋" w:hAnsi="仿宋" w:eastAsia="仿宋" w:cs="仿宋"/>
          <w:color w:val="000000"/>
          <w:kern w:val="0"/>
          <w:sz w:val="28"/>
          <w:szCs w:val="28"/>
          <w:highlight w:val="none"/>
          <w:lang w:val="en-US" w:eastAsia="zh-CN" w:bidi="ar-SA"/>
        </w:rPr>
        <w:t>（人工工资、按规定缴纳的各类社会保险及工伤商业保险、劳保福利、加班工资）、体检费、培训费、交通费、员工工装服装费、管理费、税金，设施设备维修保养费，水电费等完成本招标文件服务范围及标准的全部费用。</w:t>
      </w:r>
    </w:p>
    <w:p>
      <w:pP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   2、食堂提供日常经营所需的设备一批，能满足正常的生产和运作需要，其余设备，统一服装由承包企业自行负责购买和使用。甲方提供的设备均属招标人所有，由餐饮服务单位使用，因使用不当损坏、丢失等情况，由乙方负责维修或照价赔偿，自然损耗除外。</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3、中标单位所有员工身份证及相关证明资料必须在招标人处备案。所报人员必须满足招标人（或使用单位）政治审核的规定要求。</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4、中标单位必须对员工在工作期间因所发生的员工人身安全事故、和因工作失误所带来的甲方设备、财产或财务损失进行赔偿并作出承诺，招标人不承担任何的损失赔偿和工伤赔偿。</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5、在服务过程中，不得损坏招标人（或使用单位）的各种设备和设施。如果因中标人操作不当，造成设备和设施损坏，由此产生一切经济损失由中标单位赔偿。</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6、 中标单位员工在餐饮服务中必须加强劳动保护，在工作过程中因自身原因违反操作规程、制度或操作不当，如发生意外人身伤亡事故等安全事故，由中标单位全权负责处理和赔偿，招标人概不负责，且不承担连带赔偿责任。</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7、中标单位的员工在餐饮服务时必须遵守招标人所有现场的相关管理规定，否则造成的后果一律由中标单位负责。</w:t>
      </w:r>
    </w:p>
    <w:p>
      <w:pPr>
        <w:pStyle w:val="20"/>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bidi="ar-SA"/>
        </w:rPr>
        <w:t>8、中标单位的员工需每年提交符合餐饮服务标准的健康体检证明，提交时间为每年合同年签订之日起十日内；</w:t>
      </w:r>
    </w:p>
    <w:p>
      <w:pPr>
        <w:pStyle w:val="20"/>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9、餐厅使用的低值易耗品如垃圾袋、食品袋、锅、勺、菜板、抹布等，均由乙方自行采购。</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bidi="ar-SA"/>
        </w:rPr>
        <w:t xml:space="preserve">  10、乙方工作人员按照甲方提供和指定的方式处理餐饮垃圾</w:t>
      </w:r>
    </w:p>
    <w:p>
      <w:pPr>
        <w:keepNext w:val="0"/>
        <w:keepLines w:val="0"/>
        <w:pageBreakBefore w:val="0"/>
        <w:widowControl/>
        <w:kinsoku/>
        <w:wordWrap/>
        <w:overflowPunct/>
        <w:topLinePunct w:val="0"/>
        <w:autoSpaceDE/>
        <w:autoSpaceDN/>
        <w:bidi w:val="0"/>
        <w:adjustRightInd/>
        <w:snapToGrid/>
        <w:spacing w:line="580" w:lineRule="exact"/>
        <w:ind w:firstLine="281" w:firstLineChars="100"/>
        <w:jc w:val="left"/>
        <w:textAlignment w:val="auto"/>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四、服务内容与具体要求</w:t>
      </w:r>
    </w:p>
    <w:p>
      <w:pPr>
        <w:pStyle w:val="20"/>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 xml:space="preserve"> 1、餐品要求：</w:t>
      </w:r>
      <w:r>
        <w:rPr>
          <w:rFonts w:hint="eastAsia" w:ascii="仿宋" w:hAnsi="仿宋" w:eastAsia="仿宋" w:cs="仿宋"/>
          <w:color w:val="000000"/>
          <w:kern w:val="0"/>
          <w:sz w:val="28"/>
          <w:szCs w:val="28"/>
          <w:highlight w:val="none"/>
          <w:lang w:val="en-US" w:eastAsia="zh-CN" w:bidi="ar-SA"/>
        </w:rPr>
        <w:t>（1）品种要求：每天的饭菜品种由餐饮服务单位提供相应的菜谱，确保每顿三荤三素，每顿有水果，各驻地单位进行审核确定，不使用冷冻肉，并满足营养需求。午餐和晚餐有米饭和面条两种主食，保证每周菜品不重样；每季度全面更新一次菜品口味；传统节日需改善伙食，调剂菜品，营造节日氛围。</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（2）质量要求：保质保量，且必须符合餐饮服务行业食品安全的相关规定。</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（3）成本核算要求：按甲方提供的餐标制做各种菜式，严格核算不得超过餐标，就餐人员餐费标准（最高限价）：每人每天为30元，其中即早餐8元，中餐15元，晚餐7元。</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（4）开餐形式：自助。</w:t>
      </w:r>
    </w:p>
    <w:p>
      <w:pPr>
        <w:pStyle w:val="7"/>
        <w:keepNext w:val="0"/>
        <w:keepLines w:val="0"/>
        <w:pageBreakBefore w:val="0"/>
        <w:kinsoku/>
        <w:wordWrap/>
        <w:overflowPunct/>
        <w:topLinePunct w:val="0"/>
        <w:autoSpaceDE/>
        <w:autoSpaceDN/>
        <w:bidi w:val="0"/>
        <w:adjustRightInd/>
        <w:snapToGrid/>
        <w:spacing w:line="580" w:lineRule="exact"/>
        <w:ind w:firstLine="281" w:firstLineChars="1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2、服务时间：</w:t>
      </w:r>
      <w:r>
        <w:rPr>
          <w:rFonts w:hint="eastAsia" w:ascii="仿宋" w:hAnsi="仿宋" w:eastAsia="仿宋" w:cs="仿宋"/>
          <w:color w:val="000000"/>
          <w:kern w:val="0"/>
          <w:sz w:val="28"/>
          <w:szCs w:val="28"/>
          <w:highlight w:val="none"/>
          <w:lang w:val="en-US" w:eastAsia="zh-CN" w:bidi="ar-SA"/>
        </w:rPr>
        <w:t>甲方可根据工作需要，向餐饮服务单位提出变更就餐时间，餐饮服务单位应予以积极配合，并须准时开餐，做到饭热菜香。节假日用餐以各驻地单位通知的就餐人数为准进行安排，餐饮服务单位按甲方通知人数备餐，菜谱由餐饮服务单位提供，甲方审定</w:t>
      </w:r>
    </w:p>
    <w:p>
      <w:pPr>
        <w:keepNext w:val="0"/>
        <w:keepLines w:val="0"/>
        <w:pageBreakBefore w:val="0"/>
        <w:kinsoku/>
        <w:wordWrap/>
        <w:overflowPunct/>
        <w:topLinePunct w:val="0"/>
        <w:autoSpaceDE/>
        <w:autoSpaceDN/>
        <w:bidi w:val="0"/>
        <w:adjustRightInd/>
        <w:snapToGrid/>
        <w:spacing w:line="580" w:lineRule="exact"/>
        <w:ind w:firstLine="1400" w:firstLineChars="5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食堂就餐时间：早餐[09:00]——[10:30]</w:t>
      </w:r>
    </w:p>
    <w:p>
      <w:pPr>
        <w:keepNext w:val="0"/>
        <w:keepLines w:val="0"/>
        <w:pageBreakBefore w:val="0"/>
        <w:kinsoku/>
        <w:wordWrap/>
        <w:overflowPunct/>
        <w:topLinePunct w:val="0"/>
        <w:autoSpaceDE/>
        <w:autoSpaceDN/>
        <w:bidi w:val="0"/>
        <w:adjustRightInd/>
        <w:snapToGrid/>
        <w:spacing w:line="580" w:lineRule="exact"/>
        <w:ind w:firstLine="3360" w:firstLineChars="1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午餐[13:30]——[14:30]</w:t>
      </w:r>
    </w:p>
    <w:p>
      <w:pPr>
        <w:keepNext w:val="0"/>
        <w:keepLines w:val="0"/>
        <w:pageBreakBefore w:val="0"/>
        <w:kinsoku/>
        <w:wordWrap/>
        <w:overflowPunct/>
        <w:topLinePunct w:val="0"/>
        <w:autoSpaceDE/>
        <w:autoSpaceDN/>
        <w:bidi w:val="0"/>
        <w:adjustRightInd/>
        <w:snapToGrid/>
        <w:spacing w:line="580" w:lineRule="exact"/>
        <w:ind w:firstLine="3360" w:firstLineChars="1200"/>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晚餐[19:00]——[20:30]</w:t>
      </w:r>
    </w:p>
    <w:p>
      <w:pPr>
        <w:pStyle w:val="20"/>
        <w:rPr>
          <w:rFonts w:hint="eastAsia" w:ascii="仿宋" w:hAnsi="仿宋" w:eastAsia="仿宋" w:cs="仿宋"/>
          <w:highlight w:val="none"/>
          <w:lang w:val="en-US" w:eastAsia="zh-CN"/>
        </w:rPr>
      </w:pPr>
    </w:p>
    <w:p>
      <w:pPr>
        <w:pStyle w:val="5"/>
        <w:rPr>
          <w:rFonts w:hint="eastAsia"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3、厨房人员岗位要求 ：</w:t>
      </w:r>
    </w:p>
    <w:p>
      <w:pPr>
        <w:pStyle w:val="5"/>
        <w:ind w:left="0" w:leftChars="0" w:firstLine="0" w:firstLineChars="0"/>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lang w:val="en-US" w:eastAsia="zh-CN" w:bidi="ar-SA"/>
        </w:rPr>
        <w:t xml:space="preserve">1、厨房人员年龄在 18—50 周岁，男女均可，具有初中及以上学历；取得有效的《健康证》； </w:t>
      </w:r>
    </w:p>
    <w:p>
      <w:pPr>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rPr>
        <w:t>2、大厨具备国家认可的二级厨师证及以上资质，二厨具备国家认可的三级厨师证及以上资质；</w:t>
      </w:r>
    </w:p>
    <w:p>
      <w:pPr>
        <w:pStyle w:val="5"/>
        <w:ind w:left="0" w:leftChars="0" w:firstLine="0" w:firstLineChars="0"/>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lang w:val="en-US" w:eastAsia="zh-CN" w:bidi="ar-SA"/>
        </w:rPr>
        <w:t>3、具有责任心，能够严格按照标准操作，勤奋努力，对餐饮工作有较高的工作热情。符合国家及本地区食品安全及卫生相关标准。</w:t>
      </w:r>
    </w:p>
    <w:p>
      <w:pPr>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lang w:val="en-US" w:eastAsia="zh-CN" w:bidi="ar-SA"/>
        </w:rPr>
        <w:t xml:space="preserve">4、身体健康，视力、听力、辨别力良好，无不良嗜好，普通话标准，少数民族国语水平良好； </w:t>
      </w:r>
    </w:p>
    <w:p>
      <w:pPr>
        <w:rPr>
          <w:rFonts w:hint="eastAsia" w:ascii="仿宋" w:hAnsi="仿宋" w:eastAsia="仿宋" w:cs="仿宋"/>
          <w:b w:val="0"/>
          <w:bCs w:val="0"/>
          <w:color w:val="000000"/>
          <w:kern w:val="0"/>
          <w:sz w:val="28"/>
          <w:szCs w:val="28"/>
          <w:highlight w:val="none"/>
          <w:lang w:val="en-US" w:eastAsia="zh-CN" w:bidi="ar-SA"/>
        </w:rPr>
      </w:pPr>
      <w:r>
        <w:rPr>
          <w:rFonts w:hint="eastAsia" w:ascii="仿宋" w:hAnsi="仿宋" w:eastAsia="仿宋" w:cs="仿宋"/>
          <w:b w:val="0"/>
          <w:bCs w:val="0"/>
          <w:color w:val="000000"/>
          <w:kern w:val="0"/>
          <w:sz w:val="28"/>
          <w:szCs w:val="28"/>
          <w:highlight w:val="none"/>
          <w:lang w:val="en-US" w:eastAsia="zh-CN" w:bidi="ar-SA"/>
        </w:rPr>
        <w:t xml:space="preserve">5、自愿服从各项规章制度，热心从事服务工作，工作责任心强； </w:t>
      </w:r>
    </w:p>
    <w:p>
      <w:pPr>
        <w:widowControl/>
        <w:numPr>
          <w:ilvl w:val="0"/>
          <w:numId w:val="0"/>
        </w:numPr>
        <w:jc w:val="left"/>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五、应急预案：</w:t>
      </w:r>
    </w:p>
    <w:p>
      <w:pPr>
        <w:pStyle w:val="20"/>
        <w:numPr>
          <w:ilvl w:val="0"/>
          <w:numId w:val="0"/>
        </w:numP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highlight w:val="none"/>
          <w:lang w:val="en-US" w:eastAsia="zh-CN"/>
        </w:rPr>
        <w:t xml:space="preserve">  </w:t>
      </w:r>
      <w:r>
        <w:rPr>
          <w:rFonts w:hint="eastAsia" w:ascii="仿宋" w:hAnsi="仿宋" w:eastAsia="仿宋" w:cs="仿宋"/>
          <w:color w:val="000000"/>
          <w:kern w:val="0"/>
          <w:sz w:val="28"/>
          <w:szCs w:val="28"/>
          <w:highlight w:val="none"/>
          <w:lang w:val="en-US" w:eastAsia="zh-CN" w:bidi="ar-SA"/>
        </w:rPr>
        <w:t xml:space="preserve"> 1、对服务过程中可能发生的突发事件，餐饮公司须有应急预案，及时进行妥善处置，确保供餐正常进行；</w:t>
      </w:r>
    </w:p>
    <w:p>
      <w:pPr>
        <w:pStyle w:val="20"/>
        <w:numPr>
          <w:ilvl w:val="0"/>
          <w:numId w:val="0"/>
        </w:numPr>
        <w:ind w:firstLine="280" w:firstLineChars="1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2、餐饮公司应积极做好日常检查、考核工作，对其他服务需求应积极响应；</w:t>
      </w:r>
    </w:p>
    <w:p>
      <w:pPr>
        <w:ind w:firstLine="280" w:firstLineChars="100"/>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bidi="ar-SA"/>
        </w:rPr>
        <w:t>3、严格按照疫情防控工作的要求，对食品、食材及餐厅环境内外进行卫生清洁和消杀工作，杜绝疫情发生。</w:t>
      </w:r>
    </w:p>
    <w:p>
      <w:pP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 xml:space="preserve">  4、餐饮服务机构应依法经营，保障就餐人员的合法权益，确保饮食安全。提供优质的饮食服务。餐饮服务机构开展经营服务活动应符合《中华人民共和国食品安全法》、《中华人民共和国安全生产法》、《餐饮服务食品安全操作规程》、《餐饮业和集体用餐配送单位卫生规范》、《食堂食品安全标准》等法律、法规，遵守采购方的相 关管理规定和要求，做好食堂的服务经营管理。在经营服务中应建立和完善各项操作规程，与甲方签订食品安全责任书，并予以遵守。</w:t>
      </w:r>
    </w:p>
    <w:p>
      <w:pPr>
        <w:ind w:firstLine="280" w:firstLineChars="1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5、加强安全操作，杜绝各等级爆炸、火灾、食品中毒和厨房设备严重损坏等事故。杜绝操作人员不规范造成的人员伤亡，造成人员伤亡、工伤等情况的由餐饮服务机构负责，招标人不承担任何责任。</w:t>
      </w:r>
    </w:p>
    <w:p>
      <w:pPr>
        <w:pStyle w:val="20"/>
        <w:rPr>
          <w:rFonts w:hint="eastAsia" w:ascii="仿宋" w:hAnsi="仿宋" w:eastAsia="仿宋" w:cs="仿宋"/>
          <w:highlight w:val="none"/>
          <w:lang w:val="en-US" w:eastAsia="zh-CN"/>
        </w:rPr>
      </w:pPr>
      <w:r>
        <w:rPr>
          <w:rFonts w:hint="eastAsia" w:ascii="仿宋" w:hAnsi="仿宋" w:eastAsia="仿宋" w:cs="仿宋"/>
          <w:color w:val="000000"/>
          <w:kern w:val="0"/>
          <w:sz w:val="28"/>
          <w:szCs w:val="28"/>
          <w:highlight w:val="none"/>
          <w:lang w:val="en-US" w:eastAsia="zh-CN" w:bidi="ar-SA"/>
        </w:rPr>
        <w:t>6、如遇火警、水管爆裂等突发情况，乙方工作人员应及时抢险或抢修，消除隐患，并立刻报告甲方。</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7、中标单位工作人员在工作岗位上或上下班途中伤亡，或因个人疾病造成伤亡的，一切后果和赔偿均由中标单位承担，甲方不承担任何责任和赔偿。</w:t>
      </w:r>
    </w:p>
    <w:p>
      <w:pPr>
        <w:widowControl/>
        <w:numPr>
          <w:ilvl w:val="0"/>
          <w:numId w:val="0"/>
        </w:numPr>
        <w:jc w:val="left"/>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六、技术结构要求：</w:t>
      </w:r>
    </w:p>
    <w:p>
      <w:pPr>
        <w:widowControl/>
        <w:numPr>
          <w:ilvl w:val="0"/>
          <w:numId w:val="0"/>
        </w:numPr>
        <w:ind w:firstLine="280" w:firstLineChars="1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1、食堂员工必须持证上岗（即要求工作人员要有相应行业培训证书）。</w:t>
      </w:r>
    </w:p>
    <w:p>
      <w:pPr>
        <w:pStyle w:val="2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2、食堂所有工作人员都持有效的体检合格证明，无患有碍食品卫生的疾病，从业人员均无不良卫生习惯，掌握基本卫生知识。</w:t>
      </w:r>
    </w:p>
    <w:p>
      <w:pPr>
        <w:ind w:firstLine="280" w:firstLineChars="100"/>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3、餐饮所有从业人员均应符合卫生部颁布《餐饮业和集体用餐配送单位卫生规范》及其他相关规范的要求。</w:t>
      </w:r>
    </w:p>
    <w:p>
      <w:pPr>
        <w:widowControl/>
        <w:numPr>
          <w:ilvl w:val="0"/>
          <w:numId w:val="0"/>
        </w:numPr>
        <w:jc w:val="left"/>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七、职工食堂保洁服务：</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1、主要工作内容为餐厅的卫生服务，包括地面、桌面、玻璃和卫生区、卫生间、餐厅内部的清洁工作。</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2、负责食品、灶具、餐具及餐厅各类物品的清洗、消毒保洁工作，包括餐具的清理消毒（每天的餐盘、餐碗和筷子的清洗、消毒等，保证符合卫生要求）。</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3、负责淆水、剩饭剩菜及原材物料粗加工后垃圾运出处理。</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4、负责每天下班前将食堂内工作区域内及餐厅公共区域清洁干净。</w:t>
      </w:r>
    </w:p>
    <w:p>
      <w:pPr>
        <w:pStyle w:val="20"/>
        <w:rPr>
          <w:rFonts w:hint="eastAsia" w:ascii="仿宋" w:hAnsi="仿宋" w:eastAsia="仿宋" w:cs="仿宋"/>
          <w:b/>
          <w:color w:val="000000"/>
          <w:kern w:val="0"/>
          <w:sz w:val="28"/>
          <w:szCs w:val="28"/>
          <w:highlight w:val="none"/>
          <w:lang w:val="en-US" w:eastAsia="zh-CN" w:bidi="ar-SA"/>
        </w:rPr>
      </w:pPr>
      <w:r>
        <w:rPr>
          <w:rFonts w:hint="eastAsia" w:ascii="仿宋" w:hAnsi="仿宋" w:eastAsia="仿宋" w:cs="仿宋"/>
          <w:b/>
          <w:color w:val="000000"/>
          <w:kern w:val="0"/>
          <w:sz w:val="28"/>
          <w:szCs w:val="28"/>
          <w:highlight w:val="none"/>
          <w:lang w:val="en-US" w:eastAsia="zh-CN" w:bidi="ar-SA"/>
        </w:rPr>
        <w:t>八、培训要求及餐饮服务工作相关职责：</w:t>
      </w:r>
    </w:p>
    <w:p>
      <w:pPr>
        <w:widowControl/>
        <w:ind w:firstLine="562"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1、培训要求：</w:t>
      </w:r>
      <w:r>
        <w:rPr>
          <w:rFonts w:hint="eastAsia" w:ascii="仿宋" w:hAnsi="仿宋" w:eastAsia="仿宋" w:cs="仿宋"/>
          <w:color w:val="000000"/>
          <w:kern w:val="0"/>
          <w:sz w:val="28"/>
          <w:szCs w:val="28"/>
          <w:highlight w:val="none"/>
          <w:lang w:val="en-US" w:eastAsia="zh-CN" w:bidi="ar-SA"/>
        </w:rPr>
        <w:t>中标单位必须对所属员工进行相关的法律法规、劳动技能、行为规范、劳动纪律、保密要求等方面进行培训，培训合格后方可上岗。</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2、中标单位需具备良好服务理念和品牌意识，投标人必须针对本项目的特殊行业性质提供详细的餐饮服务培训方案，并进行配套的“保密”和“服务”相关知识的应知应会培训。</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3、中标单位对招标人检查后的意见必须有书面反馈意见，并对员工进行培训和考核。</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4、中标单位必须组织每周不得低于一次、每次不得低于30分钟的培训，培训后必需严格执行相关制度，并对员工的工作情况进行考核。</w:t>
      </w:r>
    </w:p>
    <w:p>
      <w:pPr>
        <w:widowControl/>
        <w:ind w:firstLine="560" w:firstLineChars="200"/>
        <w:jc w:val="left"/>
        <w:rPr>
          <w:rFonts w:hint="eastAsia" w:ascii="仿宋" w:hAnsi="仿宋" w:eastAsia="仿宋" w:cs="仿宋"/>
          <w:b/>
          <w:color w:val="000000"/>
          <w:kern w:val="0"/>
          <w:sz w:val="24"/>
          <w:szCs w:val="24"/>
          <w:highlight w:val="none"/>
          <w:lang w:eastAsia="zh-CN"/>
        </w:rPr>
      </w:pPr>
      <w:r>
        <w:rPr>
          <w:rFonts w:hint="eastAsia" w:ascii="仿宋" w:hAnsi="仿宋" w:eastAsia="仿宋" w:cs="仿宋"/>
          <w:color w:val="000000"/>
          <w:kern w:val="0"/>
          <w:sz w:val="28"/>
          <w:szCs w:val="28"/>
          <w:highlight w:val="none"/>
          <w:lang w:val="en-US" w:eastAsia="zh-CN" w:bidi="ar-SA"/>
        </w:rPr>
        <w:t>2、</w:t>
      </w:r>
      <w:r>
        <w:rPr>
          <w:rFonts w:hint="eastAsia" w:ascii="仿宋" w:hAnsi="仿宋" w:eastAsia="仿宋" w:cs="仿宋"/>
          <w:b/>
          <w:color w:val="000000"/>
          <w:kern w:val="0"/>
          <w:sz w:val="28"/>
          <w:szCs w:val="28"/>
          <w:highlight w:val="none"/>
        </w:rPr>
        <w:t>服务工作相关职责</w:t>
      </w:r>
      <w:r>
        <w:rPr>
          <w:rFonts w:hint="eastAsia" w:ascii="仿宋" w:hAnsi="仿宋" w:eastAsia="仿宋" w:cs="仿宋"/>
          <w:b/>
          <w:color w:val="000000"/>
          <w:kern w:val="0"/>
          <w:sz w:val="24"/>
          <w:szCs w:val="24"/>
          <w:highlight w:val="none"/>
          <w:lang w:eastAsia="zh-CN"/>
        </w:rPr>
        <w:t>：</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1、严格按照疫情防控工作的要求，对食品、食材及餐厅环境内外进行卫生清洁和消杀工作，杜绝疫情发生。</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2、中标单位的餐饮服务工作人员要统一着装，佩戴标志卡，做到衣帽整洁，不得穿着奇装异服，着装须满足餐饮服务的着装规定要求。</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3、中标单位餐饮服务人员须在承包区域内提供相应服务，不得未经招标人或使用单位允许进入承包区域内以外的办公室、会议室等重要部门。如有工作需要，须在获得单位部门工作人员同意方可进入。</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4、食堂工作人员能熟练掌握设备的使用与简单维修方法，保持食堂设备正常运转。如出现设备故障无法自行解决，需另请专业人员进行维修，则须报请招标人或使用单位同意后才可实施。</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5、中标单位必须服从招标人或使用单位的现场监督及管理，遵守招标人的有关规章制度。在承包区域对所提供的食品质量负全部责任，有义务协助招标人上级主管部门做好各项检查。</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6、如遇火警、水管爆裂等突发情况，乙方工作人员应及时抢险或抢修，消除隐患，并立刻报告甲方。</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7、迎接参观检查、临时加餐等特殊临时突发情况中标单位要组织突击小组配合招标人（或使用单位）搞好特殊餐饮服务工作，并提供及时的餐饮保障。</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8、中标单位根据招标人或使用单位的特殊行业情况安排适当的工作人员和制定上班时间。中标单位工作人员必须要服从招标人单位的安排,并做到随叫随到，做好需求响应。</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9、中标单位的工作人员应遵守招标人规定的作息时间及工作流程、制度；在招标人的服务区域内，中标单位未经招标人同意不得擅自承揽与餐饮服务无关的其他任何业务，且餐饮服务人员不得从事与餐饮服务无关的工作。</w:t>
      </w:r>
    </w:p>
    <w:p>
      <w:pPr>
        <w:widowControl/>
        <w:ind w:firstLine="560" w:firstLineChars="200"/>
        <w:jc w:val="left"/>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10、乙方工作人员应熟练掌握食堂电器，消防设施等设施的使用和维护方法，能够及时处理突发险情。</w:t>
      </w:r>
    </w:p>
    <w:p>
      <w:pPr>
        <w:pStyle w:val="20"/>
        <w:rPr>
          <w:rFonts w:hint="eastAsia" w:ascii="仿宋" w:hAnsi="仿宋" w:eastAsia="仿宋" w:cs="仿宋"/>
          <w:highlight w:val="none"/>
          <w:lang w:val="en-US" w:eastAsia="zh-CN"/>
        </w:rPr>
      </w:pPr>
    </w:p>
    <w:p>
      <w:pPr>
        <w:pStyle w:val="20"/>
        <w:ind w:left="0" w:leftChars="0" w:firstLine="0" w:firstLineChars="0"/>
        <w:rPr>
          <w:rFonts w:hint="eastAsia" w:ascii="仿宋" w:hAnsi="仿宋" w:eastAsia="仿宋" w:cs="仿宋"/>
          <w:color w:val="000000"/>
          <w:kern w:val="0"/>
          <w:sz w:val="28"/>
          <w:szCs w:val="28"/>
          <w:highlight w:val="none"/>
          <w:lang w:val="en-US" w:eastAsia="zh-CN" w:bidi="ar-SA"/>
        </w:rPr>
      </w:pP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Pr>
        <w:spacing w:line="520" w:lineRule="exact"/>
        <w:jc w:val="both"/>
        <w:rPr>
          <w:rFonts w:hint="eastAsia" w:ascii="仿宋" w:hAnsi="仿宋" w:eastAsia="仿宋" w:cs="仿宋"/>
          <w:b/>
          <w:bCs/>
          <w:sz w:val="28"/>
          <w:szCs w:val="28"/>
          <w:highlight w:val="none"/>
        </w:rPr>
      </w:pPr>
    </w:p>
    <w:p>
      <w:pPr>
        <w:pStyle w:val="20"/>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p>
    <w:p>
      <w:pPr>
        <w:pStyle w:val="20"/>
        <w:rPr>
          <w:rFonts w:hint="eastAsia" w:ascii="仿宋" w:hAnsi="仿宋" w:eastAsia="仿宋" w:cs="仿宋"/>
          <w:b/>
          <w:bCs/>
          <w:sz w:val="28"/>
          <w:szCs w:val="28"/>
          <w:highlight w:val="none"/>
        </w:rPr>
      </w:pPr>
    </w:p>
    <w:p>
      <w:pPr>
        <w:rPr>
          <w:rFonts w:hint="eastAsia" w:ascii="仿宋" w:hAnsi="仿宋" w:eastAsia="仿宋" w:cs="仿宋"/>
          <w:highlight w:val="none"/>
        </w:rPr>
      </w:pPr>
    </w:p>
    <w:p>
      <w:pPr>
        <w:spacing w:line="520" w:lineRule="exact"/>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二、技术规格及要求</w:t>
      </w:r>
      <w:r>
        <w:rPr>
          <w:rFonts w:hint="eastAsia" w:ascii="仿宋" w:hAnsi="仿宋" w:eastAsia="仿宋" w:cs="仿宋"/>
          <w:b/>
          <w:bCs/>
          <w:sz w:val="28"/>
          <w:szCs w:val="28"/>
          <w:highlight w:val="none"/>
          <w:lang w:eastAsia="zh-CN"/>
        </w:rPr>
        <w:t>（关键条款）</w:t>
      </w:r>
    </w:p>
    <w:p>
      <w:pPr>
        <w:widowControl/>
        <w:numPr>
          <w:ilvl w:val="0"/>
          <w:numId w:val="0"/>
        </w:numPr>
        <w:adjustRightInd w:val="0"/>
        <w:snapToGrid w:val="0"/>
        <w:spacing w:line="240" w:lineRule="auto"/>
        <w:ind w:firstLine="422" w:firstLineChars="200"/>
        <w:jc w:val="both"/>
        <w:rPr>
          <w:rFonts w:hint="eastAsia" w:ascii="仿宋" w:hAnsi="仿宋" w:eastAsia="仿宋" w:cs="仿宋"/>
          <w:b/>
          <w:bCs/>
          <w:color w:val="000000"/>
          <w:sz w:val="21"/>
          <w:szCs w:val="21"/>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b/>
          <w:bCs/>
          <w:color w:val="000000"/>
          <w:sz w:val="24"/>
          <w:szCs w:val="24"/>
          <w:highlight w:val="none"/>
          <w:lang w:val="en-US" w:eastAsia="zh-CN"/>
        </w:rPr>
        <w:t>1、服务期限：</w:t>
      </w:r>
      <w:r>
        <w:rPr>
          <w:rFonts w:hint="eastAsia" w:ascii="仿宋" w:hAnsi="仿宋" w:eastAsia="仿宋" w:cs="仿宋"/>
          <w:color w:val="000000"/>
          <w:kern w:val="0"/>
          <w:sz w:val="24"/>
          <w:szCs w:val="24"/>
          <w:highlight w:val="none"/>
          <w:lang w:val="en-US" w:eastAsia="zh-CN" w:bidi="ar-SA"/>
        </w:rPr>
        <w:t>服务期限三年，合同一年一签；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4"/>
          <w:szCs w:val="24"/>
          <w:highlight w:val="none"/>
          <w:lang w:val="en-US" w:eastAsia="zh-CN"/>
        </w:rPr>
        <w:t>2、付款方式</w:t>
      </w:r>
      <w:r>
        <w:rPr>
          <w:rFonts w:hint="eastAsia" w:ascii="仿宋" w:hAnsi="仿宋" w:eastAsia="仿宋" w:cs="仿宋"/>
          <w:b/>
          <w:bCs/>
          <w:color w:val="000000"/>
          <w:sz w:val="21"/>
          <w:szCs w:val="21"/>
          <w:highlight w:val="none"/>
          <w:lang w:val="en-US" w:eastAsia="zh-CN"/>
        </w:rPr>
        <w:t>：</w:t>
      </w:r>
      <w:r>
        <w:rPr>
          <w:rFonts w:hint="eastAsia" w:ascii="仿宋" w:hAnsi="仿宋" w:eastAsia="仿宋" w:cs="仿宋"/>
          <w:kern w:val="2"/>
          <w:sz w:val="24"/>
          <w:szCs w:val="24"/>
          <w:highlight w:val="none"/>
          <w:lang w:val="en-US" w:eastAsia="zh-CN" w:bidi="ar-SA"/>
        </w:rPr>
        <w:t xml:space="preserve"> 按月支付就餐服务费。根据刷卡机刷卡记录，按照早、中、晚三餐就餐人数，实际计算。每月月底核实就餐人数，次月10日支付上月金额，金额包括：人工费、社保（五险一金）、各项税费、卫生健康体检费、燃气费，利润、工装、防护装备及合同实施过程中不可预见费用等。含餐饮服务期间产生所有费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bCs/>
          <w:color w:val="000000"/>
          <w:sz w:val="24"/>
          <w:szCs w:val="24"/>
          <w:highlight w:val="none"/>
          <w:lang w:val="en-US" w:eastAsia="zh-CN"/>
        </w:rPr>
        <w:t>3、服务地点</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kern w:val="2"/>
          <w:sz w:val="24"/>
          <w:szCs w:val="24"/>
          <w:highlight w:val="none"/>
          <w:lang w:val="en-US" w:eastAsia="zh-CN" w:bidi="ar-SA"/>
        </w:rPr>
        <w:t>喀什地区公安局，特警支队，莎车县分队，强制隔离戒毒、机场分局。</w:t>
      </w:r>
    </w:p>
    <w:p>
      <w:pPr>
        <w:pStyle w:val="17"/>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b/>
          <w:bCs/>
          <w:color w:val="000000"/>
          <w:sz w:val="24"/>
          <w:szCs w:val="24"/>
          <w:highlight w:val="none"/>
          <w:lang w:val="en-US" w:eastAsia="zh-CN"/>
        </w:rPr>
        <w:t>4、招标价格含</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kern w:val="2"/>
          <w:sz w:val="24"/>
          <w:szCs w:val="24"/>
          <w:highlight w:val="none"/>
          <w:lang w:val="en-US" w:eastAsia="zh-CN"/>
        </w:rPr>
        <w:t>人工费、社保（五险一金）、各项税费、卫生健康体检费、水电费，利润、工装、防护装备及合同实施过程中不可预见费用等。投标价为包干价，含餐饮服务期间产生所有费用。</w:t>
      </w:r>
    </w:p>
    <w:p>
      <w:pPr>
        <w:pStyle w:val="17"/>
        <w:keepNext w:val="0"/>
        <w:keepLines w:val="0"/>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6、验收标准</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kern w:val="2"/>
          <w:sz w:val="24"/>
          <w:szCs w:val="24"/>
          <w:highlight w:val="none"/>
          <w:lang w:val="en-US" w:eastAsia="zh-CN"/>
        </w:rPr>
        <w:t>严格按照财库[2016]205号《财政部关于进一步加强政府采购需求和履约验收管理的指导意见》《中华人民共和国食品安全法》、《中华人民共和国安全生产法》、《餐饮服务食品安全操作规程》、《餐饮业和集体用餐配送单位卫生规范》、《食堂食品安全标准》等法律、法规，遵守采购方的相 关管理规定和要求进行验收。</w:t>
      </w:r>
    </w:p>
    <w:p>
      <w:pPr>
        <w:pStyle w:val="7"/>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 xml:space="preserve">    7、其他需求：</w:t>
      </w:r>
      <w:r>
        <w:rPr>
          <w:rFonts w:hint="eastAsia" w:ascii="仿宋" w:hAnsi="仿宋" w:eastAsia="仿宋" w:cs="仿宋"/>
          <w:kern w:val="2"/>
          <w:sz w:val="24"/>
          <w:szCs w:val="24"/>
          <w:highlight w:val="none"/>
          <w:lang w:val="en-US" w:eastAsia="zh-CN" w:bidi="ar-SA"/>
        </w:rPr>
        <w:t>试用期为一个月，在这一个月内如卫生，饭菜质量不达标甲方有权单方面解除合约，因此出现的一切费用乙方承担。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8、其他未尽事项</w:t>
      </w:r>
      <w:r>
        <w:rPr>
          <w:rFonts w:hint="eastAsia" w:ascii="仿宋" w:hAnsi="仿宋" w:eastAsia="仿宋" w:cs="仿宋"/>
          <w:b/>
          <w:bCs/>
          <w:color w:val="000000"/>
          <w:sz w:val="21"/>
          <w:szCs w:val="21"/>
          <w:highlight w:val="none"/>
          <w:lang w:val="en-US" w:eastAsia="zh-CN"/>
        </w:rPr>
        <w:t>：</w:t>
      </w:r>
      <w:r>
        <w:rPr>
          <w:rFonts w:hint="eastAsia" w:ascii="仿宋" w:hAnsi="仿宋" w:eastAsia="仿宋" w:cs="仿宋"/>
          <w:b w:val="0"/>
          <w:bCs w:val="0"/>
          <w:color w:val="000000"/>
          <w:sz w:val="24"/>
          <w:szCs w:val="24"/>
          <w:highlight w:val="none"/>
          <w:lang w:val="en-US" w:eastAsia="zh-CN"/>
        </w:rPr>
        <w:t>由双方在合同中另行商定</w:t>
      </w:r>
    </w:p>
    <w:p>
      <w:pPr>
        <w:pStyle w:val="5"/>
        <w:rPr>
          <w:rFonts w:hint="eastAsia" w:ascii="仿宋" w:hAnsi="仿宋" w:eastAsia="仿宋" w:cs="仿宋"/>
          <w:highlight w:val="none"/>
          <w:lang w:val="en-US" w:eastAsia="zh-CN"/>
        </w:rPr>
      </w:pPr>
    </w:p>
    <w:p>
      <w:pPr>
        <w:pStyle w:val="5"/>
        <w:rPr>
          <w:rFonts w:hint="eastAsia" w:ascii="仿宋" w:hAnsi="仿宋" w:eastAsia="仿宋" w:cs="仿宋"/>
          <w:highlight w:val="none"/>
          <w:lang w:val="en-US" w:eastAsia="zh-CN"/>
        </w:rPr>
      </w:pPr>
    </w:p>
    <w:p>
      <w:pPr>
        <w:jc w:val="left"/>
        <w:rPr>
          <w:rFonts w:hint="eastAsia" w:ascii="仿宋" w:hAnsi="仿宋" w:eastAsia="仿宋" w:cs="仿宋"/>
          <w:highlight w:val="none"/>
          <w:lang w:val="en-US" w:eastAsia="zh-CN"/>
        </w:rPr>
      </w:pPr>
    </w:p>
    <w:p>
      <w:pPr>
        <w:jc w:val="center"/>
        <w:outlineLvl w:val="0"/>
        <w:rPr>
          <w:rStyle w:val="30"/>
          <w:rFonts w:hint="eastAsia" w:ascii="仿宋" w:hAnsi="仿宋" w:eastAsia="仿宋" w:cs="仿宋"/>
          <w:color w:val="auto"/>
          <w:highlight w:val="none"/>
        </w:rPr>
      </w:pPr>
    </w:p>
    <w:p>
      <w:pPr>
        <w:jc w:val="center"/>
        <w:outlineLvl w:val="0"/>
        <w:rPr>
          <w:rStyle w:val="30"/>
          <w:rFonts w:hint="eastAsia" w:ascii="仿宋" w:hAnsi="仿宋" w:eastAsia="仿宋" w:cs="仿宋"/>
          <w:color w:val="auto"/>
          <w:highlight w:val="none"/>
        </w:rPr>
      </w:pPr>
    </w:p>
    <w:p>
      <w:pPr>
        <w:pStyle w:val="20"/>
        <w:rPr>
          <w:rStyle w:val="30"/>
          <w:rFonts w:hint="eastAsia" w:ascii="仿宋" w:hAnsi="仿宋" w:eastAsia="仿宋" w:cs="仿宋"/>
          <w:color w:val="auto"/>
          <w:highlight w:val="none"/>
        </w:rPr>
      </w:pPr>
    </w:p>
    <w:p>
      <w:pPr>
        <w:rPr>
          <w:rStyle w:val="30"/>
          <w:rFonts w:hint="eastAsia" w:ascii="仿宋" w:hAnsi="仿宋" w:eastAsia="仿宋" w:cs="仿宋"/>
          <w:color w:val="auto"/>
          <w:highlight w:val="none"/>
        </w:rPr>
      </w:pPr>
    </w:p>
    <w:p>
      <w:pPr>
        <w:pStyle w:val="20"/>
        <w:rPr>
          <w:rStyle w:val="30"/>
          <w:rFonts w:hint="eastAsia" w:ascii="仿宋" w:hAnsi="仿宋" w:eastAsia="仿宋" w:cs="仿宋"/>
          <w:color w:val="auto"/>
          <w:highlight w:val="none"/>
        </w:rPr>
      </w:pPr>
    </w:p>
    <w:p>
      <w:pPr>
        <w:rPr>
          <w:rStyle w:val="30"/>
          <w:rFonts w:hint="eastAsia" w:ascii="仿宋" w:hAnsi="仿宋" w:eastAsia="仿宋" w:cs="仿宋"/>
          <w:color w:val="auto"/>
          <w:highlight w:val="none"/>
        </w:rPr>
      </w:pPr>
    </w:p>
    <w:p>
      <w:pPr>
        <w:pStyle w:val="20"/>
        <w:rPr>
          <w:rStyle w:val="30"/>
          <w:rFonts w:hint="eastAsia" w:ascii="仿宋" w:hAnsi="仿宋" w:eastAsia="仿宋" w:cs="仿宋"/>
          <w:color w:val="auto"/>
          <w:highlight w:val="none"/>
        </w:rPr>
      </w:pPr>
    </w:p>
    <w:p>
      <w:pPr>
        <w:jc w:val="center"/>
        <w:outlineLvl w:val="0"/>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第6章  评标方法和标准</w:t>
      </w:r>
    </w:p>
    <w:p>
      <w:pPr>
        <w:pStyle w:val="7"/>
        <w:tabs>
          <w:tab w:val="clear" w:pos="567"/>
        </w:tabs>
        <w:spacing w:before="0" w:line="400" w:lineRule="exact"/>
        <w:ind w:firstLine="540" w:firstLineChars="225"/>
        <w:rPr>
          <w:rFonts w:hint="eastAsia" w:ascii="仿宋" w:hAnsi="仿宋" w:eastAsia="仿宋" w:cs="仿宋"/>
          <w:color w:val="auto"/>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line="440" w:lineRule="exact"/>
        <w:ind w:left="0" w:leftChars="0" w:right="0"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single"/>
          <w:lang w:val="en-US" w:eastAsia="zh-CN" w:bidi="ar-SA"/>
        </w:rPr>
        <w:t>本次评标采用综合评分法，即评标委员会在符合有效投标范畴且最大限度地满足招标文件实质性要求前提下，对投标人的最终报价得分满分30分；商务技术部分满分70分两部分进行综合评审和独立评分。</w:t>
      </w: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1开标时间和地点</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开标时间：2023年11月24日11点30分（北京时间）；</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开标地点：新疆政府采购网平台（http://www.ccgp-xinjiang.gov.cn/</w:t>
      </w:r>
    </w:p>
    <w:p>
      <w:pPr>
        <w:rPr>
          <w:rFonts w:hint="eastAsia" w:ascii="仿宋" w:hAnsi="仿宋" w:eastAsia="仿宋" w:cs="仿宋"/>
          <w:b/>
          <w:bCs/>
          <w:sz w:val="28"/>
          <w:szCs w:val="28"/>
          <w:highlight w:val="none"/>
        </w:rPr>
      </w:pPr>
      <w:bookmarkStart w:id="594" w:name="_Toc8908"/>
      <w:bookmarkStart w:id="595" w:name="_Toc387416365"/>
      <w:bookmarkStart w:id="596" w:name="_Toc143596672"/>
      <w:bookmarkStart w:id="597" w:name="_Toc157179741"/>
      <w:bookmarkStart w:id="598" w:name="_Toc157179296"/>
      <w:bookmarkStart w:id="599" w:name="_Toc217102233"/>
      <w:bookmarkStart w:id="600" w:name="_Toc157176487"/>
      <w:bookmarkStart w:id="601" w:name="_Toc157176932"/>
      <w:bookmarkStart w:id="602" w:name="_Toc157182373"/>
      <w:bookmarkStart w:id="603" w:name="_Toc157175820"/>
      <w:bookmarkStart w:id="604" w:name="_Toc184891773"/>
      <w:bookmarkStart w:id="605" w:name="_Toc287112609"/>
      <w:bookmarkStart w:id="606" w:name="_Toc157179519"/>
      <w:bookmarkStart w:id="607" w:name="_Toc184891546"/>
      <w:bookmarkStart w:id="608" w:name="_Toc143596261"/>
      <w:r>
        <w:rPr>
          <w:rFonts w:hint="eastAsia" w:ascii="仿宋" w:hAnsi="仿宋" w:eastAsia="仿宋" w:cs="仿宋"/>
          <w:b/>
          <w:bCs/>
          <w:highlight w:val="none"/>
        </w:rPr>
        <w:t>2.</w:t>
      </w:r>
      <w:r>
        <w:rPr>
          <w:rFonts w:hint="eastAsia" w:ascii="仿宋" w:hAnsi="仿宋" w:eastAsia="仿宋" w:cs="仿宋"/>
          <w:b/>
          <w:bCs/>
          <w:sz w:val="28"/>
          <w:szCs w:val="28"/>
          <w:highlight w:val="none"/>
        </w:rPr>
        <w:t>开标程序</w:t>
      </w:r>
      <w:bookmarkEnd w:id="594"/>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rPr>
      </w:pPr>
      <w:bookmarkStart w:id="609" w:name="_Toc1213265"/>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供应商按照</w:t>
      </w:r>
      <w:r>
        <w:rPr>
          <w:rFonts w:hint="eastAsia" w:ascii="仿宋" w:hAnsi="仿宋" w:eastAsia="仿宋" w:cs="仿宋"/>
          <w:color w:val="auto"/>
          <w:sz w:val="24"/>
          <w:highlight w:val="none"/>
        </w:rPr>
        <w:t>须知资料表中规定的开标时间和地点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在规定时间内参加开标</w:t>
      </w:r>
      <w:r>
        <w:rPr>
          <w:rFonts w:hint="eastAsia" w:ascii="仿宋" w:hAnsi="仿宋" w:eastAsia="仿宋" w:cs="仿宋"/>
          <w:color w:val="auto"/>
          <w:sz w:val="24"/>
          <w:highlight w:val="none"/>
        </w:rPr>
        <w:t>。</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在开标前，工作人员收取所有参会人员的手机，主持人宣读开标纪律。</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（3）对投标供应商的资格进行检查。由采购人或采购代理机构依据法律法规和招标文件中规定的内容，对投标供应商的资格证明材料进行审查，并让投标供应商对资格审查结果进行签字确认。</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）由采购人或采购代理机构当众拆封投标文件第一部分，宣读</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名称、投标价格及招标文件规定的内容。对于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在投标截止期前递交的投标声明，在开标时当众宣读，评标时有效。未宣读投标价格、价格折扣等实质内容，评标时不予承认。</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）采购人或采购代理机构将对开标过程进行记录，由参加开标的各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代表和相关工作人员签字确认，并存档备查。</w:t>
      </w:r>
    </w:p>
    <w:p>
      <w:pPr>
        <w:keepNext w:val="0"/>
        <w:keepLines w:val="0"/>
        <w:pageBreakBefore w:val="0"/>
        <w:widowControl/>
        <w:kinsoku/>
        <w:wordWrap/>
        <w:overflowPunct/>
        <w:topLinePunct w:val="0"/>
        <w:autoSpaceDE/>
        <w:autoSpaceDN/>
        <w:bidi w:val="0"/>
        <w:adjustRightInd/>
        <w:snapToGrid w:val="0"/>
        <w:spacing w:line="380" w:lineRule="exact"/>
        <w:textAlignment w:val="baseline"/>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代表对开标过程和开标记录有疑义，以及认为采购人、采购代理机构相关工作人员有需要回避的情形的，应当场提出询问或者回避申请。</w:t>
      </w:r>
    </w:p>
    <w:p>
      <w:pPr>
        <w:pStyle w:val="4"/>
        <w:spacing w:before="72" w:after="72"/>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szCs w:val="24"/>
          <w:highlight w:val="none"/>
        </w:rPr>
        <w:t>3.</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Fonts w:hint="eastAsia" w:ascii="仿宋" w:hAnsi="仿宋" w:eastAsia="仿宋" w:cs="仿宋"/>
          <w:b/>
          <w:bCs/>
          <w:color w:val="auto"/>
          <w:kern w:val="2"/>
          <w:sz w:val="24"/>
          <w:szCs w:val="24"/>
          <w:highlight w:val="none"/>
          <w:lang w:val="en-US" w:eastAsia="zh-CN" w:bidi="ar-SA"/>
        </w:rPr>
        <w:t>评标及评标小组</w:t>
      </w:r>
      <w:bookmarkEnd w:id="609"/>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rPr>
      </w:pPr>
      <w:bookmarkStart w:id="610" w:name="_Toc217102234"/>
      <w:bookmarkStart w:id="611" w:name="_Toc1213266"/>
      <w:bookmarkStart w:id="612" w:name="_Toc157182374"/>
      <w:bookmarkStart w:id="613" w:name="_Toc387416366"/>
      <w:bookmarkStart w:id="614" w:name="_Toc184891774"/>
      <w:bookmarkStart w:id="615" w:name="_Toc143596673"/>
      <w:bookmarkStart w:id="616" w:name="_Toc184891547"/>
      <w:bookmarkStart w:id="617" w:name="_Toc287112610"/>
      <w:bookmarkStart w:id="618" w:name="_Toc143596262"/>
      <w:r>
        <w:rPr>
          <w:rFonts w:hint="eastAsia" w:ascii="仿宋" w:hAnsi="仿宋" w:eastAsia="仿宋" w:cs="仿宋"/>
          <w:color w:val="auto"/>
          <w:sz w:val="24"/>
          <w:highlight w:val="none"/>
          <w:lang w:eastAsia="zh-CN"/>
        </w:rPr>
        <w:t>（1）</w:t>
      </w:r>
      <w:r>
        <w:rPr>
          <w:rFonts w:hint="eastAsia" w:ascii="仿宋" w:hAnsi="仿宋" w:eastAsia="仿宋" w:cs="仿宋"/>
          <w:b/>
          <w:bCs/>
          <w:color w:val="auto"/>
          <w:sz w:val="24"/>
          <w:highlight w:val="none"/>
          <w:lang w:eastAsia="zh-CN"/>
        </w:rPr>
        <w:t>在政采云平台上随机抽取</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名</w:t>
      </w:r>
      <w:r>
        <w:rPr>
          <w:rFonts w:hint="eastAsia" w:ascii="仿宋" w:hAnsi="仿宋" w:eastAsia="仿宋" w:cs="仿宋"/>
          <w:b/>
          <w:bCs/>
          <w:color w:val="auto"/>
          <w:sz w:val="24"/>
          <w:highlight w:val="none"/>
          <w:lang w:eastAsia="zh-CN"/>
        </w:rPr>
        <w:t>专家</w:t>
      </w:r>
      <w:r>
        <w:rPr>
          <w:rFonts w:hint="eastAsia" w:ascii="仿宋" w:hAnsi="仿宋" w:eastAsia="仿宋" w:cs="仿宋"/>
          <w:b/>
          <w:bCs/>
          <w:color w:val="auto"/>
          <w:sz w:val="24"/>
          <w:highlight w:val="none"/>
        </w:rPr>
        <w:t>，共计</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名评标委员会成员负责评标工作</w:t>
      </w:r>
      <w:r>
        <w:rPr>
          <w:rFonts w:hint="eastAsia" w:ascii="仿宋" w:hAnsi="仿宋" w:eastAsia="仿宋" w:cs="仿宋"/>
          <w:color w:val="auto"/>
          <w:sz w:val="24"/>
          <w:highlight w:val="none"/>
        </w:rPr>
        <w:t>。</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（2）评标前，工作人员收取所有参会人员的手机，主持人宣读评标纪律。</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对采购单位的纪律要求：</w:t>
      </w:r>
      <w:r>
        <w:rPr>
          <w:rFonts w:hint="eastAsia" w:ascii="仿宋" w:hAnsi="仿宋" w:eastAsia="仿宋" w:cs="仿宋"/>
          <w:color w:val="auto"/>
          <w:sz w:val="24"/>
          <w:highlight w:val="none"/>
          <w:lang w:eastAsia="zh-CN"/>
        </w:rPr>
        <w:t>采购单位不得泄露招投标活动中应当保密的情况和资料，不得与供应商串通损害国家利益、社会公共利益或者他人合法权益</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对与开标大会活动有关的工作人员的纪律要求：与开标大会活动有关的工作人员不得收受他人的财物或者其他好处，不得向他人透露对中标候选人的推荐情况以及评标有关的其他情况。</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对评标专家的评标纪律及注意事项：</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①与本次评标工作无关的人员不得进入评标现场；</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②在评标过程中评标委员会以外人员不得干预或影响正常评标工作，不得明示或暗示其倾向性、引导性言论；</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③评标委员会成员要严格遵守政府采购法、政府采购法实施条例、政府采购货物和服务招标投标管理办法及评标专家管理办法，要求公正、公平的参与评标工作；</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w:t>
      </w:r>
      <w:bookmarkStart w:id="1241" w:name="_GoBack"/>
      <w:bookmarkEnd w:id="1241"/>
      <w:r>
        <w:rPr>
          <w:rFonts w:hint="eastAsia" w:ascii="仿宋" w:hAnsi="仿宋" w:eastAsia="仿宋" w:cs="仿宋"/>
          <w:color w:val="auto"/>
          <w:sz w:val="24"/>
          <w:highlight w:val="none"/>
          <w:lang w:eastAsia="zh-CN"/>
        </w:rPr>
        <w:t>并说明理由，否则视为同意。</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⑦评标专家与供应商有下列利害关系之一的人员，应当回避</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参加采购活动前3年内与供应商存在劳动关系；</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参加采购活动前3年内担任供应商的董事、监事；</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参加采购活动前3年内是供应商的控股股东或者实际控制人；</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与供应商的法定代表人或者负责人有夫妻、直系血亲、三代以内旁系血亲或者近姻亲关系。</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注：现场所有参会人员均要对开标内容进行保密。</w:t>
      </w:r>
    </w:p>
    <w:p>
      <w:pPr>
        <w:pStyle w:val="4"/>
        <w:spacing w:before="72" w:after="72"/>
        <w:rPr>
          <w:rFonts w:hint="eastAsia" w:ascii="仿宋" w:hAnsi="仿宋" w:eastAsia="仿宋" w:cs="仿宋"/>
          <w:sz w:val="28"/>
          <w:szCs w:val="28"/>
          <w:highlight w:val="none"/>
        </w:rPr>
      </w:pPr>
      <w:r>
        <w:rPr>
          <w:rFonts w:hint="eastAsia" w:ascii="仿宋" w:hAnsi="仿宋" w:eastAsia="仿宋" w:cs="仿宋"/>
          <w:sz w:val="28"/>
          <w:szCs w:val="28"/>
          <w:highlight w:val="none"/>
        </w:rPr>
        <w:t>4.评标办法和程序</w:t>
      </w:r>
      <w:bookmarkEnd w:id="610"/>
      <w:bookmarkEnd w:id="611"/>
      <w:bookmarkEnd w:id="612"/>
      <w:bookmarkEnd w:id="613"/>
      <w:bookmarkEnd w:id="614"/>
      <w:bookmarkEnd w:id="615"/>
      <w:bookmarkEnd w:id="616"/>
      <w:bookmarkEnd w:id="617"/>
      <w:bookmarkEnd w:id="618"/>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4.1采购人将邀请有关行政监督部门对本次公开招标进行监督。</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4.2本次招标采用综合评标法。</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4.3本评标办法的解释权在采购人。</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4.4 评标小组对各投标人的响应文件进行资格审查，响应文件满足招标文件资格要求的投标人，方视为合格的投标人。响应文件资格审查的的主要条件：</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（1）响应文件按招标文件要求签字或盖章；</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（2）内容齐全、关键内容字迹清晰可辨；</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（3）符合第四章“响应文件格式”要求；</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（4）投标人名称与报名时一致；</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（5）没有递交两份或多份内容不同的响应文件；</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（6）响应文件应按要求签署《诚信响应承诺书》，并且《诚信响应承诺书》承诺的事项应符合招标文件的要求；</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（7）投标人符合招标文件规定的资格条件；</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（8）响应文件未通过审查的，评标小组可以宣布其响应无效。</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4.5评标小组按照《商务、技术经济评审表》的要求，各位评标小组成员单独就每个合格投标人的响应方案（包括合同、协议条款响应性）进行评审和比较，评出其技术评分、商务评分。步骤如下：</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（1）各评标小组成员对每一个方案分别评审，对每一评审项目，按评审标准在“评分”栏中填写分数，</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（2）最后小计得到方案评审分。</w:t>
      </w:r>
    </w:p>
    <w:p>
      <w:pPr>
        <w:pStyle w:val="5"/>
        <w:ind w:firstLine="480"/>
        <w:rPr>
          <w:rFonts w:hint="eastAsia" w:ascii="仿宋" w:hAnsi="仿宋" w:eastAsia="仿宋" w:cs="仿宋"/>
          <w:b/>
          <w:color w:val="000000"/>
          <w:highlight w:val="none"/>
        </w:rPr>
      </w:pPr>
      <w:r>
        <w:rPr>
          <w:rFonts w:hint="eastAsia" w:ascii="仿宋" w:hAnsi="仿宋" w:eastAsia="仿宋" w:cs="仿宋"/>
          <w:color w:val="000000"/>
          <w:highlight w:val="none"/>
        </w:rPr>
        <w:t xml:space="preserve">4.6 </w:t>
      </w:r>
      <w:r>
        <w:rPr>
          <w:rFonts w:hint="eastAsia" w:ascii="仿宋" w:hAnsi="仿宋" w:eastAsia="仿宋" w:cs="仿宋"/>
          <w:b/>
          <w:color w:val="000000"/>
          <w:highlight w:val="none"/>
        </w:rPr>
        <w:t>价格分统一采用低价优先法计算，即满足招标文件要求且最后报价最低的投标人的价格为评标基准价，其价格分为满分。</w:t>
      </w:r>
    </w:p>
    <w:p>
      <w:pPr>
        <w:pStyle w:val="5"/>
        <w:ind w:firstLine="482"/>
        <w:rPr>
          <w:rFonts w:hint="eastAsia" w:ascii="仿宋" w:hAnsi="仿宋" w:eastAsia="仿宋" w:cs="仿宋"/>
          <w:b/>
          <w:color w:val="000000"/>
          <w:highlight w:val="none"/>
        </w:rPr>
      </w:pPr>
      <w:r>
        <w:rPr>
          <w:rFonts w:hint="eastAsia" w:ascii="仿宋" w:hAnsi="仿宋" w:eastAsia="仿宋" w:cs="仿宋"/>
          <w:b/>
          <w:color w:val="000000"/>
          <w:highlight w:val="none"/>
        </w:rPr>
        <w:t>投标人的价格分统一按照下列公式计算：</w:t>
      </w:r>
    </w:p>
    <w:p>
      <w:pPr>
        <w:pStyle w:val="5"/>
        <w:ind w:firstLine="482"/>
        <w:rPr>
          <w:rFonts w:hint="eastAsia" w:ascii="仿宋" w:hAnsi="仿宋" w:eastAsia="仿宋" w:cs="仿宋"/>
          <w:highlight w:val="none"/>
        </w:rPr>
      </w:pPr>
      <w:r>
        <w:rPr>
          <w:rFonts w:hint="eastAsia" w:ascii="仿宋" w:hAnsi="仿宋" w:eastAsia="仿宋" w:cs="仿宋"/>
          <w:b/>
          <w:color w:val="000000"/>
          <w:highlight w:val="none"/>
        </w:rPr>
        <w:t>投标报价得分=（评标基准价/最后投标报价）X价格权值X100</w:t>
      </w:r>
    </w:p>
    <w:p>
      <w:pPr>
        <w:pStyle w:val="5"/>
        <w:ind w:firstLine="482"/>
        <w:rPr>
          <w:rFonts w:hint="eastAsia" w:ascii="仿宋" w:hAnsi="仿宋" w:eastAsia="仿宋" w:cs="仿宋"/>
          <w:b/>
          <w:color w:val="000000"/>
          <w:highlight w:val="none"/>
        </w:rPr>
      </w:pPr>
      <w:r>
        <w:rPr>
          <w:rFonts w:hint="eastAsia" w:ascii="仿宋" w:hAnsi="仿宋" w:eastAsia="仿宋" w:cs="仿宋"/>
          <w:b/>
          <w:color w:val="000000"/>
          <w:highlight w:val="none"/>
        </w:rPr>
        <w:t>供应商的价格分统一按照下列公式计算：</w:t>
      </w:r>
    </w:p>
    <w:p>
      <w:pPr>
        <w:pStyle w:val="5"/>
        <w:ind w:firstLine="482"/>
        <w:rPr>
          <w:rFonts w:hint="eastAsia" w:ascii="仿宋" w:hAnsi="仿宋" w:eastAsia="仿宋" w:cs="仿宋"/>
          <w:b/>
          <w:color w:val="000000"/>
          <w:highlight w:val="none"/>
        </w:rPr>
      </w:pPr>
      <w:r>
        <w:rPr>
          <w:rFonts w:hint="eastAsia" w:ascii="仿宋" w:hAnsi="仿宋" w:eastAsia="仿宋" w:cs="仿宋"/>
          <w:b/>
          <w:color w:val="000000"/>
          <w:highlight w:val="none"/>
        </w:rPr>
        <w:t>项目评审过程中，不得去掉最后报价中的最高报价和最低报价。</w:t>
      </w:r>
    </w:p>
    <w:p>
      <w:pPr>
        <w:pStyle w:val="5"/>
        <w:ind w:firstLine="482"/>
        <w:rPr>
          <w:rFonts w:hint="eastAsia" w:ascii="仿宋" w:hAnsi="仿宋" w:eastAsia="仿宋" w:cs="仿宋"/>
          <w:b/>
          <w:color w:val="000000"/>
          <w:highlight w:val="none"/>
        </w:rPr>
      </w:pPr>
      <w:r>
        <w:rPr>
          <w:rFonts w:hint="eastAsia" w:ascii="仿宋" w:hAnsi="仿宋" w:eastAsia="仿宋" w:cs="仿宋"/>
          <w:b/>
          <w:color w:val="000000"/>
          <w:highlight w:val="none"/>
        </w:rPr>
        <w:t>价格评审得分保留小数点后两位，第三位四舍五入。综合得分最高者优先推荐。</w:t>
      </w:r>
    </w:p>
    <w:p>
      <w:pPr>
        <w:pStyle w:val="5"/>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4.7对各评标小组成员响应方案评分的算术平均值即为该投标人的技术得分和商务得分，再分别计算各投标人的报价得分后，即可得出投标人最终综合得分。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5、</w:t>
      </w:r>
      <w:r>
        <w:rPr>
          <w:rFonts w:hint="eastAsia" w:ascii="仿宋" w:hAnsi="仿宋" w:eastAsia="仿宋" w:cs="仿宋"/>
          <w:b/>
          <w:bCs/>
          <w:i w:val="0"/>
          <w:caps w:val="0"/>
          <w:color w:val="auto"/>
          <w:spacing w:val="0"/>
          <w:w w:val="100"/>
          <w:sz w:val="28"/>
          <w:szCs w:val="28"/>
          <w:highlight w:val="none"/>
          <w:lang w:val="en-US" w:eastAsia="zh-CN"/>
        </w:rPr>
        <w:t>答疑澄清：</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（1）评标委员会对于投标文件中含义不明确、同类问题表述不一致或者有明显文字和计算错误的内容，要求投标人以书面形式现场作出必要的澄清、说明或者补正。</w:t>
      </w:r>
    </w:p>
    <w:p>
      <w:pPr>
        <w:pStyle w:val="17"/>
        <w:keepNext w:val="0"/>
        <w:keepLines w:val="0"/>
        <w:pageBreakBefore w:val="0"/>
        <w:numPr>
          <w:ilvl w:val="0"/>
          <w:numId w:val="0"/>
        </w:numPr>
        <w:kinsoku/>
        <w:wordWrap/>
        <w:overflowPunct/>
        <w:topLinePunct w:val="0"/>
        <w:autoSpaceDE/>
        <w:autoSpaceDN/>
        <w:bidi w:val="0"/>
        <w:adjustRightInd/>
        <w:spacing w:line="380" w:lineRule="exact"/>
        <w:ind w:leftChars="0"/>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color w:val="auto"/>
          <w:sz w:val="24"/>
          <w:highlight w:val="none"/>
          <w:lang w:val="en-US" w:eastAsia="zh-CN"/>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241" w:firstLineChars="100"/>
        <w:jc w:val="left"/>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6、</w:t>
      </w:r>
      <w:r>
        <w:rPr>
          <w:rFonts w:hint="eastAsia" w:ascii="仿宋" w:hAnsi="仿宋" w:eastAsia="仿宋" w:cs="仿宋"/>
          <w:b/>
          <w:bCs/>
          <w:i w:val="0"/>
          <w:caps w:val="0"/>
          <w:color w:val="auto"/>
          <w:spacing w:val="0"/>
          <w:w w:val="100"/>
          <w:sz w:val="24"/>
          <w:szCs w:val="24"/>
          <w:highlight w:val="none"/>
          <w:lang w:val="en-US" w:eastAsia="zh-CN"/>
        </w:rPr>
        <w:t>确定中标人</w:t>
      </w:r>
    </w:p>
    <w:p>
      <w:pPr>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 规定的方式确定一个投标人获得中标人推荐资格，招标文件 未规定的采取随机抽取方式确定，其他同品牌投标人不作为中标候选人。</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评标委员会根据评审结果及招标文件的规定确定中标人。</w:t>
      </w:r>
    </w:p>
    <w:p>
      <w:pPr>
        <w:pStyle w:val="3"/>
        <w:jc w:val="center"/>
        <w:rPr>
          <w:rFonts w:hint="eastAsia" w:ascii="仿宋" w:hAnsi="仿宋" w:eastAsia="仿宋" w:cs="仿宋"/>
          <w:highlight w:val="none"/>
        </w:rPr>
      </w:pPr>
      <w:r>
        <w:rPr>
          <w:rFonts w:hint="eastAsia" w:ascii="仿宋" w:hAnsi="仿宋" w:eastAsia="仿宋" w:cs="仿宋"/>
          <w:color w:val="auto"/>
          <w:highlight w:val="none"/>
        </w:rPr>
        <w:t>初步评审—资格性审查表</w:t>
      </w:r>
    </w:p>
    <w:tbl>
      <w:tblPr>
        <w:tblStyle w:val="21"/>
        <w:tblpPr w:leftFromText="180" w:rightFromText="180" w:vertAnchor="text" w:horzAnchor="page" w:tblpXSpec="center" w:tblpY="234"/>
        <w:tblOverlap w:val="never"/>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6375"/>
        <w:gridCol w:w="1170"/>
        <w:gridCol w:w="111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3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评审内容</w:t>
            </w:r>
          </w:p>
        </w:tc>
        <w:tc>
          <w:tcPr>
            <w:tcW w:w="34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p>
        </w:tc>
        <w:tc>
          <w:tcPr>
            <w:tcW w:w="63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是否合格</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是否合格</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具有相应经营范围的企业营业执照、《银行开户许可证》或《基本存款账户信息》</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2</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法人本人投标需提供法人身份证复印件及法定代表人资格证明书；授权委托人投标需提供法人授权委托书、法人身份证复印件及被授权委托人身份证；</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3</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具有良好的商业信誉和健全的财务会计制度，提供2022年度经审计的财务报告；（2022年10月份后成立的公司提供近六个月的银行资信证明）；</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4</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投标企业在项目进行期内提供本单位缴纳的近六个月的社保缴纳证明、具有税务局开具依法缴纳近六个月的完税证明；</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5</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有效期内的《餐饮服务许可证》或《食品经营许可证》</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val="en-US" w:eastAsia="zh-CN"/>
              </w:rPr>
            </w:pP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大厨具备国家认可的二级厨师证及以上资质，二厨具备国家认可的三级厨师证及以上资质；</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6</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7</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提供针对本次项目《反商业贿赂承诺书》；</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8</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参加政府采购活动前三年内在经营活动中没有重大违法记录的书面声明；</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9</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缴纳投标保证的有效凭证</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Cs w:val="21"/>
                <w:highlight w:val="none"/>
              </w:rPr>
            </w:pP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结论</w:t>
            </w:r>
          </w:p>
        </w:tc>
        <w:tc>
          <w:tcPr>
            <w:tcW w:w="11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1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c>
          <w:tcPr>
            <w:tcW w:w="112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说明：（1）上述各项中用“√”表示</w:t>
      </w:r>
      <w:r>
        <w:rPr>
          <w:rFonts w:hint="eastAsia" w:ascii="仿宋" w:hAnsi="仿宋" w:eastAsia="仿宋" w:cs="仿宋"/>
          <w:color w:val="auto"/>
          <w:sz w:val="20"/>
          <w:szCs w:val="20"/>
          <w:highlight w:val="none"/>
          <w:lang w:val="en-US" w:eastAsia="zh-CN"/>
        </w:rPr>
        <w:t>合格</w:t>
      </w:r>
      <w:r>
        <w:rPr>
          <w:rFonts w:hint="eastAsia" w:ascii="仿宋" w:hAnsi="仿宋" w:eastAsia="仿宋" w:cs="仿宋"/>
          <w:color w:val="auto"/>
          <w:sz w:val="20"/>
          <w:szCs w:val="20"/>
          <w:highlight w:val="none"/>
        </w:rPr>
        <w:t>，“×”表示不</w:t>
      </w:r>
      <w:r>
        <w:rPr>
          <w:rFonts w:hint="eastAsia" w:ascii="仿宋" w:hAnsi="仿宋" w:eastAsia="仿宋" w:cs="仿宋"/>
          <w:color w:val="auto"/>
          <w:sz w:val="20"/>
          <w:szCs w:val="20"/>
          <w:highlight w:val="none"/>
          <w:lang w:val="en-US" w:eastAsia="zh-CN"/>
        </w:rPr>
        <w:t>合格</w:t>
      </w:r>
      <w:r>
        <w:rPr>
          <w:rFonts w:hint="eastAsia" w:ascii="仿宋" w:hAnsi="仿宋" w:eastAsia="仿宋" w:cs="仿宋"/>
          <w:color w:val="auto"/>
          <w:sz w:val="20"/>
          <w:szCs w:val="20"/>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（2）上述各项中如有一项为“×”，则结论为“不</w:t>
      </w:r>
      <w:r>
        <w:rPr>
          <w:rFonts w:hint="eastAsia" w:ascii="仿宋" w:hAnsi="仿宋" w:eastAsia="仿宋" w:cs="仿宋"/>
          <w:color w:val="auto"/>
          <w:sz w:val="20"/>
          <w:szCs w:val="20"/>
          <w:highlight w:val="none"/>
          <w:lang w:val="en-US" w:eastAsia="zh-CN"/>
        </w:rPr>
        <w:t>合格</w:t>
      </w:r>
      <w:r>
        <w:rPr>
          <w:rFonts w:hint="eastAsia" w:ascii="仿宋" w:hAnsi="仿宋" w:eastAsia="仿宋" w:cs="仿宋"/>
          <w:color w:val="auto"/>
          <w:sz w:val="20"/>
          <w:szCs w:val="20"/>
          <w:highlight w:val="none"/>
        </w:rPr>
        <w:t>”，表示该投标文件中存在重大偏差，不能通过初步评审；评委对某一分项评审认为不合格时，必须要写明原因。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（3）投标文件最终合格与否，以所有评委的评审意见中少数服从多数为原则定论。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highlight w:val="none"/>
        </w:rPr>
      </w:pPr>
      <w:r>
        <w:rPr>
          <w:rFonts w:hint="eastAsia" w:ascii="仿宋" w:hAnsi="仿宋" w:eastAsia="仿宋" w:cs="仿宋"/>
          <w:b/>
          <w:bCs/>
          <w:color w:val="auto"/>
          <w:sz w:val="20"/>
          <w:szCs w:val="20"/>
          <w:highlight w:val="none"/>
        </w:rPr>
        <w:t>未通过资格审查的</w:t>
      </w:r>
      <w:r>
        <w:rPr>
          <w:rFonts w:hint="eastAsia" w:ascii="仿宋" w:hAnsi="仿宋" w:eastAsia="仿宋" w:cs="仿宋"/>
          <w:b/>
          <w:bCs/>
          <w:color w:val="auto"/>
          <w:sz w:val="20"/>
          <w:szCs w:val="20"/>
          <w:highlight w:val="none"/>
          <w:lang w:eastAsia="zh-CN"/>
        </w:rPr>
        <w:t>供应商</w:t>
      </w:r>
      <w:r>
        <w:rPr>
          <w:rFonts w:hint="eastAsia" w:ascii="仿宋" w:hAnsi="仿宋" w:eastAsia="仿宋" w:cs="仿宋"/>
          <w:b/>
          <w:bCs/>
          <w:color w:val="auto"/>
          <w:sz w:val="20"/>
          <w:szCs w:val="20"/>
          <w:highlight w:val="none"/>
        </w:rPr>
        <w:t>不进入评标；通过资格审查的</w:t>
      </w:r>
      <w:r>
        <w:rPr>
          <w:rFonts w:hint="eastAsia" w:ascii="仿宋" w:hAnsi="仿宋" w:eastAsia="仿宋" w:cs="仿宋"/>
          <w:b/>
          <w:bCs/>
          <w:color w:val="auto"/>
          <w:sz w:val="20"/>
          <w:szCs w:val="20"/>
          <w:highlight w:val="none"/>
          <w:lang w:eastAsia="zh-CN"/>
        </w:rPr>
        <w:t>供应商</w:t>
      </w:r>
      <w:r>
        <w:rPr>
          <w:rFonts w:hint="eastAsia" w:ascii="仿宋" w:hAnsi="仿宋" w:eastAsia="仿宋" w:cs="仿宋"/>
          <w:b/>
          <w:bCs/>
          <w:color w:val="auto"/>
          <w:sz w:val="20"/>
          <w:szCs w:val="20"/>
          <w:highlight w:val="none"/>
        </w:rPr>
        <w:t>少于不足三家的，不得评标。</w:t>
      </w:r>
      <w:bookmarkStart w:id="619" w:name="_Toc273"/>
      <w:bookmarkStart w:id="620" w:name="_Toc8255"/>
      <w:bookmarkStart w:id="621" w:name="_Toc3062"/>
      <w:bookmarkStart w:id="622" w:name="_Toc28858"/>
      <w:bookmarkStart w:id="623" w:name="_Toc27246"/>
      <w:bookmarkStart w:id="624" w:name="_Toc13854"/>
      <w:bookmarkStart w:id="625" w:name="_Toc31983"/>
    </w:p>
    <w:p>
      <w:pPr>
        <w:rPr>
          <w:rFonts w:hint="eastAsia" w:ascii="仿宋" w:hAnsi="仿宋" w:eastAsia="仿宋" w:cs="仿宋"/>
          <w:highlight w:val="none"/>
          <w:lang w:val="en-US" w:eastAsia="zh-CN"/>
        </w:rPr>
        <w:sectPr>
          <w:headerReference r:id="rId6" w:type="default"/>
          <w:footerReference r:id="rId7" w:type="default"/>
          <w:pgSz w:w="11906" w:h="16838"/>
          <w:pgMar w:top="1418" w:right="946" w:bottom="567" w:left="1500" w:header="851" w:footer="992" w:gutter="0"/>
          <w:pgNumType w:fmt="decimal"/>
          <w:cols w:space="720" w:num="1"/>
          <w:docGrid w:type="lines" w:linePitch="312" w:charSpace="0"/>
        </w:sectPr>
      </w:pPr>
      <w:r>
        <w:rPr>
          <w:rFonts w:hint="eastAsia" w:ascii="仿宋" w:hAnsi="仿宋" w:eastAsia="仿宋" w:cs="仿宋"/>
          <w:highlight w:val="none"/>
          <w:lang w:val="en-US" w:eastAsia="zh-CN"/>
        </w:rPr>
        <w:t xml:space="preserve">  </w:t>
      </w:r>
    </w:p>
    <w:p>
      <w:pPr>
        <w:pStyle w:val="3"/>
        <w:ind w:firstLine="2409" w:firstLineChars="800"/>
        <w:jc w:val="both"/>
        <w:rPr>
          <w:rFonts w:hint="eastAsia" w:ascii="仿宋" w:hAnsi="仿宋" w:eastAsia="仿宋" w:cs="仿宋"/>
          <w:color w:val="auto"/>
          <w:highlight w:val="none"/>
        </w:rPr>
      </w:pPr>
      <w:r>
        <w:rPr>
          <w:rFonts w:hint="eastAsia" w:ascii="仿宋" w:hAnsi="仿宋" w:eastAsia="仿宋" w:cs="仿宋"/>
          <w:color w:val="auto"/>
          <w:highlight w:val="none"/>
        </w:rPr>
        <w:t>初步评审—符合性审查表</w:t>
      </w:r>
      <w:bookmarkEnd w:id="619"/>
      <w:bookmarkEnd w:id="620"/>
      <w:bookmarkEnd w:id="621"/>
      <w:bookmarkEnd w:id="622"/>
      <w:bookmarkEnd w:id="623"/>
      <w:bookmarkEnd w:id="624"/>
      <w:bookmarkEnd w:id="625"/>
    </w:p>
    <w:tbl>
      <w:tblPr>
        <w:tblStyle w:val="21"/>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1168"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7596" w:type="dxa"/>
            <w:vAlign w:val="center"/>
          </w:tcPr>
          <w:p>
            <w:pPr>
              <w:spacing w:line="400" w:lineRule="exact"/>
              <w:rPr>
                <w:rFonts w:hint="eastAsia" w:ascii="仿宋" w:hAnsi="仿宋" w:eastAsia="仿宋" w:cs="仿宋"/>
                <w:color w:val="auto"/>
                <w:spacing w:val="-2"/>
                <w:szCs w:val="21"/>
                <w:highlight w:val="none"/>
              </w:rPr>
            </w:pPr>
          </w:p>
        </w:tc>
        <w:tc>
          <w:tcPr>
            <w:tcW w:w="1168"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各供应商投标报价未高于预算金额；</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评标委员会认为供应商的报价无明显低于其他通过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性审查供应商的报价的，供应商的报价不存在异常一致并成规律性的，其报价合理；</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投标文件按照招标文件的规定编制、标记及签署盖章的，法定代表人或其授权代表签字（章）和加盖供应商</w:t>
            </w:r>
            <w:r>
              <w:rPr>
                <w:rFonts w:hint="eastAsia" w:ascii="仿宋" w:hAnsi="仿宋" w:eastAsia="仿宋" w:cs="仿宋"/>
                <w:color w:val="auto"/>
                <w:spacing w:val="-2"/>
                <w:szCs w:val="21"/>
                <w:highlight w:val="none"/>
                <w:lang w:eastAsia="zh-CN"/>
              </w:rPr>
              <w:t>鲜</w:t>
            </w:r>
            <w:r>
              <w:rPr>
                <w:rFonts w:hint="eastAsia" w:ascii="仿宋" w:hAnsi="仿宋" w:eastAsia="仿宋" w:cs="仿宋"/>
                <w:color w:val="auto"/>
                <w:spacing w:val="-2"/>
                <w:szCs w:val="21"/>
                <w:highlight w:val="none"/>
              </w:rPr>
              <w:t>章的（投标文件正本的印章和签字不能为复印件）；</w:t>
            </w:r>
          </w:p>
        </w:tc>
        <w:tc>
          <w:tcPr>
            <w:tcW w:w="1168" w:type="dxa"/>
            <w:vAlign w:val="center"/>
          </w:tcPr>
          <w:p>
            <w:pPr>
              <w:spacing w:line="400" w:lineRule="exac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7596" w:type="dxa"/>
            <w:vAlign w:val="center"/>
          </w:tcPr>
          <w:p>
            <w:pPr>
              <w:spacing w:line="400" w:lineRule="exact"/>
              <w:jc w:val="both"/>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所投产品的设备及数量满足招标文件要求的（可参考分项报价表）；</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按招标文件规定的格式填写，内容全或数量等齐全的；</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符合招标文件中规定的其他实质性要求</w:t>
            </w:r>
            <w:r>
              <w:rPr>
                <w:rFonts w:hint="eastAsia" w:ascii="仿宋" w:hAnsi="仿宋" w:eastAsia="仿宋" w:cs="仿宋"/>
                <w:b/>
                <w:bCs/>
                <w:color w:val="auto"/>
                <w:spacing w:val="-2"/>
                <w:szCs w:val="21"/>
                <w:highlight w:val="none"/>
              </w:rPr>
              <w:t>（</w:t>
            </w:r>
            <w:r>
              <w:rPr>
                <w:rFonts w:hint="eastAsia" w:ascii="仿宋" w:hAnsi="仿宋" w:eastAsia="仿宋" w:cs="仿宋"/>
                <w:b/>
                <w:bCs/>
                <w:color w:val="auto"/>
                <w:spacing w:val="-2"/>
                <w:szCs w:val="21"/>
                <w:highlight w:val="none"/>
                <w:lang w:val="en-US" w:eastAsia="zh-CN"/>
              </w:rPr>
              <w:t>服务期</w:t>
            </w:r>
            <w:r>
              <w:rPr>
                <w:rFonts w:hint="eastAsia" w:ascii="仿宋" w:hAnsi="仿宋" w:eastAsia="仿宋" w:cs="仿宋"/>
                <w:b/>
                <w:bCs/>
                <w:color w:val="auto"/>
                <w:spacing w:val="-2"/>
                <w:szCs w:val="21"/>
                <w:highlight w:val="none"/>
              </w:rPr>
              <w:t>等）</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7596" w:type="dxa"/>
            <w:vAlign w:val="bottom"/>
          </w:tcPr>
          <w:p>
            <w:pPr>
              <w:spacing w:line="400" w:lineRule="exact"/>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不同供应商的投标文件没有错漏一致的情况；</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9</w:t>
            </w:r>
          </w:p>
        </w:tc>
        <w:tc>
          <w:tcPr>
            <w:tcW w:w="7596" w:type="dxa"/>
            <w:vAlign w:val="bottom"/>
          </w:tcPr>
          <w:p>
            <w:pPr>
              <w:spacing w:line="400" w:lineRule="exact"/>
              <w:jc w:val="left"/>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供应商附有详细地址、联系人、电话标明的</w:t>
            </w:r>
            <w:r>
              <w:rPr>
                <w:rFonts w:hint="eastAsia" w:ascii="仿宋" w:hAnsi="仿宋" w:eastAsia="仿宋" w:cs="仿宋"/>
                <w:color w:val="auto"/>
                <w:spacing w:val="-2"/>
                <w:szCs w:val="21"/>
                <w:highlight w:val="none"/>
                <w:lang w:eastAsia="zh-CN"/>
              </w:rPr>
              <w:t>。</w:t>
            </w:r>
          </w:p>
        </w:tc>
        <w:tc>
          <w:tcPr>
            <w:tcW w:w="1168" w:type="dxa"/>
            <w:vAlign w:val="center"/>
          </w:tcPr>
          <w:p>
            <w:pPr>
              <w:spacing w:line="400" w:lineRule="exact"/>
              <w:rPr>
                <w:rFonts w:hint="eastAsia" w:ascii="仿宋" w:hAnsi="仿宋" w:eastAsia="仿宋" w:cs="仿宋"/>
                <w:color w:val="auto"/>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vAlign w:val="center"/>
          </w:tcPr>
          <w:p>
            <w:pPr>
              <w:spacing w:line="400" w:lineRule="exact"/>
              <w:ind w:firstLine="370"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Cs w:val="21"/>
                <w:highlight w:val="none"/>
              </w:rPr>
              <w:t>结论：通过评审打“√”，未通过评审打“×”</w:t>
            </w:r>
          </w:p>
        </w:tc>
        <w:tc>
          <w:tcPr>
            <w:tcW w:w="1168" w:type="dxa"/>
            <w:vAlign w:val="center"/>
          </w:tcPr>
          <w:p>
            <w:pPr>
              <w:spacing w:line="400" w:lineRule="exact"/>
              <w:ind w:firstLine="370" w:firstLineChars="180"/>
              <w:rPr>
                <w:rFonts w:hint="eastAsia" w:ascii="仿宋" w:hAnsi="仿宋" w:eastAsia="仿宋" w:cs="仿宋"/>
                <w:color w:val="auto"/>
                <w:spacing w:val="-2"/>
                <w:szCs w:val="21"/>
                <w:highlight w:val="none"/>
              </w:rPr>
            </w:pPr>
          </w:p>
        </w:tc>
      </w:tr>
    </w:tbl>
    <w:p>
      <w:pPr>
        <w:spacing w:line="300" w:lineRule="auto"/>
        <w:ind w:left="6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pPr>
        <w:spacing w:line="300" w:lineRule="auto"/>
        <w:ind w:left="6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pPr>
        <w:spacing w:line="300" w:lineRule="auto"/>
        <w:ind w:left="689" w:leftChars="28"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（2）上述各项中如有一项为“×”，则结论为“不合格”，表示该投标文件中存在重大偏差，不能通过初步评审；评委对某一分项评审认为不合格时，必须要写明原因。</w:t>
      </w:r>
    </w:p>
    <w:p>
      <w:pPr>
        <w:pStyle w:val="5"/>
        <w:spacing w:line="300" w:lineRule="auto"/>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pPr>
        <w:spacing w:line="240" w:lineRule="atLeast"/>
        <w:rPr>
          <w:rFonts w:hint="eastAsia" w:ascii="仿宋" w:hAnsi="仿宋" w:eastAsia="仿宋" w:cs="仿宋"/>
          <w:color w:val="auto"/>
          <w:sz w:val="21"/>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少于不足三家的，不得评标。</w:t>
      </w:r>
    </w:p>
    <w:p>
      <w:pPr>
        <w:pStyle w:val="17"/>
        <w:rPr>
          <w:rFonts w:hint="eastAsia" w:ascii="仿宋" w:hAnsi="仿宋" w:eastAsia="仿宋" w:cs="仿宋"/>
          <w:color w:val="auto"/>
          <w:sz w:val="21"/>
          <w:szCs w:val="21"/>
          <w:highlight w:val="none"/>
        </w:rPr>
      </w:pPr>
    </w:p>
    <w:p>
      <w:pPr>
        <w:pStyle w:val="17"/>
        <w:rPr>
          <w:rFonts w:hint="eastAsia" w:ascii="仿宋" w:hAnsi="仿宋" w:eastAsia="仿宋" w:cs="仿宋"/>
          <w:color w:val="auto"/>
          <w:sz w:val="21"/>
          <w:szCs w:val="21"/>
          <w:highlight w:val="none"/>
        </w:rPr>
      </w:pPr>
    </w:p>
    <w:p>
      <w:pPr>
        <w:pStyle w:val="17"/>
        <w:rPr>
          <w:rFonts w:hint="eastAsia" w:ascii="仿宋" w:hAnsi="仿宋" w:eastAsia="仿宋" w:cs="仿宋"/>
          <w:color w:val="auto"/>
          <w:sz w:val="21"/>
          <w:szCs w:val="21"/>
          <w:highlight w:val="none"/>
        </w:rPr>
      </w:pPr>
    </w:p>
    <w:p>
      <w:pPr>
        <w:pStyle w:val="17"/>
        <w:rPr>
          <w:rFonts w:hint="eastAsia" w:ascii="仿宋" w:hAnsi="仿宋" w:eastAsia="仿宋" w:cs="仿宋"/>
          <w:color w:val="auto"/>
          <w:sz w:val="21"/>
          <w:szCs w:val="21"/>
          <w:highlight w:val="none"/>
        </w:rPr>
        <w:sectPr>
          <w:pgSz w:w="11906" w:h="16838"/>
          <w:pgMar w:top="1418" w:right="946" w:bottom="567" w:left="1500" w:header="851" w:footer="992" w:gutter="0"/>
          <w:pgNumType w:fmt="decimal"/>
          <w:cols w:space="720" w:num="1"/>
          <w:docGrid w:type="lines" w:linePitch="312" w:charSpace="0"/>
        </w:sectPr>
      </w:pPr>
    </w:p>
    <w:tbl>
      <w:tblPr>
        <w:tblStyle w:val="21"/>
        <w:tblW w:w="8700" w:type="dxa"/>
        <w:tblInd w:w="108" w:type="dxa"/>
        <w:tblLayout w:type="fixed"/>
        <w:tblCellMar>
          <w:top w:w="0" w:type="dxa"/>
          <w:left w:w="108" w:type="dxa"/>
          <w:bottom w:w="0" w:type="dxa"/>
          <w:right w:w="108" w:type="dxa"/>
        </w:tblCellMar>
      </w:tblPr>
      <w:tblGrid>
        <w:gridCol w:w="2111"/>
        <w:gridCol w:w="4665"/>
        <w:gridCol w:w="705"/>
        <w:gridCol w:w="600"/>
        <w:gridCol w:w="619"/>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0"/>
            <w:vAlign w:val="center"/>
          </w:tcPr>
          <w:p>
            <w:pPr>
              <w:widowControl/>
              <w:spacing w:line="36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一、商务符合性审查表</w:t>
            </w:r>
          </w:p>
        </w:tc>
      </w:tr>
      <w:tr>
        <w:tblPrEx>
          <w:tblCellMar>
            <w:top w:w="0" w:type="dxa"/>
            <w:left w:w="108" w:type="dxa"/>
            <w:bottom w:w="0" w:type="dxa"/>
            <w:right w:w="108" w:type="dxa"/>
          </w:tblCellMar>
        </w:tblPrEx>
        <w:trPr>
          <w:trHeight w:val="459" w:hRule="atLeast"/>
        </w:trPr>
        <w:tc>
          <w:tcPr>
            <w:tcW w:w="67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审查事项</w:t>
            </w: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lang w:eastAsia="zh-CN"/>
              </w:rPr>
              <w:t>供应商</w:t>
            </w:r>
            <w:r>
              <w:rPr>
                <w:rFonts w:hint="eastAsia" w:ascii="仿宋" w:hAnsi="仿宋" w:eastAsia="仿宋" w:cs="仿宋"/>
                <w:b/>
                <w:color w:val="auto"/>
                <w:kern w:val="0"/>
                <w:sz w:val="22"/>
                <w:szCs w:val="22"/>
                <w:highlight w:val="none"/>
              </w:rPr>
              <w:t>名称及审查情况</w:t>
            </w:r>
          </w:p>
        </w:tc>
      </w:tr>
      <w:tr>
        <w:tblPrEx>
          <w:tblCellMar>
            <w:top w:w="0" w:type="dxa"/>
            <w:left w:w="108" w:type="dxa"/>
            <w:bottom w:w="0" w:type="dxa"/>
            <w:right w:w="108" w:type="dxa"/>
          </w:tblCellMar>
        </w:tblPrEx>
        <w:trPr>
          <w:trHeight w:val="98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招标文件条款（</w:t>
            </w:r>
            <w:r>
              <w:rPr>
                <w:rFonts w:hint="eastAsia" w:ascii="仿宋" w:hAnsi="仿宋" w:eastAsia="仿宋" w:cs="仿宋"/>
                <w:b/>
                <w:color w:val="auto"/>
                <w:kern w:val="0"/>
                <w:sz w:val="22"/>
                <w:szCs w:val="22"/>
                <w:highlight w:val="none"/>
                <w:lang w:eastAsia="zh-CN"/>
              </w:rPr>
              <w:t>供应商</w:t>
            </w:r>
            <w:r>
              <w:rPr>
                <w:rFonts w:hint="eastAsia" w:ascii="仿宋" w:hAnsi="仿宋" w:eastAsia="仿宋" w:cs="仿宋"/>
                <w:b/>
                <w:color w:val="auto"/>
                <w:kern w:val="0"/>
                <w:sz w:val="22"/>
                <w:szCs w:val="22"/>
                <w:highlight w:val="none"/>
              </w:rPr>
              <w:t>须知、</w:t>
            </w:r>
            <w:r>
              <w:rPr>
                <w:rFonts w:hint="eastAsia" w:ascii="仿宋" w:hAnsi="仿宋" w:eastAsia="仿宋" w:cs="仿宋"/>
                <w:b/>
                <w:color w:val="auto"/>
                <w:kern w:val="0"/>
                <w:sz w:val="22"/>
                <w:szCs w:val="22"/>
                <w:highlight w:val="none"/>
                <w:lang w:eastAsia="zh-CN"/>
              </w:rPr>
              <w:t>供应商</w:t>
            </w:r>
            <w:r>
              <w:rPr>
                <w:rFonts w:hint="eastAsia" w:ascii="仿宋" w:hAnsi="仿宋" w:eastAsia="仿宋" w:cs="仿宋"/>
                <w:b/>
                <w:color w:val="auto"/>
                <w:kern w:val="0"/>
                <w:sz w:val="22"/>
                <w:szCs w:val="22"/>
                <w:highlight w:val="none"/>
              </w:rPr>
              <w:t>须知资料表条款号）</w:t>
            </w:r>
          </w:p>
        </w:tc>
        <w:tc>
          <w:tcPr>
            <w:tcW w:w="46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本项目要求</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9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中小企业投标要求（1.3.6）</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u w:val="single"/>
                <w:lang w:val="en-US" w:eastAsia="zh-CN"/>
              </w:rPr>
              <w:t>适</w:t>
            </w:r>
            <w:r>
              <w:rPr>
                <w:rFonts w:hint="eastAsia" w:ascii="仿宋" w:hAnsi="仿宋" w:eastAsia="仿宋" w:cs="仿宋"/>
                <w:i/>
                <w:iCs/>
                <w:color w:val="auto"/>
                <w:kern w:val="0"/>
                <w:szCs w:val="21"/>
                <w:highlight w:val="none"/>
                <w:u w:val="single"/>
              </w:rPr>
              <w:t>用</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65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联合体投标规定</w:t>
            </w:r>
          </w:p>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iCs/>
                <w:color w:val="auto"/>
                <w:kern w:val="0"/>
                <w:szCs w:val="21"/>
                <w:highlight w:val="none"/>
                <w:u w:val="single"/>
              </w:rPr>
              <w:t>不接受</w:t>
            </w:r>
            <w:r>
              <w:rPr>
                <w:rFonts w:hint="eastAsia" w:ascii="仿宋" w:hAnsi="仿宋" w:eastAsia="仿宋" w:cs="仿宋"/>
                <w:color w:val="auto"/>
                <w:kern w:val="0"/>
                <w:szCs w:val="21"/>
                <w:highlight w:val="none"/>
              </w:rPr>
              <w:t>联合体投标</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62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的关联性</w:t>
            </w:r>
          </w:p>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（1.5）</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在同一标包内，单位负责人为非同一人或者不存在直接控股、管理关系的不同</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未发现影响采购人决策行为（1.5）</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在投标过程中未向采购人提供、给予任何有价值的物品，影响其正常决策行为。</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满足投标范围的完整性要求（8.1）</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对所投分包招标文件中所列的所有内容进行投标。</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未包含价格调整要求（11.4）</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所报的各分项投标报价在合同履行过程中是固定不变的，不得以任何理由予以变更。</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46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投标保证金（12.1）</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符合招标文件要求</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投标有效期满足要求（13.1）</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9</w:t>
            </w:r>
            <w:r>
              <w:rPr>
                <w:rFonts w:hint="eastAsia" w:ascii="仿宋" w:hAnsi="仿宋" w:eastAsia="仿宋" w:cs="仿宋"/>
                <w:color w:val="auto"/>
                <w:szCs w:val="21"/>
                <w:highlight w:val="none"/>
                <w:u w:val="single"/>
              </w:rPr>
              <w:t>0 日</w:t>
            </w:r>
            <w:r>
              <w:rPr>
                <w:rFonts w:hint="eastAsia" w:ascii="仿宋" w:hAnsi="仿宋" w:eastAsia="仿宋" w:cs="仿宋"/>
                <w:color w:val="auto"/>
                <w:szCs w:val="21"/>
                <w:highlight w:val="none"/>
              </w:rPr>
              <w:t>历日</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投标文件的装订方式（14.3）</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所有投标文件采用不可拆装的胶订方式装订</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投标文件的签署和盖章符合要求</w:t>
            </w:r>
          </w:p>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（14.2、14.4）</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按照招标文件规定要求签署、盖章。</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接受价格的算术修正（20.3）</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投标文件报价出现前后不一致的，应按照招标文件规定的顺序修正。修正后的报价经</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确认后产生约束力。</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未发现串通投标（22.2）</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未与其他</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串通投标，或者与招标人串通投标。</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报价说明可以接受（22.2）</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的报价明显低于其他通过符合性检查</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的报价，有可能影响履约的，</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能按照规定证明其报价合理性。</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10" w:hRule="atLeast"/>
        </w:trPr>
        <w:tc>
          <w:tcPr>
            <w:tcW w:w="21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无采购人不能接受的附加条件（22.2）</w:t>
            </w:r>
          </w:p>
        </w:tc>
        <w:tc>
          <w:tcPr>
            <w:tcW w:w="4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投标文件未含有采购人不能接受的附加条件。</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579" w:hRule="atLeast"/>
        </w:trPr>
        <w:tc>
          <w:tcPr>
            <w:tcW w:w="67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kern w:val="0"/>
                <w:sz w:val="22"/>
                <w:szCs w:val="22"/>
                <w:highlight w:val="none"/>
              </w:rPr>
              <w:t>结论</w:t>
            </w:r>
          </w:p>
        </w:tc>
        <w:tc>
          <w:tcPr>
            <w:tcW w:w="70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60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61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r>
    </w:tbl>
    <w:p>
      <w:pPr>
        <w:pStyle w:val="17"/>
        <w:rPr>
          <w:rFonts w:hint="eastAsia" w:ascii="仿宋" w:hAnsi="仿宋" w:eastAsia="仿宋" w:cs="仿宋"/>
          <w:color w:val="auto"/>
          <w:sz w:val="21"/>
          <w:szCs w:val="21"/>
          <w:highlight w:val="none"/>
        </w:rPr>
        <w:sectPr>
          <w:pgSz w:w="11906" w:h="16838"/>
          <w:pgMar w:top="1418" w:right="946" w:bottom="567" w:left="1500" w:header="851" w:footer="992" w:gutter="0"/>
          <w:pgNumType w:fmt="decimal"/>
          <w:cols w:space="720" w:num="1"/>
          <w:docGrid w:type="lines" w:linePitch="312" w:charSpace="0"/>
        </w:sectPr>
      </w:pPr>
    </w:p>
    <w:p>
      <w:pPr>
        <w:pStyle w:val="7"/>
        <w:tabs>
          <w:tab w:val="clear" w:pos="567"/>
        </w:tabs>
        <w:spacing w:before="0" w:line="360" w:lineRule="exact"/>
        <w:rPr>
          <w:rFonts w:hint="eastAsia" w:ascii="仿宋" w:hAnsi="仿宋" w:eastAsia="仿宋" w:cs="仿宋"/>
          <w:color w:val="auto"/>
          <w:highlight w:val="none"/>
        </w:rPr>
      </w:pPr>
    </w:p>
    <w:tbl>
      <w:tblPr>
        <w:tblStyle w:val="21"/>
        <w:tblW w:w="8700" w:type="dxa"/>
        <w:tblInd w:w="108" w:type="dxa"/>
        <w:tblLayout w:type="fixed"/>
        <w:tblCellMar>
          <w:top w:w="0" w:type="dxa"/>
          <w:left w:w="108" w:type="dxa"/>
          <w:bottom w:w="0" w:type="dxa"/>
          <w:right w:w="108" w:type="dxa"/>
        </w:tblCellMar>
      </w:tblPr>
      <w:tblGrid>
        <w:gridCol w:w="2820"/>
        <w:gridCol w:w="920"/>
        <w:gridCol w:w="1505"/>
        <w:gridCol w:w="1843"/>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noWrap w:val="0"/>
            <w:vAlign w:val="center"/>
          </w:tcPr>
          <w:p>
            <w:pPr>
              <w:widowControl/>
              <w:spacing w:line="360" w:lineRule="exact"/>
              <w:jc w:val="both"/>
              <w:rPr>
                <w:rFonts w:hint="eastAsia" w:ascii="仿宋" w:hAnsi="仿宋" w:eastAsia="仿宋" w:cs="仿宋"/>
                <w:b/>
                <w:bCs/>
                <w:color w:val="auto"/>
                <w:kern w:val="0"/>
                <w:sz w:val="32"/>
                <w:szCs w:val="32"/>
                <w:highlight w:val="none"/>
              </w:rPr>
            </w:pPr>
          </w:p>
          <w:p>
            <w:pPr>
              <w:widowControl/>
              <w:spacing w:line="360" w:lineRule="exact"/>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技术符合性审查表</w:t>
            </w:r>
          </w:p>
        </w:tc>
      </w:tr>
      <w:tr>
        <w:tblPrEx>
          <w:tblCellMar>
            <w:top w:w="0" w:type="dxa"/>
            <w:left w:w="108" w:type="dxa"/>
            <w:bottom w:w="0" w:type="dxa"/>
            <w:right w:w="108" w:type="dxa"/>
          </w:tblCellMar>
        </w:tblPrEx>
        <w:trPr>
          <w:trHeight w:val="390" w:hRule="atLeast"/>
        </w:trPr>
        <w:tc>
          <w:tcPr>
            <w:tcW w:w="374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审查事项</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名称</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名称</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名称</w:t>
            </w:r>
          </w:p>
        </w:tc>
      </w:tr>
      <w:tr>
        <w:tblPrEx>
          <w:tblCellMar>
            <w:top w:w="0" w:type="dxa"/>
            <w:left w:w="108" w:type="dxa"/>
            <w:bottom w:w="0" w:type="dxa"/>
            <w:right w:w="108" w:type="dxa"/>
          </w:tblCellMar>
        </w:tblPrEx>
        <w:trPr>
          <w:trHeight w:val="570" w:hRule="atLeast"/>
        </w:trPr>
        <w:tc>
          <w:tcPr>
            <w:tcW w:w="374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招标文件要求</w:t>
            </w: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条款号</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eastAsia="zh-CN"/>
              </w:rPr>
              <w:t>货物</w:t>
            </w:r>
            <w:r>
              <w:rPr>
                <w:rFonts w:hint="eastAsia" w:ascii="仿宋" w:hAnsi="仿宋" w:eastAsia="仿宋" w:cs="仿宋"/>
                <w:color w:val="auto"/>
                <w:kern w:val="0"/>
                <w:sz w:val="22"/>
                <w:szCs w:val="22"/>
                <w:highlight w:val="none"/>
              </w:rPr>
              <w:t>需求一览表</w:t>
            </w: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第5章</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nil"/>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nil"/>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nil"/>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nil"/>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nil"/>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282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570" w:hRule="atLeast"/>
        </w:trPr>
        <w:tc>
          <w:tcPr>
            <w:tcW w:w="37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结论</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w:t>
            </w:r>
          </w:p>
        </w:tc>
      </w:tr>
      <w:tr>
        <w:tblPrEx>
          <w:tblCellMar>
            <w:top w:w="0" w:type="dxa"/>
            <w:left w:w="108" w:type="dxa"/>
            <w:bottom w:w="0" w:type="dxa"/>
            <w:right w:w="108" w:type="dxa"/>
          </w:tblCellMar>
        </w:tblPrEx>
        <w:trPr>
          <w:trHeight w:val="465" w:hRule="atLeast"/>
        </w:trPr>
        <w:tc>
          <w:tcPr>
            <w:tcW w:w="2820" w:type="dxa"/>
            <w:tcBorders>
              <w:top w:val="nil"/>
              <w:left w:val="nil"/>
              <w:bottom w:val="nil"/>
              <w:right w:val="nil"/>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920" w:type="dxa"/>
            <w:tcBorders>
              <w:top w:val="nil"/>
              <w:left w:val="nil"/>
              <w:bottom w:val="nil"/>
              <w:right w:val="nil"/>
            </w:tcBorders>
            <w:noWrap w:val="0"/>
            <w:vAlign w:val="center"/>
          </w:tcPr>
          <w:p>
            <w:pPr>
              <w:widowControl/>
              <w:spacing w:line="360" w:lineRule="exact"/>
              <w:jc w:val="center"/>
              <w:rPr>
                <w:rFonts w:hint="eastAsia" w:ascii="仿宋" w:hAnsi="仿宋" w:eastAsia="仿宋" w:cs="仿宋"/>
                <w:color w:val="auto"/>
                <w:kern w:val="0"/>
                <w:sz w:val="22"/>
                <w:szCs w:val="22"/>
                <w:highlight w:val="none"/>
              </w:rPr>
            </w:pPr>
          </w:p>
        </w:tc>
        <w:tc>
          <w:tcPr>
            <w:tcW w:w="1505" w:type="dxa"/>
            <w:tcBorders>
              <w:top w:val="nil"/>
              <w:left w:val="nil"/>
              <w:bottom w:val="nil"/>
              <w:right w:val="nil"/>
            </w:tcBorders>
            <w:noWrap w:val="0"/>
            <w:vAlign w:val="center"/>
          </w:tcPr>
          <w:p>
            <w:pPr>
              <w:widowControl/>
              <w:spacing w:line="360" w:lineRule="exact"/>
              <w:jc w:val="center"/>
              <w:rPr>
                <w:rFonts w:hint="eastAsia" w:ascii="仿宋" w:hAnsi="仿宋" w:eastAsia="仿宋" w:cs="仿宋"/>
                <w:color w:val="auto"/>
                <w:kern w:val="0"/>
                <w:sz w:val="20"/>
                <w:szCs w:val="20"/>
                <w:highlight w:val="none"/>
              </w:rPr>
            </w:pPr>
          </w:p>
        </w:tc>
        <w:tc>
          <w:tcPr>
            <w:tcW w:w="1843" w:type="dxa"/>
            <w:tcBorders>
              <w:top w:val="nil"/>
              <w:left w:val="nil"/>
              <w:bottom w:val="nil"/>
              <w:right w:val="nil"/>
            </w:tcBorders>
            <w:noWrap w:val="0"/>
            <w:vAlign w:val="center"/>
          </w:tcPr>
          <w:p>
            <w:pPr>
              <w:widowControl/>
              <w:spacing w:line="360" w:lineRule="exact"/>
              <w:jc w:val="left"/>
              <w:rPr>
                <w:rFonts w:hint="eastAsia" w:ascii="仿宋" w:hAnsi="仿宋" w:eastAsia="仿宋" w:cs="仿宋"/>
                <w:color w:val="auto"/>
                <w:kern w:val="0"/>
                <w:sz w:val="20"/>
                <w:szCs w:val="20"/>
                <w:highlight w:val="none"/>
              </w:rPr>
            </w:pPr>
          </w:p>
        </w:tc>
        <w:tc>
          <w:tcPr>
            <w:tcW w:w="1612" w:type="dxa"/>
            <w:tcBorders>
              <w:top w:val="nil"/>
              <w:left w:val="nil"/>
              <w:bottom w:val="nil"/>
              <w:right w:val="nil"/>
            </w:tcBorders>
            <w:noWrap w:val="0"/>
            <w:vAlign w:val="center"/>
          </w:tcPr>
          <w:p>
            <w:pPr>
              <w:widowControl/>
              <w:spacing w:line="360" w:lineRule="exact"/>
              <w:jc w:val="left"/>
              <w:rPr>
                <w:rFonts w:hint="eastAsia" w:ascii="仿宋" w:hAnsi="仿宋" w:eastAsia="仿宋" w:cs="仿宋"/>
                <w:color w:val="auto"/>
                <w:kern w:val="0"/>
                <w:sz w:val="22"/>
                <w:szCs w:val="22"/>
                <w:highlight w:val="none"/>
              </w:rPr>
            </w:pPr>
          </w:p>
        </w:tc>
      </w:tr>
    </w:tbl>
    <w:p>
      <w:pPr>
        <w:rPr>
          <w:rFonts w:hint="eastAsia" w:ascii="仿宋" w:hAnsi="仿宋" w:eastAsia="仿宋" w:cs="仿宋"/>
          <w:color w:val="auto"/>
          <w:highlight w:val="none"/>
        </w:rPr>
        <w:sectPr>
          <w:pgSz w:w="11906" w:h="16838"/>
          <w:pgMar w:top="1418" w:right="946" w:bottom="567" w:left="1500" w:header="851" w:footer="992" w:gutter="0"/>
          <w:pgNumType w:fmt="decimal"/>
          <w:cols w:space="720" w:num="1"/>
          <w:docGrid w:type="lines" w:linePitch="312" w:charSpace="0"/>
        </w:sectPr>
      </w:pPr>
    </w:p>
    <w:p>
      <w:pPr>
        <w:jc w:val="center"/>
        <w:rPr>
          <w:rFonts w:hint="eastAsia" w:ascii="仿宋" w:hAnsi="仿宋" w:eastAsia="仿宋" w:cs="仿宋"/>
          <w:b/>
          <w:bCs/>
          <w:sz w:val="24"/>
          <w:szCs w:val="32"/>
          <w:highlight w:val="none"/>
        </w:rPr>
      </w:pPr>
      <w:bookmarkStart w:id="626" w:name="_Toc507399904"/>
      <w:r>
        <w:rPr>
          <w:rFonts w:hint="eastAsia" w:ascii="仿宋" w:hAnsi="仿宋" w:eastAsia="仿宋" w:cs="仿宋"/>
          <w:b/>
          <w:bCs/>
          <w:sz w:val="24"/>
          <w:szCs w:val="32"/>
          <w:highlight w:val="none"/>
          <w:lang w:val="en-US" w:eastAsia="zh-CN"/>
        </w:rPr>
        <w:t xml:space="preserve">     </w:t>
      </w:r>
      <w:r>
        <w:rPr>
          <w:rFonts w:hint="eastAsia" w:ascii="仿宋" w:hAnsi="仿宋" w:eastAsia="仿宋" w:cs="仿宋"/>
          <w:b/>
          <w:bCs/>
          <w:sz w:val="28"/>
          <w:szCs w:val="36"/>
          <w:highlight w:val="none"/>
          <w:lang w:val="en-US" w:eastAsia="zh-CN"/>
        </w:rPr>
        <w:t xml:space="preserve">   </w:t>
      </w:r>
      <w:r>
        <w:rPr>
          <w:rFonts w:hint="eastAsia" w:ascii="仿宋" w:hAnsi="仿宋" w:eastAsia="仿宋" w:cs="仿宋"/>
          <w:b/>
          <w:bCs/>
          <w:sz w:val="28"/>
          <w:szCs w:val="36"/>
          <w:highlight w:val="none"/>
        </w:rPr>
        <w:t>综合评分表</w:t>
      </w:r>
    </w:p>
    <w:tbl>
      <w:tblPr>
        <w:tblStyle w:val="21"/>
        <w:tblpPr w:leftFromText="180" w:rightFromText="180" w:vertAnchor="text" w:horzAnchor="page" w:tblpX="1004" w:tblpY="317"/>
        <w:tblOverlap w:val="never"/>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98"/>
        <w:gridCol w:w="574"/>
        <w:gridCol w:w="580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序号</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评分因素</w:t>
            </w:r>
          </w:p>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及权重</w:t>
            </w: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lang w:eastAsia="zh-CN"/>
              </w:rPr>
            </w:pPr>
            <w:r>
              <w:rPr>
                <w:rFonts w:hint="eastAsia" w:ascii="仿宋" w:hAnsi="仿宋" w:eastAsia="仿宋" w:cs="仿宋"/>
                <w:b/>
                <w:bCs w:val="0"/>
                <w:color w:val="auto"/>
                <w:sz w:val="22"/>
                <w:szCs w:val="22"/>
                <w:highlight w:val="none"/>
              </w:rPr>
              <w:t>分值</w:t>
            </w:r>
          </w:p>
        </w:tc>
        <w:tc>
          <w:tcPr>
            <w:tcW w:w="58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评分标准</w:t>
            </w:r>
          </w:p>
          <w:p>
            <w:pPr>
              <w:keepNext w:val="0"/>
              <w:keepLines w:val="0"/>
              <w:pageBreakBefore w:val="0"/>
              <w:widowControl w:val="0"/>
              <w:kinsoku/>
              <w:wordWrap/>
              <w:overflowPunct/>
              <w:topLinePunct w:val="0"/>
              <w:autoSpaceDE/>
              <w:autoSpaceDN/>
              <w:bidi w:val="0"/>
              <w:adjustRightInd/>
              <w:snapToGrid/>
              <w:spacing w:line="400" w:lineRule="atLeast"/>
              <w:ind w:firstLine="28"/>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价   格：30分  商务技术：</w:t>
            </w:r>
            <w:r>
              <w:rPr>
                <w:rFonts w:hint="eastAsia" w:ascii="仿宋" w:hAnsi="仿宋" w:eastAsia="仿宋" w:cs="仿宋"/>
                <w:b/>
                <w:bCs w:val="0"/>
                <w:color w:val="auto"/>
                <w:sz w:val="22"/>
                <w:szCs w:val="22"/>
                <w:highlight w:val="none"/>
                <w:lang w:val="en-US" w:eastAsia="zh-CN"/>
              </w:rPr>
              <w:t>70</w:t>
            </w:r>
            <w:r>
              <w:rPr>
                <w:rFonts w:hint="eastAsia" w:ascii="仿宋" w:hAnsi="仿宋" w:eastAsia="仿宋" w:cs="仿宋"/>
                <w:b/>
                <w:bCs w:val="0"/>
                <w:color w:val="auto"/>
                <w:sz w:val="22"/>
                <w:szCs w:val="22"/>
                <w:highlight w:val="none"/>
              </w:rPr>
              <w:t xml:space="preserve">分              </w:t>
            </w:r>
          </w:p>
        </w:tc>
        <w:tc>
          <w:tcPr>
            <w:tcW w:w="1337" w:type="dxa"/>
            <w:noWrap w:val="0"/>
            <w:vAlign w:val="center"/>
          </w:tcPr>
          <w:p>
            <w:pPr>
              <w:pStyle w:val="33"/>
              <w:keepNext w:val="0"/>
              <w:keepLines w:val="0"/>
              <w:pageBreakBefore w:val="0"/>
              <w:widowControl w:val="0"/>
              <w:kinsoku/>
              <w:wordWrap/>
              <w:overflowPunct/>
              <w:topLinePunct w:val="0"/>
              <w:autoSpaceDE/>
              <w:autoSpaceDN/>
              <w:bidi w:val="0"/>
              <w:adjustRightInd/>
              <w:snapToGrid/>
              <w:spacing w:before="0" w:after="0" w:line="40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价格评分标</w:t>
            </w:r>
            <w:r>
              <w:rPr>
                <w:rFonts w:hint="eastAsia" w:ascii="仿宋" w:hAnsi="仿宋" w:eastAsia="仿宋" w:cs="仿宋"/>
                <w:b/>
                <w:bCs w:val="0"/>
                <w:color w:val="auto"/>
                <w:sz w:val="22"/>
                <w:szCs w:val="22"/>
                <w:highlight w:val="none"/>
                <w:lang w:val="en-US" w:eastAsia="zh-CN"/>
              </w:rPr>
              <w:t xml:space="preserve"> </w:t>
            </w:r>
            <w:r>
              <w:rPr>
                <w:rFonts w:hint="eastAsia" w:ascii="仿宋" w:hAnsi="仿宋" w:eastAsia="仿宋" w:cs="仿宋"/>
                <w:b/>
                <w:bCs w:val="0"/>
                <w:color w:val="auto"/>
                <w:sz w:val="22"/>
                <w:szCs w:val="22"/>
                <w:highlight w:val="none"/>
              </w:rPr>
              <w:t>准</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投标报价</w:t>
            </w: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30</w:t>
            </w:r>
          </w:p>
        </w:tc>
        <w:tc>
          <w:tcPr>
            <w:tcW w:w="580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（2）因落实政府采购政策进行价格调整的，以调整后的价格计算评标基准价和投标报价。对小型和微型企业产品的价格给予</w:t>
            </w:r>
            <w:r>
              <w:rPr>
                <w:rFonts w:hint="eastAsia" w:ascii="仿宋" w:hAnsi="仿宋" w:eastAsia="仿宋" w:cs="仿宋"/>
                <w:b/>
                <w:bCs w:val="0"/>
                <w:color w:val="auto"/>
                <w:sz w:val="22"/>
                <w:szCs w:val="22"/>
                <w:highlight w:val="none"/>
                <w:lang w:val="en-US" w:eastAsia="zh-CN"/>
              </w:rPr>
              <w:t>10</w:t>
            </w:r>
            <w:r>
              <w:rPr>
                <w:rFonts w:hint="eastAsia" w:ascii="仿宋" w:hAnsi="仿宋" w:eastAsia="仿宋" w:cs="仿宋"/>
                <w:b/>
                <w:bCs w:val="0"/>
                <w:color w:val="auto"/>
                <w:sz w:val="22"/>
                <w:szCs w:val="22"/>
                <w:highlight w:val="none"/>
              </w:rPr>
              <w:t>%的扣除，用扣除后的价格参与评审。残疾人福利性单位属于小型、微型企业的，不重复享受政策。</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sz w:val="22"/>
                <w:szCs w:val="22"/>
                <w:highlight w:val="none"/>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restart"/>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人员能力</w:t>
            </w:r>
          </w:p>
        </w:tc>
        <w:tc>
          <w:tcPr>
            <w:tcW w:w="574" w:type="dxa"/>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3</w:t>
            </w:r>
          </w:p>
        </w:tc>
        <w:tc>
          <w:tcPr>
            <w:tcW w:w="7143" w:type="dxa"/>
            <w:gridSpan w:val="2"/>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both"/>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各类人员配备齐全，配备合理且职责分明，如：面食人员、厨师、切配、勤杂工、消毒工、采购人员等，并持有饮食行业健康证明及相应的人员用工合同（复印件），人员齐全得3分；否则不得分。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3</w:t>
            </w:r>
          </w:p>
        </w:tc>
        <w:tc>
          <w:tcPr>
            <w:tcW w:w="7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投标人拟派的（负责人）具有食堂1年以上管理经验，每增加1年得1分，最多得3分（须提供相关证明资料）。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ED7D31" w:themeColor="accent2"/>
                <w:sz w:val="22"/>
                <w:szCs w:val="22"/>
                <w:highlight w:val="none"/>
                <w14:textFill>
                  <w14:solidFill>
                    <w14:schemeClr w14:val="accent2"/>
                  </w14:solidFill>
                </w14:textFill>
              </w:rPr>
            </w:pP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3</w:t>
            </w:r>
          </w:p>
        </w:tc>
        <w:tc>
          <w:tcPr>
            <w:tcW w:w="7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投标人拟派厨师有厨师专业资质且3年（含）以上工作经验的，每一人增加1分，最高3分。（附工作经验证明资料及证书复印件，否则不得分）；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ED7D31" w:themeColor="accent2"/>
                <w:sz w:val="22"/>
                <w:szCs w:val="22"/>
                <w:highlight w:val="none"/>
                <w14:textFill>
                  <w14:solidFill>
                    <w14:schemeClr w14:val="accent2"/>
                  </w14:solidFill>
                </w14:textFill>
              </w:rPr>
            </w:pP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3</w:t>
            </w:r>
          </w:p>
        </w:tc>
        <w:tc>
          <w:tcPr>
            <w:tcW w:w="7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负责人或团队成员获得过地市级厨师大赛证书，每得1个得1分，最多得3分（须提供荣誉证书复印件）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kern w:val="2"/>
                <w:sz w:val="22"/>
                <w:szCs w:val="22"/>
                <w:highlight w:val="none"/>
                <w:lang w:val="en-US" w:eastAsia="zh-CN" w:bidi="ar-SA"/>
              </w:rPr>
              <w:t>专业能力</w:t>
            </w:r>
          </w:p>
        </w:tc>
        <w:tc>
          <w:tcPr>
            <w:tcW w:w="574" w:type="dxa"/>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3</w:t>
            </w:r>
          </w:p>
        </w:tc>
        <w:tc>
          <w:tcPr>
            <w:tcW w:w="7143" w:type="dxa"/>
            <w:gridSpan w:val="2"/>
            <w:noWrap w:val="0"/>
            <w:vAlign w:val="center"/>
          </w:tcPr>
          <w:p>
            <w:pPr>
              <w:pStyle w:val="55"/>
              <w:keepNext w:val="0"/>
              <w:keepLines w:val="0"/>
              <w:pageBreakBefore w:val="0"/>
              <w:widowControl w:val="0"/>
              <w:kinsoku/>
              <w:wordWrap/>
              <w:overflowPunct/>
              <w:topLinePunct w:val="0"/>
              <w:autoSpaceDE/>
              <w:autoSpaceDN/>
              <w:bidi w:val="0"/>
              <w:adjustRightInd/>
              <w:snapToGrid/>
              <w:spacing w:line="380" w:lineRule="atLeast"/>
              <w:jc w:val="both"/>
              <w:textAlignment w:val="auto"/>
              <w:rPr>
                <w:rFonts w:hint="eastAsia" w:ascii="仿宋" w:hAnsi="仿宋" w:eastAsia="仿宋" w:cs="仿宋"/>
                <w:b/>
                <w:bCs w:val="0"/>
                <w:color w:val="auto"/>
                <w:sz w:val="22"/>
                <w:szCs w:val="22"/>
                <w:highlight w:val="none"/>
              </w:rPr>
            </w:pPr>
            <w:r>
              <w:rPr>
                <w:rFonts w:hint="eastAsia" w:ascii="仿宋" w:hAnsi="仿宋" w:eastAsia="仿宋" w:cs="仿宋"/>
                <w:b/>
                <w:bCs w:val="0"/>
                <w:color w:val="auto"/>
                <w:kern w:val="2"/>
                <w:sz w:val="22"/>
                <w:szCs w:val="22"/>
                <w:highlight w:val="none"/>
                <w:lang w:val="en-US" w:eastAsia="zh-CN" w:bidi="ar-SA"/>
              </w:rPr>
              <w:t>从事餐饮服务，餐饮服务动态等级评定，提供等级评定证书复印件的得3分；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项目经验</w:t>
            </w:r>
          </w:p>
        </w:tc>
        <w:tc>
          <w:tcPr>
            <w:tcW w:w="57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6</w:t>
            </w:r>
          </w:p>
        </w:tc>
        <w:tc>
          <w:tcPr>
            <w:tcW w:w="71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kern w:val="2"/>
                <w:sz w:val="22"/>
                <w:szCs w:val="22"/>
                <w:highlight w:val="none"/>
                <w:lang w:val="en-US" w:eastAsia="zh-CN" w:bidi="ar-SA"/>
              </w:rPr>
              <w:t>投标人承包或者服务过企业、事业、行政等单位的食堂餐饮服务项目（以标书内附中标通知书或合同扫描件为准，不提供不得分）每提供一个得2分，共6分，未提供的不得分。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服务方案</w:t>
            </w:r>
          </w:p>
        </w:tc>
        <w:tc>
          <w:tcPr>
            <w:tcW w:w="5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33</w:t>
            </w: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①提供食品原材料购货渠道；②购货渠道清晰合法；③食品采购控制方案合理（包括经济处罚承诺且责任到人可追溯）；每一项得2分，共6分。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提供卫生管理控制方案：①食堂环境卫生管理方案②食品卫生管理方案③人员卫生管理方案④垃圾处理方案，经评定每一项方案合理且可行的的2分，共8分。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早中晚餐供应时间合理、法定节假日期间的节假日供膳工作合理。服务时间安排及供膳工作合理且具备人性化得5分，时间安排及节假日供膳工作合理但缺乏人性化措施的得3分，服务时间安排及供膳工作满足需求但较为仓促不够合理的得1分，严重不合理或未提供不得分，本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提供①人员职责管理方案；②投诉处理方案；③消防、治安处理方案；④意外事故处理方案。应保证每条方案责任明确，落实到人。每项得2分，共8分。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供应商根据本项目提供培训方案；人员服务方案、培训方式、培训天数、培训地点、培训内容等，详细且可行的3分，一般得2分，否则不得分。本项共计3分。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sz w:val="22"/>
                <w:szCs w:val="22"/>
                <w:highlight w:val="none"/>
              </w:rPr>
            </w:pPr>
          </w:p>
        </w:tc>
        <w:tc>
          <w:tcPr>
            <w:tcW w:w="1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sz w:val="22"/>
                <w:szCs w:val="22"/>
                <w:highlight w:val="none"/>
                <w:lang w:val="en-US" w:eastAsia="zh-CN"/>
              </w:rPr>
            </w:pPr>
          </w:p>
        </w:tc>
        <w:tc>
          <w:tcPr>
            <w:tcW w:w="5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仿宋" w:hAnsi="仿宋" w:eastAsia="仿宋" w:cs="仿宋"/>
                <w:b/>
                <w:bCs w:val="0"/>
                <w:color w:val="auto"/>
                <w:kern w:val="2"/>
                <w:sz w:val="22"/>
                <w:szCs w:val="22"/>
                <w:highlight w:val="none"/>
                <w:lang w:val="en-US" w:eastAsia="zh-CN" w:bidi="ar-SA"/>
              </w:rPr>
            </w:pPr>
          </w:p>
        </w:tc>
        <w:tc>
          <w:tcPr>
            <w:tcW w:w="7143" w:type="dxa"/>
            <w:gridSpan w:val="2"/>
            <w:noWrap w:val="0"/>
            <w:vAlign w:val="center"/>
          </w:tcPr>
          <w:p>
            <w:pPr>
              <w:pStyle w:val="56"/>
              <w:keepNext w:val="0"/>
              <w:keepLines w:val="0"/>
              <w:pageBreakBefore w:val="0"/>
              <w:kinsoku/>
              <w:wordWrap/>
              <w:overflowPunct/>
              <w:topLinePunct w:val="0"/>
              <w:autoSpaceDE/>
              <w:autoSpaceDN/>
              <w:bidi w:val="0"/>
              <w:adjustRightInd w:val="0"/>
              <w:snapToGrid w:val="0"/>
              <w:spacing w:line="0" w:lineRule="atLeast"/>
              <w:textAlignment w:val="auto"/>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投标人提供食堂设施设备维护方案：（1）方案详细、可行得3分；（2）方案一般、可行性一般得2 分；（3）方案可行但不切合实际得1分；未提供不得分。本项共计3分。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kern w:val="2"/>
                <w:sz w:val="22"/>
                <w:szCs w:val="22"/>
                <w:highlight w:val="none"/>
                <w:lang w:val="en-US" w:eastAsia="zh-CN" w:bidi="ar-SA"/>
              </w:rPr>
            </w:pPr>
          </w:p>
        </w:tc>
        <w:tc>
          <w:tcPr>
            <w:tcW w:w="1498" w:type="dxa"/>
            <w:noWrap w:val="0"/>
            <w:vAlign w:val="center"/>
          </w:tcPr>
          <w:p>
            <w:pPr>
              <w:spacing w:line="300" w:lineRule="exact"/>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应急保障</w:t>
            </w:r>
          </w:p>
          <w:p>
            <w:pPr>
              <w:spacing w:line="300" w:lineRule="exact"/>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措施</w:t>
            </w:r>
          </w:p>
        </w:tc>
        <w:tc>
          <w:tcPr>
            <w:tcW w:w="574" w:type="dxa"/>
            <w:noWrap w:val="0"/>
            <w:vAlign w:val="center"/>
          </w:tcPr>
          <w:p>
            <w:pPr>
              <w:spacing w:line="300" w:lineRule="exact"/>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10</w:t>
            </w:r>
          </w:p>
        </w:tc>
        <w:tc>
          <w:tcPr>
            <w:tcW w:w="7143" w:type="dxa"/>
            <w:gridSpan w:val="2"/>
            <w:noWrap w:val="0"/>
            <w:vAlign w:val="center"/>
          </w:tcPr>
          <w:p>
            <w:pPr>
              <w:spacing w:line="300" w:lineRule="exact"/>
              <w:rPr>
                <w:rFonts w:hint="default"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供应商根据项目实际情况，阐述各种安全及应急管理保障措施，包括1.意外停水、电、气时应急保障措施；2.厨房中出现安全隐患处理措施；3.出现意外情况应急措施；4.出现食品安全突发事件处理措施5.故障处理及响应时间保障措施。（评分依据：供应商提供的《食堂各种安全、应急管理保障措施》中安全保证体系完善性、措施可操作性等相应内容，由评委综合比较打分）。每项2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atLeast"/>
              <w:textAlignment w:val="auto"/>
              <w:rPr>
                <w:rFonts w:hint="eastAsia" w:ascii="仿宋" w:hAnsi="仿宋" w:eastAsia="仿宋" w:cs="仿宋"/>
                <w:b/>
                <w:bCs w:val="0"/>
                <w:color w:val="auto"/>
                <w:kern w:val="2"/>
                <w:sz w:val="22"/>
                <w:szCs w:val="22"/>
                <w:highlight w:val="none"/>
                <w:lang w:val="en-US" w:eastAsia="zh-CN" w:bidi="ar-SA"/>
              </w:rPr>
            </w:pPr>
          </w:p>
        </w:tc>
        <w:tc>
          <w:tcPr>
            <w:tcW w:w="1498" w:type="dxa"/>
            <w:noWrap w:val="0"/>
            <w:vAlign w:val="center"/>
          </w:tcPr>
          <w:p>
            <w:pPr>
              <w:spacing w:line="300" w:lineRule="exact"/>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服务承诺</w:t>
            </w:r>
          </w:p>
        </w:tc>
        <w:tc>
          <w:tcPr>
            <w:tcW w:w="574" w:type="dxa"/>
            <w:noWrap w:val="0"/>
            <w:vAlign w:val="center"/>
          </w:tcPr>
          <w:p>
            <w:pPr>
              <w:spacing w:line="300" w:lineRule="exact"/>
              <w:jc w:val="center"/>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6</w:t>
            </w:r>
          </w:p>
        </w:tc>
        <w:tc>
          <w:tcPr>
            <w:tcW w:w="7143" w:type="dxa"/>
            <w:gridSpan w:val="2"/>
            <w:noWrap w:val="0"/>
            <w:vAlign w:val="center"/>
          </w:tcPr>
          <w:p>
            <w:pPr>
              <w:spacing w:line="300" w:lineRule="exact"/>
              <w:jc w:val="both"/>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结合本项目情况给出其他服务承诺，承诺被判定为有利于本项目的每一项得2分，最高得6分。</w:t>
            </w:r>
          </w:p>
        </w:tc>
      </w:tr>
    </w:tbl>
    <w:p>
      <w:pPr>
        <w:spacing w:line="240" w:lineRule="atLeast"/>
        <w:jc w:val="both"/>
        <w:rPr>
          <w:rFonts w:hint="eastAsia" w:ascii="仿宋" w:hAnsi="仿宋" w:eastAsia="仿宋" w:cs="仿宋"/>
          <w:b/>
          <w:color w:val="auto"/>
          <w:sz w:val="44"/>
          <w:szCs w:val="44"/>
          <w:highlight w:val="none"/>
        </w:rPr>
      </w:pPr>
    </w:p>
    <w:p>
      <w:pPr>
        <w:pStyle w:val="27"/>
        <w:ind w:left="0" w:leftChars="0" w:firstLine="0" w:firstLineChars="0"/>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pStyle w:val="17"/>
        <w:rPr>
          <w:rFonts w:hint="eastAsia" w:ascii="仿宋" w:hAnsi="仿宋" w:eastAsia="仿宋" w:cs="仿宋"/>
          <w:b/>
          <w:color w:val="auto"/>
          <w:sz w:val="44"/>
          <w:szCs w:val="44"/>
          <w:highlight w:val="none"/>
        </w:rPr>
      </w:pPr>
    </w:p>
    <w:p>
      <w:pPr>
        <w:pStyle w:val="7"/>
        <w:rPr>
          <w:rFonts w:hint="eastAsia" w:ascii="仿宋" w:hAnsi="仿宋" w:eastAsia="仿宋" w:cs="仿宋"/>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rPr>
      </w:pPr>
    </w:p>
    <w:p>
      <w:pPr>
        <w:pStyle w:val="5"/>
        <w:rPr>
          <w:rFonts w:hint="eastAsia" w:ascii="仿宋" w:hAnsi="仿宋" w:eastAsia="仿宋" w:cs="仿宋"/>
          <w:b/>
          <w:color w:val="auto"/>
          <w:sz w:val="44"/>
          <w:szCs w:val="44"/>
          <w:highlight w:val="none"/>
        </w:rPr>
      </w:pPr>
    </w:p>
    <w:p>
      <w:pPr>
        <w:pStyle w:val="6"/>
        <w:rPr>
          <w:rFonts w:hint="eastAsia" w:ascii="仿宋" w:hAnsi="仿宋" w:eastAsia="仿宋" w:cs="仿宋"/>
          <w:b/>
          <w:color w:val="auto"/>
          <w:sz w:val="44"/>
          <w:szCs w:val="44"/>
          <w:highlight w:val="none"/>
        </w:rPr>
      </w:pPr>
    </w:p>
    <w:p>
      <w:pPr>
        <w:rPr>
          <w:rFonts w:hint="eastAsia"/>
        </w:rPr>
      </w:pPr>
    </w:p>
    <w:p>
      <w:pPr>
        <w:spacing w:line="240" w:lineRule="atLeast"/>
        <w:jc w:val="center"/>
        <w:rPr>
          <w:rFonts w:hint="eastAsia" w:ascii="仿宋" w:hAnsi="仿宋" w:eastAsia="仿宋" w:cs="仿宋"/>
          <w:b/>
          <w:color w:val="auto"/>
          <w:sz w:val="44"/>
          <w:szCs w:val="44"/>
          <w:highlight w:val="none"/>
        </w:rPr>
      </w:pPr>
    </w:p>
    <w:p>
      <w:pPr>
        <w:spacing w:line="240" w:lineRule="atLeast"/>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招 标 文 件</w:t>
      </w:r>
    </w:p>
    <w:p>
      <w:pPr>
        <w:spacing w:line="240" w:lineRule="atLeast"/>
        <w:jc w:val="center"/>
        <w:rPr>
          <w:rFonts w:hint="eastAsia" w:ascii="仿宋" w:hAnsi="仿宋" w:eastAsia="仿宋" w:cs="仿宋"/>
          <w:b/>
          <w:color w:val="auto"/>
          <w:sz w:val="40"/>
          <w:szCs w:val="40"/>
          <w:highlight w:val="none"/>
        </w:rPr>
      </w:pPr>
    </w:p>
    <w:p>
      <w:pPr>
        <w:pStyle w:val="9"/>
        <w:rPr>
          <w:rFonts w:hint="eastAsia" w:ascii="仿宋" w:hAnsi="仿宋" w:eastAsia="仿宋" w:cs="仿宋"/>
          <w:color w:val="auto"/>
          <w:highlight w:val="none"/>
          <w:lang w:val="en-US" w:eastAsia="zh-CN"/>
        </w:rPr>
      </w:pPr>
      <w:bookmarkStart w:id="627" w:name="_Toc13284_WPSOffice_Level2"/>
      <w:r>
        <w:rPr>
          <w:rFonts w:hint="eastAsia" w:ascii="仿宋" w:hAnsi="仿宋" w:eastAsia="仿宋" w:cs="仿宋"/>
          <w:b/>
          <w:color w:val="auto"/>
          <w:sz w:val="40"/>
          <w:szCs w:val="40"/>
          <w:highlight w:val="none"/>
        </w:rPr>
        <w:t>项目编号：</w:t>
      </w:r>
      <w:bookmarkEnd w:id="627"/>
      <w:r>
        <w:rPr>
          <w:rFonts w:hint="eastAsia" w:ascii="仿宋" w:hAnsi="仿宋" w:eastAsia="仿宋" w:cs="仿宋"/>
          <w:b/>
          <w:color w:val="auto"/>
          <w:sz w:val="40"/>
          <w:szCs w:val="40"/>
          <w:highlight w:val="none"/>
          <w:lang w:val="en-US" w:eastAsia="zh-CN"/>
        </w:rPr>
        <w:t>KSDQ-LJ(GK)-2023-003</w:t>
      </w:r>
    </w:p>
    <w:p>
      <w:pPr>
        <w:spacing w:line="240" w:lineRule="atLeas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pPr>
        <w:spacing w:line="240" w:lineRule="atLeast"/>
        <w:jc w:val="center"/>
        <w:rPr>
          <w:rFonts w:hint="eastAsia" w:ascii="仿宋" w:hAnsi="仿宋" w:eastAsia="仿宋" w:cs="仿宋"/>
          <w:b/>
          <w:color w:val="auto"/>
          <w:sz w:val="32"/>
          <w:highlight w:val="none"/>
        </w:rPr>
      </w:pPr>
    </w:p>
    <w:p>
      <w:pPr>
        <w:spacing w:line="240" w:lineRule="atLeast"/>
        <w:ind w:left="1080" w:leftChars="257" w:hanging="540"/>
        <w:jc w:val="center"/>
        <w:rPr>
          <w:rFonts w:hint="eastAsia" w:ascii="仿宋" w:hAnsi="仿宋" w:eastAsia="仿宋" w:cs="仿宋"/>
          <w:b/>
          <w:color w:val="auto"/>
          <w:sz w:val="52"/>
          <w:highlight w:val="none"/>
        </w:rPr>
      </w:pPr>
    </w:p>
    <w:p>
      <w:pPr>
        <w:spacing w:line="240" w:lineRule="atLeast"/>
        <w:ind w:left="1080" w:leftChars="257" w:hanging="540"/>
        <w:jc w:val="center"/>
        <w:rPr>
          <w:rFonts w:hint="eastAsia" w:ascii="仿宋" w:hAnsi="仿宋" w:eastAsia="仿宋" w:cs="仿宋"/>
          <w:b/>
          <w:color w:val="auto"/>
          <w:sz w:val="52"/>
          <w:highlight w:val="none"/>
        </w:rPr>
      </w:pPr>
    </w:p>
    <w:p>
      <w:pPr>
        <w:spacing w:line="240" w:lineRule="atLeast"/>
        <w:ind w:left="1080" w:leftChars="257" w:hanging="540"/>
        <w:jc w:val="center"/>
        <w:rPr>
          <w:rFonts w:hint="eastAsia" w:ascii="仿宋" w:hAnsi="仿宋" w:eastAsia="仿宋" w:cs="仿宋"/>
          <w:b/>
          <w:color w:val="auto"/>
          <w:sz w:val="52"/>
          <w:highlight w:val="none"/>
        </w:rPr>
      </w:pPr>
    </w:p>
    <w:p>
      <w:pPr>
        <w:spacing w:line="240" w:lineRule="atLeast"/>
        <w:jc w:val="both"/>
        <w:rPr>
          <w:rFonts w:hint="eastAsia" w:ascii="仿宋" w:hAnsi="仿宋" w:eastAsia="仿宋" w:cs="仿宋"/>
          <w:b/>
          <w:color w:val="auto"/>
          <w:sz w:val="52"/>
          <w:highlight w:val="none"/>
        </w:rPr>
      </w:pPr>
    </w:p>
    <w:p>
      <w:pPr>
        <w:pStyle w:val="9"/>
        <w:rPr>
          <w:rFonts w:hint="eastAsia" w:ascii="仿宋" w:hAnsi="仿宋" w:eastAsia="仿宋" w:cs="仿宋"/>
          <w:highlight w:val="none"/>
        </w:rPr>
      </w:pPr>
    </w:p>
    <w:p>
      <w:pPr>
        <w:pStyle w:val="9"/>
        <w:rPr>
          <w:rFonts w:hint="eastAsia" w:ascii="仿宋" w:hAnsi="仿宋" w:eastAsia="仿宋" w:cs="仿宋"/>
          <w:highlight w:val="none"/>
        </w:rPr>
      </w:pPr>
    </w:p>
    <w:bookmarkEnd w:id="626"/>
    <w:p>
      <w:pPr>
        <w:pStyle w:val="2"/>
        <w:rPr>
          <w:rFonts w:hint="eastAsia" w:ascii="仿宋" w:hAnsi="仿宋" w:eastAsia="仿宋" w:cs="仿宋"/>
          <w:color w:val="auto"/>
          <w:highlight w:val="none"/>
        </w:rPr>
      </w:pPr>
      <w:bookmarkStart w:id="628" w:name="_Toc20743"/>
      <w:bookmarkStart w:id="629" w:name="_Toc12089"/>
      <w:bookmarkStart w:id="630" w:name="_Toc6865"/>
      <w:bookmarkStart w:id="631" w:name="_Toc4796"/>
      <w:bookmarkStart w:id="632" w:name="_Toc515647833"/>
    </w:p>
    <w:p>
      <w:pPr>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rPr>
          <w:rFonts w:hint="eastAsia" w:ascii="仿宋" w:hAnsi="仿宋" w:eastAsia="仿宋" w:cs="仿宋"/>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r>
        <w:rPr>
          <w:rFonts w:hint="eastAsia" w:ascii="仿宋" w:hAnsi="仿宋" w:eastAsia="仿宋" w:cs="仿宋"/>
          <w:color w:val="auto"/>
          <w:highlight w:val="none"/>
        </w:rPr>
        <w:t>第7章 政府采购合同</w:t>
      </w:r>
      <w:bookmarkEnd w:id="628"/>
      <w:bookmarkEnd w:id="629"/>
      <w:bookmarkEnd w:id="630"/>
      <w:bookmarkEnd w:id="631"/>
      <w:bookmarkEnd w:id="632"/>
      <w:bookmarkStart w:id="633" w:name="_Hlt487972895"/>
      <w:bookmarkEnd w:id="633"/>
      <w:bookmarkStart w:id="634" w:name="_Toc216513788"/>
      <w:bookmarkStart w:id="635" w:name="_Toc487900382"/>
    </w:p>
    <w:bookmarkEnd w:id="634"/>
    <w:bookmarkEnd w:id="635"/>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合同编号：   </w:t>
      </w:r>
      <w:r>
        <w:rPr>
          <w:rFonts w:hint="eastAsia" w:ascii="仿宋" w:hAnsi="仿宋" w:eastAsia="仿宋" w:cs="仿宋"/>
          <w:color w:val="auto"/>
          <w:highlight w:val="none"/>
        </w:rPr>
        <w:t xml:space="preserve">        </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0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政府采购合同参考范本</w:t>
      </w:r>
    </w:p>
    <w:p>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服务</w:t>
      </w:r>
      <w:r>
        <w:rPr>
          <w:rFonts w:hint="eastAsia" w:ascii="仿宋" w:hAnsi="仿宋" w:eastAsia="仿宋" w:cs="仿宋"/>
          <w:b/>
          <w:color w:val="auto"/>
          <w:sz w:val="24"/>
          <w:highlight w:val="none"/>
        </w:rPr>
        <w:t>类）</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8"/>
        <w:spacing w:line="360" w:lineRule="exact"/>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rPr>
          <w:rFonts w:hint="eastAsia" w:ascii="仿宋" w:hAnsi="仿宋" w:eastAsia="仿宋" w:cs="仿宋"/>
          <w:color w:val="auto"/>
          <w:highlight w:val="none"/>
        </w:rPr>
      </w:pPr>
    </w:p>
    <w:p>
      <w:pPr>
        <w:spacing w:before="120" w:line="360" w:lineRule="exac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49"/>
        <w:spacing w:before="120" w:line="360" w:lineRule="exact"/>
        <w:rPr>
          <w:rFonts w:hint="eastAsia" w:ascii="仿宋" w:hAnsi="仿宋" w:eastAsia="仿宋" w:cs="仿宋"/>
          <w:color w:val="auto"/>
          <w:szCs w:val="24"/>
          <w:highlight w:val="none"/>
        </w:rPr>
      </w:pPr>
    </w:p>
    <w:p>
      <w:pPr>
        <w:pStyle w:val="49"/>
        <w:spacing w:before="120" w:line="360" w:lineRule="exact"/>
        <w:rPr>
          <w:rFonts w:hint="eastAsia" w:ascii="仿宋" w:hAnsi="仿宋" w:eastAsia="仿宋" w:cs="仿宋"/>
          <w:color w:val="auto"/>
          <w:szCs w:val="24"/>
          <w:highlight w:val="none"/>
        </w:rPr>
      </w:pPr>
    </w:p>
    <w:p>
      <w:pPr>
        <w:spacing w:line="360" w:lineRule="exact"/>
        <w:rPr>
          <w:rFonts w:hint="eastAsia" w:ascii="仿宋" w:hAnsi="仿宋" w:eastAsia="仿宋" w:cs="仿宋"/>
          <w:color w:val="auto"/>
          <w:highlight w:val="none"/>
        </w:rPr>
      </w:pPr>
    </w:p>
    <w:p>
      <w:pPr>
        <w:spacing w:before="120" w:line="36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360" w:lineRule="exact"/>
        <w:rPr>
          <w:rFonts w:hint="eastAsia" w:ascii="仿宋" w:hAnsi="仿宋" w:eastAsia="仿宋" w:cs="仿宋"/>
          <w:color w:val="auto"/>
          <w:sz w:val="24"/>
          <w:highlight w:val="none"/>
        </w:rPr>
      </w:pPr>
    </w:p>
    <w:p>
      <w:pPr>
        <w:spacing w:before="120" w:line="360" w:lineRule="exac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360" w:lineRule="exact"/>
        <w:rPr>
          <w:rFonts w:hint="eastAsia" w:ascii="仿宋" w:hAnsi="仿宋" w:eastAsia="仿宋" w:cs="仿宋"/>
          <w:color w:val="auto"/>
          <w:sz w:val="24"/>
          <w:highlight w:val="none"/>
        </w:rPr>
      </w:pPr>
    </w:p>
    <w:p>
      <w:pPr>
        <w:spacing w:before="120" w:line="36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360" w:lineRule="exact"/>
        <w:rPr>
          <w:rFonts w:hint="eastAsia" w:ascii="仿宋" w:hAnsi="仿宋" w:eastAsia="仿宋" w:cs="仿宋"/>
          <w:color w:val="auto"/>
          <w:sz w:val="24"/>
          <w:highlight w:val="none"/>
        </w:rPr>
      </w:pPr>
    </w:p>
    <w:p>
      <w:pPr>
        <w:spacing w:before="120" w:line="36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autoSpaceDE w:val="0"/>
        <w:autoSpaceDN w:val="0"/>
        <w:adjustRightInd w:val="0"/>
        <w:spacing w:line="360" w:lineRule="exact"/>
        <w:ind w:firstLine="640"/>
        <w:jc w:val="center"/>
        <w:rPr>
          <w:rFonts w:hint="eastAsia" w:ascii="仿宋" w:hAnsi="仿宋" w:eastAsia="仿宋" w:cs="仿宋"/>
          <w:color w:val="auto"/>
          <w:sz w:val="24"/>
          <w:highlight w:val="none"/>
        </w:rPr>
        <w:sectPr>
          <w:footerReference r:id="rId8" w:type="default"/>
          <w:pgSz w:w="11907" w:h="16840"/>
          <w:pgMar w:top="1474" w:right="1814" w:bottom="1474" w:left="1814" w:header="851" w:footer="851" w:gutter="0"/>
          <w:pgNumType w:fmt="decimal"/>
          <w:cols w:space="720" w:num="1"/>
          <w:docGrid w:linePitch="462" w:charSpace="0"/>
        </w:sectPr>
      </w:pPr>
    </w:p>
    <w:p>
      <w:pPr>
        <w:spacing w:line="360" w:lineRule="exact"/>
        <w:ind w:firstLine="480" w:firstLineChars="200"/>
        <w:rPr>
          <w:rFonts w:hint="eastAsia" w:ascii="仿宋" w:hAnsi="仿宋" w:eastAsia="仿宋" w:cs="仿宋"/>
          <w:color w:val="auto"/>
          <w:sz w:val="24"/>
          <w:highlight w:val="none"/>
        </w:rPr>
      </w:pPr>
      <w:bookmarkStart w:id="636" w:name="_Toc24059"/>
      <w:bookmarkStart w:id="637" w:name="_Toc2659"/>
      <w:bookmarkStart w:id="638" w:name="_Toc1846"/>
      <w:bookmarkStart w:id="639" w:name="_Toc26721"/>
      <w:bookmarkStart w:id="640" w:name="_Toc3029"/>
      <w:bookmarkStart w:id="641" w:name="_Toc2232"/>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bookmarkEnd w:id="636"/>
    <w:bookmarkEnd w:id="637"/>
    <w:bookmarkEnd w:id="638"/>
    <w:bookmarkEnd w:id="639"/>
    <w:bookmarkEnd w:id="640"/>
    <w:bookmarkEnd w:id="641"/>
    <w:p>
      <w:pPr>
        <w:spacing w:line="360" w:lineRule="exact"/>
        <w:ind w:firstLine="482" w:firstLineChars="200"/>
        <w:outlineLvl w:val="0"/>
        <w:rPr>
          <w:rFonts w:hint="eastAsia" w:ascii="仿宋" w:hAnsi="仿宋" w:eastAsia="仿宋" w:cs="仿宋"/>
          <w:b/>
          <w:color w:val="auto"/>
          <w:sz w:val="24"/>
          <w:highlight w:val="none"/>
        </w:rPr>
      </w:pPr>
      <w:bookmarkStart w:id="642" w:name="_Toc4751"/>
      <w:bookmarkStart w:id="643" w:name="_Toc24186"/>
      <w:bookmarkStart w:id="644" w:name="_Toc29481"/>
      <w:bookmarkStart w:id="645" w:name="_Toc30575"/>
      <w:bookmarkStart w:id="646" w:name="_Toc25352"/>
      <w:bookmarkStart w:id="647" w:name="_Toc10415"/>
      <w:bookmarkStart w:id="648" w:name="_Toc27714"/>
      <w:bookmarkStart w:id="649" w:name="_Toc21386"/>
      <w:bookmarkStart w:id="650" w:name="_Toc18247"/>
      <w:bookmarkStart w:id="651" w:name="_Toc6038"/>
      <w:bookmarkStart w:id="652" w:name="_Toc4498"/>
      <w:bookmarkStart w:id="653" w:name="_Toc28090"/>
      <w:r>
        <w:rPr>
          <w:rFonts w:hint="eastAsia" w:ascii="仿宋" w:hAnsi="仿宋" w:eastAsia="仿宋" w:cs="仿宋"/>
          <w:b/>
          <w:color w:val="auto"/>
          <w:sz w:val="24"/>
          <w:highlight w:val="none"/>
        </w:rPr>
        <w:t>1.1 合同组成部分</w:t>
      </w:r>
      <w:bookmarkEnd w:id="642"/>
      <w:bookmarkEnd w:id="643"/>
      <w:bookmarkEnd w:id="644"/>
      <w:bookmarkEnd w:id="645"/>
      <w:bookmarkEnd w:id="646"/>
      <w:bookmarkEnd w:id="647"/>
      <w:bookmarkEnd w:id="648"/>
      <w:bookmarkEnd w:id="649"/>
      <w:bookmarkEnd w:id="650"/>
      <w:bookmarkEnd w:id="651"/>
      <w:bookmarkEnd w:id="652"/>
      <w:bookmarkEnd w:id="653"/>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360" w:lineRule="exact"/>
        <w:ind w:firstLine="482" w:firstLineChars="200"/>
        <w:outlineLvl w:val="0"/>
        <w:rPr>
          <w:rFonts w:hint="eastAsia" w:ascii="仿宋" w:hAnsi="仿宋" w:eastAsia="仿宋" w:cs="仿宋"/>
          <w:b/>
          <w:color w:val="auto"/>
          <w:sz w:val="24"/>
          <w:highlight w:val="none"/>
        </w:rPr>
      </w:pPr>
      <w:bookmarkStart w:id="654" w:name="_Toc7977"/>
      <w:bookmarkStart w:id="655" w:name="_Toc21217"/>
      <w:bookmarkStart w:id="656" w:name="_Toc1446"/>
      <w:bookmarkStart w:id="657" w:name="_Toc9006"/>
      <w:bookmarkStart w:id="658" w:name="_Toc8631"/>
      <w:bookmarkStart w:id="659" w:name="_Toc27126"/>
      <w:bookmarkStart w:id="660" w:name="_Toc25402"/>
      <w:bookmarkStart w:id="661" w:name="_Toc23034"/>
      <w:bookmarkStart w:id="662" w:name="_Toc5906"/>
      <w:bookmarkStart w:id="663" w:name="_Toc25735"/>
      <w:bookmarkStart w:id="664" w:name="_Toc27318"/>
      <w:bookmarkStart w:id="665" w:name="_Toc14235"/>
      <w:bookmarkStart w:id="666" w:name="_Toc19432"/>
      <w:bookmarkStart w:id="667" w:name="_Toc13138"/>
      <w:bookmarkStart w:id="668" w:name="_Toc21295"/>
      <w:bookmarkStart w:id="669" w:name="_Toc12204"/>
      <w:bookmarkStart w:id="670" w:name="_Toc15345"/>
      <w:bookmarkStart w:id="671" w:name="_Toc24300"/>
      <w:r>
        <w:rPr>
          <w:rFonts w:hint="eastAsia" w:ascii="仿宋" w:hAnsi="仿宋" w:eastAsia="仿宋" w:cs="仿宋"/>
          <w:b/>
          <w:color w:val="auto"/>
          <w:sz w:val="24"/>
          <w:highlight w:val="none"/>
        </w:rPr>
        <w:t>1.2 货物</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3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672" w:name="_Toc1267"/>
      <w:bookmarkStart w:id="673" w:name="_Toc25368"/>
      <w:bookmarkStart w:id="674" w:name="_Toc8386"/>
      <w:bookmarkStart w:id="675" w:name="_Toc633"/>
      <w:bookmarkStart w:id="676" w:name="_Toc703"/>
      <w:bookmarkStart w:id="677" w:name="_Toc21040"/>
      <w:bookmarkStart w:id="678" w:name="_Toc21551"/>
      <w:bookmarkStart w:id="679" w:name="_Toc30667"/>
      <w:bookmarkStart w:id="680" w:name="_Toc12266"/>
      <w:bookmarkStart w:id="681" w:name="_Toc19682"/>
      <w:bookmarkStart w:id="682" w:name="_Toc21631"/>
      <w:bookmarkStart w:id="683" w:name="_Toc22929"/>
      <w:bookmarkStart w:id="684" w:name="_Toc30755"/>
      <w:bookmarkStart w:id="685" w:name="_Toc13898"/>
      <w:bookmarkStart w:id="686" w:name="_Toc11045"/>
      <w:bookmarkStart w:id="687" w:name="_Toc23292"/>
      <w:bookmarkStart w:id="688" w:name="_Toc9364"/>
      <w:bookmarkStart w:id="689" w:name="_Toc10942"/>
      <w:r>
        <w:rPr>
          <w:rFonts w:hint="eastAsia" w:ascii="仿宋" w:hAnsi="仿宋" w:eastAsia="仿宋" w:cs="仿宋"/>
          <w:b/>
          <w:color w:val="auto"/>
          <w:sz w:val="24"/>
          <w:highlight w:val="none"/>
        </w:rPr>
        <w:t>1.3 价款</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3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1"/>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738"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803" w:type="dxa"/>
            <w:vAlign w:val="center"/>
          </w:tcPr>
          <w:p>
            <w:pPr>
              <w:pStyle w:val="50"/>
              <w:spacing w:line="3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c>
          <w:tcPr>
            <w:tcW w:w="3738"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c>
          <w:tcPr>
            <w:tcW w:w="2803"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c>
          <w:tcPr>
            <w:tcW w:w="3738"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c>
          <w:tcPr>
            <w:tcW w:w="2803"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vAlign w:val="center"/>
          </w:tcPr>
          <w:p>
            <w:pPr>
              <w:pStyle w:val="50"/>
              <w:spacing w:line="3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2803" w:type="dxa"/>
            <w:vAlign w:val="center"/>
          </w:tcPr>
          <w:p>
            <w:pPr>
              <w:pStyle w:val="50"/>
              <w:spacing w:line="360" w:lineRule="exact"/>
              <w:ind w:firstLine="200"/>
              <w:jc w:val="center"/>
              <w:rPr>
                <w:rFonts w:hint="eastAsia" w:ascii="仿宋" w:hAnsi="仿宋" w:eastAsia="仿宋" w:cs="仿宋"/>
                <w:color w:val="auto"/>
                <w:kern w:val="2"/>
                <w:sz w:val="24"/>
                <w:szCs w:val="24"/>
                <w:highlight w:val="none"/>
              </w:rPr>
            </w:pPr>
          </w:p>
        </w:tc>
      </w:tr>
    </w:tbl>
    <w:p>
      <w:pPr>
        <w:spacing w:line="360" w:lineRule="exact"/>
        <w:ind w:firstLine="482" w:firstLineChars="200"/>
        <w:outlineLvl w:val="0"/>
        <w:rPr>
          <w:rFonts w:hint="eastAsia" w:ascii="仿宋" w:hAnsi="仿宋" w:eastAsia="仿宋" w:cs="仿宋"/>
          <w:b/>
          <w:color w:val="auto"/>
          <w:sz w:val="24"/>
          <w:highlight w:val="none"/>
        </w:rPr>
      </w:pPr>
      <w:bookmarkStart w:id="690" w:name="_Toc27811"/>
      <w:bookmarkStart w:id="691" w:name="_Toc10340"/>
      <w:bookmarkStart w:id="692" w:name="_Toc21349"/>
      <w:bookmarkStart w:id="693" w:name="_Toc28773"/>
      <w:bookmarkStart w:id="694" w:name="_Toc5736"/>
      <w:bookmarkStart w:id="695" w:name="_Toc26470"/>
      <w:bookmarkStart w:id="696" w:name="_Toc4585"/>
      <w:bookmarkStart w:id="697" w:name="_Toc22618"/>
      <w:bookmarkStart w:id="698" w:name="_Toc30643"/>
      <w:bookmarkStart w:id="699" w:name="_Toc27654"/>
      <w:bookmarkStart w:id="700" w:name="_Toc24781"/>
      <w:bookmarkStart w:id="701" w:name="_Toc10086"/>
      <w:bookmarkStart w:id="702" w:name="_Toc18410"/>
      <w:bookmarkStart w:id="703" w:name="_Toc25944"/>
      <w:bookmarkStart w:id="704" w:name="_Toc7458"/>
      <w:bookmarkStart w:id="705" w:name="_Toc27817"/>
      <w:bookmarkStart w:id="706" w:name="_Toc1814"/>
      <w:r>
        <w:rPr>
          <w:rFonts w:hint="eastAsia" w:ascii="仿宋" w:hAnsi="仿宋" w:eastAsia="仿宋" w:cs="仿宋"/>
          <w:b/>
          <w:color w:val="auto"/>
          <w:sz w:val="24"/>
          <w:highlight w:val="none"/>
        </w:rPr>
        <w:t>1.4 付款方式和发票开具方式</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707" w:name="_Toc20161"/>
      <w:bookmarkStart w:id="708" w:name="_Toc30447"/>
      <w:bookmarkStart w:id="709" w:name="_Toc17179"/>
      <w:bookmarkStart w:id="710" w:name="_Toc16823"/>
      <w:bookmarkStart w:id="711" w:name="_Toc17448"/>
      <w:bookmarkStart w:id="712" w:name="_Toc10276"/>
      <w:bookmarkStart w:id="713" w:name="_Toc15284"/>
      <w:bookmarkStart w:id="714" w:name="_Toc32071"/>
      <w:bookmarkStart w:id="715" w:name="_Toc25278"/>
      <w:bookmarkStart w:id="716" w:name="_Toc2083"/>
      <w:bookmarkStart w:id="717" w:name="_Toc2852"/>
      <w:bookmarkStart w:id="718" w:name="_Toc2846"/>
      <w:bookmarkStart w:id="719" w:name="_Toc4501"/>
      <w:bookmarkStart w:id="720" w:name="_Toc30563"/>
      <w:bookmarkStart w:id="721" w:name="_Toc19304"/>
      <w:bookmarkStart w:id="722" w:name="_Toc9478"/>
      <w:bookmarkStart w:id="723" w:name="_Toc23862"/>
      <w:bookmarkStart w:id="724" w:name="_Toc22861"/>
      <w:r>
        <w:rPr>
          <w:rFonts w:hint="eastAsia" w:ascii="仿宋" w:hAnsi="仿宋" w:eastAsia="仿宋" w:cs="仿宋"/>
          <w:b/>
          <w:color w:val="auto"/>
          <w:sz w:val="24"/>
          <w:highlight w:val="none"/>
        </w:rPr>
        <w:t>1.5 货物交付期限、地点和方式</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line="3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725" w:name="_Toc19554"/>
      <w:bookmarkStart w:id="726" w:name="_Toc6841"/>
      <w:bookmarkStart w:id="727" w:name="_Toc10010"/>
      <w:bookmarkStart w:id="728" w:name="_Toc21406"/>
      <w:bookmarkStart w:id="729" w:name="_Toc1835"/>
      <w:bookmarkStart w:id="730" w:name="_Toc12988"/>
      <w:bookmarkStart w:id="731" w:name="_Toc11237"/>
      <w:bookmarkStart w:id="732" w:name="_Toc21423"/>
      <w:bookmarkStart w:id="733" w:name="_Toc4190"/>
      <w:bookmarkStart w:id="734" w:name="_Toc12753"/>
      <w:bookmarkStart w:id="735" w:name="_Toc17668"/>
      <w:bookmarkStart w:id="736" w:name="_Toc26850"/>
      <w:bookmarkStart w:id="737" w:name="_Toc12629"/>
      <w:bookmarkStart w:id="738" w:name="_Toc8754"/>
      <w:bookmarkStart w:id="739" w:name="_Toc27250"/>
      <w:bookmarkStart w:id="740" w:name="_Toc15865"/>
      <w:bookmarkStart w:id="741" w:name="_Toc13569"/>
      <w:r>
        <w:rPr>
          <w:rFonts w:hint="eastAsia" w:ascii="仿宋" w:hAnsi="仿宋" w:eastAsia="仿宋" w:cs="仿宋"/>
          <w:b/>
          <w:color w:val="auto"/>
          <w:sz w:val="24"/>
          <w:highlight w:val="none"/>
        </w:rPr>
        <w:t>1.6 违约责任</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exact"/>
        <w:ind w:firstLine="482" w:firstLineChars="200"/>
        <w:outlineLvl w:val="0"/>
        <w:rPr>
          <w:rFonts w:hint="eastAsia" w:ascii="仿宋" w:hAnsi="仿宋" w:eastAsia="仿宋" w:cs="仿宋"/>
          <w:b/>
          <w:color w:val="auto"/>
          <w:sz w:val="24"/>
          <w:highlight w:val="none"/>
        </w:rPr>
      </w:pPr>
      <w:bookmarkStart w:id="742" w:name="_Toc18372"/>
      <w:bookmarkStart w:id="743" w:name="_Toc7216"/>
      <w:bookmarkStart w:id="744" w:name="_Toc20610"/>
      <w:bookmarkStart w:id="745" w:name="_Toc5482"/>
      <w:bookmarkStart w:id="746" w:name="_Toc16341"/>
      <w:bookmarkStart w:id="747" w:name="_Toc25915"/>
      <w:bookmarkStart w:id="748" w:name="_Toc9202"/>
      <w:bookmarkStart w:id="749" w:name="_Toc28375"/>
      <w:bookmarkStart w:id="750" w:name="_Toc29338"/>
      <w:bookmarkStart w:id="751" w:name="_Toc27762"/>
      <w:bookmarkStart w:id="752" w:name="_Toc22397"/>
      <w:bookmarkStart w:id="753" w:name="_Toc19011"/>
      <w:bookmarkStart w:id="754" w:name="_Toc15583"/>
      <w:bookmarkStart w:id="755" w:name="_Toc27927"/>
      <w:bookmarkStart w:id="756" w:name="_Toc16021"/>
      <w:bookmarkStart w:id="757" w:name="_Toc6344"/>
      <w:bookmarkStart w:id="758" w:name="_Toc3403"/>
      <w:bookmarkStart w:id="759" w:name="_Toc8914"/>
      <w:r>
        <w:rPr>
          <w:rFonts w:hint="eastAsia" w:ascii="仿宋" w:hAnsi="仿宋" w:eastAsia="仿宋" w:cs="仿宋"/>
          <w:b/>
          <w:color w:val="auto"/>
          <w:sz w:val="24"/>
          <w:highlight w:val="none"/>
        </w:rPr>
        <w:t>1.7 合同争议的解决</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p>
    <w:p>
      <w:pPr>
        <w:spacing w:line="360" w:lineRule="exact"/>
        <w:ind w:firstLine="482" w:firstLineChars="200"/>
        <w:outlineLvl w:val="0"/>
        <w:rPr>
          <w:rFonts w:hint="eastAsia" w:ascii="仿宋" w:hAnsi="仿宋" w:eastAsia="仿宋" w:cs="仿宋"/>
          <w:b/>
          <w:color w:val="auto"/>
          <w:sz w:val="24"/>
          <w:highlight w:val="none"/>
        </w:rPr>
      </w:pPr>
      <w:bookmarkStart w:id="760" w:name="_Toc10043"/>
      <w:bookmarkStart w:id="761" w:name="_Toc7245"/>
      <w:bookmarkStart w:id="762" w:name="_Toc4516"/>
      <w:bookmarkStart w:id="763" w:name="_Toc30260"/>
      <w:bookmarkStart w:id="764" w:name="_Toc9329"/>
      <w:bookmarkStart w:id="765" w:name="_Toc16259"/>
      <w:bookmarkStart w:id="766" w:name="_Toc11173"/>
      <w:bookmarkStart w:id="767" w:name="_Toc17113"/>
      <w:bookmarkStart w:id="768" w:name="_Toc518"/>
      <w:bookmarkStart w:id="769" w:name="_Toc15322"/>
      <w:bookmarkStart w:id="770" w:name="_Toc6411"/>
      <w:bookmarkStart w:id="771" w:name="_Toc16410"/>
      <w:bookmarkStart w:id="772" w:name="_Toc10255"/>
      <w:bookmarkStart w:id="773" w:name="_Toc29268"/>
      <w:bookmarkStart w:id="774" w:name="_Toc2901"/>
      <w:bookmarkStart w:id="775" w:name="_Toc10429"/>
      <w:bookmarkStart w:id="776" w:name="_Toc1647"/>
      <w:bookmarkStart w:id="777" w:name="_Toc2894"/>
      <w:r>
        <w:rPr>
          <w:rFonts w:hint="eastAsia" w:ascii="仿宋" w:hAnsi="仿宋" w:eastAsia="仿宋" w:cs="仿宋"/>
          <w:b/>
          <w:color w:val="auto"/>
          <w:sz w:val="24"/>
          <w:highlight w:val="none"/>
        </w:rPr>
        <w:t>1.8 合同生效</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adjustRightInd w:val="0"/>
        <w:spacing w:line="360" w:lineRule="exact"/>
        <w:rPr>
          <w:rFonts w:hint="eastAsia" w:ascii="仿宋" w:hAnsi="仿宋" w:eastAsia="仿宋" w:cs="仿宋"/>
          <w:color w:val="auto"/>
          <w:sz w:val="24"/>
          <w:highlight w:val="none"/>
          <w:lang w:val="zh-CN"/>
        </w:rPr>
      </w:pP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adjustRightInd w:val="0"/>
        <w:spacing w:line="360" w:lineRule="exact"/>
        <w:rPr>
          <w:rFonts w:hint="eastAsia" w:ascii="仿宋" w:hAnsi="仿宋" w:eastAsia="仿宋" w:cs="仿宋"/>
          <w:color w:val="auto"/>
          <w:sz w:val="24"/>
          <w:highlight w:val="none"/>
          <w:lang w:val="zh-CN"/>
        </w:rPr>
      </w:pP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adjustRightInd w:val="0"/>
        <w:spacing w:line="3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adjustRightIn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adjustRightIn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adjustRightIn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adjustRightIn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360" w:lineRule="exact"/>
        <w:jc w:val="left"/>
        <w:rPr>
          <w:rFonts w:hint="eastAsia" w:ascii="仿宋" w:hAnsi="仿宋" w:eastAsia="仿宋" w:cs="仿宋"/>
          <w:b/>
          <w:color w:val="auto"/>
          <w:highlight w:val="none"/>
        </w:rPr>
      </w:pPr>
      <w:bookmarkStart w:id="778" w:name="_Toc331685783"/>
    </w:p>
    <w:p>
      <w:pPr>
        <w:widowControl/>
        <w:spacing w:line="360" w:lineRule="exact"/>
        <w:jc w:val="left"/>
        <w:rPr>
          <w:rFonts w:hint="eastAsia" w:ascii="仿宋" w:hAnsi="仿宋" w:eastAsia="仿宋" w:cs="仿宋"/>
          <w:b/>
          <w:color w:val="auto"/>
          <w:highlight w:val="none"/>
        </w:rPr>
      </w:pPr>
    </w:p>
    <w:p>
      <w:pPr>
        <w:pStyle w:val="48"/>
        <w:spacing w:line="3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778"/>
    </w:p>
    <w:p>
      <w:pPr>
        <w:spacing w:line="360" w:lineRule="exact"/>
        <w:ind w:firstLine="482" w:firstLineChars="200"/>
        <w:outlineLvl w:val="0"/>
        <w:rPr>
          <w:rFonts w:hint="eastAsia" w:ascii="仿宋" w:hAnsi="仿宋" w:eastAsia="仿宋" w:cs="仿宋"/>
          <w:b/>
          <w:color w:val="auto"/>
          <w:sz w:val="24"/>
          <w:highlight w:val="none"/>
        </w:rPr>
      </w:pPr>
      <w:bookmarkStart w:id="779" w:name="_Toc15647"/>
      <w:bookmarkStart w:id="780" w:name="_Toc5579"/>
      <w:bookmarkStart w:id="781" w:name="_Ref467378404"/>
      <w:bookmarkStart w:id="782" w:name="_Toc279701240"/>
      <w:bookmarkStart w:id="783" w:name="_Ref467379225"/>
      <w:bookmarkStart w:id="784" w:name="_Ref467379205"/>
      <w:bookmarkStart w:id="785" w:name="_Ref467379109"/>
      <w:bookmarkStart w:id="786" w:name="_Toc28656"/>
      <w:bookmarkStart w:id="787" w:name="_Toc29659"/>
      <w:bookmarkStart w:id="788" w:name="_Ref467378499"/>
      <w:bookmarkStart w:id="789" w:name="_Toc26415"/>
      <w:bookmarkStart w:id="790" w:name="_Toc20709"/>
      <w:bookmarkStart w:id="791" w:name="_Toc28763"/>
      <w:bookmarkStart w:id="792" w:name="_Toc17718"/>
      <w:bookmarkStart w:id="793" w:name="_Toc259093669"/>
      <w:bookmarkStart w:id="794" w:name="_Ref467379094"/>
      <w:bookmarkStart w:id="795" w:name="_Toc19614"/>
      <w:bookmarkStart w:id="796" w:name="_Ref467378463"/>
      <w:bookmarkStart w:id="797" w:name="_Toc25554"/>
      <w:bookmarkStart w:id="798" w:name="_Ref467379214"/>
      <w:bookmarkStart w:id="799" w:name="_Toc32624"/>
      <w:bookmarkStart w:id="800" w:name="_Toc510"/>
      <w:bookmarkStart w:id="801" w:name="_Toc26936"/>
      <w:bookmarkStart w:id="802" w:name="_Toc26898"/>
      <w:bookmarkStart w:id="803" w:name="_Toc487900349"/>
      <w:bookmarkStart w:id="804" w:name="_Toc16917"/>
      <w:bookmarkStart w:id="805" w:name="_Ref467379101"/>
      <w:bookmarkStart w:id="806" w:name="_Toc31417"/>
      <w:bookmarkStart w:id="807" w:name="_Toc2034"/>
      <w:bookmarkStart w:id="808" w:name="_Toc14827"/>
      <w:bookmarkStart w:id="809" w:name="_Ref467379195"/>
      <w:r>
        <w:rPr>
          <w:rFonts w:hint="eastAsia" w:ascii="仿宋" w:hAnsi="仿宋" w:eastAsia="仿宋" w:cs="仿宋"/>
          <w:b/>
          <w:color w:val="auto"/>
          <w:sz w:val="24"/>
          <w:highlight w:val="none"/>
        </w:rPr>
        <w:t>2.1 定义</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360" w:lineRule="exact"/>
        <w:ind w:firstLine="480" w:firstLineChars="200"/>
        <w:rPr>
          <w:rFonts w:hint="eastAsia" w:ascii="仿宋" w:hAnsi="仿宋" w:eastAsia="仿宋" w:cs="仿宋"/>
          <w:color w:val="auto"/>
          <w:sz w:val="24"/>
          <w:highlight w:val="none"/>
        </w:rPr>
      </w:pPr>
      <w:bookmarkStart w:id="810" w:name="_Ref467378840"/>
      <w:r>
        <w:rPr>
          <w:rFonts w:hint="eastAsia" w:ascii="仿宋" w:hAnsi="仿宋" w:eastAsia="仿宋" w:cs="仿宋"/>
          <w:color w:val="auto"/>
          <w:sz w:val="24"/>
          <w:highlight w:val="none"/>
        </w:rPr>
        <w:t>2.1.4 “甲方”系指与中标供应商签署合同的采购人</w:t>
      </w:r>
      <w:bookmarkEnd w:id="810"/>
      <w:r>
        <w:rPr>
          <w:rFonts w:hint="eastAsia" w:ascii="仿宋" w:hAnsi="仿宋" w:eastAsia="仿宋" w:cs="仿宋"/>
          <w:color w:val="auto"/>
          <w:sz w:val="24"/>
          <w:highlight w:val="none"/>
        </w:rPr>
        <w:t>；采购人委托采购代理机构代表其与乙方签订合同的，采购人的授权委托书作为合同附件。</w:t>
      </w:r>
    </w:p>
    <w:p>
      <w:pPr>
        <w:spacing w:line="360" w:lineRule="exact"/>
        <w:ind w:firstLine="480" w:firstLineChars="200"/>
        <w:rPr>
          <w:rFonts w:hint="eastAsia" w:ascii="仿宋" w:hAnsi="仿宋" w:eastAsia="仿宋" w:cs="仿宋"/>
          <w:color w:val="auto"/>
          <w:sz w:val="24"/>
          <w:highlight w:val="none"/>
        </w:rPr>
      </w:pPr>
      <w:bookmarkStart w:id="811" w:name="_Ref467379400"/>
      <w:r>
        <w:rPr>
          <w:rFonts w:hint="eastAsia" w:ascii="仿宋" w:hAnsi="仿宋" w:eastAsia="仿宋" w:cs="仿宋"/>
          <w:color w:val="auto"/>
          <w:sz w:val="24"/>
          <w:highlight w:val="none"/>
        </w:rPr>
        <w:t>2.1.5 “乙方”系指根据合同约定交付货物的中标供应商</w:t>
      </w:r>
      <w:bookmarkEnd w:id="81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exact"/>
        <w:ind w:firstLine="480" w:firstLineChars="200"/>
        <w:rPr>
          <w:rFonts w:hint="eastAsia" w:ascii="仿宋" w:hAnsi="仿宋" w:eastAsia="仿宋" w:cs="仿宋"/>
          <w:color w:val="auto"/>
          <w:sz w:val="24"/>
          <w:highlight w:val="none"/>
        </w:rPr>
      </w:pPr>
      <w:bookmarkStart w:id="812" w:name="_Ref467379436"/>
      <w:r>
        <w:rPr>
          <w:rFonts w:hint="eastAsia" w:ascii="仿宋" w:hAnsi="仿宋" w:eastAsia="仿宋" w:cs="仿宋"/>
          <w:color w:val="auto"/>
          <w:sz w:val="24"/>
          <w:highlight w:val="none"/>
        </w:rPr>
        <w:t>2.1.6 “现场”系指合同约定货物将要运至或者安装的地点。</w:t>
      </w:r>
      <w:bookmarkEnd w:id="812"/>
    </w:p>
    <w:p>
      <w:pPr>
        <w:spacing w:line="360" w:lineRule="exact"/>
        <w:ind w:firstLine="482" w:firstLineChars="200"/>
        <w:outlineLvl w:val="0"/>
        <w:rPr>
          <w:rFonts w:hint="eastAsia" w:ascii="仿宋" w:hAnsi="仿宋" w:eastAsia="仿宋" w:cs="仿宋"/>
          <w:b/>
          <w:color w:val="auto"/>
          <w:sz w:val="24"/>
          <w:highlight w:val="none"/>
        </w:rPr>
      </w:pPr>
      <w:bookmarkStart w:id="813" w:name="_Toc13336"/>
      <w:bookmarkStart w:id="814" w:name="_Toc487900350"/>
      <w:bookmarkStart w:id="815" w:name="_Toc18351"/>
      <w:bookmarkStart w:id="816" w:name="_Toc22119"/>
      <w:bookmarkStart w:id="817" w:name="_Toc22122"/>
      <w:bookmarkStart w:id="818" w:name="_Toc1352"/>
      <w:bookmarkStart w:id="819" w:name="_Toc32504"/>
      <w:bookmarkStart w:id="820" w:name="_Toc1183"/>
      <w:bookmarkStart w:id="821" w:name="_Toc7416"/>
      <w:bookmarkStart w:id="822" w:name="_Toc279701241"/>
      <w:bookmarkStart w:id="823" w:name="_Toc11142"/>
      <w:bookmarkStart w:id="824" w:name="_Toc24523"/>
      <w:bookmarkStart w:id="825" w:name="_Toc259093670"/>
      <w:bookmarkStart w:id="826" w:name="_Toc1221"/>
      <w:bookmarkStart w:id="827" w:name="_Toc27635"/>
      <w:bookmarkStart w:id="828" w:name="_Toc17151"/>
      <w:bookmarkStart w:id="829" w:name="_Toc23689"/>
      <w:bookmarkStart w:id="830" w:name="_Toc5592"/>
      <w:bookmarkStart w:id="831" w:name="_Toc24792"/>
      <w:bookmarkStart w:id="832" w:name="_Toc1447"/>
      <w:bookmarkStart w:id="833" w:name="_Toc22104"/>
      <w:r>
        <w:rPr>
          <w:rFonts w:hint="eastAsia" w:ascii="仿宋" w:hAnsi="仿宋" w:eastAsia="仿宋" w:cs="仿宋"/>
          <w:b/>
          <w:color w:val="auto"/>
          <w:sz w:val="24"/>
          <w:highlight w:val="none"/>
        </w:rPr>
        <w:t>2.2 技术规范</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exact"/>
        <w:ind w:firstLine="482" w:firstLineChars="200"/>
        <w:outlineLvl w:val="0"/>
        <w:rPr>
          <w:rFonts w:hint="eastAsia" w:ascii="仿宋" w:hAnsi="仿宋" w:eastAsia="仿宋" w:cs="仿宋"/>
          <w:b/>
          <w:color w:val="auto"/>
          <w:sz w:val="24"/>
          <w:highlight w:val="none"/>
        </w:rPr>
      </w:pPr>
      <w:bookmarkStart w:id="834" w:name="_Toc279701242"/>
      <w:bookmarkStart w:id="835" w:name="_Toc23649"/>
      <w:bookmarkStart w:id="836" w:name="_Toc9829"/>
      <w:bookmarkStart w:id="837" w:name="_Toc259093671"/>
      <w:bookmarkStart w:id="838" w:name="_Toc15733"/>
      <w:bookmarkStart w:id="839" w:name="_Toc31634"/>
      <w:bookmarkStart w:id="840" w:name="_Toc16270"/>
      <w:bookmarkStart w:id="841" w:name="_Toc4029"/>
      <w:bookmarkStart w:id="842" w:name="_Toc27853"/>
      <w:bookmarkStart w:id="843" w:name="_Toc24537"/>
      <w:bookmarkStart w:id="844" w:name="_Toc975"/>
      <w:bookmarkStart w:id="845" w:name="_Toc6121"/>
      <w:bookmarkStart w:id="846" w:name="_Toc30552"/>
      <w:bookmarkStart w:id="847" w:name="_Toc4916"/>
      <w:bookmarkStart w:id="848" w:name="_Toc7722"/>
      <w:bookmarkStart w:id="849" w:name="_Toc22892"/>
      <w:bookmarkStart w:id="850" w:name="_Toc20130"/>
      <w:bookmarkStart w:id="851" w:name="_Toc487900351"/>
      <w:bookmarkStart w:id="852" w:name="_Toc32048"/>
      <w:bookmarkStart w:id="853" w:name="_Toc3854"/>
      <w:bookmarkStart w:id="854" w:name="_Toc14632"/>
      <w:r>
        <w:rPr>
          <w:rFonts w:hint="eastAsia" w:ascii="仿宋" w:hAnsi="仿宋" w:eastAsia="仿宋" w:cs="仿宋"/>
          <w:b/>
          <w:color w:val="auto"/>
          <w:sz w:val="24"/>
          <w:highlight w:val="none"/>
        </w:rPr>
        <w:t>2.3 知识产权</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855" w:name="_Toc9470"/>
      <w:bookmarkStart w:id="856" w:name="_Toc4194"/>
      <w:bookmarkStart w:id="857" w:name="_Toc10546"/>
      <w:bookmarkStart w:id="858" w:name="_Toc7463"/>
      <w:bookmarkStart w:id="859" w:name="_Toc12219"/>
      <w:bookmarkStart w:id="860" w:name="_Toc20620"/>
      <w:bookmarkStart w:id="861" w:name="_Toc26731"/>
      <w:bookmarkStart w:id="862" w:name="_Toc11932"/>
      <w:bookmarkStart w:id="863" w:name="_Toc28714"/>
      <w:bookmarkStart w:id="864" w:name="_Toc23105"/>
      <w:bookmarkStart w:id="865" w:name="_Toc29149"/>
      <w:bookmarkStart w:id="866" w:name="_Toc25767"/>
      <w:bookmarkStart w:id="867" w:name="_Toc19638"/>
      <w:bookmarkStart w:id="868" w:name="_Toc16163"/>
      <w:bookmarkStart w:id="869" w:name="_Toc6781"/>
      <w:bookmarkStart w:id="870" w:name="_Toc17080"/>
      <w:bookmarkStart w:id="871" w:name="_Toc5395"/>
      <w:bookmarkStart w:id="872" w:name="_Toc3486"/>
      <w:r>
        <w:rPr>
          <w:rFonts w:hint="eastAsia" w:ascii="仿宋" w:hAnsi="仿宋" w:eastAsia="仿宋" w:cs="仿宋"/>
          <w:b/>
          <w:color w:val="auto"/>
          <w:sz w:val="24"/>
          <w:highlight w:val="none"/>
        </w:rPr>
        <w:t>2.4 包装和装运</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873" w:name="_Toc487900354"/>
      <w:bookmarkStart w:id="874" w:name="_Ref467379542"/>
      <w:bookmarkStart w:id="875" w:name="_Toc279701245"/>
      <w:bookmarkStart w:id="876" w:name="_Ref467378591"/>
      <w:bookmarkStart w:id="877" w:name="_Ref467378541"/>
      <w:bookmarkStart w:id="878" w:name="_Ref467379527"/>
      <w:bookmarkStart w:id="879" w:name="_Ref467379536"/>
      <w:bookmarkStart w:id="880" w:name="_Toc259093674"/>
      <w:bookmarkStart w:id="881" w:name="_Toc30272"/>
      <w:bookmarkStart w:id="882" w:name="_Toc18515"/>
      <w:bookmarkStart w:id="883" w:name="_Toc19074"/>
      <w:bookmarkStart w:id="884" w:name="_Toc24935"/>
      <w:bookmarkStart w:id="885" w:name="_Toc7299"/>
      <w:bookmarkStart w:id="886" w:name="_Toc26182"/>
      <w:bookmarkStart w:id="887" w:name="_Toc4831"/>
      <w:bookmarkStart w:id="888" w:name="_Toc30516"/>
      <w:bookmarkStart w:id="889" w:name="_Toc21198"/>
      <w:bookmarkStart w:id="890" w:name="_Toc15512"/>
      <w:bookmarkStart w:id="891" w:name="_Toc12428"/>
      <w:bookmarkStart w:id="892" w:name="_Toc8722"/>
      <w:bookmarkStart w:id="893" w:name="_Toc5927"/>
      <w:bookmarkStart w:id="894" w:name="_Toc2815"/>
      <w:bookmarkStart w:id="895" w:name="_Toc24299"/>
      <w:bookmarkStart w:id="896" w:name="_Toc7477"/>
      <w:bookmarkStart w:id="897" w:name="_Toc28937"/>
      <w:bookmarkStart w:id="898" w:name="_Toc18307"/>
      <w:r>
        <w:rPr>
          <w:rFonts w:hint="eastAsia" w:ascii="仿宋" w:hAnsi="仿宋" w:eastAsia="仿宋" w:cs="仿宋"/>
          <w:b/>
          <w:color w:val="auto"/>
          <w:sz w:val="24"/>
          <w:highlight w:val="none"/>
        </w:rPr>
        <w:t>2.</w:t>
      </w:r>
      <w:bookmarkEnd w:id="873"/>
      <w:bookmarkEnd w:id="874"/>
      <w:bookmarkEnd w:id="875"/>
      <w:bookmarkEnd w:id="876"/>
      <w:bookmarkEnd w:id="877"/>
      <w:bookmarkEnd w:id="878"/>
      <w:bookmarkEnd w:id="879"/>
      <w:bookmarkEnd w:id="880"/>
      <w:r>
        <w:rPr>
          <w:rFonts w:hint="eastAsia" w:ascii="仿宋" w:hAnsi="仿宋" w:eastAsia="仿宋" w:cs="仿宋"/>
          <w:b/>
          <w:color w:val="auto"/>
          <w:sz w:val="24"/>
          <w:highlight w:val="none"/>
        </w:rPr>
        <w:t>5 履约检查和问题反馈</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spacing w:line="360" w:lineRule="exact"/>
        <w:ind w:firstLine="480" w:firstLineChars="200"/>
        <w:rPr>
          <w:rFonts w:hint="eastAsia" w:ascii="仿宋" w:hAnsi="仿宋" w:eastAsia="仿宋" w:cs="仿宋"/>
          <w:color w:val="auto"/>
          <w:sz w:val="24"/>
          <w:highlight w:val="none"/>
        </w:rPr>
      </w:pPr>
      <w:bookmarkStart w:id="899" w:name="_Ref467379657"/>
      <w:r>
        <w:rPr>
          <w:rFonts w:hint="eastAsia" w:ascii="仿宋" w:hAnsi="仿宋" w:eastAsia="仿宋" w:cs="仿宋"/>
          <w:color w:val="auto"/>
          <w:sz w:val="24"/>
          <w:highlight w:val="none"/>
        </w:rPr>
        <w:t>2.5.1</w:t>
      </w:r>
      <w:bookmarkEnd w:id="899"/>
      <w:bookmarkStart w:id="900" w:name="_Toc186431854"/>
      <w:bookmarkStart w:id="901" w:name="_Toc259093676"/>
      <w:bookmarkStart w:id="902" w:name="_Toc487900357"/>
      <w:bookmarkStart w:id="903" w:name="_Ref467379807"/>
      <w:bookmarkStart w:id="904" w:name="_Toc279701247"/>
      <w:bookmarkStart w:id="905" w:name="_Ref467379793"/>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900"/>
      <w:bookmarkStart w:id="906" w:name="_Toc186431855"/>
      <w:r>
        <w:rPr>
          <w:rFonts w:hint="eastAsia" w:ascii="仿宋" w:hAnsi="仿宋" w:eastAsia="仿宋" w:cs="仿宋"/>
          <w:color w:val="auto"/>
          <w:sz w:val="24"/>
          <w:highlight w:val="none"/>
        </w:rPr>
        <w:t>。</w:t>
      </w:r>
    </w:p>
    <w:bookmarkEnd w:id="906"/>
    <w:p>
      <w:pPr>
        <w:spacing w:line="360" w:lineRule="exact"/>
        <w:ind w:firstLine="482" w:firstLineChars="200"/>
        <w:outlineLvl w:val="0"/>
        <w:rPr>
          <w:rFonts w:hint="eastAsia" w:ascii="仿宋" w:hAnsi="仿宋" w:eastAsia="仿宋" w:cs="仿宋"/>
          <w:b/>
          <w:color w:val="auto"/>
          <w:sz w:val="24"/>
          <w:highlight w:val="none"/>
        </w:rPr>
      </w:pPr>
      <w:bookmarkStart w:id="907" w:name="_Toc9092"/>
      <w:bookmarkStart w:id="908" w:name="_Toc17283"/>
      <w:bookmarkStart w:id="909" w:name="_Toc7836"/>
      <w:bookmarkStart w:id="910" w:name="_Toc234"/>
      <w:bookmarkStart w:id="911" w:name="_Toc11522"/>
      <w:bookmarkStart w:id="912" w:name="_Toc12360"/>
      <w:bookmarkStart w:id="913" w:name="_Toc20560"/>
      <w:bookmarkStart w:id="914" w:name="_Toc5304"/>
      <w:bookmarkStart w:id="915" w:name="_Toc30354"/>
      <w:bookmarkStart w:id="916" w:name="_Toc12850"/>
      <w:bookmarkStart w:id="917" w:name="_Toc26298"/>
      <w:bookmarkStart w:id="918" w:name="_Toc26232"/>
      <w:bookmarkStart w:id="919" w:name="_Toc19219"/>
      <w:bookmarkStart w:id="920" w:name="_Toc28451"/>
      <w:bookmarkStart w:id="921" w:name="_Toc31520"/>
      <w:bookmarkStart w:id="922" w:name="_Toc582"/>
      <w:bookmarkStart w:id="923" w:name="_Toc2067"/>
      <w:bookmarkStart w:id="924" w:name="_Toc23261"/>
      <w:r>
        <w:rPr>
          <w:rFonts w:hint="eastAsia" w:ascii="仿宋" w:hAnsi="仿宋" w:eastAsia="仿宋" w:cs="仿宋"/>
          <w:b/>
          <w:color w:val="auto"/>
          <w:sz w:val="24"/>
          <w:highlight w:val="none"/>
        </w:rPr>
        <w:t>2.6 结算方式和付款条件</w:t>
      </w:r>
      <w:bookmarkEnd w:id="901"/>
      <w:bookmarkEnd w:id="902"/>
      <w:bookmarkEnd w:id="903"/>
      <w:bookmarkEnd w:id="904"/>
      <w:bookmarkEnd w:id="905"/>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925" w:name="_Ref467379852"/>
      <w:bookmarkStart w:id="926" w:name="_Ref467379863"/>
      <w:bookmarkStart w:id="927" w:name="_Toc487900358"/>
      <w:bookmarkStart w:id="928" w:name="_Ref467379923"/>
      <w:bookmarkStart w:id="929" w:name="_Toc279701248"/>
      <w:bookmarkStart w:id="930" w:name="_Toc259093677"/>
      <w:bookmarkStart w:id="931" w:name="_Toc31971"/>
      <w:bookmarkStart w:id="932" w:name="_Toc3225"/>
      <w:bookmarkStart w:id="933" w:name="_Toc13505"/>
      <w:bookmarkStart w:id="934" w:name="_Toc16110"/>
      <w:bookmarkStart w:id="935" w:name="_Toc1200"/>
      <w:bookmarkStart w:id="936" w:name="_Toc14491"/>
      <w:bookmarkStart w:id="937" w:name="_Toc28781"/>
      <w:bookmarkStart w:id="938" w:name="_Toc29616"/>
      <w:bookmarkStart w:id="939" w:name="_Toc11236"/>
      <w:bookmarkStart w:id="940" w:name="_Toc10114"/>
      <w:bookmarkStart w:id="941" w:name="_Toc17607"/>
      <w:bookmarkStart w:id="942" w:name="_Toc29030"/>
      <w:bookmarkStart w:id="943" w:name="_Toc9845"/>
      <w:bookmarkStart w:id="944" w:name="_Toc13023"/>
      <w:bookmarkStart w:id="945" w:name="_Toc774"/>
      <w:bookmarkStart w:id="946" w:name="_Toc17051"/>
      <w:bookmarkStart w:id="947" w:name="_Toc31305"/>
      <w:bookmarkStart w:id="948" w:name="_Toc14236"/>
      <w:r>
        <w:rPr>
          <w:rFonts w:hint="eastAsia" w:ascii="仿宋" w:hAnsi="仿宋" w:eastAsia="仿宋" w:cs="仿宋"/>
          <w:b/>
          <w:color w:val="auto"/>
          <w:sz w:val="24"/>
          <w:highlight w:val="none"/>
        </w:rPr>
        <w:t>2.7 技术资料</w:t>
      </w:r>
      <w:bookmarkEnd w:id="925"/>
      <w:bookmarkEnd w:id="926"/>
      <w:bookmarkEnd w:id="927"/>
      <w:bookmarkEnd w:id="928"/>
      <w:bookmarkEnd w:id="929"/>
      <w:bookmarkEnd w:id="930"/>
      <w:r>
        <w:rPr>
          <w:rFonts w:hint="eastAsia" w:ascii="仿宋" w:hAnsi="仿宋" w:eastAsia="仿宋" w:cs="仿宋"/>
          <w:b/>
          <w:color w:val="auto"/>
          <w:sz w:val="24"/>
          <w:highlight w:val="none"/>
        </w:rPr>
        <w:t>和保密义务</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乙方有权依据合同约定和项目需要，向甲方了解有关情况，调阅有关资料等，甲方应予积极配合；</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乙方有义务妥善保管和保护由甲方提供的前款信息和资料等；</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exact"/>
        <w:ind w:firstLine="482" w:firstLineChars="200"/>
        <w:outlineLvl w:val="0"/>
        <w:rPr>
          <w:rFonts w:hint="eastAsia" w:ascii="仿宋" w:hAnsi="仿宋" w:eastAsia="仿宋" w:cs="仿宋"/>
          <w:b/>
          <w:color w:val="auto"/>
          <w:sz w:val="24"/>
          <w:highlight w:val="none"/>
        </w:rPr>
      </w:pPr>
      <w:bookmarkStart w:id="949" w:name="_Toc8288"/>
      <w:bookmarkStart w:id="950" w:name="_Toc16190"/>
      <w:bookmarkStart w:id="951" w:name="_Toc5200"/>
      <w:bookmarkStart w:id="952" w:name="_Toc10326"/>
      <w:bookmarkStart w:id="953" w:name="_Toc27453"/>
      <w:bookmarkStart w:id="954" w:name="_Toc21267"/>
      <w:bookmarkStart w:id="955" w:name="_Toc23081"/>
      <w:bookmarkStart w:id="956" w:name="_Toc18551"/>
      <w:bookmarkStart w:id="957" w:name="_Toc2287"/>
      <w:bookmarkStart w:id="958" w:name="_Toc11328"/>
      <w:bookmarkStart w:id="959" w:name="_Toc30503"/>
      <w:bookmarkStart w:id="960" w:name="_Toc3759"/>
      <w:bookmarkStart w:id="961" w:name="_Toc11530"/>
      <w:bookmarkStart w:id="962" w:name="_Toc3156"/>
      <w:bookmarkStart w:id="963" w:name="_Toc7860"/>
      <w:bookmarkStart w:id="964" w:name="_Toc30477"/>
      <w:r>
        <w:rPr>
          <w:rFonts w:hint="eastAsia" w:ascii="仿宋" w:hAnsi="仿宋" w:eastAsia="仿宋" w:cs="仿宋"/>
          <w:b/>
          <w:color w:val="auto"/>
          <w:sz w:val="24"/>
          <w:highlight w:val="none"/>
        </w:rPr>
        <w:t>2.8 质量保证</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乙方应建立和完善履行合同的内部质量保证体系，并提供相关内部规章制度给甲方，以便甲方进行监督检查；</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 乙方应保证履行合同的人员数量和素质、软件和硬件设备的配置、场地、环境和设施等满足全面履行合同的要求，并应接受甲方的监督检查。</w:t>
      </w:r>
    </w:p>
    <w:p>
      <w:pPr>
        <w:spacing w:line="360" w:lineRule="exact"/>
        <w:ind w:firstLine="482" w:firstLineChars="200"/>
        <w:outlineLvl w:val="0"/>
        <w:rPr>
          <w:rFonts w:hint="eastAsia" w:ascii="仿宋" w:hAnsi="仿宋" w:eastAsia="仿宋" w:cs="仿宋"/>
          <w:b/>
          <w:color w:val="auto"/>
          <w:sz w:val="24"/>
          <w:highlight w:val="none"/>
        </w:rPr>
      </w:pPr>
      <w:bookmarkStart w:id="965" w:name="_Toc25529"/>
      <w:bookmarkStart w:id="966" w:name="_Toc17244"/>
      <w:bookmarkStart w:id="967" w:name="_Toc3349"/>
      <w:bookmarkStart w:id="968" w:name="_Toc22016"/>
      <w:bookmarkStart w:id="969" w:name="_Toc812"/>
      <w:bookmarkStart w:id="970" w:name="_Toc12010"/>
      <w:bookmarkStart w:id="971" w:name="_Toc14663"/>
      <w:bookmarkStart w:id="972" w:name="_Toc23172"/>
      <w:bookmarkStart w:id="973" w:name="_Toc17030"/>
      <w:bookmarkStart w:id="974" w:name="_Toc27234"/>
      <w:bookmarkStart w:id="975" w:name="_Toc13812"/>
      <w:bookmarkStart w:id="976" w:name="_Toc31091"/>
      <w:bookmarkStart w:id="977" w:name="_Toc27238"/>
      <w:bookmarkStart w:id="978" w:name="_Toc26555"/>
      <w:bookmarkStart w:id="979" w:name="_Toc14596"/>
      <w:bookmarkStart w:id="980" w:name="_Toc259093681"/>
      <w:bookmarkStart w:id="981" w:name="_Toc279701252"/>
      <w:bookmarkStart w:id="982" w:name="_Toc487900362"/>
      <w:r>
        <w:rPr>
          <w:rFonts w:hint="eastAsia" w:ascii="仿宋" w:hAnsi="仿宋" w:eastAsia="仿宋" w:cs="仿宋"/>
          <w:b/>
          <w:color w:val="auto"/>
          <w:sz w:val="24"/>
          <w:highlight w:val="none"/>
        </w:rPr>
        <w:t>2.9 货物的风险负担</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spacing w:line="3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360" w:lineRule="exact"/>
        <w:ind w:firstLine="482" w:firstLineChars="200"/>
        <w:outlineLvl w:val="0"/>
        <w:rPr>
          <w:rFonts w:hint="eastAsia" w:ascii="仿宋" w:hAnsi="仿宋" w:eastAsia="仿宋" w:cs="仿宋"/>
          <w:b/>
          <w:color w:val="auto"/>
          <w:sz w:val="24"/>
          <w:highlight w:val="none"/>
        </w:rPr>
      </w:pPr>
      <w:bookmarkStart w:id="983" w:name="_Toc14055"/>
      <w:bookmarkStart w:id="984" w:name="_Toc1299"/>
      <w:bookmarkStart w:id="985" w:name="_Toc19684"/>
      <w:bookmarkStart w:id="986" w:name="_Toc14698"/>
      <w:bookmarkStart w:id="987" w:name="_Toc6602"/>
      <w:bookmarkStart w:id="988" w:name="_Toc14175"/>
      <w:bookmarkStart w:id="989" w:name="_Toc5196"/>
      <w:bookmarkStart w:id="990" w:name="_Toc15465"/>
      <w:bookmarkStart w:id="991" w:name="_Toc12031"/>
      <w:bookmarkStart w:id="992" w:name="_Toc2"/>
      <w:bookmarkStart w:id="993" w:name="_Toc11963"/>
      <w:bookmarkStart w:id="994" w:name="_Toc15972"/>
      <w:bookmarkStart w:id="995" w:name="_Toc25663"/>
      <w:bookmarkStart w:id="996" w:name="_Toc22674"/>
      <w:bookmarkStart w:id="997" w:name="_Toc7986"/>
      <w:bookmarkStart w:id="998" w:name="_Toc29837"/>
      <w:r>
        <w:rPr>
          <w:rFonts w:hint="eastAsia" w:ascii="仿宋" w:hAnsi="仿宋" w:eastAsia="仿宋" w:cs="仿宋"/>
          <w:b/>
          <w:color w:val="auto"/>
          <w:sz w:val="24"/>
          <w:highlight w:val="none"/>
        </w:rPr>
        <w:t>2.10 延迟交货</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exact"/>
        <w:ind w:firstLine="482" w:firstLineChars="200"/>
        <w:outlineLvl w:val="0"/>
        <w:rPr>
          <w:rFonts w:hint="eastAsia" w:ascii="仿宋" w:hAnsi="仿宋" w:eastAsia="仿宋" w:cs="仿宋"/>
          <w:b/>
          <w:color w:val="auto"/>
          <w:sz w:val="24"/>
          <w:highlight w:val="none"/>
        </w:rPr>
      </w:pPr>
      <w:bookmarkStart w:id="999" w:name="_Toc27871"/>
      <w:bookmarkStart w:id="1000" w:name="_Toc7502"/>
      <w:bookmarkStart w:id="1001" w:name="_Toc12175"/>
      <w:bookmarkStart w:id="1002" w:name="_Toc7444"/>
      <w:bookmarkStart w:id="1003" w:name="_Toc22631"/>
      <w:bookmarkStart w:id="1004" w:name="_Toc8441"/>
      <w:bookmarkStart w:id="1005" w:name="_Toc4586"/>
      <w:bookmarkStart w:id="1006" w:name="_Toc16528"/>
      <w:bookmarkStart w:id="1007" w:name="_Toc10956"/>
      <w:bookmarkStart w:id="1008" w:name="_Toc18704"/>
      <w:bookmarkStart w:id="1009" w:name="_Toc14851"/>
      <w:bookmarkStart w:id="1010" w:name="_Toc17237"/>
      <w:bookmarkStart w:id="1011" w:name="_Toc3064"/>
      <w:bookmarkStart w:id="1012" w:name="_Toc507"/>
      <w:bookmarkStart w:id="1013" w:name="_Toc25717"/>
      <w:bookmarkStart w:id="1014" w:name="_Toc16810"/>
      <w:bookmarkStart w:id="1015" w:name="_Toc279701254"/>
      <w:bookmarkStart w:id="1016" w:name="_Toc259093683"/>
      <w:bookmarkStart w:id="1017" w:name="_Toc487900364"/>
      <w:bookmarkStart w:id="1018" w:name="_Ref467378121"/>
      <w:r>
        <w:rPr>
          <w:rFonts w:hint="eastAsia" w:ascii="仿宋" w:hAnsi="仿宋" w:eastAsia="仿宋" w:cs="仿宋"/>
          <w:b/>
          <w:color w:val="auto"/>
          <w:sz w:val="24"/>
          <w:highlight w:val="none"/>
        </w:rPr>
        <w:t>2.11 合同变更</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019" w:name="_Toc259093688"/>
      <w:bookmarkStart w:id="1020" w:name="_Toc279701259"/>
      <w:bookmarkStart w:id="1021" w:name="_Toc487900369"/>
    </w:p>
    <w:p>
      <w:pPr>
        <w:spacing w:line="360" w:lineRule="exact"/>
        <w:ind w:firstLine="482" w:firstLineChars="200"/>
        <w:outlineLvl w:val="0"/>
        <w:rPr>
          <w:rFonts w:hint="eastAsia" w:ascii="仿宋" w:hAnsi="仿宋" w:eastAsia="仿宋" w:cs="仿宋"/>
          <w:b/>
          <w:color w:val="auto"/>
          <w:sz w:val="24"/>
          <w:highlight w:val="none"/>
        </w:rPr>
      </w:pPr>
      <w:bookmarkStart w:id="1022" w:name="_Toc3931"/>
      <w:bookmarkStart w:id="1023" w:name="_Toc14895"/>
      <w:bookmarkStart w:id="1024" w:name="_Toc22955"/>
      <w:bookmarkStart w:id="1025" w:name="_Toc11626"/>
      <w:bookmarkStart w:id="1026" w:name="_Toc10537"/>
      <w:bookmarkStart w:id="1027" w:name="_Toc10366"/>
      <w:bookmarkStart w:id="1028" w:name="_Toc23079"/>
      <w:bookmarkStart w:id="1029" w:name="_Toc26224"/>
      <w:bookmarkStart w:id="1030" w:name="_Toc27772"/>
      <w:bookmarkStart w:id="1031" w:name="_Toc25508"/>
      <w:bookmarkStart w:id="1032" w:name="_Toc31834"/>
      <w:bookmarkStart w:id="1033" w:name="_Toc19380"/>
      <w:bookmarkStart w:id="1034" w:name="_Toc15237"/>
      <w:bookmarkStart w:id="1035" w:name="_Toc3928"/>
      <w:bookmarkStart w:id="1036" w:name="_Toc3825"/>
      <w:bookmarkStart w:id="1037" w:name="_Toc9370"/>
      <w:bookmarkStart w:id="1038" w:name="_Toc24511"/>
      <w:r>
        <w:rPr>
          <w:rFonts w:hint="eastAsia" w:ascii="仿宋" w:hAnsi="仿宋" w:eastAsia="仿宋" w:cs="仿宋"/>
          <w:b/>
          <w:color w:val="auto"/>
          <w:sz w:val="24"/>
          <w:highlight w:val="none"/>
        </w:rPr>
        <w:t>2.12 合同转让</w:t>
      </w:r>
      <w:bookmarkEnd w:id="1019"/>
      <w:bookmarkEnd w:id="1020"/>
      <w:bookmarkEnd w:id="1021"/>
      <w:r>
        <w:rPr>
          <w:rFonts w:hint="eastAsia" w:ascii="仿宋" w:hAnsi="仿宋" w:eastAsia="仿宋" w:cs="仿宋"/>
          <w:b/>
          <w:color w:val="auto"/>
          <w:sz w:val="24"/>
          <w:highlight w:val="none"/>
        </w:rPr>
        <w:t>和分包</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exact"/>
        <w:ind w:firstLine="482" w:firstLineChars="200"/>
        <w:outlineLvl w:val="0"/>
        <w:rPr>
          <w:rFonts w:hint="eastAsia" w:ascii="仿宋" w:hAnsi="仿宋" w:eastAsia="仿宋" w:cs="仿宋"/>
          <w:b/>
          <w:color w:val="auto"/>
          <w:sz w:val="24"/>
          <w:highlight w:val="none"/>
        </w:rPr>
      </w:pPr>
      <w:bookmarkStart w:id="1039" w:name="_Toc4540"/>
      <w:bookmarkStart w:id="1040" w:name="_Toc5484"/>
      <w:bookmarkStart w:id="1041" w:name="_Toc14066"/>
      <w:bookmarkStart w:id="1042" w:name="_Toc15741"/>
      <w:bookmarkStart w:id="1043" w:name="_Toc8114"/>
      <w:bookmarkStart w:id="1044" w:name="_Toc2586"/>
      <w:bookmarkStart w:id="1045" w:name="_Toc3533"/>
      <w:bookmarkStart w:id="1046" w:name="_Toc24741"/>
      <w:bookmarkStart w:id="1047" w:name="_Toc5831"/>
      <w:bookmarkStart w:id="1048" w:name="_Toc13566"/>
      <w:bookmarkStart w:id="1049" w:name="_Toc12165"/>
      <w:bookmarkStart w:id="1050" w:name="_Toc16893"/>
      <w:bookmarkStart w:id="1051" w:name="_Toc13069"/>
      <w:bookmarkStart w:id="1052" w:name="_Toc12809"/>
      <w:bookmarkStart w:id="1053" w:name="_Toc17498"/>
      <w:bookmarkStart w:id="1054" w:name="_Toc16508"/>
      <w:bookmarkStart w:id="1055" w:name="_Toc14752"/>
      <w:bookmarkStart w:id="1056" w:name="_Toc13557"/>
      <w:r>
        <w:rPr>
          <w:rFonts w:hint="eastAsia" w:ascii="仿宋" w:hAnsi="仿宋" w:eastAsia="仿宋" w:cs="仿宋"/>
          <w:b/>
          <w:color w:val="auto"/>
          <w:sz w:val="24"/>
          <w:highlight w:val="none"/>
        </w:rPr>
        <w:t>2.13 不可抗力</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2.13.1如果任何一方遭遇法律规定的不可抗力，致使合同履行受阻时，履行合同的期限应予延长，延长的期限应相当于不可抗力所影响的时间；</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 因不可抗力致使不能实现合同目的的，当事人可以解除合同；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360" w:lineRule="exact"/>
        <w:ind w:firstLine="482" w:firstLineChars="200"/>
        <w:outlineLvl w:val="0"/>
        <w:rPr>
          <w:rFonts w:hint="eastAsia" w:ascii="仿宋" w:hAnsi="仿宋" w:eastAsia="仿宋" w:cs="仿宋"/>
          <w:b/>
          <w:color w:val="auto"/>
          <w:sz w:val="24"/>
          <w:highlight w:val="none"/>
        </w:rPr>
      </w:pPr>
      <w:bookmarkStart w:id="1057" w:name="_Toc26085"/>
      <w:bookmarkStart w:id="1058" w:name="_Toc31597"/>
      <w:bookmarkStart w:id="1059" w:name="_Toc7145"/>
      <w:bookmarkStart w:id="1060" w:name="_Toc6969"/>
      <w:bookmarkStart w:id="1061" w:name="_Toc19677"/>
      <w:bookmarkStart w:id="1062" w:name="_Toc10528"/>
      <w:bookmarkStart w:id="1063" w:name="_Toc6288"/>
      <w:bookmarkStart w:id="1064" w:name="_Toc16470"/>
      <w:bookmarkStart w:id="1065" w:name="_Toc279701255"/>
      <w:bookmarkStart w:id="1066" w:name="_Toc689"/>
      <w:bookmarkStart w:id="1067" w:name="_Toc487900365"/>
      <w:bookmarkStart w:id="1068" w:name="_Toc259093684"/>
      <w:bookmarkStart w:id="1069" w:name="_Toc13910"/>
      <w:bookmarkStart w:id="1070" w:name="_Toc4006"/>
      <w:bookmarkStart w:id="1071" w:name="_Toc11423"/>
      <w:bookmarkStart w:id="1072" w:name="_Toc27579"/>
      <w:bookmarkStart w:id="1073" w:name="_Toc11876"/>
      <w:bookmarkStart w:id="1074" w:name="_Toc6047"/>
      <w:bookmarkStart w:id="1075" w:name="_Toc6676"/>
      <w:bookmarkStart w:id="1076" w:name="_Toc1584"/>
      <w:bookmarkStart w:id="1077" w:name="_Toc30676"/>
      <w:r>
        <w:rPr>
          <w:rFonts w:hint="eastAsia" w:ascii="仿宋" w:hAnsi="仿宋" w:eastAsia="仿宋" w:cs="仿宋"/>
          <w:b/>
          <w:color w:val="auto"/>
          <w:sz w:val="24"/>
          <w:highlight w:val="none"/>
        </w:rPr>
        <w:t>2.14 税费</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360" w:lineRule="exact"/>
        <w:ind w:firstLine="482" w:firstLineChars="200"/>
        <w:outlineLvl w:val="0"/>
        <w:rPr>
          <w:rFonts w:hint="eastAsia" w:ascii="仿宋" w:hAnsi="仿宋" w:eastAsia="仿宋" w:cs="仿宋"/>
          <w:b/>
          <w:color w:val="auto"/>
          <w:sz w:val="24"/>
          <w:highlight w:val="none"/>
        </w:rPr>
      </w:pPr>
      <w:bookmarkStart w:id="1078" w:name="_Toc29869"/>
      <w:bookmarkStart w:id="1079" w:name="_Toc14403"/>
      <w:bookmarkStart w:id="1080" w:name="_Toc515"/>
      <w:bookmarkStart w:id="1081" w:name="_Toc8298"/>
      <w:bookmarkStart w:id="1082" w:name="_Toc7117"/>
      <w:bookmarkStart w:id="1083" w:name="_Toc7692"/>
      <w:bookmarkStart w:id="1084" w:name="_Toc11308"/>
      <w:bookmarkStart w:id="1085" w:name="_Toc7897"/>
      <w:bookmarkStart w:id="1086" w:name="_Toc16959"/>
      <w:bookmarkStart w:id="1087" w:name="_Toc4812"/>
      <w:bookmarkStart w:id="1088" w:name="_Toc7102"/>
      <w:bookmarkStart w:id="1089" w:name="_Toc259093687"/>
      <w:bookmarkStart w:id="1090" w:name="_Toc279701258"/>
      <w:bookmarkStart w:id="1091" w:name="_Toc20594"/>
      <w:bookmarkStart w:id="1092" w:name="_Toc23266"/>
      <w:bookmarkStart w:id="1093" w:name="_Toc12141"/>
      <w:bookmarkStart w:id="1094" w:name="_Toc487900368"/>
      <w:bookmarkStart w:id="1095" w:name="_Toc13626"/>
      <w:bookmarkStart w:id="1096" w:name="_Toc22239"/>
      <w:bookmarkStart w:id="1097" w:name="_Toc8934"/>
      <w:bookmarkStart w:id="1098" w:name="_Toc25260"/>
      <w:r>
        <w:rPr>
          <w:rFonts w:hint="eastAsia" w:ascii="仿宋" w:hAnsi="仿宋" w:eastAsia="仿宋" w:cs="仿宋"/>
          <w:b/>
          <w:color w:val="auto"/>
          <w:sz w:val="24"/>
          <w:highlight w:val="none"/>
        </w:rPr>
        <w:t>2.15 乙方破产</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exact"/>
        <w:ind w:firstLine="482" w:firstLineChars="200"/>
        <w:outlineLvl w:val="0"/>
        <w:rPr>
          <w:rFonts w:hint="eastAsia" w:ascii="仿宋" w:hAnsi="仿宋" w:eastAsia="仿宋" w:cs="仿宋"/>
          <w:b/>
          <w:color w:val="auto"/>
          <w:sz w:val="24"/>
          <w:highlight w:val="none"/>
        </w:rPr>
      </w:pPr>
      <w:bookmarkStart w:id="1099" w:name="_Toc15605"/>
      <w:bookmarkStart w:id="1100" w:name="_Toc24755"/>
      <w:bookmarkStart w:id="1101" w:name="_Toc818"/>
      <w:bookmarkStart w:id="1102" w:name="_Toc12606"/>
      <w:bookmarkStart w:id="1103" w:name="_Toc15445"/>
      <w:bookmarkStart w:id="1104" w:name="_Toc29764"/>
      <w:bookmarkStart w:id="1105" w:name="_Toc6134"/>
      <w:bookmarkStart w:id="1106" w:name="_Toc24867"/>
      <w:bookmarkStart w:id="1107" w:name="_Toc6331"/>
      <w:bookmarkStart w:id="1108" w:name="_Toc31639"/>
      <w:bookmarkStart w:id="1109" w:name="_Toc24976"/>
      <w:bookmarkStart w:id="1110" w:name="_Toc27106"/>
      <w:bookmarkStart w:id="1111" w:name="_Toc29333"/>
      <w:bookmarkStart w:id="1112" w:name="_Toc24066"/>
      <w:bookmarkStart w:id="1113" w:name="_Toc9318"/>
      <w:bookmarkStart w:id="1114" w:name="_Toc4227"/>
      <w:bookmarkStart w:id="1115" w:name="_Toc26255"/>
      <w:bookmarkStart w:id="1116" w:name="_Toc15387"/>
      <w:r>
        <w:rPr>
          <w:rFonts w:hint="eastAsia" w:ascii="仿宋" w:hAnsi="仿宋" w:eastAsia="仿宋" w:cs="仿宋"/>
          <w:b/>
          <w:color w:val="auto"/>
          <w:sz w:val="24"/>
          <w:highlight w:val="none"/>
        </w:rPr>
        <w:t>2.16 合同中止、终止</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 双方当事人不得擅自中止或者终止合同；</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exact"/>
        <w:ind w:firstLine="482" w:firstLineChars="200"/>
        <w:outlineLvl w:val="0"/>
        <w:rPr>
          <w:rFonts w:hint="eastAsia" w:ascii="仿宋" w:hAnsi="仿宋" w:eastAsia="仿宋" w:cs="仿宋"/>
          <w:b/>
          <w:color w:val="auto"/>
          <w:sz w:val="24"/>
          <w:highlight w:val="none"/>
        </w:rPr>
      </w:pPr>
      <w:bookmarkStart w:id="1117" w:name="_Toc26299"/>
      <w:bookmarkStart w:id="1118" w:name="_Toc6596"/>
      <w:bookmarkStart w:id="1119" w:name="_Toc16312"/>
      <w:bookmarkStart w:id="1120" w:name="_Toc24731"/>
      <w:bookmarkStart w:id="1121" w:name="_Toc30133"/>
      <w:bookmarkStart w:id="1122" w:name="_Toc19755"/>
      <w:bookmarkStart w:id="1123" w:name="_Toc30476"/>
      <w:bookmarkStart w:id="1124" w:name="_Toc25358"/>
      <w:bookmarkStart w:id="1125" w:name="_Toc11658"/>
      <w:bookmarkStart w:id="1126" w:name="_Toc13150"/>
      <w:bookmarkStart w:id="1127" w:name="_Toc14890"/>
      <w:bookmarkStart w:id="1128" w:name="_Toc4111"/>
      <w:bookmarkStart w:id="1129" w:name="_Toc14563"/>
      <w:bookmarkStart w:id="1130" w:name="_Toc20145"/>
      <w:bookmarkStart w:id="1131" w:name="_Toc30251"/>
      <w:bookmarkStart w:id="1132" w:name="_Toc25710"/>
      <w:bookmarkStart w:id="1133" w:name="_Toc30958"/>
      <w:bookmarkStart w:id="1134" w:name="_Toc1125"/>
      <w:r>
        <w:rPr>
          <w:rFonts w:hint="eastAsia" w:ascii="仿宋" w:hAnsi="仿宋" w:eastAsia="仿宋" w:cs="仿宋"/>
          <w:b/>
          <w:color w:val="auto"/>
          <w:sz w:val="24"/>
          <w:highlight w:val="none"/>
        </w:rPr>
        <w:t>2.17 检验和验收</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tabs>
          <w:tab w:val="left" w:pos="360"/>
          <w:tab w:val="left" w:pos="540"/>
          <w:tab w:val="left" w:pos="108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1015"/>
    <w:bookmarkEnd w:id="1016"/>
    <w:bookmarkEnd w:id="1017"/>
    <w:bookmarkEnd w:id="1018"/>
    <w:p>
      <w:pPr>
        <w:spacing w:line="360" w:lineRule="exact"/>
        <w:ind w:firstLine="482" w:firstLineChars="200"/>
        <w:outlineLvl w:val="0"/>
        <w:rPr>
          <w:rFonts w:hint="eastAsia" w:ascii="仿宋" w:hAnsi="仿宋" w:eastAsia="仿宋" w:cs="仿宋"/>
          <w:b/>
          <w:color w:val="auto"/>
          <w:sz w:val="24"/>
          <w:highlight w:val="none"/>
        </w:rPr>
      </w:pPr>
      <w:bookmarkStart w:id="1135" w:name="_Toc487900371"/>
      <w:bookmarkStart w:id="1136" w:name="_Toc279701261"/>
      <w:bookmarkStart w:id="1137" w:name="_Toc259093690"/>
      <w:bookmarkStart w:id="1138" w:name="_Toc14242"/>
      <w:bookmarkStart w:id="1139" w:name="_Toc15037"/>
      <w:bookmarkStart w:id="1140" w:name="_Toc2844"/>
      <w:bookmarkStart w:id="1141" w:name="_Toc26823"/>
      <w:bookmarkStart w:id="1142" w:name="_Toc9266"/>
      <w:bookmarkStart w:id="1143" w:name="_Toc17270"/>
      <w:bookmarkStart w:id="1144" w:name="_Toc13220"/>
      <w:bookmarkStart w:id="1145" w:name="_Toc19604"/>
      <w:bookmarkStart w:id="1146" w:name="_Toc11284"/>
      <w:bookmarkStart w:id="1147" w:name="_Toc22021"/>
      <w:bookmarkStart w:id="1148" w:name="_Toc4983"/>
      <w:bookmarkStart w:id="1149" w:name="_Toc725"/>
      <w:bookmarkStart w:id="1150" w:name="_Toc12493"/>
      <w:bookmarkStart w:id="1151" w:name="_Toc25045"/>
      <w:bookmarkStart w:id="1152" w:name="_Toc8096"/>
      <w:bookmarkStart w:id="1153" w:name="_Toc26892"/>
      <w:bookmarkStart w:id="1154" w:name="_Toc25182"/>
      <w:bookmarkStart w:id="1155" w:name="_Toc27621"/>
      <w:r>
        <w:rPr>
          <w:rFonts w:hint="eastAsia" w:ascii="仿宋" w:hAnsi="仿宋" w:eastAsia="仿宋" w:cs="仿宋"/>
          <w:b/>
          <w:color w:val="auto"/>
          <w:sz w:val="24"/>
          <w:highlight w:val="none"/>
        </w:rPr>
        <w:t>2.18 通知</w:t>
      </w:r>
      <w:bookmarkEnd w:id="1135"/>
      <w:bookmarkEnd w:id="1136"/>
      <w:bookmarkEnd w:id="1137"/>
      <w:r>
        <w:rPr>
          <w:rFonts w:hint="eastAsia" w:ascii="仿宋" w:hAnsi="仿宋" w:eastAsia="仿宋" w:cs="仿宋"/>
          <w:b/>
          <w:color w:val="auto"/>
          <w:sz w:val="24"/>
          <w:highlight w:val="none"/>
        </w:rPr>
        <w:t>和送达</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pPr>
        <w:spacing w:line="360" w:lineRule="exact"/>
        <w:ind w:firstLine="480" w:firstLineChars="200"/>
        <w:rPr>
          <w:rFonts w:hint="eastAsia" w:ascii="仿宋" w:hAnsi="仿宋" w:eastAsia="仿宋" w:cs="仿宋"/>
          <w:color w:val="auto"/>
          <w:sz w:val="24"/>
          <w:highlight w:val="none"/>
        </w:rPr>
      </w:pPr>
      <w:bookmarkStart w:id="1156" w:name="_Toc6698"/>
      <w:bookmarkStart w:id="1157" w:name="_Toc3135"/>
      <w:bookmarkStart w:id="1158" w:name="_Toc487900372"/>
      <w:bookmarkStart w:id="1159" w:name="_Toc279701262"/>
      <w:bookmarkStart w:id="1160" w:name="_Toc259093691"/>
      <w:r>
        <w:rPr>
          <w:rFonts w:hint="eastAsia" w:ascii="仿宋" w:hAnsi="仿宋" w:eastAsia="仿宋" w:cs="仿宋"/>
          <w:color w:val="auto"/>
          <w:sz w:val="24"/>
          <w:highlight w:val="none"/>
        </w:rPr>
        <w:t>2.18.1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1156"/>
      <w:bookmarkEnd w:id="1157"/>
    </w:p>
    <w:p>
      <w:pPr>
        <w:spacing w:line="360" w:lineRule="exact"/>
        <w:ind w:firstLine="480" w:firstLineChars="200"/>
        <w:rPr>
          <w:rFonts w:hint="eastAsia" w:ascii="仿宋" w:hAnsi="仿宋" w:eastAsia="仿宋" w:cs="仿宋"/>
          <w:color w:val="auto"/>
          <w:sz w:val="24"/>
          <w:highlight w:val="none"/>
        </w:rPr>
      </w:pPr>
      <w:bookmarkStart w:id="1161" w:name="_Toc23128"/>
      <w:bookmarkStart w:id="1162" w:name="_Toc23294"/>
      <w:r>
        <w:rPr>
          <w:rFonts w:hint="eastAsia" w:ascii="仿宋" w:hAnsi="仿宋" w:eastAsia="仿宋" w:cs="仿宋"/>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61"/>
      <w:bookmarkEnd w:id="1162"/>
    </w:p>
    <w:p>
      <w:pPr>
        <w:spacing w:line="360" w:lineRule="exact"/>
        <w:ind w:firstLine="482" w:firstLineChars="200"/>
        <w:outlineLvl w:val="0"/>
        <w:rPr>
          <w:rFonts w:hint="eastAsia" w:ascii="仿宋" w:hAnsi="仿宋" w:eastAsia="仿宋" w:cs="仿宋"/>
          <w:b/>
          <w:color w:val="auto"/>
          <w:sz w:val="24"/>
          <w:highlight w:val="none"/>
        </w:rPr>
      </w:pPr>
      <w:bookmarkStart w:id="1163" w:name="_Toc11892"/>
      <w:bookmarkStart w:id="1164" w:name="_Toc4241"/>
      <w:bookmarkStart w:id="1165" w:name="_Toc4747"/>
      <w:bookmarkStart w:id="1166" w:name="_Toc12721"/>
      <w:bookmarkStart w:id="1167" w:name="_Toc22760"/>
      <w:bookmarkStart w:id="1168" w:name="_Toc25010"/>
      <w:bookmarkStart w:id="1169" w:name="_Toc2623"/>
      <w:bookmarkStart w:id="1170" w:name="_Toc18540"/>
      <w:bookmarkStart w:id="1171" w:name="_Toc31861"/>
      <w:bookmarkStart w:id="1172" w:name="_Toc21923"/>
      <w:bookmarkStart w:id="1173" w:name="_Toc14810"/>
      <w:bookmarkStart w:id="1174" w:name="_Toc27038"/>
      <w:bookmarkStart w:id="1175" w:name="_Toc20309"/>
      <w:bookmarkStart w:id="1176" w:name="_Toc4355"/>
      <w:bookmarkStart w:id="1177" w:name="_Toc20914"/>
      <w:bookmarkStart w:id="1178" w:name="_Toc9371"/>
      <w:bookmarkStart w:id="1179" w:name="_Toc29312"/>
      <w:r>
        <w:rPr>
          <w:rFonts w:hint="eastAsia" w:ascii="仿宋" w:hAnsi="仿宋" w:eastAsia="仿宋" w:cs="仿宋"/>
          <w:b/>
          <w:color w:val="auto"/>
          <w:sz w:val="24"/>
          <w:highlight w:val="none"/>
        </w:rPr>
        <w:t>2.19 计量单位</w:t>
      </w:r>
      <w:bookmarkEnd w:id="1158"/>
      <w:bookmarkEnd w:id="1159"/>
      <w:bookmarkEnd w:id="1160"/>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360" w:lineRule="exact"/>
        <w:ind w:firstLine="482" w:firstLineChars="200"/>
        <w:outlineLvl w:val="0"/>
        <w:rPr>
          <w:rFonts w:hint="eastAsia" w:ascii="仿宋" w:hAnsi="仿宋" w:eastAsia="仿宋" w:cs="仿宋"/>
          <w:b/>
          <w:color w:val="auto"/>
          <w:sz w:val="24"/>
          <w:highlight w:val="none"/>
        </w:rPr>
      </w:pPr>
      <w:bookmarkStart w:id="1180" w:name="_Toc16880"/>
      <w:bookmarkStart w:id="1181" w:name="_Toc32583"/>
      <w:bookmarkStart w:id="1182" w:name="_Toc17517"/>
      <w:bookmarkStart w:id="1183" w:name="_Toc18634"/>
      <w:bookmarkStart w:id="1184" w:name="_Toc12773"/>
      <w:bookmarkStart w:id="1185" w:name="_Toc15428"/>
      <w:bookmarkStart w:id="1186" w:name="_Toc10330"/>
      <w:bookmarkStart w:id="1187" w:name="_Toc5796"/>
      <w:bookmarkStart w:id="1188" w:name="_Toc279701263"/>
      <w:bookmarkStart w:id="1189" w:name="_Toc9626"/>
      <w:bookmarkStart w:id="1190" w:name="_Toc20624"/>
      <w:bookmarkStart w:id="1191" w:name="_Toc487900373"/>
      <w:bookmarkStart w:id="1192" w:name="_Toc18567"/>
      <w:bookmarkStart w:id="1193" w:name="_Toc19154"/>
      <w:bookmarkStart w:id="1194" w:name="_Toc27589"/>
      <w:bookmarkStart w:id="1195" w:name="_Toc25500"/>
      <w:bookmarkStart w:id="1196" w:name="_Toc15868"/>
      <w:bookmarkStart w:id="1197" w:name="_Toc27951"/>
      <w:bookmarkStart w:id="1198" w:name="_Toc259093692"/>
      <w:bookmarkStart w:id="1199" w:name="_Toc28784"/>
      <w:bookmarkStart w:id="1200" w:name="_Toc13131"/>
      <w:r>
        <w:rPr>
          <w:rFonts w:hint="eastAsia" w:ascii="仿宋" w:hAnsi="仿宋" w:eastAsia="仿宋" w:cs="仿宋"/>
          <w:b/>
          <w:color w:val="auto"/>
          <w:sz w:val="24"/>
          <w:highlight w:val="none"/>
        </w:rPr>
        <w:t>2.20 合同使用的文字和适用的法律</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2.20.1 合同使用汉语书就、变更和解释；</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合同适用中华人民共和国法律。</w:t>
      </w:r>
    </w:p>
    <w:p>
      <w:pPr>
        <w:spacing w:line="360" w:lineRule="exact"/>
        <w:ind w:firstLine="482" w:firstLineChars="200"/>
        <w:outlineLvl w:val="0"/>
        <w:rPr>
          <w:rFonts w:hint="eastAsia" w:ascii="仿宋" w:hAnsi="仿宋" w:eastAsia="仿宋" w:cs="仿宋"/>
          <w:b/>
          <w:color w:val="auto"/>
          <w:sz w:val="24"/>
          <w:highlight w:val="none"/>
        </w:rPr>
      </w:pPr>
      <w:bookmarkStart w:id="1201" w:name="_Toc638"/>
      <w:bookmarkStart w:id="1202" w:name="_Toc3148"/>
      <w:bookmarkStart w:id="1203" w:name="_Toc12004"/>
      <w:bookmarkStart w:id="1204" w:name="_Toc14308"/>
      <w:bookmarkStart w:id="1205" w:name="_Toc22891"/>
      <w:bookmarkStart w:id="1206" w:name="_Toc18845"/>
      <w:bookmarkStart w:id="1207" w:name="_Toc5000"/>
      <w:bookmarkStart w:id="1208" w:name="_Toc14964"/>
      <w:bookmarkStart w:id="1209" w:name="_Toc259093693"/>
      <w:bookmarkStart w:id="1210" w:name="_Toc31790"/>
      <w:bookmarkStart w:id="1211" w:name="_Toc11628"/>
      <w:bookmarkStart w:id="1212" w:name="_Toc8602"/>
      <w:bookmarkStart w:id="1213" w:name="_Toc26372"/>
      <w:bookmarkStart w:id="1214" w:name="_Toc25551"/>
      <w:bookmarkStart w:id="1215" w:name="_Toc1670"/>
      <w:bookmarkStart w:id="1216" w:name="_Toc16673"/>
      <w:bookmarkStart w:id="1217" w:name="_Toc32497"/>
      <w:bookmarkStart w:id="1218" w:name="_Toc12394"/>
      <w:bookmarkStart w:id="1219" w:name="_Toc279701264"/>
      <w:bookmarkStart w:id="1220" w:name="_Toc15434"/>
      <w:bookmarkStart w:id="1221" w:name="_Toc487900374"/>
      <w:r>
        <w:rPr>
          <w:rFonts w:hint="eastAsia" w:ascii="仿宋" w:hAnsi="仿宋" w:eastAsia="仿宋" w:cs="仿宋"/>
          <w:b/>
          <w:color w:val="auto"/>
          <w:sz w:val="24"/>
          <w:highlight w:val="none"/>
        </w:rPr>
        <w:t>2.21 履约保证金</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21"/>
    <w:p>
      <w:pPr>
        <w:spacing w:line="360" w:lineRule="exact"/>
        <w:ind w:firstLine="482" w:firstLineChars="200"/>
        <w:outlineLvl w:val="0"/>
        <w:rPr>
          <w:rFonts w:hint="eastAsia" w:ascii="仿宋" w:hAnsi="仿宋" w:eastAsia="仿宋" w:cs="仿宋"/>
          <w:b/>
          <w:color w:val="auto"/>
          <w:sz w:val="24"/>
          <w:highlight w:val="none"/>
        </w:rPr>
      </w:pPr>
      <w:bookmarkStart w:id="1222" w:name="_Toc8867"/>
      <w:bookmarkStart w:id="1223" w:name="_Toc2720"/>
      <w:bookmarkStart w:id="1224" w:name="_Toc24790"/>
      <w:bookmarkStart w:id="1225" w:name="_Toc14001"/>
      <w:bookmarkStart w:id="1226" w:name="_Toc24006"/>
      <w:bookmarkStart w:id="1227" w:name="_Toc27563"/>
      <w:bookmarkStart w:id="1228" w:name="_Toc10801"/>
      <w:bookmarkStart w:id="1229" w:name="_Toc6885"/>
      <w:bookmarkStart w:id="1230" w:name="_Toc22496"/>
      <w:bookmarkStart w:id="1231" w:name="_Toc25691"/>
      <w:bookmarkStart w:id="1232" w:name="_Toc8495"/>
      <w:bookmarkStart w:id="1233" w:name="_Toc32408"/>
      <w:bookmarkStart w:id="1234" w:name="_Toc11103"/>
      <w:bookmarkStart w:id="1235" w:name="_Toc19890"/>
      <w:bookmarkStart w:id="1236" w:name="_Toc8105"/>
      <w:bookmarkStart w:id="1237" w:name="_Toc22821"/>
      <w:bookmarkStart w:id="1238" w:name="_Toc30496"/>
      <w:bookmarkStart w:id="1239" w:name="_Toc30847"/>
      <w:r>
        <w:rPr>
          <w:rFonts w:hint="eastAsia" w:ascii="仿宋" w:hAnsi="仿宋" w:eastAsia="仿宋" w:cs="仿宋"/>
          <w:b/>
          <w:color w:val="auto"/>
          <w:sz w:val="24"/>
          <w:highlight w:val="none"/>
        </w:rPr>
        <w:t>2.22 合同份数</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48"/>
        <w:spacing w:line="360" w:lineRule="exact"/>
        <w:ind w:firstLine="0"/>
        <w:jc w:val="center"/>
        <w:rPr>
          <w:rFonts w:hint="eastAsia" w:ascii="仿宋" w:hAnsi="仿宋" w:eastAsia="仿宋" w:cs="仿宋"/>
          <w:b/>
          <w:color w:val="auto"/>
          <w:szCs w:val="24"/>
          <w:highlight w:val="none"/>
        </w:rPr>
      </w:pPr>
      <w:bookmarkStart w:id="1240" w:name="_Toc331685784"/>
    </w:p>
    <w:p>
      <w:pPr>
        <w:pStyle w:val="48"/>
        <w:spacing w:line="360" w:lineRule="exact"/>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第三部分  合同专用条款</w:t>
      </w:r>
      <w:bookmarkEnd w:id="1240"/>
    </w:p>
    <w:p>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vAlign w:val="center"/>
          </w:tcPr>
          <w:p>
            <w:pPr>
              <w:spacing w:line="3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360" w:lineRule="exact"/>
              <w:rPr>
                <w:rFonts w:hint="eastAsia" w:ascii="仿宋" w:hAnsi="仿宋" w:eastAsia="仿宋" w:cs="仿宋"/>
                <w:color w:val="auto"/>
                <w:sz w:val="24"/>
                <w:highlight w:val="none"/>
              </w:rPr>
            </w:pPr>
          </w:p>
        </w:tc>
        <w:tc>
          <w:tcPr>
            <w:tcW w:w="7633" w:type="dxa"/>
            <w:vAlign w:val="center"/>
          </w:tcPr>
          <w:p>
            <w:pPr>
              <w:spacing w:line="360" w:lineRule="exact"/>
              <w:rPr>
                <w:rFonts w:hint="eastAsia" w:ascii="仿宋" w:hAnsi="仿宋" w:eastAsia="仿宋" w:cs="仿宋"/>
                <w:color w:val="auto"/>
                <w:sz w:val="24"/>
                <w:highlight w:val="none"/>
              </w:rPr>
            </w:pPr>
          </w:p>
        </w:tc>
      </w:tr>
    </w:tbl>
    <w:p>
      <w:pPr>
        <w:rPr>
          <w:rFonts w:hint="eastAsia" w:ascii="仿宋" w:hAnsi="仿宋" w:eastAsia="仿宋" w:cs="仿宋"/>
          <w:color w:val="auto"/>
          <w:highlight w:val="none"/>
        </w:rPr>
      </w:pPr>
    </w:p>
    <w:sectPr>
      <w:footerReference r:id="rId9"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p>
    <w:pPr>
      <w:pStyle w:val="14"/>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p>
    <w:pPr>
      <w:pStyle w:val="14"/>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p>
                </w:txbxContent>
              </v:textbox>
            </v:shape>
          </w:pict>
        </mc:Fallback>
      </mc:AlternateContent>
    </w:r>
  </w:p>
  <w:p>
    <w:pPr>
      <w:pStyle w:val="1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p>
    <w:pPr>
      <w:pStyle w:val="14"/>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0"/>
      </w:pBdr>
      <w:ind w:firstLine="1620" w:firstLineChars="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0"/>
      </w:pBdr>
      <w:ind w:firstLine="1260" w:firstLineChars="700"/>
      <w:jc w:val="left"/>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38CD2"/>
    <w:multiLevelType w:val="singleLevel"/>
    <w:tmpl w:val="95038CD2"/>
    <w:lvl w:ilvl="0" w:tentative="0">
      <w:start w:val="1"/>
      <w:numFmt w:val="decimal"/>
      <w:suff w:val="nothing"/>
      <w:lvlText w:val="（%1）"/>
      <w:lvlJc w:val="left"/>
      <w:pPr>
        <w:ind w:left="900" w:leftChars="0" w:firstLine="0" w:firstLineChars="0"/>
      </w:pPr>
    </w:lvl>
  </w:abstractNum>
  <w:abstractNum w:abstractNumId="1">
    <w:nsid w:val="B19421D5"/>
    <w:multiLevelType w:val="singleLevel"/>
    <w:tmpl w:val="B19421D5"/>
    <w:lvl w:ilvl="0" w:tentative="0">
      <w:start w:val="5"/>
      <w:numFmt w:val="decimal"/>
      <w:suff w:val="space"/>
      <w:lvlText w:val="第%1章"/>
      <w:lvlJc w:val="left"/>
    </w:lvl>
  </w:abstractNum>
  <w:abstractNum w:abstractNumId="2">
    <w:nsid w:val="00000006"/>
    <w:multiLevelType w:val="multilevel"/>
    <w:tmpl w:val="00000006"/>
    <w:lvl w:ilvl="0" w:tentative="0">
      <w:start w:val="1"/>
      <w:numFmt w:val="decimal"/>
      <w:lvlText w:val="（%1）"/>
      <w:lvlJc w:val="left"/>
      <w:pPr>
        <w:tabs>
          <w:tab w:val="left" w:pos="1571"/>
        </w:tabs>
        <w:ind w:left="1510"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7"/>
    <w:multiLevelType w:val="multilevel"/>
    <w:tmpl w:val="0000000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40806B38"/>
    <w:multiLevelType w:val="singleLevel"/>
    <w:tmpl w:val="40806B38"/>
    <w:lvl w:ilvl="0" w:tentative="0">
      <w:start w:val="8"/>
      <w:numFmt w:val="decimal"/>
      <w:suff w:val="nothing"/>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WI1YWYwMDFkYjZlOTliMmMzY2U1MWQ5ZjA3Y2IifQ=="/>
  </w:docVars>
  <w:rsids>
    <w:rsidRoot w:val="2B766714"/>
    <w:rsid w:val="00110B1C"/>
    <w:rsid w:val="00185E51"/>
    <w:rsid w:val="003C540E"/>
    <w:rsid w:val="0042207D"/>
    <w:rsid w:val="004F26B6"/>
    <w:rsid w:val="0051676D"/>
    <w:rsid w:val="006F4B10"/>
    <w:rsid w:val="00726300"/>
    <w:rsid w:val="00762E0D"/>
    <w:rsid w:val="008A1F20"/>
    <w:rsid w:val="008B5519"/>
    <w:rsid w:val="008D6AFC"/>
    <w:rsid w:val="009465A0"/>
    <w:rsid w:val="00987E11"/>
    <w:rsid w:val="00AB23C4"/>
    <w:rsid w:val="00BE1273"/>
    <w:rsid w:val="00C12D06"/>
    <w:rsid w:val="00D04A24"/>
    <w:rsid w:val="00DB3489"/>
    <w:rsid w:val="00DD2ECD"/>
    <w:rsid w:val="00F25C2E"/>
    <w:rsid w:val="010A1AB0"/>
    <w:rsid w:val="011C4E85"/>
    <w:rsid w:val="013A13F2"/>
    <w:rsid w:val="01440BC0"/>
    <w:rsid w:val="01530FFD"/>
    <w:rsid w:val="015A64CC"/>
    <w:rsid w:val="016927CE"/>
    <w:rsid w:val="0173449E"/>
    <w:rsid w:val="01846BB0"/>
    <w:rsid w:val="01860278"/>
    <w:rsid w:val="0188492B"/>
    <w:rsid w:val="01930049"/>
    <w:rsid w:val="01943B68"/>
    <w:rsid w:val="01991D03"/>
    <w:rsid w:val="01A05F34"/>
    <w:rsid w:val="01AF5B93"/>
    <w:rsid w:val="01B830B2"/>
    <w:rsid w:val="01C555C4"/>
    <w:rsid w:val="01DF5F07"/>
    <w:rsid w:val="01E8067C"/>
    <w:rsid w:val="01E848D2"/>
    <w:rsid w:val="01EC7847"/>
    <w:rsid w:val="01FF08C7"/>
    <w:rsid w:val="021B2BEE"/>
    <w:rsid w:val="021E5AE2"/>
    <w:rsid w:val="021F2B39"/>
    <w:rsid w:val="023B40DD"/>
    <w:rsid w:val="024669A7"/>
    <w:rsid w:val="02482090"/>
    <w:rsid w:val="024E25EC"/>
    <w:rsid w:val="02507AA8"/>
    <w:rsid w:val="025A61E7"/>
    <w:rsid w:val="02687D12"/>
    <w:rsid w:val="027334DE"/>
    <w:rsid w:val="027E22B7"/>
    <w:rsid w:val="0281085E"/>
    <w:rsid w:val="02844207"/>
    <w:rsid w:val="028517D8"/>
    <w:rsid w:val="028E6956"/>
    <w:rsid w:val="029418BF"/>
    <w:rsid w:val="02962171"/>
    <w:rsid w:val="02B232C4"/>
    <w:rsid w:val="02CC5F75"/>
    <w:rsid w:val="02D325AC"/>
    <w:rsid w:val="02E54D2D"/>
    <w:rsid w:val="02F2758F"/>
    <w:rsid w:val="02FF7C4F"/>
    <w:rsid w:val="030374B4"/>
    <w:rsid w:val="03137661"/>
    <w:rsid w:val="03180FD4"/>
    <w:rsid w:val="03287205"/>
    <w:rsid w:val="033748BA"/>
    <w:rsid w:val="033A6780"/>
    <w:rsid w:val="033C7F53"/>
    <w:rsid w:val="033D1D4D"/>
    <w:rsid w:val="033D5554"/>
    <w:rsid w:val="03D3032B"/>
    <w:rsid w:val="03D53871"/>
    <w:rsid w:val="03E263AE"/>
    <w:rsid w:val="03EA437E"/>
    <w:rsid w:val="03F64350"/>
    <w:rsid w:val="04352768"/>
    <w:rsid w:val="045531A1"/>
    <w:rsid w:val="045F53F6"/>
    <w:rsid w:val="04665E9F"/>
    <w:rsid w:val="047000D4"/>
    <w:rsid w:val="047168CE"/>
    <w:rsid w:val="04C801FF"/>
    <w:rsid w:val="04D31337"/>
    <w:rsid w:val="04DC1139"/>
    <w:rsid w:val="04E66EBC"/>
    <w:rsid w:val="04ED3296"/>
    <w:rsid w:val="050151CA"/>
    <w:rsid w:val="050B6A95"/>
    <w:rsid w:val="05300538"/>
    <w:rsid w:val="05322752"/>
    <w:rsid w:val="0547085B"/>
    <w:rsid w:val="05515C68"/>
    <w:rsid w:val="0557075E"/>
    <w:rsid w:val="055C09E9"/>
    <w:rsid w:val="055E45E2"/>
    <w:rsid w:val="056F0E7C"/>
    <w:rsid w:val="05943FA1"/>
    <w:rsid w:val="05962C68"/>
    <w:rsid w:val="059C0F8D"/>
    <w:rsid w:val="059F7BA6"/>
    <w:rsid w:val="05A7452E"/>
    <w:rsid w:val="05B47471"/>
    <w:rsid w:val="05BF74FF"/>
    <w:rsid w:val="05C52355"/>
    <w:rsid w:val="05C82321"/>
    <w:rsid w:val="05CD42F6"/>
    <w:rsid w:val="05D34BB7"/>
    <w:rsid w:val="05DB4947"/>
    <w:rsid w:val="05EF4E22"/>
    <w:rsid w:val="06132A4A"/>
    <w:rsid w:val="06166D76"/>
    <w:rsid w:val="062845E4"/>
    <w:rsid w:val="062F12CC"/>
    <w:rsid w:val="06336735"/>
    <w:rsid w:val="06337609"/>
    <w:rsid w:val="063F6520"/>
    <w:rsid w:val="06475B39"/>
    <w:rsid w:val="06535EC4"/>
    <w:rsid w:val="066606B5"/>
    <w:rsid w:val="06677EF4"/>
    <w:rsid w:val="06883C28"/>
    <w:rsid w:val="0693741C"/>
    <w:rsid w:val="069D0848"/>
    <w:rsid w:val="06B42EA5"/>
    <w:rsid w:val="06C77834"/>
    <w:rsid w:val="06CB676A"/>
    <w:rsid w:val="06CE0008"/>
    <w:rsid w:val="06DA66E7"/>
    <w:rsid w:val="070B385A"/>
    <w:rsid w:val="072515CD"/>
    <w:rsid w:val="072F40F8"/>
    <w:rsid w:val="075035B9"/>
    <w:rsid w:val="075035FB"/>
    <w:rsid w:val="07673F34"/>
    <w:rsid w:val="076C5D5F"/>
    <w:rsid w:val="076F5F39"/>
    <w:rsid w:val="07893723"/>
    <w:rsid w:val="079404BF"/>
    <w:rsid w:val="07B30869"/>
    <w:rsid w:val="07D10036"/>
    <w:rsid w:val="07D74136"/>
    <w:rsid w:val="07E4339D"/>
    <w:rsid w:val="07F6029D"/>
    <w:rsid w:val="08134182"/>
    <w:rsid w:val="08145258"/>
    <w:rsid w:val="08183C31"/>
    <w:rsid w:val="08294C92"/>
    <w:rsid w:val="083D7A53"/>
    <w:rsid w:val="083E512A"/>
    <w:rsid w:val="084276F3"/>
    <w:rsid w:val="084F4760"/>
    <w:rsid w:val="08570320"/>
    <w:rsid w:val="08721C1B"/>
    <w:rsid w:val="08726B17"/>
    <w:rsid w:val="0876026F"/>
    <w:rsid w:val="08795CB9"/>
    <w:rsid w:val="088C1F29"/>
    <w:rsid w:val="08A22CB5"/>
    <w:rsid w:val="08B16B40"/>
    <w:rsid w:val="08BF0398"/>
    <w:rsid w:val="08D41873"/>
    <w:rsid w:val="08E5784E"/>
    <w:rsid w:val="090D4ED2"/>
    <w:rsid w:val="091015E1"/>
    <w:rsid w:val="0918087B"/>
    <w:rsid w:val="091A1382"/>
    <w:rsid w:val="094460C4"/>
    <w:rsid w:val="094610FC"/>
    <w:rsid w:val="09603547"/>
    <w:rsid w:val="096762DB"/>
    <w:rsid w:val="097325D0"/>
    <w:rsid w:val="09937969"/>
    <w:rsid w:val="09A71E9B"/>
    <w:rsid w:val="09A76582"/>
    <w:rsid w:val="09B12ACE"/>
    <w:rsid w:val="09B74019"/>
    <w:rsid w:val="09C34A74"/>
    <w:rsid w:val="09C57786"/>
    <w:rsid w:val="09CF1660"/>
    <w:rsid w:val="09D163A1"/>
    <w:rsid w:val="09D248E0"/>
    <w:rsid w:val="0A0042EE"/>
    <w:rsid w:val="0A0049C8"/>
    <w:rsid w:val="0A0D565E"/>
    <w:rsid w:val="0A1B7C8F"/>
    <w:rsid w:val="0A1E6063"/>
    <w:rsid w:val="0A201C00"/>
    <w:rsid w:val="0A265D67"/>
    <w:rsid w:val="0A2828C8"/>
    <w:rsid w:val="0A297CBC"/>
    <w:rsid w:val="0A380B6D"/>
    <w:rsid w:val="0A5C5C3C"/>
    <w:rsid w:val="0A633E14"/>
    <w:rsid w:val="0A6B665D"/>
    <w:rsid w:val="0A793542"/>
    <w:rsid w:val="0A7F6EDC"/>
    <w:rsid w:val="0A8939A4"/>
    <w:rsid w:val="0A9305C4"/>
    <w:rsid w:val="0A961C65"/>
    <w:rsid w:val="0A962FE2"/>
    <w:rsid w:val="0AAB07AF"/>
    <w:rsid w:val="0AC8306A"/>
    <w:rsid w:val="0AC85CA1"/>
    <w:rsid w:val="0AD21D2C"/>
    <w:rsid w:val="0AEB473F"/>
    <w:rsid w:val="0AFF6E19"/>
    <w:rsid w:val="0B043FF8"/>
    <w:rsid w:val="0B0D07C8"/>
    <w:rsid w:val="0B130316"/>
    <w:rsid w:val="0B1B24B3"/>
    <w:rsid w:val="0B1E611E"/>
    <w:rsid w:val="0B1F37A6"/>
    <w:rsid w:val="0B392CE3"/>
    <w:rsid w:val="0B5562A9"/>
    <w:rsid w:val="0B700426"/>
    <w:rsid w:val="0B7D5E9B"/>
    <w:rsid w:val="0B940000"/>
    <w:rsid w:val="0B9861AB"/>
    <w:rsid w:val="0B9B30BB"/>
    <w:rsid w:val="0BA56BE1"/>
    <w:rsid w:val="0BDC2CF6"/>
    <w:rsid w:val="0BF513D3"/>
    <w:rsid w:val="0C162FB7"/>
    <w:rsid w:val="0C230B0A"/>
    <w:rsid w:val="0C300951"/>
    <w:rsid w:val="0C377A9A"/>
    <w:rsid w:val="0C3C6FC6"/>
    <w:rsid w:val="0C400589"/>
    <w:rsid w:val="0C512D37"/>
    <w:rsid w:val="0C5C29E0"/>
    <w:rsid w:val="0C621981"/>
    <w:rsid w:val="0C654DB6"/>
    <w:rsid w:val="0C727C09"/>
    <w:rsid w:val="0C773EAA"/>
    <w:rsid w:val="0C7C70E4"/>
    <w:rsid w:val="0C886EAB"/>
    <w:rsid w:val="0CA84E57"/>
    <w:rsid w:val="0CAA069B"/>
    <w:rsid w:val="0CAB0A8D"/>
    <w:rsid w:val="0CE056D3"/>
    <w:rsid w:val="0CE32FAD"/>
    <w:rsid w:val="0CE475C5"/>
    <w:rsid w:val="0CEA501E"/>
    <w:rsid w:val="0CFA5E36"/>
    <w:rsid w:val="0D0F345A"/>
    <w:rsid w:val="0D1B6614"/>
    <w:rsid w:val="0D2D5768"/>
    <w:rsid w:val="0D3421B1"/>
    <w:rsid w:val="0D532478"/>
    <w:rsid w:val="0D6553AE"/>
    <w:rsid w:val="0D79406B"/>
    <w:rsid w:val="0D7C2007"/>
    <w:rsid w:val="0D7D4F14"/>
    <w:rsid w:val="0D7F7621"/>
    <w:rsid w:val="0D933319"/>
    <w:rsid w:val="0D9A1B1F"/>
    <w:rsid w:val="0D9B68B3"/>
    <w:rsid w:val="0DA076BD"/>
    <w:rsid w:val="0DA541E0"/>
    <w:rsid w:val="0DBA1C76"/>
    <w:rsid w:val="0DC52F2E"/>
    <w:rsid w:val="0DCA5A3E"/>
    <w:rsid w:val="0DD06E4C"/>
    <w:rsid w:val="0DE041C2"/>
    <w:rsid w:val="0E313249"/>
    <w:rsid w:val="0E32313A"/>
    <w:rsid w:val="0E4D5348"/>
    <w:rsid w:val="0E94054A"/>
    <w:rsid w:val="0E9430FF"/>
    <w:rsid w:val="0E96136C"/>
    <w:rsid w:val="0E9B084D"/>
    <w:rsid w:val="0E9B324C"/>
    <w:rsid w:val="0E9C0414"/>
    <w:rsid w:val="0E9C3D9D"/>
    <w:rsid w:val="0E9D4B2B"/>
    <w:rsid w:val="0EBE2429"/>
    <w:rsid w:val="0EC861B0"/>
    <w:rsid w:val="0ECF0B6C"/>
    <w:rsid w:val="0ED87788"/>
    <w:rsid w:val="0F281E10"/>
    <w:rsid w:val="0F2A7818"/>
    <w:rsid w:val="0F39240F"/>
    <w:rsid w:val="0F4507E9"/>
    <w:rsid w:val="0F515E9F"/>
    <w:rsid w:val="0F617339"/>
    <w:rsid w:val="0F704F5E"/>
    <w:rsid w:val="0F7A0D16"/>
    <w:rsid w:val="0F81687A"/>
    <w:rsid w:val="0F84451A"/>
    <w:rsid w:val="0F925C23"/>
    <w:rsid w:val="0F962A85"/>
    <w:rsid w:val="0FB668C9"/>
    <w:rsid w:val="0FC67D39"/>
    <w:rsid w:val="0FDA33B1"/>
    <w:rsid w:val="0FE457FB"/>
    <w:rsid w:val="0FE63C09"/>
    <w:rsid w:val="0FEC4DE3"/>
    <w:rsid w:val="0FF02D9D"/>
    <w:rsid w:val="10220A80"/>
    <w:rsid w:val="1028657F"/>
    <w:rsid w:val="102C7AD4"/>
    <w:rsid w:val="104748A5"/>
    <w:rsid w:val="10477289"/>
    <w:rsid w:val="104D34F3"/>
    <w:rsid w:val="107D3134"/>
    <w:rsid w:val="10806817"/>
    <w:rsid w:val="10867F8D"/>
    <w:rsid w:val="10A950B9"/>
    <w:rsid w:val="10B9274E"/>
    <w:rsid w:val="10C0526D"/>
    <w:rsid w:val="10CE2CD2"/>
    <w:rsid w:val="10D22F56"/>
    <w:rsid w:val="10D3707F"/>
    <w:rsid w:val="10D40C8D"/>
    <w:rsid w:val="10D510A2"/>
    <w:rsid w:val="10E412A6"/>
    <w:rsid w:val="11120BF6"/>
    <w:rsid w:val="11187D0C"/>
    <w:rsid w:val="11364A05"/>
    <w:rsid w:val="114D08D5"/>
    <w:rsid w:val="115B0B80"/>
    <w:rsid w:val="115B693C"/>
    <w:rsid w:val="1166292D"/>
    <w:rsid w:val="118E05D7"/>
    <w:rsid w:val="11932A5F"/>
    <w:rsid w:val="119B5B96"/>
    <w:rsid w:val="119C32E0"/>
    <w:rsid w:val="11C773BA"/>
    <w:rsid w:val="12095F07"/>
    <w:rsid w:val="124B2C0D"/>
    <w:rsid w:val="1260771D"/>
    <w:rsid w:val="126F574F"/>
    <w:rsid w:val="127600C9"/>
    <w:rsid w:val="127F6099"/>
    <w:rsid w:val="12800BB9"/>
    <w:rsid w:val="12957932"/>
    <w:rsid w:val="129825EB"/>
    <w:rsid w:val="12A039E3"/>
    <w:rsid w:val="12A90F5D"/>
    <w:rsid w:val="12EF051A"/>
    <w:rsid w:val="13024FEC"/>
    <w:rsid w:val="13040347"/>
    <w:rsid w:val="133232F6"/>
    <w:rsid w:val="13547EF3"/>
    <w:rsid w:val="136F570B"/>
    <w:rsid w:val="13784C7F"/>
    <w:rsid w:val="138D7C93"/>
    <w:rsid w:val="13971E25"/>
    <w:rsid w:val="13B00CCF"/>
    <w:rsid w:val="13B0386A"/>
    <w:rsid w:val="13C16DEF"/>
    <w:rsid w:val="13C67184"/>
    <w:rsid w:val="13CB1488"/>
    <w:rsid w:val="13D2661E"/>
    <w:rsid w:val="13EA0FD5"/>
    <w:rsid w:val="13ED41C3"/>
    <w:rsid w:val="13FA293D"/>
    <w:rsid w:val="13FF6C80"/>
    <w:rsid w:val="140349CE"/>
    <w:rsid w:val="1403522B"/>
    <w:rsid w:val="14095176"/>
    <w:rsid w:val="14120F34"/>
    <w:rsid w:val="14145140"/>
    <w:rsid w:val="14196BA1"/>
    <w:rsid w:val="141C6857"/>
    <w:rsid w:val="141D6E9E"/>
    <w:rsid w:val="14286B04"/>
    <w:rsid w:val="14306C52"/>
    <w:rsid w:val="14312BB1"/>
    <w:rsid w:val="143A42FC"/>
    <w:rsid w:val="145D4AF2"/>
    <w:rsid w:val="14642794"/>
    <w:rsid w:val="14B27DE6"/>
    <w:rsid w:val="14B442F1"/>
    <w:rsid w:val="14B44696"/>
    <w:rsid w:val="14C56A87"/>
    <w:rsid w:val="14D10EBD"/>
    <w:rsid w:val="14D2075B"/>
    <w:rsid w:val="14DE4B34"/>
    <w:rsid w:val="14F61426"/>
    <w:rsid w:val="152F5604"/>
    <w:rsid w:val="15414FC9"/>
    <w:rsid w:val="154B0D9F"/>
    <w:rsid w:val="1557285E"/>
    <w:rsid w:val="155A248C"/>
    <w:rsid w:val="155D3984"/>
    <w:rsid w:val="157E7216"/>
    <w:rsid w:val="15853F88"/>
    <w:rsid w:val="159D4F14"/>
    <w:rsid w:val="15A634FD"/>
    <w:rsid w:val="15BE1790"/>
    <w:rsid w:val="15C7584D"/>
    <w:rsid w:val="15C87DA4"/>
    <w:rsid w:val="15C9325D"/>
    <w:rsid w:val="15D434B5"/>
    <w:rsid w:val="15E564A6"/>
    <w:rsid w:val="15F402B6"/>
    <w:rsid w:val="1609772C"/>
    <w:rsid w:val="161D7B80"/>
    <w:rsid w:val="16487DB2"/>
    <w:rsid w:val="1650451C"/>
    <w:rsid w:val="16695657"/>
    <w:rsid w:val="166B6F0E"/>
    <w:rsid w:val="166D7931"/>
    <w:rsid w:val="16784913"/>
    <w:rsid w:val="167E7694"/>
    <w:rsid w:val="168A247D"/>
    <w:rsid w:val="168A7831"/>
    <w:rsid w:val="16B8213B"/>
    <w:rsid w:val="16CB06B5"/>
    <w:rsid w:val="16F11261"/>
    <w:rsid w:val="16F92306"/>
    <w:rsid w:val="16FB6B78"/>
    <w:rsid w:val="170C6568"/>
    <w:rsid w:val="171E118D"/>
    <w:rsid w:val="172E6873"/>
    <w:rsid w:val="1736717B"/>
    <w:rsid w:val="17500D5C"/>
    <w:rsid w:val="175229F8"/>
    <w:rsid w:val="17577BA6"/>
    <w:rsid w:val="1764428E"/>
    <w:rsid w:val="177C195C"/>
    <w:rsid w:val="177C510A"/>
    <w:rsid w:val="17AA570A"/>
    <w:rsid w:val="17C04692"/>
    <w:rsid w:val="17CF5BB5"/>
    <w:rsid w:val="17EF0F7F"/>
    <w:rsid w:val="17F42DB6"/>
    <w:rsid w:val="181712F2"/>
    <w:rsid w:val="182277CF"/>
    <w:rsid w:val="182D0F8C"/>
    <w:rsid w:val="183228F5"/>
    <w:rsid w:val="18325F3F"/>
    <w:rsid w:val="18337717"/>
    <w:rsid w:val="183A0995"/>
    <w:rsid w:val="184D680D"/>
    <w:rsid w:val="1852255A"/>
    <w:rsid w:val="18574301"/>
    <w:rsid w:val="18593DFE"/>
    <w:rsid w:val="188E260C"/>
    <w:rsid w:val="18931997"/>
    <w:rsid w:val="189E15DD"/>
    <w:rsid w:val="18C3334A"/>
    <w:rsid w:val="18C546E3"/>
    <w:rsid w:val="18C93061"/>
    <w:rsid w:val="18D4278E"/>
    <w:rsid w:val="18F46CBE"/>
    <w:rsid w:val="191363A9"/>
    <w:rsid w:val="193E30D1"/>
    <w:rsid w:val="193E57BB"/>
    <w:rsid w:val="19426F8D"/>
    <w:rsid w:val="19435986"/>
    <w:rsid w:val="194F2E51"/>
    <w:rsid w:val="195021D6"/>
    <w:rsid w:val="19600F94"/>
    <w:rsid w:val="196C5A34"/>
    <w:rsid w:val="19782111"/>
    <w:rsid w:val="198568BC"/>
    <w:rsid w:val="19874A05"/>
    <w:rsid w:val="19D8506B"/>
    <w:rsid w:val="19EC1BE4"/>
    <w:rsid w:val="19ED38B5"/>
    <w:rsid w:val="19FF1974"/>
    <w:rsid w:val="1A0B2B5C"/>
    <w:rsid w:val="1A166764"/>
    <w:rsid w:val="1A20011C"/>
    <w:rsid w:val="1A242A31"/>
    <w:rsid w:val="1A2C45C2"/>
    <w:rsid w:val="1A3763FB"/>
    <w:rsid w:val="1A6666BC"/>
    <w:rsid w:val="1A722ABE"/>
    <w:rsid w:val="1A7760BE"/>
    <w:rsid w:val="1AA010F6"/>
    <w:rsid w:val="1AA83677"/>
    <w:rsid w:val="1AC24EED"/>
    <w:rsid w:val="1AD97048"/>
    <w:rsid w:val="1AE479A2"/>
    <w:rsid w:val="1AE63079"/>
    <w:rsid w:val="1AF55E2B"/>
    <w:rsid w:val="1AF776D6"/>
    <w:rsid w:val="1B0A2B42"/>
    <w:rsid w:val="1B0D1CDC"/>
    <w:rsid w:val="1B0D73B7"/>
    <w:rsid w:val="1B16152D"/>
    <w:rsid w:val="1B255817"/>
    <w:rsid w:val="1B2D30F7"/>
    <w:rsid w:val="1B381098"/>
    <w:rsid w:val="1B3A5FA8"/>
    <w:rsid w:val="1B401BBF"/>
    <w:rsid w:val="1B4D379A"/>
    <w:rsid w:val="1B5B600F"/>
    <w:rsid w:val="1B666A75"/>
    <w:rsid w:val="1B722227"/>
    <w:rsid w:val="1B7F5544"/>
    <w:rsid w:val="1B866DEF"/>
    <w:rsid w:val="1B8A5134"/>
    <w:rsid w:val="1B934702"/>
    <w:rsid w:val="1B945052"/>
    <w:rsid w:val="1B965141"/>
    <w:rsid w:val="1BA015C6"/>
    <w:rsid w:val="1BAB5A74"/>
    <w:rsid w:val="1BB551E6"/>
    <w:rsid w:val="1BBC0874"/>
    <w:rsid w:val="1BBE5533"/>
    <w:rsid w:val="1BBE5857"/>
    <w:rsid w:val="1BBE61A0"/>
    <w:rsid w:val="1BC4008F"/>
    <w:rsid w:val="1BCC4229"/>
    <w:rsid w:val="1BE019D7"/>
    <w:rsid w:val="1BE4733F"/>
    <w:rsid w:val="1BFF5C35"/>
    <w:rsid w:val="1C033730"/>
    <w:rsid w:val="1C0563B4"/>
    <w:rsid w:val="1C0B35E3"/>
    <w:rsid w:val="1C0B7982"/>
    <w:rsid w:val="1C2F44C9"/>
    <w:rsid w:val="1C2F73E6"/>
    <w:rsid w:val="1C417B27"/>
    <w:rsid w:val="1C48462F"/>
    <w:rsid w:val="1C4D2442"/>
    <w:rsid w:val="1C5F7B3E"/>
    <w:rsid w:val="1C606EE8"/>
    <w:rsid w:val="1C8658B4"/>
    <w:rsid w:val="1C89696E"/>
    <w:rsid w:val="1CAC1493"/>
    <w:rsid w:val="1CAD5BAA"/>
    <w:rsid w:val="1CAE2016"/>
    <w:rsid w:val="1CB0236A"/>
    <w:rsid w:val="1CB40D90"/>
    <w:rsid w:val="1CB61287"/>
    <w:rsid w:val="1CC71D41"/>
    <w:rsid w:val="1CD624E8"/>
    <w:rsid w:val="1CD63E20"/>
    <w:rsid w:val="1CE7377A"/>
    <w:rsid w:val="1CF105AB"/>
    <w:rsid w:val="1CFD3162"/>
    <w:rsid w:val="1CFF1E89"/>
    <w:rsid w:val="1D1D4956"/>
    <w:rsid w:val="1D1E52D5"/>
    <w:rsid w:val="1D2610E3"/>
    <w:rsid w:val="1D2957D6"/>
    <w:rsid w:val="1D305121"/>
    <w:rsid w:val="1D342BAE"/>
    <w:rsid w:val="1D46054D"/>
    <w:rsid w:val="1D562F10"/>
    <w:rsid w:val="1D5668B9"/>
    <w:rsid w:val="1D6628AF"/>
    <w:rsid w:val="1D832FB2"/>
    <w:rsid w:val="1D880565"/>
    <w:rsid w:val="1D8B5022"/>
    <w:rsid w:val="1D8F1C71"/>
    <w:rsid w:val="1DC41011"/>
    <w:rsid w:val="1DD216EA"/>
    <w:rsid w:val="1DD61537"/>
    <w:rsid w:val="1DE5080D"/>
    <w:rsid w:val="1E043387"/>
    <w:rsid w:val="1E285DF8"/>
    <w:rsid w:val="1E615491"/>
    <w:rsid w:val="1E695D83"/>
    <w:rsid w:val="1E7C484A"/>
    <w:rsid w:val="1E8A61CC"/>
    <w:rsid w:val="1EA023DD"/>
    <w:rsid w:val="1EB57986"/>
    <w:rsid w:val="1ED13D8A"/>
    <w:rsid w:val="1ED5134F"/>
    <w:rsid w:val="1EE61144"/>
    <w:rsid w:val="1EF142CA"/>
    <w:rsid w:val="1EFA578D"/>
    <w:rsid w:val="1F0477E4"/>
    <w:rsid w:val="1F185F14"/>
    <w:rsid w:val="1F1D2FF6"/>
    <w:rsid w:val="1F366138"/>
    <w:rsid w:val="1F507288"/>
    <w:rsid w:val="1F6B5967"/>
    <w:rsid w:val="1F7454A0"/>
    <w:rsid w:val="1F810B86"/>
    <w:rsid w:val="1F85612A"/>
    <w:rsid w:val="1F8A6740"/>
    <w:rsid w:val="1F9366CD"/>
    <w:rsid w:val="1F9613E8"/>
    <w:rsid w:val="1FB913FE"/>
    <w:rsid w:val="1FE30542"/>
    <w:rsid w:val="1FE34CCB"/>
    <w:rsid w:val="20337EE5"/>
    <w:rsid w:val="20550C4B"/>
    <w:rsid w:val="205A51F3"/>
    <w:rsid w:val="2079216B"/>
    <w:rsid w:val="209176EB"/>
    <w:rsid w:val="20A25196"/>
    <w:rsid w:val="20A71ED0"/>
    <w:rsid w:val="20AE622D"/>
    <w:rsid w:val="20B23FFA"/>
    <w:rsid w:val="20BB6F13"/>
    <w:rsid w:val="20C5047C"/>
    <w:rsid w:val="20C8472C"/>
    <w:rsid w:val="20D711DE"/>
    <w:rsid w:val="20E02697"/>
    <w:rsid w:val="20E4566C"/>
    <w:rsid w:val="20F7666E"/>
    <w:rsid w:val="21043F32"/>
    <w:rsid w:val="210462B7"/>
    <w:rsid w:val="21191A98"/>
    <w:rsid w:val="211B0AC1"/>
    <w:rsid w:val="21232CB5"/>
    <w:rsid w:val="212706C8"/>
    <w:rsid w:val="213531EA"/>
    <w:rsid w:val="213B53AD"/>
    <w:rsid w:val="214856A4"/>
    <w:rsid w:val="215C18E9"/>
    <w:rsid w:val="216D11AA"/>
    <w:rsid w:val="217B6FAD"/>
    <w:rsid w:val="218604F4"/>
    <w:rsid w:val="218D2D7B"/>
    <w:rsid w:val="21915485"/>
    <w:rsid w:val="21AC7DEE"/>
    <w:rsid w:val="21B72D60"/>
    <w:rsid w:val="21BC4528"/>
    <w:rsid w:val="21C410F2"/>
    <w:rsid w:val="21C92AF5"/>
    <w:rsid w:val="21E35118"/>
    <w:rsid w:val="21E37747"/>
    <w:rsid w:val="21EB1554"/>
    <w:rsid w:val="21F4685D"/>
    <w:rsid w:val="22012202"/>
    <w:rsid w:val="2228498F"/>
    <w:rsid w:val="22741B22"/>
    <w:rsid w:val="228F54CC"/>
    <w:rsid w:val="22946F54"/>
    <w:rsid w:val="229D1604"/>
    <w:rsid w:val="22A04AF7"/>
    <w:rsid w:val="22A75E85"/>
    <w:rsid w:val="22C427E6"/>
    <w:rsid w:val="22E815D1"/>
    <w:rsid w:val="22EB0179"/>
    <w:rsid w:val="22F819F3"/>
    <w:rsid w:val="23271D0E"/>
    <w:rsid w:val="23286BD8"/>
    <w:rsid w:val="23421E97"/>
    <w:rsid w:val="23507CFC"/>
    <w:rsid w:val="2351350E"/>
    <w:rsid w:val="23656461"/>
    <w:rsid w:val="23895F7A"/>
    <w:rsid w:val="238A742F"/>
    <w:rsid w:val="23976AA5"/>
    <w:rsid w:val="23A24517"/>
    <w:rsid w:val="23A57637"/>
    <w:rsid w:val="23A66194"/>
    <w:rsid w:val="23A82D50"/>
    <w:rsid w:val="23B76546"/>
    <w:rsid w:val="23D129A1"/>
    <w:rsid w:val="23D26B58"/>
    <w:rsid w:val="23D72D49"/>
    <w:rsid w:val="23D7658C"/>
    <w:rsid w:val="23E27ECB"/>
    <w:rsid w:val="23EF672C"/>
    <w:rsid w:val="240A5D30"/>
    <w:rsid w:val="24260CCA"/>
    <w:rsid w:val="243445D5"/>
    <w:rsid w:val="243A4A22"/>
    <w:rsid w:val="24422236"/>
    <w:rsid w:val="2454474E"/>
    <w:rsid w:val="24614ED1"/>
    <w:rsid w:val="246A4181"/>
    <w:rsid w:val="2494572C"/>
    <w:rsid w:val="249B57BF"/>
    <w:rsid w:val="24AF2A95"/>
    <w:rsid w:val="24B6176D"/>
    <w:rsid w:val="24B769EA"/>
    <w:rsid w:val="24BE0F35"/>
    <w:rsid w:val="24C13396"/>
    <w:rsid w:val="24C56A3A"/>
    <w:rsid w:val="24D14594"/>
    <w:rsid w:val="24DD0233"/>
    <w:rsid w:val="24E10C58"/>
    <w:rsid w:val="24E97F76"/>
    <w:rsid w:val="24F34FF8"/>
    <w:rsid w:val="24F35A2F"/>
    <w:rsid w:val="24F627AC"/>
    <w:rsid w:val="25176CC3"/>
    <w:rsid w:val="251C3BD6"/>
    <w:rsid w:val="2520432B"/>
    <w:rsid w:val="2524556B"/>
    <w:rsid w:val="254D157D"/>
    <w:rsid w:val="2553213A"/>
    <w:rsid w:val="255B4117"/>
    <w:rsid w:val="25654E16"/>
    <w:rsid w:val="256779DC"/>
    <w:rsid w:val="25702BC7"/>
    <w:rsid w:val="25962E17"/>
    <w:rsid w:val="25B11F15"/>
    <w:rsid w:val="25BA1F3B"/>
    <w:rsid w:val="25D9201F"/>
    <w:rsid w:val="25E10D91"/>
    <w:rsid w:val="25E311A3"/>
    <w:rsid w:val="25E63F1D"/>
    <w:rsid w:val="2606256F"/>
    <w:rsid w:val="261D4E52"/>
    <w:rsid w:val="26284B8A"/>
    <w:rsid w:val="262F241A"/>
    <w:rsid w:val="263B120C"/>
    <w:rsid w:val="263D1BB5"/>
    <w:rsid w:val="26431228"/>
    <w:rsid w:val="26465426"/>
    <w:rsid w:val="264E582D"/>
    <w:rsid w:val="264F0CF0"/>
    <w:rsid w:val="2652601C"/>
    <w:rsid w:val="26644150"/>
    <w:rsid w:val="26776682"/>
    <w:rsid w:val="269868B3"/>
    <w:rsid w:val="26A25F88"/>
    <w:rsid w:val="26E17DBD"/>
    <w:rsid w:val="26F1526F"/>
    <w:rsid w:val="26F86CAF"/>
    <w:rsid w:val="27066500"/>
    <w:rsid w:val="270859F4"/>
    <w:rsid w:val="273423F4"/>
    <w:rsid w:val="27362818"/>
    <w:rsid w:val="274034E9"/>
    <w:rsid w:val="27710E6C"/>
    <w:rsid w:val="27856CF4"/>
    <w:rsid w:val="279B63A4"/>
    <w:rsid w:val="279E71F4"/>
    <w:rsid w:val="27A01ECA"/>
    <w:rsid w:val="27A40BE5"/>
    <w:rsid w:val="27B92F07"/>
    <w:rsid w:val="27C0382A"/>
    <w:rsid w:val="27C2334A"/>
    <w:rsid w:val="27D147E7"/>
    <w:rsid w:val="27E320B4"/>
    <w:rsid w:val="27FF0D89"/>
    <w:rsid w:val="281B2724"/>
    <w:rsid w:val="284871CB"/>
    <w:rsid w:val="284D3CC2"/>
    <w:rsid w:val="285764E1"/>
    <w:rsid w:val="286329B3"/>
    <w:rsid w:val="28784BDE"/>
    <w:rsid w:val="288D0FD2"/>
    <w:rsid w:val="288E63D4"/>
    <w:rsid w:val="288E7F00"/>
    <w:rsid w:val="2890145F"/>
    <w:rsid w:val="28A31AAB"/>
    <w:rsid w:val="28B4189B"/>
    <w:rsid w:val="28C55121"/>
    <w:rsid w:val="28D459A2"/>
    <w:rsid w:val="28D94429"/>
    <w:rsid w:val="28DC2BE6"/>
    <w:rsid w:val="28F91110"/>
    <w:rsid w:val="29150FFB"/>
    <w:rsid w:val="291C5032"/>
    <w:rsid w:val="29217A1E"/>
    <w:rsid w:val="293F72F6"/>
    <w:rsid w:val="29515EB6"/>
    <w:rsid w:val="295E3282"/>
    <w:rsid w:val="297E7F02"/>
    <w:rsid w:val="29924D86"/>
    <w:rsid w:val="299B1FE1"/>
    <w:rsid w:val="29D65E52"/>
    <w:rsid w:val="29FA5475"/>
    <w:rsid w:val="29FC0290"/>
    <w:rsid w:val="2A024B5E"/>
    <w:rsid w:val="2A1D2DC1"/>
    <w:rsid w:val="2A1F04A7"/>
    <w:rsid w:val="2A212524"/>
    <w:rsid w:val="2A226A9B"/>
    <w:rsid w:val="2A304596"/>
    <w:rsid w:val="2A357AA1"/>
    <w:rsid w:val="2A3B7DE4"/>
    <w:rsid w:val="2A49237F"/>
    <w:rsid w:val="2A8D57BE"/>
    <w:rsid w:val="2AB47214"/>
    <w:rsid w:val="2AB54A87"/>
    <w:rsid w:val="2ABA7C9A"/>
    <w:rsid w:val="2ACB50B8"/>
    <w:rsid w:val="2AFB4FC0"/>
    <w:rsid w:val="2B0E7150"/>
    <w:rsid w:val="2B2351E4"/>
    <w:rsid w:val="2B4360AF"/>
    <w:rsid w:val="2B766714"/>
    <w:rsid w:val="2B867363"/>
    <w:rsid w:val="2B887575"/>
    <w:rsid w:val="2B887BD7"/>
    <w:rsid w:val="2B8B3C89"/>
    <w:rsid w:val="2BC11913"/>
    <w:rsid w:val="2BCF6B70"/>
    <w:rsid w:val="2BD44165"/>
    <w:rsid w:val="2BD67CE9"/>
    <w:rsid w:val="2BDF7AB5"/>
    <w:rsid w:val="2BE47EA0"/>
    <w:rsid w:val="2BEC6B63"/>
    <w:rsid w:val="2BFA224A"/>
    <w:rsid w:val="2BFA6033"/>
    <w:rsid w:val="2C145408"/>
    <w:rsid w:val="2C191490"/>
    <w:rsid w:val="2C197370"/>
    <w:rsid w:val="2C1C155D"/>
    <w:rsid w:val="2C2323D9"/>
    <w:rsid w:val="2C2C4EA7"/>
    <w:rsid w:val="2C351E0C"/>
    <w:rsid w:val="2C36700F"/>
    <w:rsid w:val="2C3D39E5"/>
    <w:rsid w:val="2C60488E"/>
    <w:rsid w:val="2C7A7E93"/>
    <w:rsid w:val="2CA12884"/>
    <w:rsid w:val="2CBE2AF4"/>
    <w:rsid w:val="2CC82A59"/>
    <w:rsid w:val="2CCA0CA5"/>
    <w:rsid w:val="2CCE5B5F"/>
    <w:rsid w:val="2CD00D59"/>
    <w:rsid w:val="2CF03F85"/>
    <w:rsid w:val="2CF51A62"/>
    <w:rsid w:val="2CFF57DF"/>
    <w:rsid w:val="2D0F31B6"/>
    <w:rsid w:val="2D21216D"/>
    <w:rsid w:val="2D273801"/>
    <w:rsid w:val="2D2B37C6"/>
    <w:rsid w:val="2D3110D6"/>
    <w:rsid w:val="2D322F0F"/>
    <w:rsid w:val="2D39171B"/>
    <w:rsid w:val="2D472C67"/>
    <w:rsid w:val="2D47347C"/>
    <w:rsid w:val="2D524C40"/>
    <w:rsid w:val="2D5C4EF6"/>
    <w:rsid w:val="2D5F2259"/>
    <w:rsid w:val="2D740537"/>
    <w:rsid w:val="2D910770"/>
    <w:rsid w:val="2DAE7E4D"/>
    <w:rsid w:val="2DB74928"/>
    <w:rsid w:val="2DBF6AC6"/>
    <w:rsid w:val="2DD31ACF"/>
    <w:rsid w:val="2DD830C6"/>
    <w:rsid w:val="2DD85302"/>
    <w:rsid w:val="2DE246D4"/>
    <w:rsid w:val="2DF82C6C"/>
    <w:rsid w:val="2DF9330D"/>
    <w:rsid w:val="2E015A76"/>
    <w:rsid w:val="2E183D6D"/>
    <w:rsid w:val="2E1B40E3"/>
    <w:rsid w:val="2E2E745B"/>
    <w:rsid w:val="2E4C5894"/>
    <w:rsid w:val="2E500D3F"/>
    <w:rsid w:val="2E5942EF"/>
    <w:rsid w:val="2E616C6E"/>
    <w:rsid w:val="2E653455"/>
    <w:rsid w:val="2E6C13F2"/>
    <w:rsid w:val="2E7D47DE"/>
    <w:rsid w:val="2E90241D"/>
    <w:rsid w:val="2E9436D8"/>
    <w:rsid w:val="2EA70F46"/>
    <w:rsid w:val="2EA80FC5"/>
    <w:rsid w:val="2ECE36C4"/>
    <w:rsid w:val="2EE22E72"/>
    <w:rsid w:val="2EE42006"/>
    <w:rsid w:val="2EE95130"/>
    <w:rsid w:val="2EFA004F"/>
    <w:rsid w:val="2EFA3E97"/>
    <w:rsid w:val="2F0A001C"/>
    <w:rsid w:val="2F1442F0"/>
    <w:rsid w:val="2F2158CF"/>
    <w:rsid w:val="2F217847"/>
    <w:rsid w:val="2F262A15"/>
    <w:rsid w:val="2F40630B"/>
    <w:rsid w:val="2F471425"/>
    <w:rsid w:val="2F584A6F"/>
    <w:rsid w:val="2F5F6D8F"/>
    <w:rsid w:val="2F607C42"/>
    <w:rsid w:val="2F6318F4"/>
    <w:rsid w:val="2F771E2B"/>
    <w:rsid w:val="2F97211B"/>
    <w:rsid w:val="2F975C25"/>
    <w:rsid w:val="2FB95C78"/>
    <w:rsid w:val="2FBE36B2"/>
    <w:rsid w:val="2FC44784"/>
    <w:rsid w:val="2FD3697E"/>
    <w:rsid w:val="2FE201D1"/>
    <w:rsid w:val="2FE60430"/>
    <w:rsid w:val="2FF34FC1"/>
    <w:rsid w:val="30356E56"/>
    <w:rsid w:val="304D7BFC"/>
    <w:rsid w:val="304E3248"/>
    <w:rsid w:val="305F44A5"/>
    <w:rsid w:val="30667582"/>
    <w:rsid w:val="306C44B4"/>
    <w:rsid w:val="30785069"/>
    <w:rsid w:val="308B585A"/>
    <w:rsid w:val="30AA5CB1"/>
    <w:rsid w:val="30B27F13"/>
    <w:rsid w:val="30D74620"/>
    <w:rsid w:val="30D83A12"/>
    <w:rsid w:val="30EB31E9"/>
    <w:rsid w:val="30F813D2"/>
    <w:rsid w:val="31083F93"/>
    <w:rsid w:val="31107973"/>
    <w:rsid w:val="3114526F"/>
    <w:rsid w:val="311700E6"/>
    <w:rsid w:val="3128484B"/>
    <w:rsid w:val="316302FF"/>
    <w:rsid w:val="317431AC"/>
    <w:rsid w:val="318C1B4E"/>
    <w:rsid w:val="318D4498"/>
    <w:rsid w:val="319C4572"/>
    <w:rsid w:val="31AA3C6B"/>
    <w:rsid w:val="31B8743C"/>
    <w:rsid w:val="31E418C8"/>
    <w:rsid w:val="31E85CC9"/>
    <w:rsid w:val="31EF4BA0"/>
    <w:rsid w:val="31F1288F"/>
    <w:rsid w:val="31F731A9"/>
    <w:rsid w:val="31F91C49"/>
    <w:rsid w:val="320A2DF5"/>
    <w:rsid w:val="320B4AB1"/>
    <w:rsid w:val="320E2937"/>
    <w:rsid w:val="321E41C9"/>
    <w:rsid w:val="32242F6D"/>
    <w:rsid w:val="32301104"/>
    <w:rsid w:val="323627B3"/>
    <w:rsid w:val="32501F02"/>
    <w:rsid w:val="32515D01"/>
    <w:rsid w:val="3265372E"/>
    <w:rsid w:val="327A4DA5"/>
    <w:rsid w:val="32977E9B"/>
    <w:rsid w:val="32A13CFB"/>
    <w:rsid w:val="32A8146C"/>
    <w:rsid w:val="32BA2849"/>
    <w:rsid w:val="32C25C29"/>
    <w:rsid w:val="32C31419"/>
    <w:rsid w:val="32D876FE"/>
    <w:rsid w:val="32FC5E1D"/>
    <w:rsid w:val="32FD6FC0"/>
    <w:rsid w:val="33006FAF"/>
    <w:rsid w:val="331359AA"/>
    <w:rsid w:val="331D257A"/>
    <w:rsid w:val="331E5759"/>
    <w:rsid w:val="331E6E2D"/>
    <w:rsid w:val="336363FB"/>
    <w:rsid w:val="33AB29AC"/>
    <w:rsid w:val="33B301C3"/>
    <w:rsid w:val="33B70BDB"/>
    <w:rsid w:val="33BC6DA3"/>
    <w:rsid w:val="33BD282E"/>
    <w:rsid w:val="33DD612D"/>
    <w:rsid w:val="33EC7A99"/>
    <w:rsid w:val="34227AA7"/>
    <w:rsid w:val="342A397A"/>
    <w:rsid w:val="34316E39"/>
    <w:rsid w:val="343847DF"/>
    <w:rsid w:val="344A22BC"/>
    <w:rsid w:val="344B32BD"/>
    <w:rsid w:val="34532669"/>
    <w:rsid w:val="34555E7F"/>
    <w:rsid w:val="346A286F"/>
    <w:rsid w:val="34747FB7"/>
    <w:rsid w:val="348C6C89"/>
    <w:rsid w:val="34A00F25"/>
    <w:rsid w:val="34B022B0"/>
    <w:rsid w:val="34B166F0"/>
    <w:rsid w:val="34B24DA4"/>
    <w:rsid w:val="34B61BCD"/>
    <w:rsid w:val="34BF2997"/>
    <w:rsid w:val="34BF791F"/>
    <w:rsid w:val="34D60B3E"/>
    <w:rsid w:val="34DF2A3F"/>
    <w:rsid w:val="35221BC8"/>
    <w:rsid w:val="35262C3A"/>
    <w:rsid w:val="352D0C2B"/>
    <w:rsid w:val="3533112A"/>
    <w:rsid w:val="3533148B"/>
    <w:rsid w:val="353632E6"/>
    <w:rsid w:val="353B5BF9"/>
    <w:rsid w:val="354438B1"/>
    <w:rsid w:val="354661D2"/>
    <w:rsid w:val="354D51B7"/>
    <w:rsid w:val="3551702B"/>
    <w:rsid w:val="358D6F91"/>
    <w:rsid w:val="35C3285B"/>
    <w:rsid w:val="35D742AC"/>
    <w:rsid w:val="35DF103A"/>
    <w:rsid w:val="35F04FF6"/>
    <w:rsid w:val="35FE7D55"/>
    <w:rsid w:val="36016555"/>
    <w:rsid w:val="360F4C82"/>
    <w:rsid w:val="3611401D"/>
    <w:rsid w:val="36247510"/>
    <w:rsid w:val="362611FC"/>
    <w:rsid w:val="364136FB"/>
    <w:rsid w:val="36482D53"/>
    <w:rsid w:val="365628C5"/>
    <w:rsid w:val="3657163A"/>
    <w:rsid w:val="365D6B2F"/>
    <w:rsid w:val="366046FC"/>
    <w:rsid w:val="3676223B"/>
    <w:rsid w:val="367774C5"/>
    <w:rsid w:val="367D7EF3"/>
    <w:rsid w:val="36A84354"/>
    <w:rsid w:val="36AF3103"/>
    <w:rsid w:val="36B13F9C"/>
    <w:rsid w:val="36B55284"/>
    <w:rsid w:val="36BC6E41"/>
    <w:rsid w:val="36CC1255"/>
    <w:rsid w:val="36D05704"/>
    <w:rsid w:val="36E60312"/>
    <w:rsid w:val="36E625EC"/>
    <w:rsid w:val="36F9081E"/>
    <w:rsid w:val="370F785E"/>
    <w:rsid w:val="371C53ED"/>
    <w:rsid w:val="372A3E3F"/>
    <w:rsid w:val="373F65C8"/>
    <w:rsid w:val="37521BDE"/>
    <w:rsid w:val="37582A8B"/>
    <w:rsid w:val="375B4767"/>
    <w:rsid w:val="376657AA"/>
    <w:rsid w:val="37742B50"/>
    <w:rsid w:val="3775352E"/>
    <w:rsid w:val="378D2BB8"/>
    <w:rsid w:val="37901C98"/>
    <w:rsid w:val="37A0464A"/>
    <w:rsid w:val="37A442EA"/>
    <w:rsid w:val="37C44FA1"/>
    <w:rsid w:val="37D150B5"/>
    <w:rsid w:val="37E57D5F"/>
    <w:rsid w:val="37E62B54"/>
    <w:rsid w:val="37FC5ED4"/>
    <w:rsid w:val="38046B7B"/>
    <w:rsid w:val="38173B3F"/>
    <w:rsid w:val="381D6D5E"/>
    <w:rsid w:val="382A2D88"/>
    <w:rsid w:val="382D7295"/>
    <w:rsid w:val="3847202D"/>
    <w:rsid w:val="386D7726"/>
    <w:rsid w:val="387B25E2"/>
    <w:rsid w:val="38823BE3"/>
    <w:rsid w:val="38B70FB7"/>
    <w:rsid w:val="38D51F29"/>
    <w:rsid w:val="38F22A06"/>
    <w:rsid w:val="38FA5EF9"/>
    <w:rsid w:val="392E088D"/>
    <w:rsid w:val="393540C8"/>
    <w:rsid w:val="393E2D99"/>
    <w:rsid w:val="393F251C"/>
    <w:rsid w:val="39615969"/>
    <w:rsid w:val="396A1AE9"/>
    <w:rsid w:val="396E48CF"/>
    <w:rsid w:val="39712CAE"/>
    <w:rsid w:val="397321C6"/>
    <w:rsid w:val="397A08A5"/>
    <w:rsid w:val="398C2E80"/>
    <w:rsid w:val="398F7D70"/>
    <w:rsid w:val="39965FA7"/>
    <w:rsid w:val="399671BA"/>
    <w:rsid w:val="39A405D1"/>
    <w:rsid w:val="39B413CD"/>
    <w:rsid w:val="39BD320A"/>
    <w:rsid w:val="39D43276"/>
    <w:rsid w:val="39D74E5B"/>
    <w:rsid w:val="39DB4ADF"/>
    <w:rsid w:val="39DE3714"/>
    <w:rsid w:val="39E007F5"/>
    <w:rsid w:val="3A021389"/>
    <w:rsid w:val="3A022212"/>
    <w:rsid w:val="3A07086E"/>
    <w:rsid w:val="3A304D85"/>
    <w:rsid w:val="3A350D8E"/>
    <w:rsid w:val="3A365787"/>
    <w:rsid w:val="3A396B37"/>
    <w:rsid w:val="3A3C36CD"/>
    <w:rsid w:val="3A4738EC"/>
    <w:rsid w:val="3A491611"/>
    <w:rsid w:val="3A56269A"/>
    <w:rsid w:val="3A584ECE"/>
    <w:rsid w:val="3A5C0A0C"/>
    <w:rsid w:val="3A5C0BB6"/>
    <w:rsid w:val="3A626F60"/>
    <w:rsid w:val="3A7D10CF"/>
    <w:rsid w:val="3A7E366D"/>
    <w:rsid w:val="3A8107A4"/>
    <w:rsid w:val="3A8138D0"/>
    <w:rsid w:val="3AA632A1"/>
    <w:rsid w:val="3AB47AC9"/>
    <w:rsid w:val="3AB92320"/>
    <w:rsid w:val="3AC863FE"/>
    <w:rsid w:val="3ACF243B"/>
    <w:rsid w:val="3AD35EAB"/>
    <w:rsid w:val="3AD4138A"/>
    <w:rsid w:val="3AD43138"/>
    <w:rsid w:val="3AD556BD"/>
    <w:rsid w:val="3ADF71AD"/>
    <w:rsid w:val="3AE44CDC"/>
    <w:rsid w:val="3AFD3FBB"/>
    <w:rsid w:val="3B053B14"/>
    <w:rsid w:val="3B15740C"/>
    <w:rsid w:val="3B1C6E69"/>
    <w:rsid w:val="3B1D2A7D"/>
    <w:rsid w:val="3B463897"/>
    <w:rsid w:val="3B5F0A00"/>
    <w:rsid w:val="3B712735"/>
    <w:rsid w:val="3B72356F"/>
    <w:rsid w:val="3B78463D"/>
    <w:rsid w:val="3B79766B"/>
    <w:rsid w:val="3B7B0A60"/>
    <w:rsid w:val="3B7C5F97"/>
    <w:rsid w:val="3B7E772B"/>
    <w:rsid w:val="3B9324FA"/>
    <w:rsid w:val="3BAA5443"/>
    <w:rsid w:val="3BB03E40"/>
    <w:rsid w:val="3BC95D5A"/>
    <w:rsid w:val="3BCB76AB"/>
    <w:rsid w:val="3C0E772C"/>
    <w:rsid w:val="3C111D1A"/>
    <w:rsid w:val="3C2A6817"/>
    <w:rsid w:val="3C2D6B79"/>
    <w:rsid w:val="3C4F7751"/>
    <w:rsid w:val="3C5E505E"/>
    <w:rsid w:val="3C6B3628"/>
    <w:rsid w:val="3C701AD4"/>
    <w:rsid w:val="3C7B38AB"/>
    <w:rsid w:val="3C8841DA"/>
    <w:rsid w:val="3C8E6DC4"/>
    <w:rsid w:val="3C8E6FF9"/>
    <w:rsid w:val="3C9D4310"/>
    <w:rsid w:val="3CA42327"/>
    <w:rsid w:val="3CC4384E"/>
    <w:rsid w:val="3CC4659D"/>
    <w:rsid w:val="3CD3499D"/>
    <w:rsid w:val="3CE7726F"/>
    <w:rsid w:val="3CF2586B"/>
    <w:rsid w:val="3D0E33B3"/>
    <w:rsid w:val="3D1F18AC"/>
    <w:rsid w:val="3D23464D"/>
    <w:rsid w:val="3D502675"/>
    <w:rsid w:val="3D5B1CAF"/>
    <w:rsid w:val="3D6109EE"/>
    <w:rsid w:val="3D6126FC"/>
    <w:rsid w:val="3D717B0B"/>
    <w:rsid w:val="3D745396"/>
    <w:rsid w:val="3DA91733"/>
    <w:rsid w:val="3DC96182"/>
    <w:rsid w:val="3E132EE9"/>
    <w:rsid w:val="3E1412F8"/>
    <w:rsid w:val="3E160640"/>
    <w:rsid w:val="3E162E0E"/>
    <w:rsid w:val="3E1E0688"/>
    <w:rsid w:val="3E2A61DA"/>
    <w:rsid w:val="3E585624"/>
    <w:rsid w:val="3E6C0ED0"/>
    <w:rsid w:val="3E7A3D3B"/>
    <w:rsid w:val="3E7D1101"/>
    <w:rsid w:val="3E7D6E51"/>
    <w:rsid w:val="3E9F69D2"/>
    <w:rsid w:val="3EA7268F"/>
    <w:rsid w:val="3EBF2D48"/>
    <w:rsid w:val="3ECF7CC3"/>
    <w:rsid w:val="3ED318FB"/>
    <w:rsid w:val="3EDA57A5"/>
    <w:rsid w:val="3EF85350"/>
    <w:rsid w:val="3F0E0576"/>
    <w:rsid w:val="3F1E7A5D"/>
    <w:rsid w:val="3F205543"/>
    <w:rsid w:val="3F265A00"/>
    <w:rsid w:val="3F332689"/>
    <w:rsid w:val="3F360A7C"/>
    <w:rsid w:val="3F420740"/>
    <w:rsid w:val="3F45527B"/>
    <w:rsid w:val="3F54754A"/>
    <w:rsid w:val="3F594FE9"/>
    <w:rsid w:val="3F6D1E38"/>
    <w:rsid w:val="3F74511E"/>
    <w:rsid w:val="3F8E5134"/>
    <w:rsid w:val="3FAC6EEB"/>
    <w:rsid w:val="3FBC44FB"/>
    <w:rsid w:val="3FC92D2B"/>
    <w:rsid w:val="3FD23D21"/>
    <w:rsid w:val="3FE068D2"/>
    <w:rsid w:val="400A2518"/>
    <w:rsid w:val="401436DD"/>
    <w:rsid w:val="40270034"/>
    <w:rsid w:val="402D5B1B"/>
    <w:rsid w:val="40360895"/>
    <w:rsid w:val="40554290"/>
    <w:rsid w:val="405E7345"/>
    <w:rsid w:val="40924F0A"/>
    <w:rsid w:val="409332AC"/>
    <w:rsid w:val="409936F3"/>
    <w:rsid w:val="40AC35FB"/>
    <w:rsid w:val="40F740AB"/>
    <w:rsid w:val="40F74E79"/>
    <w:rsid w:val="410425B2"/>
    <w:rsid w:val="41065960"/>
    <w:rsid w:val="411F2965"/>
    <w:rsid w:val="41233733"/>
    <w:rsid w:val="4139528F"/>
    <w:rsid w:val="414D0F31"/>
    <w:rsid w:val="41596333"/>
    <w:rsid w:val="41644B79"/>
    <w:rsid w:val="416E4AAF"/>
    <w:rsid w:val="417D4793"/>
    <w:rsid w:val="419B3F50"/>
    <w:rsid w:val="41A95AEC"/>
    <w:rsid w:val="41AE77B3"/>
    <w:rsid w:val="41AF7AD4"/>
    <w:rsid w:val="41B25F5E"/>
    <w:rsid w:val="41B41335"/>
    <w:rsid w:val="41C30DBA"/>
    <w:rsid w:val="41C86CD5"/>
    <w:rsid w:val="41D57EC1"/>
    <w:rsid w:val="41D94D43"/>
    <w:rsid w:val="41E34C4B"/>
    <w:rsid w:val="41E7458F"/>
    <w:rsid w:val="41F15995"/>
    <w:rsid w:val="41F23877"/>
    <w:rsid w:val="41FB7AAA"/>
    <w:rsid w:val="41FF4B70"/>
    <w:rsid w:val="420C765B"/>
    <w:rsid w:val="420F731A"/>
    <w:rsid w:val="42103917"/>
    <w:rsid w:val="4215058B"/>
    <w:rsid w:val="423B01C9"/>
    <w:rsid w:val="4254530D"/>
    <w:rsid w:val="425E3E98"/>
    <w:rsid w:val="42725710"/>
    <w:rsid w:val="427F26F1"/>
    <w:rsid w:val="4280250D"/>
    <w:rsid w:val="42A63583"/>
    <w:rsid w:val="42B27A11"/>
    <w:rsid w:val="42BD76EF"/>
    <w:rsid w:val="42C6780A"/>
    <w:rsid w:val="42D15229"/>
    <w:rsid w:val="42E93D05"/>
    <w:rsid w:val="42F13E37"/>
    <w:rsid w:val="430512FA"/>
    <w:rsid w:val="430A168E"/>
    <w:rsid w:val="430E29E4"/>
    <w:rsid w:val="430F4BCD"/>
    <w:rsid w:val="431A5225"/>
    <w:rsid w:val="433C31A8"/>
    <w:rsid w:val="434162FE"/>
    <w:rsid w:val="434E77F0"/>
    <w:rsid w:val="436615EF"/>
    <w:rsid w:val="43872FCF"/>
    <w:rsid w:val="43973454"/>
    <w:rsid w:val="439D3B28"/>
    <w:rsid w:val="43A26430"/>
    <w:rsid w:val="43B358E6"/>
    <w:rsid w:val="43B72909"/>
    <w:rsid w:val="43BD5E1E"/>
    <w:rsid w:val="43BD78C5"/>
    <w:rsid w:val="43C6139D"/>
    <w:rsid w:val="43C85BCD"/>
    <w:rsid w:val="43CE3985"/>
    <w:rsid w:val="43E9414D"/>
    <w:rsid w:val="43EC4B1D"/>
    <w:rsid w:val="440305EA"/>
    <w:rsid w:val="440606AE"/>
    <w:rsid w:val="4408393A"/>
    <w:rsid w:val="440E013D"/>
    <w:rsid w:val="440E693F"/>
    <w:rsid w:val="441047CD"/>
    <w:rsid w:val="44172F71"/>
    <w:rsid w:val="44474AF7"/>
    <w:rsid w:val="444B1E86"/>
    <w:rsid w:val="4479121C"/>
    <w:rsid w:val="44836F40"/>
    <w:rsid w:val="44A63A8E"/>
    <w:rsid w:val="44B570BA"/>
    <w:rsid w:val="44C24E91"/>
    <w:rsid w:val="44DA7F89"/>
    <w:rsid w:val="44FB1C16"/>
    <w:rsid w:val="44FD6B9D"/>
    <w:rsid w:val="450D5113"/>
    <w:rsid w:val="45120EF6"/>
    <w:rsid w:val="45156CF5"/>
    <w:rsid w:val="451721D2"/>
    <w:rsid w:val="452B2CBB"/>
    <w:rsid w:val="452C6C44"/>
    <w:rsid w:val="452F6E4C"/>
    <w:rsid w:val="45363B39"/>
    <w:rsid w:val="453868FC"/>
    <w:rsid w:val="454C6313"/>
    <w:rsid w:val="45603A80"/>
    <w:rsid w:val="457854F1"/>
    <w:rsid w:val="457A79B0"/>
    <w:rsid w:val="458235FF"/>
    <w:rsid w:val="458C4FBA"/>
    <w:rsid w:val="4597653A"/>
    <w:rsid w:val="45AC2125"/>
    <w:rsid w:val="45B01FC2"/>
    <w:rsid w:val="45C002F5"/>
    <w:rsid w:val="45C74D86"/>
    <w:rsid w:val="45CA3E05"/>
    <w:rsid w:val="45D06A76"/>
    <w:rsid w:val="45EF7A51"/>
    <w:rsid w:val="45FE68AA"/>
    <w:rsid w:val="460526FC"/>
    <w:rsid w:val="46291917"/>
    <w:rsid w:val="462A343D"/>
    <w:rsid w:val="463507D8"/>
    <w:rsid w:val="46357F64"/>
    <w:rsid w:val="46456738"/>
    <w:rsid w:val="46604BEE"/>
    <w:rsid w:val="466B4B8B"/>
    <w:rsid w:val="467F5902"/>
    <w:rsid w:val="4680254A"/>
    <w:rsid w:val="46813099"/>
    <w:rsid w:val="468201E3"/>
    <w:rsid w:val="468B512F"/>
    <w:rsid w:val="46A11EF9"/>
    <w:rsid w:val="46A95479"/>
    <w:rsid w:val="46B462BD"/>
    <w:rsid w:val="46BD2A22"/>
    <w:rsid w:val="46BE1704"/>
    <w:rsid w:val="46CD65D9"/>
    <w:rsid w:val="46D351F3"/>
    <w:rsid w:val="46E40354"/>
    <w:rsid w:val="46E41E24"/>
    <w:rsid w:val="46E861B6"/>
    <w:rsid w:val="46E918C3"/>
    <w:rsid w:val="46EE3813"/>
    <w:rsid w:val="46F11D49"/>
    <w:rsid w:val="46F51141"/>
    <w:rsid w:val="47031B4E"/>
    <w:rsid w:val="471230E0"/>
    <w:rsid w:val="47135865"/>
    <w:rsid w:val="471F757A"/>
    <w:rsid w:val="473765D7"/>
    <w:rsid w:val="47594A16"/>
    <w:rsid w:val="476935CD"/>
    <w:rsid w:val="477B7797"/>
    <w:rsid w:val="4791148F"/>
    <w:rsid w:val="47C44D3A"/>
    <w:rsid w:val="47EF335F"/>
    <w:rsid w:val="47F13BB2"/>
    <w:rsid w:val="48031E42"/>
    <w:rsid w:val="4808618D"/>
    <w:rsid w:val="481F5114"/>
    <w:rsid w:val="48233009"/>
    <w:rsid w:val="48247CD7"/>
    <w:rsid w:val="4829765B"/>
    <w:rsid w:val="48465851"/>
    <w:rsid w:val="485740C2"/>
    <w:rsid w:val="48640767"/>
    <w:rsid w:val="48660824"/>
    <w:rsid w:val="486E6B52"/>
    <w:rsid w:val="486F26F2"/>
    <w:rsid w:val="487970DA"/>
    <w:rsid w:val="487D3580"/>
    <w:rsid w:val="48802209"/>
    <w:rsid w:val="48866E9E"/>
    <w:rsid w:val="488858F6"/>
    <w:rsid w:val="4894026D"/>
    <w:rsid w:val="489B5E6A"/>
    <w:rsid w:val="48A06BAA"/>
    <w:rsid w:val="48AD126B"/>
    <w:rsid w:val="48C531EF"/>
    <w:rsid w:val="48E57B33"/>
    <w:rsid w:val="49034A33"/>
    <w:rsid w:val="49092296"/>
    <w:rsid w:val="490B07CE"/>
    <w:rsid w:val="49180FE0"/>
    <w:rsid w:val="491F3BB0"/>
    <w:rsid w:val="49283CA1"/>
    <w:rsid w:val="49354067"/>
    <w:rsid w:val="494850D3"/>
    <w:rsid w:val="494974FB"/>
    <w:rsid w:val="4954290B"/>
    <w:rsid w:val="49694DD2"/>
    <w:rsid w:val="497560A6"/>
    <w:rsid w:val="497E1AAD"/>
    <w:rsid w:val="49973F59"/>
    <w:rsid w:val="499B1A03"/>
    <w:rsid w:val="49B33D44"/>
    <w:rsid w:val="49B959D3"/>
    <w:rsid w:val="49BA0CA8"/>
    <w:rsid w:val="49BB468E"/>
    <w:rsid w:val="49BF3E55"/>
    <w:rsid w:val="49BF71EB"/>
    <w:rsid w:val="49C776AE"/>
    <w:rsid w:val="49D00F6E"/>
    <w:rsid w:val="49E8672D"/>
    <w:rsid w:val="49EA7602"/>
    <w:rsid w:val="4A0E5B72"/>
    <w:rsid w:val="4A1F6E09"/>
    <w:rsid w:val="4A2C1176"/>
    <w:rsid w:val="4A3B5DE4"/>
    <w:rsid w:val="4A4A5ACA"/>
    <w:rsid w:val="4A5C7E9A"/>
    <w:rsid w:val="4A78722D"/>
    <w:rsid w:val="4A7B206E"/>
    <w:rsid w:val="4A800D33"/>
    <w:rsid w:val="4A827E61"/>
    <w:rsid w:val="4A8605FA"/>
    <w:rsid w:val="4A921929"/>
    <w:rsid w:val="4A9B1D98"/>
    <w:rsid w:val="4A9D796D"/>
    <w:rsid w:val="4A9E7269"/>
    <w:rsid w:val="4AA46BEF"/>
    <w:rsid w:val="4AB23EA9"/>
    <w:rsid w:val="4AB81510"/>
    <w:rsid w:val="4ABB105D"/>
    <w:rsid w:val="4ABE3688"/>
    <w:rsid w:val="4ACD05FD"/>
    <w:rsid w:val="4ACD63FC"/>
    <w:rsid w:val="4ACF230F"/>
    <w:rsid w:val="4AD30D16"/>
    <w:rsid w:val="4AD72B93"/>
    <w:rsid w:val="4ADF7CE4"/>
    <w:rsid w:val="4AFC2A4C"/>
    <w:rsid w:val="4B05436E"/>
    <w:rsid w:val="4B1C2189"/>
    <w:rsid w:val="4B1C7A29"/>
    <w:rsid w:val="4B1E4F92"/>
    <w:rsid w:val="4B1E78AB"/>
    <w:rsid w:val="4B2B2900"/>
    <w:rsid w:val="4B3555AE"/>
    <w:rsid w:val="4B437B88"/>
    <w:rsid w:val="4B443A47"/>
    <w:rsid w:val="4B5804E3"/>
    <w:rsid w:val="4B5948B4"/>
    <w:rsid w:val="4B7A3B12"/>
    <w:rsid w:val="4B9433D0"/>
    <w:rsid w:val="4B992B57"/>
    <w:rsid w:val="4BA3589B"/>
    <w:rsid w:val="4BA53E4A"/>
    <w:rsid w:val="4BB1395A"/>
    <w:rsid w:val="4BD5573D"/>
    <w:rsid w:val="4BF07CC1"/>
    <w:rsid w:val="4BF31832"/>
    <w:rsid w:val="4BFC7069"/>
    <w:rsid w:val="4C0073CC"/>
    <w:rsid w:val="4C043151"/>
    <w:rsid w:val="4C063847"/>
    <w:rsid w:val="4C0729FC"/>
    <w:rsid w:val="4C0A1742"/>
    <w:rsid w:val="4C143394"/>
    <w:rsid w:val="4C224E43"/>
    <w:rsid w:val="4C2330B4"/>
    <w:rsid w:val="4C361394"/>
    <w:rsid w:val="4C387E0B"/>
    <w:rsid w:val="4C405E5E"/>
    <w:rsid w:val="4C40795B"/>
    <w:rsid w:val="4C4636B2"/>
    <w:rsid w:val="4C614872"/>
    <w:rsid w:val="4C6A5808"/>
    <w:rsid w:val="4C6F5D73"/>
    <w:rsid w:val="4C8307F7"/>
    <w:rsid w:val="4C884CC7"/>
    <w:rsid w:val="4C8A41C5"/>
    <w:rsid w:val="4CAA5479"/>
    <w:rsid w:val="4CBF06FD"/>
    <w:rsid w:val="4CD028A4"/>
    <w:rsid w:val="4CD43539"/>
    <w:rsid w:val="4CD56C08"/>
    <w:rsid w:val="4CE717B5"/>
    <w:rsid w:val="4CEE0089"/>
    <w:rsid w:val="4D284E16"/>
    <w:rsid w:val="4D32373C"/>
    <w:rsid w:val="4D370B7E"/>
    <w:rsid w:val="4D3C2A38"/>
    <w:rsid w:val="4D502F35"/>
    <w:rsid w:val="4D5F32AB"/>
    <w:rsid w:val="4D64479F"/>
    <w:rsid w:val="4D9E046B"/>
    <w:rsid w:val="4DA8655A"/>
    <w:rsid w:val="4DAE19E9"/>
    <w:rsid w:val="4DCB68BA"/>
    <w:rsid w:val="4DD23F56"/>
    <w:rsid w:val="4E043A66"/>
    <w:rsid w:val="4E0D4C92"/>
    <w:rsid w:val="4E0F02B7"/>
    <w:rsid w:val="4E1A0188"/>
    <w:rsid w:val="4E1C1135"/>
    <w:rsid w:val="4E2F0959"/>
    <w:rsid w:val="4E311809"/>
    <w:rsid w:val="4E4B74E5"/>
    <w:rsid w:val="4E574CE6"/>
    <w:rsid w:val="4E5B79A0"/>
    <w:rsid w:val="4E5C7274"/>
    <w:rsid w:val="4E5E7255"/>
    <w:rsid w:val="4E6D36F2"/>
    <w:rsid w:val="4E896AA0"/>
    <w:rsid w:val="4E944C60"/>
    <w:rsid w:val="4EAD3323"/>
    <w:rsid w:val="4EAD54B5"/>
    <w:rsid w:val="4EB212FC"/>
    <w:rsid w:val="4EB707FC"/>
    <w:rsid w:val="4EE76B2A"/>
    <w:rsid w:val="4F1025C9"/>
    <w:rsid w:val="4F145F5A"/>
    <w:rsid w:val="4F17351F"/>
    <w:rsid w:val="4F252CA5"/>
    <w:rsid w:val="4F320A99"/>
    <w:rsid w:val="4F404ED8"/>
    <w:rsid w:val="4F453F53"/>
    <w:rsid w:val="4F455F5A"/>
    <w:rsid w:val="4F55381F"/>
    <w:rsid w:val="4F5C6092"/>
    <w:rsid w:val="4F8A520E"/>
    <w:rsid w:val="4F8C394E"/>
    <w:rsid w:val="4FD62FFB"/>
    <w:rsid w:val="4FEE6EE0"/>
    <w:rsid w:val="4FEE766E"/>
    <w:rsid w:val="4FF715A3"/>
    <w:rsid w:val="50072100"/>
    <w:rsid w:val="50820F50"/>
    <w:rsid w:val="508B5B6C"/>
    <w:rsid w:val="5098072C"/>
    <w:rsid w:val="509938F5"/>
    <w:rsid w:val="50A373DC"/>
    <w:rsid w:val="50A464E8"/>
    <w:rsid w:val="50A65530"/>
    <w:rsid w:val="50A849F3"/>
    <w:rsid w:val="50C209E6"/>
    <w:rsid w:val="50CC2A0D"/>
    <w:rsid w:val="50D96DA6"/>
    <w:rsid w:val="51026B11"/>
    <w:rsid w:val="51122DC4"/>
    <w:rsid w:val="51191CBA"/>
    <w:rsid w:val="51197F21"/>
    <w:rsid w:val="511D068C"/>
    <w:rsid w:val="51346E17"/>
    <w:rsid w:val="513A62CF"/>
    <w:rsid w:val="514A11D9"/>
    <w:rsid w:val="515A4BF6"/>
    <w:rsid w:val="5176564B"/>
    <w:rsid w:val="519500BF"/>
    <w:rsid w:val="51987FCE"/>
    <w:rsid w:val="519A53BA"/>
    <w:rsid w:val="51C07451"/>
    <w:rsid w:val="51D3720C"/>
    <w:rsid w:val="51E40A3A"/>
    <w:rsid w:val="51ED57AB"/>
    <w:rsid w:val="52020E71"/>
    <w:rsid w:val="52086031"/>
    <w:rsid w:val="52233A41"/>
    <w:rsid w:val="52281A86"/>
    <w:rsid w:val="52291E40"/>
    <w:rsid w:val="52517552"/>
    <w:rsid w:val="5254261D"/>
    <w:rsid w:val="525735E0"/>
    <w:rsid w:val="52686A5F"/>
    <w:rsid w:val="527856A0"/>
    <w:rsid w:val="52837052"/>
    <w:rsid w:val="528D6332"/>
    <w:rsid w:val="529008F8"/>
    <w:rsid w:val="52942E90"/>
    <w:rsid w:val="529A14C1"/>
    <w:rsid w:val="529C02FE"/>
    <w:rsid w:val="52A235A3"/>
    <w:rsid w:val="52C508BD"/>
    <w:rsid w:val="52C77D44"/>
    <w:rsid w:val="52CE5D68"/>
    <w:rsid w:val="52DE78CE"/>
    <w:rsid w:val="52E44190"/>
    <w:rsid w:val="52F61687"/>
    <w:rsid w:val="530A729F"/>
    <w:rsid w:val="530C6FA7"/>
    <w:rsid w:val="530F6BE9"/>
    <w:rsid w:val="53113283"/>
    <w:rsid w:val="532A2584"/>
    <w:rsid w:val="53335F7D"/>
    <w:rsid w:val="53344D8B"/>
    <w:rsid w:val="5354553B"/>
    <w:rsid w:val="53700464"/>
    <w:rsid w:val="537C77B7"/>
    <w:rsid w:val="53927830"/>
    <w:rsid w:val="53951756"/>
    <w:rsid w:val="53960992"/>
    <w:rsid w:val="53A2397B"/>
    <w:rsid w:val="53A27B9D"/>
    <w:rsid w:val="53A63771"/>
    <w:rsid w:val="53BF4B7B"/>
    <w:rsid w:val="53DB0C3B"/>
    <w:rsid w:val="53DE3D3C"/>
    <w:rsid w:val="53F40D53"/>
    <w:rsid w:val="53FF2E44"/>
    <w:rsid w:val="540A58F9"/>
    <w:rsid w:val="540F3ADB"/>
    <w:rsid w:val="54244944"/>
    <w:rsid w:val="5429203B"/>
    <w:rsid w:val="5453266C"/>
    <w:rsid w:val="54704827"/>
    <w:rsid w:val="547C3822"/>
    <w:rsid w:val="549500A5"/>
    <w:rsid w:val="54983AC0"/>
    <w:rsid w:val="54A75E28"/>
    <w:rsid w:val="54B26218"/>
    <w:rsid w:val="54C00FCC"/>
    <w:rsid w:val="54D9517B"/>
    <w:rsid w:val="54E22C2C"/>
    <w:rsid w:val="54E515F1"/>
    <w:rsid w:val="54F41C60"/>
    <w:rsid w:val="55365672"/>
    <w:rsid w:val="554E658A"/>
    <w:rsid w:val="5552380F"/>
    <w:rsid w:val="55550938"/>
    <w:rsid w:val="55943D48"/>
    <w:rsid w:val="55A0646B"/>
    <w:rsid w:val="55B75DE9"/>
    <w:rsid w:val="55BF0BC1"/>
    <w:rsid w:val="55C60009"/>
    <w:rsid w:val="55D848B4"/>
    <w:rsid w:val="55D90A1F"/>
    <w:rsid w:val="55E0131F"/>
    <w:rsid w:val="55E0285F"/>
    <w:rsid w:val="55E3741C"/>
    <w:rsid w:val="55E42029"/>
    <w:rsid w:val="55E74136"/>
    <w:rsid w:val="56020AA5"/>
    <w:rsid w:val="560F0D98"/>
    <w:rsid w:val="56215BA8"/>
    <w:rsid w:val="5629707F"/>
    <w:rsid w:val="56381962"/>
    <w:rsid w:val="563B4F47"/>
    <w:rsid w:val="564950AF"/>
    <w:rsid w:val="564A6718"/>
    <w:rsid w:val="56527DCF"/>
    <w:rsid w:val="56634D4C"/>
    <w:rsid w:val="5665316F"/>
    <w:rsid w:val="569C0B56"/>
    <w:rsid w:val="56A5015D"/>
    <w:rsid w:val="56B43EA4"/>
    <w:rsid w:val="56B513EF"/>
    <w:rsid w:val="56B61E3E"/>
    <w:rsid w:val="56D54290"/>
    <w:rsid w:val="56D71B80"/>
    <w:rsid w:val="56DC5887"/>
    <w:rsid w:val="56ED7603"/>
    <w:rsid w:val="570C09C2"/>
    <w:rsid w:val="57246ED0"/>
    <w:rsid w:val="572B40DF"/>
    <w:rsid w:val="572E480B"/>
    <w:rsid w:val="572F42DD"/>
    <w:rsid w:val="57415879"/>
    <w:rsid w:val="574F64B9"/>
    <w:rsid w:val="575A66CC"/>
    <w:rsid w:val="57614095"/>
    <w:rsid w:val="578B3B62"/>
    <w:rsid w:val="579D6934"/>
    <w:rsid w:val="57A77A3C"/>
    <w:rsid w:val="57A94DAA"/>
    <w:rsid w:val="57C34313"/>
    <w:rsid w:val="57C82E96"/>
    <w:rsid w:val="57E75186"/>
    <w:rsid w:val="57EE3CAC"/>
    <w:rsid w:val="57F6004A"/>
    <w:rsid w:val="57FD0DBE"/>
    <w:rsid w:val="57FE06A2"/>
    <w:rsid w:val="58004A82"/>
    <w:rsid w:val="5807380D"/>
    <w:rsid w:val="5827489A"/>
    <w:rsid w:val="583D044B"/>
    <w:rsid w:val="58464AE3"/>
    <w:rsid w:val="585D60C3"/>
    <w:rsid w:val="58631922"/>
    <w:rsid w:val="586473D6"/>
    <w:rsid w:val="58650E24"/>
    <w:rsid w:val="586A77AF"/>
    <w:rsid w:val="58932129"/>
    <w:rsid w:val="58A954BD"/>
    <w:rsid w:val="58BC3173"/>
    <w:rsid w:val="58C24116"/>
    <w:rsid w:val="58E24547"/>
    <w:rsid w:val="58E6429E"/>
    <w:rsid w:val="58E82914"/>
    <w:rsid w:val="58EB7B01"/>
    <w:rsid w:val="58EF5964"/>
    <w:rsid w:val="5905606D"/>
    <w:rsid w:val="59080865"/>
    <w:rsid w:val="5935188E"/>
    <w:rsid w:val="59452B7B"/>
    <w:rsid w:val="594A7395"/>
    <w:rsid w:val="594D54F4"/>
    <w:rsid w:val="59664BBB"/>
    <w:rsid w:val="596671F9"/>
    <w:rsid w:val="597D212C"/>
    <w:rsid w:val="5987789B"/>
    <w:rsid w:val="598D0BCA"/>
    <w:rsid w:val="599208FE"/>
    <w:rsid w:val="599F5BF1"/>
    <w:rsid w:val="59A8446B"/>
    <w:rsid w:val="59AA1539"/>
    <w:rsid w:val="59BB284E"/>
    <w:rsid w:val="59E642AD"/>
    <w:rsid w:val="59EB10E4"/>
    <w:rsid w:val="59F748E4"/>
    <w:rsid w:val="59F760A3"/>
    <w:rsid w:val="5A0229FD"/>
    <w:rsid w:val="5A084E7A"/>
    <w:rsid w:val="5A102CDE"/>
    <w:rsid w:val="5A222BC3"/>
    <w:rsid w:val="5A31708D"/>
    <w:rsid w:val="5A39166B"/>
    <w:rsid w:val="5A3A5755"/>
    <w:rsid w:val="5A401B2F"/>
    <w:rsid w:val="5A457D43"/>
    <w:rsid w:val="5A4B0769"/>
    <w:rsid w:val="5A5127AB"/>
    <w:rsid w:val="5A5C2D78"/>
    <w:rsid w:val="5A6A5E53"/>
    <w:rsid w:val="5A807784"/>
    <w:rsid w:val="5A8410CE"/>
    <w:rsid w:val="5A871E6C"/>
    <w:rsid w:val="5A8B4E1A"/>
    <w:rsid w:val="5AA14617"/>
    <w:rsid w:val="5AA303E3"/>
    <w:rsid w:val="5AA36561"/>
    <w:rsid w:val="5AA616D2"/>
    <w:rsid w:val="5AAC3332"/>
    <w:rsid w:val="5AAD3E6B"/>
    <w:rsid w:val="5AB06F18"/>
    <w:rsid w:val="5ABA593D"/>
    <w:rsid w:val="5ABE0814"/>
    <w:rsid w:val="5AD009FA"/>
    <w:rsid w:val="5AEC288E"/>
    <w:rsid w:val="5AFF2CE6"/>
    <w:rsid w:val="5B0504A1"/>
    <w:rsid w:val="5B0E1309"/>
    <w:rsid w:val="5B283A1C"/>
    <w:rsid w:val="5B3475AF"/>
    <w:rsid w:val="5B4A7E69"/>
    <w:rsid w:val="5B665A53"/>
    <w:rsid w:val="5B6B3AFB"/>
    <w:rsid w:val="5B6E2FEA"/>
    <w:rsid w:val="5B911D83"/>
    <w:rsid w:val="5B914AE3"/>
    <w:rsid w:val="5B9D3A07"/>
    <w:rsid w:val="5BB418F0"/>
    <w:rsid w:val="5BBB1A7E"/>
    <w:rsid w:val="5BBE72F3"/>
    <w:rsid w:val="5BCC352A"/>
    <w:rsid w:val="5BD236A9"/>
    <w:rsid w:val="5BD8236A"/>
    <w:rsid w:val="5BDD44C2"/>
    <w:rsid w:val="5BE856F7"/>
    <w:rsid w:val="5BE97FD8"/>
    <w:rsid w:val="5BEF3A98"/>
    <w:rsid w:val="5BEF797A"/>
    <w:rsid w:val="5BFE4D83"/>
    <w:rsid w:val="5C0D5D9A"/>
    <w:rsid w:val="5C326A8A"/>
    <w:rsid w:val="5C391CDF"/>
    <w:rsid w:val="5C4C6B7A"/>
    <w:rsid w:val="5C7D37C3"/>
    <w:rsid w:val="5C8E6B29"/>
    <w:rsid w:val="5C9F4E0F"/>
    <w:rsid w:val="5CA529D4"/>
    <w:rsid w:val="5CC1449C"/>
    <w:rsid w:val="5CD31049"/>
    <w:rsid w:val="5CD401A1"/>
    <w:rsid w:val="5CD466BB"/>
    <w:rsid w:val="5CD47E69"/>
    <w:rsid w:val="5CE14572"/>
    <w:rsid w:val="5CF226D7"/>
    <w:rsid w:val="5CF462C5"/>
    <w:rsid w:val="5CF6503A"/>
    <w:rsid w:val="5CFB501A"/>
    <w:rsid w:val="5CFD672F"/>
    <w:rsid w:val="5D0D705A"/>
    <w:rsid w:val="5D123AA4"/>
    <w:rsid w:val="5D1404A4"/>
    <w:rsid w:val="5D1505FD"/>
    <w:rsid w:val="5D30708B"/>
    <w:rsid w:val="5D431B78"/>
    <w:rsid w:val="5D4941D8"/>
    <w:rsid w:val="5D5F37FD"/>
    <w:rsid w:val="5D601B67"/>
    <w:rsid w:val="5D877AEA"/>
    <w:rsid w:val="5D8D744A"/>
    <w:rsid w:val="5D8E7241"/>
    <w:rsid w:val="5D915D64"/>
    <w:rsid w:val="5D9D290C"/>
    <w:rsid w:val="5DA24097"/>
    <w:rsid w:val="5DA9205E"/>
    <w:rsid w:val="5DAD6C25"/>
    <w:rsid w:val="5DB43F0C"/>
    <w:rsid w:val="5DBF0B9A"/>
    <w:rsid w:val="5DC44E5A"/>
    <w:rsid w:val="5DEB639C"/>
    <w:rsid w:val="5DED1AED"/>
    <w:rsid w:val="5DF871B7"/>
    <w:rsid w:val="5DFA5570"/>
    <w:rsid w:val="5E0D40E7"/>
    <w:rsid w:val="5E0D4DFB"/>
    <w:rsid w:val="5E193590"/>
    <w:rsid w:val="5E1B20DB"/>
    <w:rsid w:val="5E220BAF"/>
    <w:rsid w:val="5E32609B"/>
    <w:rsid w:val="5E3377A7"/>
    <w:rsid w:val="5E361890"/>
    <w:rsid w:val="5E394BDD"/>
    <w:rsid w:val="5E3E4D1D"/>
    <w:rsid w:val="5E3F31A1"/>
    <w:rsid w:val="5E4044DA"/>
    <w:rsid w:val="5E465694"/>
    <w:rsid w:val="5E5A27B3"/>
    <w:rsid w:val="5E5E4370"/>
    <w:rsid w:val="5E65199C"/>
    <w:rsid w:val="5E7C607A"/>
    <w:rsid w:val="5E8D2C82"/>
    <w:rsid w:val="5E966E9D"/>
    <w:rsid w:val="5EA54C5B"/>
    <w:rsid w:val="5EB24577"/>
    <w:rsid w:val="5EBC0BA8"/>
    <w:rsid w:val="5EBD66F1"/>
    <w:rsid w:val="5ECC491E"/>
    <w:rsid w:val="5ECE204E"/>
    <w:rsid w:val="5ED967E2"/>
    <w:rsid w:val="5EDC2B24"/>
    <w:rsid w:val="5EDD5F38"/>
    <w:rsid w:val="5EE50D03"/>
    <w:rsid w:val="5EE76178"/>
    <w:rsid w:val="5EE93C66"/>
    <w:rsid w:val="5F0059BB"/>
    <w:rsid w:val="5F061A3C"/>
    <w:rsid w:val="5F592E32"/>
    <w:rsid w:val="5F623A33"/>
    <w:rsid w:val="5F7C60AB"/>
    <w:rsid w:val="5F8B354B"/>
    <w:rsid w:val="5F8E0891"/>
    <w:rsid w:val="5FA804FA"/>
    <w:rsid w:val="5FAC4363"/>
    <w:rsid w:val="5FDB79F4"/>
    <w:rsid w:val="5FEC5068"/>
    <w:rsid w:val="5FF02169"/>
    <w:rsid w:val="5FF24890"/>
    <w:rsid w:val="5FF76A33"/>
    <w:rsid w:val="5FFC37E5"/>
    <w:rsid w:val="600733BF"/>
    <w:rsid w:val="60240693"/>
    <w:rsid w:val="60437790"/>
    <w:rsid w:val="60692FF2"/>
    <w:rsid w:val="60707A21"/>
    <w:rsid w:val="60785D27"/>
    <w:rsid w:val="60794692"/>
    <w:rsid w:val="607E67E4"/>
    <w:rsid w:val="609F0A35"/>
    <w:rsid w:val="60AC3CA0"/>
    <w:rsid w:val="60B82070"/>
    <w:rsid w:val="60C8000E"/>
    <w:rsid w:val="60CB1322"/>
    <w:rsid w:val="60CF6404"/>
    <w:rsid w:val="60D22A1D"/>
    <w:rsid w:val="60D64693"/>
    <w:rsid w:val="60D86502"/>
    <w:rsid w:val="60DA1A1A"/>
    <w:rsid w:val="60EA345C"/>
    <w:rsid w:val="61051163"/>
    <w:rsid w:val="610A1AF0"/>
    <w:rsid w:val="610B5217"/>
    <w:rsid w:val="612319F9"/>
    <w:rsid w:val="61231BD9"/>
    <w:rsid w:val="612A3636"/>
    <w:rsid w:val="613A4B14"/>
    <w:rsid w:val="613D6494"/>
    <w:rsid w:val="61405713"/>
    <w:rsid w:val="61453B98"/>
    <w:rsid w:val="614C2D0C"/>
    <w:rsid w:val="614C3980"/>
    <w:rsid w:val="616F2AE7"/>
    <w:rsid w:val="61825962"/>
    <w:rsid w:val="618A508C"/>
    <w:rsid w:val="618C4AEC"/>
    <w:rsid w:val="61B9240A"/>
    <w:rsid w:val="61C01E44"/>
    <w:rsid w:val="61DC6DB4"/>
    <w:rsid w:val="61DF01A5"/>
    <w:rsid w:val="61E76F30"/>
    <w:rsid w:val="620312BC"/>
    <w:rsid w:val="62056856"/>
    <w:rsid w:val="620946AF"/>
    <w:rsid w:val="62182E29"/>
    <w:rsid w:val="62247DBF"/>
    <w:rsid w:val="62290223"/>
    <w:rsid w:val="62307B74"/>
    <w:rsid w:val="62332B93"/>
    <w:rsid w:val="623652A7"/>
    <w:rsid w:val="624A5583"/>
    <w:rsid w:val="624B335C"/>
    <w:rsid w:val="625654B2"/>
    <w:rsid w:val="62572167"/>
    <w:rsid w:val="62662AAA"/>
    <w:rsid w:val="62672BB4"/>
    <w:rsid w:val="626F3BC3"/>
    <w:rsid w:val="62791F66"/>
    <w:rsid w:val="6299063F"/>
    <w:rsid w:val="62A27A6B"/>
    <w:rsid w:val="62A31A18"/>
    <w:rsid w:val="62D82F16"/>
    <w:rsid w:val="62DB3450"/>
    <w:rsid w:val="62DE7D81"/>
    <w:rsid w:val="62E247BC"/>
    <w:rsid w:val="62F10C5B"/>
    <w:rsid w:val="630C3BC6"/>
    <w:rsid w:val="63172E3A"/>
    <w:rsid w:val="631B0CB5"/>
    <w:rsid w:val="631B6A61"/>
    <w:rsid w:val="63335822"/>
    <w:rsid w:val="633D64DF"/>
    <w:rsid w:val="633D6826"/>
    <w:rsid w:val="633E2934"/>
    <w:rsid w:val="634B4C88"/>
    <w:rsid w:val="63522CB5"/>
    <w:rsid w:val="637B4FDB"/>
    <w:rsid w:val="63823029"/>
    <w:rsid w:val="639A7F35"/>
    <w:rsid w:val="639E34E8"/>
    <w:rsid w:val="63A02C65"/>
    <w:rsid w:val="63A95B0E"/>
    <w:rsid w:val="63AA2492"/>
    <w:rsid w:val="63AB4186"/>
    <w:rsid w:val="63B31BF6"/>
    <w:rsid w:val="63B63C12"/>
    <w:rsid w:val="63C74C2D"/>
    <w:rsid w:val="641D7846"/>
    <w:rsid w:val="64326656"/>
    <w:rsid w:val="643E563B"/>
    <w:rsid w:val="6443445A"/>
    <w:rsid w:val="646B32D7"/>
    <w:rsid w:val="647B5755"/>
    <w:rsid w:val="64823693"/>
    <w:rsid w:val="64861ED2"/>
    <w:rsid w:val="64896A7C"/>
    <w:rsid w:val="648B10E7"/>
    <w:rsid w:val="648E0761"/>
    <w:rsid w:val="64951C25"/>
    <w:rsid w:val="649677C2"/>
    <w:rsid w:val="64B164B4"/>
    <w:rsid w:val="64C7102F"/>
    <w:rsid w:val="64D96DBF"/>
    <w:rsid w:val="64DF4A2F"/>
    <w:rsid w:val="64E07058"/>
    <w:rsid w:val="64E16E6A"/>
    <w:rsid w:val="64E558A1"/>
    <w:rsid w:val="64F27B51"/>
    <w:rsid w:val="64FD446C"/>
    <w:rsid w:val="64FD746C"/>
    <w:rsid w:val="65054FFE"/>
    <w:rsid w:val="651201D6"/>
    <w:rsid w:val="652A3CCA"/>
    <w:rsid w:val="653363A1"/>
    <w:rsid w:val="65360D3C"/>
    <w:rsid w:val="65363B2F"/>
    <w:rsid w:val="65363F24"/>
    <w:rsid w:val="653A21A3"/>
    <w:rsid w:val="654F20E6"/>
    <w:rsid w:val="6552644E"/>
    <w:rsid w:val="65706666"/>
    <w:rsid w:val="657079EE"/>
    <w:rsid w:val="65744E0C"/>
    <w:rsid w:val="65800133"/>
    <w:rsid w:val="659605F4"/>
    <w:rsid w:val="65AD5B9A"/>
    <w:rsid w:val="65AE3C74"/>
    <w:rsid w:val="65B249A0"/>
    <w:rsid w:val="65EE367C"/>
    <w:rsid w:val="65FE68FE"/>
    <w:rsid w:val="66076B26"/>
    <w:rsid w:val="660B554B"/>
    <w:rsid w:val="66266032"/>
    <w:rsid w:val="662D1A23"/>
    <w:rsid w:val="662E18E9"/>
    <w:rsid w:val="662E66D0"/>
    <w:rsid w:val="6633772C"/>
    <w:rsid w:val="66494CB0"/>
    <w:rsid w:val="66573DF3"/>
    <w:rsid w:val="66613222"/>
    <w:rsid w:val="666C614C"/>
    <w:rsid w:val="667C1E0A"/>
    <w:rsid w:val="667C1E73"/>
    <w:rsid w:val="66872C16"/>
    <w:rsid w:val="669225BF"/>
    <w:rsid w:val="669A0A51"/>
    <w:rsid w:val="669C53CE"/>
    <w:rsid w:val="66C24A82"/>
    <w:rsid w:val="66CD42CB"/>
    <w:rsid w:val="66D048D4"/>
    <w:rsid w:val="66DF1054"/>
    <w:rsid w:val="66F96AA0"/>
    <w:rsid w:val="6707088D"/>
    <w:rsid w:val="670A233C"/>
    <w:rsid w:val="670E4301"/>
    <w:rsid w:val="67123D66"/>
    <w:rsid w:val="671D4C48"/>
    <w:rsid w:val="67235E63"/>
    <w:rsid w:val="6725710A"/>
    <w:rsid w:val="6733168E"/>
    <w:rsid w:val="673834F9"/>
    <w:rsid w:val="673F60DB"/>
    <w:rsid w:val="674B2DC8"/>
    <w:rsid w:val="674E133E"/>
    <w:rsid w:val="674F3CD8"/>
    <w:rsid w:val="67547CEE"/>
    <w:rsid w:val="6775252C"/>
    <w:rsid w:val="678B49FB"/>
    <w:rsid w:val="67AC5F17"/>
    <w:rsid w:val="67CB2A14"/>
    <w:rsid w:val="67CE0AD5"/>
    <w:rsid w:val="67D13D46"/>
    <w:rsid w:val="67F27057"/>
    <w:rsid w:val="67F45C83"/>
    <w:rsid w:val="67F566E1"/>
    <w:rsid w:val="67F83DCC"/>
    <w:rsid w:val="67FC41D1"/>
    <w:rsid w:val="68063183"/>
    <w:rsid w:val="680712A7"/>
    <w:rsid w:val="681B10EC"/>
    <w:rsid w:val="681C002E"/>
    <w:rsid w:val="681D653A"/>
    <w:rsid w:val="68285FF8"/>
    <w:rsid w:val="6828698E"/>
    <w:rsid w:val="682E1A8D"/>
    <w:rsid w:val="68355D71"/>
    <w:rsid w:val="683A390F"/>
    <w:rsid w:val="684423FA"/>
    <w:rsid w:val="685E3CFC"/>
    <w:rsid w:val="68650A9C"/>
    <w:rsid w:val="68657603"/>
    <w:rsid w:val="686824B4"/>
    <w:rsid w:val="686B6032"/>
    <w:rsid w:val="68737967"/>
    <w:rsid w:val="688E263D"/>
    <w:rsid w:val="68B648B5"/>
    <w:rsid w:val="68BE4A19"/>
    <w:rsid w:val="68C95A16"/>
    <w:rsid w:val="68D64B69"/>
    <w:rsid w:val="68D748D5"/>
    <w:rsid w:val="68F765C8"/>
    <w:rsid w:val="68FC04FC"/>
    <w:rsid w:val="68FE1E22"/>
    <w:rsid w:val="69013751"/>
    <w:rsid w:val="690B5BC5"/>
    <w:rsid w:val="690C4617"/>
    <w:rsid w:val="691D51CD"/>
    <w:rsid w:val="69280D1C"/>
    <w:rsid w:val="6940342A"/>
    <w:rsid w:val="69546C34"/>
    <w:rsid w:val="6963538A"/>
    <w:rsid w:val="69686CCC"/>
    <w:rsid w:val="697D452E"/>
    <w:rsid w:val="69A02812"/>
    <w:rsid w:val="69A4477E"/>
    <w:rsid w:val="69B35419"/>
    <w:rsid w:val="69B411C6"/>
    <w:rsid w:val="69B5760D"/>
    <w:rsid w:val="69C65AC3"/>
    <w:rsid w:val="69D931C8"/>
    <w:rsid w:val="69E95A08"/>
    <w:rsid w:val="69F148BD"/>
    <w:rsid w:val="69F3271D"/>
    <w:rsid w:val="6A0018AE"/>
    <w:rsid w:val="6A146020"/>
    <w:rsid w:val="6A391AFB"/>
    <w:rsid w:val="6A48728F"/>
    <w:rsid w:val="6A7B3EC8"/>
    <w:rsid w:val="6A7F733D"/>
    <w:rsid w:val="6AA03680"/>
    <w:rsid w:val="6AAB2D7E"/>
    <w:rsid w:val="6AB9763E"/>
    <w:rsid w:val="6ABF6E70"/>
    <w:rsid w:val="6AC86D8A"/>
    <w:rsid w:val="6ACD114F"/>
    <w:rsid w:val="6ADA41B9"/>
    <w:rsid w:val="6AF236A4"/>
    <w:rsid w:val="6AF52944"/>
    <w:rsid w:val="6AFA078B"/>
    <w:rsid w:val="6B106FC5"/>
    <w:rsid w:val="6B1719B0"/>
    <w:rsid w:val="6B217585"/>
    <w:rsid w:val="6B514634"/>
    <w:rsid w:val="6B7B2C9E"/>
    <w:rsid w:val="6B7F02FB"/>
    <w:rsid w:val="6B8143ED"/>
    <w:rsid w:val="6B8E6503"/>
    <w:rsid w:val="6B975345"/>
    <w:rsid w:val="6BAA07F3"/>
    <w:rsid w:val="6BC34508"/>
    <w:rsid w:val="6BE7232A"/>
    <w:rsid w:val="6BF453B5"/>
    <w:rsid w:val="6C0C3886"/>
    <w:rsid w:val="6C1B4ECE"/>
    <w:rsid w:val="6C1F4DE5"/>
    <w:rsid w:val="6C2076DB"/>
    <w:rsid w:val="6C2B474E"/>
    <w:rsid w:val="6C2D2DE0"/>
    <w:rsid w:val="6C38139F"/>
    <w:rsid w:val="6C48798F"/>
    <w:rsid w:val="6C526F60"/>
    <w:rsid w:val="6C5E1656"/>
    <w:rsid w:val="6C70117A"/>
    <w:rsid w:val="6C732042"/>
    <w:rsid w:val="6C7B4A0F"/>
    <w:rsid w:val="6C8820DF"/>
    <w:rsid w:val="6C8B7763"/>
    <w:rsid w:val="6C9720F0"/>
    <w:rsid w:val="6CB02EAF"/>
    <w:rsid w:val="6CC05F89"/>
    <w:rsid w:val="6CC22D16"/>
    <w:rsid w:val="6CD4003E"/>
    <w:rsid w:val="6CDB296D"/>
    <w:rsid w:val="6CE90904"/>
    <w:rsid w:val="6CF84309"/>
    <w:rsid w:val="6D020CF8"/>
    <w:rsid w:val="6D155201"/>
    <w:rsid w:val="6D19506E"/>
    <w:rsid w:val="6D241511"/>
    <w:rsid w:val="6D2F4866"/>
    <w:rsid w:val="6D383D1C"/>
    <w:rsid w:val="6D4E07A0"/>
    <w:rsid w:val="6D4F72F6"/>
    <w:rsid w:val="6D5910F7"/>
    <w:rsid w:val="6D6129E4"/>
    <w:rsid w:val="6D8012F1"/>
    <w:rsid w:val="6D8C05AF"/>
    <w:rsid w:val="6D9042AD"/>
    <w:rsid w:val="6D9143ED"/>
    <w:rsid w:val="6D950996"/>
    <w:rsid w:val="6DAE26D5"/>
    <w:rsid w:val="6DD665C5"/>
    <w:rsid w:val="6DE922E8"/>
    <w:rsid w:val="6DEC0431"/>
    <w:rsid w:val="6DEE390E"/>
    <w:rsid w:val="6DF31B5A"/>
    <w:rsid w:val="6E133419"/>
    <w:rsid w:val="6E26637E"/>
    <w:rsid w:val="6E405B1F"/>
    <w:rsid w:val="6E6C3352"/>
    <w:rsid w:val="6E777D22"/>
    <w:rsid w:val="6E795CCF"/>
    <w:rsid w:val="6E83548A"/>
    <w:rsid w:val="6EC65698"/>
    <w:rsid w:val="6EE97ACB"/>
    <w:rsid w:val="6EF51C5F"/>
    <w:rsid w:val="6EFD2FB3"/>
    <w:rsid w:val="6F02457A"/>
    <w:rsid w:val="6F0874B0"/>
    <w:rsid w:val="6F1E3A38"/>
    <w:rsid w:val="6F3164A3"/>
    <w:rsid w:val="6F343469"/>
    <w:rsid w:val="6F4B3BD4"/>
    <w:rsid w:val="6F505809"/>
    <w:rsid w:val="6F574902"/>
    <w:rsid w:val="6F6C4D2C"/>
    <w:rsid w:val="6F7678A0"/>
    <w:rsid w:val="6F7B6920"/>
    <w:rsid w:val="6F8642F5"/>
    <w:rsid w:val="6F8B7C90"/>
    <w:rsid w:val="6FA302FA"/>
    <w:rsid w:val="6FCA0A29"/>
    <w:rsid w:val="6FE026C8"/>
    <w:rsid w:val="700C2451"/>
    <w:rsid w:val="70136C2D"/>
    <w:rsid w:val="702C368E"/>
    <w:rsid w:val="70307C4A"/>
    <w:rsid w:val="70332134"/>
    <w:rsid w:val="703963A4"/>
    <w:rsid w:val="70455728"/>
    <w:rsid w:val="705B3082"/>
    <w:rsid w:val="7066436E"/>
    <w:rsid w:val="707A37E5"/>
    <w:rsid w:val="708A6F0C"/>
    <w:rsid w:val="70982592"/>
    <w:rsid w:val="70A74702"/>
    <w:rsid w:val="70A74BC6"/>
    <w:rsid w:val="70AF1E33"/>
    <w:rsid w:val="70B5305C"/>
    <w:rsid w:val="70C13D2F"/>
    <w:rsid w:val="70EF4004"/>
    <w:rsid w:val="71090159"/>
    <w:rsid w:val="71145C6C"/>
    <w:rsid w:val="71191A6E"/>
    <w:rsid w:val="71303DD0"/>
    <w:rsid w:val="71313EF9"/>
    <w:rsid w:val="7132378D"/>
    <w:rsid w:val="714E3505"/>
    <w:rsid w:val="7155268D"/>
    <w:rsid w:val="715E0A8A"/>
    <w:rsid w:val="71897D8B"/>
    <w:rsid w:val="718F7A90"/>
    <w:rsid w:val="71A2281D"/>
    <w:rsid w:val="71BA15B9"/>
    <w:rsid w:val="71CB6068"/>
    <w:rsid w:val="71E97BE7"/>
    <w:rsid w:val="71F33A2C"/>
    <w:rsid w:val="720B67AB"/>
    <w:rsid w:val="721E1CF6"/>
    <w:rsid w:val="721F3F77"/>
    <w:rsid w:val="722327E6"/>
    <w:rsid w:val="722D5EC1"/>
    <w:rsid w:val="723550E3"/>
    <w:rsid w:val="72434E3B"/>
    <w:rsid w:val="724B726C"/>
    <w:rsid w:val="725408AF"/>
    <w:rsid w:val="727369B3"/>
    <w:rsid w:val="727927FB"/>
    <w:rsid w:val="72794CDD"/>
    <w:rsid w:val="727979E1"/>
    <w:rsid w:val="728570E6"/>
    <w:rsid w:val="72863440"/>
    <w:rsid w:val="728758D5"/>
    <w:rsid w:val="72885AAB"/>
    <w:rsid w:val="728958CB"/>
    <w:rsid w:val="72B418A6"/>
    <w:rsid w:val="72C10A69"/>
    <w:rsid w:val="72EE7FA8"/>
    <w:rsid w:val="72FC529C"/>
    <w:rsid w:val="72FF28B1"/>
    <w:rsid w:val="73014FB6"/>
    <w:rsid w:val="73047214"/>
    <w:rsid w:val="73056A14"/>
    <w:rsid w:val="731C6E4F"/>
    <w:rsid w:val="732862FD"/>
    <w:rsid w:val="73292630"/>
    <w:rsid w:val="733D36B0"/>
    <w:rsid w:val="73415AEC"/>
    <w:rsid w:val="734314AB"/>
    <w:rsid w:val="73443817"/>
    <w:rsid w:val="73450708"/>
    <w:rsid w:val="736013F7"/>
    <w:rsid w:val="736D3891"/>
    <w:rsid w:val="73711760"/>
    <w:rsid w:val="73854DCF"/>
    <w:rsid w:val="73884FD7"/>
    <w:rsid w:val="738A54AA"/>
    <w:rsid w:val="73A421FF"/>
    <w:rsid w:val="73AC758A"/>
    <w:rsid w:val="73BA52CD"/>
    <w:rsid w:val="73BE2716"/>
    <w:rsid w:val="73C561EE"/>
    <w:rsid w:val="73C908A2"/>
    <w:rsid w:val="73D72886"/>
    <w:rsid w:val="73D74A94"/>
    <w:rsid w:val="73F95243"/>
    <w:rsid w:val="74064A33"/>
    <w:rsid w:val="741D2A30"/>
    <w:rsid w:val="742279F2"/>
    <w:rsid w:val="74293DFD"/>
    <w:rsid w:val="742958CF"/>
    <w:rsid w:val="7443040B"/>
    <w:rsid w:val="745602D6"/>
    <w:rsid w:val="745A78D7"/>
    <w:rsid w:val="745D327D"/>
    <w:rsid w:val="746040D9"/>
    <w:rsid w:val="74604B19"/>
    <w:rsid w:val="747E6004"/>
    <w:rsid w:val="749020FE"/>
    <w:rsid w:val="749F04B4"/>
    <w:rsid w:val="74A30F29"/>
    <w:rsid w:val="74CE4179"/>
    <w:rsid w:val="74CF4FF8"/>
    <w:rsid w:val="74D101ED"/>
    <w:rsid w:val="74DD4580"/>
    <w:rsid w:val="74E4072A"/>
    <w:rsid w:val="74E833E0"/>
    <w:rsid w:val="74F33BDF"/>
    <w:rsid w:val="74FE13AB"/>
    <w:rsid w:val="74FF16DF"/>
    <w:rsid w:val="750D625E"/>
    <w:rsid w:val="75355070"/>
    <w:rsid w:val="75356342"/>
    <w:rsid w:val="753727F9"/>
    <w:rsid w:val="753D7816"/>
    <w:rsid w:val="75661A8A"/>
    <w:rsid w:val="757A233D"/>
    <w:rsid w:val="7599346F"/>
    <w:rsid w:val="75A50692"/>
    <w:rsid w:val="75A5750E"/>
    <w:rsid w:val="75C11537"/>
    <w:rsid w:val="75CC1510"/>
    <w:rsid w:val="75CE2C74"/>
    <w:rsid w:val="75E670CE"/>
    <w:rsid w:val="75F24151"/>
    <w:rsid w:val="75F62ADF"/>
    <w:rsid w:val="75FE45EA"/>
    <w:rsid w:val="75FF20E8"/>
    <w:rsid w:val="760143F4"/>
    <w:rsid w:val="760651AD"/>
    <w:rsid w:val="76146D11"/>
    <w:rsid w:val="76196252"/>
    <w:rsid w:val="76206CC3"/>
    <w:rsid w:val="76246A0F"/>
    <w:rsid w:val="76282D80"/>
    <w:rsid w:val="763A7185"/>
    <w:rsid w:val="76404E29"/>
    <w:rsid w:val="765606B9"/>
    <w:rsid w:val="765E1F52"/>
    <w:rsid w:val="768F7D5B"/>
    <w:rsid w:val="76A6600C"/>
    <w:rsid w:val="76B94E9B"/>
    <w:rsid w:val="76C20D97"/>
    <w:rsid w:val="76CB66D8"/>
    <w:rsid w:val="76CC293A"/>
    <w:rsid w:val="76CE4EB1"/>
    <w:rsid w:val="76E73998"/>
    <w:rsid w:val="77035B69"/>
    <w:rsid w:val="77086C2E"/>
    <w:rsid w:val="77104E59"/>
    <w:rsid w:val="77130569"/>
    <w:rsid w:val="7729168C"/>
    <w:rsid w:val="772A1E22"/>
    <w:rsid w:val="77376163"/>
    <w:rsid w:val="77380CF1"/>
    <w:rsid w:val="774E05FE"/>
    <w:rsid w:val="775653C9"/>
    <w:rsid w:val="775928C7"/>
    <w:rsid w:val="77714853"/>
    <w:rsid w:val="778B61D3"/>
    <w:rsid w:val="77943361"/>
    <w:rsid w:val="779C5CC5"/>
    <w:rsid w:val="779D51AB"/>
    <w:rsid w:val="77AE1045"/>
    <w:rsid w:val="77BD2745"/>
    <w:rsid w:val="77BE4974"/>
    <w:rsid w:val="77DC7907"/>
    <w:rsid w:val="77F54354"/>
    <w:rsid w:val="781411E1"/>
    <w:rsid w:val="781B4ABD"/>
    <w:rsid w:val="78207552"/>
    <w:rsid w:val="78340796"/>
    <w:rsid w:val="784A184E"/>
    <w:rsid w:val="784E0100"/>
    <w:rsid w:val="78510183"/>
    <w:rsid w:val="78764469"/>
    <w:rsid w:val="788E0CD3"/>
    <w:rsid w:val="78917E48"/>
    <w:rsid w:val="78A07BDA"/>
    <w:rsid w:val="78D3618E"/>
    <w:rsid w:val="78E65727"/>
    <w:rsid w:val="78F12B54"/>
    <w:rsid w:val="79011011"/>
    <w:rsid w:val="79086879"/>
    <w:rsid w:val="790E49A3"/>
    <w:rsid w:val="79217270"/>
    <w:rsid w:val="79297BCF"/>
    <w:rsid w:val="79434F5D"/>
    <w:rsid w:val="79741C91"/>
    <w:rsid w:val="79877E8A"/>
    <w:rsid w:val="79956269"/>
    <w:rsid w:val="79A93C2F"/>
    <w:rsid w:val="79C056FB"/>
    <w:rsid w:val="79C9420E"/>
    <w:rsid w:val="79CB512B"/>
    <w:rsid w:val="79CC06EE"/>
    <w:rsid w:val="79D65C59"/>
    <w:rsid w:val="79EA7876"/>
    <w:rsid w:val="79EF27D1"/>
    <w:rsid w:val="7A05312B"/>
    <w:rsid w:val="7A093A88"/>
    <w:rsid w:val="7A1A3806"/>
    <w:rsid w:val="7A1B4411"/>
    <w:rsid w:val="7A225E58"/>
    <w:rsid w:val="7A235EE9"/>
    <w:rsid w:val="7A3A6C22"/>
    <w:rsid w:val="7A525EE8"/>
    <w:rsid w:val="7A717601"/>
    <w:rsid w:val="7A8825AF"/>
    <w:rsid w:val="7A88743C"/>
    <w:rsid w:val="7A992381"/>
    <w:rsid w:val="7A9A26AD"/>
    <w:rsid w:val="7AA8721A"/>
    <w:rsid w:val="7AAE73A8"/>
    <w:rsid w:val="7AB2549D"/>
    <w:rsid w:val="7AC21C97"/>
    <w:rsid w:val="7AE875C8"/>
    <w:rsid w:val="7AF037B5"/>
    <w:rsid w:val="7AFA5112"/>
    <w:rsid w:val="7B117081"/>
    <w:rsid w:val="7B2321A9"/>
    <w:rsid w:val="7B2C116A"/>
    <w:rsid w:val="7B4469EF"/>
    <w:rsid w:val="7B4B7F3B"/>
    <w:rsid w:val="7B4E575A"/>
    <w:rsid w:val="7B4F4CE0"/>
    <w:rsid w:val="7B591977"/>
    <w:rsid w:val="7B60302E"/>
    <w:rsid w:val="7B651641"/>
    <w:rsid w:val="7B70106A"/>
    <w:rsid w:val="7B7F0A81"/>
    <w:rsid w:val="7B815E08"/>
    <w:rsid w:val="7B86264F"/>
    <w:rsid w:val="7B900E02"/>
    <w:rsid w:val="7B906DAE"/>
    <w:rsid w:val="7B947FF6"/>
    <w:rsid w:val="7BA115E9"/>
    <w:rsid w:val="7BB12941"/>
    <w:rsid w:val="7BC33D2D"/>
    <w:rsid w:val="7BC72F2B"/>
    <w:rsid w:val="7BCA33BF"/>
    <w:rsid w:val="7BD25DDD"/>
    <w:rsid w:val="7C13730C"/>
    <w:rsid w:val="7C192590"/>
    <w:rsid w:val="7C1A0991"/>
    <w:rsid w:val="7C2B2351"/>
    <w:rsid w:val="7C3871FF"/>
    <w:rsid w:val="7C43410E"/>
    <w:rsid w:val="7C4A6FAB"/>
    <w:rsid w:val="7C4B3532"/>
    <w:rsid w:val="7C55688D"/>
    <w:rsid w:val="7C58386D"/>
    <w:rsid w:val="7C724656"/>
    <w:rsid w:val="7C7C60BC"/>
    <w:rsid w:val="7C8063E8"/>
    <w:rsid w:val="7C9C6E4E"/>
    <w:rsid w:val="7C9E14F8"/>
    <w:rsid w:val="7CA531AA"/>
    <w:rsid w:val="7CB0705F"/>
    <w:rsid w:val="7CB323B8"/>
    <w:rsid w:val="7CC5510F"/>
    <w:rsid w:val="7CD62165"/>
    <w:rsid w:val="7CDD4EB0"/>
    <w:rsid w:val="7D020643"/>
    <w:rsid w:val="7D157CF8"/>
    <w:rsid w:val="7D167C06"/>
    <w:rsid w:val="7D1C41DF"/>
    <w:rsid w:val="7D255107"/>
    <w:rsid w:val="7D2D3DD1"/>
    <w:rsid w:val="7D3B7822"/>
    <w:rsid w:val="7D402580"/>
    <w:rsid w:val="7D5C2979"/>
    <w:rsid w:val="7D625744"/>
    <w:rsid w:val="7D6D0650"/>
    <w:rsid w:val="7D7B284E"/>
    <w:rsid w:val="7DAE4DA4"/>
    <w:rsid w:val="7DB93A9E"/>
    <w:rsid w:val="7DE64AF3"/>
    <w:rsid w:val="7DF53FAA"/>
    <w:rsid w:val="7DFB4F6D"/>
    <w:rsid w:val="7E2E106A"/>
    <w:rsid w:val="7E3573DE"/>
    <w:rsid w:val="7E623A5A"/>
    <w:rsid w:val="7EBD0136"/>
    <w:rsid w:val="7EC5162B"/>
    <w:rsid w:val="7EEB7C70"/>
    <w:rsid w:val="7EF45A87"/>
    <w:rsid w:val="7EFE3F31"/>
    <w:rsid w:val="7F0B31A8"/>
    <w:rsid w:val="7F1C1091"/>
    <w:rsid w:val="7F2D2F13"/>
    <w:rsid w:val="7F3E7CDF"/>
    <w:rsid w:val="7F490BFF"/>
    <w:rsid w:val="7F4A1444"/>
    <w:rsid w:val="7F6653DF"/>
    <w:rsid w:val="7F90326D"/>
    <w:rsid w:val="7F9D1317"/>
    <w:rsid w:val="7FA3602C"/>
    <w:rsid w:val="7FA448EC"/>
    <w:rsid w:val="7FA72F2E"/>
    <w:rsid w:val="7FB968F6"/>
    <w:rsid w:val="7FB96BA6"/>
    <w:rsid w:val="7FBC2F93"/>
    <w:rsid w:val="7FBE34D6"/>
    <w:rsid w:val="7FBE6C03"/>
    <w:rsid w:val="7FDC2084"/>
    <w:rsid w:val="7FE40193"/>
    <w:rsid w:val="7FEC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30"/>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imes New Roman" w:eastAsia="宋体" w:cs="Times New Roman"/>
      <w:b/>
      <w:kern w:val="0"/>
      <w:sz w:val="24"/>
      <w:szCs w:val="20"/>
      <w:u w:val="single"/>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6">
    <w:name w:val="toa heading"/>
    <w:basedOn w:val="1"/>
    <w:next w:val="1"/>
    <w:qFormat/>
    <w:uiPriority w:val="0"/>
    <w:pPr>
      <w:widowControl/>
      <w:spacing w:before="120" w:after="0" w:line="240" w:lineRule="auto"/>
      <w:ind w:left="0" w:firstLine="3584"/>
    </w:pPr>
  </w:style>
  <w:style w:type="paragraph" w:styleId="7">
    <w:name w:val="Body Text"/>
    <w:basedOn w:val="1"/>
    <w:qFormat/>
    <w:uiPriority w:val="0"/>
    <w:pPr>
      <w:tabs>
        <w:tab w:val="left" w:pos="567"/>
      </w:tabs>
      <w:spacing w:before="120" w:line="22" w:lineRule="atLeast"/>
    </w:pPr>
    <w:rPr>
      <w:rFonts w:ascii="宋体" w:hAnsi="宋体" w:eastAsia="宋体" w:cs="Times New Roman"/>
      <w:sz w:val="24"/>
    </w:rPr>
  </w:style>
  <w:style w:type="paragraph" w:styleId="8">
    <w:name w:val="Body Text Indent"/>
    <w:basedOn w:val="1"/>
    <w:next w:val="9"/>
    <w:qFormat/>
    <w:uiPriority w:val="0"/>
    <w:pPr>
      <w:spacing w:line="360" w:lineRule="auto"/>
      <w:ind w:firstLine="570"/>
    </w:pPr>
    <w:rPr>
      <w:rFonts w:ascii="Times New Roman" w:hAnsi="Times New Roman" w:eastAsia="宋体" w:cs="Times New Roman"/>
      <w:sz w:val="24"/>
    </w:rPr>
  </w:style>
  <w:style w:type="paragraph" w:styleId="9">
    <w:name w:val="Body Text First Indent 2"/>
    <w:basedOn w:val="8"/>
    <w:next w:val="5"/>
    <w:qFormat/>
    <w:uiPriority w:val="0"/>
    <w:pPr>
      <w:ind w:firstLine="420" w:firstLineChars="200"/>
    </w:pPr>
    <w:rPr>
      <w:rFonts w:ascii="Times New Roman" w:hAnsi="Times New Roman" w:eastAsia="宋体" w:cs="Times New Roman"/>
      <w:szCs w:val="24"/>
    </w:rPr>
  </w:style>
  <w:style w:type="paragraph" w:styleId="10">
    <w:name w:val="toc 3"/>
    <w:basedOn w:val="1"/>
    <w:next w:val="1"/>
    <w:qFormat/>
    <w:uiPriority w:val="0"/>
    <w:pPr>
      <w:ind w:left="840" w:leftChars="400"/>
    </w:pPr>
  </w:style>
  <w:style w:type="paragraph" w:styleId="11">
    <w:name w:val="Plain Text"/>
    <w:basedOn w:val="1"/>
    <w:next w:val="12"/>
    <w:qFormat/>
    <w:uiPriority w:val="0"/>
    <w:rPr>
      <w:rFonts w:ascii="宋体" w:hAnsi="Courier New" w:eastAsia="宋体" w:cs="Times New Roman"/>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pPr>
      <w:ind w:left="100" w:leftChars="2500"/>
    </w:pPr>
    <w:rPr>
      <w:rFonts w:ascii="仿宋_GB2312" w:hAnsi="宋体" w:eastAsia="仿宋_GB2312"/>
      <w:color w:val="000000"/>
      <w:sz w:val="24"/>
    </w:rPr>
  </w:style>
  <w:style w:type="paragraph" w:styleId="14">
    <w:name w:val="footer"/>
    <w:basedOn w:val="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qFormat/>
    <w:uiPriority w:val="0"/>
    <w:rPr>
      <w:rFonts w:ascii="Times New Roman" w:hAnsi="Times New Roman" w:eastAsia="宋体" w:cs="Times New Roman"/>
    </w:rPr>
  </w:style>
  <w:style w:type="paragraph" w:styleId="17">
    <w:name w:val="footnote text"/>
    <w:basedOn w:val="1"/>
    <w:next w:val="7"/>
    <w:qFormat/>
    <w:uiPriority w:val="0"/>
    <w:pPr>
      <w:snapToGrid w:val="0"/>
      <w:jc w:val="left"/>
    </w:pPr>
    <w:rPr>
      <w:rFonts w:ascii="Times New Roman" w:hAnsi="Times New Roman" w:eastAsia="宋体" w:cs="Times New Roman"/>
      <w:sz w:val="18"/>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Normal (Web)"/>
    <w:basedOn w:val="1"/>
    <w:qFormat/>
    <w:uiPriority w:val="0"/>
    <w:pPr>
      <w:spacing w:beforeAutospacing="1" w:afterAutospacing="1"/>
      <w:jc w:val="left"/>
    </w:pPr>
    <w:rPr>
      <w:rFonts w:ascii="Calibri" w:hAnsi="Calibri" w:eastAsia="宋体"/>
      <w:kern w:val="0"/>
      <w:sz w:val="24"/>
    </w:rPr>
  </w:style>
  <w:style w:type="paragraph" w:styleId="20">
    <w:name w:val="Body Text First Indent"/>
    <w:basedOn w:val="7"/>
    <w:qFormat/>
    <w:uiPriority w:val="99"/>
    <w:pPr>
      <w:spacing w:after="120"/>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rPr>
      <w:rFonts w:ascii="Times New Roman" w:hAnsi="Times New Roman" w:eastAsia="宋体" w:cs="Times New Roman"/>
    </w:rPr>
  </w:style>
  <w:style w:type="character" w:styleId="26">
    <w:name w:val="Hyperlink"/>
    <w:basedOn w:val="23"/>
    <w:qFormat/>
    <w:uiPriority w:val="0"/>
    <w:rPr>
      <w:color w:val="0000FF"/>
      <w:u w:val="single"/>
    </w:rPr>
  </w:style>
  <w:style w:type="paragraph" w:customStyle="1" w:styleId="27">
    <w:name w:val="_Style 1"/>
    <w:basedOn w:val="1"/>
    <w:qFormat/>
    <w:uiPriority w:val="34"/>
    <w:pPr>
      <w:ind w:firstLine="420" w:firstLineChars="200"/>
    </w:pPr>
  </w:style>
  <w:style w:type="paragraph" w:customStyle="1" w:styleId="28">
    <w:name w:val="BodyText"/>
    <w:basedOn w:val="1"/>
    <w:qFormat/>
    <w:uiPriority w:val="0"/>
    <w:pPr>
      <w:spacing w:after="120"/>
    </w:pPr>
  </w:style>
  <w:style w:type="paragraph" w:customStyle="1" w:styleId="2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0">
    <w:name w:val="标题 1 Char"/>
    <w:link w:val="2"/>
    <w:qFormat/>
    <w:uiPriority w:val="0"/>
    <w:rPr>
      <w:rFonts w:ascii="宋体"/>
      <w:b/>
      <w:kern w:val="44"/>
      <w:sz w:val="32"/>
      <w:szCs w:val="20"/>
    </w:rPr>
  </w:style>
  <w:style w:type="paragraph" w:styleId="31">
    <w:name w:val="No Spacing"/>
    <w:link w:val="47"/>
    <w:qFormat/>
    <w:uiPriority w:val="1"/>
    <w:pPr>
      <w:widowControl w:val="0"/>
      <w:jc w:val="both"/>
    </w:pPr>
    <w:rPr>
      <w:rFonts w:ascii="Calibri" w:hAnsi="Calibri" w:eastAsia="宋体" w:cs="Times New Roman"/>
      <w:kern w:val="2"/>
      <w:sz w:val="21"/>
      <w:szCs w:val="24"/>
      <w:lang w:val="en-US" w:eastAsia="zh-CN" w:bidi="ar-SA"/>
    </w:rPr>
  </w:style>
  <w:style w:type="character" w:customStyle="1" w:styleId="32">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33">
    <w:name w:val="图例"/>
    <w:basedOn w:val="1"/>
    <w:qFormat/>
    <w:uiPriority w:val="0"/>
    <w:pPr>
      <w:spacing w:before="120" w:beforeLines="0" w:after="120" w:afterLines="0" w:line="360" w:lineRule="auto"/>
      <w:jc w:val="center"/>
    </w:pPr>
    <w:rPr>
      <w:rFonts w:eastAsia="仿宋_GB2312"/>
      <w:b/>
      <w:sz w:val="24"/>
    </w:rPr>
  </w:style>
  <w:style w:type="paragraph" w:customStyle="1" w:styleId="34">
    <w:name w:val="列出段落1"/>
    <w:basedOn w:val="1"/>
    <w:qFormat/>
    <w:uiPriority w:val="0"/>
    <w:pPr>
      <w:ind w:firstLine="420" w:firstLineChars="200"/>
    </w:pPr>
    <w:rPr>
      <w:rFonts w:ascii="Calibri" w:hAnsi="Calibri" w:eastAsia="宋体" w:cs="Times New Roman"/>
    </w:rPr>
  </w:style>
  <w:style w:type="paragraph" w:styleId="35">
    <w:name w:val="List Paragraph"/>
    <w:basedOn w:val="1"/>
    <w:qFormat/>
    <w:uiPriority w:val="34"/>
    <w:pPr>
      <w:ind w:firstLine="420" w:firstLineChars="200"/>
    </w:pPr>
  </w:style>
  <w:style w:type="paragraph" w:customStyle="1" w:styleId="36">
    <w:name w:val="正文-manu"/>
    <w:basedOn w:val="1"/>
    <w:qFormat/>
    <w:uiPriority w:val="0"/>
    <w:pPr>
      <w:spacing w:line="300" w:lineRule="auto"/>
    </w:pPr>
    <w:rPr>
      <w:b/>
      <w:snapToGrid w:val="0"/>
      <w:kern w:val="0"/>
      <w:sz w:val="24"/>
      <w:szCs w:val="20"/>
    </w:rPr>
  </w:style>
  <w:style w:type="character" w:customStyle="1" w:styleId="37">
    <w:name w:val="font01"/>
    <w:basedOn w:val="23"/>
    <w:qFormat/>
    <w:uiPriority w:val="0"/>
    <w:rPr>
      <w:rFonts w:hint="default" w:ascii="Arial" w:hAnsi="Arial" w:cs="Arial"/>
      <w:color w:val="000000"/>
      <w:sz w:val="22"/>
      <w:szCs w:val="22"/>
      <w:u w:val="none"/>
    </w:rPr>
  </w:style>
  <w:style w:type="character" w:customStyle="1" w:styleId="38">
    <w:name w:val="font41"/>
    <w:basedOn w:val="23"/>
    <w:qFormat/>
    <w:uiPriority w:val="0"/>
    <w:rPr>
      <w:rFonts w:hint="eastAsia" w:ascii="宋体" w:hAnsi="宋体" w:eastAsia="宋体" w:cs="宋体"/>
      <w:color w:val="000000"/>
      <w:sz w:val="22"/>
      <w:szCs w:val="22"/>
      <w:u w:val="none"/>
    </w:rPr>
  </w:style>
  <w:style w:type="character" w:customStyle="1" w:styleId="39">
    <w:name w:val="font51"/>
    <w:basedOn w:val="23"/>
    <w:qFormat/>
    <w:uiPriority w:val="0"/>
    <w:rPr>
      <w:rFonts w:hint="eastAsia" w:ascii="宋体" w:hAnsi="宋体" w:eastAsia="宋体" w:cs="宋体"/>
      <w:color w:val="000000"/>
      <w:sz w:val="22"/>
      <w:szCs w:val="22"/>
      <w:u w:val="none"/>
    </w:rPr>
  </w:style>
  <w:style w:type="character" w:customStyle="1" w:styleId="40">
    <w:name w:val="font31"/>
    <w:basedOn w:val="23"/>
    <w:qFormat/>
    <w:uiPriority w:val="0"/>
    <w:rPr>
      <w:rFonts w:hint="default" w:ascii="Arial" w:hAnsi="Arial" w:cs="Arial"/>
      <w:b/>
      <w:color w:val="000000"/>
      <w:sz w:val="22"/>
      <w:szCs w:val="22"/>
      <w:u w:val="none"/>
    </w:rPr>
  </w:style>
  <w:style w:type="character" w:customStyle="1" w:styleId="41">
    <w:name w:val="font91"/>
    <w:basedOn w:val="23"/>
    <w:qFormat/>
    <w:uiPriority w:val="0"/>
    <w:rPr>
      <w:rFonts w:hint="default" w:ascii="Arial" w:hAnsi="Arial" w:cs="Arial"/>
      <w:color w:val="000000"/>
      <w:sz w:val="22"/>
      <w:szCs w:val="22"/>
      <w:u w:val="none"/>
    </w:rPr>
  </w:style>
  <w:style w:type="character" w:customStyle="1" w:styleId="42">
    <w:name w:val="font81"/>
    <w:basedOn w:val="23"/>
    <w:qFormat/>
    <w:uiPriority w:val="0"/>
    <w:rPr>
      <w:rFonts w:hint="eastAsia" w:ascii="宋体" w:hAnsi="宋体" w:eastAsia="宋体" w:cs="宋体"/>
      <w:color w:val="000000"/>
      <w:sz w:val="22"/>
      <w:szCs w:val="22"/>
      <w:u w:val="none"/>
    </w:rPr>
  </w:style>
  <w:style w:type="character" w:customStyle="1" w:styleId="43">
    <w:name w:val="font21"/>
    <w:basedOn w:val="23"/>
    <w:qFormat/>
    <w:uiPriority w:val="0"/>
    <w:rPr>
      <w:rFonts w:ascii="微软雅黑" w:hAnsi="微软雅黑" w:eastAsia="微软雅黑" w:cs="微软雅黑"/>
      <w:b/>
      <w:color w:val="000000"/>
      <w:sz w:val="24"/>
      <w:szCs w:val="24"/>
      <w:u w:val="none"/>
    </w:rPr>
  </w:style>
  <w:style w:type="character" w:customStyle="1" w:styleId="44">
    <w:name w:val="font61"/>
    <w:basedOn w:val="23"/>
    <w:qFormat/>
    <w:uiPriority w:val="0"/>
    <w:rPr>
      <w:rFonts w:hint="default" w:ascii="Times New Roman" w:hAnsi="Times New Roman" w:cs="Times New Roman"/>
      <w:b/>
      <w:color w:val="000000"/>
      <w:sz w:val="24"/>
      <w:szCs w:val="24"/>
      <w:u w:val="none"/>
    </w:rPr>
  </w:style>
  <w:style w:type="character" w:customStyle="1" w:styleId="45">
    <w:name w:val="font71"/>
    <w:basedOn w:val="23"/>
    <w:qFormat/>
    <w:uiPriority w:val="0"/>
    <w:rPr>
      <w:rFonts w:hint="eastAsia" w:ascii="微软雅黑" w:hAnsi="微软雅黑" w:eastAsia="微软雅黑" w:cs="微软雅黑"/>
      <w:color w:val="000000"/>
      <w:sz w:val="24"/>
      <w:szCs w:val="24"/>
      <w:u w:val="none"/>
    </w:rPr>
  </w:style>
  <w:style w:type="character" w:customStyle="1" w:styleId="46">
    <w:name w:val="font101"/>
    <w:basedOn w:val="23"/>
    <w:qFormat/>
    <w:uiPriority w:val="0"/>
    <w:rPr>
      <w:rFonts w:hint="default" w:ascii="Times New Roman" w:hAnsi="Times New Roman" w:cs="Times New Roman"/>
      <w:color w:val="000000"/>
      <w:sz w:val="24"/>
      <w:szCs w:val="24"/>
      <w:u w:val="none"/>
    </w:rPr>
  </w:style>
  <w:style w:type="character" w:customStyle="1" w:styleId="47">
    <w:name w:val="No Spacing Char"/>
    <w:link w:val="31"/>
    <w:qFormat/>
    <w:uiPriority w:val="1"/>
    <w:rPr>
      <w:rFonts w:ascii="Calibri" w:hAnsi="Calibri" w:eastAsia="宋体" w:cs="Times New Roman"/>
      <w:kern w:val="2"/>
      <w:sz w:val="21"/>
      <w:szCs w:val="24"/>
      <w:lang w:val="en-US" w:eastAsia="zh-CN" w:bidi="ar-SA"/>
    </w:rPr>
  </w:style>
  <w:style w:type="paragraph" w:customStyle="1" w:styleId="4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9">
    <w:name w:val="索引 11"/>
    <w:basedOn w:val="1"/>
    <w:next w:val="1"/>
    <w:qFormat/>
    <w:uiPriority w:val="0"/>
    <w:pPr>
      <w:spacing w:line="360" w:lineRule="auto"/>
    </w:pPr>
    <w:rPr>
      <w:rFonts w:ascii="仿宋_GB2312" w:eastAsia="仿宋_GB2312"/>
      <w:sz w:val="24"/>
      <w:szCs w:val="20"/>
    </w:rPr>
  </w:style>
  <w:style w:type="paragraph" w:customStyle="1" w:styleId="50">
    <w:name w:val="纯文本1"/>
    <w:basedOn w:val="1"/>
    <w:qFormat/>
    <w:uiPriority w:val="0"/>
    <w:rPr>
      <w:rFonts w:ascii="宋体" w:hAnsi="Courier New"/>
      <w:kern w:val="0"/>
      <w:sz w:val="20"/>
      <w:szCs w:val="20"/>
    </w:rPr>
  </w:style>
  <w:style w:type="character" w:customStyle="1" w:styleId="51">
    <w:name w:val="font11"/>
    <w:basedOn w:val="23"/>
    <w:qFormat/>
    <w:uiPriority w:val="0"/>
    <w:rPr>
      <w:rFonts w:hint="eastAsia" w:ascii="宋体" w:hAnsi="宋体" w:eastAsia="宋体" w:cs="宋体"/>
      <w:color w:val="000000"/>
      <w:sz w:val="21"/>
      <w:szCs w:val="21"/>
      <w:u w:val="none"/>
    </w:rPr>
  </w:style>
  <w:style w:type="paragraph" w:customStyle="1" w:styleId="52">
    <w:name w:val="Normal_8"/>
    <w:qFormat/>
    <w:uiPriority w:val="0"/>
    <w:rPr>
      <w:rFonts w:ascii="黑体" w:hAnsi="黑体" w:eastAsia="黑体" w:cs="Times New Roman"/>
      <w:b/>
      <w:sz w:val="32"/>
      <w:szCs w:val="24"/>
      <w:lang w:val="en-US" w:eastAsia="zh-CN" w:bidi="ar-SA"/>
    </w:rPr>
  </w:style>
  <w:style w:type="paragraph" w:customStyle="1" w:styleId="53">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Body Text"/>
    <w:basedOn w:val="53"/>
    <w:qFormat/>
    <w:uiPriority w:val="1"/>
    <w:pPr>
      <w:ind w:left="220"/>
    </w:pPr>
    <w:rPr>
      <w:rFonts w:eastAsia="Times New Roman"/>
      <w:sz w:val="32"/>
      <w:szCs w:val="32"/>
    </w:rPr>
  </w:style>
  <w:style w:type="paragraph" w:customStyle="1" w:styleId="55">
    <w:name w:val="正文 New New New New New New New New New New New"/>
    <w:qFormat/>
    <w:uiPriority w:val="0"/>
    <w:pPr>
      <w:widowControl w:val="0"/>
      <w:suppressAutoHyphens/>
      <w:jc w:val="both"/>
    </w:pPr>
    <w:rPr>
      <w:rFonts w:ascii="Times New Roman" w:hAnsi="Times New Roman" w:eastAsia="宋体" w:cs="Times New Roman"/>
      <w:kern w:val="1"/>
      <w:sz w:val="21"/>
      <w:szCs w:val="22"/>
      <w:lang w:val="en-US" w:eastAsia="zh-CN" w:bidi="ar-SA"/>
    </w:rPr>
  </w:style>
  <w:style w:type="paragraph" w:customStyle="1" w:styleId="56">
    <w:name w:val="Normal_1"/>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35843</Words>
  <Characters>38780</Characters>
  <Lines>0</Lines>
  <Paragraphs>0</Paragraphs>
  <TotalTime>66</TotalTime>
  <ScaleCrop>false</ScaleCrop>
  <LinksUpToDate>false</LinksUpToDate>
  <CharactersWithSpaces>44012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2020-07-08T09:02:00Z</dcterms:created>
  <dc:creator>WPS_1542621076</dc:creator>
  <cp:lastModifiedBy>查无此人</cp:lastModifiedBy>
  <cp:lastPrinted>2023-10-27T07:22:00Z</cp:lastPrinted>
  <dcterms:modified xsi:type="dcterms:W3CDTF">2023-11-03T02:50:02Z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D202794A618844898B3A587DC2DC950F_13</vt:lpwstr>
  </property>
</Properties>
</file>