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宋体" w:hAnsi="宋体" w:cs="宋体"/>
          <w:b/>
          <w:color w:val="000000"/>
          <w:sz w:val="30"/>
          <w:szCs w:val="30"/>
          <w:lang w:val="en-US" w:eastAsia="zh-CN"/>
        </w:rPr>
      </w:pPr>
      <w:r>
        <w:rPr>
          <w:rFonts w:hint="eastAsia" w:ascii="宋体" w:hAnsi="宋体" w:cs="宋体"/>
          <w:b/>
          <w:color w:val="000000"/>
          <w:sz w:val="30"/>
          <w:szCs w:val="30"/>
          <w:lang w:val="en-US" w:eastAsia="zh-CN"/>
        </w:rPr>
        <w:t>塔什库尔干县教育系统2020-2021学年</w:t>
      </w:r>
    </w:p>
    <w:p>
      <w:pPr>
        <w:pStyle w:val="7"/>
        <w:jc w:val="center"/>
        <w:rPr>
          <w:rFonts w:hint="eastAsia" w:ascii="宋体" w:hAnsi="宋体" w:cs="宋体"/>
          <w:b/>
          <w:color w:val="000000"/>
          <w:sz w:val="30"/>
          <w:szCs w:val="30"/>
          <w:lang w:val="en-US" w:eastAsia="zh-CN"/>
        </w:rPr>
      </w:pPr>
      <w:r>
        <w:rPr>
          <w:rFonts w:hint="eastAsia" w:ascii="宋体" w:hAnsi="宋体" w:cs="宋体"/>
          <w:b/>
          <w:color w:val="000000"/>
          <w:sz w:val="30"/>
          <w:szCs w:val="30"/>
          <w:lang w:val="en-US" w:eastAsia="zh-CN"/>
        </w:rPr>
        <w:t>伙食、营养餐采购项目</w:t>
      </w:r>
    </w:p>
    <w:p>
      <w:pPr>
        <w:pStyle w:val="7"/>
        <w:jc w:val="center"/>
        <w:rPr>
          <w:rFonts w:hint="default" w:ascii="华文中宋" w:hAnsi="华文中宋" w:eastAsia="华文中宋"/>
          <w:lang w:val="en-US"/>
        </w:rPr>
      </w:pPr>
      <w:r>
        <w:rPr>
          <w:rFonts w:hint="eastAsia" w:ascii="宋体" w:hAnsi="宋体" w:cs="宋体"/>
          <w:b/>
          <w:color w:val="000000"/>
          <w:sz w:val="30"/>
          <w:szCs w:val="30"/>
          <w:lang w:val="en-US" w:eastAsia="zh-CN"/>
        </w:rPr>
        <w:t>招标公告</w:t>
      </w:r>
    </w:p>
    <w:p/>
    <w:p>
      <w:pPr>
        <w:pBdr>
          <w:top w:val="single" w:color="auto" w:sz="4" w:space="1"/>
          <w:left w:val="single" w:color="auto" w:sz="4" w:space="4"/>
          <w:bottom w:val="single" w:color="auto" w:sz="4" w:space="1"/>
          <w:right w:val="single" w:color="auto" w:sz="4" w:space="4"/>
        </w:pBd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b/>
          <w:bCs/>
          <w:sz w:val="24"/>
          <w:szCs w:val="24"/>
          <w:u w:val="single"/>
        </w:rPr>
        <w:t>塔什库尔干县教育系统2020-2021学年伙食、营养餐采购项目</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 xml:space="preserve"> 的潜在</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rPr>
        <w:t>应在</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b/>
          <w:bCs/>
          <w:sz w:val="24"/>
          <w:szCs w:val="24"/>
          <w:u w:val="single"/>
          <w:lang w:eastAsia="zh-CN"/>
        </w:rPr>
        <w:t>喀什市天府集团办公区二楼221室</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获取</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文件，并于</w:t>
      </w:r>
      <w:r>
        <w:rPr>
          <w:rFonts w:hint="eastAsia" w:asciiTheme="minorEastAsia" w:hAnsiTheme="minorEastAsia" w:eastAsiaTheme="minorEastAsia" w:cstheme="minorEastAsia"/>
          <w:b/>
          <w:bCs/>
          <w:sz w:val="24"/>
          <w:szCs w:val="24"/>
          <w:u w:val="single"/>
          <w:lang w:val="en-US" w:eastAsia="zh-CN"/>
        </w:rPr>
        <w:t>2020</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10</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13</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val="en-US" w:eastAsia="zh-CN"/>
        </w:rPr>
        <w:t>11</w:t>
      </w:r>
      <w:r>
        <w:rPr>
          <w:rFonts w:hint="eastAsia" w:asciiTheme="minorEastAsia" w:hAnsiTheme="minorEastAsia" w:eastAsiaTheme="minorEastAsia" w:cstheme="minorEastAsia"/>
          <w:b/>
          <w:bCs/>
          <w:sz w:val="24"/>
          <w:szCs w:val="24"/>
          <w:u w:val="single"/>
        </w:rPr>
        <w:t>点</w:t>
      </w:r>
      <w:r>
        <w:rPr>
          <w:rFonts w:hint="eastAsia" w:asciiTheme="minorEastAsia" w:hAnsiTheme="minorEastAsia" w:eastAsiaTheme="minorEastAsia" w:cstheme="minorEastAsia"/>
          <w:b/>
          <w:bCs/>
          <w:sz w:val="24"/>
          <w:szCs w:val="24"/>
          <w:u w:val="single"/>
          <w:lang w:val="en-US" w:eastAsia="zh-CN"/>
        </w:rPr>
        <w:t>00</w:t>
      </w:r>
      <w:r>
        <w:rPr>
          <w:rFonts w:hint="eastAsia" w:asciiTheme="minorEastAsia" w:hAnsiTheme="minorEastAsia" w:eastAsiaTheme="minorEastAsia" w:cstheme="minorEastAsia"/>
          <w:b/>
          <w:bCs/>
          <w:sz w:val="24"/>
          <w:szCs w:val="24"/>
          <w:u w:val="single"/>
        </w:rPr>
        <w:t>分</w:t>
      </w:r>
      <w:r>
        <w:rPr>
          <w:rFonts w:hint="eastAsia" w:asciiTheme="minorEastAsia" w:hAnsiTheme="minorEastAsia" w:eastAsiaTheme="minorEastAsia" w:cstheme="minorEastAsia"/>
          <w:bCs/>
          <w:sz w:val="24"/>
          <w:szCs w:val="24"/>
        </w:rPr>
        <w:t>（北京时间）前提交</w:t>
      </w:r>
      <w:r>
        <w:rPr>
          <w:rFonts w:hint="eastAsia" w:asciiTheme="minorEastAsia" w:hAnsiTheme="minorEastAsia" w:eastAsiaTheme="minorEastAsia" w:cstheme="minorEastAsia"/>
          <w:bCs/>
          <w:sz w:val="24"/>
          <w:szCs w:val="24"/>
          <w:lang w:eastAsia="zh-CN"/>
        </w:rPr>
        <w:t>投标</w:t>
      </w:r>
      <w:r>
        <w:rPr>
          <w:rFonts w:hint="eastAsia" w:asciiTheme="minorEastAsia" w:hAnsiTheme="minorEastAsia" w:eastAsiaTheme="minorEastAsia" w:cstheme="minorEastAsia"/>
          <w:bCs/>
          <w:sz w:val="24"/>
          <w:szCs w:val="24"/>
        </w:rPr>
        <w:t>文件</w:t>
      </w:r>
      <w:r>
        <w:rPr>
          <w:rFonts w:hint="eastAsia" w:asciiTheme="minorEastAsia" w:hAnsiTheme="minorEastAsia" w:eastAsiaTheme="minorEastAsia" w:cstheme="minorEastAsia"/>
          <w:sz w:val="24"/>
          <w:szCs w:val="24"/>
        </w:rPr>
        <w:t>。</w:t>
      </w:r>
    </w:p>
    <w:p>
      <w:pPr>
        <w:pStyle w:val="3"/>
        <w:tabs>
          <w:tab w:val="left" w:pos="576"/>
          <w:tab w:val="left" w:pos="1296"/>
        </w:tabs>
        <w:spacing w:line="480" w:lineRule="auto"/>
        <w:jc w:val="both"/>
        <w:rPr>
          <w:rFonts w:hint="eastAsia" w:asciiTheme="minorEastAsia" w:hAnsiTheme="minorEastAsia" w:eastAsiaTheme="minorEastAsia" w:cstheme="minorEastAsia"/>
          <w:b w:val="0"/>
          <w:sz w:val="24"/>
          <w:szCs w:val="24"/>
        </w:rPr>
      </w:pPr>
      <w:bookmarkStart w:id="0" w:name="_Toc28359012"/>
      <w:bookmarkStart w:id="1" w:name="_Toc35393798"/>
      <w:bookmarkStart w:id="2" w:name="_Toc28359089"/>
      <w:bookmarkStart w:id="3" w:name="_Toc35393629"/>
      <w:r>
        <w:rPr>
          <w:rFonts w:hint="eastAsia" w:asciiTheme="minorEastAsia" w:hAnsiTheme="minorEastAsia" w:eastAsiaTheme="minorEastAsia" w:cstheme="minorEastAsia"/>
          <w:b w:val="0"/>
          <w:sz w:val="24"/>
          <w:szCs w:val="24"/>
        </w:rPr>
        <w:t>一、项目基本情况</w:t>
      </w:r>
      <w:bookmarkEnd w:id="0"/>
      <w:bookmarkEnd w:id="1"/>
      <w:bookmarkEnd w:id="2"/>
      <w:bookmarkEnd w:id="3"/>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项目编号：TYMH-GK-08号</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项目名称：塔什库尔干县教育系统2020-2021学年伙食、营养餐采购项目</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预算金额：1191.453304万元，分为一个包：一批主食品、副食品、肉类、果蔬、调料采购（具体参数及要求详见招标文件）</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最高限价：1191.453304万元</w:t>
      </w:r>
    </w:p>
    <w:p>
      <w:pPr>
        <w:pStyle w:val="2"/>
        <w:spacing w:line="480" w:lineRule="auto"/>
        <w:ind w:left="0" w:leftChars="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采购需求：塔什库尔干县教育系统2020-2021学年伙食、营养餐采购项目（具体要求详见招标文件）</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合同履行期限：自合同签定之日起1年</w:t>
      </w:r>
    </w:p>
    <w:p>
      <w:pPr>
        <w:numPr>
          <w:ilvl w:val="0"/>
          <w:numId w:val="0"/>
        </w:num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本项目不接受联合体投标。</w:t>
      </w:r>
      <w:bookmarkStart w:id="4" w:name="_Toc35393799"/>
      <w:bookmarkStart w:id="5" w:name="_Toc35393630"/>
      <w:bookmarkStart w:id="6" w:name="_Toc28359013"/>
      <w:bookmarkStart w:id="7" w:name="_Toc28359090"/>
    </w:p>
    <w:p>
      <w:pPr>
        <w:spacing w:line="480" w:lineRule="auto"/>
        <w:rPr>
          <w:rFonts w:hint="eastAsia"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kern w:val="0"/>
          <w:sz w:val="24"/>
          <w:szCs w:val="24"/>
          <w:lang w:val="en-US" w:eastAsia="zh-CN" w:bidi="ar-SA"/>
        </w:rPr>
        <w:t>二、申请人的资格要求：</w:t>
      </w:r>
      <w:bookmarkEnd w:id="4"/>
      <w:bookmarkEnd w:id="5"/>
      <w:bookmarkEnd w:id="6"/>
      <w:bookmarkEnd w:id="7"/>
    </w:p>
    <w:p>
      <w:pPr>
        <w:pStyle w:val="5"/>
        <w:widowControl/>
        <w:numPr>
          <w:ilvl w:val="0"/>
          <w:numId w:val="0"/>
        </w:numPr>
        <w:spacing w:beforeAutospacing="0" w:afterAutospacing="0" w:line="480" w:lineRule="auto"/>
        <w:rPr>
          <w:rFonts w:hint="eastAsia" w:asciiTheme="minorEastAsia" w:hAnsiTheme="minorEastAsia" w:eastAsiaTheme="minorEastAsia" w:cstheme="minorEastAsia"/>
          <w:kern w:val="2"/>
          <w:sz w:val="24"/>
          <w:szCs w:val="24"/>
          <w:lang w:val="en-US" w:eastAsia="zh-CN" w:bidi="ar-SA"/>
        </w:rPr>
      </w:pPr>
      <w:bookmarkStart w:id="8" w:name="_Toc28359014"/>
      <w:bookmarkStart w:id="9" w:name="_Toc28359091"/>
      <w:bookmarkStart w:id="10" w:name="_Toc35393800"/>
      <w:bookmarkStart w:id="11" w:name="_Toc35393631"/>
      <w:r>
        <w:rPr>
          <w:rFonts w:hint="eastAsia" w:asciiTheme="minorEastAsia" w:hAnsiTheme="minorEastAsia" w:eastAsiaTheme="minorEastAsia" w:cstheme="minorEastAsia"/>
          <w:kern w:val="2"/>
          <w:sz w:val="24"/>
          <w:szCs w:val="24"/>
          <w:lang w:val="en-US" w:eastAsia="zh-CN" w:bidi="ar-SA"/>
        </w:rPr>
        <w:t>（1）供应商必须满足《中华人民共和国政府采购法》第二十二条相关规定；</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（2）具有相应经营范围的企业法人营业执照副本原件、组织机构代码证原件、税务登记证原件（国税及地税）或三证合一企业法人营业执照副本原件；</w:t>
      </w:r>
    </w:p>
    <w:p>
      <w:pPr>
        <w:pStyle w:val="5"/>
        <w:widowControl/>
        <w:spacing w:beforeAutospacing="0" w:afterAutospacing="0" w:line="480"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（3）提供法定代表人身份证明及身份证原件或法人授权委托书原件、授权委托人身份证原件；</w:t>
      </w:r>
    </w:p>
    <w:p>
      <w:pPr>
        <w:pStyle w:val="5"/>
        <w:widowControl/>
        <w:spacing w:beforeAutospacing="0" w:afterAutospacing="0"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（4）参加政府采购活动前三年内，在经营活动中没有重大违法记录，有不良行为记录的（尚在处罚期内的），将拒绝其参加本次政府采购活动，供应商须提供 “信用中国”网（http://www.creditchina.gov.cn/）、中国政府采购网（www.ccgp.gov.cn）无违法违规行为的查询纪录（提供查询结果网页截图并加盖供应商公章）；</w:t>
      </w:r>
    </w:p>
    <w:p>
      <w:pPr>
        <w:widowControl/>
        <w:spacing w:line="480" w:lineRule="auto"/>
        <w:ind w:left="525" w:hanging="600" w:hangingChars="25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（5）提供由供应商所在地税务部门出具的近三个月的完税证明；</w:t>
      </w:r>
    </w:p>
    <w:p>
      <w:pPr>
        <w:pStyle w:val="6"/>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定代表人需提供社保部门出具的供应商单位缴纳的社保证明缴费凭证原件；被委托人必须是供应商单位正式员工，需提供社保部门出具的供应商单位缴纳的社保证明（供应商单位近三个月内的社保缴费凭证及个人明细表原件）；</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（7）提供2019年度财务审计报告原件（新成立单位提供有效期内银行出具的资信证明原件）；</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（8）供应商提供针对本次项目《反商业贿赂承诺书》；</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（9）供应商提供近三年内无重大违法犯罪记录的声明；</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（10）须提供《食品流通许可证》或《食品经营许可证》原件； </w:t>
      </w:r>
    </w:p>
    <w:p>
      <w:pPr>
        <w:numPr>
          <w:ilvl w:val="0"/>
          <w:numId w:val="0"/>
        </w:numPr>
        <w:spacing w:line="48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（11）本项目不接受联合体投标。</w:t>
      </w:r>
    </w:p>
    <w:p>
      <w:pPr>
        <w:pStyle w:val="3"/>
        <w:tabs>
          <w:tab w:val="left" w:pos="576"/>
          <w:tab w:val="left" w:pos="1296"/>
        </w:tabs>
        <w:spacing w:line="480" w:lineRule="auto"/>
        <w:jc w:val="both"/>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三、获取</w:t>
      </w:r>
      <w:r>
        <w:rPr>
          <w:rFonts w:hint="eastAsia" w:asciiTheme="minorEastAsia" w:hAnsiTheme="minorEastAsia" w:eastAsiaTheme="minorEastAsia" w:cstheme="minorEastAsia"/>
          <w:b w:val="0"/>
          <w:sz w:val="24"/>
          <w:szCs w:val="24"/>
          <w:lang w:eastAsia="zh-CN"/>
        </w:rPr>
        <w:t>招标</w:t>
      </w:r>
      <w:r>
        <w:rPr>
          <w:rFonts w:hint="eastAsia" w:asciiTheme="minorEastAsia" w:hAnsiTheme="minorEastAsia" w:eastAsiaTheme="minorEastAsia" w:cstheme="minorEastAsia"/>
          <w:b w:val="0"/>
          <w:sz w:val="24"/>
          <w:szCs w:val="24"/>
        </w:rPr>
        <w:t>文件</w:t>
      </w:r>
      <w:bookmarkEnd w:id="8"/>
      <w:bookmarkEnd w:id="9"/>
      <w:bookmarkEnd w:id="10"/>
      <w:bookmarkEnd w:id="11"/>
    </w:p>
    <w:p>
      <w:pPr>
        <w:spacing w:line="48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2020</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09</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23</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2020</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29</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，每天上午</w:t>
      </w:r>
      <w:r>
        <w:rPr>
          <w:rFonts w:hint="eastAsia" w:asciiTheme="minorEastAsia" w:hAnsiTheme="minorEastAsia" w:eastAsiaTheme="minorEastAsia" w:cstheme="minorEastAsia"/>
          <w:sz w:val="24"/>
          <w:szCs w:val="24"/>
          <w:u w:val="single"/>
          <w:lang w:val="en-US" w:eastAsia="zh-CN"/>
        </w:rPr>
        <w:t xml:space="preserve">   10:00 </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eastAsia="zh-CN"/>
        </w:rPr>
        <w:t xml:space="preserve"> 14:00</w:t>
      </w:r>
      <w:r>
        <w:rPr>
          <w:rFonts w:hint="eastAsia" w:asciiTheme="minorEastAsia" w:hAnsiTheme="minorEastAsia" w:eastAsiaTheme="minorEastAsia" w:cstheme="minorEastAsia"/>
          <w:sz w:val="24"/>
          <w:szCs w:val="24"/>
        </w:rPr>
        <w:t>，下午</w:t>
      </w:r>
      <w:r>
        <w:rPr>
          <w:rFonts w:hint="eastAsia" w:asciiTheme="minorEastAsia" w:hAnsiTheme="minorEastAsia" w:eastAsiaTheme="minorEastAsia" w:cstheme="minorEastAsia"/>
          <w:sz w:val="24"/>
          <w:szCs w:val="24"/>
          <w:u w:val="single"/>
          <w:lang w:val="en-US" w:eastAsia="zh-CN"/>
        </w:rPr>
        <w:t>16:00</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eastAsia="zh-CN"/>
        </w:rPr>
        <w:t xml:space="preserve"> 20:00</w:t>
      </w:r>
      <w:r>
        <w:rPr>
          <w:rFonts w:hint="eastAsia" w:asciiTheme="minorEastAsia" w:hAnsiTheme="minorEastAsia" w:eastAsiaTheme="minorEastAsia" w:cstheme="minorEastAsia"/>
          <w:sz w:val="24"/>
          <w:szCs w:val="24"/>
        </w:rPr>
        <w:t>（北京时间，法定节假日除外）</w:t>
      </w:r>
    </w:p>
    <w:p>
      <w:pPr>
        <w:spacing w:line="480" w:lineRule="auto"/>
        <w:ind w:firstLine="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eastAsia="zh-CN"/>
        </w:rPr>
        <w:t>喀什市天府集团办公区二楼221室</w:t>
      </w:r>
    </w:p>
    <w:p>
      <w:pPr>
        <w:spacing w:line="480" w:lineRule="auto"/>
        <w:ind w:firstLine="540"/>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lang w:eastAsia="zh-CN"/>
        </w:rPr>
        <w:t>现场获取</w:t>
      </w:r>
    </w:p>
    <w:p>
      <w:pPr>
        <w:spacing w:line="480" w:lineRule="auto"/>
        <w:ind w:firstLine="54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售价：</w:t>
      </w:r>
      <w:r>
        <w:rPr>
          <w:rFonts w:hint="eastAsia" w:asciiTheme="minorEastAsia" w:hAnsiTheme="minorEastAsia" w:eastAsiaTheme="minorEastAsia" w:cstheme="minorEastAsia"/>
          <w:sz w:val="24"/>
          <w:szCs w:val="24"/>
          <w:lang w:val="en-US" w:eastAsia="zh-CN"/>
        </w:rPr>
        <w:t>0元/包</w:t>
      </w:r>
    </w:p>
    <w:p>
      <w:pPr>
        <w:pStyle w:val="3"/>
        <w:tabs>
          <w:tab w:val="left" w:pos="576"/>
          <w:tab w:val="left" w:pos="1296"/>
        </w:tabs>
        <w:spacing w:line="480" w:lineRule="auto"/>
        <w:jc w:val="both"/>
        <w:rPr>
          <w:rFonts w:hint="eastAsia" w:asciiTheme="minorEastAsia" w:hAnsiTheme="minorEastAsia" w:eastAsiaTheme="minorEastAsia" w:cstheme="minorEastAsia"/>
          <w:b w:val="0"/>
          <w:sz w:val="24"/>
          <w:szCs w:val="24"/>
        </w:rPr>
      </w:pPr>
      <w:bookmarkStart w:id="12" w:name="_Toc28359015"/>
      <w:bookmarkStart w:id="13" w:name="_Toc35393801"/>
      <w:bookmarkStart w:id="14" w:name="_Toc28359092"/>
      <w:bookmarkStart w:id="15" w:name="_Toc35393632"/>
      <w:r>
        <w:rPr>
          <w:rFonts w:hint="eastAsia" w:asciiTheme="minorEastAsia" w:hAnsiTheme="minorEastAsia" w:eastAsiaTheme="minorEastAsia" w:cstheme="minorEastAsia"/>
          <w:b w:val="0"/>
          <w:sz w:val="24"/>
          <w:szCs w:val="24"/>
        </w:rPr>
        <w:t>四、</w:t>
      </w:r>
      <w:bookmarkEnd w:id="12"/>
      <w:bookmarkEnd w:id="13"/>
      <w:bookmarkEnd w:id="14"/>
      <w:bookmarkEnd w:id="15"/>
      <w:r>
        <w:rPr>
          <w:rFonts w:hint="eastAsia" w:asciiTheme="minorEastAsia" w:hAnsiTheme="minorEastAsia" w:eastAsiaTheme="minorEastAsia" w:cstheme="minorEastAsia"/>
          <w:b w:val="0"/>
          <w:sz w:val="24"/>
          <w:szCs w:val="24"/>
        </w:rPr>
        <w:t>提交投标文件截止时间、开标时间和地点</w:t>
      </w:r>
    </w:p>
    <w:p>
      <w:pPr>
        <w:spacing w:line="48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 xml:space="preserve">2020年 </w:t>
      </w:r>
      <w:r>
        <w:rPr>
          <w:rFonts w:hint="eastAsia" w:asciiTheme="minorEastAsia" w:hAnsiTheme="minorEastAsia" w:eastAsiaTheme="minorEastAsia" w:cstheme="minorEastAsia"/>
          <w:sz w:val="24"/>
          <w:szCs w:val="24"/>
          <w:u w:val="single"/>
          <w:lang w:val="en-US" w:eastAsia="zh-CN"/>
        </w:rPr>
        <w:t>10</w:t>
      </w:r>
      <w:r>
        <w:rPr>
          <w:rFonts w:hint="eastAsia" w:asciiTheme="minorEastAsia" w:hAnsiTheme="minorEastAsia" w:eastAsiaTheme="minorEastAsia" w:cstheme="minorEastAsia"/>
          <w:sz w:val="24"/>
          <w:szCs w:val="24"/>
          <w:u w:val="single"/>
          <w:lang w:eastAsia="zh-CN"/>
        </w:rPr>
        <w:t xml:space="preserve"> 月 </w:t>
      </w:r>
      <w:r>
        <w:rPr>
          <w:rFonts w:hint="eastAsia" w:asciiTheme="minorEastAsia" w:hAnsiTheme="minorEastAsia" w:eastAsiaTheme="minorEastAsia" w:cstheme="minorEastAsia"/>
          <w:sz w:val="24"/>
          <w:szCs w:val="24"/>
          <w:u w:val="single"/>
          <w:lang w:val="en-US" w:eastAsia="zh-CN"/>
        </w:rPr>
        <w:t>13</w:t>
      </w:r>
      <w:r>
        <w:rPr>
          <w:rFonts w:hint="eastAsia" w:asciiTheme="minorEastAsia" w:hAnsiTheme="minorEastAsia" w:eastAsiaTheme="minorEastAsia" w:cstheme="minorEastAsia"/>
          <w:sz w:val="24"/>
          <w:szCs w:val="24"/>
          <w:u w:val="single"/>
          <w:lang w:eastAsia="zh-CN"/>
        </w:rPr>
        <w:t xml:space="preserve"> 日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点 </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 xml:space="preserve"> 分</w:t>
      </w:r>
      <w:r>
        <w:rPr>
          <w:rFonts w:hint="eastAsia" w:asciiTheme="minorEastAsia" w:hAnsiTheme="minorEastAsia" w:eastAsiaTheme="minorEastAsia" w:cstheme="minorEastAsia"/>
          <w:bCs/>
          <w:sz w:val="24"/>
          <w:szCs w:val="24"/>
        </w:rPr>
        <w:t>（北京时间）</w:t>
      </w:r>
    </w:p>
    <w:p>
      <w:pPr>
        <w:spacing w:line="48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val="en-US" w:eastAsia="zh-CN"/>
        </w:rPr>
        <w:t>塔县办事处4楼开标室会议室</w:t>
      </w:r>
    </w:p>
    <w:p>
      <w:pPr>
        <w:pStyle w:val="3"/>
        <w:tabs>
          <w:tab w:val="left" w:pos="576"/>
          <w:tab w:val="left" w:pos="1296"/>
        </w:tabs>
        <w:spacing w:line="480" w:lineRule="auto"/>
        <w:jc w:val="both"/>
        <w:rPr>
          <w:rFonts w:hint="eastAsia" w:asciiTheme="minorEastAsia" w:hAnsiTheme="minorEastAsia" w:eastAsiaTheme="minorEastAsia" w:cstheme="minorEastAsia"/>
          <w:b w:val="0"/>
          <w:sz w:val="24"/>
          <w:szCs w:val="24"/>
        </w:rPr>
      </w:pPr>
      <w:bookmarkStart w:id="16" w:name="_Toc35393634"/>
      <w:bookmarkStart w:id="17" w:name="_Toc35393803"/>
      <w:bookmarkStart w:id="18" w:name="_Toc28359017"/>
      <w:bookmarkStart w:id="19" w:name="_Toc28359094"/>
      <w:r>
        <w:rPr>
          <w:rFonts w:hint="eastAsia" w:asciiTheme="minorEastAsia" w:hAnsiTheme="minorEastAsia" w:eastAsiaTheme="minorEastAsia" w:cstheme="minorEastAsia"/>
          <w:b w:val="0"/>
          <w:sz w:val="24"/>
          <w:szCs w:val="24"/>
          <w:lang w:eastAsia="zh-CN"/>
        </w:rPr>
        <w:t>五</w:t>
      </w:r>
      <w:r>
        <w:rPr>
          <w:rFonts w:hint="eastAsia" w:asciiTheme="minorEastAsia" w:hAnsiTheme="minorEastAsia" w:eastAsiaTheme="minorEastAsia" w:cstheme="minorEastAsia"/>
          <w:b w:val="0"/>
          <w:sz w:val="24"/>
          <w:szCs w:val="24"/>
        </w:rPr>
        <w:t>、公告期限</w:t>
      </w:r>
      <w:bookmarkEnd w:id="16"/>
      <w:bookmarkEnd w:id="17"/>
      <w:bookmarkEnd w:id="18"/>
      <w:bookmarkEnd w:id="19"/>
    </w:p>
    <w:p>
      <w:pPr>
        <w:spacing w:line="48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个工作日。</w:t>
      </w:r>
    </w:p>
    <w:p>
      <w:pPr>
        <w:pStyle w:val="3"/>
        <w:tabs>
          <w:tab w:val="left" w:pos="576"/>
          <w:tab w:val="left" w:pos="1296"/>
        </w:tabs>
        <w:spacing w:line="480" w:lineRule="auto"/>
        <w:jc w:val="both"/>
        <w:rPr>
          <w:rFonts w:hint="eastAsia" w:asciiTheme="minorEastAsia" w:hAnsiTheme="minorEastAsia" w:eastAsiaTheme="minorEastAsia" w:cstheme="minorEastAsia"/>
          <w:sz w:val="24"/>
          <w:szCs w:val="24"/>
        </w:rPr>
      </w:pPr>
      <w:bookmarkStart w:id="20" w:name="_Toc35393635"/>
      <w:bookmarkStart w:id="21" w:name="_Toc35393804"/>
      <w:r>
        <w:rPr>
          <w:rFonts w:hint="eastAsia" w:asciiTheme="minorEastAsia" w:hAnsiTheme="minorEastAsia" w:eastAsiaTheme="minorEastAsia" w:cstheme="minorEastAsia"/>
          <w:b w:val="0"/>
          <w:sz w:val="24"/>
          <w:szCs w:val="24"/>
          <w:lang w:eastAsia="zh-CN"/>
        </w:rPr>
        <w:t>六</w:t>
      </w:r>
      <w:r>
        <w:rPr>
          <w:rFonts w:hint="eastAsia" w:asciiTheme="minorEastAsia" w:hAnsiTheme="minorEastAsia" w:eastAsiaTheme="minorEastAsia" w:cstheme="minorEastAsia"/>
          <w:b w:val="0"/>
          <w:sz w:val="24"/>
          <w:szCs w:val="24"/>
        </w:rPr>
        <w:t>、其他补充事宜</w:t>
      </w:r>
      <w:bookmarkEnd w:id="20"/>
      <w:bookmarkEnd w:id="21"/>
    </w:p>
    <w:p>
      <w:pPr>
        <w:pStyle w:val="3"/>
        <w:tabs>
          <w:tab w:val="left" w:pos="576"/>
          <w:tab w:val="left" w:pos="1296"/>
        </w:tabs>
        <w:spacing w:line="480" w:lineRule="auto"/>
        <w:jc w:val="both"/>
        <w:rPr>
          <w:rFonts w:hint="eastAsia" w:asciiTheme="minorEastAsia" w:hAnsiTheme="minorEastAsia" w:eastAsiaTheme="minorEastAsia" w:cstheme="minorEastAsia"/>
          <w:b w:val="0"/>
          <w:sz w:val="24"/>
          <w:szCs w:val="24"/>
        </w:rPr>
      </w:pPr>
      <w:bookmarkStart w:id="22" w:name="_Toc35393636"/>
      <w:bookmarkStart w:id="23" w:name="_Toc35393805"/>
      <w:bookmarkStart w:id="24" w:name="_Toc28359095"/>
      <w:bookmarkStart w:id="25" w:name="_Toc28359018"/>
      <w:r>
        <w:rPr>
          <w:rFonts w:hint="eastAsia" w:asciiTheme="minorEastAsia" w:hAnsiTheme="minorEastAsia" w:eastAsiaTheme="minorEastAsia" w:cstheme="minorEastAsia"/>
          <w:b w:val="0"/>
          <w:sz w:val="24"/>
          <w:szCs w:val="24"/>
          <w:lang w:eastAsia="zh-CN"/>
        </w:rPr>
        <w:t>七</w:t>
      </w:r>
      <w:r>
        <w:rPr>
          <w:rFonts w:hint="eastAsia" w:asciiTheme="minorEastAsia" w:hAnsiTheme="minorEastAsia" w:eastAsiaTheme="minorEastAsia" w:cstheme="minorEastAsia"/>
          <w:b w:val="0"/>
          <w:sz w:val="24"/>
          <w:szCs w:val="24"/>
        </w:rPr>
        <w:t>、凡对本次采购提出询问，请按以下方式联系。</w:t>
      </w:r>
      <w:bookmarkEnd w:id="22"/>
      <w:bookmarkEnd w:id="23"/>
      <w:bookmarkEnd w:id="24"/>
      <w:bookmarkEnd w:id="25"/>
    </w:p>
    <w:p>
      <w:pPr>
        <w:pStyle w:val="3"/>
        <w:tabs>
          <w:tab w:val="left" w:pos="576"/>
          <w:tab w:val="left" w:pos="1296"/>
        </w:tabs>
        <w:spacing w:line="480" w:lineRule="auto"/>
        <w:ind w:firstLine="720" w:firstLineChars="300"/>
        <w:jc w:val="both"/>
        <w:rPr>
          <w:rFonts w:hint="eastAsia" w:asciiTheme="minorEastAsia" w:hAnsiTheme="minorEastAsia" w:eastAsiaTheme="minorEastAsia" w:cstheme="minorEastAsia"/>
          <w:b w:val="0"/>
          <w:sz w:val="24"/>
          <w:szCs w:val="24"/>
        </w:rPr>
      </w:pPr>
      <w:bookmarkStart w:id="26" w:name="_Toc28359096"/>
      <w:bookmarkStart w:id="27" w:name="_Toc35393637"/>
      <w:bookmarkStart w:id="28" w:name="_Toc28359019"/>
      <w:bookmarkStart w:id="29" w:name="_Toc35393806"/>
      <w:r>
        <w:rPr>
          <w:rFonts w:hint="eastAsia" w:asciiTheme="minorEastAsia" w:hAnsiTheme="minorEastAsia" w:eastAsiaTheme="minorEastAsia" w:cstheme="minorEastAsia"/>
          <w:b w:val="0"/>
          <w:sz w:val="24"/>
          <w:szCs w:val="24"/>
        </w:rPr>
        <w:t>1.采购人信息</w:t>
      </w:r>
      <w:bookmarkEnd w:id="26"/>
      <w:bookmarkEnd w:id="27"/>
      <w:bookmarkEnd w:id="28"/>
      <w:bookmarkEnd w:id="29"/>
    </w:p>
    <w:p>
      <w:pPr>
        <w:spacing w:line="480" w:lineRule="auto"/>
        <w:ind w:left="1079" w:leftChars="371" w:hanging="300" w:hangingChars="125"/>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lang w:val="en-US" w:eastAsia="zh-CN"/>
        </w:rPr>
        <w:t>塔什库尔干塔吉克自治县教育和科学技术局</w:t>
      </w:r>
    </w:p>
    <w:p>
      <w:pPr>
        <w:spacing w:line="480" w:lineRule="auto"/>
        <w:ind w:left="1079" w:leftChars="371" w:hanging="300" w:hangingChars="125"/>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lang w:val="en-US" w:eastAsia="zh-CN"/>
        </w:rPr>
        <w:t>塔什库尔干县</w:t>
      </w:r>
    </w:p>
    <w:p>
      <w:pPr>
        <w:spacing w:line="480" w:lineRule="auto"/>
        <w:ind w:left="1079" w:leftChars="371" w:hanging="300" w:hangingChars="125"/>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u w:val="single"/>
          <w:lang w:val="en-US" w:eastAsia="zh-CN"/>
        </w:rPr>
        <w:t>13999636442</w:t>
      </w:r>
    </w:p>
    <w:p>
      <w:pPr>
        <w:pStyle w:val="3"/>
        <w:tabs>
          <w:tab w:val="left" w:pos="576"/>
          <w:tab w:val="left" w:pos="1296"/>
        </w:tabs>
        <w:spacing w:line="480" w:lineRule="auto"/>
        <w:ind w:firstLine="720" w:firstLineChars="300"/>
        <w:jc w:val="both"/>
        <w:rPr>
          <w:rFonts w:hint="eastAsia" w:asciiTheme="minorEastAsia" w:hAnsiTheme="minorEastAsia" w:eastAsiaTheme="minorEastAsia" w:cstheme="minorEastAsia"/>
          <w:b w:val="0"/>
          <w:sz w:val="24"/>
          <w:szCs w:val="24"/>
        </w:rPr>
      </w:pPr>
      <w:bookmarkStart w:id="30" w:name="_Toc28359097"/>
      <w:bookmarkStart w:id="31" w:name="_Toc35393807"/>
      <w:bookmarkStart w:id="32" w:name="_Toc35393638"/>
      <w:bookmarkStart w:id="33" w:name="_Toc28359020"/>
      <w:r>
        <w:rPr>
          <w:rFonts w:hint="eastAsia" w:asciiTheme="minorEastAsia" w:hAnsiTheme="minorEastAsia" w:eastAsiaTheme="minorEastAsia" w:cstheme="minorEastAsia"/>
          <w:b w:val="0"/>
          <w:sz w:val="24"/>
          <w:szCs w:val="24"/>
        </w:rPr>
        <w:t>2.采购代理机构信息</w:t>
      </w:r>
      <w:bookmarkEnd w:id="30"/>
      <w:bookmarkEnd w:id="31"/>
      <w:bookmarkEnd w:id="32"/>
      <w:bookmarkEnd w:id="33"/>
    </w:p>
    <w:p>
      <w:pPr>
        <w:spacing w:line="48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lang w:val="en-US" w:eastAsia="zh-CN"/>
        </w:rPr>
        <w:t>新疆天佑铭华项目管理有限公司</w:t>
      </w:r>
    </w:p>
    <w:p>
      <w:pPr>
        <w:spacing w:line="480" w:lineRule="auto"/>
        <w:ind w:firstLine="720" w:firstLineChars="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lang w:eastAsia="zh-CN"/>
        </w:rPr>
        <w:t>喀什市天府集团办公区二楼221室</w:t>
      </w:r>
    </w:p>
    <w:p>
      <w:pPr>
        <w:spacing w:line="480" w:lineRule="auto"/>
        <w:ind w:firstLine="720" w:firstLineChars="3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u w:val="single"/>
          <w:lang w:val="en-US" w:eastAsia="zh-CN"/>
        </w:rPr>
        <w:t>0998-2308839</w:t>
      </w:r>
    </w:p>
    <w:p>
      <w:pPr>
        <w:pStyle w:val="3"/>
        <w:tabs>
          <w:tab w:val="left" w:pos="576"/>
          <w:tab w:val="left" w:pos="1296"/>
        </w:tabs>
        <w:spacing w:line="480" w:lineRule="auto"/>
        <w:ind w:firstLine="720" w:firstLineChars="300"/>
        <w:jc w:val="both"/>
        <w:rPr>
          <w:rFonts w:hint="eastAsia" w:asciiTheme="minorEastAsia" w:hAnsiTheme="minorEastAsia" w:eastAsiaTheme="minorEastAsia" w:cstheme="minorEastAsia"/>
          <w:b w:val="0"/>
          <w:sz w:val="24"/>
          <w:szCs w:val="24"/>
        </w:rPr>
      </w:pPr>
      <w:bookmarkStart w:id="34" w:name="_Toc35393639"/>
      <w:bookmarkStart w:id="35" w:name="_Toc35393808"/>
      <w:bookmarkStart w:id="36" w:name="_Toc28359021"/>
      <w:bookmarkStart w:id="37" w:name="_Toc28359098"/>
      <w:r>
        <w:rPr>
          <w:rFonts w:hint="eastAsia" w:asciiTheme="minorEastAsia" w:hAnsiTheme="minorEastAsia" w:eastAsiaTheme="minorEastAsia" w:cstheme="minorEastAsia"/>
          <w:b w:val="0"/>
          <w:sz w:val="24"/>
          <w:szCs w:val="24"/>
        </w:rPr>
        <w:t>3.项目联系方式</w:t>
      </w:r>
      <w:bookmarkEnd w:id="34"/>
      <w:bookmarkEnd w:id="35"/>
      <w:bookmarkEnd w:id="36"/>
      <w:bookmarkEnd w:id="37"/>
    </w:p>
    <w:p>
      <w:pPr>
        <w:pStyle w:val="4"/>
        <w:spacing w:line="48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u w:val="single"/>
          <w:lang w:val="en-US" w:eastAsia="zh-CN"/>
        </w:rPr>
        <w:t>郭俊杰</w:t>
      </w:r>
    </w:p>
    <w:p>
      <w:pPr>
        <w:spacing w:line="480" w:lineRule="auto"/>
        <w:ind w:firstLine="720" w:firstLineChars="300"/>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lang w:val="en-US" w:eastAsia="zh-CN"/>
        </w:rPr>
        <w:t>18090815646</w:t>
      </w:r>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C2A0B"/>
    <w:rsid w:val="031877AE"/>
    <w:rsid w:val="0353363D"/>
    <w:rsid w:val="048A2EE5"/>
    <w:rsid w:val="06483F17"/>
    <w:rsid w:val="06D14904"/>
    <w:rsid w:val="08D91A05"/>
    <w:rsid w:val="0BBF2D68"/>
    <w:rsid w:val="0C0B43AA"/>
    <w:rsid w:val="10212DC4"/>
    <w:rsid w:val="109E1557"/>
    <w:rsid w:val="127B6623"/>
    <w:rsid w:val="158B0F10"/>
    <w:rsid w:val="18FB406A"/>
    <w:rsid w:val="19587F94"/>
    <w:rsid w:val="1B806232"/>
    <w:rsid w:val="1C4A293F"/>
    <w:rsid w:val="1D7F4D37"/>
    <w:rsid w:val="1DCB256C"/>
    <w:rsid w:val="1E3C2A0B"/>
    <w:rsid w:val="1E5F7257"/>
    <w:rsid w:val="21F001B3"/>
    <w:rsid w:val="25B27052"/>
    <w:rsid w:val="268D1A6D"/>
    <w:rsid w:val="273D41FB"/>
    <w:rsid w:val="29032A93"/>
    <w:rsid w:val="296C3B41"/>
    <w:rsid w:val="2B4B7CF1"/>
    <w:rsid w:val="2C346D7C"/>
    <w:rsid w:val="2D9E2AC5"/>
    <w:rsid w:val="30266299"/>
    <w:rsid w:val="353C113A"/>
    <w:rsid w:val="384238BF"/>
    <w:rsid w:val="3A6C3BBF"/>
    <w:rsid w:val="3AEF2063"/>
    <w:rsid w:val="3B747A30"/>
    <w:rsid w:val="3C666B19"/>
    <w:rsid w:val="3EE63CE9"/>
    <w:rsid w:val="41805D4D"/>
    <w:rsid w:val="42290950"/>
    <w:rsid w:val="426E0D65"/>
    <w:rsid w:val="442D4238"/>
    <w:rsid w:val="48B421B0"/>
    <w:rsid w:val="49675F85"/>
    <w:rsid w:val="4E5509DF"/>
    <w:rsid w:val="4EB86E08"/>
    <w:rsid w:val="4FBA6CDB"/>
    <w:rsid w:val="533973DA"/>
    <w:rsid w:val="53D15F7E"/>
    <w:rsid w:val="544172E7"/>
    <w:rsid w:val="55586592"/>
    <w:rsid w:val="56276E78"/>
    <w:rsid w:val="59294645"/>
    <w:rsid w:val="5AE3663B"/>
    <w:rsid w:val="5B102A79"/>
    <w:rsid w:val="5DF00D39"/>
    <w:rsid w:val="60570694"/>
    <w:rsid w:val="61A47298"/>
    <w:rsid w:val="63527915"/>
    <w:rsid w:val="66247790"/>
    <w:rsid w:val="66CC5E17"/>
    <w:rsid w:val="6A0B273A"/>
    <w:rsid w:val="70B91B54"/>
    <w:rsid w:val="71555EB7"/>
    <w:rsid w:val="72BD46A3"/>
    <w:rsid w:val="733B5ED5"/>
    <w:rsid w:val="75DD32A3"/>
    <w:rsid w:val="75FA0A34"/>
    <w:rsid w:val="780443A6"/>
    <w:rsid w:val="7A9A619A"/>
    <w:rsid w:val="7BAE780B"/>
    <w:rsid w:val="7C2F729B"/>
    <w:rsid w:val="7D0B4E1F"/>
    <w:rsid w:val="7D256B55"/>
    <w:rsid w:val="7FAE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Plain Text"/>
    <w:basedOn w:val="1"/>
    <w:qFormat/>
    <w:uiPriority w:val="0"/>
    <w:rPr>
      <w:rFonts w:ascii="宋体" w:hAnsi="Courier New"/>
      <w:szCs w:val="20"/>
    </w:rPr>
  </w:style>
  <w:style w:type="paragraph" w:styleId="5">
    <w:name w:val="Normal (Web)"/>
    <w:basedOn w:val="1"/>
    <w:next w:val="6"/>
    <w:qFormat/>
    <w:uiPriority w:val="0"/>
    <w:pPr>
      <w:spacing w:before="100" w:beforeAutospacing="1" w:after="100" w:afterAutospacing="1"/>
      <w:ind w:left="0" w:right="0"/>
      <w:jc w:val="left"/>
    </w:pPr>
    <w:rPr>
      <w:kern w:val="0"/>
      <w:sz w:val="24"/>
      <w:lang w:val="en-US" w:eastAsia="zh-CN" w:bidi="ar"/>
    </w:rPr>
  </w:style>
  <w:style w:type="paragraph" w:customStyle="1" w:styleId="6">
    <w:name w:val="目录 41"/>
    <w:next w:val="1"/>
    <w:uiPriority w:val="0"/>
    <w:pPr>
      <w:wordWrap w:val="0"/>
      <w:ind w:left="1275"/>
      <w:jc w:val="both"/>
    </w:pPr>
    <w:rPr>
      <w:rFonts w:ascii="Calibri" w:hAnsi="Calibri" w:eastAsia="宋体" w:cs="Times New Roman"/>
      <w:sz w:val="21"/>
      <w:lang w:val="en-US" w:eastAsia="zh-CN" w:bidi="ar-SA"/>
    </w:rPr>
  </w:style>
  <w:style w:type="paragraph" w:styleId="7">
    <w:name w:val="Title"/>
    <w:basedOn w:val="1"/>
    <w:qFormat/>
    <w:uiPriority w:val="0"/>
    <w:pPr>
      <w:spacing w:before="240" w:after="60"/>
      <w:ind w:left="425" w:hanging="425"/>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2020-09-22T05:08:00Z</dcterms:created>
  <dc:creator>Administrator</dc:creator>
  <cp:lastModifiedBy>Administrator</cp:lastModifiedBy>
  <dcterms:modified xsi:type="dcterms:W3CDTF">2020-09-23T02:27:17Z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