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宋体" w:hAnsi="宋体" w:cs="宋体"/>
          <w:bCs/>
          <w:sz w:val="52"/>
          <w:szCs w:val="52"/>
          <w:lang w:eastAsia="zh-CN"/>
        </w:rPr>
      </w:pPr>
    </w:p>
    <w:p>
      <w:pPr>
        <w:spacing w:line="240" w:lineRule="atLeast"/>
        <w:jc w:val="center"/>
        <w:rPr>
          <w:rFonts w:hint="eastAsia" w:ascii="宋体" w:hAnsi="宋体" w:cs="宋体"/>
          <w:bCs/>
          <w:sz w:val="52"/>
          <w:szCs w:val="52"/>
          <w:lang w:eastAsia="zh-CN"/>
        </w:rPr>
      </w:pPr>
      <w:r>
        <w:rPr>
          <w:rFonts w:hint="eastAsia" w:ascii="宋体" w:hAnsi="宋体" w:cs="宋体"/>
          <w:bCs/>
          <w:sz w:val="52"/>
          <w:szCs w:val="52"/>
          <w:lang w:eastAsia="zh-CN"/>
        </w:rPr>
        <w:t>喀什市公安局伙食食材采购项目</w:t>
      </w:r>
    </w:p>
    <w:p>
      <w:pPr>
        <w:spacing w:line="240" w:lineRule="atLeast"/>
        <w:jc w:val="center"/>
        <w:rPr>
          <w:rFonts w:hint="eastAsia" w:ascii="宋体" w:hAnsi="宋体" w:eastAsia="宋体" w:cs="宋体"/>
          <w:bCs/>
          <w:sz w:val="52"/>
          <w:szCs w:val="52"/>
          <w:lang w:eastAsia="zh-CN"/>
        </w:rPr>
      </w:pPr>
      <w:r>
        <w:rPr>
          <w:rFonts w:hint="eastAsia" w:ascii="宋体" w:hAnsi="宋体" w:cs="宋体"/>
          <w:bCs/>
          <w:sz w:val="52"/>
          <w:szCs w:val="52"/>
          <w:lang w:val="en-US" w:eastAsia="zh-CN"/>
        </w:rPr>
        <w:t>公开招标</w:t>
      </w:r>
      <w:r>
        <w:rPr>
          <w:rFonts w:hint="eastAsia" w:ascii="宋体" w:hAnsi="宋体" w:cs="宋体"/>
          <w:bCs/>
          <w:sz w:val="52"/>
          <w:szCs w:val="52"/>
          <w:lang w:eastAsia="zh-CN"/>
        </w:rPr>
        <w:t>文件</w:t>
      </w:r>
    </w:p>
    <w:p>
      <w:pPr>
        <w:spacing w:line="240" w:lineRule="atLeast"/>
        <w:ind w:left="1156" w:leftChars="257" w:hanging="540"/>
        <w:jc w:val="center"/>
        <w:rPr>
          <w:rFonts w:hint="eastAsia" w:ascii="宋体" w:hAnsi="宋体" w:cs="宋体"/>
          <w:bCs/>
          <w:sz w:val="52"/>
          <w:szCs w:val="52"/>
        </w:rPr>
      </w:pPr>
    </w:p>
    <w:p>
      <w:pPr>
        <w:spacing w:line="240" w:lineRule="atLeast"/>
        <w:ind w:left="1156" w:leftChars="257" w:hanging="540"/>
        <w:jc w:val="center"/>
        <w:rPr>
          <w:rFonts w:hint="eastAsia" w:ascii="宋体" w:hAnsi="宋体" w:eastAsia="宋体" w:cs="宋体"/>
          <w:b/>
          <w:color w:val="0000FF"/>
          <w:kern w:val="0"/>
          <w:sz w:val="24"/>
          <w:szCs w:val="21"/>
          <w:lang w:eastAsia="zh-CN" w:bidi="ar"/>
        </w:rPr>
      </w:pPr>
      <w:r>
        <w:rPr>
          <w:rFonts w:hint="eastAsia" w:ascii="宋体" w:hAnsi="宋体" w:cs="宋体"/>
          <w:color w:val="0000FF"/>
          <w:kern w:val="0"/>
          <w:sz w:val="24"/>
          <w:szCs w:val="21"/>
          <w:lang w:bidi="ar"/>
        </w:rPr>
        <w:t>采购项目编号：</w:t>
      </w:r>
      <w:r>
        <w:rPr>
          <w:rFonts w:hint="eastAsia" w:ascii="宋体" w:hAnsi="宋体" w:eastAsia="宋体" w:cs="宋体"/>
          <w:color w:val="0000FF"/>
          <w:kern w:val="0"/>
          <w:sz w:val="24"/>
          <w:szCs w:val="21"/>
          <w:lang w:eastAsia="zh-CN" w:bidi="ar"/>
        </w:rPr>
        <w:t>KSS-（GK）-FHY2022-12</w:t>
      </w:r>
    </w:p>
    <w:p>
      <w:pPr>
        <w:spacing w:line="240" w:lineRule="atLeast"/>
        <w:ind w:left="1156" w:leftChars="257" w:hanging="540"/>
        <w:rPr>
          <w:rFonts w:hint="eastAsia" w:ascii="宋体" w:hAnsi="宋体" w:cs="宋体"/>
          <w:b/>
          <w:sz w:val="28"/>
        </w:rPr>
      </w:pPr>
    </w:p>
    <w:p>
      <w:pPr>
        <w:spacing w:line="240" w:lineRule="atLeast"/>
        <w:ind w:left="1156" w:leftChars="257" w:hanging="540"/>
        <w:jc w:val="center"/>
        <w:rPr>
          <w:rFonts w:hint="eastAsia" w:ascii="宋体" w:hAnsi="宋体" w:cs="宋体"/>
          <w:b/>
          <w:sz w:val="52"/>
        </w:rPr>
      </w:pPr>
    </w:p>
    <w:p>
      <w:pPr>
        <w:pStyle w:val="7"/>
        <w:ind w:left="0" w:leftChars="0" w:firstLine="0" w:firstLineChars="0"/>
        <w:rPr>
          <w:rFonts w:hint="eastAsia" w:ascii="宋体" w:hAnsi="宋体" w:cs="宋体"/>
          <w:b/>
          <w:sz w:val="52"/>
        </w:rPr>
      </w:pPr>
    </w:p>
    <w:p>
      <w:pPr>
        <w:spacing w:line="240" w:lineRule="atLeast"/>
        <w:ind w:firstLine="900" w:firstLineChars="300"/>
        <w:rPr>
          <w:rFonts w:hint="default" w:ascii="仿宋_GB2312" w:eastAsia="仿宋"/>
          <w:b/>
          <w:sz w:val="52"/>
          <w:lang w:val="en-US" w:eastAsia="zh-CN"/>
        </w:rPr>
      </w:pPr>
      <w:r>
        <w:rPr>
          <w:rFonts w:hint="eastAsia" w:ascii="仿宋" w:hAnsi="仿宋" w:eastAsia="仿宋" w:cs="黑体"/>
          <w:b/>
          <w:bCs/>
          <w:sz w:val="30"/>
          <w:szCs w:val="30"/>
        </w:rPr>
        <w:t>采   购   人：</w:t>
      </w:r>
      <w:r>
        <w:rPr>
          <w:rFonts w:hint="eastAsia" w:ascii="仿宋" w:hAnsi="仿宋" w:eastAsia="仿宋" w:cs="黑体"/>
          <w:b/>
          <w:bCs/>
          <w:sz w:val="30"/>
          <w:szCs w:val="30"/>
          <w:u w:val="single"/>
          <w:lang w:val="en-US" w:eastAsia="zh-CN"/>
        </w:rPr>
        <w:t>喀什市公安局</w:t>
      </w:r>
    </w:p>
    <w:p>
      <w:pPr>
        <w:spacing w:line="360" w:lineRule="auto"/>
        <w:ind w:firstLine="897" w:firstLineChars="299"/>
        <w:jc w:val="left"/>
        <w:rPr>
          <w:rFonts w:hint="eastAsia" w:ascii="仿宋" w:hAnsi="仿宋" w:eastAsia="仿宋" w:cs="黑体"/>
          <w:b/>
          <w:bCs/>
          <w:sz w:val="30"/>
          <w:szCs w:val="30"/>
        </w:rPr>
      </w:pPr>
      <w:r>
        <w:rPr>
          <w:rFonts w:hint="eastAsia" w:ascii="仿宋" w:hAnsi="仿宋" w:eastAsia="仿宋" w:cs="黑体"/>
          <w:b/>
          <w:bCs/>
          <w:sz w:val="30"/>
          <w:szCs w:val="30"/>
        </w:rPr>
        <w:t>采购代理机构：</w:t>
      </w:r>
      <w:r>
        <w:rPr>
          <w:rFonts w:hint="eastAsia" w:ascii="仿宋" w:hAnsi="仿宋" w:eastAsia="仿宋" w:cs="黑体"/>
          <w:b/>
          <w:bCs/>
          <w:sz w:val="30"/>
          <w:szCs w:val="30"/>
          <w:u w:val="single"/>
          <w:lang w:eastAsia="zh-CN"/>
        </w:rPr>
        <w:t>新疆丰颢源工程管理咨询有限公司</w:t>
      </w:r>
      <w:r>
        <w:rPr>
          <w:rFonts w:hint="eastAsia" w:ascii="仿宋" w:hAnsi="仿宋" w:eastAsia="仿宋" w:cs="黑体"/>
          <w:b/>
          <w:bCs/>
          <w:sz w:val="30"/>
          <w:szCs w:val="30"/>
        </w:rPr>
        <w:t xml:space="preserve"> </w:t>
      </w:r>
    </w:p>
    <w:p>
      <w:pPr>
        <w:spacing w:line="360" w:lineRule="auto"/>
        <w:ind w:left="1022" w:leftChars="426"/>
        <w:jc w:val="left"/>
        <w:rPr>
          <w:rFonts w:hint="eastAsia" w:ascii="仿宋" w:hAnsi="仿宋" w:eastAsia="仿宋" w:cs="黑体"/>
          <w:b/>
          <w:bCs/>
          <w:sz w:val="30"/>
          <w:szCs w:val="30"/>
          <w:u w:val="single"/>
          <w:lang w:eastAsia="zh-CN"/>
        </w:rPr>
      </w:pPr>
      <w:r>
        <w:rPr>
          <w:rFonts w:hint="eastAsia" w:ascii="仿宋" w:hAnsi="仿宋" w:eastAsia="仿宋" w:cs="黑体"/>
          <w:b/>
          <w:bCs/>
          <w:sz w:val="30"/>
          <w:szCs w:val="30"/>
        </w:rPr>
        <w:t>代理机构地址：</w:t>
      </w:r>
      <w:r>
        <w:rPr>
          <w:rFonts w:hint="eastAsia" w:ascii="仿宋" w:hAnsi="仿宋" w:eastAsia="仿宋" w:cs="黑体"/>
          <w:b/>
          <w:bCs/>
          <w:sz w:val="30"/>
          <w:szCs w:val="30"/>
          <w:u w:val="single"/>
          <w:lang w:eastAsia="zh-CN"/>
        </w:rPr>
        <w:t>喀什市帕依那甫路唐城国际商务大厦6楼603室</w:t>
      </w:r>
    </w:p>
    <w:p>
      <w:pPr>
        <w:spacing w:line="360" w:lineRule="auto"/>
        <w:ind w:firstLine="897" w:firstLineChars="299"/>
        <w:jc w:val="left"/>
        <w:rPr>
          <w:rFonts w:hint="eastAsia" w:ascii="仿宋" w:hAnsi="仿宋" w:eastAsia="仿宋" w:cs="黑体"/>
          <w:b/>
          <w:bCs/>
          <w:sz w:val="30"/>
          <w:szCs w:val="30"/>
          <w:u w:val="single"/>
          <w:lang w:eastAsia="zh-CN"/>
        </w:rPr>
      </w:pPr>
      <w:r>
        <w:rPr>
          <w:rFonts w:hint="eastAsia" w:ascii="仿宋" w:hAnsi="仿宋" w:eastAsia="仿宋" w:cs="黑体"/>
          <w:b/>
          <w:bCs/>
          <w:sz w:val="30"/>
          <w:szCs w:val="30"/>
        </w:rPr>
        <w:t>联   系   人：</w:t>
      </w:r>
      <w:r>
        <w:rPr>
          <w:rFonts w:hint="eastAsia" w:ascii="仿宋" w:hAnsi="仿宋" w:eastAsia="仿宋" w:cs="黑体"/>
          <w:b/>
          <w:bCs/>
          <w:sz w:val="30"/>
          <w:szCs w:val="30"/>
          <w:u w:val="single"/>
          <w:lang w:val="en-US" w:eastAsia="zh-CN"/>
        </w:rPr>
        <w:t>王工</w:t>
      </w:r>
    </w:p>
    <w:p>
      <w:pPr>
        <w:spacing w:line="360" w:lineRule="auto"/>
        <w:ind w:firstLine="897" w:firstLineChars="299"/>
        <w:jc w:val="left"/>
        <w:rPr>
          <w:rFonts w:hint="eastAsia" w:ascii="仿宋" w:hAnsi="仿宋" w:eastAsia="仿宋" w:cs="黑体"/>
          <w:b/>
          <w:bCs/>
          <w:sz w:val="30"/>
          <w:szCs w:val="30"/>
          <w:u w:val="single"/>
          <w:lang w:eastAsia="zh-CN"/>
        </w:rPr>
      </w:pPr>
      <w:r>
        <w:rPr>
          <w:rFonts w:hint="eastAsia" w:ascii="仿宋" w:hAnsi="仿宋" w:eastAsia="仿宋" w:cs="黑体"/>
          <w:b/>
          <w:bCs/>
          <w:sz w:val="30"/>
          <w:szCs w:val="30"/>
        </w:rPr>
        <w:t>联  系 电 话：</w:t>
      </w:r>
      <w:r>
        <w:rPr>
          <w:rFonts w:hint="eastAsia" w:ascii="仿宋" w:hAnsi="仿宋" w:eastAsia="仿宋" w:cs="黑体"/>
          <w:b/>
          <w:bCs/>
          <w:sz w:val="30"/>
          <w:szCs w:val="30"/>
          <w:u w:val="single"/>
          <w:lang w:eastAsia="zh-CN"/>
        </w:rPr>
        <w:t>13571936590</w:t>
      </w:r>
    </w:p>
    <w:p>
      <w:pPr>
        <w:spacing w:line="360" w:lineRule="auto"/>
        <w:ind w:firstLine="897" w:firstLineChars="299"/>
        <w:jc w:val="left"/>
        <w:rPr>
          <w:rFonts w:ascii="仿宋" w:hAnsi="仿宋" w:eastAsia="仿宋"/>
          <w:b/>
          <w:bCs/>
          <w:sz w:val="30"/>
          <w:szCs w:val="30"/>
        </w:rPr>
      </w:pPr>
      <w:r>
        <w:rPr>
          <w:rFonts w:ascii="仿宋" w:hAnsi="仿宋" w:eastAsia="仿宋" w:cs="黑体"/>
          <w:b/>
          <w:bCs/>
          <w:sz w:val="30"/>
          <w:szCs w:val="30"/>
        </w:rPr>
        <w:t xml:space="preserve">   </w:t>
      </w:r>
      <w:r>
        <w:rPr>
          <w:rFonts w:hint="eastAsia" w:ascii="仿宋" w:hAnsi="仿宋" w:eastAsia="仿宋" w:cs="黑体"/>
          <w:b/>
          <w:bCs/>
          <w:sz w:val="30"/>
          <w:szCs w:val="30"/>
        </w:rPr>
        <w:t xml:space="preserve"> </w:t>
      </w:r>
    </w:p>
    <w:p>
      <w:pPr>
        <w:spacing w:line="600" w:lineRule="exact"/>
        <w:ind w:firstLine="3291" w:firstLineChars="1097"/>
        <w:rPr>
          <w:rFonts w:hint="eastAsia" w:ascii="仿宋" w:hAnsi="仿宋" w:eastAsia="仿宋" w:cs="黑体"/>
          <w:b/>
          <w:bCs/>
          <w:sz w:val="30"/>
          <w:szCs w:val="30"/>
        </w:rPr>
      </w:pPr>
    </w:p>
    <w:p>
      <w:pPr>
        <w:rPr>
          <w:rFonts w:ascii="宋体" w:hAnsi="宋体" w:eastAsia="黑体"/>
          <w:b/>
          <w:bCs/>
          <w:color w:val="0000FF"/>
          <w:kern w:val="44"/>
          <w:sz w:val="36"/>
          <w:szCs w:val="44"/>
        </w:rPr>
      </w:pPr>
    </w:p>
    <w:p>
      <w:pPr>
        <w:pStyle w:val="15"/>
        <w:rPr>
          <w:rFonts w:ascii="宋体" w:hAnsi="宋体" w:eastAsia="黑体"/>
          <w:b/>
          <w:bCs/>
          <w:color w:val="0000FF"/>
          <w:kern w:val="44"/>
          <w:sz w:val="36"/>
          <w:szCs w:val="44"/>
        </w:rPr>
      </w:pPr>
    </w:p>
    <w:p>
      <w:pPr>
        <w:pStyle w:val="15"/>
        <w:rPr>
          <w:rFonts w:ascii="宋体" w:hAnsi="宋体" w:eastAsia="黑体"/>
          <w:b/>
          <w:bCs/>
          <w:color w:val="0000FF"/>
          <w:kern w:val="44"/>
          <w:sz w:val="36"/>
          <w:szCs w:val="44"/>
        </w:rPr>
      </w:pPr>
    </w:p>
    <w:p>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pPr>
        <w:outlineLvl w:val="0"/>
        <w:rPr>
          <w:b/>
        </w:rPr>
      </w:pPr>
      <w:r>
        <w:rPr>
          <w:rFonts w:hint="eastAsia"/>
          <w:b/>
        </w:rPr>
        <w:t>第一册专用条款</w:t>
      </w:r>
    </w:p>
    <w:p>
      <w:pPr>
        <w:rPr>
          <w:b/>
        </w:rPr>
      </w:pPr>
      <w:r>
        <w:rPr>
          <w:rFonts w:hint="eastAsia"/>
          <w:b/>
        </w:rPr>
        <w:tab/>
      </w:r>
      <w:r>
        <w:rPr>
          <w:rFonts w:hint="eastAsia"/>
          <w:b/>
        </w:rPr>
        <w:t>关键信息</w:t>
      </w:r>
    </w:p>
    <w:p>
      <w:pPr>
        <w:ind w:left="720" w:leftChars="300" w:firstLine="470" w:firstLineChars="196"/>
        <w:rPr>
          <w:rFonts w:ascii="宋体" w:hAnsi="宋体"/>
          <w:szCs w:val="21"/>
        </w:rPr>
      </w:pPr>
      <w:r>
        <w:rPr>
          <w:rFonts w:hint="eastAsia" w:ascii="宋体" w:hAnsi="宋体"/>
          <w:szCs w:val="21"/>
        </w:rPr>
        <w:t>第一章  招标公告</w:t>
      </w:r>
    </w:p>
    <w:p>
      <w:pPr>
        <w:ind w:left="720" w:leftChars="300" w:firstLine="470" w:firstLineChars="196"/>
        <w:rPr>
          <w:rFonts w:ascii="宋体" w:hAnsi="宋体"/>
          <w:szCs w:val="21"/>
        </w:rPr>
      </w:pPr>
      <w:r>
        <w:rPr>
          <w:rFonts w:hint="eastAsia" w:ascii="宋体" w:hAnsi="宋体"/>
          <w:szCs w:val="21"/>
        </w:rPr>
        <w:t>第二章  对通用条款的补充内容及其他关键信息</w:t>
      </w:r>
    </w:p>
    <w:p>
      <w:pPr>
        <w:ind w:left="720" w:leftChars="300" w:firstLine="470" w:firstLineChars="196"/>
        <w:rPr>
          <w:rFonts w:ascii="宋体" w:hAnsi="宋体"/>
          <w:szCs w:val="21"/>
        </w:rPr>
      </w:pPr>
      <w:r>
        <w:rPr>
          <w:rFonts w:hint="eastAsia" w:ascii="宋体" w:hAnsi="宋体"/>
          <w:szCs w:val="21"/>
        </w:rPr>
        <w:t>第三章 用户需求书</w:t>
      </w:r>
    </w:p>
    <w:p>
      <w:pPr>
        <w:ind w:left="720" w:leftChars="300" w:firstLine="470" w:firstLineChars="196"/>
        <w:rPr>
          <w:rFonts w:ascii="宋体" w:hAnsi="宋体"/>
          <w:szCs w:val="21"/>
        </w:rPr>
      </w:pPr>
      <w:r>
        <w:rPr>
          <w:rFonts w:hint="eastAsia" w:ascii="宋体" w:hAnsi="宋体"/>
          <w:szCs w:val="21"/>
        </w:rPr>
        <w:t>第四章 投标文件组成要求及格式</w:t>
      </w:r>
    </w:p>
    <w:p>
      <w:pPr>
        <w:ind w:left="720" w:leftChars="300" w:firstLine="470" w:firstLineChars="196"/>
        <w:rPr>
          <w:rFonts w:ascii="宋体" w:hAnsi="宋体"/>
          <w:szCs w:val="21"/>
        </w:rPr>
      </w:pPr>
      <w:r>
        <w:rPr>
          <w:rFonts w:hint="eastAsia" w:ascii="宋体" w:hAnsi="宋体"/>
          <w:szCs w:val="21"/>
        </w:rPr>
        <w:t>第五章  合同条款及格式</w:t>
      </w:r>
    </w:p>
    <w:p>
      <w:pPr>
        <w:rPr>
          <w:b/>
        </w:rPr>
      </w:pPr>
    </w:p>
    <w:p>
      <w:pPr>
        <w:outlineLvl w:val="0"/>
        <w:rPr>
          <w:b/>
        </w:rPr>
      </w:pPr>
      <w:r>
        <w:rPr>
          <w:rFonts w:hint="eastAsia"/>
          <w:b/>
        </w:rPr>
        <w:t>第二册通用条款</w:t>
      </w:r>
    </w:p>
    <w:p>
      <w:pPr>
        <w:ind w:left="720" w:leftChars="300" w:firstLine="470" w:firstLineChars="196"/>
        <w:rPr>
          <w:rFonts w:ascii="宋体" w:hAnsi="宋体"/>
          <w:szCs w:val="21"/>
        </w:rPr>
      </w:pPr>
      <w:r>
        <w:rPr>
          <w:rFonts w:hint="eastAsia" w:ascii="宋体" w:hAnsi="宋体"/>
          <w:szCs w:val="21"/>
        </w:rPr>
        <w:t>第一章  总则</w:t>
      </w:r>
    </w:p>
    <w:p>
      <w:pPr>
        <w:ind w:left="720" w:leftChars="300" w:firstLine="470" w:firstLineChars="196"/>
        <w:rPr>
          <w:rFonts w:ascii="宋体" w:hAnsi="宋体"/>
          <w:szCs w:val="21"/>
        </w:rPr>
      </w:pPr>
      <w:r>
        <w:rPr>
          <w:rFonts w:hint="eastAsia" w:ascii="宋体" w:hAnsi="宋体"/>
          <w:szCs w:val="21"/>
        </w:rPr>
        <w:t>第二章  招标文件</w:t>
      </w:r>
    </w:p>
    <w:p>
      <w:pPr>
        <w:ind w:left="720" w:leftChars="300" w:firstLine="470" w:firstLineChars="196"/>
        <w:rPr>
          <w:rFonts w:ascii="宋体" w:hAnsi="宋体"/>
          <w:szCs w:val="21"/>
        </w:rPr>
      </w:pPr>
      <w:r>
        <w:rPr>
          <w:rFonts w:hint="eastAsia" w:ascii="宋体" w:hAnsi="宋体"/>
          <w:szCs w:val="21"/>
        </w:rPr>
        <w:t>第三章  投标文件的编制</w:t>
      </w:r>
    </w:p>
    <w:p>
      <w:pPr>
        <w:ind w:left="720" w:leftChars="300" w:firstLine="470" w:firstLineChars="196"/>
        <w:rPr>
          <w:rFonts w:ascii="宋体" w:hAnsi="宋体"/>
          <w:szCs w:val="21"/>
        </w:rPr>
      </w:pPr>
      <w:r>
        <w:rPr>
          <w:rFonts w:hint="eastAsia" w:ascii="宋体" w:hAnsi="宋体"/>
          <w:szCs w:val="21"/>
        </w:rPr>
        <w:t>第四章  投标文件的递交</w:t>
      </w:r>
    </w:p>
    <w:p>
      <w:pPr>
        <w:ind w:left="720" w:leftChars="300" w:firstLine="470" w:firstLineChars="196"/>
        <w:rPr>
          <w:rFonts w:ascii="宋体" w:hAnsi="宋体"/>
          <w:szCs w:val="21"/>
        </w:rPr>
      </w:pPr>
      <w:r>
        <w:rPr>
          <w:rFonts w:hint="eastAsia" w:ascii="宋体" w:hAnsi="宋体"/>
          <w:szCs w:val="21"/>
        </w:rPr>
        <w:t>第五章  开标</w:t>
      </w:r>
    </w:p>
    <w:p>
      <w:pPr>
        <w:ind w:left="720" w:leftChars="300" w:firstLine="470" w:firstLineChars="196"/>
        <w:rPr>
          <w:rFonts w:ascii="宋体" w:hAnsi="宋体"/>
          <w:szCs w:val="21"/>
        </w:rPr>
      </w:pPr>
      <w:r>
        <w:rPr>
          <w:rFonts w:hint="eastAsia" w:ascii="宋体" w:hAnsi="宋体"/>
          <w:szCs w:val="21"/>
        </w:rPr>
        <w:t>第六章  评审要求</w:t>
      </w:r>
    </w:p>
    <w:p>
      <w:pPr>
        <w:ind w:left="720" w:leftChars="300" w:firstLine="470" w:firstLineChars="196"/>
        <w:rPr>
          <w:rFonts w:ascii="宋体" w:hAnsi="宋体"/>
          <w:szCs w:val="21"/>
        </w:rPr>
      </w:pPr>
      <w:r>
        <w:rPr>
          <w:rFonts w:hint="eastAsia" w:ascii="宋体" w:hAnsi="宋体"/>
          <w:szCs w:val="21"/>
        </w:rPr>
        <w:t>第七章  评审程序及评审方法</w:t>
      </w:r>
    </w:p>
    <w:p>
      <w:pPr>
        <w:ind w:left="720" w:leftChars="300" w:firstLine="470" w:firstLineChars="196"/>
        <w:rPr>
          <w:rFonts w:ascii="宋体" w:hAnsi="宋体"/>
          <w:szCs w:val="21"/>
        </w:rPr>
      </w:pPr>
      <w:r>
        <w:rPr>
          <w:rFonts w:hint="eastAsia" w:ascii="宋体" w:hAnsi="宋体"/>
          <w:szCs w:val="21"/>
        </w:rPr>
        <w:t>第八章  定标及公示</w:t>
      </w:r>
    </w:p>
    <w:p>
      <w:pPr>
        <w:ind w:left="720" w:leftChars="300" w:firstLine="470" w:firstLineChars="196"/>
        <w:rPr>
          <w:rFonts w:ascii="宋体" w:hAnsi="宋体"/>
          <w:szCs w:val="21"/>
        </w:rPr>
      </w:pPr>
      <w:r>
        <w:rPr>
          <w:rFonts w:hint="eastAsia" w:ascii="宋体" w:hAnsi="宋体"/>
          <w:szCs w:val="21"/>
        </w:rPr>
        <w:t>第九章  公开招标失败的后续处理</w:t>
      </w:r>
    </w:p>
    <w:p>
      <w:pPr>
        <w:ind w:left="720" w:leftChars="300" w:firstLine="470" w:firstLineChars="196"/>
        <w:rPr>
          <w:rFonts w:ascii="宋体" w:hAnsi="宋体"/>
          <w:szCs w:val="21"/>
        </w:rPr>
      </w:pPr>
      <w:r>
        <w:rPr>
          <w:rFonts w:hint="eastAsia" w:ascii="宋体" w:hAnsi="宋体"/>
          <w:szCs w:val="21"/>
        </w:rPr>
        <w:t>第十章  合同的授予与备案</w:t>
      </w:r>
    </w:p>
    <w:p>
      <w:r>
        <w:rPr>
          <w:rFonts w:hint="eastAsia"/>
        </w:rPr>
        <w:t>第十一章质疑处理</w:t>
      </w:r>
    </w:p>
    <w:p/>
    <w:p/>
    <w:p>
      <w:r>
        <w:br w:type="page"/>
      </w:r>
    </w:p>
    <w:p>
      <w:pPr>
        <w:pStyle w:val="23"/>
        <w:spacing w:after="60"/>
        <w:jc w:val="center"/>
        <w:rPr>
          <w:sz w:val="32"/>
          <w:szCs w:val="32"/>
        </w:rPr>
      </w:pPr>
      <w:r>
        <w:rPr>
          <w:rFonts w:hint="eastAsia"/>
          <w:sz w:val="32"/>
          <w:szCs w:val="32"/>
        </w:rPr>
        <w:t>第一册专用条款</w:t>
      </w:r>
    </w:p>
    <w:p>
      <w:pPr>
        <w:tabs>
          <w:tab w:val="left" w:pos="2790"/>
        </w:tabs>
        <w:snapToGrid w:val="0"/>
        <w:jc w:val="center"/>
        <w:rPr>
          <w:b/>
        </w:rPr>
      </w:pPr>
      <w:r>
        <w:rPr>
          <w:rFonts w:hint="eastAsia"/>
          <w:b/>
        </w:rPr>
        <w:t>关键信息</w:t>
      </w:r>
    </w:p>
    <w:p>
      <w:pPr>
        <w:tabs>
          <w:tab w:val="left" w:pos="2790"/>
        </w:tabs>
        <w:snapToGrid w:val="0"/>
        <w:rPr>
          <w:rFonts w:hint="eastAsia" w:eastAsia="宋体"/>
          <w:lang w:eastAsia="zh-CN"/>
        </w:rPr>
      </w:pPr>
      <w:r>
        <w:t>项目编号：</w:t>
      </w:r>
      <w:r>
        <w:rPr>
          <w:rFonts w:hint="eastAsia" w:eastAsia="宋体"/>
          <w:lang w:eastAsia="zh-CN"/>
        </w:rPr>
        <w:t>KSS-（GK）-FHY2022-12</w:t>
      </w:r>
    </w:p>
    <w:p>
      <w:pPr>
        <w:tabs>
          <w:tab w:val="left" w:pos="2790"/>
        </w:tabs>
        <w:snapToGrid w:val="0"/>
        <w:rPr>
          <w:rFonts w:hint="eastAsia" w:eastAsia="宋体"/>
          <w:lang w:eastAsia="zh-CN"/>
        </w:rPr>
      </w:pPr>
      <w:r>
        <w:t>项目名称：</w:t>
      </w:r>
      <w:r>
        <w:rPr>
          <w:rFonts w:hint="eastAsia" w:ascii="宋体" w:hAnsi="宋体" w:eastAsia="宋体" w:cs="宋体"/>
          <w:lang w:eastAsia="zh-CN"/>
        </w:rPr>
        <w:t>喀什市公安局伙食食材采购项目</w:t>
      </w:r>
    </w:p>
    <w:p>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喀什市公安局</w:t>
      </w:r>
    </w:p>
    <w:p>
      <w:pPr>
        <w:tabs>
          <w:tab w:val="left" w:pos="2790"/>
        </w:tabs>
        <w:snapToGrid w:val="0"/>
      </w:pPr>
      <w:r>
        <w:rPr>
          <w:rFonts w:hint="eastAsia"/>
        </w:rPr>
        <w:t>项目类型：</w:t>
      </w:r>
      <w:r>
        <w:rPr>
          <w:rFonts w:hint="eastAsia" w:eastAsia="宋体"/>
          <w:lang w:eastAsia="zh-CN"/>
        </w:rPr>
        <w:t>货物类</w:t>
      </w:r>
    </w:p>
    <w:p>
      <w:pPr>
        <w:tabs>
          <w:tab w:val="left" w:pos="2790"/>
        </w:tabs>
        <w:snapToGrid w:val="0"/>
      </w:pPr>
      <w:r>
        <w:rPr>
          <w:rFonts w:hint="eastAsia"/>
        </w:rPr>
        <w:t>评审方法：综合评分法</w:t>
      </w:r>
    </w:p>
    <w:tbl>
      <w:tblPr>
        <w:tblStyle w:val="1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pPr>
              <w:jc w:val="center"/>
              <w:rPr>
                <w:rFonts w:ascii="Calibri" w:hAnsi="Calibri" w:eastAsia="宋体"/>
                <w:b/>
              </w:rPr>
            </w:pPr>
            <w:r>
              <w:rPr>
                <w:rFonts w:hint="eastAsia" w:ascii="Calibri" w:hAnsi="Calibri" w:eastAsia="宋体"/>
                <w:b/>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1</w:t>
            </w:r>
          </w:p>
        </w:tc>
        <w:tc>
          <w:tcPr>
            <w:tcW w:w="8229" w:type="dxa"/>
          </w:tcPr>
          <w:p>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pPr>
              <w:jc w:val="center"/>
              <w:rPr>
                <w:rFonts w:ascii="Calibri" w:hAnsi="Calibri" w:eastAsia="宋体"/>
                <w:b/>
              </w:rPr>
            </w:pPr>
            <w:r>
              <w:rPr>
                <w:rFonts w:hint="eastAsia" w:ascii="Calibri" w:hAnsi="Calibri" w:eastAsia="宋体"/>
                <w:b/>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1</w:t>
            </w:r>
          </w:p>
        </w:tc>
        <w:tc>
          <w:tcPr>
            <w:tcW w:w="8229" w:type="dxa"/>
          </w:tcPr>
          <w:p>
            <w:pPr>
              <w:rPr>
                <w:rFonts w:ascii="Calibri" w:hAnsi="Calibri" w:eastAsia="宋体"/>
              </w:rPr>
            </w:pPr>
            <w:r>
              <w:rPr>
                <w:rFonts w:ascii="Calibri" w:hAnsi="Calibri" w:eastAsia="宋体"/>
              </w:rPr>
              <w:t>按要求提供法定代表人证明书及法定代表人授权书。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2</w:t>
            </w:r>
          </w:p>
        </w:tc>
        <w:tc>
          <w:tcPr>
            <w:tcW w:w="8229" w:type="dxa"/>
          </w:tcPr>
          <w:p>
            <w:pPr>
              <w:rPr>
                <w:rFonts w:ascii="Calibri" w:hAnsi="Calibri" w:eastAsia="宋体"/>
              </w:rPr>
            </w:pPr>
            <w:r>
              <w:rPr>
                <w:rFonts w:hint="eastAsia" w:ascii="Calibri" w:hAnsi="Calibri" w:eastAsia="宋体"/>
              </w:rPr>
              <w:t>按要求提供《投标函》</w:t>
            </w:r>
            <w:r>
              <w:rPr>
                <w:rFonts w:ascii="Calibri" w:hAnsi="Calibri"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3</w:t>
            </w:r>
          </w:p>
        </w:tc>
        <w:tc>
          <w:tcPr>
            <w:tcW w:w="8229" w:type="dxa"/>
          </w:tcPr>
          <w:p>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4</w:t>
            </w:r>
          </w:p>
        </w:tc>
        <w:tc>
          <w:tcPr>
            <w:tcW w:w="8229" w:type="dxa"/>
          </w:tcPr>
          <w:p>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5</w:t>
            </w:r>
          </w:p>
        </w:tc>
        <w:tc>
          <w:tcPr>
            <w:tcW w:w="8229" w:type="dxa"/>
          </w:tcPr>
          <w:p>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ascii="Calibri" w:hAnsi="Calibri" w:eastAsia="宋体"/>
              </w:rPr>
            </w:pPr>
            <w:r>
              <w:rPr>
                <w:rFonts w:ascii="Calibri" w:hAnsi="Calibri" w:eastAsia="宋体"/>
              </w:rPr>
              <w:t>6</w:t>
            </w:r>
          </w:p>
        </w:tc>
        <w:tc>
          <w:tcPr>
            <w:tcW w:w="8229" w:type="dxa"/>
          </w:tcPr>
          <w:p>
            <w:pPr>
              <w:rPr>
                <w:rFonts w:ascii="Calibri" w:hAnsi="Calibri" w:eastAsia="宋体"/>
              </w:rPr>
            </w:pPr>
            <w:r>
              <w:rPr>
                <w:rFonts w:ascii="Calibri" w:hAnsi="Calibri" w:eastAsia="宋体"/>
              </w:rPr>
              <w:t>可只对其中一个包或几个包内容进行投标（如有的话），但不得将一个包中的内容拆开投标。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pPr>
              <w:rPr>
                <w:rFonts w:ascii="Calibri" w:hAnsi="Calibri" w:eastAsia="宋体"/>
              </w:rPr>
            </w:pPr>
            <w:r>
              <w:rPr>
                <w:rFonts w:hint="eastAsia" w:ascii="Calibri" w:hAnsi="Calibri" w:eastAsia="宋体"/>
              </w:rPr>
              <w:t>投标文件电子文档不得携带病毒。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9</w:t>
            </w:r>
          </w:p>
        </w:tc>
        <w:tc>
          <w:tcPr>
            <w:tcW w:w="8229" w:type="dxa"/>
          </w:tcPr>
          <w:p>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10</w:t>
            </w:r>
          </w:p>
        </w:tc>
        <w:tc>
          <w:tcPr>
            <w:tcW w:w="8229" w:type="dxa"/>
          </w:tcPr>
          <w:p>
            <w:pPr>
              <w:rPr>
                <w:rFonts w:ascii="Calibri" w:hAnsi="Calibri" w:eastAsia="宋体"/>
              </w:rPr>
            </w:pPr>
            <w:r>
              <w:rPr>
                <w:rFonts w:ascii="Calibri" w:hAnsi="Calibri" w:eastAsia="宋体"/>
              </w:rPr>
              <w:t>无招标文件中列明导致投标无效的其他因素。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pPr>
              <w:rPr>
                <w:rFonts w:ascii="Calibri" w:hAnsi="Calibri" w:eastAsia="宋体"/>
              </w:rPr>
            </w:pPr>
            <w:r>
              <w:rPr>
                <w:rFonts w:ascii="Calibri" w:hAnsi="Calibri" w:eastAsia="宋体"/>
              </w:rPr>
              <w:t>11</w:t>
            </w:r>
          </w:p>
        </w:tc>
        <w:tc>
          <w:tcPr>
            <w:tcW w:w="8229" w:type="dxa"/>
          </w:tcPr>
          <w:p>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pPr>
        <w:jc w:val="center"/>
        <w:rPr>
          <w:b/>
        </w:rPr>
      </w:pPr>
      <w:r>
        <w:rPr>
          <w:rFonts w:hint="eastAsia"/>
          <w:b/>
        </w:rPr>
        <w:t>评标信息</w:t>
      </w:r>
    </w:p>
    <w:p>
      <w:pPr>
        <w:pStyle w:val="16"/>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16"/>
        <w:snapToGrid w:val="0"/>
        <w:spacing w:before="0" w:beforeAutospacing="0" w:afterAutospacing="0"/>
        <w:ind w:firstLine="420"/>
        <w:rPr>
          <w:sz w:val="21"/>
          <w:szCs w:val="21"/>
        </w:rPr>
      </w:pPr>
      <w:r>
        <w:rPr>
          <w:sz w:val="21"/>
          <w:szCs w:val="21"/>
        </w:rPr>
        <w:t>价格分计算方法：</w:t>
      </w:r>
    </w:p>
    <w:p>
      <w:pPr>
        <w:snapToGrid w:val="0"/>
        <w:rPr>
          <w:rFonts w:hint="eastAsia" w:eastAsia="宋体"/>
          <w:szCs w:val="21"/>
          <w:lang w:eastAsia="zh-CN"/>
        </w:rPr>
      </w:pPr>
      <w:r>
        <w:rPr>
          <w:szCs w:val="21"/>
        </w:rPr>
        <w:t>采用低价优先法计算，即满足招标文件要求且</w:t>
      </w:r>
      <w:r>
        <w:rPr>
          <w:rFonts w:hint="eastAsia" w:eastAsia="宋体"/>
          <w:szCs w:val="21"/>
          <w:lang w:val="en-US" w:eastAsia="zh-CN"/>
        </w:rPr>
        <w:t>下浮率最高</w:t>
      </w:r>
      <w:r>
        <w:rPr>
          <w:szCs w:val="21"/>
        </w:rPr>
        <w:t>的投标报价为评标基准价，其价格分为满分。其他投标人的价格分统一按照下列公式计算：</w:t>
      </w:r>
    </w:p>
    <w:p>
      <w:pPr>
        <w:snapToGrid w:val="0"/>
        <w:rPr>
          <w:rFonts w:hint="eastAsia" w:eastAsia="宋体"/>
          <w:szCs w:val="21"/>
          <w:lang w:eastAsia="zh-CN"/>
        </w:rPr>
      </w:pPr>
      <w:r>
        <w:rPr>
          <w:szCs w:val="21"/>
        </w:rPr>
        <w:t>投标报价得分=(</w:t>
      </w:r>
      <w:r>
        <w:rPr>
          <w:rFonts w:hint="eastAsia"/>
          <w:szCs w:val="21"/>
        </w:rPr>
        <w:t>下浮率/评标基准价</w:t>
      </w:r>
      <w:r>
        <w:rPr>
          <w:szCs w:val="21"/>
        </w:rPr>
        <w:t xml:space="preserve">)×100 </w:t>
      </w:r>
    </w:p>
    <w:p>
      <w:pPr>
        <w:snapToGrid w:val="0"/>
        <w:rPr>
          <w:rFonts w:hint="eastAsia" w:eastAsia="宋体"/>
          <w:szCs w:val="21"/>
          <w:lang w:eastAsia="zh-CN"/>
        </w:rPr>
      </w:pPr>
      <w:r>
        <w:rPr>
          <w:szCs w:val="21"/>
        </w:rPr>
        <w:t xml:space="preserve">评标总得分＝F1×A1＋F2×A2＋……＋Fn×An </w:t>
      </w:r>
    </w:p>
    <w:p>
      <w:pPr>
        <w:snapToGrid w:val="0"/>
        <w:rPr>
          <w:rFonts w:hint="eastAsia" w:eastAsia="宋体"/>
          <w:szCs w:val="21"/>
          <w:lang w:eastAsia="zh-CN"/>
        </w:rPr>
      </w:pPr>
      <w:r>
        <w:rPr>
          <w:szCs w:val="21"/>
        </w:rPr>
        <w:t>F1、F2……Fn分别为各项评审因素的得分；</w:t>
      </w:r>
    </w:p>
    <w:p>
      <w:pPr>
        <w:snapToGrid w:val="0"/>
        <w:rPr>
          <w:rFonts w:hint="eastAsia" w:eastAsia="宋体"/>
          <w:szCs w:val="21"/>
          <w:lang w:eastAsia="zh-CN"/>
        </w:rPr>
      </w:pPr>
      <w:r>
        <w:rPr>
          <w:szCs w:val="21"/>
        </w:rPr>
        <w:t>A1、A2、……An 分别为各项评审因素所占的权重(A1＋A2＋……＋An＝1)。</w:t>
      </w:r>
    </w:p>
    <w:p>
      <w:pPr>
        <w:snapToGrid w:val="0"/>
        <w:rPr>
          <w:rFonts w:hint="eastAsia" w:eastAsia="宋体"/>
          <w:szCs w:val="21"/>
          <w:lang w:eastAsia="zh-CN"/>
        </w:rPr>
      </w:pPr>
      <w:r>
        <w:rPr>
          <w:szCs w:val="21"/>
        </w:rPr>
        <w:t>评标过程中，不得去掉报价中的最高报价和最低报价。</w:t>
      </w:r>
    </w:p>
    <w:p>
      <w:pPr>
        <w:snapToGrid w:val="0"/>
      </w:pPr>
      <w:r>
        <w:rPr>
          <w:szCs w:val="21"/>
        </w:rPr>
        <w:t>此方法适用于货物类、</w:t>
      </w:r>
      <w:r>
        <w:rPr>
          <w:rFonts w:hint="eastAsia" w:eastAsia="宋体"/>
          <w:szCs w:val="21"/>
          <w:lang w:eastAsia="zh-CN"/>
        </w:rPr>
        <w:t>货物类</w:t>
      </w:r>
      <w:r>
        <w:rPr>
          <w:szCs w:val="21"/>
        </w:rPr>
        <w:t>、工程类项目。</w:t>
      </w:r>
    </w:p>
    <w:p>
      <w:pPr>
        <w:autoSpaceDE w:val="0"/>
        <w:autoSpaceDN w:val="0"/>
        <w:adjustRightInd w:val="0"/>
        <w:snapToGrid w:val="0"/>
        <w:spacing w:line="400" w:lineRule="exact"/>
        <w:jc w:val="both"/>
        <w:outlineLvl w:val="1"/>
        <w:rPr>
          <w:rFonts w:hint="eastAsia" w:ascii="宋体" w:cs="仿宋_GB2312"/>
          <w:b/>
          <w:sz w:val="28"/>
          <w:szCs w:val="28"/>
          <w:lang w:val="zh-CN"/>
        </w:rPr>
      </w:pPr>
    </w:p>
    <w:p>
      <w:pPr>
        <w:shd w:val="clear"/>
        <w:autoSpaceDE w:val="0"/>
        <w:autoSpaceDN w:val="0"/>
        <w:adjustRightInd w:val="0"/>
        <w:snapToGrid w:val="0"/>
        <w:spacing w:line="400" w:lineRule="exact"/>
        <w:jc w:val="center"/>
        <w:outlineLvl w:val="1"/>
        <w:rPr>
          <w:rFonts w:ascii="宋体" w:cs="仿宋_GB2312"/>
          <w:b/>
          <w:bCs/>
          <w:sz w:val="28"/>
          <w:szCs w:val="28"/>
          <w:highlight w:val="none"/>
          <w:lang w:val="zh-CN"/>
        </w:rPr>
      </w:pPr>
      <w:r>
        <w:rPr>
          <w:rFonts w:hint="eastAsia" w:ascii="宋体" w:cs="仿宋_GB2312"/>
          <w:b/>
          <w:sz w:val="28"/>
          <w:szCs w:val="28"/>
          <w:highlight w:val="none"/>
          <w:lang w:val="zh-CN"/>
        </w:rPr>
        <w:t>评标方法：综合评分法</w:t>
      </w:r>
      <w:r>
        <w:rPr>
          <w:rFonts w:hint="eastAsia" w:ascii="宋体" w:cs="仿宋_GB2312"/>
          <w:b/>
          <w:bCs/>
          <w:sz w:val="28"/>
          <w:szCs w:val="28"/>
          <w:highlight w:val="none"/>
          <w:lang w:val="zh-CN"/>
        </w:rPr>
        <w:t>（总计</w:t>
      </w:r>
      <w:r>
        <w:rPr>
          <w:rFonts w:hint="eastAsia" w:ascii="宋体" w:cs="仿宋_GB2312"/>
          <w:b/>
          <w:bCs/>
          <w:sz w:val="28"/>
          <w:szCs w:val="28"/>
          <w:highlight w:val="none"/>
        </w:rPr>
        <w:t>100</w:t>
      </w:r>
      <w:r>
        <w:rPr>
          <w:rFonts w:hint="eastAsia" w:ascii="宋体" w:cs="仿宋_GB2312"/>
          <w:b/>
          <w:bCs/>
          <w:sz w:val="28"/>
          <w:szCs w:val="28"/>
          <w:highlight w:val="none"/>
          <w:lang w:val="zh-CN"/>
        </w:rPr>
        <w:t>分）</w:t>
      </w:r>
    </w:p>
    <w:p>
      <w:pPr>
        <w:pStyle w:val="15"/>
        <w:shd w:val="clear"/>
        <w:rPr>
          <w:rFonts w:ascii="宋体" w:hAnsi="宋体"/>
          <w:szCs w:val="21"/>
          <w:highlight w:val="none"/>
        </w:rPr>
      </w:pPr>
    </w:p>
    <w:p>
      <w:pPr>
        <w:shd w:val="clear"/>
        <w:spacing w:line="440" w:lineRule="exact"/>
        <w:jc w:val="center"/>
        <w:outlineLvl w:val="0"/>
        <w:rPr>
          <w:rFonts w:ascii="Arial" w:hAnsi="Arial" w:cs="Arial"/>
          <w:b/>
          <w:sz w:val="24"/>
          <w:highlight w:val="none"/>
        </w:rPr>
      </w:pPr>
      <w:bookmarkStart w:id="0" w:name="_Toc523257134"/>
      <w:r>
        <w:rPr>
          <w:rFonts w:hint="eastAsia" w:ascii="宋体" w:hAnsi="宋体"/>
          <w:b/>
          <w:sz w:val="28"/>
          <w:szCs w:val="28"/>
          <w:highlight w:val="none"/>
        </w:rPr>
        <w:t>综合评分表</w:t>
      </w:r>
      <w:bookmarkEnd w:id="0"/>
    </w:p>
    <w:p>
      <w:pPr>
        <w:shd w:val="clear"/>
        <w:rPr>
          <w:rFonts w:ascii="Arial" w:hAnsi="Arial" w:cs="Arial"/>
          <w:b/>
          <w:sz w:val="24"/>
          <w:highlight w:val="none"/>
        </w:rPr>
      </w:pPr>
      <w:r>
        <w:rPr>
          <w:rFonts w:hint="eastAsia" w:ascii="Arial" w:hAnsi="Arial" w:cs="Arial"/>
          <w:b/>
          <w:sz w:val="24"/>
          <w:highlight w:val="none"/>
        </w:rPr>
        <w:t>价格部分（</w:t>
      </w:r>
      <w:r>
        <w:rPr>
          <w:rFonts w:hint="eastAsia" w:ascii="Arial" w:hAnsi="Arial" w:cs="Arial"/>
          <w:b/>
          <w:sz w:val="24"/>
          <w:highlight w:val="none"/>
          <w:lang w:val="en-US" w:eastAsia="zh-CN"/>
        </w:rPr>
        <w:t>3</w:t>
      </w:r>
      <w:r>
        <w:rPr>
          <w:rFonts w:hint="eastAsia" w:ascii="Arial" w:hAnsi="Arial" w:cs="Arial"/>
          <w:b/>
          <w:sz w:val="24"/>
          <w:highlight w:val="none"/>
        </w:rPr>
        <w:t>0分）</w:t>
      </w:r>
    </w:p>
    <w:tbl>
      <w:tblPr>
        <w:tblStyle w:val="19"/>
        <w:tblW w:w="99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7"/>
        <w:gridCol w:w="1801"/>
        <w:gridCol w:w="1032"/>
        <w:gridCol w:w="63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827" w:type="dxa"/>
            <w:noWrap w:val="0"/>
            <w:vAlign w:val="center"/>
          </w:tcPr>
          <w:p>
            <w:pPr>
              <w:shd w:val="clear"/>
              <w:spacing w:line="440" w:lineRule="exact"/>
              <w:jc w:val="center"/>
              <w:outlineLvl w:val="0"/>
              <w:rPr>
                <w:rFonts w:ascii="宋体" w:hAnsi="宋体"/>
                <w:bCs/>
                <w:sz w:val="22"/>
                <w:szCs w:val="20"/>
                <w:highlight w:val="none"/>
              </w:rPr>
            </w:pPr>
            <w:r>
              <w:rPr>
                <w:rFonts w:hint="eastAsia" w:ascii="宋体" w:hAnsi="宋体"/>
                <w:bCs/>
                <w:sz w:val="22"/>
                <w:szCs w:val="20"/>
                <w:highlight w:val="none"/>
              </w:rPr>
              <w:t>序号</w:t>
            </w:r>
          </w:p>
        </w:tc>
        <w:tc>
          <w:tcPr>
            <w:tcW w:w="1801" w:type="dxa"/>
            <w:noWrap w:val="0"/>
            <w:vAlign w:val="center"/>
          </w:tcPr>
          <w:p>
            <w:pPr>
              <w:shd w:val="clear"/>
              <w:spacing w:line="440" w:lineRule="exact"/>
              <w:jc w:val="center"/>
              <w:outlineLvl w:val="0"/>
              <w:rPr>
                <w:rFonts w:ascii="宋体" w:hAnsi="宋体"/>
                <w:bCs/>
                <w:sz w:val="22"/>
                <w:szCs w:val="20"/>
                <w:highlight w:val="none"/>
              </w:rPr>
            </w:pPr>
            <w:r>
              <w:rPr>
                <w:rFonts w:hint="eastAsia" w:ascii="宋体" w:hAnsi="宋体"/>
                <w:bCs/>
                <w:sz w:val="22"/>
                <w:szCs w:val="20"/>
                <w:highlight w:val="none"/>
              </w:rPr>
              <w:t>评审项目</w:t>
            </w:r>
          </w:p>
        </w:tc>
        <w:tc>
          <w:tcPr>
            <w:tcW w:w="1032" w:type="dxa"/>
            <w:noWrap w:val="0"/>
            <w:vAlign w:val="center"/>
          </w:tcPr>
          <w:p>
            <w:pPr>
              <w:shd w:val="clear"/>
              <w:spacing w:line="440" w:lineRule="exact"/>
              <w:jc w:val="center"/>
              <w:outlineLvl w:val="0"/>
              <w:rPr>
                <w:rFonts w:ascii="宋体" w:hAnsi="宋体"/>
                <w:bCs/>
                <w:sz w:val="22"/>
                <w:szCs w:val="20"/>
                <w:highlight w:val="none"/>
              </w:rPr>
            </w:pPr>
            <w:r>
              <w:rPr>
                <w:rFonts w:hint="eastAsia" w:ascii="宋体" w:hAnsi="宋体"/>
                <w:bCs/>
                <w:sz w:val="22"/>
                <w:szCs w:val="20"/>
                <w:highlight w:val="none"/>
              </w:rPr>
              <w:t>分值</w:t>
            </w:r>
          </w:p>
        </w:tc>
        <w:tc>
          <w:tcPr>
            <w:tcW w:w="6300" w:type="dxa"/>
            <w:noWrap w:val="0"/>
            <w:vAlign w:val="center"/>
          </w:tcPr>
          <w:p>
            <w:pPr>
              <w:shd w:val="clear"/>
              <w:spacing w:line="440" w:lineRule="exact"/>
              <w:jc w:val="center"/>
              <w:outlineLvl w:val="0"/>
              <w:rPr>
                <w:rFonts w:ascii="宋体" w:hAnsi="宋体"/>
                <w:bCs/>
                <w:sz w:val="22"/>
                <w:szCs w:val="20"/>
                <w:highlight w:val="none"/>
              </w:rPr>
            </w:pPr>
            <w:r>
              <w:rPr>
                <w:rFonts w:hint="eastAsia" w:ascii="宋体" w:hAnsi="宋体"/>
                <w:bCs/>
                <w:sz w:val="22"/>
                <w:szCs w:val="20"/>
                <w:highlight w:val="none"/>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00" w:hRule="atLeast"/>
          <w:jc w:val="center"/>
        </w:trPr>
        <w:tc>
          <w:tcPr>
            <w:tcW w:w="827" w:type="dxa"/>
            <w:noWrap w:val="0"/>
            <w:vAlign w:val="center"/>
          </w:tcPr>
          <w:p>
            <w:pPr>
              <w:shd w:val="clear"/>
              <w:spacing w:line="420" w:lineRule="exact"/>
              <w:jc w:val="center"/>
              <w:outlineLvl w:val="0"/>
              <w:rPr>
                <w:rFonts w:ascii="宋体" w:hAnsi="宋体"/>
                <w:bCs/>
                <w:szCs w:val="21"/>
                <w:highlight w:val="none"/>
              </w:rPr>
            </w:pPr>
            <w:r>
              <w:rPr>
                <w:rFonts w:hint="eastAsia" w:ascii="宋体" w:hAnsi="宋体"/>
                <w:bCs/>
                <w:szCs w:val="21"/>
                <w:highlight w:val="none"/>
              </w:rPr>
              <w:t>一</w:t>
            </w:r>
          </w:p>
        </w:tc>
        <w:tc>
          <w:tcPr>
            <w:tcW w:w="1801" w:type="dxa"/>
            <w:noWrap w:val="0"/>
            <w:vAlign w:val="center"/>
          </w:tcPr>
          <w:p>
            <w:pPr>
              <w:shd w:val="clear"/>
              <w:spacing w:line="420" w:lineRule="exact"/>
              <w:jc w:val="left"/>
              <w:outlineLvl w:val="0"/>
              <w:rPr>
                <w:rFonts w:ascii="宋体" w:hAnsi="宋体"/>
                <w:bCs/>
                <w:szCs w:val="21"/>
                <w:highlight w:val="none"/>
              </w:rPr>
            </w:pPr>
            <w:r>
              <w:rPr>
                <w:rFonts w:hint="eastAsia" w:ascii="宋体" w:hAnsi="宋体"/>
                <w:bCs/>
                <w:szCs w:val="21"/>
                <w:highlight w:val="none"/>
              </w:rPr>
              <w:t>价格部分</w:t>
            </w:r>
          </w:p>
        </w:tc>
        <w:tc>
          <w:tcPr>
            <w:tcW w:w="1032" w:type="dxa"/>
            <w:noWrap w:val="0"/>
            <w:vAlign w:val="center"/>
          </w:tcPr>
          <w:p>
            <w:pPr>
              <w:shd w:val="clear"/>
              <w:spacing w:line="420" w:lineRule="exact"/>
              <w:jc w:val="left"/>
              <w:outlineLvl w:val="0"/>
              <w:rPr>
                <w:rFonts w:ascii="宋体" w:hAnsi="宋体"/>
                <w:bCs/>
                <w:szCs w:val="21"/>
                <w:highlight w:val="none"/>
              </w:rPr>
            </w:pPr>
            <w:r>
              <w:rPr>
                <w:rFonts w:hint="eastAsia" w:ascii="宋体" w:hAnsi="宋体"/>
                <w:bCs/>
                <w:szCs w:val="21"/>
                <w:highlight w:val="none"/>
                <w:lang w:val="en-US" w:eastAsia="zh-CN"/>
              </w:rPr>
              <w:t>3</w:t>
            </w:r>
            <w:r>
              <w:rPr>
                <w:rFonts w:hint="eastAsia" w:ascii="宋体" w:hAnsi="宋体"/>
                <w:bCs/>
                <w:szCs w:val="21"/>
                <w:highlight w:val="none"/>
              </w:rPr>
              <w:t>0分</w:t>
            </w:r>
          </w:p>
        </w:tc>
        <w:tc>
          <w:tcPr>
            <w:tcW w:w="6300" w:type="dxa"/>
            <w:noWrap w:val="0"/>
            <w:vAlign w:val="center"/>
          </w:tcPr>
          <w:p>
            <w:pPr>
              <w:shd w:val="clear"/>
              <w:spacing w:line="420" w:lineRule="exact"/>
              <w:jc w:val="left"/>
              <w:outlineLvl w:val="0"/>
              <w:rPr>
                <w:rFonts w:hint="eastAsia"/>
                <w:highlight w:val="none"/>
              </w:rPr>
            </w:pPr>
            <w:r>
              <w:rPr>
                <w:rFonts w:hint="eastAsia"/>
                <w:highlight w:val="none"/>
              </w:rPr>
              <w:t>评标基准价=下浮率最高值，下浮率等于评标基准价的得满分30分。</w:t>
            </w:r>
          </w:p>
          <w:p>
            <w:pPr>
              <w:shd w:val="clear"/>
              <w:spacing w:line="420" w:lineRule="exact"/>
              <w:jc w:val="left"/>
              <w:outlineLvl w:val="0"/>
              <w:rPr>
                <w:rFonts w:hint="eastAsia"/>
                <w:highlight w:val="none"/>
              </w:rPr>
            </w:pPr>
            <w:r>
              <w:rPr>
                <w:rFonts w:hint="eastAsia"/>
                <w:highlight w:val="none"/>
              </w:rPr>
              <w:t>投标报价得分=（下浮率/评标基准价）×30×100%。</w:t>
            </w:r>
          </w:p>
          <w:p>
            <w:pPr>
              <w:shd w:val="clear"/>
              <w:spacing w:line="420" w:lineRule="exact"/>
              <w:jc w:val="left"/>
              <w:outlineLvl w:val="0"/>
              <w:rPr>
                <w:highlight w:val="none"/>
              </w:rPr>
            </w:pPr>
            <w:r>
              <w:rPr>
                <w:rFonts w:hint="eastAsia"/>
                <w:highlight w:val="none"/>
              </w:rPr>
              <w:t>注：若投标人的报价明显低于其他通过资格性和符合性审查的投标报价的，投标人则需现场提供相关证明材料作出合理的解释说明，否则视为无效报价。</w:t>
            </w:r>
          </w:p>
        </w:tc>
      </w:tr>
    </w:tbl>
    <w:p>
      <w:pPr>
        <w:shd w:val="clear"/>
        <w:spacing w:line="420" w:lineRule="exact"/>
        <w:rPr>
          <w:rFonts w:ascii="Arial" w:hAnsi="Arial" w:cs="Arial"/>
          <w:b/>
          <w:sz w:val="24"/>
          <w:highlight w:val="none"/>
        </w:rPr>
      </w:pPr>
      <w:r>
        <w:rPr>
          <w:rFonts w:ascii="Arial" w:hAnsi="Arial" w:cs="Arial"/>
          <w:b/>
          <w:sz w:val="24"/>
          <w:highlight w:val="none"/>
        </w:rPr>
        <w:t>技术部分（</w:t>
      </w:r>
      <w:r>
        <w:rPr>
          <w:rFonts w:hint="eastAsia" w:ascii="Arial" w:hAnsi="Arial" w:cs="Arial"/>
          <w:b/>
          <w:sz w:val="24"/>
          <w:highlight w:val="none"/>
          <w:lang w:val="en-US" w:eastAsia="zh-CN"/>
        </w:rPr>
        <w:t>50</w:t>
      </w:r>
      <w:r>
        <w:rPr>
          <w:rFonts w:hint="eastAsia" w:ascii="Arial" w:hAnsi="Arial" w:cs="Arial"/>
          <w:b/>
          <w:sz w:val="24"/>
          <w:highlight w:val="none"/>
        </w:rPr>
        <w:t>分</w:t>
      </w:r>
      <w:r>
        <w:rPr>
          <w:rFonts w:ascii="Arial" w:hAnsi="Arial" w:cs="Arial"/>
          <w:b/>
          <w:sz w:val="24"/>
          <w:highlight w:val="none"/>
        </w:rPr>
        <w:t>）</w:t>
      </w:r>
    </w:p>
    <w:tbl>
      <w:tblPr>
        <w:tblStyle w:val="19"/>
        <w:tblpPr w:leftFromText="180" w:rightFromText="180" w:vertAnchor="text" w:horzAnchor="page" w:tblpX="1084" w:tblpY="136"/>
        <w:tblOverlap w:val="never"/>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64"/>
        <w:gridCol w:w="106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trPr>
        <w:tc>
          <w:tcPr>
            <w:tcW w:w="825" w:type="dxa"/>
            <w:tcBorders>
              <w:bottom w:val="single" w:color="auto" w:sz="4" w:space="0"/>
            </w:tcBorders>
            <w:noWrap w:val="0"/>
            <w:vAlign w:val="center"/>
          </w:tcPr>
          <w:p>
            <w:pPr>
              <w:pStyle w:val="30"/>
              <w:shd w:val="clear"/>
              <w:snapToGrid w:val="0"/>
              <w:spacing w:line="420" w:lineRule="exact"/>
              <w:ind w:firstLine="0" w:firstLineChars="0"/>
              <w:jc w:val="left"/>
              <w:rPr>
                <w:rFonts w:hint="default" w:ascii="宋体" w:hAnsi="宋体" w:eastAsia="宋体"/>
                <w:b w:val="0"/>
                <w:kern w:val="0"/>
                <w:sz w:val="24"/>
                <w:szCs w:val="24"/>
                <w:highlight w:val="none"/>
                <w:lang w:val="en-US" w:eastAsia="zh-CN"/>
              </w:rPr>
            </w:pPr>
            <w:r>
              <w:rPr>
                <w:rFonts w:hint="eastAsia" w:ascii="宋体" w:hAnsi="宋体" w:eastAsia="宋体"/>
                <w:b w:val="0"/>
                <w:kern w:val="0"/>
                <w:sz w:val="22"/>
                <w:szCs w:val="22"/>
                <w:highlight w:val="none"/>
                <w:lang w:val="en-US" w:eastAsia="zh-CN"/>
              </w:rPr>
              <w:t>序号</w:t>
            </w:r>
          </w:p>
        </w:tc>
        <w:tc>
          <w:tcPr>
            <w:tcW w:w="1764" w:type="dxa"/>
            <w:noWrap w:val="0"/>
            <w:vAlign w:val="center"/>
          </w:tcPr>
          <w:p>
            <w:pPr>
              <w:pStyle w:val="30"/>
              <w:shd w:val="clear"/>
              <w:snapToGrid w:val="0"/>
              <w:spacing w:line="420" w:lineRule="exact"/>
              <w:ind w:firstLine="0" w:firstLineChars="0"/>
              <w:rPr>
                <w:rFonts w:ascii="宋体" w:hAnsi="宋体" w:eastAsia="宋体"/>
                <w:b w:val="0"/>
                <w:kern w:val="0"/>
                <w:sz w:val="24"/>
                <w:szCs w:val="24"/>
                <w:highlight w:val="none"/>
              </w:rPr>
            </w:pPr>
            <w:r>
              <w:rPr>
                <w:rFonts w:hint="eastAsia" w:ascii="宋体" w:hAnsi="宋体" w:eastAsia="宋体"/>
                <w:b w:val="0"/>
                <w:kern w:val="0"/>
                <w:sz w:val="24"/>
                <w:szCs w:val="24"/>
                <w:highlight w:val="none"/>
              </w:rPr>
              <w:t>评审项目</w:t>
            </w:r>
          </w:p>
        </w:tc>
        <w:tc>
          <w:tcPr>
            <w:tcW w:w="1069" w:type="dxa"/>
            <w:noWrap w:val="0"/>
            <w:vAlign w:val="center"/>
          </w:tcPr>
          <w:p>
            <w:pPr>
              <w:pStyle w:val="30"/>
              <w:shd w:val="clear"/>
              <w:snapToGrid w:val="0"/>
              <w:spacing w:line="420" w:lineRule="exact"/>
              <w:ind w:firstLine="0" w:firstLineChars="0"/>
              <w:rPr>
                <w:rFonts w:ascii="宋体" w:hAnsi="宋体" w:eastAsia="宋体"/>
                <w:b w:val="0"/>
                <w:kern w:val="0"/>
                <w:sz w:val="24"/>
                <w:szCs w:val="24"/>
                <w:highlight w:val="none"/>
              </w:rPr>
            </w:pPr>
            <w:r>
              <w:rPr>
                <w:rFonts w:hint="eastAsia" w:ascii="宋体" w:hAnsi="宋体" w:eastAsia="宋体"/>
                <w:b w:val="0"/>
                <w:kern w:val="0"/>
                <w:sz w:val="24"/>
                <w:szCs w:val="24"/>
                <w:highlight w:val="none"/>
              </w:rPr>
              <w:t>分值</w:t>
            </w:r>
          </w:p>
        </w:tc>
        <w:tc>
          <w:tcPr>
            <w:tcW w:w="6293" w:type="dxa"/>
            <w:noWrap w:val="0"/>
            <w:vAlign w:val="center"/>
          </w:tcPr>
          <w:p>
            <w:pPr>
              <w:pStyle w:val="30"/>
              <w:shd w:val="clear"/>
              <w:snapToGrid w:val="0"/>
              <w:spacing w:line="420" w:lineRule="exact"/>
              <w:ind w:firstLine="0" w:firstLineChars="0"/>
              <w:rPr>
                <w:rFonts w:ascii="宋体" w:hAnsi="宋体" w:eastAsia="宋体"/>
                <w:b w:val="0"/>
                <w:kern w:val="0"/>
                <w:sz w:val="24"/>
                <w:szCs w:val="24"/>
                <w:highlight w:val="none"/>
              </w:rPr>
            </w:pPr>
            <w:r>
              <w:rPr>
                <w:rFonts w:hint="eastAsia" w:ascii="宋体" w:hAnsi="宋体" w:eastAsia="宋体" w:cs="宋体"/>
                <w:b w:val="0"/>
                <w:bCs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Merge w:val="restart"/>
            <w:tcBorders>
              <w:top w:val="single" w:color="auto" w:sz="4" w:space="0"/>
              <w:left w:val="single" w:color="auto" w:sz="4" w:space="0"/>
              <w:right w:val="single" w:color="auto" w:sz="4" w:space="0"/>
            </w:tcBorders>
            <w:noWrap w:val="0"/>
            <w:vAlign w:val="center"/>
          </w:tcPr>
          <w:p>
            <w:pPr>
              <w:pStyle w:val="30"/>
              <w:shd w:val="clear"/>
              <w:spacing w:line="420" w:lineRule="exact"/>
              <w:ind w:firstLine="0" w:firstLineChars="0"/>
              <w:rPr>
                <w:rFonts w:hint="eastAsia" w:ascii="宋体" w:hAnsi="宋体" w:eastAsia="宋体"/>
                <w:b w:val="0"/>
                <w:kern w:val="0"/>
                <w:sz w:val="21"/>
                <w:szCs w:val="21"/>
                <w:highlight w:val="none"/>
                <w:lang w:eastAsia="zh-CN"/>
              </w:rPr>
            </w:pPr>
            <w:r>
              <w:rPr>
                <w:rFonts w:hint="eastAsia" w:ascii="宋体" w:hAnsi="宋体" w:eastAsia="宋体"/>
                <w:b w:val="0"/>
                <w:kern w:val="0"/>
                <w:sz w:val="22"/>
                <w:szCs w:val="22"/>
                <w:highlight w:val="none"/>
                <w:lang w:val="en-US" w:eastAsia="zh-CN"/>
              </w:rPr>
              <w:t>二</w:t>
            </w:r>
          </w:p>
        </w:tc>
        <w:tc>
          <w:tcPr>
            <w:tcW w:w="1764" w:type="dxa"/>
            <w:tcBorders>
              <w:left w:val="single" w:color="auto" w:sz="4" w:space="0"/>
            </w:tcBorders>
            <w:noWrap w:val="0"/>
            <w:vAlign w:val="center"/>
          </w:tcPr>
          <w:p>
            <w:pPr>
              <w:pStyle w:val="30"/>
              <w:shd w:val="clear"/>
              <w:snapToGrid w:val="0"/>
              <w:spacing w:line="420" w:lineRule="exact"/>
              <w:ind w:firstLine="0" w:firstLineChars="0"/>
              <w:jc w:val="left"/>
              <w:rPr>
                <w:rFonts w:hint="eastAsia" w:ascii="宋体" w:hAnsi="宋体" w:eastAsia="宋体"/>
                <w:b w:val="0"/>
                <w:bCs/>
                <w:kern w:val="0"/>
                <w:sz w:val="21"/>
                <w:szCs w:val="21"/>
                <w:highlight w:val="none"/>
                <w:lang w:eastAsia="zh-CN"/>
              </w:rPr>
            </w:pPr>
            <w:r>
              <w:rPr>
                <w:rFonts w:hint="eastAsia" w:ascii="宋体" w:hAnsi="宋体" w:eastAsia="宋体"/>
                <w:b w:val="0"/>
                <w:bCs/>
                <w:kern w:val="0"/>
                <w:sz w:val="21"/>
                <w:szCs w:val="21"/>
                <w:highlight w:val="none"/>
                <w:lang w:eastAsia="zh-CN"/>
              </w:rPr>
              <w:t>质量保障方案</w:t>
            </w:r>
          </w:p>
        </w:tc>
        <w:tc>
          <w:tcPr>
            <w:tcW w:w="1069" w:type="dxa"/>
            <w:noWrap w:val="0"/>
            <w:vAlign w:val="center"/>
          </w:tcPr>
          <w:p>
            <w:pPr>
              <w:pStyle w:val="30"/>
              <w:shd w:val="clear"/>
              <w:snapToGrid w:val="0"/>
              <w:spacing w:line="420" w:lineRule="exact"/>
              <w:ind w:firstLine="0" w:firstLineChars="0"/>
              <w:rPr>
                <w:rFonts w:ascii="宋体" w:hAnsi="宋体" w:eastAsia="宋体"/>
                <w:b w:val="0"/>
                <w:kern w:val="0"/>
                <w:sz w:val="21"/>
                <w:szCs w:val="21"/>
                <w:highlight w:val="none"/>
              </w:rPr>
            </w:pPr>
            <w:r>
              <w:rPr>
                <w:rFonts w:hint="eastAsia" w:ascii="宋体" w:hAnsi="宋体" w:eastAsia="宋体"/>
                <w:b w:val="0"/>
                <w:kern w:val="0"/>
                <w:sz w:val="24"/>
                <w:szCs w:val="24"/>
                <w:highlight w:val="none"/>
                <w:lang w:val="en-US" w:eastAsia="zh-CN"/>
              </w:rPr>
              <w:t>15</w:t>
            </w:r>
            <w:r>
              <w:rPr>
                <w:rFonts w:hint="eastAsia" w:ascii="宋体" w:hAnsi="宋体" w:eastAsia="宋体"/>
                <w:b w:val="0"/>
                <w:kern w:val="0"/>
                <w:sz w:val="24"/>
                <w:szCs w:val="24"/>
                <w:highlight w:val="none"/>
              </w:rPr>
              <w:t>分</w:t>
            </w:r>
          </w:p>
        </w:tc>
        <w:tc>
          <w:tcPr>
            <w:tcW w:w="6293" w:type="dxa"/>
            <w:noWrap w:val="0"/>
            <w:vAlign w:val="center"/>
          </w:tcPr>
          <w:p>
            <w:pPr>
              <w:pStyle w:val="32"/>
              <w:shd w:val="clear"/>
              <w:spacing w:before="0" w:after="0" w:line="340" w:lineRule="exact"/>
              <w:ind w:firstLine="0" w:firstLineChars="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根据供应商对本项目编制的质量保障方案进行评审，方案包括但不限于：食材质量保障体系及质量目标；食材质量控制方案；内部质量管理制度及检查制度；食材溯源方案；食品储藏、保鲜指导管理方案</w:t>
            </w:r>
            <w:r>
              <w:rPr>
                <w:rFonts w:hint="eastAsia" w:ascii="宋体" w:hAnsi="宋体" w:eastAsia="宋体" w:cs="Times New Roman"/>
                <w:color w:val="auto"/>
                <w:szCs w:val="24"/>
                <w:highlight w:val="none"/>
                <w:lang w:val="en-US" w:eastAsia="zh-CN"/>
              </w:rPr>
              <w:t>等内容</w:t>
            </w:r>
            <w:r>
              <w:rPr>
                <w:rFonts w:hint="eastAsia" w:ascii="宋体" w:hAnsi="宋体" w:eastAsia="宋体" w:cs="Times New Roman"/>
                <w:color w:val="auto"/>
                <w:szCs w:val="24"/>
                <w:highlight w:val="none"/>
              </w:rPr>
              <w:t>。</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rPr>
              <w:t>方案完整度高、依据真实可靠、客观性强、针对性强、受众适用性强，完全满足采购需求：</w:t>
            </w:r>
            <w:r>
              <w:rPr>
                <w:rFonts w:hint="eastAsia" w:ascii="宋体" w:hAnsi="宋体" w:eastAsia="宋体" w:cs="Times New Roman"/>
                <w:color w:val="auto"/>
                <w:szCs w:val="24"/>
                <w:highlight w:val="none"/>
                <w:lang w:val="en-US" w:eastAsia="zh-CN"/>
              </w:rPr>
              <w:t>15</w:t>
            </w:r>
            <w:r>
              <w:rPr>
                <w:rFonts w:hint="eastAsia" w:ascii="宋体" w:hAnsi="宋体" w:eastAsia="宋体" w:cs="Times New Roman"/>
                <w:color w:val="auto"/>
                <w:szCs w:val="24"/>
                <w:highlight w:val="none"/>
                <w:lang w:val="en-US"/>
              </w:rPr>
              <w:t>分；</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rPr>
              <w:t>方案完整度较高、依据较可靠、客观性较强、针对性较强、受众适用性较强，可以满足采购需求：1</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en-US"/>
              </w:rPr>
              <w:t>分；</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rPr>
              <w:t>方案完整度一般、依据可靠性一般、客观性一般、针对性一般、受众适用性一般，基本满足采购需求：</w:t>
            </w:r>
            <w:r>
              <w:rPr>
                <w:rFonts w:hint="eastAsia" w:ascii="宋体" w:hAnsi="宋体" w:eastAsia="宋体" w:cs="Times New Roman"/>
                <w:color w:val="auto"/>
                <w:szCs w:val="24"/>
                <w:highlight w:val="none"/>
                <w:lang w:val="en-US" w:eastAsia="zh-CN"/>
              </w:rPr>
              <w:t>8</w:t>
            </w:r>
            <w:r>
              <w:rPr>
                <w:rFonts w:hint="eastAsia" w:ascii="宋体" w:hAnsi="宋体" w:eastAsia="宋体" w:cs="Times New Roman"/>
                <w:color w:val="auto"/>
                <w:szCs w:val="24"/>
                <w:highlight w:val="none"/>
                <w:lang w:val="en-US"/>
              </w:rPr>
              <w:t>分；</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rPr>
              <w:t>方案完整度较差、依据可靠性较差、主观性较强、针对性较差、受众适用性较差，无法完全满足采购需求：</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en-US"/>
              </w:rPr>
              <w:t>分；</w:t>
            </w:r>
          </w:p>
          <w:p>
            <w:pPr>
              <w:shd w:val="clear"/>
              <w:spacing w:line="420" w:lineRule="exact"/>
              <w:jc w:val="left"/>
              <w:outlineLvl w:val="0"/>
              <w:rPr>
                <w:rFonts w:hint="eastAsia" w:ascii="宋体" w:hAnsi="宋体" w:eastAsia="宋体"/>
                <w:bCs/>
                <w:szCs w:val="21"/>
                <w:highlight w:val="none"/>
                <w:lang w:eastAsia="zh-CN"/>
              </w:rPr>
            </w:pPr>
            <w:r>
              <w:rPr>
                <w:rFonts w:hint="eastAsia" w:ascii="宋体" w:hAnsi="宋体" w:eastAsia="宋体" w:cs="Times New Roman"/>
                <w:color w:val="auto"/>
                <w:szCs w:val="24"/>
                <w:highlight w:val="none"/>
                <w:lang w:val="en-US"/>
              </w:rPr>
              <w:t>未提供该方案：0分。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25" w:type="dxa"/>
            <w:vMerge w:val="continue"/>
            <w:tcBorders>
              <w:left w:val="single" w:color="auto" w:sz="4" w:space="0"/>
              <w:right w:val="single" w:color="auto" w:sz="4" w:space="0"/>
            </w:tcBorders>
            <w:noWrap w:val="0"/>
            <w:vAlign w:val="center"/>
          </w:tcPr>
          <w:p>
            <w:pPr>
              <w:pStyle w:val="30"/>
              <w:shd w:val="clear"/>
              <w:spacing w:line="420" w:lineRule="exact"/>
              <w:ind w:firstLine="0" w:firstLineChars="0"/>
              <w:rPr>
                <w:rFonts w:hint="eastAsia" w:ascii="宋体" w:hAnsi="宋体" w:eastAsia="宋体"/>
                <w:b w:val="0"/>
                <w:kern w:val="0"/>
                <w:sz w:val="21"/>
                <w:szCs w:val="21"/>
                <w:highlight w:val="none"/>
              </w:rPr>
            </w:pPr>
          </w:p>
        </w:tc>
        <w:tc>
          <w:tcPr>
            <w:tcW w:w="1764" w:type="dxa"/>
            <w:tcBorders>
              <w:left w:val="single" w:color="auto" w:sz="4" w:space="0"/>
            </w:tcBorders>
            <w:noWrap w:val="0"/>
            <w:vAlign w:val="center"/>
          </w:tcPr>
          <w:p>
            <w:pPr>
              <w:pStyle w:val="30"/>
              <w:shd w:val="clear"/>
              <w:snapToGrid w:val="0"/>
              <w:spacing w:line="420" w:lineRule="exact"/>
              <w:ind w:firstLine="0" w:firstLineChars="0"/>
              <w:jc w:val="both"/>
              <w:rPr>
                <w:rFonts w:hint="eastAsia" w:ascii="宋体" w:hAnsi="宋体" w:eastAsia="宋体" w:cs="Times New Roman"/>
                <w:b w:val="0"/>
                <w:kern w:val="0"/>
                <w:sz w:val="22"/>
                <w:szCs w:val="22"/>
                <w:highlight w:val="none"/>
              </w:rPr>
            </w:pPr>
            <w:r>
              <w:rPr>
                <w:rFonts w:hint="eastAsia" w:ascii="宋体" w:hAnsi="宋体" w:eastAsia="宋体" w:cs="Times New Roman"/>
                <w:b w:val="0"/>
                <w:kern w:val="0"/>
                <w:sz w:val="22"/>
                <w:szCs w:val="22"/>
                <w:highlight w:val="none"/>
              </w:rPr>
              <w:t>配送方案</w:t>
            </w:r>
          </w:p>
        </w:tc>
        <w:tc>
          <w:tcPr>
            <w:tcW w:w="1069" w:type="dxa"/>
            <w:noWrap w:val="0"/>
            <w:vAlign w:val="center"/>
          </w:tcPr>
          <w:p>
            <w:pPr>
              <w:shd w:val="clear"/>
              <w:contextualSpacing/>
              <w:jc w:val="center"/>
              <w:rPr>
                <w:rFonts w:hint="eastAsia" w:ascii="宋体" w:hAnsi="宋体" w:eastAsia="宋体" w:cs="Times New Roman"/>
                <w:b w:val="0"/>
                <w:kern w:val="0"/>
                <w:sz w:val="21"/>
                <w:szCs w:val="21"/>
                <w:highlight w:val="none"/>
                <w:lang w:val="en-US" w:eastAsia="zh-CN"/>
              </w:rPr>
            </w:pPr>
            <w:r>
              <w:rPr>
                <w:rFonts w:hint="eastAsia" w:ascii="Arial" w:hAnsi="宋体" w:cs="Arial"/>
                <w:kern w:val="0"/>
                <w:sz w:val="24"/>
                <w:szCs w:val="24"/>
                <w:highlight w:val="none"/>
                <w:lang w:val="en-US" w:eastAsia="zh-CN"/>
              </w:rPr>
              <w:t>15</w:t>
            </w:r>
            <w:r>
              <w:rPr>
                <w:rFonts w:hint="eastAsia" w:ascii="Arial" w:hAnsi="宋体" w:cs="Arial"/>
                <w:kern w:val="0"/>
                <w:sz w:val="24"/>
                <w:szCs w:val="24"/>
                <w:highlight w:val="none"/>
              </w:rPr>
              <w:t>分</w:t>
            </w:r>
          </w:p>
        </w:tc>
        <w:tc>
          <w:tcPr>
            <w:tcW w:w="6293" w:type="dxa"/>
            <w:noWrap w:val="0"/>
            <w:vAlign w:val="center"/>
          </w:tcPr>
          <w:p>
            <w:pPr>
              <w:pStyle w:val="32"/>
              <w:shd w:val="clear"/>
              <w:spacing w:before="0" w:after="0" w:line="340" w:lineRule="exact"/>
              <w:ind w:firstLine="0" w:firstLineChars="0"/>
              <w:jc w:val="left"/>
              <w:rPr>
                <w:rFonts w:hint="eastAsia" w:ascii="宋体" w:hAnsi="宋体" w:eastAsia="宋体" w:cs="Times New Roman"/>
                <w:color w:val="auto"/>
                <w:szCs w:val="24"/>
                <w:highlight w:val="none"/>
                <w:lang w:eastAsia="zh-CN"/>
              </w:rPr>
            </w:pPr>
            <w:r>
              <w:rPr>
                <w:rFonts w:hint="eastAsia" w:ascii="宋体" w:hAnsi="宋体" w:eastAsia="宋体" w:cs="Times New Roman"/>
                <w:color w:val="auto"/>
                <w:szCs w:val="24"/>
                <w:highlight w:val="none"/>
              </w:rPr>
              <w:t>根据供应商对本项目编制的配送服务方案进行评审，方案包括但不限于：食材采购计划；配送进度计划；配送保障措施；备货与供货方案；配送管理方案</w:t>
            </w:r>
            <w:r>
              <w:rPr>
                <w:rFonts w:hint="eastAsia" w:ascii="宋体" w:hAnsi="宋体" w:eastAsia="宋体" w:cs="Times New Roman"/>
                <w:color w:val="auto"/>
                <w:szCs w:val="24"/>
                <w:highlight w:val="none"/>
                <w:lang w:val="en-US" w:eastAsia="zh-CN"/>
              </w:rPr>
              <w:t>等内容</w:t>
            </w:r>
            <w:r>
              <w:rPr>
                <w:rFonts w:hint="eastAsia" w:ascii="宋体" w:hAnsi="宋体" w:eastAsia="宋体" w:cs="Times New Roman"/>
                <w:color w:val="auto"/>
                <w:szCs w:val="24"/>
                <w:highlight w:val="none"/>
                <w:lang w:eastAsia="zh-CN"/>
              </w:rPr>
              <w:t>。</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rPr>
              <w:t>方案完整度高、依据真实可靠、客观性强、针对性强、受众适用性强，完全满足采购需求：</w:t>
            </w:r>
            <w:r>
              <w:rPr>
                <w:rFonts w:hint="eastAsia" w:ascii="宋体" w:hAnsi="宋体" w:eastAsia="宋体" w:cs="Times New Roman"/>
                <w:color w:val="auto"/>
                <w:szCs w:val="24"/>
                <w:highlight w:val="none"/>
                <w:lang w:val="en-US" w:eastAsia="zh-CN"/>
              </w:rPr>
              <w:t>15</w:t>
            </w:r>
            <w:r>
              <w:rPr>
                <w:rFonts w:hint="eastAsia" w:ascii="宋体" w:hAnsi="宋体" w:eastAsia="宋体" w:cs="Times New Roman"/>
                <w:color w:val="auto"/>
                <w:szCs w:val="24"/>
                <w:highlight w:val="none"/>
                <w:lang w:val="en-US"/>
              </w:rPr>
              <w:t>分；</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rPr>
              <w:t>方案完整度较高、依据较可靠、客观性较强、针对性较强、受众适用性较强，可以满足采购需求：1</w:t>
            </w:r>
            <w:r>
              <w:rPr>
                <w:rFonts w:hint="eastAsia" w:ascii="宋体" w:hAnsi="宋体" w:eastAsia="宋体" w:cs="Times New Roman"/>
                <w:color w:val="auto"/>
                <w:szCs w:val="24"/>
                <w:highlight w:val="none"/>
                <w:lang w:val="en-US" w:eastAsia="zh-CN"/>
              </w:rPr>
              <w:t>2</w:t>
            </w:r>
            <w:r>
              <w:rPr>
                <w:rFonts w:hint="eastAsia" w:ascii="宋体" w:hAnsi="宋体" w:eastAsia="宋体" w:cs="Times New Roman"/>
                <w:color w:val="auto"/>
                <w:szCs w:val="24"/>
                <w:highlight w:val="none"/>
                <w:lang w:val="en-US"/>
              </w:rPr>
              <w:t>分；</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rPr>
              <w:t>方案完整度一般、依据可靠性一般、客观性一般、针对性一般、受众适用性一般，基本满足采购需求：</w:t>
            </w:r>
            <w:r>
              <w:rPr>
                <w:rFonts w:hint="eastAsia" w:ascii="宋体" w:hAnsi="宋体" w:eastAsia="宋体" w:cs="Times New Roman"/>
                <w:color w:val="auto"/>
                <w:szCs w:val="24"/>
                <w:highlight w:val="none"/>
                <w:lang w:val="en-US" w:eastAsia="zh-CN"/>
              </w:rPr>
              <w:t>8</w:t>
            </w:r>
            <w:r>
              <w:rPr>
                <w:rFonts w:hint="eastAsia" w:ascii="宋体" w:hAnsi="宋体" w:eastAsia="宋体" w:cs="Times New Roman"/>
                <w:color w:val="auto"/>
                <w:szCs w:val="24"/>
                <w:highlight w:val="none"/>
                <w:lang w:val="en-US"/>
              </w:rPr>
              <w:t>分；</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rPr>
              <w:t>方案完整度较差、依据可靠性较差、主观性较强、针对性较差、受众适用性较差，无法完全满足采购需求：</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en-US"/>
              </w:rPr>
              <w:t>分；</w:t>
            </w:r>
          </w:p>
          <w:p>
            <w:pPr>
              <w:shd w:val="clear"/>
              <w:spacing w:line="420" w:lineRule="exact"/>
              <w:jc w:val="left"/>
              <w:outlineLvl w:val="0"/>
              <w:rPr>
                <w:rFonts w:hint="default" w:eastAsia="宋体"/>
                <w:highlight w:val="none"/>
                <w:lang w:val="en-US" w:eastAsia="zh-CN"/>
              </w:rPr>
            </w:pPr>
            <w:r>
              <w:rPr>
                <w:rFonts w:hint="eastAsia" w:ascii="宋体" w:hAnsi="宋体" w:eastAsia="宋体" w:cs="Times New Roman"/>
                <w:color w:val="auto"/>
                <w:szCs w:val="24"/>
                <w:highlight w:val="none"/>
                <w:lang w:val="en-US"/>
              </w:rPr>
              <w:t>未提供该方案：0分。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25" w:type="dxa"/>
            <w:vMerge w:val="continue"/>
            <w:tcBorders>
              <w:left w:val="single" w:color="auto" w:sz="4" w:space="0"/>
              <w:right w:val="single" w:color="auto" w:sz="4" w:space="0"/>
            </w:tcBorders>
            <w:noWrap w:val="0"/>
            <w:vAlign w:val="center"/>
          </w:tcPr>
          <w:p>
            <w:pPr>
              <w:pStyle w:val="30"/>
              <w:shd w:val="clear"/>
              <w:spacing w:line="420" w:lineRule="exact"/>
              <w:ind w:firstLine="0" w:firstLineChars="0"/>
              <w:rPr>
                <w:rFonts w:hint="eastAsia" w:ascii="宋体" w:hAnsi="宋体" w:eastAsia="宋体"/>
                <w:b w:val="0"/>
                <w:kern w:val="0"/>
                <w:sz w:val="21"/>
                <w:szCs w:val="21"/>
                <w:highlight w:val="none"/>
              </w:rPr>
            </w:pPr>
          </w:p>
        </w:tc>
        <w:tc>
          <w:tcPr>
            <w:tcW w:w="1764" w:type="dxa"/>
            <w:tcBorders>
              <w:left w:val="single" w:color="auto" w:sz="4" w:space="0"/>
            </w:tcBorders>
            <w:noWrap w:val="0"/>
            <w:vAlign w:val="center"/>
          </w:tcPr>
          <w:p>
            <w:pPr>
              <w:pStyle w:val="30"/>
              <w:shd w:val="clear"/>
              <w:snapToGrid w:val="0"/>
              <w:spacing w:line="420" w:lineRule="exact"/>
              <w:ind w:firstLine="0" w:firstLineChars="0"/>
              <w:jc w:val="both"/>
              <w:rPr>
                <w:rFonts w:hint="eastAsia" w:ascii="宋体" w:hAnsi="宋体" w:eastAsia="宋体" w:cs="Times New Roman"/>
                <w:b w:val="0"/>
                <w:kern w:val="0"/>
                <w:sz w:val="22"/>
                <w:szCs w:val="22"/>
                <w:highlight w:val="none"/>
              </w:rPr>
            </w:pPr>
            <w:r>
              <w:rPr>
                <w:rFonts w:hint="eastAsia" w:ascii="宋体" w:hAnsi="宋体" w:eastAsia="宋体" w:cs="Times New Roman"/>
                <w:b w:val="0"/>
                <w:kern w:val="0"/>
                <w:sz w:val="22"/>
                <w:szCs w:val="22"/>
                <w:highlight w:val="none"/>
              </w:rPr>
              <w:t>应急管理预案</w:t>
            </w:r>
          </w:p>
        </w:tc>
        <w:tc>
          <w:tcPr>
            <w:tcW w:w="1069" w:type="dxa"/>
            <w:noWrap w:val="0"/>
            <w:vAlign w:val="center"/>
          </w:tcPr>
          <w:p>
            <w:pPr>
              <w:shd w:val="clear"/>
              <w:contextualSpacing/>
              <w:jc w:val="center"/>
              <w:rPr>
                <w:rFonts w:hint="default" w:ascii="Arial" w:hAnsi="宋体" w:cs="Arial"/>
                <w:kern w:val="0"/>
                <w:sz w:val="24"/>
                <w:szCs w:val="24"/>
                <w:highlight w:val="none"/>
                <w:lang w:val="en-US" w:eastAsia="zh-CN"/>
              </w:rPr>
            </w:pPr>
            <w:r>
              <w:rPr>
                <w:rFonts w:hint="eastAsia" w:ascii="Arial" w:hAnsi="宋体" w:cs="Arial"/>
                <w:kern w:val="0"/>
                <w:sz w:val="24"/>
                <w:szCs w:val="24"/>
                <w:highlight w:val="none"/>
                <w:lang w:val="en-US" w:eastAsia="zh-CN"/>
              </w:rPr>
              <w:t>5</w:t>
            </w:r>
            <w:r>
              <w:rPr>
                <w:rFonts w:hint="eastAsia" w:ascii="Arial" w:hAnsi="宋体" w:cs="Arial"/>
                <w:kern w:val="0"/>
                <w:sz w:val="24"/>
                <w:szCs w:val="24"/>
                <w:highlight w:val="none"/>
              </w:rPr>
              <w:t>分</w:t>
            </w:r>
          </w:p>
        </w:tc>
        <w:tc>
          <w:tcPr>
            <w:tcW w:w="6293" w:type="dxa"/>
            <w:noWrap w:val="0"/>
            <w:vAlign w:val="center"/>
          </w:tcPr>
          <w:p>
            <w:pPr>
              <w:pStyle w:val="32"/>
              <w:shd w:val="clear"/>
              <w:spacing w:before="0" w:after="0" w:line="340" w:lineRule="exact"/>
              <w:ind w:firstLine="0" w:firstLineChars="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根据供应商对本项目编制的应急管理方案进行评审，方案包括但不限于：疫情防控、急需大量物资配货方案、不合格货物的退货方案，零星增补供应保障情况等内容。</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rPr>
              <w:t>方案完整度高、真实可靠、客观性强、针对性强、受众适用性强，完全满足采购需求：</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en-US"/>
              </w:rPr>
              <w:t>分；</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rPr>
              <w:t>方案完整度一般、可靠性一般、客观性一般、针对性一般、受众适用性一般，基本满足采购需求：</w:t>
            </w:r>
            <w:r>
              <w:rPr>
                <w:rFonts w:hint="eastAsia" w:ascii="宋体" w:hAnsi="宋体" w:eastAsia="宋体" w:cs="Times New Roman"/>
                <w:color w:val="auto"/>
                <w:szCs w:val="24"/>
                <w:highlight w:val="none"/>
                <w:lang w:val="en-US" w:eastAsia="zh-CN"/>
              </w:rPr>
              <w:t>3</w:t>
            </w:r>
            <w:r>
              <w:rPr>
                <w:rFonts w:hint="eastAsia" w:ascii="宋体" w:hAnsi="宋体" w:eastAsia="宋体" w:cs="Times New Roman"/>
                <w:color w:val="auto"/>
                <w:szCs w:val="24"/>
                <w:highlight w:val="none"/>
                <w:lang w:val="en-US"/>
              </w:rPr>
              <w:t>分；</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rPr>
              <w:t>方案完整度较差、可靠性较差、主观性较强、针对性较差、受众适用性较差，无法完全满足采购需求：</w:t>
            </w:r>
            <w:r>
              <w:rPr>
                <w:rFonts w:hint="eastAsia" w:ascii="宋体" w:hAnsi="宋体" w:eastAsia="宋体" w:cs="Times New Roman"/>
                <w:color w:val="auto"/>
                <w:szCs w:val="24"/>
                <w:highlight w:val="none"/>
                <w:lang w:val="en-US" w:eastAsia="zh-CN"/>
              </w:rPr>
              <w:t>1</w:t>
            </w:r>
            <w:r>
              <w:rPr>
                <w:rFonts w:hint="eastAsia" w:ascii="宋体" w:hAnsi="宋体" w:eastAsia="宋体" w:cs="Times New Roman"/>
                <w:color w:val="auto"/>
                <w:szCs w:val="24"/>
                <w:highlight w:val="none"/>
                <w:lang w:val="en-US"/>
              </w:rPr>
              <w:t>分；</w:t>
            </w:r>
          </w:p>
          <w:p>
            <w:pPr>
              <w:shd w:val="clear"/>
              <w:spacing w:line="420" w:lineRule="exact"/>
              <w:jc w:val="left"/>
              <w:outlineLvl w:val="0"/>
              <w:rPr>
                <w:rFonts w:hint="eastAsia" w:ascii="宋体" w:hAnsi="宋体" w:eastAsia="宋体" w:cs="Times New Roman"/>
                <w:color w:val="auto"/>
                <w:szCs w:val="24"/>
                <w:highlight w:val="none"/>
                <w:lang w:val="en-US"/>
              </w:rPr>
            </w:pPr>
            <w:r>
              <w:rPr>
                <w:rFonts w:hint="eastAsia" w:ascii="宋体" w:hAnsi="宋体" w:eastAsia="宋体" w:cs="Times New Roman"/>
                <w:color w:val="auto"/>
                <w:szCs w:val="24"/>
                <w:highlight w:val="none"/>
                <w:lang w:val="en-US"/>
              </w:rPr>
              <w:t>未提供该方案：0分。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25" w:type="dxa"/>
            <w:vMerge w:val="continue"/>
            <w:tcBorders>
              <w:left w:val="single" w:color="auto" w:sz="4" w:space="0"/>
              <w:bottom w:val="single" w:color="auto" w:sz="4" w:space="0"/>
              <w:right w:val="single" w:color="auto" w:sz="4" w:space="0"/>
            </w:tcBorders>
            <w:noWrap w:val="0"/>
            <w:vAlign w:val="center"/>
          </w:tcPr>
          <w:p>
            <w:pPr>
              <w:pStyle w:val="30"/>
              <w:shd w:val="clear"/>
              <w:spacing w:line="420" w:lineRule="exact"/>
              <w:ind w:firstLine="0" w:firstLineChars="0"/>
              <w:rPr>
                <w:rFonts w:hint="eastAsia" w:ascii="宋体" w:hAnsi="宋体" w:eastAsia="宋体"/>
                <w:b w:val="0"/>
                <w:kern w:val="0"/>
                <w:sz w:val="21"/>
                <w:szCs w:val="21"/>
                <w:highlight w:val="none"/>
              </w:rPr>
            </w:pPr>
          </w:p>
        </w:tc>
        <w:tc>
          <w:tcPr>
            <w:tcW w:w="1764" w:type="dxa"/>
            <w:tcBorders>
              <w:left w:val="single" w:color="auto" w:sz="4" w:space="0"/>
            </w:tcBorders>
            <w:noWrap w:val="0"/>
            <w:vAlign w:val="center"/>
          </w:tcPr>
          <w:p>
            <w:pPr>
              <w:pStyle w:val="30"/>
              <w:shd w:val="clear"/>
              <w:snapToGrid w:val="0"/>
              <w:spacing w:line="420" w:lineRule="exact"/>
              <w:ind w:firstLine="0" w:firstLineChars="0"/>
              <w:jc w:val="both"/>
              <w:rPr>
                <w:rFonts w:hint="eastAsia" w:ascii="宋体" w:hAnsi="宋体" w:eastAsia="宋体" w:cs="Times New Roman"/>
                <w:b w:val="0"/>
                <w:kern w:val="0"/>
                <w:sz w:val="22"/>
                <w:szCs w:val="22"/>
                <w:highlight w:val="none"/>
              </w:rPr>
            </w:pPr>
            <w:r>
              <w:rPr>
                <w:rFonts w:hint="eastAsia" w:ascii="宋体" w:hAnsi="宋体" w:eastAsia="宋体" w:cs="Times New Roman"/>
                <w:b w:val="0"/>
                <w:kern w:val="0"/>
                <w:sz w:val="22"/>
                <w:szCs w:val="22"/>
                <w:highlight w:val="none"/>
              </w:rPr>
              <w:t>售后服务</w:t>
            </w:r>
          </w:p>
        </w:tc>
        <w:tc>
          <w:tcPr>
            <w:tcW w:w="1069" w:type="dxa"/>
            <w:noWrap w:val="0"/>
            <w:vAlign w:val="center"/>
          </w:tcPr>
          <w:p>
            <w:pPr>
              <w:shd w:val="clear"/>
              <w:contextualSpacing/>
              <w:jc w:val="center"/>
              <w:rPr>
                <w:rFonts w:hint="default" w:ascii="Arial" w:hAnsi="宋体" w:cs="Arial"/>
                <w:kern w:val="0"/>
                <w:sz w:val="24"/>
                <w:szCs w:val="24"/>
                <w:highlight w:val="none"/>
                <w:lang w:val="en-US" w:eastAsia="zh-CN"/>
              </w:rPr>
            </w:pPr>
            <w:r>
              <w:rPr>
                <w:rFonts w:hint="eastAsia" w:ascii="Arial" w:hAnsi="宋体" w:cs="Arial"/>
                <w:kern w:val="0"/>
                <w:sz w:val="24"/>
                <w:szCs w:val="24"/>
                <w:highlight w:val="none"/>
                <w:lang w:val="en-US" w:eastAsia="zh-CN"/>
              </w:rPr>
              <w:t>15分</w:t>
            </w:r>
          </w:p>
        </w:tc>
        <w:tc>
          <w:tcPr>
            <w:tcW w:w="6293" w:type="dxa"/>
            <w:noWrap w:val="0"/>
            <w:vAlign w:val="center"/>
          </w:tcPr>
          <w:p>
            <w:pPr>
              <w:pStyle w:val="32"/>
              <w:shd w:val="clear"/>
              <w:spacing w:before="0" w:after="0" w:line="340" w:lineRule="exact"/>
              <w:ind w:firstLine="0" w:firstLineChars="0"/>
              <w:jc w:val="left"/>
              <w:rPr>
                <w:rFonts w:hint="eastAsia" w:ascii="宋体" w:hAnsi="宋体" w:eastAsia="宋体" w:cs="Times New Roman"/>
                <w:color w:val="auto"/>
                <w:szCs w:val="24"/>
                <w:highlight w:val="none"/>
                <w:lang w:val="en-US"/>
              </w:rPr>
            </w:pPr>
            <w:r>
              <w:rPr>
                <w:rFonts w:hint="eastAsia" w:ascii="宋体" w:hAnsi="宋体" w:eastAsia="宋体" w:cs="Times New Roman"/>
                <w:color w:val="auto"/>
                <w:szCs w:val="24"/>
                <w:highlight w:val="none"/>
                <w:lang w:val="en-US"/>
              </w:rPr>
              <w:t>综合考虑供应商提供的响应文件对售后服务进行综合分析。</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lang w:val="en-US"/>
              </w:rPr>
            </w:pPr>
            <w:r>
              <w:rPr>
                <w:rFonts w:hint="eastAsia" w:ascii="宋体" w:hAnsi="宋体" w:eastAsia="宋体" w:cs="Times New Roman"/>
                <w:color w:val="auto"/>
                <w:szCs w:val="24"/>
                <w:highlight w:val="none"/>
                <w:lang w:val="en-US"/>
              </w:rPr>
              <w:t>有完善的售后服务保障体系，可行且合理的售后服务保障措施，具有优秀的售后服务：15分；</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lang w:val="en-US"/>
              </w:rPr>
            </w:pPr>
            <w:r>
              <w:rPr>
                <w:rFonts w:hint="eastAsia" w:ascii="宋体" w:hAnsi="宋体" w:eastAsia="宋体" w:cs="Times New Roman"/>
                <w:color w:val="auto"/>
                <w:szCs w:val="24"/>
                <w:highlight w:val="none"/>
                <w:lang w:val="en-US"/>
              </w:rPr>
              <w:t>有售后服务保障体系，可行的售后服务保障措施，具有一般的售后服务：10分；</w:t>
            </w:r>
          </w:p>
          <w:p>
            <w:pPr>
              <w:pStyle w:val="32"/>
              <w:shd w:val="clear"/>
              <w:spacing w:before="0" w:after="0" w:line="340" w:lineRule="exact"/>
              <w:ind w:firstLine="0" w:firstLineChars="0"/>
              <w:jc w:val="left"/>
              <w:rPr>
                <w:rFonts w:hint="eastAsia" w:ascii="宋体" w:hAnsi="宋体" w:eastAsia="宋体" w:cs="Times New Roman"/>
                <w:color w:val="auto"/>
                <w:szCs w:val="24"/>
                <w:highlight w:val="none"/>
                <w:lang w:val="en-US"/>
              </w:rPr>
            </w:pPr>
            <w:r>
              <w:rPr>
                <w:rFonts w:hint="eastAsia" w:ascii="宋体" w:hAnsi="宋体" w:eastAsia="宋体" w:cs="Times New Roman"/>
                <w:color w:val="auto"/>
                <w:szCs w:val="24"/>
                <w:highlight w:val="none"/>
                <w:lang w:val="en-US"/>
              </w:rPr>
              <w:t>售后服务保障体系较差，售后服务保障措施少，具有售后服务：5分；</w:t>
            </w:r>
          </w:p>
          <w:p>
            <w:pPr>
              <w:shd w:val="clear"/>
              <w:spacing w:line="420" w:lineRule="exact"/>
              <w:jc w:val="left"/>
              <w:outlineLvl w:val="0"/>
              <w:rPr>
                <w:rFonts w:hint="eastAsia" w:ascii="宋体" w:hAnsi="宋体" w:eastAsia="宋体" w:cs="Times New Roman"/>
                <w:color w:val="auto"/>
                <w:szCs w:val="24"/>
                <w:highlight w:val="none"/>
                <w:lang w:val="en-US"/>
              </w:rPr>
            </w:pPr>
            <w:r>
              <w:rPr>
                <w:rFonts w:hint="eastAsia" w:ascii="宋体" w:hAnsi="宋体" w:eastAsia="宋体" w:cs="Times New Roman"/>
                <w:color w:val="auto"/>
                <w:szCs w:val="24"/>
                <w:highlight w:val="none"/>
                <w:lang w:val="en-US"/>
              </w:rPr>
              <w:t>未提供任何材料：0分。</w:t>
            </w:r>
          </w:p>
        </w:tc>
      </w:tr>
    </w:tbl>
    <w:p>
      <w:pPr>
        <w:shd w:val="clear"/>
        <w:spacing w:line="420" w:lineRule="exact"/>
        <w:rPr>
          <w:rFonts w:ascii="Arial" w:hAnsi="Arial" w:cs="Arial"/>
          <w:b/>
          <w:szCs w:val="21"/>
          <w:highlight w:val="none"/>
        </w:rPr>
      </w:pPr>
    </w:p>
    <w:p>
      <w:pPr>
        <w:shd w:val="clear"/>
        <w:spacing w:line="420" w:lineRule="exact"/>
        <w:rPr>
          <w:rFonts w:ascii="Arial" w:hAnsi="Arial" w:cs="Arial"/>
          <w:b/>
          <w:szCs w:val="21"/>
          <w:highlight w:val="none"/>
        </w:rPr>
      </w:pPr>
      <w:r>
        <w:rPr>
          <w:rFonts w:ascii="Arial" w:hAnsi="Arial" w:cs="Arial"/>
          <w:b/>
          <w:szCs w:val="21"/>
          <w:highlight w:val="none"/>
        </w:rPr>
        <w:t>商务部分（</w:t>
      </w:r>
      <w:r>
        <w:rPr>
          <w:rFonts w:hint="eastAsia" w:ascii="Arial" w:hAnsi="Arial" w:cs="Arial"/>
          <w:b/>
          <w:szCs w:val="21"/>
          <w:highlight w:val="none"/>
          <w:lang w:val="en-US" w:eastAsia="zh-CN"/>
        </w:rPr>
        <w:t>20</w:t>
      </w:r>
      <w:r>
        <w:rPr>
          <w:rFonts w:ascii="Arial" w:hAnsi="Arial" w:cs="Arial"/>
          <w:b/>
          <w:szCs w:val="21"/>
          <w:highlight w:val="none"/>
        </w:rPr>
        <w:t>分）</w:t>
      </w:r>
    </w:p>
    <w:tbl>
      <w:tblPr>
        <w:tblStyle w:val="19"/>
        <w:tblpPr w:leftFromText="180" w:rightFromText="180" w:vertAnchor="text" w:horzAnchor="page" w:tblpX="1128" w:tblpY="57"/>
        <w:tblOverlap w:val="never"/>
        <w:tblW w:w="9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05"/>
        <w:gridCol w:w="1134"/>
        <w:gridCol w:w="6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blHeader/>
        </w:trPr>
        <w:tc>
          <w:tcPr>
            <w:tcW w:w="675" w:type="dxa"/>
            <w:noWrap w:val="0"/>
            <w:vAlign w:val="top"/>
          </w:tcPr>
          <w:p>
            <w:pPr>
              <w:pStyle w:val="30"/>
              <w:shd w:val="clear"/>
              <w:spacing w:line="420" w:lineRule="exact"/>
              <w:ind w:firstLine="0" w:firstLineChars="0"/>
              <w:rPr>
                <w:rFonts w:hint="default" w:ascii="宋体" w:hAnsi="宋体" w:eastAsia="宋体"/>
                <w:b w:val="0"/>
                <w:kern w:val="0"/>
                <w:sz w:val="24"/>
                <w:szCs w:val="24"/>
                <w:highlight w:val="none"/>
                <w:lang w:val="en-US" w:eastAsia="zh-CN"/>
              </w:rPr>
            </w:pPr>
            <w:r>
              <w:rPr>
                <w:rFonts w:hint="eastAsia" w:ascii="宋体" w:hAnsi="宋体" w:eastAsia="宋体"/>
                <w:b w:val="0"/>
                <w:kern w:val="0"/>
                <w:sz w:val="22"/>
                <w:szCs w:val="22"/>
                <w:highlight w:val="none"/>
                <w:lang w:val="en-US" w:eastAsia="zh-CN"/>
              </w:rPr>
              <w:t>序号</w:t>
            </w:r>
          </w:p>
        </w:tc>
        <w:tc>
          <w:tcPr>
            <w:tcW w:w="1805" w:type="dxa"/>
            <w:noWrap w:val="0"/>
            <w:vAlign w:val="center"/>
          </w:tcPr>
          <w:p>
            <w:pPr>
              <w:pStyle w:val="30"/>
              <w:shd w:val="clear"/>
              <w:spacing w:line="420" w:lineRule="exact"/>
              <w:ind w:firstLine="0" w:firstLineChars="0"/>
              <w:rPr>
                <w:rFonts w:hint="eastAsia" w:ascii="宋体" w:hAnsi="宋体" w:eastAsia="宋体" w:cs="Times New Roman"/>
                <w:b w:val="0"/>
                <w:kern w:val="0"/>
                <w:sz w:val="24"/>
                <w:szCs w:val="24"/>
                <w:highlight w:val="none"/>
              </w:rPr>
            </w:pPr>
            <w:r>
              <w:rPr>
                <w:rFonts w:hint="eastAsia" w:ascii="宋体" w:hAnsi="宋体" w:eastAsia="宋体"/>
                <w:b w:val="0"/>
                <w:kern w:val="0"/>
                <w:sz w:val="24"/>
                <w:szCs w:val="24"/>
                <w:highlight w:val="none"/>
              </w:rPr>
              <w:t>评审项目</w:t>
            </w:r>
          </w:p>
        </w:tc>
        <w:tc>
          <w:tcPr>
            <w:tcW w:w="1134" w:type="dxa"/>
            <w:noWrap w:val="0"/>
            <w:vAlign w:val="center"/>
          </w:tcPr>
          <w:p>
            <w:pPr>
              <w:pStyle w:val="30"/>
              <w:shd w:val="clear"/>
              <w:spacing w:line="420" w:lineRule="exact"/>
              <w:ind w:firstLine="0" w:firstLineChars="0"/>
              <w:rPr>
                <w:rFonts w:hint="eastAsia" w:ascii="宋体" w:hAnsi="宋体" w:eastAsia="宋体" w:cs="Times New Roman"/>
                <w:b w:val="0"/>
                <w:kern w:val="0"/>
                <w:sz w:val="24"/>
                <w:szCs w:val="24"/>
                <w:highlight w:val="none"/>
              </w:rPr>
            </w:pPr>
            <w:r>
              <w:rPr>
                <w:rFonts w:hint="eastAsia" w:ascii="宋体" w:hAnsi="宋体" w:eastAsia="宋体"/>
                <w:b w:val="0"/>
                <w:kern w:val="0"/>
                <w:sz w:val="24"/>
                <w:szCs w:val="24"/>
                <w:highlight w:val="none"/>
              </w:rPr>
              <w:t>分值</w:t>
            </w:r>
          </w:p>
        </w:tc>
        <w:tc>
          <w:tcPr>
            <w:tcW w:w="6356" w:type="dxa"/>
            <w:noWrap w:val="0"/>
            <w:vAlign w:val="center"/>
          </w:tcPr>
          <w:p>
            <w:pPr>
              <w:pStyle w:val="30"/>
              <w:shd w:val="clear"/>
              <w:spacing w:line="420" w:lineRule="exact"/>
              <w:ind w:firstLine="0" w:firstLineChars="0"/>
              <w:rPr>
                <w:rFonts w:hint="eastAsia" w:ascii="宋体" w:hAnsi="宋体" w:eastAsia="宋体" w:cs="Times New Roman"/>
                <w:b w:val="0"/>
                <w:kern w:val="0"/>
                <w:sz w:val="24"/>
                <w:szCs w:val="24"/>
                <w:highlight w:val="none"/>
              </w:rPr>
            </w:pPr>
            <w:r>
              <w:rPr>
                <w:rFonts w:hint="eastAsia" w:ascii="宋体" w:hAnsi="宋体" w:eastAsia="宋体" w:cs="宋体"/>
                <w:b w:val="0"/>
                <w:bCs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3" w:hRule="atLeast"/>
        </w:trPr>
        <w:tc>
          <w:tcPr>
            <w:tcW w:w="675" w:type="dxa"/>
            <w:vMerge w:val="restart"/>
            <w:noWrap w:val="0"/>
            <w:vAlign w:val="top"/>
          </w:tcPr>
          <w:p>
            <w:pPr>
              <w:pStyle w:val="30"/>
              <w:shd w:val="clear"/>
              <w:snapToGrid w:val="0"/>
              <w:spacing w:line="420" w:lineRule="exact"/>
              <w:ind w:firstLine="0" w:firstLineChars="0"/>
              <w:rPr>
                <w:rFonts w:hint="eastAsia" w:ascii="宋体" w:hAnsi="宋体" w:eastAsia="宋体"/>
                <w:b w:val="0"/>
                <w:kern w:val="0"/>
                <w:sz w:val="24"/>
                <w:szCs w:val="24"/>
                <w:highlight w:val="none"/>
                <w:lang w:val="en-US" w:eastAsia="zh-CN"/>
              </w:rPr>
            </w:pPr>
            <w:r>
              <w:rPr>
                <w:rFonts w:hint="eastAsia" w:ascii="宋体" w:hAnsi="宋体" w:eastAsia="宋体"/>
                <w:b w:val="0"/>
                <w:kern w:val="0"/>
                <w:sz w:val="24"/>
                <w:szCs w:val="24"/>
                <w:highlight w:val="none"/>
                <w:lang w:val="en-US" w:eastAsia="zh-CN"/>
              </w:rPr>
              <w:t>三</w:t>
            </w:r>
          </w:p>
        </w:tc>
        <w:tc>
          <w:tcPr>
            <w:tcW w:w="1805" w:type="dxa"/>
            <w:tcBorders>
              <w:bottom w:val="single" w:color="auto" w:sz="4" w:space="0"/>
            </w:tcBorders>
            <w:noWrap w:val="0"/>
            <w:vAlign w:val="center"/>
          </w:tcPr>
          <w:p>
            <w:pPr>
              <w:pStyle w:val="30"/>
              <w:shd w:val="clear"/>
              <w:snapToGrid w:val="0"/>
              <w:spacing w:line="420" w:lineRule="exact"/>
              <w:ind w:firstLine="0" w:firstLineChars="0"/>
              <w:jc w:val="left"/>
              <w:rPr>
                <w:rFonts w:hint="eastAsia" w:ascii="宋体" w:hAnsi="宋体" w:eastAsia="宋体"/>
                <w:b w:val="0"/>
                <w:kern w:val="0"/>
                <w:sz w:val="24"/>
                <w:szCs w:val="24"/>
                <w:highlight w:val="none"/>
                <w:lang w:val="en-US" w:eastAsia="zh-CN"/>
              </w:rPr>
            </w:pPr>
            <w:r>
              <w:rPr>
                <w:rFonts w:hint="eastAsia" w:ascii="宋体" w:hAnsi="宋体" w:eastAsia="宋体"/>
                <w:b w:val="0"/>
                <w:kern w:val="0"/>
                <w:sz w:val="24"/>
                <w:szCs w:val="24"/>
                <w:highlight w:val="none"/>
                <w:lang w:val="en-US" w:eastAsia="zh-CN"/>
              </w:rPr>
              <w:t>售后服务响应时间</w:t>
            </w:r>
          </w:p>
        </w:tc>
        <w:tc>
          <w:tcPr>
            <w:tcW w:w="1134" w:type="dxa"/>
            <w:tcBorders>
              <w:bottom w:val="single" w:color="auto" w:sz="4" w:space="0"/>
            </w:tcBorders>
            <w:noWrap w:val="0"/>
            <w:vAlign w:val="center"/>
          </w:tcPr>
          <w:p>
            <w:pPr>
              <w:shd w:val="clear"/>
              <w:contextualSpacing/>
              <w:jc w:val="center"/>
              <w:rPr>
                <w:rFonts w:hint="eastAsia" w:ascii="宋体" w:hAnsi="宋体" w:eastAsia="宋体"/>
                <w:b w:val="0"/>
                <w:kern w:val="0"/>
                <w:sz w:val="24"/>
                <w:szCs w:val="24"/>
                <w:highlight w:val="none"/>
                <w:lang w:val="en-US" w:eastAsia="zh-CN"/>
              </w:rPr>
            </w:pPr>
            <w:r>
              <w:rPr>
                <w:rFonts w:hint="eastAsia" w:ascii="Arial" w:hAnsi="宋体" w:cs="Arial"/>
                <w:kern w:val="0"/>
                <w:sz w:val="24"/>
                <w:szCs w:val="24"/>
                <w:highlight w:val="none"/>
                <w:lang w:val="en-US" w:eastAsia="zh-CN"/>
              </w:rPr>
              <w:t>5分</w:t>
            </w:r>
          </w:p>
        </w:tc>
        <w:tc>
          <w:tcPr>
            <w:tcW w:w="6356" w:type="dxa"/>
            <w:tcBorders>
              <w:bottom w:val="single" w:color="auto" w:sz="4" w:space="0"/>
            </w:tcBorders>
            <w:noWrap w:val="0"/>
            <w:vAlign w:val="center"/>
          </w:tcPr>
          <w:p>
            <w:pPr>
              <w:pStyle w:val="25"/>
              <w:numPr>
                <w:ilvl w:val="0"/>
                <w:numId w:val="0"/>
              </w:numPr>
              <w:shd w:val="clear"/>
              <w:jc w:val="both"/>
              <w:rPr>
                <w:rFonts w:hint="eastAsia" w:ascii="Arial" w:hAnsi="宋体" w:eastAsia="Times New Roman" w:cs="Arial"/>
                <w:color w:val="000000"/>
                <w:kern w:val="0"/>
                <w:sz w:val="24"/>
                <w:szCs w:val="24"/>
                <w:highlight w:val="none"/>
                <w:lang w:val="en-US" w:eastAsia="zh-CN"/>
              </w:rPr>
            </w:pP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售后服务响应时间</w:t>
            </w:r>
            <w:r>
              <w:rPr>
                <w:rFonts w:hint="eastAsia" w:ascii="宋体" w:hAnsi="宋体"/>
                <w:color w:val="auto"/>
                <w:sz w:val="24"/>
                <w:szCs w:val="24"/>
                <w:highlight w:val="none"/>
                <w:lang w:eastAsia="zh-CN"/>
              </w:rPr>
              <w:t>、</w:t>
            </w:r>
            <w:r>
              <w:rPr>
                <w:rFonts w:hint="eastAsia" w:hAnsi="宋体"/>
                <w:color w:val="auto"/>
                <w:sz w:val="24"/>
                <w:szCs w:val="24"/>
                <w:highlight w:val="none"/>
                <w:lang w:eastAsia="zh-CN"/>
              </w:rPr>
              <w:t>问题产品召回</w:t>
            </w:r>
            <w:r>
              <w:rPr>
                <w:rFonts w:hint="eastAsia" w:hAnsi="宋体"/>
                <w:color w:val="auto"/>
                <w:sz w:val="24"/>
                <w:szCs w:val="24"/>
                <w:highlight w:val="none"/>
                <w:lang w:val="en-US" w:eastAsia="zh-CN"/>
              </w:rPr>
              <w:t>时间</w:t>
            </w:r>
            <w:r>
              <w:rPr>
                <w:rFonts w:hint="eastAsia" w:ascii="宋体" w:hAnsi="宋体"/>
                <w:color w:val="auto"/>
                <w:sz w:val="24"/>
                <w:szCs w:val="24"/>
                <w:highlight w:val="none"/>
              </w:rPr>
              <w:t>满足招标文件</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且承诺</w:t>
            </w:r>
            <w:r>
              <w:rPr>
                <w:rFonts w:hint="eastAsia" w:hAnsi="宋体"/>
                <w:color w:val="auto"/>
                <w:sz w:val="24"/>
                <w:szCs w:val="24"/>
                <w:highlight w:val="none"/>
              </w:rPr>
              <w:t>接到甲方通知</w:t>
            </w:r>
            <w:r>
              <w:rPr>
                <w:rFonts w:hint="eastAsia" w:hAnsi="宋体"/>
                <w:color w:val="auto"/>
                <w:sz w:val="24"/>
                <w:szCs w:val="24"/>
                <w:highlight w:val="none"/>
                <w:lang w:val="en-US" w:eastAsia="zh-CN"/>
              </w:rPr>
              <w:t>1小时内</w:t>
            </w:r>
            <w:r>
              <w:rPr>
                <w:rFonts w:hint="eastAsia" w:hAnsi="宋体"/>
                <w:color w:val="auto"/>
                <w:sz w:val="24"/>
                <w:szCs w:val="24"/>
                <w:highlight w:val="none"/>
              </w:rPr>
              <w:t>响应</w:t>
            </w:r>
            <w:r>
              <w:rPr>
                <w:rFonts w:hint="eastAsia" w:hAnsi="宋体"/>
                <w:color w:val="auto"/>
                <w:sz w:val="24"/>
                <w:szCs w:val="24"/>
                <w:highlight w:val="none"/>
                <w:lang w:val="en-US" w:eastAsia="zh-CN"/>
              </w:rPr>
              <w:t>完成配送及调换</w:t>
            </w:r>
            <w:r>
              <w:rPr>
                <w:rFonts w:hint="eastAsia" w:ascii="宋体" w:hAnsi="宋体"/>
                <w:color w:val="auto"/>
                <w:sz w:val="24"/>
                <w:szCs w:val="24"/>
                <w:highlight w:val="none"/>
              </w:rPr>
              <w:t>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无承诺不</w:t>
            </w:r>
            <w:r>
              <w:rPr>
                <w:rFonts w:hint="eastAsia" w:ascii="宋体" w:hAnsi="宋体"/>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675" w:type="dxa"/>
            <w:vMerge w:val="continue"/>
            <w:noWrap w:val="0"/>
            <w:vAlign w:val="top"/>
          </w:tcPr>
          <w:p>
            <w:pPr>
              <w:pStyle w:val="30"/>
              <w:shd w:val="clear"/>
              <w:snapToGrid w:val="0"/>
              <w:spacing w:line="420" w:lineRule="exact"/>
              <w:ind w:firstLine="0" w:firstLineChars="0"/>
              <w:rPr>
                <w:rFonts w:ascii="宋体" w:hAnsi="宋体" w:eastAsia="宋体"/>
                <w:b w:val="0"/>
                <w:kern w:val="0"/>
                <w:sz w:val="24"/>
                <w:szCs w:val="24"/>
                <w:highlight w:val="none"/>
              </w:rPr>
            </w:pPr>
          </w:p>
        </w:tc>
        <w:tc>
          <w:tcPr>
            <w:tcW w:w="1805" w:type="dxa"/>
            <w:tcBorders>
              <w:bottom w:val="single" w:color="auto" w:sz="4" w:space="0"/>
            </w:tcBorders>
            <w:noWrap w:val="0"/>
            <w:vAlign w:val="center"/>
          </w:tcPr>
          <w:p>
            <w:pPr>
              <w:pStyle w:val="30"/>
              <w:shd w:val="clear"/>
              <w:snapToGrid w:val="0"/>
              <w:spacing w:line="420" w:lineRule="exact"/>
              <w:ind w:firstLine="0" w:firstLineChars="0"/>
              <w:jc w:val="left"/>
              <w:rPr>
                <w:rFonts w:hint="default" w:ascii="宋体" w:hAnsi="宋体" w:eastAsia="宋体"/>
                <w:b w:val="0"/>
                <w:kern w:val="0"/>
                <w:sz w:val="24"/>
                <w:szCs w:val="24"/>
                <w:highlight w:val="none"/>
                <w:lang w:val="en-US" w:eastAsia="zh-CN"/>
              </w:rPr>
            </w:pPr>
            <w:r>
              <w:rPr>
                <w:rFonts w:hint="eastAsia" w:hAnsi="宋体" w:cs="宋体"/>
                <w:color w:val="auto"/>
                <w:sz w:val="24"/>
                <w:highlight w:val="none"/>
              </w:rPr>
              <w:t>人员配备</w:t>
            </w:r>
          </w:p>
        </w:tc>
        <w:tc>
          <w:tcPr>
            <w:tcW w:w="1134" w:type="dxa"/>
            <w:tcBorders>
              <w:bottom w:val="single" w:color="auto" w:sz="4" w:space="0"/>
            </w:tcBorders>
            <w:noWrap w:val="0"/>
            <w:vAlign w:val="center"/>
          </w:tcPr>
          <w:p>
            <w:pPr>
              <w:shd w:val="clear"/>
              <w:contextualSpacing/>
              <w:jc w:val="center"/>
              <w:rPr>
                <w:rFonts w:hint="eastAsia" w:ascii="Arial" w:hAnsi="宋体" w:cs="Arial"/>
                <w:kern w:val="0"/>
                <w:sz w:val="24"/>
                <w:szCs w:val="24"/>
                <w:highlight w:val="none"/>
                <w:lang w:val="en-US" w:eastAsia="zh-CN"/>
              </w:rPr>
            </w:pPr>
            <w:r>
              <w:rPr>
                <w:rFonts w:hint="eastAsia" w:ascii="Arial" w:hAnsi="宋体" w:cs="Arial"/>
                <w:kern w:val="0"/>
                <w:sz w:val="24"/>
                <w:szCs w:val="24"/>
                <w:highlight w:val="none"/>
                <w:lang w:val="en-US" w:eastAsia="zh-CN"/>
              </w:rPr>
              <w:t>5分</w:t>
            </w:r>
          </w:p>
        </w:tc>
        <w:tc>
          <w:tcPr>
            <w:tcW w:w="6356" w:type="dxa"/>
            <w:tcBorders>
              <w:bottom w:val="single" w:color="auto" w:sz="4" w:space="0"/>
            </w:tcBorders>
            <w:noWrap w:val="0"/>
            <w:vAlign w:val="center"/>
          </w:tcPr>
          <w:p>
            <w:pPr>
              <w:shd w:val="clear"/>
              <w:contextualSpacing/>
              <w:rPr>
                <w:rFonts w:hint="eastAsia" w:ascii="Arial" w:hAnsi="宋体" w:eastAsia="Times New Roman" w:cs="Arial"/>
                <w:color w:val="000000"/>
                <w:kern w:val="0"/>
                <w:sz w:val="24"/>
                <w:szCs w:val="24"/>
                <w:highlight w:val="none"/>
              </w:rPr>
            </w:pPr>
            <w:r>
              <w:rPr>
                <w:rFonts w:hint="eastAsia" w:ascii="Times New Roman" w:hAnsi="宋体" w:eastAsia="宋体" w:cs="宋体"/>
                <w:color w:val="auto"/>
                <w:sz w:val="24"/>
                <w:highlight w:val="none"/>
              </w:rPr>
              <w:t>供应商具有专业配送服务人员，每提供一人得</w:t>
            </w:r>
            <w:r>
              <w:rPr>
                <w:rFonts w:hint="eastAsia" w:ascii="Times New Roman" w:hAnsi="宋体" w:eastAsia="宋体" w:cs="宋体"/>
                <w:color w:val="auto"/>
                <w:sz w:val="24"/>
                <w:highlight w:val="none"/>
                <w:lang w:val="en-US" w:eastAsia="zh-CN"/>
              </w:rPr>
              <w:t>1</w:t>
            </w:r>
            <w:r>
              <w:rPr>
                <w:rFonts w:hint="eastAsia" w:ascii="Times New Roman" w:hAnsi="宋体" w:eastAsia="宋体" w:cs="宋体"/>
                <w:color w:val="auto"/>
                <w:sz w:val="24"/>
                <w:highlight w:val="none"/>
              </w:rPr>
              <w:t>分，本项最多得</w:t>
            </w:r>
            <w:r>
              <w:rPr>
                <w:rFonts w:hint="eastAsia" w:ascii="Times New Roman" w:hAnsi="宋体" w:eastAsia="宋体" w:cs="宋体"/>
                <w:color w:val="auto"/>
                <w:sz w:val="24"/>
                <w:highlight w:val="none"/>
                <w:lang w:val="en-US" w:eastAsia="zh-CN"/>
              </w:rPr>
              <w:t>5</w:t>
            </w:r>
            <w:r>
              <w:rPr>
                <w:rFonts w:hint="eastAsia" w:ascii="Times New Roman" w:hAnsi="宋体" w:eastAsia="宋体" w:cs="宋体"/>
                <w:color w:val="auto"/>
                <w:sz w:val="24"/>
                <w:highlight w:val="none"/>
              </w:rPr>
              <w:t>分。提供员工的在职证明（劳动合同）和身份证和健康证加盖供应商公章。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675" w:type="dxa"/>
            <w:vMerge w:val="continue"/>
            <w:tcBorders>
              <w:bottom w:val="single" w:color="auto" w:sz="4" w:space="0"/>
            </w:tcBorders>
            <w:noWrap w:val="0"/>
            <w:vAlign w:val="top"/>
          </w:tcPr>
          <w:p>
            <w:pPr>
              <w:pStyle w:val="30"/>
              <w:shd w:val="clear"/>
              <w:snapToGrid w:val="0"/>
              <w:spacing w:line="420" w:lineRule="exact"/>
              <w:ind w:firstLine="0" w:firstLineChars="0"/>
              <w:rPr>
                <w:rFonts w:ascii="宋体" w:hAnsi="宋体" w:eastAsia="宋体"/>
                <w:b w:val="0"/>
                <w:kern w:val="0"/>
                <w:sz w:val="24"/>
                <w:szCs w:val="24"/>
                <w:highlight w:val="none"/>
              </w:rPr>
            </w:pPr>
          </w:p>
        </w:tc>
        <w:tc>
          <w:tcPr>
            <w:tcW w:w="1805" w:type="dxa"/>
            <w:tcBorders>
              <w:bottom w:val="single" w:color="auto" w:sz="4" w:space="0"/>
            </w:tcBorders>
            <w:noWrap w:val="0"/>
            <w:vAlign w:val="center"/>
          </w:tcPr>
          <w:p>
            <w:pPr>
              <w:pageBreakBefore w:val="0"/>
              <w:shd w:val="clear"/>
              <w:kinsoku/>
              <w:wordWrap/>
              <w:overflowPunct/>
              <w:topLinePunct w:val="0"/>
              <w:autoSpaceDE/>
              <w:autoSpaceDN/>
              <w:bidi w:val="0"/>
              <w:snapToGrid/>
              <w:spacing w:line="440" w:lineRule="exact"/>
              <w:jc w:val="both"/>
              <w:rPr>
                <w:rFonts w:hint="eastAsia" w:ascii="宋体" w:hAnsi="宋体" w:eastAsia="宋体"/>
                <w:b w:val="0"/>
                <w:kern w:val="0"/>
                <w:sz w:val="24"/>
                <w:szCs w:val="24"/>
                <w:highlight w:val="none"/>
                <w:lang w:val="en-US" w:eastAsia="zh-CN"/>
              </w:rPr>
            </w:pPr>
            <w:r>
              <w:rPr>
                <w:rFonts w:hint="eastAsia" w:ascii="宋体" w:hAnsi="宋体"/>
                <w:color w:val="auto"/>
                <w:sz w:val="24"/>
                <w:szCs w:val="24"/>
                <w:highlight w:val="none"/>
                <w:lang w:eastAsia="zh-CN"/>
              </w:rPr>
              <w:t>配送车辆</w:t>
            </w:r>
          </w:p>
        </w:tc>
        <w:tc>
          <w:tcPr>
            <w:tcW w:w="1134" w:type="dxa"/>
            <w:tcBorders>
              <w:bottom w:val="single" w:color="auto" w:sz="4" w:space="0"/>
            </w:tcBorders>
            <w:noWrap w:val="0"/>
            <w:vAlign w:val="center"/>
          </w:tcPr>
          <w:p>
            <w:pPr>
              <w:shd w:val="clear"/>
              <w:contextualSpacing/>
              <w:jc w:val="center"/>
              <w:rPr>
                <w:rFonts w:hint="default" w:ascii="Arial" w:hAnsi="宋体" w:cs="Arial"/>
                <w:kern w:val="0"/>
                <w:sz w:val="24"/>
                <w:szCs w:val="24"/>
                <w:highlight w:val="none"/>
                <w:lang w:val="en-US" w:eastAsia="zh-CN"/>
              </w:rPr>
            </w:pPr>
            <w:r>
              <w:rPr>
                <w:rFonts w:hint="eastAsia" w:ascii="Arial" w:hAnsi="宋体" w:cs="Arial"/>
                <w:kern w:val="0"/>
                <w:sz w:val="24"/>
                <w:szCs w:val="24"/>
                <w:highlight w:val="none"/>
                <w:lang w:val="en-US" w:eastAsia="zh-CN"/>
              </w:rPr>
              <w:t>10分</w:t>
            </w:r>
          </w:p>
        </w:tc>
        <w:tc>
          <w:tcPr>
            <w:tcW w:w="6356" w:type="dxa"/>
            <w:tcBorders>
              <w:bottom w:val="single" w:color="auto" w:sz="4" w:space="0"/>
            </w:tcBorders>
            <w:noWrap w:val="0"/>
            <w:vAlign w:val="center"/>
          </w:tcPr>
          <w:p>
            <w:pPr>
              <w:shd w:val="clear"/>
              <w:contextualSpacing/>
              <w:rPr>
                <w:rFonts w:hint="eastAsia" w:ascii="Arial" w:hAnsi="宋体" w:cs="Arial"/>
                <w:color w:val="000000"/>
                <w:kern w:val="0"/>
                <w:sz w:val="24"/>
                <w:szCs w:val="24"/>
                <w:highlight w:val="none"/>
              </w:rPr>
            </w:pPr>
            <w:r>
              <w:rPr>
                <w:rFonts w:hint="eastAsia" w:ascii="Times New Roman" w:hAnsi="宋体" w:eastAsia="宋体" w:cs="宋体"/>
                <w:color w:val="auto"/>
                <w:sz w:val="24"/>
                <w:highlight w:val="none"/>
              </w:rPr>
              <w:t>供应商能够提供直接用于本项目配送服务的专用配送车辆</w:t>
            </w:r>
            <w:r>
              <w:rPr>
                <w:rFonts w:hint="eastAsia" w:ascii="Times New Roman" w:hAnsi="宋体" w:eastAsia="宋体" w:cs="宋体"/>
                <w:color w:val="auto"/>
                <w:sz w:val="24"/>
                <w:highlight w:val="none"/>
                <w:lang w:eastAsia="zh-CN"/>
              </w:rPr>
              <w:t>，</w:t>
            </w:r>
            <w:r>
              <w:rPr>
                <w:rFonts w:hint="eastAsia" w:ascii="Times New Roman" w:hAnsi="宋体" w:eastAsia="宋体" w:cs="宋体"/>
                <w:color w:val="auto"/>
                <w:sz w:val="24"/>
                <w:highlight w:val="none"/>
              </w:rPr>
              <w:t>配送车辆型号应为面包车或厢式货车</w:t>
            </w:r>
            <w:r>
              <w:rPr>
                <w:rFonts w:hint="eastAsia" w:ascii="Times New Roman" w:hAnsi="宋体" w:eastAsia="宋体" w:cs="宋体"/>
                <w:color w:val="auto"/>
                <w:sz w:val="24"/>
                <w:highlight w:val="none"/>
                <w:lang w:eastAsia="zh-CN"/>
              </w:rPr>
              <w:t>，</w:t>
            </w:r>
            <w:r>
              <w:rPr>
                <w:rFonts w:hint="eastAsia" w:ascii="Times New Roman" w:hAnsi="宋体" w:eastAsia="宋体" w:cs="宋体"/>
                <w:color w:val="auto"/>
                <w:sz w:val="24"/>
                <w:highlight w:val="none"/>
              </w:rPr>
              <w:t>每1辆得</w:t>
            </w:r>
            <w:r>
              <w:rPr>
                <w:rFonts w:hint="eastAsia" w:ascii="Times New Roman" w:hAnsi="宋体" w:eastAsia="宋体" w:cs="宋体"/>
                <w:color w:val="auto"/>
                <w:sz w:val="24"/>
                <w:highlight w:val="none"/>
                <w:lang w:val="en-US" w:eastAsia="zh-CN"/>
              </w:rPr>
              <w:t>2</w:t>
            </w:r>
            <w:r>
              <w:rPr>
                <w:rFonts w:hint="eastAsia" w:ascii="Times New Roman" w:hAnsi="宋体" w:eastAsia="宋体" w:cs="宋体"/>
                <w:color w:val="auto"/>
                <w:sz w:val="24"/>
                <w:highlight w:val="none"/>
              </w:rPr>
              <w:t>分，最多得</w:t>
            </w:r>
            <w:r>
              <w:rPr>
                <w:rFonts w:hint="eastAsia" w:ascii="Times New Roman" w:hAnsi="宋体" w:eastAsia="宋体" w:cs="宋体"/>
                <w:color w:val="auto"/>
                <w:sz w:val="24"/>
                <w:highlight w:val="none"/>
                <w:lang w:val="en-US" w:eastAsia="zh-CN"/>
              </w:rPr>
              <w:t>10</w:t>
            </w:r>
            <w:r>
              <w:rPr>
                <w:rFonts w:hint="eastAsia" w:ascii="Times New Roman" w:hAnsi="宋体" w:eastAsia="宋体" w:cs="宋体"/>
                <w:color w:val="auto"/>
                <w:sz w:val="24"/>
                <w:highlight w:val="none"/>
              </w:rPr>
              <w:t>分；（自有车辆的提供车辆行驶证复印件，租赁车辆的提供车辆行驶证、租赁合同复印件）</w:t>
            </w:r>
            <w:r>
              <w:rPr>
                <w:rFonts w:hint="eastAsia" w:ascii="Times New Roman" w:hAnsi="宋体" w:eastAsia="宋体" w:cs="宋体"/>
                <w:color w:val="auto"/>
                <w:sz w:val="24"/>
                <w:highlight w:val="none"/>
                <w:lang w:eastAsia="zh-CN"/>
              </w:rPr>
              <w:t>，未提供不得分</w:t>
            </w:r>
            <w:r>
              <w:rPr>
                <w:rFonts w:hint="eastAsia" w:ascii="Times New Roman"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970" w:type="dxa"/>
            <w:gridSpan w:val="4"/>
            <w:tcBorders>
              <w:top w:val="single" w:color="auto" w:sz="4" w:space="0"/>
              <w:bottom w:val="single" w:color="auto" w:sz="4" w:space="0"/>
              <w:right w:val="single" w:color="auto" w:sz="4" w:space="0"/>
            </w:tcBorders>
            <w:noWrap w:val="0"/>
            <w:vAlign w:val="center"/>
          </w:tcPr>
          <w:p>
            <w:pPr>
              <w:shd w:val="clear"/>
              <w:contextualSpacing/>
              <w:jc w:val="center"/>
              <w:rPr>
                <w:rFonts w:hint="eastAsia" w:ascii="Arial" w:hAnsi="宋体" w:cs="Arial"/>
                <w:color w:val="000000"/>
                <w:kern w:val="0"/>
                <w:sz w:val="24"/>
                <w:szCs w:val="24"/>
                <w:highlight w:val="none"/>
              </w:rPr>
            </w:pPr>
            <w:r>
              <w:rPr>
                <w:rFonts w:hint="eastAsia" w:ascii="Arial" w:hAnsi="宋体" w:cs="Arial"/>
                <w:kern w:val="0"/>
                <w:sz w:val="24"/>
                <w:szCs w:val="24"/>
                <w:highlight w:val="none"/>
              </w:rPr>
              <w:t>合计（100分）</w:t>
            </w:r>
          </w:p>
        </w:tc>
      </w:tr>
    </w:tbl>
    <w:p>
      <w:pPr>
        <w:pStyle w:val="15"/>
        <w:shd w:val="clear"/>
        <w:rPr>
          <w:rFonts w:hint="eastAsia" w:ascii="宋体" w:hAnsi="宋体"/>
          <w:szCs w:val="21"/>
          <w:highlight w:val="none"/>
        </w:rPr>
      </w:pPr>
    </w:p>
    <w:p>
      <w:pPr>
        <w:shd w:val="clear"/>
        <w:spacing w:line="360" w:lineRule="auto"/>
        <w:ind w:firstLine="480" w:firstLineChars="200"/>
        <w:rPr>
          <w:rFonts w:ascii="宋体" w:hAnsi="宋体"/>
          <w:szCs w:val="21"/>
          <w:highlight w:val="none"/>
        </w:rPr>
      </w:pPr>
      <w:r>
        <w:rPr>
          <w:rFonts w:hint="eastAsia" w:ascii="宋体" w:hAnsi="宋体"/>
          <w:szCs w:val="21"/>
          <w:highlight w:val="none"/>
        </w:rPr>
        <w:t>备注：</w:t>
      </w:r>
      <w:r>
        <w:rPr>
          <w:rFonts w:ascii="宋体" w:hAnsi="宋体"/>
          <w:szCs w:val="21"/>
          <w:highlight w:val="none"/>
        </w:rPr>
        <w:t>1</w:t>
      </w:r>
      <w:r>
        <w:rPr>
          <w:rFonts w:hint="eastAsia" w:ascii="宋体" w:hAnsi="宋体"/>
          <w:szCs w:val="21"/>
          <w:highlight w:val="none"/>
        </w:rPr>
        <w:t>、评委应在认真理解本招标文件和项目有关情况后，做出需自己负责的按上述内容对投标人进行评审。</w:t>
      </w:r>
    </w:p>
    <w:p>
      <w:pPr>
        <w:shd w:val="clear"/>
        <w:spacing w:line="360" w:lineRule="auto"/>
        <w:ind w:firstLine="480" w:firstLineChars="200"/>
        <w:rPr>
          <w:rFonts w:hint="eastAsia" w:ascii="宋体" w:hAnsi="宋体"/>
          <w:szCs w:val="21"/>
          <w:highlight w:val="none"/>
        </w:rPr>
      </w:pPr>
      <w:r>
        <w:rPr>
          <w:rFonts w:hint="eastAsia" w:ascii="宋体" w:hAnsi="宋体"/>
          <w:szCs w:val="21"/>
          <w:highlight w:val="none"/>
        </w:rPr>
        <w:t>2、技术、商务部分权重</w:t>
      </w:r>
      <w:r>
        <w:rPr>
          <w:rFonts w:hint="eastAsia" w:ascii="宋体" w:hAnsi="宋体"/>
          <w:szCs w:val="21"/>
          <w:highlight w:val="none"/>
          <w:lang w:val="en-US" w:eastAsia="zh-CN"/>
        </w:rPr>
        <w:t>7</w:t>
      </w:r>
      <w:r>
        <w:rPr>
          <w:rFonts w:ascii="宋体" w:hAnsi="宋体"/>
          <w:szCs w:val="21"/>
          <w:highlight w:val="none"/>
        </w:rPr>
        <w:t>0%</w:t>
      </w:r>
      <w:r>
        <w:rPr>
          <w:rFonts w:hint="eastAsia" w:ascii="宋体" w:hAnsi="宋体"/>
          <w:szCs w:val="21"/>
          <w:highlight w:val="none"/>
        </w:rPr>
        <w:t>；投标投标报价部分权重</w:t>
      </w:r>
      <w:r>
        <w:rPr>
          <w:rFonts w:hint="eastAsia" w:ascii="宋体" w:hAnsi="宋体"/>
          <w:szCs w:val="21"/>
          <w:highlight w:val="none"/>
          <w:lang w:val="en-US" w:eastAsia="zh-CN"/>
        </w:rPr>
        <w:t>30</w:t>
      </w:r>
      <w:r>
        <w:rPr>
          <w:rFonts w:ascii="宋体" w:hAnsi="宋体"/>
          <w:szCs w:val="21"/>
          <w:highlight w:val="none"/>
        </w:rPr>
        <w:t>%</w:t>
      </w:r>
    </w:p>
    <w:p>
      <w:pPr>
        <w:shd w:val="clear"/>
        <w:spacing w:line="360" w:lineRule="auto"/>
        <w:ind w:firstLine="480" w:firstLineChars="200"/>
        <w:rPr>
          <w:rFonts w:ascii="宋体" w:hAnsi="宋体"/>
          <w:szCs w:val="21"/>
          <w:highlight w:val="none"/>
        </w:rPr>
      </w:pPr>
      <w:r>
        <w:rPr>
          <w:rFonts w:hint="eastAsia" w:ascii="宋体" w:hAnsi="宋体"/>
          <w:szCs w:val="21"/>
          <w:highlight w:val="none"/>
        </w:rPr>
        <w:t>3、投标人最终得分等于技术、商务部分、报价二者得分之和。</w:t>
      </w:r>
    </w:p>
    <w:p>
      <w:pPr>
        <w:pStyle w:val="10"/>
        <w:shd w:val="clear"/>
        <w:tabs>
          <w:tab w:val="clear" w:pos="567"/>
        </w:tabs>
        <w:spacing w:before="0" w:line="360" w:lineRule="auto"/>
        <w:ind w:left="-206" w:leftChars="-86" w:firstLine="660" w:firstLineChars="275"/>
        <w:rPr>
          <w:rFonts w:hint="eastAsia"/>
          <w:highlight w:val="cyan"/>
        </w:rPr>
      </w:pPr>
      <w:r>
        <w:rPr>
          <w:rFonts w:hint="eastAsia"/>
          <w:szCs w:val="21"/>
          <w:highlight w:val="none"/>
        </w:rPr>
        <w:t>4、评标委员会按照投标人最终得分由高到底顺序确定出各投标人排名顺序。</w:t>
      </w:r>
    </w:p>
    <w:p>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pPr>
        <w:snapToGrid w:val="0"/>
        <w:spacing w:line="300" w:lineRule="exact"/>
        <w:ind w:firstLine="465"/>
        <w:rPr>
          <w:bCs/>
          <w:highlight w:val="green"/>
        </w:rPr>
      </w:pPr>
      <w:r>
        <w:rPr>
          <w:bCs/>
          <w:highlight w:val="green"/>
        </w:rPr>
        <w:t>3</w:t>
      </w:r>
      <w:r>
        <w:rPr>
          <w:rFonts w:hint="eastAsia"/>
          <w:bCs/>
          <w:highlight w:val="green"/>
        </w:rPr>
        <w:t>）参与本项目投标前三年内，在经营活动中没有重大违法记录（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pPr>
        <w:snapToGrid w:val="0"/>
        <w:spacing w:line="300" w:lineRule="exact"/>
        <w:ind w:firstLine="465"/>
        <w:rPr>
          <w:bCs/>
          <w:highlight w:val="green"/>
        </w:rPr>
      </w:pPr>
      <w:r>
        <w:rPr>
          <w:rFonts w:hint="eastAsia"/>
          <w:bCs/>
          <w:highlight w:val="green"/>
        </w:rPr>
        <w:t>4）参与本项目政府采购活动时不存在被有关部门禁止参与政府采购活动且在有效期内的情况（</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pPr>
        <w:snapToGrid w:val="0"/>
        <w:spacing w:line="300" w:lineRule="exact"/>
        <w:ind w:firstLine="465"/>
        <w:rPr>
          <w:bCs/>
          <w:highlight w:val="green"/>
        </w:rPr>
      </w:pPr>
      <w:r>
        <w:rPr>
          <w:rFonts w:hint="eastAsia"/>
          <w:bCs/>
          <w:highlight w:val="green"/>
        </w:rPr>
        <w:t>5）未被列入失信被执行人、重大税收违法案件当事人名单、政府采购严重违法失信行为记录名单（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pPr>
        <w:snapToGrid w:val="0"/>
        <w:spacing w:line="300" w:lineRule="exact"/>
        <w:ind w:firstLine="465"/>
        <w:rPr>
          <w:rFonts w:hint="eastAsia"/>
          <w:bCs/>
          <w:highlight w:val="green"/>
        </w:rPr>
      </w:pPr>
      <w:r>
        <w:rPr>
          <w:rFonts w:hint="eastAsia"/>
          <w:bCs/>
          <w:highlight w:val="green"/>
        </w:rPr>
        <w:t>6）具有良好的商业信誉和健全的财务会计制度（会计事务所出具的</w:t>
      </w:r>
      <w:r>
        <w:rPr>
          <w:rFonts w:hint="eastAsia" w:eastAsia="宋体"/>
          <w:bCs/>
          <w:highlight w:val="green"/>
          <w:lang w:val="en-US" w:eastAsia="zh-CN"/>
        </w:rPr>
        <w:t>2020-2022年度任意一年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pPr>
        <w:snapToGrid w:val="0"/>
        <w:spacing w:line="300" w:lineRule="exact"/>
        <w:ind w:firstLine="465"/>
        <w:rPr>
          <w:bCs/>
          <w:highlight w:val="green"/>
        </w:rPr>
      </w:pPr>
      <w:r>
        <w:rPr>
          <w:rFonts w:hint="eastAsia"/>
          <w:bCs/>
          <w:highlight w:val="green"/>
        </w:rPr>
        <w:t>7）有依法缴纳税收和社会保障资金的良好记录（近6个月内任意一个月的完税证明扫描件</w:t>
      </w:r>
      <w:r>
        <w:rPr>
          <w:rFonts w:hint="eastAsia" w:eastAsia="宋体"/>
          <w:bCs/>
          <w:highlight w:val="green"/>
          <w:lang w:eastAsia="zh-CN"/>
        </w:rPr>
        <w:t>和</w:t>
      </w:r>
      <w:r>
        <w:rPr>
          <w:rFonts w:hint="eastAsia"/>
          <w:bCs/>
          <w:highlight w:val="green"/>
        </w:rPr>
        <w:t>社保缴纳记录明细扫描件（含</w:t>
      </w:r>
      <w:r>
        <w:rPr>
          <w:rFonts w:hint="eastAsia" w:eastAsia="宋体"/>
          <w:bCs/>
          <w:highlight w:val="green"/>
          <w:lang w:eastAsia="zh-CN"/>
        </w:rPr>
        <w:t>员工</w:t>
      </w:r>
      <w:r>
        <w:rPr>
          <w:rFonts w:hint="eastAsia"/>
          <w:bCs/>
          <w:highlight w:val="green"/>
        </w:rPr>
        <w:t>社保明细</w:t>
      </w:r>
      <w:r>
        <w:rPr>
          <w:rFonts w:hint="eastAsia" w:eastAsia="宋体"/>
          <w:bCs/>
          <w:highlight w:val="green"/>
          <w:lang w:eastAsia="zh-CN"/>
        </w:rPr>
        <w:t>。注：无需提供委托人代理人或被授权委托人社保明细</w:t>
      </w:r>
      <w:r>
        <w:rPr>
          <w:rFonts w:hint="eastAsia"/>
          <w:bCs/>
          <w:highlight w:val="green"/>
        </w:rPr>
        <w:t>））；</w:t>
      </w:r>
    </w:p>
    <w:p>
      <w:pPr>
        <w:snapToGrid w:val="0"/>
        <w:spacing w:line="300" w:lineRule="exact"/>
        <w:ind w:firstLine="465"/>
        <w:rPr>
          <w:rFonts w:hint="eastAsia"/>
          <w:bCs/>
          <w:highlight w:val="green"/>
        </w:rPr>
      </w:pPr>
      <w:r>
        <w:rPr>
          <w:rFonts w:hint="eastAsia" w:eastAsia="宋体"/>
          <w:bCs/>
          <w:highlight w:val="green"/>
          <w:lang w:val="en-US" w:eastAsia="zh-CN"/>
        </w:rPr>
        <w:t>8</w:t>
      </w:r>
      <w:r>
        <w:rPr>
          <w:rFonts w:hint="eastAsia"/>
          <w:bCs/>
          <w:highlight w:val="green"/>
        </w:rPr>
        <w:t>）投标保证金收据扫描件或银行转款证明扫描件</w:t>
      </w:r>
      <w:r>
        <w:rPr>
          <w:rFonts w:hint="eastAsia" w:eastAsia="宋体"/>
          <w:bCs/>
          <w:highlight w:val="green"/>
          <w:lang w:eastAsia="zh-CN"/>
        </w:rPr>
        <w:t>或支票</w:t>
      </w:r>
      <w:r>
        <w:rPr>
          <w:rFonts w:hint="eastAsia"/>
          <w:bCs/>
          <w:highlight w:val="green"/>
        </w:rPr>
        <w:t>扫描件</w:t>
      </w:r>
      <w:r>
        <w:rPr>
          <w:rFonts w:hint="eastAsia" w:eastAsia="宋体"/>
          <w:bCs/>
          <w:highlight w:val="green"/>
          <w:lang w:eastAsia="zh-CN"/>
        </w:rPr>
        <w:t>、汇票</w:t>
      </w:r>
      <w:r>
        <w:rPr>
          <w:rFonts w:hint="eastAsia"/>
          <w:bCs/>
          <w:highlight w:val="green"/>
        </w:rPr>
        <w:t>扫描件</w:t>
      </w:r>
      <w:r>
        <w:rPr>
          <w:rFonts w:hint="eastAsia" w:eastAsia="宋体"/>
          <w:bCs/>
          <w:highlight w:val="green"/>
          <w:lang w:eastAsia="zh-CN"/>
        </w:rPr>
        <w:t>、本票</w:t>
      </w:r>
      <w:r>
        <w:rPr>
          <w:rFonts w:hint="eastAsia"/>
          <w:bCs/>
          <w:highlight w:val="green"/>
        </w:rPr>
        <w:t>扫描件</w:t>
      </w:r>
      <w:r>
        <w:rPr>
          <w:rFonts w:hint="eastAsia" w:eastAsia="宋体"/>
          <w:bCs/>
          <w:highlight w:val="green"/>
          <w:lang w:eastAsia="zh-CN"/>
        </w:rPr>
        <w:t>或者金融机构、担保机构出具的保函</w:t>
      </w:r>
      <w:r>
        <w:rPr>
          <w:rFonts w:hint="eastAsia"/>
          <w:bCs/>
          <w:highlight w:val="green"/>
        </w:rPr>
        <w:t>扫描件；</w:t>
      </w:r>
    </w:p>
    <w:p>
      <w:pPr>
        <w:snapToGrid w:val="0"/>
        <w:spacing w:line="300" w:lineRule="exact"/>
        <w:ind w:firstLine="465"/>
        <w:rPr>
          <w:rFonts w:hint="eastAsia"/>
        </w:rPr>
      </w:pPr>
      <w:r>
        <w:rPr>
          <w:rFonts w:hint="eastAsia" w:eastAsia="宋体"/>
          <w:b/>
          <w:bCs w:val="0"/>
          <w:highlight w:val="green"/>
          <w:lang w:val="en-US" w:eastAsia="zh-CN"/>
        </w:rPr>
        <w:t>9</w:t>
      </w:r>
      <w:r>
        <w:rPr>
          <w:rFonts w:hint="eastAsia"/>
          <w:b/>
          <w:bCs w:val="0"/>
          <w:highlight w:val="green"/>
        </w:rPr>
        <w:t>）</w:t>
      </w:r>
      <w:r>
        <w:rPr>
          <w:rFonts w:hint="eastAsia"/>
          <w:b w:val="0"/>
          <w:bCs/>
          <w:highlight w:val="green"/>
        </w:rPr>
        <w:t>具有有效的《食品流通许可证》或《食品经营许可证》</w:t>
      </w:r>
      <w:r>
        <w:rPr>
          <w:rFonts w:hint="eastAsia" w:eastAsia="宋体"/>
          <w:b w:val="0"/>
          <w:bCs/>
          <w:highlight w:val="green"/>
          <w:lang w:eastAsia="zh-CN"/>
        </w:rPr>
        <w:t>，</w:t>
      </w:r>
      <w:r>
        <w:rPr>
          <w:rFonts w:hint="eastAsia" w:eastAsia="宋体"/>
          <w:b w:val="0"/>
          <w:bCs/>
          <w:highlight w:val="green"/>
          <w:lang w:val="en-US" w:eastAsia="zh-CN"/>
        </w:rPr>
        <w:t>且经营范围包含本项目中所有招标内容；</w:t>
      </w:r>
    </w:p>
    <w:p>
      <w:pPr>
        <w:snapToGrid w:val="0"/>
        <w:spacing w:line="300" w:lineRule="exact"/>
        <w:ind w:firstLine="465"/>
        <w:rPr>
          <w:bCs/>
          <w:highlight w:val="green"/>
        </w:rPr>
      </w:pPr>
      <w:r>
        <w:rPr>
          <w:rFonts w:hint="eastAsia" w:eastAsia="宋体"/>
          <w:b/>
          <w:bCs w:val="0"/>
          <w:highlight w:val="green"/>
          <w:lang w:val="en-US" w:eastAsia="zh-CN"/>
        </w:rPr>
        <w:t>10</w:t>
      </w:r>
      <w:r>
        <w:rPr>
          <w:rFonts w:hint="eastAsia"/>
          <w:b/>
          <w:bCs w:val="0"/>
          <w:highlight w:val="green"/>
        </w:rPr>
        <w:t>）</w:t>
      </w:r>
      <w:r>
        <w:rPr>
          <w:b/>
          <w:bCs w:val="0"/>
          <w:highlight w:val="green"/>
        </w:rPr>
        <w:t>本项目不接受联合体投标</w:t>
      </w:r>
      <w:r>
        <w:rPr>
          <w:rFonts w:hint="eastAsia"/>
          <w:b/>
          <w:bCs w:val="0"/>
          <w:highlight w:val="green"/>
        </w:rPr>
        <w:t>（提供非联合体投标承诺函，承诺函格式自拟）；</w:t>
      </w:r>
    </w:p>
    <w:p>
      <w:pPr>
        <w:snapToGrid w:val="0"/>
        <w:spacing w:line="300" w:lineRule="exact"/>
        <w:ind w:firstLine="465"/>
        <w:rPr>
          <w:b/>
          <w:highlight w:val="green"/>
        </w:rPr>
      </w:pPr>
      <w:r>
        <w:rPr>
          <w:rFonts w:hint="eastAsia" w:ascii="宋体" w:hAnsi="宋体" w:eastAsia="宋体" w:cs="宋体"/>
          <w:b/>
          <w:highlight w:val="green"/>
          <w:lang w:val="en-US" w:eastAsia="zh-CN"/>
        </w:rPr>
        <w:t>11</w:t>
      </w:r>
      <w:r>
        <w:rPr>
          <w:rFonts w:hint="eastAsia" w:ascii="宋体" w:hAnsi="宋体" w:eastAsia="宋体" w:cs="宋体"/>
          <w:b/>
          <w:highlight w:val="green"/>
        </w:rPr>
        <w:t>）</w:t>
      </w:r>
      <w:r>
        <w:rPr>
          <w:b/>
          <w:highlight w:val="green"/>
        </w:rPr>
        <w:t>本项目不允许进口产品参与投标</w:t>
      </w:r>
      <w:r>
        <w:rPr>
          <w:rFonts w:hint="eastAsia"/>
          <w:b/>
          <w:highlight w:val="green"/>
        </w:rPr>
        <w:t>（提供非进口产品投标承诺函，承诺函格式自拟）</w:t>
      </w:r>
      <w:r>
        <w:rPr>
          <w:b/>
          <w:highlight w:val="green"/>
        </w:rPr>
        <w:t>。</w:t>
      </w:r>
    </w:p>
    <w:p>
      <w:pPr>
        <w:snapToGrid w:val="0"/>
        <w:spacing w:line="300" w:lineRule="exact"/>
        <w:ind w:firstLine="465"/>
        <w:rPr>
          <w:b/>
          <w:highlight w:val="green"/>
        </w:rPr>
      </w:pPr>
      <w:r>
        <w:rPr>
          <w:rFonts w:hint="eastAsia" w:ascii="宋体" w:hAnsi="宋体" w:eastAsia="宋体" w:cs="宋体"/>
          <w:b/>
          <w:highlight w:val="green"/>
          <w:lang w:val="en-US" w:eastAsia="zh-CN"/>
        </w:rPr>
        <w:t>12</w:t>
      </w:r>
      <w:r>
        <w:rPr>
          <w:rFonts w:hint="eastAsia" w:ascii="宋体" w:hAnsi="宋体" w:eastAsia="宋体" w:cs="宋体"/>
          <w:b/>
          <w:highlight w:val="green"/>
        </w:rPr>
        <w:t>）</w:t>
      </w:r>
      <w:r>
        <w:rPr>
          <w:b/>
          <w:highlight w:val="green"/>
        </w:rPr>
        <w:t>本项目</w:t>
      </w:r>
      <w:r>
        <w:rPr>
          <w:rFonts w:hint="eastAsia" w:eastAsia="宋体"/>
          <w:b/>
          <w:highlight w:val="green"/>
          <w:lang w:eastAsia="zh-CN"/>
        </w:rPr>
        <w:t>为专门面向中小企业采购项目，供应商应为中小企业/小微企业（在《中小企业声明函（货物）》作出说明）、监狱企业（在《残疾人福利性单位声明函（货物）》作出说明）、残疾人福利企业（在《监狱企业声明函（货物）》作出说明）</w:t>
      </w:r>
      <w:r>
        <w:rPr>
          <w:b/>
          <w:highlight w:val="green"/>
        </w:rPr>
        <w:t>。</w:t>
      </w:r>
    </w:p>
    <w:p>
      <w:pPr>
        <w:snapToGrid w:val="0"/>
        <w:spacing w:line="300" w:lineRule="exact"/>
        <w:ind w:firstLine="465"/>
        <w:rPr>
          <w:b/>
          <w:highlight w:val="green"/>
        </w:rPr>
      </w:pPr>
    </w:p>
    <w:p>
      <w:pPr>
        <w:snapToGrid w:val="0"/>
        <w:spacing w:line="300" w:lineRule="exact"/>
        <w:ind w:firstLine="465"/>
        <w:rPr>
          <w:rFonts w:ascii="Arial" w:hAnsi="Arial" w:eastAsia="宋体"/>
        </w:rPr>
      </w:pP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19"/>
        <w:tblW w:w="11553" w:type="dxa"/>
        <w:jc w:val="center"/>
        <w:tblLayout w:type="fixed"/>
        <w:tblCellMar>
          <w:top w:w="15" w:type="dxa"/>
          <w:left w:w="15" w:type="dxa"/>
          <w:bottom w:w="15" w:type="dxa"/>
          <w:right w:w="15" w:type="dxa"/>
        </w:tblCellMar>
      </w:tblPr>
      <w:tblGrid>
        <w:gridCol w:w="710"/>
        <w:gridCol w:w="2693"/>
        <w:gridCol w:w="2906"/>
        <w:gridCol w:w="2622"/>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bCs/>
              </w:rPr>
            </w:pPr>
            <w:r>
              <w:rPr>
                <w:rFonts w:hint="eastAsia" w:eastAsia="宋体"/>
                <w:lang w:eastAsia="zh-CN"/>
              </w:rPr>
              <w:t>KSS-（GK）-FHY2022-12</w:t>
            </w:r>
          </w:p>
        </w:tc>
        <w:tc>
          <w:tcPr>
            <w:tcW w:w="2906" w:type="dxa"/>
            <w:tcBorders>
              <w:top w:val="single" w:color="auto" w:sz="4" w:space="0"/>
              <w:left w:val="single" w:color="000000" w:sz="4" w:space="0"/>
              <w:bottom w:val="single" w:color="auto" w:sz="4" w:space="0"/>
              <w:right w:val="single" w:color="000000" w:sz="4" w:space="0"/>
            </w:tcBorders>
            <w:vAlign w:val="center"/>
          </w:tcPr>
          <w:p>
            <w:pPr>
              <w:jc w:val="center"/>
              <w:rPr>
                <w:b/>
                <w:bCs/>
              </w:rPr>
            </w:pPr>
            <w:r>
              <w:rPr>
                <w:rFonts w:hint="eastAsia" w:eastAsia="宋体" w:cs="Times New Roman"/>
                <w:lang w:eastAsia="zh-CN"/>
              </w:rPr>
              <w:t>喀什市公安局伙食食材采购项目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eastAsia="zh-CN"/>
              </w:rPr>
              <w:t>14800000.00元（壹仟肆佰捌拾万元整）</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fill="FFFFFF"/>
                <w:lang w:eastAsia="zh-CN"/>
              </w:rPr>
              <w:t>零售业</w:t>
            </w:r>
          </w:p>
        </w:tc>
      </w:tr>
    </w:tbl>
    <w:p>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pPr>
        <w:pStyle w:val="11"/>
        <w:rPr>
          <w:rFonts w:hint="eastAsia" w:ascii="仿宋" w:hAnsi="仿宋" w:eastAsia="仿宋" w:cs="仿宋"/>
          <w:color w:val="000000"/>
          <w:kern w:val="0"/>
          <w:sz w:val="28"/>
          <w:szCs w:val="28"/>
        </w:rPr>
      </w:pPr>
    </w:p>
    <w:p>
      <w:pPr>
        <w:pStyle w:val="11"/>
        <w:rPr>
          <w:rFonts w:hint="eastAsia" w:ascii="仿宋" w:hAnsi="仿宋" w:eastAsia="仿宋" w:cs="仿宋"/>
          <w:color w:val="000000"/>
          <w:kern w:val="0"/>
          <w:sz w:val="28"/>
          <w:szCs w:val="28"/>
        </w:rPr>
      </w:pP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2022年12月</w:t>
      </w:r>
      <w:r>
        <w:rPr>
          <w:rFonts w:hint="eastAsia" w:ascii="仿宋" w:hAnsi="仿宋" w:eastAsia="仿宋"/>
          <w:color w:val="000000"/>
          <w:sz w:val="28"/>
          <w:szCs w:val="28"/>
          <w:lang w:val="en-US" w:eastAsia="zh-CN"/>
        </w:rPr>
        <w:t>26</w:t>
      </w:r>
      <w:r>
        <w:rPr>
          <w:rFonts w:hint="eastAsia" w:ascii="仿宋" w:hAnsi="仿宋" w:eastAsia="仿宋"/>
          <w:color w:val="000000"/>
          <w:sz w:val="28"/>
          <w:szCs w:val="28"/>
          <w:lang w:eastAsia="zh-CN"/>
        </w:rPr>
        <w:t>日至2023年1月</w:t>
      </w:r>
      <w:r>
        <w:rPr>
          <w:rFonts w:hint="eastAsia" w:ascii="仿宋" w:hAnsi="仿宋" w:eastAsia="仿宋"/>
          <w:color w:val="000000"/>
          <w:sz w:val="28"/>
          <w:szCs w:val="28"/>
          <w:lang w:val="en-US" w:eastAsia="zh-CN"/>
        </w:rPr>
        <w:t>0</w:t>
      </w:r>
      <w:r>
        <w:rPr>
          <w:rFonts w:hint="eastAsia" w:ascii="仿宋" w:hAnsi="仿宋" w:eastAsia="仿宋"/>
          <w:color w:val="000000"/>
          <w:sz w:val="28"/>
          <w:szCs w:val="28"/>
          <w:lang w:eastAsia="zh-CN"/>
        </w:rPr>
        <w:t>6日1</w:t>
      </w: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eastAsia="zh-CN"/>
        </w:rPr>
        <w:t>:30:00</w:t>
      </w:r>
      <w:r>
        <w:rPr>
          <w:rFonts w:hint="eastAsia" w:ascii="仿宋" w:hAnsi="仿宋" w:eastAsia="仿宋"/>
          <w:color w:val="000000"/>
          <w:sz w:val="28"/>
          <w:szCs w:val="28"/>
        </w:rPr>
        <w:t>（法定节假日除外）</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2023年1月16日1</w:t>
      </w: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0</w:t>
      </w:r>
      <w:r>
        <w:rPr>
          <w:rFonts w:hint="eastAsia" w:ascii="仿宋" w:hAnsi="仿宋" w:eastAsia="仿宋"/>
          <w:color w:val="000000"/>
          <w:sz w:val="28"/>
          <w:szCs w:val="28"/>
          <w:lang w:eastAsia="zh-CN"/>
        </w:rPr>
        <w:t>0:00</w:t>
      </w:r>
    </w:p>
    <w:p>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pPr>
        <w:pStyle w:val="11"/>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p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四、投标保证金</w:t>
      </w:r>
    </w:p>
    <w:tbl>
      <w:tblPr>
        <w:tblStyle w:val="19"/>
        <w:tblW w:w="58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07"/>
        <w:gridCol w:w="1799"/>
        <w:gridCol w:w="1463"/>
        <w:gridCol w:w="1274"/>
        <w:gridCol w:w="1004"/>
        <w:gridCol w:w="1509"/>
        <w:gridCol w:w="1537"/>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03"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序号</w:t>
            </w:r>
          </w:p>
        </w:tc>
        <w:tc>
          <w:tcPr>
            <w:tcW w:w="898"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标项名称</w:t>
            </w:r>
          </w:p>
        </w:tc>
        <w:tc>
          <w:tcPr>
            <w:tcW w:w="730"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投标保证金金额（元）</w:t>
            </w:r>
          </w:p>
        </w:tc>
        <w:tc>
          <w:tcPr>
            <w:tcW w:w="636"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开户银行</w:t>
            </w:r>
          </w:p>
        </w:tc>
        <w:tc>
          <w:tcPr>
            <w:tcW w:w="501"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收款账号</w:t>
            </w:r>
          </w:p>
        </w:tc>
        <w:tc>
          <w:tcPr>
            <w:tcW w:w="753" w:type="pct"/>
            <w:noWrap w:val="0"/>
            <w:tcMar>
              <w:top w:w="75" w:type="dxa"/>
              <w:left w:w="150" w:type="dxa"/>
              <w:bottom w:w="75" w:type="dxa"/>
              <w:right w:w="150" w:type="dxa"/>
            </w:tcMar>
            <w:vAlign w:val="center"/>
          </w:tcPr>
          <w:p>
            <w:pPr>
              <w:widowControl/>
              <w:wordWrap w:val="0"/>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开户名</w:t>
            </w:r>
          </w:p>
        </w:tc>
        <w:tc>
          <w:tcPr>
            <w:tcW w:w="767"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交付方式</w:t>
            </w:r>
          </w:p>
        </w:tc>
        <w:tc>
          <w:tcPr>
            <w:tcW w:w="408"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kern w:val="0"/>
                <w:sz w:val="24"/>
                <w:lang w:bidi="ar"/>
              </w:rPr>
            </w:pPr>
            <w:r>
              <w:rPr>
                <w:rFonts w:hint="eastAsia" w:ascii="宋体" w:hAnsi="宋体" w:cs="宋体"/>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03"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ascii="宋体" w:hAnsi="宋体" w:cs="宋体"/>
                <w:color w:val="000000"/>
                <w:kern w:val="0"/>
                <w:sz w:val="24"/>
                <w:lang w:bidi="ar"/>
              </w:rPr>
              <w:t>1</w:t>
            </w:r>
          </w:p>
        </w:tc>
        <w:tc>
          <w:tcPr>
            <w:tcW w:w="898"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sz w:val="24"/>
              </w:rPr>
            </w:pPr>
            <w:r>
              <w:rPr>
                <w:rFonts w:hint="eastAsia" w:eastAsia="宋体" w:cs="Times New Roman"/>
                <w:lang w:eastAsia="zh-CN"/>
              </w:rPr>
              <w:t>喀什市公安局伙食食材采购项目</w:t>
            </w:r>
          </w:p>
        </w:tc>
        <w:tc>
          <w:tcPr>
            <w:tcW w:w="730" w:type="pct"/>
            <w:noWrap w:val="0"/>
            <w:tcMar>
              <w:top w:w="75" w:type="dxa"/>
              <w:left w:w="150" w:type="dxa"/>
              <w:bottom w:w="75" w:type="dxa"/>
              <w:right w:w="150" w:type="dxa"/>
            </w:tcMar>
            <w:vAlign w:val="center"/>
          </w:tcPr>
          <w:p>
            <w:pPr>
              <w:widowControl/>
              <w:wordWrap w:val="0"/>
              <w:jc w:val="center"/>
              <w:rPr>
                <w:rFonts w:hint="default" w:ascii="宋体" w:hAnsi="宋体" w:eastAsia="宋体" w:cs="宋体"/>
                <w:color w:val="FF0000"/>
                <w:sz w:val="24"/>
                <w:lang w:val="en-US" w:eastAsia="zh-CN"/>
              </w:rPr>
            </w:pPr>
            <w:r>
              <w:rPr>
                <w:rFonts w:hint="eastAsia" w:ascii="宋体" w:hAnsi="宋体" w:cs="宋体"/>
                <w:color w:val="FF0000"/>
                <w:kern w:val="0"/>
                <w:sz w:val="24"/>
                <w:highlight w:val="cyan"/>
                <w:lang w:val="en-US" w:eastAsia="zh-CN" w:bidi="ar"/>
              </w:rPr>
              <w:t>280000.00（贰拾捌万元整）</w:t>
            </w:r>
          </w:p>
        </w:tc>
        <w:tc>
          <w:tcPr>
            <w:tcW w:w="636" w:type="pct"/>
            <w:noWrap w:val="0"/>
            <w:tcMar>
              <w:top w:w="75" w:type="dxa"/>
              <w:left w:w="150" w:type="dxa"/>
              <w:bottom w:w="75" w:type="dxa"/>
              <w:right w:w="150" w:type="dxa"/>
            </w:tcMar>
            <w:vAlign w:val="center"/>
          </w:tcPr>
          <w:p>
            <w:pPr>
              <w:widowControl/>
              <w:wordWrap w:val="0"/>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新疆喀什农村商业银行股份有限公司环疆支行</w:t>
            </w:r>
          </w:p>
        </w:tc>
        <w:tc>
          <w:tcPr>
            <w:tcW w:w="501" w:type="pct"/>
            <w:noWrap w:val="0"/>
            <w:tcMar>
              <w:top w:w="75" w:type="dxa"/>
              <w:left w:w="150" w:type="dxa"/>
              <w:bottom w:w="75" w:type="dxa"/>
              <w:right w:w="150" w:type="dxa"/>
            </w:tcMar>
            <w:vAlign w:val="center"/>
          </w:tcPr>
          <w:p>
            <w:pPr>
              <w:widowControl/>
              <w:wordWrap w:val="0"/>
              <w:jc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新疆丰颢源工程管理咨询有限公司</w:t>
            </w:r>
          </w:p>
        </w:tc>
        <w:tc>
          <w:tcPr>
            <w:tcW w:w="753" w:type="pct"/>
            <w:noWrap w:val="0"/>
            <w:tcMar>
              <w:top w:w="75" w:type="dxa"/>
              <w:left w:w="150" w:type="dxa"/>
              <w:bottom w:w="75" w:type="dxa"/>
              <w:right w:w="150" w:type="dxa"/>
            </w:tcMar>
            <w:vAlign w:val="center"/>
          </w:tcPr>
          <w:p>
            <w:pPr>
              <w:widowControl/>
              <w:wordWrap w:val="0"/>
              <w:jc w:val="center"/>
              <w:rPr>
                <w:rFonts w:hint="eastAsia" w:ascii="宋体" w:hAnsi="宋体" w:eastAsia="宋体" w:cs="宋体"/>
                <w:color w:val="000000"/>
                <w:sz w:val="24"/>
                <w:lang w:eastAsia="zh-CN"/>
              </w:rPr>
            </w:pPr>
            <w:r>
              <w:rPr>
                <w:rFonts w:hint="eastAsia" w:ascii="仿宋_GB2312" w:eastAsia="仿宋_GB2312"/>
                <w:sz w:val="24"/>
                <w:lang w:eastAsia="zh-CN"/>
              </w:rPr>
              <w:t>8600 8011 2010 1084 4422 9</w:t>
            </w:r>
          </w:p>
        </w:tc>
        <w:tc>
          <w:tcPr>
            <w:tcW w:w="767" w:type="pct"/>
            <w:noWrap w:val="0"/>
            <w:tcMar>
              <w:top w:w="75" w:type="dxa"/>
              <w:left w:w="150" w:type="dxa"/>
              <w:bottom w:w="75" w:type="dxa"/>
              <w:right w:w="150" w:type="dxa"/>
            </w:tcMar>
            <w:vAlign w:val="center"/>
          </w:tcPr>
          <w:p>
            <w:pPr>
              <w:widowControl/>
              <w:wordWrap w:val="0"/>
              <w:jc w:val="left"/>
              <w:rPr>
                <w:rFonts w:hint="eastAsia" w:ascii="宋体" w:hAnsi="宋体" w:cs="宋体"/>
                <w:color w:val="000000"/>
                <w:sz w:val="24"/>
              </w:rPr>
            </w:pPr>
            <w:r>
              <w:rPr>
                <w:rFonts w:hint="eastAsia" w:ascii="宋体" w:hAnsi="宋体" w:cs="宋体"/>
                <w:color w:val="000000"/>
                <w:sz w:val="24"/>
                <w:highlight w:val="cyan"/>
              </w:rPr>
              <w:t>允许以电汇、</w:t>
            </w:r>
            <w:r>
              <w:rPr>
                <w:rFonts w:hint="eastAsia" w:ascii="宋体" w:hAnsi="宋体" w:eastAsia="宋体" w:cs="宋体"/>
                <w:color w:val="000000"/>
                <w:sz w:val="24"/>
                <w:highlight w:val="cyan"/>
                <w:lang w:eastAsia="zh-CN"/>
              </w:rPr>
              <w:t>网银</w:t>
            </w:r>
            <w:r>
              <w:rPr>
                <w:rFonts w:hint="eastAsia" w:ascii="宋体" w:hAnsi="宋体" w:cs="宋体"/>
                <w:color w:val="000000"/>
                <w:sz w:val="24"/>
                <w:highlight w:val="cyan"/>
              </w:rPr>
              <w:t>转账</w:t>
            </w:r>
            <w:r>
              <w:rPr>
                <w:rFonts w:hint="eastAsia" w:ascii="宋体" w:hAnsi="宋体" w:eastAsia="宋体" w:cs="宋体"/>
                <w:color w:val="000000"/>
                <w:sz w:val="24"/>
                <w:highlight w:val="cyan"/>
                <w:lang w:eastAsia="zh-CN"/>
              </w:rPr>
              <w:t>、</w:t>
            </w:r>
            <w:r>
              <w:rPr>
                <w:rFonts w:hint="eastAsia" w:ascii="宋体" w:hAnsi="宋体" w:cs="宋体"/>
                <w:color w:val="000000"/>
                <w:sz w:val="24"/>
                <w:highlight w:val="cyan"/>
              </w:rPr>
              <w:t>支票、汇票、本票或者金融机构、担保机构出具的保函等</w:t>
            </w:r>
          </w:p>
        </w:tc>
        <w:tc>
          <w:tcPr>
            <w:tcW w:w="408" w:type="pct"/>
            <w:noWrap w:val="0"/>
            <w:tcMar>
              <w:top w:w="75" w:type="dxa"/>
              <w:left w:w="150" w:type="dxa"/>
              <w:bottom w:w="75" w:type="dxa"/>
              <w:right w:w="150" w:type="dxa"/>
            </w:tcMar>
            <w:vAlign w:val="center"/>
          </w:tcPr>
          <w:p>
            <w:pPr>
              <w:widowControl/>
              <w:wordWrap w:val="0"/>
              <w:jc w:val="center"/>
              <w:rPr>
                <w:rFonts w:hint="eastAsia" w:ascii="宋体" w:hAnsi="宋体" w:cs="宋体"/>
                <w:color w:val="000000"/>
                <w:kern w:val="0"/>
                <w:sz w:val="24"/>
                <w:lang w:bidi="ar"/>
              </w:rPr>
            </w:pPr>
            <w:r>
              <w:rPr>
                <w:rFonts w:hint="eastAsia" w:ascii="宋体" w:hAnsi="宋体" w:cs="宋体"/>
                <w:color w:val="000000"/>
                <w:kern w:val="0"/>
                <w:sz w:val="24"/>
                <w:highlight w:val="cyan"/>
                <w:lang w:bidi="ar"/>
              </w:rPr>
              <w:t>打款时注明投标保证金项目名称</w:t>
            </w:r>
          </w:p>
        </w:tc>
      </w:tr>
    </w:tbl>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pPr>
        <w:pStyle w:val="11"/>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2"/>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pPr>
        <w:pStyle w:val="16"/>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，或咨询政采云客服400-881-7190或在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pPr>
        <w:pStyle w:val="16"/>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FF0000"/>
          <w:sz w:val="28"/>
          <w:szCs w:val="28"/>
          <w:lang w:eastAsia="zh-CN"/>
        </w:rPr>
        <w:t>喀什市公安局</w:t>
      </w:r>
    </w:p>
    <w:p>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FF0000"/>
          <w:sz w:val="28"/>
          <w:szCs w:val="28"/>
          <w:lang w:eastAsia="zh-CN"/>
        </w:rPr>
        <w:t>喀什市尤木拉克协海尔路喀什市公安局</w:t>
      </w:r>
    </w:p>
    <w:p>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FF0000"/>
          <w:sz w:val="28"/>
          <w:szCs w:val="28"/>
          <w:lang w:eastAsia="zh-CN"/>
        </w:rPr>
        <w:t>孙文瑞</w:t>
      </w:r>
      <w:r>
        <w:rPr>
          <w:rFonts w:hint="eastAsia" w:ascii="仿宋" w:hAnsi="仿宋" w:eastAsia="仿宋"/>
          <w:color w:val="FF0000"/>
          <w:sz w:val="28"/>
          <w:szCs w:val="28"/>
        </w:rPr>
        <w:t>，</w:t>
      </w:r>
      <w:r>
        <w:rPr>
          <w:rFonts w:hint="eastAsia" w:ascii="仿宋" w:hAnsi="仿宋" w:eastAsia="仿宋"/>
          <w:color w:val="FF0000"/>
          <w:sz w:val="28"/>
          <w:szCs w:val="28"/>
          <w:lang w:eastAsia="zh-CN"/>
        </w:rPr>
        <w:t>18616211240</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代理</w:t>
      </w:r>
      <w:r>
        <w:rPr>
          <w:rFonts w:hint="eastAsia" w:ascii="仿宋" w:hAnsi="仿宋" w:eastAsia="仿宋"/>
          <w:color w:val="000000"/>
          <w:sz w:val="28"/>
          <w:szCs w:val="28"/>
        </w:rPr>
        <w:t>机构信息</w:t>
      </w:r>
    </w:p>
    <w:p>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新疆丰颢源工程管理咨询有限公司</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喀什市帕依那甫路唐城国际商务大厦6楼603室</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13571936590</w:t>
      </w:r>
      <w:r>
        <w:rPr>
          <w:rFonts w:hint="eastAsia" w:ascii="仿宋" w:hAnsi="仿宋" w:eastAsia="仿宋"/>
          <w:color w:val="000000"/>
          <w:sz w:val="28"/>
          <w:szCs w:val="28"/>
        </w:rPr>
        <w:t>　</w:t>
      </w:r>
    </w:p>
    <w:p>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3.项目经办人联系方式</w:t>
      </w:r>
    </w:p>
    <w:p>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FF0000"/>
          <w:sz w:val="28"/>
          <w:szCs w:val="28"/>
          <w:lang w:eastAsia="zh-CN"/>
        </w:rPr>
        <w:t>孙文瑞</w:t>
      </w:r>
      <w:r>
        <w:rPr>
          <w:rFonts w:hint="eastAsia" w:ascii="仿宋" w:hAnsi="仿宋" w:eastAsia="仿宋"/>
          <w:color w:val="FF0000"/>
          <w:sz w:val="28"/>
          <w:szCs w:val="28"/>
        </w:rPr>
        <w:t>：</w:t>
      </w:r>
      <w:r>
        <w:rPr>
          <w:rFonts w:hint="eastAsia" w:ascii="仿宋" w:hAnsi="仿宋" w:eastAsia="仿宋"/>
          <w:color w:val="FF0000"/>
          <w:sz w:val="28"/>
          <w:szCs w:val="28"/>
          <w:lang w:eastAsia="zh-CN"/>
        </w:rPr>
        <w:t>18616211240</w:t>
      </w:r>
      <w:r>
        <w:rPr>
          <w:rFonts w:hint="eastAsia" w:ascii="仿宋" w:hAnsi="仿宋" w:eastAsia="仿宋"/>
          <w:color w:val="000000"/>
          <w:sz w:val="28"/>
          <w:szCs w:val="28"/>
        </w:rPr>
        <w:t>　</w:t>
      </w:r>
    </w:p>
    <w:p>
      <w:pPr>
        <w:pStyle w:val="11"/>
        <w:spacing w:after="0" w:line="560" w:lineRule="exact"/>
        <w:rPr>
          <w:rFonts w:hint="eastAsia" w:ascii="仿宋" w:hAnsi="仿宋" w:eastAsia="仿宋"/>
          <w:color w:val="000000"/>
          <w:sz w:val="28"/>
          <w:szCs w:val="28"/>
        </w:rPr>
      </w:pPr>
    </w:p>
    <w:p>
      <w:pPr>
        <w:rPr>
          <w:rFonts w:ascii="Arial" w:hAnsi="Arial" w:eastAsia="宋体"/>
          <w:b/>
          <w:color w:val="FF0000"/>
          <w:sz w:val="32"/>
          <w:szCs w:val="32"/>
        </w:rPr>
      </w:pPr>
      <w:r>
        <w:br w:type="page"/>
      </w:r>
    </w:p>
    <w:p>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1" w:name="_Hlk71926094"/>
      <w:r>
        <w:rPr>
          <w:rFonts w:hint="eastAsia" w:ascii="宋体" w:hAnsi="宋体" w:eastAsia="宋体"/>
          <w:b/>
          <w:bCs/>
          <w:sz w:val="28"/>
          <w:szCs w:val="28"/>
        </w:rPr>
        <w:t>对通用条款的补充内容及其他关键信息</w:t>
      </w:r>
      <w:bookmarkEnd w:id="1"/>
    </w:p>
    <w:p>
      <w:pPr>
        <w:keepNext/>
        <w:keepLines/>
        <w:adjustRightInd w:val="0"/>
        <w:spacing w:before="120" w:beforeLines="50" w:after="120" w:afterLines="50"/>
        <w:jc w:val="center"/>
        <w:textAlignment w:val="baseline"/>
        <w:outlineLvl w:val="2"/>
        <w:rPr>
          <w:rFonts w:ascii="宋体" w:hAnsi="宋体" w:eastAsia="宋体"/>
          <w:b/>
          <w:bCs/>
        </w:rPr>
      </w:pPr>
      <w:bookmarkStart w:id="2" w:name="_Toc101074876"/>
      <w:bookmarkStart w:id="3" w:name="_Toc60631620"/>
      <w:bookmarkStart w:id="4" w:name="_Toc73521635"/>
      <w:bookmarkStart w:id="5" w:name="_Toc100052364"/>
      <w:bookmarkStart w:id="6" w:name="_Toc73518117"/>
      <w:bookmarkStart w:id="7" w:name="_Toc73517639"/>
      <w:bookmarkStart w:id="8" w:name="_Toc73521547"/>
      <w:bookmarkStart w:id="9" w:name="_Toc60560625"/>
      <w:r>
        <w:rPr>
          <w:rFonts w:hint="eastAsia" w:ascii="宋体" w:hAnsi="宋体" w:eastAsia="宋体"/>
          <w:b/>
          <w:bCs/>
        </w:rPr>
        <w:t>一、对通用条款的补充内容</w:t>
      </w:r>
      <w:bookmarkEnd w:id="2"/>
      <w:bookmarkEnd w:id="3"/>
      <w:bookmarkEnd w:id="4"/>
      <w:bookmarkEnd w:id="5"/>
      <w:bookmarkEnd w:id="6"/>
      <w:bookmarkEnd w:id="7"/>
      <w:bookmarkEnd w:id="8"/>
      <w:bookmarkEnd w:id="9"/>
    </w:p>
    <w:tbl>
      <w:tblPr>
        <w:tblStyle w:val="19"/>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pPr>
              <w:snapToGrid w:val="0"/>
              <w:jc w:val="center"/>
              <w:rPr>
                <w:rFonts w:ascii="宋体" w:hAnsi="宋体" w:eastAsia="宋体" w:cs="Arial"/>
                <w:b/>
                <w:szCs w:val="21"/>
              </w:rPr>
            </w:pPr>
            <w:r>
              <w:rPr>
                <w:rFonts w:hint="eastAsia" w:ascii="宋体" w:hAnsi="宋体" w:eastAsia="宋体" w:cs="Arial"/>
                <w:b/>
                <w:szCs w:val="21"/>
              </w:rPr>
              <w:t>具体补充内容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pPr>
              <w:snapToGrid w:val="0"/>
              <w:jc w:val="center"/>
              <w:rPr>
                <w:rFonts w:hint="eastAsia" w:ascii="宋体" w:hAnsi="宋体" w:eastAsia="宋体" w:cs="Arial"/>
                <w:szCs w:val="21"/>
                <w:lang w:eastAsia="zh-CN"/>
              </w:rPr>
            </w:pPr>
            <w:r>
              <w:rPr>
                <w:rFonts w:hint="eastAsia" w:ascii="宋体" w:hAnsi="宋体" w:eastAsia="宋体" w:cs="Arial"/>
                <w:szCs w:val="21"/>
                <w:lang w:eastAsia="zh-CN"/>
              </w:rPr>
              <w:t>采购代理机构</w:t>
            </w:r>
          </w:p>
        </w:tc>
        <w:tc>
          <w:tcPr>
            <w:tcW w:w="7424" w:type="dxa"/>
            <w:vAlign w:val="center"/>
          </w:tcPr>
          <w:p>
            <w:pPr>
              <w:snapToGrid w:val="0"/>
              <w:jc w:val="both"/>
              <w:rPr>
                <w:rFonts w:ascii="Arial" w:hAnsi="Arial" w:eastAsia="宋体"/>
                <w:bCs/>
              </w:rPr>
            </w:pPr>
            <w:r>
              <w:rPr>
                <w:rFonts w:hint="eastAsia" w:ascii="宋体" w:hAnsi="宋体" w:eastAsia="宋体" w:cs="Arial"/>
                <w:szCs w:val="21"/>
              </w:rPr>
              <w:t>本文件所述的“</w:t>
            </w:r>
            <w:r>
              <w:rPr>
                <w:rFonts w:hint="eastAsia" w:ascii="宋体" w:hAnsi="宋体" w:eastAsia="宋体" w:cs="Arial"/>
                <w:szCs w:val="21"/>
                <w:lang w:eastAsia="zh-CN"/>
              </w:rPr>
              <w:t>采购代理机构</w:t>
            </w:r>
            <w:r>
              <w:rPr>
                <w:rFonts w:hint="eastAsia" w:ascii="宋体" w:hAnsi="宋体" w:eastAsia="宋体" w:cs="Arial"/>
                <w:szCs w:val="21"/>
              </w:rPr>
              <w:t>”</w:t>
            </w:r>
            <w:r>
              <w:rPr>
                <w:rFonts w:ascii="宋体" w:hAnsi="宋体" w:eastAsia="宋体" w:cs="Arial"/>
                <w:szCs w:val="21"/>
              </w:rPr>
              <w:t>指</w:t>
            </w:r>
            <w:r>
              <w:rPr>
                <w:rFonts w:hint="eastAsia" w:ascii="宋体" w:hAnsi="宋体" w:eastAsia="宋体" w:cs="Arial"/>
                <w:b/>
                <w:bCs/>
                <w:szCs w:val="21"/>
                <w:lang w:eastAsia="zh-CN"/>
              </w:rPr>
              <w:t>新疆丰颢源工程管理咨询有限公司</w:t>
            </w:r>
            <w:r>
              <w:rPr>
                <w:rFonts w:hint="eastAsia" w:ascii="Arial" w:hAnsi="Arial"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120 </w:t>
            </w:r>
            <w:r>
              <w:rPr>
                <w:rFonts w:hint="eastAsia" w:ascii="宋体" w:hAnsi="宋体" w:eastAsia="宋体" w:cs="Arial"/>
                <w:szCs w:val="21"/>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w:t>
            </w:r>
            <w:r>
              <w:rPr>
                <w:rFonts w:hint="eastAsia" w:ascii="Arial" w:hAnsi="Arial" w:eastAsia="宋体"/>
                <w:color w:val="0000FF"/>
                <w:szCs w:val="21"/>
                <w:lang w:val="en-US" w:eastAsia="zh-CN"/>
              </w:rPr>
              <w:t>入围</w:t>
            </w:r>
            <w:r>
              <w:rPr>
                <w:rFonts w:hint="eastAsia" w:ascii="Arial" w:hAnsi="Arial" w:eastAsia="宋体"/>
                <w:color w:val="0000FF"/>
                <w:szCs w:val="21"/>
              </w:rPr>
              <w:t>供应商数量为</w:t>
            </w:r>
            <w:r>
              <w:rPr>
                <w:rFonts w:hint="eastAsia" w:ascii="Arial" w:hAnsi="Arial" w:eastAsia="宋体"/>
                <w:color w:val="0000FF"/>
                <w:u w:val="single"/>
              </w:rPr>
              <w:t xml:space="preserve"> </w:t>
            </w:r>
            <w:r>
              <w:rPr>
                <w:rFonts w:hint="eastAsia" w:ascii="Arial" w:hAnsi="Arial" w:eastAsia="宋体"/>
                <w:color w:val="0000FF"/>
                <w:u w:val="single"/>
                <w:lang w:val="en-US" w:eastAsia="zh-CN"/>
              </w:rPr>
              <w:t>3</w:t>
            </w:r>
            <w:r>
              <w:rPr>
                <w:rFonts w:hint="eastAsia" w:ascii="Arial" w:hAnsi="Arial" w:eastAsia="宋体"/>
                <w:color w:val="0000FF"/>
                <w:u w:val="single"/>
              </w:rPr>
              <w:t xml:space="preserve"> </w:t>
            </w:r>
            <w:r>
              <w:rPr>
                <w:rFonts w:hint="eastAsia" w:ascii="Arial" w:hAnsi="Arial" w:eastAsia="宋体"/>
                <w:color w:val="0000FF"/>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pPr>
              <w:snapToGrid w:val="0"/>
              <w:rPr>
                <w:rFonts w:hint="eastAsia" w:ascii="宋体" w:hAnsi="宋体" w:eastAsia="宋体" w:cs="Arial"/>
                <w:sz w:val="24"/>
                <w:szCs w:val="21"/>
              </w:rPr>
            </w:pPr>
            <w:r>
              <w:rPr>
                <w:rFonts w:hint="eastAsia" w:ascii="宋体" w:hAnsi="宋体" w:eastAsia="宋体"/>
                <w:szCs w:val="21"/>
              </w:rPr>
              <w:t>本项目评标委员会由</w:t>
            </w:r>
            <w:r>
              <w:rPr>
                <w:rFonts w:hint="eastAsia" w:ascii="宋体" w:hAnsi="宋体" w:eastAsia="宋体"/>
                <w:szCs w:val="21"/>
                <w:lang w:val="en-US" w:eastAsia="zh-CN"/>
              </w:rPr>
              <w:t>7</w:t>
            </w:r>
            <w:r>
              <w:rPr>
                <w:rFonts w:hint="eastAsia" w:ascii="宋体" w:hAnsi="宋体" w:eastAsia="宋体"/>
                <w:szCs w:val="21"/>
              </w:rPr>
              <w:t>人组成（采购人代表</w:t>
            </w:r>
            <w:r>
              <w:rPr>
                <w:rFonts w:hint="eastAsia" w:ascii="宋体" w:hAnsi="宋体" w:eastAsia="宋体"/>
                <w:szCs w:val="21"/>
                <w:lang w:val="en-US" w:eastAsia="zh-CN"/>
              </w:rPr>
              <w:t>1</w:t>
            </w:r>
            <w:r>
              <w:rPr>
                <w:rFonts w:hint="eastAsia" w:ascii="宋体" w:hAnsi="宋体" w:eastAsia="宋体"/>
                <w:szCs w:val="21"/>
              </w:rPr>
              <w:t>名，随机抽取专家</w:t>
            </w:r>
            <w:r>
              <w:rPr>
                <w:rFonts w:hint="eastAsia" w:ascii="宋体" w:hAnsi="宋体" w:eastAsia="宋体"/>
                <w:szCs w:val="21"/>
                <w:lang w:val="en-US" w:eastAsia="zh-CN"/>
              </w:rPr>
              <w:t>6</w:t>
            </w:r>
            <w:r>
              <w:rPr>
                <w:rFonts w:hint="eastAsia" w:ascii="宋体" w:hAnsi="宋体" w:eastAsia="宋体"/>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pPr>
              <w:snapToGrid w:val="0"/>
              <w:rPr>
                <w:rFonts w:hint="eastAsia" w:ascii="宋体" w:hAnsi="宋体" w:eastAsia="宋体" w:cs="Times New Roman"/>
                <w:szCs w:val="21"/>
                <w:lang w:eastAsia="zh-CN"/>
              </w:rPr>
            </w:pPr>
            <w:r>
              <w:rPr>
                <w:rFonts w:hint="eastAsia" w:ascii="宋体" w:hAnsi="宋体" w:eastAsia="宋体" w:cs="Times New Roman"/>
                <w:szCs w:val="21"/>
                <w:lang w:eastAsia="zh-CN"/>
              </w:rPr>
              <w:t>履约保证金</w:t>
            </w:r>
          </w:p>
        </w:tc>
        <w:tc>
          <w:tcPr>
            <w:tcW w:w="0" w:type="auto"/>
            <w:vAlign w:val="top"/>
          </w:tcPr>
          <w:p>
            <w:pPr>
              <w:snapToGrid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中标后7天内每个入围供应商需缴纳49万作为履约保证金并签订合同，否则视为放弃。</w:t>
            </w:r>
          </w:p>
          <w:p>
            <w:pPr>
              <w:snapToGrid w:val="0"/>
              <w:rPr>
                <w:rFonts w:hint="eastAsia" w:ascii="宋体" w:hAnsi="宋体" w:eastAsia="宋体" w:cs="Times New Roman"/>
                <w:szCs w:val="21"/>
                <w:lang w:val="en-US"/>
              </w:rPr>
            </w:pPr>
            <w:r>
              <w:rPr>
                <w:rFonts w:hint="eastAsia" w:ascii="宋体" w:hAnsi="宋体" w:eastAsia="宋体" w:cs="Times New Roman"/>
                <w:szCs w:val="21"/>
                <w:lang w:val="en-US" w:eastAsia="zh-CN"/>
              </w:rPr>
              <w:t>提交履约保证金的时间：中标后7天内。</w:t>
            </w:r>
          </w:p>
        </w:tc>
      </w:tr>
    </w:tbl>
    <w:p>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bookmarkStart w:id="70" w:name="_GoBack"/>
      <w:bookmarkEnd w:id="70"/>
    </w:p>
    <w:p>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pPr>
        <w:tabs>
          <w:tab w:val="left" w:pos="720"/>
        </w:tabs>
        <w:rPr>
          <w:rFonts w:ascii="黑体" w:hAnsi="宋体" w:eastAsia="黑体"/>
          <w:bCs/>
        </w:rPr>
      </w:pPr>
      <w:r>
        <w:rPr>
          <w:rFonts w:hint="eastAsia" w:ascii="黑体" w:hAnsi="宋体" w:eastAsia="黑体"/>
          <w:bCs/>
        </w:rPr>
        <w:t>1、关于标项的定义</w:t>
      </w:r>
    </w:p>
    <w:p>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pPr>
        <w:tabs>
          <w:tab w:val="left" w:pos="720"/>
        </w:tabs>
        <w:rPr>
          <w:rFonts w:ascii="黑体" w:hAnsi="宋体" w:eastAsia="黑体"/>
        </w:rPr>
      </w:pPr>
      <w:r>
        <w:rPr>
          <w:rFonts w:hint="eastAsia" w:ascii="黑体" w:hAnsi="宋体" w:eastAsia="黑体"/>
        </w:rPr>
        <w:t>（二）其他事项</w:t>
      </w:r>
    </w:p>
    <w:p>
      <w:pPr>
        <w:tabs>
          <w:tab w:val="left" w:pos="720"/>
        </w:tabs>
        <w:rPr>
          <w:rFonts w:ascii="黑体" w:hAnsi="宋体" w:eastAsia="黑体"/>
        </w:rPr>
      </w:pPr>
      <w:r>
        <w:rPr>
          <w:rFonts w:hint="eastAsia" w:ascii="黑体" w:hAnsi="宋体" w:eastAsia="黑体"/>
        </w:rPr>
        <w:t>1、关于享受优惠政策的主体及价格扣除比例</w:t>
      </w:r>
    </w:p>
    <w:p>
      <w:pPr>
        <w:ind w:firstLine="470" w:firstLineChars="196"/>
        <w:rPr>
          <w:rFonts w:hint="eastAsia" w:ascii="宋体" w:hAnsi="宋体" w:eastAsia="宋体"/>
          <w:lang w:eastAsia="zh-CN"/>
        </w:rPr>
      </w:pPr>
      <w:r>
        <w:rPr>
          <w:rFonts w:hint="eastAsia" w:ascii="宋体" w:hAnsi="宋体" w:eastAsia="宋体"/>
          <w:b/>
          <w:bCs/>
          <w:color w:val="FF0000"/>
          <w:lang w:eastAsia="zh-CN"/>
        </w:rPr>
        <w:t>本项目为专门面向中小企业采购项目，不进行价格扣除</w:t>
      </w:r>
      <w:r>
        <w:rPr>
          <w:rFonts w:hint="eastAsia" w:ascii="宋体" w:hAnsi="宋体" w:eastAsia="宋体"/>
          <w:lang w:eastAsia="zh-CN"/>
        </w:rPr>
        <w:t>。</w:t>
      </w:r>
    </w:p>
    <w:p>
      <w:pPr>
        <w:tabs>
          <w:tab w:val="left" w:pos="720"/>
        </w:tabs>
        <w:rPr>
          <w:rFonts w:ascii="黑体" w:hAnsi="宋体" w:eastAsia="黑体"/>
        </w:rPr>
      </w:pPr>
    </w:p>
    <w:p>
      <w:pPr>
        <w:rPr>
          <w:rFonts w:ascii="宋体" w:hAnsi="宋体" w:eastAsia="黑体"/>
          <w:bCs/>
          <w:kern w:val="44"/>
          <w:sz w:val="28"/>
          <w:szCs w:val="44"/>
        </w:rPr>
      </w:pP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19"/>
        <w:tblW w:w="11553" w:type="dxa"/>
        <w:jc w:val="center"/>
        <w:tblLayout w:type="fixed"/>
        <w:tblCellMar>
          <w:top w:w="15" w:type="dxa"/>
          <w:left w:w="15" w:type="dxa"/>
          <w:bottom w:w="15" w:type="dxa"/>
          <w:right w:w="15" w:type="dxa"/>
        </w:tblCellMar>
      </w:tblPr>
      <w:tblGrid>
        <w:gridCol w:w="710"/>
        <w:gridCol w:w="2693"/>
        <w:gridCol w:w="2906"/>
        <w:gridCol w:w="2622"/>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bCs/>
              </w:rPr>
            </w:pPr>
            <w:r>
              <w:rPr>
                <w:rFonts w:hint="eastAsia" w:eastAsia="宋体"/>
                <w:lang w:eastAsia="zh-CN"/>
              </w:rPr>
              <w:t>KSS-（GK）-FHY2022-12</w:t>
            </w:r>
          </w:p>
        </w:tc>
        <w:tc>
          <w:tcPr>
            <w:tcW w:w="2906" w:type="dxa"/>
            <w:tcBorders>
              <w:top w:val="single" w:color="auto" w:sz="4" w:space="0"/>
              <w:left w:val="single" w:color="000000" w:sz="4" w:space="0"/>
              <w:bottom w:val="single" w:color="auto" w:sz="4" w:space="0"/>
              <w:right w:val="single" w:color="000000" w:sz="4" w:space="0"/>
            </w:tcBorders>
            <w:vAlign w:val="center"/>
          </w:tcPr>
          <w:p>
            <w:pPr>
              <w:jc w:val="center"/>
              <w:rPr>
                <w:b/>
                <w:bCs/>
              </w:rPr>
            </w:pPr>
            <w:r>
              <w:rPr>
                <w:rFonts w:hint="eastAsia" w:eastAsia="宋体" w:cs="Times New Roman"/>
                <w:lang w:eastAsia="zh-CN"/>
              </w:rPr>
              <w:t>喀什市公安局伙食食材采购项目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bCs/>
                <w:lang w:eastAsia="zh-CN"/>
              </w:rPr>
              <w:t>14800000.00元（壹仟肆佰捌拾万元整）</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fill="FFFFFF"/>
                <w:lang w:eastAsia="zh-CN"/>
              </w:rPr>
              <w:t>零售业</w:t>
            </w:r>
          </w:p>
        </w:tc>
      </w:tr>
    </w:tbl>
    <w:p>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14800000.00元（壹仟肆佰捌拾万元整）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w:t>
      </w:r>
      <w:r>
        <w:rPr>
          <w:rFonts w:hint="eastAsia" w:ascii="Arial" w:hAnsi="Arial" w:eastAsia="宋体"/>
          <w:b/>
          <w:sz w:val="32"/>
          <w:szCs w:val="32"/>
          <w:lang w:eastAsia="zh-CN"/>
        </w:rPr>
        <w:t>货物需求</w:t>
      </w:r>
      <w:r>
        <w:rPr>
          <w:rFonts w:hint="eastAsia" w:ascii="Arial" w:hAnsi="Arial" w:eastAsia="宋体"/>
          <w:b/>
          <w:sz w:val="32"/>
          <w:szCs w:val="32"/>
        </w:rPr>
        <w:t>明细</w:t>
      </w:r>
    </w:p>
    <w:p>
      <w:pPr>
        <w:rPr>
          <w:rFonts w:hint="eastAsia" w:ascii="Arial" w:hAnsi="Arial" w:eastAsia="宋体"/>
          <w:b/>
          <w:color w:val="FF0000"/>
          <w:sz w:val="32"/>
          <w:szCs w:val="32"/>
          <w:highlight w:val="cyan"/>
          <w:lang w:val="en-US" w:eastAsia="zh-CN"/>
        </w:rPr>
      </w:pPr>
      <w:r>
        <w:rPr>
          <w:rFonts w:hint="eastAsia" w:ascii="宋体" w:hAnsi="宋体"/>
          <w:b/>
          <w:color w:val="FF0000"/>
          <w:sz w:val="32"/>
          <w:szCs w:val="32"/>
        </w:rPr>
        <w:t>本项目核心产品为：</w:t>
      </w:r>
      <w:r>
        <w:rPr>
          <w:rFonts w:hint="eastAsia" w:ascii="Arial" w:hAnsi="Arial" w:eastAsia="宋体"/>
          <w:b/>
          <w:color w:val="FF0000"/>
          <w:sz w:val="32"/>
          <w:szCs w:val="32"/>
          <w:highlight w:val="cyan"/>
          <w:lang w:val="en-US" w:eastAsia="zh-CN"/>
        </w:rPr>
        <w:t>食材</w:t>
      </w:r>
    </w:p>
    <w:p>
      <w:pPr>
        <w:pStyle w:val="7"/>
        <w:rPr>
          <w:rFonts w:hint="eastAsia"/>
          <w:lang w:eastAsia="zh-CN"/>
        </w:rPr>
      </w:pP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b/>
          <w:bCs/>
          <w:color w:val="FF0000"/>
          <w:szCs w:val="21"/>
        </w:rPr>
      </w:pP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宋体" w:hAnsi="宋体" w:eastAsia="宋体"/>
          <w:b/>
          <w:bCs/>
          <w:color w:val="FF0000"/>
          <w:szCs w:val="21"/>
          <w:lang w:val="en-US" w:eastAsia="zh-CN"/>
        </w:rPr>
      </w:pPr>
      <w:r>
        <w:rPr>
          <w:rFonts w:hint="eastAsia" w:ascii="宋体" w:hAnsi="宋体" w:eastAsia="宋体"/>
          <w:b/>
          <w:bCs/>
          <w:color w:val="FF0000"/>
          <w:szCs w:val="21"/>
        </w:rPr>
        <w:t>★</w:t>
      </w:r>
      <w:r>
        <w:rPr>
          <w:rFonts w:hint="eastAsia" w:ascii="宋体" w:hAnsi="宋体" w:eastAsia="宋体"/>
          <w:b/>
          <w:bCs/>
          <w:color w:val="auto"/>
          <w:szCs w:val="21"/>
          <w:lang w:val="en-US" w:eastAsia="zh-CN"/>
        </w:rPr>
        <w:t>食材要求</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肉类：</w:t>
      </w:r>
    </w:p>
    <w:p>
      <w:pPr>
        <w:bidi w:val="0"/>
        <w:rPr>
          <w:rFonts w:hint="eastAsia"/>
          <w:sz w:val="28"/>
          <w:szCs w:val="36"/>
          <w:lang w:val="en-US" w:eastAsia="zh-CN"/>
        </w:rPr>
      </w:pPr>
      <w:r>
        <w:rPr>
          <w:rFonts w:hint="eastAsia"/>
          <w:sz w:val="28"/>
          <w:szCs w:val="36"/>
          <w:lang w:val="en-US" w:eastAsia="zh-CN"/>
        </w:rPr>
        <w:t>牛肉：新鲜、剔骨肉、不含油，不得冷冻。投</w:t>
      </w:r>
      <w:r>
        <w:rPr>
          <w:rFonts w:hint="eastAsia"/>
          <w:sz w:val="28"/>
          <w:szCs w:val="36"/>
        </w:rPr>
        <w:t>标人</w:t>
      </w:r>
      <w:r>
        <w:rPr>
          <w:rFonts w:hint="eastAsia"/>
          <w:sz w:val="28"/>
          <w:szCs w:val="36"/>
          <w:lang w:val="en-US" w:eastAsia="zh-CN"/>
        </w:rPr>
        <w:t>需有能力按天需求数量按时送</w:t>
      </w:r>
      <w:r>
        <w:rPr>
          <w:rFonts w:hint="eastAsia" w:ascii="宋体" w:hAnsi="宋体" w:eastAsia="宋体" w:cs="宋体"/>
          <w:sz w:val="28"/>
          <w:szCs w:val="36"/>
          <w:lang w:val="en-US" w:eastAsia="zh-CN"/>
        </w:rPr>
        <w:t>至</w:t>
      </w:r>
      <w:r>
        <w:rPr>
          <w:rFonts w:hint="eastAsia" w:ascii="宋体" w:hAnsi="宋体" w:eastAsia="宋体" w:cs="宋体"/>
          <w:b w:val="0"/>
          <w:bCs/>
          <w:color w:val="auto"/>
          <w:sz w:val="28"/>
          <w:szCs w:val="28"/>
          <w:highlight w:val="none"/>
          <w:lang w:val="en-US" w:eastAsia="zh-CN"/>
        </w:rPr>
        <w:t>指定配送地址</w:t>
      </w:r>
      <w:r>
        <w:rPr>
          <w:rFonts w:hint="eastAsia"/>
          <w:sz w:val="28"/>
          <w:szCs w:val="36"/>
          <w:lang w:val="en-US" w:eastAsia="zh-CN"/>
        </w:rPr>
        <w:t>。生产企业具备《动物卫生防疫合格证》等相关资质齐全，每次配送必须提供当天检疫检验报告，每只有检疫标识，配有冷藏恒温设施配送车辆，以配送量为准。</w:t>
      </w:r>
    </w:p>
    <w:p>
      <w:pPr>
        <w:bidi w:val="0"/>
        <w:rPr>
          <w:rFonts w:hint="eastAsia"/>
          <w:sz w:val="28"/>
          <w:szCs w:val="36"/>
          <w:lang w:val="en-US" w:eastAsia="zh-CN"/>
        </w:rPr>
      </w:pPr>
      <w:r>
        <w:rPr>
          <w:rFonts w:hint="eastAsia"/>
          <w:sz w:val="28"/>
          <w:szCs w:val="36"/>
          <w:lang w:val="en-US" w:eastAsia="zh-CN"/>
        </w:rPr>
        <w:t>羊肉：本地羊，新鲜、剔骨肉、去羊尾油，不得冷冻。按天需求数量送至</w:t>
      </w:r>
      <w:r>
        <w:rPr>
          <w:rFonts w:hint="eastAsia" w:ascii="宋体" w:hAnsi="宋体" w:eastAsia="宋体" w:cs="宋体"/>
          <w:sz w:val="28"/>
          <w:szCs w:val="36"/>
          <w:lang w:val="en-US" w:eastAsia="zh-CN"/>
        </w:rPr>
        <w:t>至</w:t>
      </w:r>
      <w:r>
        <w:rPr>
          <w:rFonts w:hint="eastAsia" w:ascii="宋体" w:hAnsi="宋体" w:eastAsia="宋体" w:cs="宋体"/>
          <w:b w:val="0"/>
          <w:bCs/>
          <w:color w:val="auto"/>
          <w:sz w:val="28"/>
          <w:szCs w:val="28"/>
          <w:highlight w:val="none"/>
          <w:lang w:val="en-US" w:eastAsia="zh-CN"/>
        </w:rPr>
        <w:t>指定配送地址</w:t>
      </w:r>
      <w:r>
        <w:rPr>
          <w:rFonts w:hint="eastAsia"/>
          <w:sz w:val="28"/>
          <w:szCs w:val="36"/>
          <w:lang w:val="en-US" w:eastAsia="zh-CN"/>
        </w:rPr>
        <w:t>。生产企业具备《动物卫生防疫合格证》等相关资质齐全，每次配送必须提供当天检疫检验报告，每只有检疫标识，两证齐全且配有冷藏恒温设施配送车辆，以配送量为准。</w:t>
      </w:r>
    </w:p>
    <w:p>
      <w:pPr>
        <w:bidi w:val="0"/>
        <w:rPr>
          <w:rFonts w:hint="eastAsia"/>
          <w:sz w:val="28"/>
          <w:szCs w:val="36"/>
          <w:lang w:eastAsia="zh-CN"/>
        </w:rPr>
      </w:pPr>
      <w:r>
        <w:rPr>
          <w:rFonts w:hint="eastAsia"/>
          <w:sz w:val="28"/>
          <w:szCs w:val="36"/>
        </w:rPr>
        <w:t>鸡</w:t>
      </w:r>
      <w:r>
        <w:rPr>
          <w:rFonts w:hint="eastAsia"/>
          <w:sz w:val="28"/>
          <w:szCs w:val="36"/>
          <w:lang w:val="en-US" w:eastAsia="zh-CN"/>
        </w:rPr>
        <w:t>:</w:t>
      </w:r>
      <w:r>
        <w:rPr>
          <w:rFonts w:hint="eastAsia"/>
          <w:sz w:val="28"/>
          <w:szCs w:val="36"/>
        </w:rPr>
        <w:t>（整只鸡胴体，所送的鸡肉不能带鸡头、鸡爪，鸡内脏，有相应包装措施），</w:t>
      </w:r>
      <w:r>
        <w:rPr>
          <w:rFonts w:hint="eastAsia"/>
          <w:sz w:val="28"/>
          <w:szCs w:val="36"/>
          <w:lang w:val="en-US" w:eastAsia="zh-CN"/>
        </w:rPr>
        <w:t>投</w:t>
      </w:r>
      <w:r>
        <w:rPr>
          <w:rFonts w:hint="eastAsia"/>
          <w:sz w:val="28"/>
          <w:szCs w:val="36"/>
        </w:rPr>
        <w:t>标人</w:t>
      </w:r>
      <w:r>
        <w:rPr>
          <w:rFonts w:hint="eastAsia"/>
          <w:sz w:val="28"/>
          <w:szCs w:val="36"/>
          <w:lang w:val="en-US" w:eastAsia="zh-CN"/>
        </w:rPr>
        <w:t>需</w:t>
      </w:r>
      <w:r>
        <w:rPr>
          <w:rFonts w:hint="eastAsia"/>
          <w:sz w:val="28"/>
          <w:szCs w:val="36"/>
        </w:rPr>
        <w:t>有能力按</w:t>
      </w:r>
      <w:r>
        <w:rPr>
          <w:rFonts w:hint="eastAsia"/>
          <w:sz w:val="28"/>
          <w:szCs w:val="36"/>
          <w:lang w:val="en-US" w:eastAsia="zh-CN"/>
        </w:rPr>
        <w:t>天</w:t>
      </w:r>
      <w:r>
        <w:rPr>
          <w:rFonts w:hint="eastAsia"/>
          <w:sz w:val="28"/>
          <w:szCs w:val="36"/>
        </w:rPr>
        <w:t>需求数量</w:t>
      </w:r>
      <w:r>
        <w:rPr>
          <w:rFonts w:hint="eastAsia"/>
          <w:sz w:val="28"/>
          <w:szCs w:val="36"/>
          <w:lang w:val="en-US" w:eastAsia="zh-CN"/>
        </w:rPr>
        <w:t>按时</w:t>
      </w:r>
      <w:r>
        <w:rPr>
          <w:rFonts w:hint="eastAsia"/>
          <w:sz w:val="28"/>
          <w:szCs w:val="36"/>
        </w:rPr>
        <w:t>送至</w:t>
      </w:r>
      <w:r>
        <w:rPr>
          <w:rFonts w:hint="eastAsia" w:ascii="宋体" w:hAnsi="宋体" w:eastAsia="宋体" w:cs="宋体"/>
          <w:sz w:val="28"/>
          <w:szCs w:val="36"/>
          <w:lang w:val="en-US" w:eastAsia="zh-CN"/>
        </w:rPr>
        <w:t>至</w:t>
      </w:r>
      <w:r>
        <w:rPr>
          <w:rFonts w:hint="eastAsia" w:ascii="宋体" w:hAnsi="宋体" w:eastAsia="宋体" w:cs="宋体"/>
          <w:b w:val="0"/>
          <w:bCs/>
          <w:color w:val="auto"/>
          <w:sz w:val="28"/>
          <w:szCs w:val="28"/>
          <w:highlight w:val="none"/>
          <w:lang w:val="en-US" w:eastAsia="zh-CN"/>
        </w:rPr>
        <w:t>指定配送地址</w:t>
      </w:r>
      <w:r>
        <w:rPr>
          <w:rFonts w:hint="eastAsia"/>
          <w:sz w:val="28"/>
          <w:szCs w:val="36"/>
        </w:rPr>
        <w:t>，具备《动物卫生防疫合格证》等相关资质齐全，每次配送必须提供当天检疫报告，每只有检疫标识，配有冷藏恒温设施配送车辆，以配送量为准</w:t>
      </w:r>
      <w:r>
        <w:rPr>
          <w:rFonts w:hint="eastAsia"/>
          <w:sz w:val="28"/>
          <w:szCs w:val="36"/>
          <w:lang w:eastAsia="zh-CN"/>
        </w:rPr>
        <w:t>。</w:t>
      </w:r>
    </w:p>
    <w:p>
      <w:pPr>
        <w:bidi w:val="0"/>
        <w:rPr>
          <w:rFonts w:hint="eastAsia"/>
          <w:sz w:val="28"/>
          <w:szCs w:val="36"/>
          <w:lang w:val="en-US" w:eastAsia="zh-CN"/>
        </w:rPr>
      </w:pPr>
      <w:r>
        <w:rPr>
          <w:rFonts w:hint="eastAsia"/>
          <w:sz w:val="28"/>
          <w:szCs w:val="36"/>
          <w:lang w:val="en-US" w:eastAsia="zh-CN"/>
        </w:rPr>
        <w:t>鱼类：去鱼鳞，去内脏，感官无异常，符合要求的新鲜度。投标人需有能力按需求数量按时送</w:t>
      </w:r>
      <w:r>
        <w:rPr>
          <w:rFonts w:hint="eastAsia" w:ascii="宋体" w:hAnsi="宋体" w:eastAsia="宋体" w:cs="宋体"/>
          <w:sz w:val="28"/>
          <w:szCs w:val="36"/>
          <w:lang w:val="en-US" w:eastAsia="zh-CN"/>
        </w:rPr>
        <w:t>至</w:t>
      </w:r>
      <w:r>
        <w:rPr>
          <w:rFonts w:hint="eastAsia" w:ascii="宋体" w:hAnsi="宋体" w:eastAsia="宋体" w:cs="宋体"/>
          <w:b w:val="0"/>
          <w:bCs/>
          <w:color w:val="auto"/>
          <w:sz w:val="28"/>
          <w:szCs w:val="28"/>
          <w:highlight w:val="none"/>
          <w:lang w:val="en-US" w:eastAsia="zh-CN"/>
        </w:rPr>
        <w:t>指定配送地址</w:t>
      </w:r>
      <w:r>
        <w:rPr>
          <w:rFonts w:hint="eastAsia"/>
          <w:sz w:val="28"/>
          <w:szCs w:val="36"/>
          <w:lang w:val="en-US" w:eastAsia="zh-CN"/>
        </w:rPr>
        <w:t>，生产企业具备《动物卫生防疫合格证》等相关资质齐全，配有冷藏恒温设施配送车辆，以配送量为准。</w:t>
      </w:r>
    </w:p>
    <w:p>
      <w:pPr>
        <w:bidi w:val="0"/>
        <w:rPr>
          <w:rFonts w:hint="eastAsia"/>
          <w:sz w:val="28"/>
          <w:szCs w:val="36"/>
          <w:lang w:val="en-US" w:eastAsia="zh-CN"/>
        </w:rPr>
      </w:pPr>
      <w:r>
        <w:rPr>
          <w:rFonts w:hint="eastAsia"/>
          <w:sz w:val="28"/>
          <w:szCs w:val="36"/>
          <w:lang w:val="en-US" w:eastAsia="zh-CN"/>
        </w:rPr>
        <w:t>冻货：符合GB 31646-2018 食品安全国家标准，具有《动物产品检疫合格证》，外包装不得有污染及损坏，出厂日期保证新鲜。投标人需有能力按需求数量按时送至</w:t>
      </w:r>
      <w:r>
        <w:rPr>
          <w:rFonts w:hint="eastAsia" w:ascii="宋体" w:hAnsi="宋体" w:eastAsia="宋体" w:cs="宋体"/>
          <w:b w:val="0"/>
          <w:bCs/>
          <w:color w:val="auto"/>
          <w:sz w:val="28"/>
          <w:szCs w:val="28"/>
          <w:highlight w:val="none"/>
          <w:lang w:val="en-US" w:eastAsia="zh-CN"/>
        </w:rPr>
        <w:t>指定配送地址</w:t>
      </w:r>
      <w:r>
        <w:rPr>
          <w:rFonts w:hint="eastAsia"/>
          <w:sz w:val="28"/>
          <w:szCs w:val="36"/>
          <w:lang w:val="en-US" w:eastAsia="zh-CN"/>
        </w:rPr>
        <w:t>，配有冷藏恒温设施配送车辆，以配送量为准。</w:t>
      </w:r>
    </w:p>
    <w:p>
      <w:pPr>
        <w:bidi w:val="0"/>
        <w:rPr>
          <w:rFonts w:hint="eastAsia"/>
          <w:b/>
          <w:bCs/>
          <w:sz w:val="24"/>
          <w:szCs w:val="32"/>
          <w:lang w:val="en-US" w:eastAsia="zh-CN"/>
        </w:rPr>
      </w:pPr>
      <w:r>
        <w:rPr>
          <w:rFonts w:hint="eastAsia"/>
          <w:b/>
          <w:bCs/>
          <w:sz w:val="24"/>
          <w:szCs w:val="32"/>
          <w:lang w:val="en-US" w:eastAsia="zh-CN"/>
        </w:rPr>
        <w:t>果蔬蛋：</w:t>
      </w:r>
    </w:p>
    <w:p>
      <w:pPr>
        <w:bidi w:val="0"/>
        <w:rPr>
          <w:rFonts w:hint="eastAsia"/>
          <w:sz w:val="28"/>
          <w:szCs w:val="36"/>
          <w:highlight w:val="red"/>
          <w:lang w:val="en-US" w:eastAsia="zh-CN"/>
        </w:rPr>
      </w:pPr>
      <w:r>
        <w:rPr>
          <w:rFonts w:hint="eastAsia"/>
          <w:sz w:val="28"/>
          <w:szCs w:val="36"/>
          <w:lang w:val="en-US" w:eastAsia="zh-CN"/>
        </w:rPr>
        <w:t>产品应具有该蔬菜和水果可采食时应具有的特性，要求成熟适度，新鲜脆嫩，外形色泽良好，无异味，无影响食用的病虫害、机械损伤，无残留农药；具体要求如下：叶子菜类：菠菜、芹菜、白菜形状正常新鲜，无枯叶、烂叶；大蒜、洋葱需新鲜，无病虫害；葱保留干净须根，去老叶，去枯叶；块根类菜：西红柿、茄子、辣椒、土豆、萝卜等果实圆整光洁，成熟度适中，无烂果、异味、病虫损害、大小均匀、肉质脆嫩致密，无畸形、裂痕、糠心、病虫害斑及残留农药。水果类：要求成熟适度，新鲜脆嫩，外形色泽良好，无异味，无影响食用的病虫害、机械损伤，无残留农药。</w:t>
      </w:r>
      <w:r>
        <w:rPr>
          <w:rFonts w:hint="eastAsia" w:ascii="宋体" w:hAnsi="宋体" w:eastAsia="宋体" w:cs="宋体"/>
          <w:i w:val="0"/>
          <w:iCs w:val="0"/>
          <w:color w:val="000000"/>
          <w:kern w:val="0"/>
          <w:sz w:val="28"/>
          <w:szCs w:val="28"/>
          <w:u w:val="none"/>
          <w:lang w:val="en-US" w:eastAsia="zh-CN" w:bidi="ar"/>
        </w:rPr>
        <w:t>新鲜鸡蛋（14枚/公斤） 质量合格、卫生达标。</w:t>
      </w:r>
      <w:r>
        <w:rPr>
          <w:rFonts w:hint="eastAsia"/>
          <w:sz w:val="28"/>
          <w:szCs w:val="36"/>
          <w:lang w:val="en-US" w:eastAsia="zh-CN"/>
        </w:rPr>
        <w:t>质量保证按国家最新的食品验收标准严格执行。配送按照采购方要求，投标人需有能力按需求数量按时送至</w:t>
      </w:r>
      <w:r>
        <w:rPr>
          <w:rFonts w:hint="eastAsia" w:ascii="宋体" w:hAnsi="宋体" w:eastAsia="宋体" w:cs="宋体"/>
          <w:b w:val="0"/>
          <w:bCs/>
          <w:color w:val="auto"/>
          <w:sz w:val="28"/>
          <w:szCs w:val="28"/>
          <w:highlight w:val="none"/>
          <w:lang w:val="en-US" w:eastAsia="zh-CN"/>
        </w:rPr>
        <w:t>指定配送地址</w:t>
      </w:r>
      <w:r>
        <w:rPr>
          <w:rFonts w:hint="eastAsia"/>
          <w:sz w:val="28"/>
          <w:szCs w:val="36"/>
          <w:lang w:val="en-US" w:eastAsia="zh-CN"/>
        </w:rPr>
        <w:t>，配有冷藏恒温设施配送工具，以配送量为准。</w:t>
      </w:r>
    </w:p>
    <w:p>
      <w:pPr>
        <w:bidi w:val="0"/>
        <w:rPr>
          <w:rFonts w:hint="eastAsia"/>
          <w:b/>
          <w:bCs/>
          <w:sz w:val="24"/>
          <w:szCs w:val="32"/>
          <w:lang w:val="en-US" w:eastAsia="zh-CN"/>
        </w:rPr>
      </w:pPr>
      <w:r>
        <w:rPr>
          <w:rFonts w:hint="eastAsia"/>
          <w:b/>
          <w:bCs/>
          <w:sz w:val="24"/>
          <w:szCs w:val="32"/>
          <w:lang w:val="en-US" w:eastAsia="zh-CN"/>
        </w:rPr>
        <w:t>副食品、调味料：</w:t>
      </w:r>
    </w:p>
    <w:p>
      <w:pPr>
        <w:bidi w:val="0"/>
        <w:rPr>
          <w:rFonts w:hint="eastAsia" w:ascii="宋体" w:hAnsi="宋体" w:eastAsia="宋体"/>
          <w:b/>
          <w:color w:val="FF0000"/>
          <w:sz w:val="22"/>
          <w:szCs w:val="20"/>
        </w:rPr>
      </w:pPr>
      <w:r>
        <w:rPr>
          <w:rFonts w:hint="eastAsia"/>
          <w:sz w:val="28"/>
          <w:szCs w:val="36"/>
          <w:lang w:val="en-US" w:eastAsia="zh-CN"/>
        </w:rPr>
        <w:t>必须是独立包装，色泽气味正常。交货时需提供当月的质检报告。大米（25kg装长粒香一级）袋装；面粉（25kg特一粉）袋装；食用油（20L装/件非转基因菜籽）箱装。质量要求：供货商提供的大米必须要求符合国家有关标准，有出厂时的检验报告，米粒均匀新鲜颗粒饱满，色泽气味正常，米粒乳白色不透明或透明两种均可，无陈米、无稻糠、无虫，无碎米粒（袋装），煮熟后有鲜香味。符合长粒香的品形，大米外包装所标质量须和里面实物一致</w:t>
      </w:r>
      <w:r>
        <w:rPr>
          <w:rFonts w:hint="eastAsia" w:ascii="宋体" w:hAnsi="宋体" w:eastAsia="宋体" w:cs="宋体"/>
          <w:sz w:val="28"/>
          <w:szCs w:val="28"/>
          <w:lang w:val="en-US" w:eastAsia="zh-CN"/>
        </w:rPr>
        <w:t>。食用油必须</w:t>
      </w:r>
      <w:r>
        <w:rPr>
          <w:rFonts w:hint="eastAsia" w:ascii="宋体" w:hAnsi="宋体" w:eastAsia="宋体" w:cs="宋体"/>
          <w:sz w:val="28"/>
          <w:szCs w:val="28"/>
        </w:rPr>
        <w:t>必须符合国家现行标准，</w:t>
      </w:r>
      <w:r>
        <w:rPr>
          <w:rFonts w:hint="eastAsia" w:ascii="宋体" w:hAnsi="宋体" w:eastAsia="宋体" w:cs="宋体"/>
          <w:sz w:val="28"/>
          <w:szCs w:val="28"/>
          <w:lang w:val="en-US" w:eastAsia="zh-CN"/>
        </w:rPr>
        <w:t>有出厂时的检验报告</w:t>
      </w:r>
      <w:r>
        <w:rPr>
          <w:rFonts w:hint="eastAsia" w:ascii="宋体" w:hAnsi="宋体" w:eastAsia="宋体" w:cs="宋体"/>
          <w:sz w:val="28"/>
          <w:szCs w:val="28"/>
        </w:rPr>
        <w:t>并拥有“QS”食品质量安全认证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是桶装的原装清油，桶面上有清油的品牌及生产日期、生产厂家、产品成分，厂址、生产日期、保质期、执行</w:t>
      </w:r>
      <w:r>
        <w:rPr>
          <w:rFonts w:hint="eastAsia"/>
          <w:sz w:val="28"/>
          <w:szCs w:val="36"/>
          <w:lang w:val="en-US" w:eastAsia="zh-CN"/>
        </w:rPr>
        <w:t>的产品标准、配料表、净含量等；调味料必须干净，颗粒丰满，色香味正常，不得出现变质发霉情况，不得有沉淀物如：沙粒、黄土等</w:t>
      </w:r>
      <w:r>
        <w:rPr>
          <w:rFonts w:hint="eastAsia" w:ascii="宋体" w:hAnsi="宋体" w:eastAsia="宋体" w:cs="宋体"/>
          <w:i w:val="0"/>
          <w:iCs w:val="0"/>
          <w:color w:val="000000"/>
          <w:kern w:val="0"/>
          <w:sz w:val="28"/>
          <w:szCs w:val="28"/>
          <w:u w:val="none"/>
          <w:lang w:val="en-US" w:eastAsia="zh-CN" w:bidi="ar"/>
        </w:rPr>
        <w:t>质量合格、卫生达标</w:t>
      </w:r>
      <w:r>
        <w:rPr>
          <w:rFonts w:hint="eastAsia" w:ascii="宋体" w:hAnsi="宋体" w:cs="宋体"/>
          <w:i w:val="0"/>
          <w:iCs w:val="0"/>
          <w:color w:val="000000"/>
          <w:kern w:val="0"/>
          <w:sz w:val="28"/>
          <w:szCs w:val="28"/>
          <w:u w:val="none"/>
          <w:lang w:val="en-US" w:eastAsia="zh-CN" w:bidi="ar"/>
        </w:rPr>
        <w:t>，</w:t>
      </w:r>
      <w:r>
        <w:rPr>
          <w:rFonts w:hint="eastAsia"/>
          <w:sz w:val="28"/>
          <w:szCs w:val="36"/>
          <w:lang w:val="en-US" w:eastAsia="zh-CN"/>
        </w:rPr>
        <w:t>有出厂时的检验报告。包装类产品要GB 31646-2018食品安全国家标准，外包装不得有污染及损坏，所供的食材出厂日期保证3个月以内。（所有产品原材料不得为转基因）</w:t>
      </w:r>
      <w:r>
        <w:rPr>
          <w:rFonts w:hint="eastAsia" w:ascii="宋体" w:hAnsi="宋体" w:eastAsia="宋体" w:cs="宋体"/>
          <w:sz w:val="28"/>
          <w:szCs w:val="28"/>
        </w:rPr>
        <w:t>粮食卫生符合标准GB2715-2005</w:t>
      </w:r>
      <w:r>
        <w:rPr>
          <w:rFonts w:hint="eastAsia" w:ascii="宋体" w:hAnsi="宋体" w:eastAsia="宋体" w:cs="宋体"/>
          <w:sz w:val="28"/>
          <w:szCs w:val="28"/>
          <w:lang w:eastAsia="zh-CN"/>
        </w:rPr>
        <w:t>。</w:t>
      </w:r>
      <w:r>
        <w:rPr>
          <w:rFonts w:hint="eastAsia"/>
          <w:sz w:val="28"/>
          <w:szCs w:val="36"/>
          <w:lang w:val="en-US" w:eastAsia="zh-CN"/>
        </w:rPr>
        <w:t>配送按照采购方要求，投标人需有能力按需求数量按时送</w:t>
      </w:r>
      <w:r>
        <w:rPr>
          <w:rFonts w:hint="eastAsia" w:ascii="宋体" w:hAnsi="宋体" w:eastAsia="宋体" w:cs="宋体"/>
          <w:sz w:val="28"/>
          <w:szCs w:val="36"/>
          <w:lang w:val="en-US" w:eastAsia="zh-CN"/>
        </w:rPr>
        <w:t>至</w:t>
      </w:r>
      <w:r>
        <w:rPr>
          <w:rFonts w:hint="eastAsia" w:ascii="宋体" w:hAnsi="宋体" w:eastAsia="宋体" w:cs="宋体"/>
          <w:b w:val="0"/>
          <w:bCs/>
          <w:color w:val="auto"/>
          <w:sz w:val="28"/>
          <w:szCs w:val="28"/>
          <w:highlight w:val="none"/>
          <w:lang w:val="en-US" w:eastAsia="zh-CN"/>
        </w:rPr>
        <w:t>指定配送地址</w:t>
      </w:r>
      <w:r>
        <w:rPr>
          <w:rFonts w:hint="eastAsia"/>
          <w:sz w:val="28"/>
          <w:szCs w:val="36"/>
          <w:lang w:val="en-US" w:eastAsia="zh-CN"/>
        </w:rPr>
        <w:t>，配有封闭卫生的配送工具，以配送量为准。</w:t>
      </w:r>
    </w:p>
    <w:p>
      <w:pPr>
        <w:pStyle w:val="7"/>
        <w:rPr>
          <w:rFonts w:hint="eastAsia" w:ascii="宋体" w:hAnsi="宋体" w:eastAsia="宋体"/>
          <w:b/>
          <w:color w:val="FF0000"/>
          <w:szCs w:val="21"/>
        </w:rPr>
      </w:pPr>
    </w:p>
    <w:p>
      <w:pPr>
        <w:pStyle w:val="7"/>
        <w:rPr>
          <w:rFonts w:hint="eastAsia" w:ascii="宋体" w:hAnsi="宋体" w:eastAsia="宋体"/>
          <w:b/>
          <w:color w:val="FF0000"/>
          <w:szCs w:val="21"/>
        </w:rPr>
      </w:pPr>
    </w:p>
    <w:p>
      <w:pPr>
        <w:pStyle w:val="7"/>
        <w:rPr>
          <w:rFonts w:hint="eastAsia" w:ascii="宋体" w:hAnsi="宋体" w:eastAsia="宋体"/>
          <w:b/>
          <w:color w:val="FF0000"/>
          <w:szCs w:val="21"/>
        </w:rPr>
      </w:pPr>
    </w:p>
    <w:p>
      <w:pPr>
        <w:pStyle w:val="7"/>
        <w:rPr>
          <w:rFonts w:hint="eastAsia"/>
          <w:lang w:eastAsia="zh-CN"/>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w:t>
      </w:r>
    </w:p>
    <w:p>
      <w:pPr>
        <w:pStyle w:val="7"/>
        <w:rPr>
          <w:rFonts w:hint="eastAsia"/>
          <w:lang w:eastAsia="zh-CN"/>
        </w:rPr>
      </w:pPr>
    </w:p>
    <w:p>
      <w:pPr>
        <w:rPr>
          <w:color w:val="FF0000"/>
        </w:rPr>
      </w:pPr>
      <w:r>
        <w:rPr>
          <w:rFonts w:hint="eastAsia"/>
          <w:color w:val="FF0000"/>
        </w:rPr>
        <w:t>备注：</w:t>
      </w:r>
    </w:p>
    <w:p>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pPr>
        <w:ind w:firstLine="480" w:firstLineChars="200"/>
        <w:rPr>
          <w:color w:val="FF0000"/>
        </w:rPr>
      </w:pPr>
      <w:r>
        <w:rPr>
          <w:rFonts w:hint="eastAsia"/>
          <w:color w:val="FF0000"/>
        </w:rPr>
        <w:t>2、如注明有单价控制金额的产品，投标人对该产品的报价不得超过控制金额，否则将作投标无效处理。</w:t>
      </w:r>
    </w:p>
    <w:p>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19"/>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eastAsia="宋体" w:cs="宋体"/>
                <w:sz w:val="22"/>
                <w:szCs w:val="21"/>
              </w:rPr>
            </w:pPr>
            <w:r>
              <w:rPr>
                <w:rFonts w:hint="eastAsia" w:ascii="Times New Roman" w:hAnsi="Times New Roman" w:eastAsia="Times New Roman" w:cs="Times New Roman"/>
                <w:b/>
                <w:sz w:val="24"/>
                <w:highlight w:val="cyan"/>
                <w:lang w:val="en-US" w:eastAsia="zh-CN"/>
              </w:rPr>
              <w:t>投标总价必须是完成该项目的一切费用总和，包括投标费、设备费、运输费、装卸费、保险费、技术培训费、设备安装费、调试费、检测费、国家规定的各项税费等。本项目采用市场零售价下浮率方式报价（无上限），本项目招下浮率，该下浮率为所有采购项的下浮率，所有采购项均按照此下浮率下浮，询价地点为喀什市内随机抽取的菜市场。最终执行价以本单位询价小组每个月的询价结果为具体结算依据。计算方式为 结算价=（1-下浮率）*市场价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highlight w:val="cyan"/>
              </w:rPr>
              <w:t>★</w:t>
            </w:r>
            <w:r>
              <w:rPr>
                <w:rFonts w:hint="eastAsia" w:ascii="宋体" w:hAnsi="宋体" w:eastAsia="宋体" w:cs="宋体"/>
                <w:b/>
                <w:color w:val="FF0000"/>
                <w:sz w:val="22"/>
                <w:szCs w:val="21"/>
                <w:highlight w:val="cyan"/>
                <w:lang w:val="en-US" w:eastAsia="zh-CN"/>
              </w:rPr>
              <w:t>配送</w:t>
            </w:r>
            <w:r>
              <w:rPr>
                <w:rFonts w:hint="eastAsia" w:ascii="宋体" w:hAnsi="宋体" w:eastAsia="宋体" w:cs="宋体"/>
                <w:b/>
                <w:color w:val="FF0000"/>
                <w:sz w:val="22"/>
                <w:szCs w:val="21"/>
                <w:highlight w:val="cyan"/>
              </w:rPr>
              <w:t>地点</w:t>
            </w:r>
          </w:p>
        </w:tc>
        <w:tc>
          <w:tcPr>
            <w:tcW w:w="83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宋体"/>
                <w:sz w:val="22"/>
                <w:szCs w:val="21"/>
              </w:rPr>
            </w:pPr>
            <w:r>
              <w:rPr>
                <w:rFonts w:hint="eastAsia"/>
                <w:b/>
                <w:sz w:val="24"/>
                <w:highlight w:val="cyan"/>
                <w:lang w:val="en-US" w:eastAsia="zh-CN"/>
              </w:rPr>
              <w:t>市公安局所属部门、局所、队及其各乡、镇、村全部警务站均为配送地址，距离远的大约离市区60余公里。虽然部分配送地址是乡村，道路偏远难行，但是由于我局24小时无休的特殊工作性质，中标公司必须承诺供货期内随时随刻的保障，满足采购人的配送需求及售后服务。若中标公司的配送及售后服务保障不及时或不到位，采购人有权废止中标公司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hint="default" w:ascii="宋体" w:hAnsi="宋体" w:eastAsia="宋体" w:cs="仿宋_GB2312"/>
                <w:color w:val="FF0000"/>
                <w:sz w:val="22"/>
                <w:szCs w:val="28"/>
                <w:highlight w:val="cyan"/>
                <w:lang w:val="en-US" w:eastAsia="zh-CN"/>
              </w:rPr>
            </w:pPr>
            <w:r>
              <w:rPr>
                <w:rFonts w:hint="eastAsia" w:ascii="宋体" w:hAnsi="宋体" w:eastAsia="宋体" w:cs="仿宋_GB2312"/>
                <w:color w:val="FF0000"/>
                <w:sz w:val="22"/>
                <w:szCs w:val="28"/>
                <w:highlight w:val="cyan"/>
              </w:rPr>
              <w:t>★</w:t>
            </w:r>
            <w:r>
              <w:rPr>
                <w:rFonts w:hint="eastAsia" w:ascii="宋体" w:hAnsi="宋体" w:eastAsia="宋体" w:cs="仿宋_GB2312"/>
                <w:b/>
                <w:bCs/>
                <w:color w:val="FF0000"/>
                <w:sz w:val="22"/>
                <w:szCs w:val="28"/>
                <w:highlight w:val="cyan"/>
                <w:lang w:val="en-US" w:eastAsia="zh-CN"/>
              </w:rPr>
              <w:t>配送要求</w:t>
            </w:r>
          </w:p>
        </w:tc>
        <w:tc>
          <w:tcPr>
            <w:tcW w:w="83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b/>
                <w:sz w:val="24"/>
                <w:highlight w:val="cyan"/>
                <w:lang w:val="en-US" w:eastAsia="zh-CN"/>
              </w:rPr>
            </w:pPr>
            <w:r>
              <w:rPr>
                <w:rFonts w:hint="eastAsia"/>
                <w:b/>
                <w:sz w:val="24"/>
                <w:highlight w:val="cyan"/>
                <w:lang w:val="en-US" w:eastAsia="zh-CN"/>
              </w:rPr>
              <w:t xml:space="preserve">供货期间内每天具体供货时间以甲方确定的供货时间为准，乙方必须无条件满足，包括星期天及公众假期。如遇特殊情况，甲方可要求乙方调整配送时间和配送地点。 </w:t>
            </w:r>
          </w:p>
          <w:p>
            <w:pPr>
              <w:spacing w:line="360" w:lineRule="auto"/>
              <w:ind w:firstLine="480" w:firstLineChars="200"/>
              <w:rPr>
                <w:rFonts w:hint="default"/>
                <w:b/>
                <w:sz w:val="24"/>
                <w:highlight w:val="cyan"/>
                <w:lang w:val="en-US" w:eastAsia="zh-CN"/>
              </w:rPr>
            </w:pPr>
            <w:r>
              <w:rPr>
                <w:rFonts w:hint="eastAsia"/>
                <w:b/>
                <w:sz w:val="24"/>
                <w:highlight w:val="cyan"/>
                <w:lang w:val="en-US" w:eastAsia="zh-CN"/>
              </w:rPr>
              <w:t>本次招标入围三家供应商，由市局机关及各所属派出所、队及各乡、镇全部检查站在入围的三家供应商中自行下单选择。结算内容以实际发生的供货为准。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hint="eastAsia" w:ascii="宋体" w:hAnsi="宋体" w:eastAsia="宋体" w:cs="仿宋_GB2312"/>
                <w:color w:val="FF0000"/>
                <w:sz w:val="22"/>
                <w:szCs w:val="28"/>
                <w:highlight w:val="cyan"/>
              </w:rPr>
            </w:pPr>
            <w:r>
              <w:rPr>
                <w:rFonts w:hint="eastAsia" w:ascii="宋体" w:hAnsi="宋体" w:eastAsia="宋体" w:cs="仿宋_GB2312"/>
                <w:color w:val="FF0000"/>
                <w:sz w:val="22"/>
                <w:szCs w:val="28"/>
                <w:highlight w:val="cyan"/>
              </w:rPr>
              <w:t>★</w:t>
            </w:r>
            <w:r>
              <w:rPr>
                <w:rFonts w:hint="eastAsia" w:ascii="宋体" w:hAnsi="宋体" w:eastAsia="宋体" w:cs="仿宋_GB2312"/>
                <w:b/>
                <w:bCs/>
                <w:color w:val="FF0000"/>
                <w:sz w:val="22"/>
                <w:szCs w:val="28"/>
                <w:highlight w:val="cyan"/>
                <w:lang w:val="en-US" w:eastAsia="zh-CN"/>
              </w:rPr>
              <w:t>履约及售后服务要求</w:t>
            </w:r>
          </w:p>
        </w:tc>
        <w:tc>
          <w:tcPr>
            <w:tcW w:w="83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b/>
                <w:sz w:val="24"/>
                <w:highlight w:val="cyan"/>
                <w:lang w:val="en-US" w:eastAsia="zh-CN"/>
              </w:rPr>
            </w:pPr>
            <w:r>
              <w:rPr>
                <w:rFonts w:hint="eastAsia"/>
                <w:b/>
                <w:sz w:val="24"/>
                <w:highlight w:val="cyan"/>
                <w:lang w:val="en-US" w:eastAsia="zh-CN"/>
              </w:rPr>
              <w:t>供货方提供食材重量以采购方秤为准，确保质量。每次需提供送货单签字盖章。</w:t>
            </w:r>
          </w:p>
          <w:p>
            <w:pPr>
              <w:spacing w:line="360" w:lineRule="auto"/>
              <w:ind w:firstLine="480" w:firstLineChars="200"/>
              <w:rPr>
                <w:rFonts w:hint="eastAsia"/>
                <w:b/>
                <w:sz w:val="24"/>
                <w:highlight w:val="cyan"/>
                <w:lang w:val="en-US" w:eastAsia="zh-CN"/>
              </w:rPr>
            </w:pPr>
            <w:r>
              <w:rPr>
                <w:rFonts w:hint="eastAsia"/>
                <w:b/>
                <w:sz w:val="24"/>
                <w:highlight w:val="cyan"/>
                <w:lang w:val="en-US" w:eastAsia="zh-CN"/>
              </w:rPr>
              <w:t>中标后7天内每个入围供应商需缴纳49万作为履约保证金并签订合同，否则视为放弃。供货期间发现以次充好或配送食材不能按时送到的情况，第一次扣除履约保证金20%，第二次扣除履约保证金30%，第三次扣除全部履约保证金并解除合同；按照约定供货时间超过4小时不供货，或有超过保质期限的食材，第一次扣除履约保证金40%，第二次扣除全额履约保证金并解除合同（不可抗力除外）。</w:t>
            </w:r>
          </w:p>
          <w:p>
            <w:pPr>
              <w:spacing w:line="360" w:lineRule="auto"/>
              <w:ind w:firstLine="480" w:firstLineChars="200"/>
              <w:rPr>
                <w:rFonts w:hint="eastAsia"/>
                <w:b/>
                <w:sz w:val="24"/>
                <w:highlight w:val="cyan"/>
                <w:lang w:val="en-US" w:eastAsia="zh-CN"/>
              </w:rPr>
            </w:pPr>
            <w:r>
              <w:rPr>
                <w:rFonts w:hint="eastAsia"/>
                <w:b/>
                <w:sz w:val="24"/>
                <w:highlight w:val="cyan"/>
                <w:lang w:val="en-US" w:eastAsia="zh-CN"/>
              </w:rPr>
              <w:t>供货方需严格遵守《食品安全法》和《动物检疫法》等相关规定，一经发现供应以下食材，除全部退货外，将取消供应商的供货资格并解除合同，且供应商承担由此造成的经济责任和法律责任；（1）腐败变质、油脂酸败、霉变、生虫、污秽不洁、混有异物或者其他感官性状异常，对人体健康有害的。 （2）含有毒、有害或者被有害物质污染，对人体健康有害的。 （3）含有致病性寄生虫、微生物或者微生物含量超过国家限定标准的。（4）未经动物检疫部门检疫、检验或者检疫、检验不合格的肉类及其制品。（5）病死、毒死或者死因不明的禽、蓄、兽、水产动物及其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highlight w:val="cyan"/>
              </w:rPr>
              <w:t>★</w:t>
            </w:r>
            <w:r>
              <w:rPr>
                <w:rFonts w:hint="eastAsia" w:ascii="宋体" w:hAnsi="宋体" w:eastAsia="宋体"/>
                <w:b/>
                <w:bCs/>
                <w:color w:val="FF0000"/>
                <w:sz w:val="22"/>
                <w:szCs w:val="21"/>
                <w:highlight w:val="cyan"/>
                <w:lang w:val="en-US" w:eastAsia="zh-CN"/>
              </w:rPr>
              <w:t>供</w:t>
            </w:r>
            <w:r>
              <w:rPr>
                <w:rFonts w:hint="eastAsia" w:ascii="宋体" w:hAnsi="宋体" w:eastAsia="宋体"/>
                <w:b/>
                <w:bCs/>
                <w:color w:val="FF0000"/>
                <w:sz w:val="22"/>
                <w:szCs w:val="21"/>
                <w:highlight w:val="cyan"/>
              </w:rPr>
              <w:t>货期或完工期</w:t>
            </w:r>
          </w:p>
        </w:tc>
        <w:tc>
          <w:tcPr>
            <w:tcW w:w="8389"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cs="宋体"/>
                <w:sz w:val="22"/>
                <w:szCs w:val="21"/>
              </w:rPr>
            </w:pPr>
            <w:r>
              <w:rPr>
                <w:rFonts w:hint="eastAsia" w:ascii="宋体" w:hAnsi="宋体" w:eastAsia="微软雅黑" w:cs="宋体"/>
                <w:sz w:val="22"/>
                <w:szCs w:val="21"/>
                <w:highlight w:val="cyan"/>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highlight w:val="cyan"/>
              </w:rPr>
              <w:t>★</w:t>
            </w:r>
            <w:r>
              <w:rPr>
                <w:rFonts w:hint="eastAsia" w:ascii="宋体" w:hAnsi="宋体" w:eastAsia="宋体"/>
                <w:b/>
                <w:color w:val="FF0000"/>
                <w:sz w:val="22"/>
                <w:highlight w:val="cyan"/>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pPr>
              <w:pStyle w:val="15"/>
              <w:spacing w:line="276" w:lineRule="auto"/>
              <w:rPr>
                <w:rFonts w:ascii="宋体" w:hAnsi="宋体" w:eastAsia="宋体"/>
                <w:sz w:val="22"/>
                <w:szCs w:val="21"/>
              </w:rPr>
            </w:pPr>
            <w:r>
              <w:rPr>
                <w:rFonts w:hint="eastAsia"/>
                <w:sz w:val="24"/>
                <w:highlight w:val="cyan"/>
                <w:lang w:val="en-US" w:eastAsia="zh-CN"/>
              </w:rPr>
              <w:t>合同履行完毕1年后支付实际履行金额的50%，合同履行完毕2年后支付实际履行金额剩余的50%。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highlight w:val="cyan"/>
              </w:rPr>
              <w:t>★</w:t>
            </w:r>
            <w:r>
              <w:rPr>
                <w:rFonts w:hint="eastAsia" w:ascii="宋体" w:hAnsi="宋体" w:eastAsia="宋体"/>
                <w:b/>
                <w:color w:val="FF0000"/>
                <w:sz w:val="22"/>
                <w:szCs w:val="21"/>
                <w:highlight w:val="cyan"/>
              </w:rPr>
              <w:t>验收方式</w:t>
            </w:r>
          </w:p>
        </w:tc>
        <w:tc>
          <w:tcPr>
            <w:tcW w:w="8389" w:type="dxa"/>
            <w:tcBorders>
              <w:top w:val="single" w:color="auto" w:sz="4" w:space="0"/>
              <w:left w:val="single" w:color="auto" w:sz="4" w:space="0"/>
              <w:right w:val="single" w:color="auto" w:sz="4" w:space="0"/>
            </w:tcBorders>
            <w:vAlign w:val="center"/>
          </w:tcPr>
          <w:p>
            <w:pPr>
              <w:spacing w:after="60" w:afterLines="25" w:line="360" w:lineRule="exact"/>
              <w:rPr>
                <w:rFonts w:ascii="宋体" w:hAnsi="宋体" w:eastAsia="宋体"/>
                <w:bCs/>
                <w:sz w:val="22"/>
                <w:szCs w:val="21"/>
              </w:rPr>
            </w:pPr>
            <w:r>
              <w:rPr>
                <w:rFonts w:hint="eastAsia" w:ascii="宋体" w:hAnsi="宋体" w:eastAsia="宋体" w:cs="仿宋_GB2312"/>
                <w:sz w:val="22"/>
                <w:szCs w:val="28"/>
                <w:highlight w:val="cyan"/>
              </w:rPr>
              <w:t>由</w:t>
            </w:r>
            <w:r>
              <w:rPr>
                <w:rFonts w:hint="eastAsia" w:ascii="宋体" w:hAnsi="宋体" w:eastAsia="宋体" w:cs="仿宋_GB2312"/>
                <w:bCs/>
                <w:sz w:val="22"/>
                <w:szCs w:val="28"/>
                <w:highlight w:val="cyan"/>
                <w:lang w:eastAsia="zh-CN"/>
              </w:rPr>
              <w:t>喀什市公安局</w:t>
            </w:r>
            <w:r>
              <w:rPr>
                <w:rFonts w:hint="eastAsia" w:ascii="宋体" w:hAnsi="宋体" w:eastAsia="宋体" w:cs="仿宋_GB2312"/>
                <w:sz w:val="22"/>
                <w:szCs w:val="28"/>
                <w:highlight w:val="cyan"/>
              </w:rPr>
              <w:t>组织验收。</w:t>
            </w:r>
          </w:p>
        </w:tc>
      </w:tr>
    </w:tbl>
    <w:p>
      <w:pPr>
        <w:spacing w:after="60" w:afterLines="25" w:line="300" w:lineRule="auto"/>
        <w:rPr>
          <w:rFonts w:ascii="Arial" w:hAnsi="Arial" w:eastAsia="宋体"/>
        </w:rPr>
      </w:pPr>
    </w:p>
    <w:p>
      <w:pPr>
        <w:tabs>
          <w:tab w:val="left" w:pos="7016"/>
        </w:tabs>
        <w:rPr>
          <w:rFonts w:ascii="Arial" w:hAnsi="Arial" w:eastAsia="宋体"/>
        </w:rPr>
      </w:pPr>
      <w:r>
        <w:rPr>
          <w:rFonts w:ascii="Arial" w:hAnsi="Arial" w:eastAsia="宋体"/>
        </w:rPr>
        <w:tab/>
      </w:r>
    </w:p>
    <w:p>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pPr>
        <w:rPr>
          <w:rFonts w:hint="eastAsia" w:eastAsia="宋体"/>
          <w:b/>
          <w:bCs/>
          <w:sz w:val="40"/>
          <w:szCs w:val="40"/>
          <w:lang w:eastAsia="zh-CN"/>
        </w:rPr>
      </w:pPr>
      <w:r>
        <w:rPr>
          <w:rFonts w:hint="eastAsia" w:ascii="宋体" w:hAnsi="宋体" w:eastAsia="宋体"/>
          <w:b/>
          <w:bCs/>
          <w:color w:val="FF0000"/>
          <w:szCs w:val="21"/>
        </w:rPr>
        <w:t>★</w:t>
      </w:r>
      <w:r>
        <w:rPr>
          <w:rFonts w:hint="eastAsia" w:eastAsia="宋体"/>
          <w:b/>
          <w:bCs/>
          <w:sz w:val="40"/>
          <w:szCs w:val="40"/>
          <w:lang w:eastAsia="zh-CN"/>
        </w:rPr>
        <w:t>货物需求明细：</w:t>
      </w:r>
    </w:p>
    <w:tbl>
      <w:tblPr>
        <w:tblStyle w:val="19"/>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720"/>
        <w:gridCol w:w="3630"/>
        <w:gridCol w:w="163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类别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蔬菜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广东菜心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青线椒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苦瓜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金针菇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耳菜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上海青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丝瓜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蘑菇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杏鲍菇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四季豆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青萝卜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带皮大蒜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红线椒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紫甘蓝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红辣子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青辣子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西红柿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小金瓜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莲藕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圆茄子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大蒜（去皮）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洋葱（皮牙子）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菠菜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17820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14530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土豆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香菜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莴笋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油麦菜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豆干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水豆腐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豆腐皮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SK千叶豆腐（400克/块）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西兰花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油白菜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莲花白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恰玛菇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葫芦瓜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豇豆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香葱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韭菜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毛白菜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娃娃菜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水萝卜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羊肉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牛骨头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鸡肉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草鱼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牛头肉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鸡脯肉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鸡边腿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调料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黑米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安琪酵母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白砂糖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土辣皮子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孜然粉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花生米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粉条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番茄酱850g/瓶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八角粉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酱油500ml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香油380g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生抽500ml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老抽500ml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草果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桂皮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泡打粉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八角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朝天椒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白胡椒面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黑胡椒面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白芝麻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黑芝麻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淀粉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玉米面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花椒粉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干海带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大盘鸡料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红烧鱼料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味精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苏打粉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十三香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茴香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醋5L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蚝油700ml/瓶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麻辣油200g/瓶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藤椒油200g/瓶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花椒油200g/瓶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花椒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盐（新疆加碘）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绿豆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1L豆瓣酱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鸡精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辣椒面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黄豆酱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冰糖（白）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小干木耳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nil"/>
              <w:left w:val="nil"/>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榨菜（60g/袋）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水果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桔子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梨子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西瓜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restart"/>
            <w:tcBorders>
              <w:top w:val="single" w:color="000000" w:sz="4" w:space="0"/>
              <w:left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副食品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国标特一粉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left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大米（长粒香）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25kg/袋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left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非转基因一级压榨菜籽油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left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千克</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left w:val="nil"/>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25" w:type="dxa"/>
            <w:vMerge w:val="continue"/>
            <w:tcBorders>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10907</w:t>
            </w:r>
          </w:p>
        </w:tc>
      </w:tr>
    </w:tbl>
    <w:p>
      <w:pPr>
        <w:rPr>
          <w:rFonts w:ascii="宋体" w:hAnsi="宋体" w:eastAsia="黑体"/>
          <w:bCs/>
          <w:kern w:val="44"/>
          <w:sz w:val="28"/>
          <w:szCs w:val="44"/>
        </w:rPr>
      </w:pPr>
      <w:r>
        <w:rPr>
          <w:rFonts w:hint="eastAsia" w:ascii="宋体" w:hAnsi="宋体" w:eastAsia="宋体"/>
          <w:b/>
          <w:color w:val="FF0000"/>
          <w:szCs w:val="21"/>
        </w:rPr>
        <w:t>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pPr>
        <w:jc w:val="center"/>
        <w:rPr>
          <w:rFonts w:ascii="黑体" w:eastAsia="黑体"/>
          <w:b/>
          <w:bCs/>
          <w:color w:val="FF0000"/>
          <w:sz w:val="28"/>
        </w:rPr>
      </w:pPr>
    </w:p>
    <w:p>
      <w:pPr>
        <w:rPr>
          <w:rFonts w:ascii="宋体" w:hAnsi="宋体" w:eastAsia="黑体"/>
          <w:bCs/>
          <w:kern w:val="44"/>
          <w:sz w:val="32"/>
          <w:szCs w:val="32"/>
        </w:rPr>
      </w:pPr>
      <w:r>
        <w:rPr>
          <w:rFonts w:hint="eastAsia" w:ascii="宋体" w:hAnsi="宋体" w:eastAsia="黑体"/>
          <w:bCs/>
          <w:kern w:val="44"/>
          <w:sz w:val="32"/>
          <w:szCs w:val="32"/>
        </w:rPr>
        <w:t>投标文件组成：</w:t>
      </w:r>
    </w:p>
    <w:p>
      <w:pPr>
        <w:snapToGrid w:val="0"/>
        <w:rPr>
          <w:rFonts w:ascii="Arial" w:hAnsi="Arial" w:eastAsia="宋体" w:cs="Arial"/>
          <w:b/>
          <w:sz w:val="32"/>
          <w:szCs w:val="32"/>
        </w:rPr>
      </w:pPr>
      <w:r>
        <w:rPr>
          <w:rFonts w:hint="eastAsia" w:ascii="宋体" w:hAnsi="宋体" w:eastAsia="宋体" w:cs="宋体"/>
          <w:b/>
          <w:sz w:val="32"/>
          <w:szCs w:val="32"/>
        </w:rPr>
        <w:t>开标一览表及资格证明文件：</w:t>
      </w:r>
    </w:p>
    <w:p>
      <w:pPr>
        <w:numPr>
          <w:ilvl w:val="0"/>
          <w:numId w:val="2"/>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pPr>
        <w:numPr>
          <w:ilvl w:val="0"/>
          <w:numId w:val="2"/>
        </w:numPr>
        <w:snapToGrid w:val="0"/>
        <w:spacing w:after="60" w:afterLines="25"/>
        <w:rPr>
          <w:rFonts w:ascii="宋体" w:hAnsi="宋体" w:eastAsia="宋体"/>
          <w:sz w:val="30"/>
          <w:szCs w:val="30"/>
        </w:rPr>
      </w:pPr>
      <w:bookmarkStart w:id="10" w:name="_Hlk72062521"/>
      <w:r>
        <w:rPr>
          <w:rFonts w:hint="eastAsia" w:ascii="宋体" w:hAnsi="宋体" w:eastAsia="宋体"/>
          <w:sz w:val="30"/>
          <w:szCs w:val="30"/>
        </w:rPr>
        <w:t>政府采购投标及履约承诺函</w:t>
      </w:r>
      <w:bookmarkEnd w:id="10"/>
      <w:r>
        <w:rPr>
          <w:rFonts w:hint="eastAsia" w:ascii="宋体" w:hAnsi="宋体" w:eastAsia="宋体"/>
          <w:sz w:val="30"/>
          <w:szCs w:val="30"/>
        </w:rPr>
        <w:t>；</w:t>
      </w:r>
    </w:p>
    <w:p>
      <w:pPr>
        <w:numPr>
          <w:ilvl w:val="0"/>
          <w:numId w:val="2"/>
        </w:numPr>
        <w:snapToGrid w:val="0"/>
        <w:spacing w:after="60" w:afterLines="25"/>
        <w:rPr>
          <w:rFonts w:hint="eastAsia"/>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pPr>
        <w:numPr>
          <w:ilvl w:val="0"/>
          <w:numId w:val="2"/>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会计事务所出具的2020-2022年度任意一年的年度财务审计报告书扫描件或影印件；（新办企业（营业执照所标注的成立日期距本项目开标日期一年内为新办企业）提供银行资信证明扫描件或影印件）；</w:t>
      </w:r>
    </w:p>
    <w:p>
      <w:pPr>
        <w:numPr>
          <w:ilvl w:val="0"/>
          <w:numId w:val="2"/>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近6个月内任意一个月的完税证明扫描件和社保缴纳记录明细扫描件（含员工社保明细。注：无需提供委托人代理人或被授权委托人社保明细）；</w:t>
      </w:r>
    </w:p>
    <w:p>
      <w:pPr>
        <w:numPr>
          <w:ilvl w:val="0"/>
          <w:numId w:val="2"/>
        </w:numPr>
        <w:snapToGrid w:val="0"/>
        <w:spacing w:after="60" w:afterLines="25"/>
        <w:rPr>
          <w:rFonts w:ascii="宋体" w:hAnsi="宋体" w:eastAsia="宋体"/>
          <w:sz w:val="30"/>
          <w:szCs w:val="30"/>
        </w:rPr>
      </w:pPr>
      <w:r>
        <w:rPr>
          <w:rFonts w:hint="eastAsia" w:ascii="宋体" w:hAnsi="宋体" w:eastAsia="宋体"/>
          <w:kern w:val="2"/>
          <w:sz w:val="30"/>
          <w:szCs w:val="30"/>
          <w:lang w:eastAsia="zh-CN"/>
        </w:rPr>
        <w:t>投标保证金收据扫描件或银行转款证明扫描件或支票扫描件、汇票扫描件、本票扫描件或者金融机构、担保机构出具的保函扫描件；</w:t>
      </w:r>
    </w:p>
    <w:p>
      <w:pPr>
        <w:numPr>
          <w:ilvl w:val="0"/>
          <w:numId w:val="2"/>
        </w:numPr>
        <w:snapToGrid w:val="0"/>
        <w:spacing w:after="60" w:afterLines="25"/>
        <w:rPr>
          <w:rFonts w:hint="eastAsia" w:ascii="宋体" w:hAnsi="宋体" w:eastAsia="宋体"/>
          <w:kern w:val="2"/>
          <w:sz w:val="30"/>
          <w:szCs w:val="30"/>
          <w:lang w:eastAsia="zh-CN"/>
        </w:rPr>
      </w:pPr>
      <w:r>
        <w:rPr>
          <w:rFonts w:hint="eastAsia" w:ascii="宋体" w:hAnsi="宋体" w:eastAsia="宋体"/>
          <w:sz w:val="30"/>
          <w:szCs w:val="30"/>
        </w:rPr>
        <w:t>评标优惠政策声明函；</w:t>
      </w:r>
    </w:p>
    <w:p>
      <w:pPr>
        <w:numPr>
          <w:ilvl w:val="0"/>
          <w:numId w:val="2"/>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非联合体投标承诺函（承诺函格式自拟）；</w:t>
      </w:r>
    </w:p>
    <w:p>
      <w:pPr>
        <w:numPr>
          <w:ilvl w:val="0"/>
          <w:numId w:val="2"/>
        </w:numPr>
        <w:snapToGrid w:val="0"/>
        <w:spacing w:after="60" w:afterLines="25"/>
        <w:rPr>
          <w:rFonts w:hint="eastAsia"/>
          <w:lang w:eastAsia="zh-CN"/>
        </w:rPr>
      </w:pPr>
      <w:r>
        <w:rPr>
          <w:rFonts w:hint="eastAsia" w:ascii="宋体" w:hAnsi="宋体" w:eastAsia="宋体"/>
          <w:kern w:val="2"/>
          <w:sz w:val="30"/>
          <w:szCs w:val="30"/>
          <w:lang w:eastAsia="zh-CN"/>
        </w:rPr>
        <w:t>非进口产品投标承诺函（承诺函格式自拟）；</w:t>
      </w:r>
    </w:p>
    <w:p>
      <w:pPr>
        <w:numPr>
          <w:ilvl w:val="0"/>
          <w:numId w:val="2"/>
        </w:numPr>
        <w:snapToGrid w:val="0"/>
        <w:spacing w:after="60" w:afterLines="25"/>
        <w:rPr>
          <w:rFonts w:hint="eastAsia" w:ascii="宋体" w:hAnsi="宋体" w:eastAsia="宋体" w:cs="Times New Roman"/>
          <w:kern w:val="2"/>
          <w:sz w:val="30"/>
          <w:szCs w:val="30"/>
          <w:lang w:eastAsia="zh-CN"/>
        </w:rPr>
      </w:pPr>
      <w:r>
        <w:rPr>
          <w:rFonts w:hint="eastAsia" w:ascii="宋体" w:hAnsi="宋体" w:eastAsia="宋体" w:cs="Times New Roman"/>
          <w:kern w:val="2"/>
          <w:sz w:val="30"/>
          <w:szCs w:val="30"/>
          <w:lang w:eastAsia="zh-CN"/>
        </w:rPr>
        <w:t>具有有效的《食品流通许可证》或《食品经营许可证》，且经营范围包含本项目中所有招标内容。</w:t>
      </w:r>
    </w:p>
    <w:p>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pPr>
        <w:numPr>
          <w:ilvl w:val="0"/>
          <w:numId w:val="2"/>
        </w:numPr>
        <w:snapToGrid w:val="0"/>
        <w:spacing w:after="60" w:afterLines="25"/>
        <w:rPr>
          <w:rFonts w:hint="eastAsia"/>
          <w:lang w:eastAsia="zh-CN"/>
        </w:rPr>
      </w:pPr>
      <w:r>
        <w:rPr>
          <w:rFonts w:hint="eastAsia" w:ascii="宋体" w:hAnsi="宋体" w:eastAsia="宋体"/>
          <w:sz w:val="30"/>
          <w:szCs w:val="30"/>
        </w:rPr>
        <w:t>投标函；</w:t>
      </w:r>
    </w:p>
    <w:p>
      <w:pPr>
        <w:numPr>
          <w:ilvl w:val="0"/>
          <w:numId w:val="2"/>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pPr>
        <w:numPr>
          <w:ilvl w:val="0"/>
          <w:numId w:val="2"/>
        </w:numPr>
        <w:snapToGrid w:val="0"/>
        <w:spacing w:after="60" w:afterLines="25"/>
        <w:rPr>
          <w:rFonts w:hint="eastAsia"/>
          <w:lang w:eastAsia="zh-CN"/>
        </w:rPr>
      </w:pPr>
      <w:r>
        <w:rPr>
          <w:rFonts w:hint="eastAsia" w:ascii="宋体" w:hAnsi="宋体" w:eastAsia="宋体"/>
          <w:kern w:val="2"/>
          <w:sz w:val="30"/>
          <w:szCs w:val="30"/>
        </w:rPr>
        <w:t>法定代表人授权书（附有效身份证正反面扫描件）</w:t>
      </w:r>
      <w:r>
        <w:rPr>
          <w:rFonts w:hint="eastAsia" w:ascii="宋体" w:hAnsi="宋体" w:eastAsia="宋体"/>
          <w:kern w:val="2"/>
          <w:sz w:val="30"/>
          <w:szCs w:val="30"/>
          <w:lang w:eastAsia="zh-CN"/>
        </w:rPr>
        <w:t>；</w:t>
      </w:r>
    </w:p>
    <w:p>
      <w:pPr>
        <w:numPr>
          <w:ilvl w:val="0"/>
          <w:numId w:val="2"/>
        </w:numPr>
        <w:snapToGrid w:val="0"/>
        <w:spacing w:after="60" w:afterLines="25"/>
        <w:ind w:left="1456"/>
        <w:rPr>
          <w:rFonts w:hint="eastAsia" w:ascii="宋体" w:hAnsi="宋体" w:eastAsia="宋体" w:cs="Times New Roman"/>
          <w:bCs/>
          <w:sz w:val="30"/>
          <w:szCs w:val="30"/>
        </w:rPr>
      </w:pPr>
      <w:r>
        <w:rPr>
          <w:rFonts w:hint="eastAsia" w:ascii="宋体" w:hAnsi="宋体" w:eastAsia="宋体"/>
          <w:bCs/>
          <w:sz w:val="30"/>
          <w:szCs w:val="30"/>
        </w:rPr>
        <w:t>分项报价清</w:t>
      </w:r>
      <w:r>
        <w:rPr>
          <w:rFonts w:hint="eastAsia" w:ascii="宋体" w:hAnsi="宋体" w:eastAsia="宋体" w:cs="Times New Roman"/>
          <w:bCs/>
          <w:sz w:val="30"/>
          <w:szCs w:val="30"/>
        </w:rPr>
        <w:t>单</w:t>
      </w:r>
      <w:r>
        <w:rPr>
          <w:rFonts w:hint="eastAsia" w:ascii="宋体" w:hAnsi="宋体" w:eastAsia="宋体" w:cs="Times New Roman"/>
          <w:bCs/>
          <w:sz w:val="30"/>
          <w:szCs w:val="30"/>
          <w:lang w:eastAsia="zh-CN"/>
        </w:rPr>
        <w:t>（本项目为货物类，如有需求参照本表填写）</w:t>
      </w:r>
      <w:r>
        <w:rPr>
          <w:rFonts w:hint="eastAsia" w:ascii="宋体" w:hAnsi="宋体" w:eastAsia="宋体" w:cs="Times New Roman"/>
          <w:bCs/>
          <w:sz w:val="30"/>
          <w:szCs w:val="30"/>
        </w:rPr>
        <w:t>；</w:t>
      </w:r>
    </w:p>
    <w:p>
      <w:pPr>
        <w:numPr>
          <w:ilvl w:val="0"/>
          <w:numId w:val="2"/>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pPr>
        <w:numPr>
          <w:ilvl w:val="0"/>
          <w:numId w:val="2"/>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pPr>
        <w:numPr>
          <w:ilvl w:val="0"/>
          <w:numId w:val="2"/>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pPr>
        <w:numPr>
          <w:ilvl w:val="0"/>
          <w:numId w:val="2"/>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pPr>
        <w:numPr>
          <w:ilvl w:val="0"/>
          <w:numId w:val="2"/>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pPr>
        <w:numPr>
          <w:ilvl w:val="0"/>
          <w:numId w:val="2"/>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pPr>
        <w:numPr>
          <w:ilvl w:val="0"/>
          <w:numId w:val="2"/>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pPr>
        <w:numPr>
          <w:ilvl w:val="0"/>
          <w:numId w:val="2"/>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pPr>
        <w:snapToGrid w:val="0"/>
        <w:spacing w:after="60" w:afterLines="25"/>
        <w:rPr>
          <w:rFonts w:ascii="宋体" w:hAnsi="宋体" w:eastAsia="宋体" w:cs="宋体"/>
          <w:b/>
          <w:color w:val="FF0000"/>
          <w:sz w:val="32"/>
          <w:szCs w:val="32"/>
        </w:rPr>
      </w:pPr>
      <w:r>
        <w:br w:type="page"/>
      </w:r>
    </w:p>
    <w:p>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Cs w:val="21"/>
        </w:rPr>
      </w:pPr>
    </w:p>
    <w:p>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c>
          <w:tcPr>
            <w:tcW w:w="1913"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交货/完工</w:t>
            </w:r>
          </w:p>
          <w:p>
            <w:pPr>
              <w:spacing w:line="440" w:lineRule="exact"/>
              <w:jc w:val="center"/>
              <w:rPr>
                <w:rFonts w:hint="eastAsia" w:asciiTheme="minorEastAsia" w:hAnsiTheme="minorEastAsia" w:eastAsiaTheme="minorEastAsia" w:cstheme="minorEastAsia"/>
                <w:b w:val="0"/>
                <w:bCs w:val="0"/>
                <w:sz w:val="24"/>
                <w:szCs w:val="28"/>
                <w:lang w:eastAsia="zh-CN"/>
              </w:rPr>
            </w:pPr>
            <w:r>
              <w:rPr>
                <w:rFonts w:hint="eastAsia" w:asciiTheme="minorEastAsia" w:hAnsiTheme="minorEastAsia" w:eastAsiaTheme="minorEastAsia" w:cstheme="minorEastAsia"/>
                <w:b w:val="0"/>
                <w:bCs w:val="0"/>
                <w:sz w:val="24"/>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c>
          <w:tcPr>
            <w:tcW w:w="1913" w:type="dxa"/>
            <w:noWrap w:val="0"/>
            <w:vAlign w:val="center"/>
          </w:tcPr>
          <w:p>
            <w:pPr>
              <w:spacing w:line="440" w:lineRule="exact"/>
              <w:jc w:val="center"/>
              <w:rPr>
                <w:rFonts w:hint="eastAsia" w:asciiTheme="minorEastAsia" w:hAnsiTheme="minorEastAsia" w:eastAsiaTheme="minorEastAsia" w:cstheme="minorEastAsia"/>
                <w:b w:val="0"/>
                <w:bCs w:val="0"/>
                <w:sz w:val="24"/>
                <w:szCs w:val="28"/>
              </w:rPr>
            </w:pPr>
          </w:p>
        </w:tc>
      </w:tr>
    </w:tbl>
    <w:p>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pPr>
        <w:pStyle w:val="17"/>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pPr>
        <w:spacing w:line="600" w:lineRule="exact"/>
        <w:ind w:firstLine="560" w:firstLineChars="200"/>
        <w:rPr>
          <w:rFonts w:hint="eastAsia" w:asciiTheme="minorEastAsia" w:hAnsiTheme="minorEastAsia" w:eastAsiaTheme="minorEastAsia" w:cstheme="minorEastAsia"/>
          <w:sz w:val="28"/>
          <w:szCs w:val="28"/>
        </w:rPr>
      </w:pPr>
    </w:p>
    <w:p>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pPr>
        <w:pStyle w:val="18"/>
        <w:rPr>
          <w:rFonts w:hint="eastAsia" w:asciiTheme="minorEastAsia" w:hAnsiTheme="minorEastAsia" w:eastAsiaTheme="minorEastAsia" w:cstheme="minorEastAsia"/>
        </w:rPr>
      </w:pPr>
    </w:p>
    <w:p>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pStyle w:val="11"/>
        <w:rPr>
          <w:rFonts w:hint="eastAsia" w:ascii="仿宋" w:hAnsi="仿宋" w:eastAsia="仿宋"/>
          <w:sz w:val="28"/>
          <w:szCs w:val="28"/>
        </w:rPr>
      </w:pPr>
    </w:p>
    <w:p>
      <w:pPr>
        <w:pStyle w:val="11"/>
        <w:rPr>
          <w:rFonts w:hint="eastAsia" w:ascii="仿宋" w:hAnsi="仿宋" w:eastAsia="仿宋"/>
          <w:sz w:val="28"/>
          <w:szCs w:val="28"/>
        </w:rPr>
      </w:pPr>
    </w:p>
    <w:p>
      <w:pPr>
        <w:pStyle w:val="11"/>
        <w:rPr>
          <w:rFonts w:hint="eastAsia" w:ascii="仿宋" w:hAnsi="仿宋" w:eastAsia="仿宋"/>
          <w:sz w:val="28"/>
          <w:szCs w:val="28"/>
        </w:rPr>
      </w:pPr>
    </w:p>
    <w:p>
      <w:pPr>
        <w:pStyle w:val="11"/>
        <w:rPr>
          <w:rFonts w:hint="eastAsia" w:ascii="仿宋" w:hAnsi="仿宋" w:eastAsia="仿宋"/>
          <w:sz w:val="28"/>
          <w:szCs w:val="28"/>
        </w:rPr>
      </w:pPr>
    </w:p>
    <w:p>
      <w:pPr>
        <w:spacing w:after="60" w:afterLines="25" w:line="300" w:lineRule="auto"/>
      </w:pPr>
    </w:p>
    <w:p>
      <w:pPr>
        <w:spacing w:after="60" w:afterLines="25" w:line="300" w:lineRule="auto"/>
      </w:pPr>
    </w:p>
    <w:p>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pPr>
        <w:snapToGrid w:val="0"/>
        <w:spacing w:line="360" w:lineRule="auto"/>
        <w:rPr>
          <w:rFonts w:ascii="Arial" w:hAnsi="Arial" w:eastAsia="宋体"/>
        </w:rPr>
      </w:pPr>
    </w:p>
    <w:p>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喀什市公安局</w:t>
      </w:r>
    </w:p>
    <w:p>
      <w:pPr>
        <w:ind w:right="-815" w:firstLine="480" w:firstLineChars="200"/>
        <w:rPr>
          <w:rFonts w:ascii="宋体" w:hAnsi="宋体"/>
          <w:szCs w:val="21"/>
        </w:rPr>
      </w:pPr>
      <w:r>
        <w:rPr>
          <w:rFonts w:hint="eastAsia" w:ascii="宋体" w:hAnsi="宋体"/>
          <w:szCs w:val="21"/>
        </w:rPr>
        <w:t>我单位承诺：</w:t>
      </w:r>
    </w:p>
    <w:p>
      <w:pPr>
        <w:ind w:firstLine="480" w:firstLineChars="200"/>
        <w:rPr>
          <w:rFonts w:ascii="宋体" w:hAnsi="宋体"/>
          <w:szCs w:val="21"/>
        </w:rPr>
      </w:pPr>
      <w:r>
        <w:rPr>
          <w:rFonts w:hint="eastAsia" w:ascii="宋体" w:hAnsi="宋体"/>
          <w:szCs w:val="21"/>
        </w:rPr>
        <w:t>1.我单位本招标项目所提供的货物或服务未侵犯知识产权。</w:t>
      </w:r>
    </w:p>
    <w:p>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ind w:firstLine="480" w:firstLineChars="200"/>
        <w:rPr>
          <w:rFonts w:ascii="宋体" w:hAnsi="宋体"/>
          <w:szCs w:val="21"/>
        </w:rPr>
      </w:pPr>
      <w:r>
        <w:rPr>
          <w:rFonts w:hint="eastAsia" w:ascii="宋体" w:hAnsi="宋体"/>
          <w:szCs w:val="21"/>
        </w:rPr>
        <w:t>6.</w:t>
      </w:r>
      <w:bookmarkStart w:id="11" w:name="_Hlk72587269"/>
      <w:bookmarkStart w:id="12"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1"/>
      <w:r>
        <w:rPr>
          <w:rFonts w:hint="eastAsia" w:ascii="宋体" w:hAnsi="宋体"/>
          <w:szCs w:val="21"/>
        </w:rPr>
        <w:t>。</w:t>
      </w:r>
      <w:bookmarkEnd w:id="12"/>
    </w:p>
    <w:p>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pPr>
        <w:snapToGrid w:val="0"/>
        <w:ind w:firstLine="480" w:firstLineChars="200"/>
        <w:rPr>
          <w:rFonts w:ascii="宋体" w:hAnsi="宋体" w:eastAsia="宋体"/>
        </w:rPr>
      </w:pPr>
    </w:p>
    <w:p>
      <w:pPr>
        <w:snapToGrid w:val="0"/>
        <w:ind w:firstLine="480" w:firstLineChars="200"/>
        <w:rPr>
          <w:rFonts w:ascii="宋体" w:hAnsi="宋体" w:eastAsia="宋体"/>
        </w:rPr>
      </w:pPr>
    </w:p>
    <w:p>
      <w:pPr>
        <w:snapToGrid w:val="0"/>
        <w:ind w:right="420"/>
        <w:rPr>
          <w:rFonts w:ascii="宋体" w:hAnsi="宋体" w:eastAsia="宋体"/>
        </w:rPr>
      </w:pPr>
      <w:r>
        <w:rPr>
          <w:rFonts w:hint="eastAsia" w:ascii="宋体" w:hAnsi="宋体" w:eastAsia="宋体"/>
        </w:rPr>
        <w:t xml:space="preserve">                        投标单位（投标人）名称：</w:t>
      </w:r>
    </w:p>
    <w:p>
      <w:pPr>
        <w:snapToGrid w:val="0"/>
        <w:ind w:right="450" w:firstLine="480" w:firstLineChars="200"/>
        <w:jc w:val="right"/>
        <w:rPr>
          <w:rFonts w:ascii="宋体" w:hAnsi="宋体" w:eastAsia="宋体"/>
        </w:rPr>
      </w:pPr>
      <w:r>
        <w:rPr>
          <w:rFonts w:hint="eastAsia" w:ascii="宋体" w:hAnsi="宋体" w:eastAsia="宋体"/>
        </w:rPr>
        <w:t>年月日</w:t>
      </w:r>
    </w:p>
    <w:p>
      <w:pPr>
        <w:snapToGrid w:val="0"/>
        <w:spacing w:line="360" w:lineRule="auto"/>
        <w:ind w:right="450" w:firstLine="480" w:firstLineChars="200"/>
        <w:jc w:val="right"/>
        <w:rPr>
          <w:rFonts w:ascii="仿宋" w:hAnsi="仿宋" w:eastAsia="仿宋"/>
        </w:rPr>
      </w:pPr>
    </w:p>
    <w:p>
      <w:pPr>
        <w:snapToGrid w:val="0"/>
        <w:spacing w:line="360" w:lineRule="auto"/>
        <w:ind w:right="450" w:firstLine="480" w:firstLineChars="200"/>
        <w:jc w:val="right"/>
        <w:rPr>
          <w:rFonts w:ascii="仿宋" w:hAnsi="仿宋" w:eastAsia="仿宋"/>
        </w:rPr>
      </w:pPr>
    </w:p>
    <w:p>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pPr>
        <w:rPr>
          <w:rFonts w:hint="eastAsia"/>
        </w:rPr>
      </w:pPr>
    </w:p>
    <w:p>
      <w:pPr>
        <w:rPr>
          <w:rFonts w:hint="eastAsia"/>
        </w:rPr>
      </w:pP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rPr>
          <w:rFonts w:hint="eastAsia"/>
        </w:rPr>
      </w:pPr>
    </w:p>
    <w:p>
      <w:pPr>
        <w:pStyle w:val="17"/>
        <w:rPr>
          <w:rFonts w:hint="eastAsia"/>
        </w:rPr>
      </w:pPr>
    </w:p>
    <w:p>
      <w:pPr>
        <w:pStyle w:val="17"/>
        <w:ind w:left="0" w:leftChars="0" w:firstLine="0" w:firstLineChars="0"/>
        <w:rPr>
          <w:rFonts w:hint="eastAsia"/>
        </w:rPr>
      </w:pPr>
    </w:p>
    <w:p>
      <w:pPr>
        <w:rPr>
          <w:rFonts w:hint="eastAsia"/>
        </w:rPr>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pPr>
        <w:tabs>
          <w:tab w:val="left" w:pos="5580"/>
        </w:tabs>
        <w:spacing w:line="240" w:lineRule="atLeast"/>
        <w:ind w:left="1156" w:leftChars="257" w:hanging="540"/>
        <w:rPr>
          <w:rFonts w:hint="eastAsia" w:ascii="仿宋_GB2312" w:eastAsia="仿宋_GB2312"/>
          <w:sz w:val="24"/>
        </w:rPr>
      </w:pPr>
    </w:p>
    <w:p>
      <w:pPr>
        <w:pStyle w:val="25"/>
        <w:numPr>
          <w:ilvl w:val="0"/>
          <w:numId w:val="0"/>
        </w:numPr>
        <w:ind w:left="900" w:leftChars="0"/>
        <w:jc w:val="both"/>
        <w:rPr>
          <w:rFonts w:hint="eastAsia" w:eastAsia="宋体"/>
          <w:lang w:eastAsia="zh-CN"/>
        </w:rPr>
      </w:pPr>
      <w:r>
        <w:rPr>
          <w:rFonts w:hint="eastAsia" w:eastAsia="宋体"/>
          <w:lang w:eastAsia="zh-CN"/>
        </w:rPr>
        <w:t>说明：</w:t>
      </w:r>
    </w:p>
    <w:p>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2020-2022</w:t>
      </w:r>
      <w:r>
        <w:rPr>
          <w:rFonts w:hint="eastAsia" w:ascii="仿宋_GB2312" w:eastAsia="仿宋_GB2312"/>
          <w:sz w:val="24"/>
        </w:rPr>
        <w:t>年度</w:t>
      </w:r>
      <w:r>
        <w:rPr>
          <w:rFonts w:hint="eastAsia" w:ascii="仿宋_GB2312" w:eastAsia="仿宋_GB2312"/>
          <w:sz w:val="24"/>
          <w:lang w:eastAsia="zh-CN"/>
        </w:rPr>
        <w:t>任意一年</w:t>
      </w:r>
      <w:r>
        <w:rPr>
          <w:rFonts w:hint="eastAsia" w:ascii="仿宋_GB2312" w:eastAsia="仿宋_GB2312"/>
          <w:sz w:val="24"/>
        </w:rPr>
        <w:t>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pPr>
        <w:jc w:val="center"/>
        <w:rPr>
          <w:rFonts w:hint="eastAsia" w:asciiTheme="majorEastAsia" w:hAnsiTheme="majorEastAsia" w:eastAsiaTheme="majorEastAsia" w:cstheme="majorEastAsia"/>
          <w:b/>
          <w:bCs/>
          <w:szCs w:val="20"/>
          <w:lang w:val="en-US" w:eastAsia="zh-CN"/>
        </w:rPr>
      </w:pPr>
    </w:p>
    <w:p>
      <w:pPr>
        <w:jc w:val="cente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rPr>
          <w:rFonts w:hint="eastAsia" w:asciiTheme="majorEastAsia" w:hAnsiTheme="majorEastAsia" w:eastAsiaTheme="majorEastAsia" w:cstheme="majorEastAsia"/>
          <w:b/>
          <w:bCs/>
          <w:szCs w:val="20"/>
          <w:lang w:val="en-US" w:eastAsia="zh-CN"/>
        </w:rPr>
      </w:pPr>
    </w:p>
    <w:p>
      <w:pPr>
        <w:rPr>
          <w:rFonts w:hint="eastAsia" w:asciiTheme="majorEastAsia" w:hAnsiTheme="majorEastAsia" w:eastAsiaTheme="majorEastAsia" w:cstheme="majorEastAsia"/>
          <w:b/>
          <w:bCs/>
          <w:szCs w:val="20"/>
          <w:lang w:val="en-US" w:eastAsia="zh-CN"/>
        </w:rPr>
      </w:pPr>
    </w:p>
    <w:p>
      <w:pPr>
        <w:pStyle w:val="17"/>
        <w:ind w:left="0" w:leftChars="0" w:firstLine="0" w:firstLineChars="0"/>
        <w:rPr>
          <w:rFonts w:hint="eastAsia"/>
          <w:lang w:val="en-US" w:eastAsia="zh-CN"/>
        </w:rPr>
      </w:pPr>
    </w:p>
    <w:p>
      <w:pPr>
        <w:rPr>
          <w:rFonts w:hint="eastAsia"/>
          <w:lang w:val="en-US" w:eastAsia="zh-CN"/>
        </w:rPr>
      </w:pPr>
    </w:p>
    <w:p>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pPr>
        <w:tabs>
          <w:tab w:val="left" w:pos="5580"/>
        </w:tabs>
        <w:spacing w:line="240" w:lineRule="atLeast"/>
        <w:ind w:left="540"/>
        <w:rPr>
          <w:rFonts w:hint="eastAsia" w:ascii="仿宋_GB2312" w:eastAsia="仿宋_GB2312"/>
          <w:sz w:val="24"/>
          <w:lang w:val="en-US" w:eastAsia="zh-CN"/>
        </w:rPr>
      </w:pPr>
    </w:p>
    <w:p>
      <w:pPr>
        <w:tabs>
          <w:tab w:val="left" w:pos="5580"/>
        </w:tabs>
        <w:spacing w:line="240" w:lineRule="atLeast"/>
        <w:ind w:left="540"/>
        <w:rPr>
          <w:rFonts w:hint="eastAsia" w:ascii="仿宋_GB2312" w:eastAsia="仿宋_GB2312"/>
          <w:sz w:val="24"/>
          <w:lang w:val="en-US" w:eastAsia="zh-CN"/>
        </w:rPr>
      </w:pPr>
    </w:p>
    <w:p>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1、近6个月内任意一个月的完税证明扫描件和社保缴纳记录明细扫描件（含员工社保明细。注：无需提供委托人代理人或被授权委托人社保明细）；</w:t>
      </w:r>
    </w:p>
    <w:p>
      <w:pPr>
        <w:numPr>
          <w:ilvl w:val="0"/>
          <w:numId w:val="3"/>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pPr>
        <w:pStyle w:val="17"/>
        <w:numPr>
          <w:ilvl w:val="0"/>
          <w:numId w:val="0"/>
        </w:numPr>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ind w:left="0" w:leftChars="0" w:firstLine="0" w:firstLineChars="0"/>
        <w:rPr>
          <w:rFonts w:hint="eastAsia"/>
          <w:lang w:val="en-US" w:eastAsia="zh-CN"/>
        </w:rPr>
      </w:pPr>
    </w:p>
    <w:p>
      <w:pPr>
        <w:jc w:val="center"/>
        <w:outlineLvl w:val="3"/>
        <w:rPr>
          <w:rFonts w:hint="default"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6.投标保证金收据扫描件或银行转款证明扫描件或支票扫描件、汇票扫描件、本票扫描件或者金融机构、担保机构出具的保函扫描件；</w:t>
      </w:r>
    </w:p>
    <w:p>
      <w:pPr>
        <w:jc w:val="center"/>
        <w:rPr>
          <w:rFonts w:hint="eastAsia" w:ascii="仿宋" w:hAnsi="仿宋" w:eastAsia="仿宋"/>
          <w:sz w:val="28"/>
          <w:szCs w:val="28"/>
        </w:rPr>
      </w:pPr>
    </w:p>
    <w:p>
      <w:pPr>
        <w:pStyle w:val="13"/>
        <w:tabs>
          <w:tab w:val="left" w:pos="5580"/>
        </w:tabs>
        <w:spacing w:line="240" w:lineRule="atLeast"/>
        <w:ind w:left="1156" w:leftChars="257" w:hanging="540"/>
        <w:rPr>
          <w:rFonts w:hint="eastAsia" w:ascii="仿宋_GB2312" w:hAnsi="宋体" w:eastAsia="仿宋_GB2312"/>
          <w:b w:val="0"/>
          <w:bCs/>
          <w:sz w:val="24"/>
          <w:lang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val="0"/>
          <w:bCs/>
          <w:sz w:val="24"/>
        </w:rPr>
        <w:t>说明：打款时注明投标保证金项目名称</w:t>
      </w:r>
      <w:r>
        <w:rPr>
          <w:rFonts w:hint="eastAsia" w:ascii="仿宋_GB2312" w:hAnsi="宋体" w:eastAsia="仿宋_GB2312"/>
          <w:b w:val="0"/>
          <w:bCs/>
          <w:sz w:val="24"/>
          <w:lang w:eastAsia="zh-CN"/>
        </w:rPr>
        <w:t>。</w:t>
      </w:r>
    </w:p>
    <w:p>
      <w:pPr>
        <w:pStyle w:val="17"/>
        <w:ind w:left="0" w:leftChars="0" w:firstLine="0" w:firstLineChars="0"/>
        <w:rPr>
          <w:rFonts w:hint="eastAsia"/>
        </w:rPr>
      </w:pPr>
    </w:p>
    <w:p>
      <w:pPr>
        <w:jc w:val="center"/>
        <w:rPr>
          <w:rFonts w:hint="eastAsia" w:ascii="仿宋" w:hAnsi="仿宋" w:eastAsia="仿宋"/>
          <w:sz w:val="28"/>
          <w:szCs w:val="28"/>
        </w:rPr>
      </w:pPr>
      <w:r>
        <w:rPr>
          <w:rFonts w:hint="eastAsia" w:ascii="仿宋" w:hAnsi="仿宋" w:eastAsia="仿宋"/>
          <w:sz w:val="28"/>
          <w:szCs w:val="28"/>
          <w:lang w:eastAsia="zh-CN"/>
        </w:rPr>
        <w:t>附件：</w:t>
      </w:r>
      <w:r>
        <w:rPr>
          <w:rFonts w:hint="eastAsia" w:ascii="仿宋" w:hAnsi="仿宋" w:eastAsia="仿宋"/>
          <w:sz w:val="28"/>
          <w:szCs w:val="28"/>
        </w:rPr>
        <w:t>政府采购投标担保函 （项目用）</w:t>
      </w:r>
    </w:p>
    <w:p>
      <w:pPr>
        <w:ind w:firstLine="7680" w:firstLineChars="3200"/>
        <w:rPr>
          <w:rFonts w:hint="eastAsia" w:ascii="仿宋" w:hAnsi="仿宋" w:eastAsia="仿宋"/>
        </w:rPr>
      </w:pPr>
      <w:r>
        <w:rPr>
          <w:rFonts w:hint="eastAsia" w:ascii="仿宋" w:hAnsi="仿宋" w:eastAsia="仿宋"/>
        </w:rPr>
        <w:t>编号：</w:t>
      </w:r>
    </w:p>
    <w:p>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w:t>
      </w:r>
    </w:p>
    <w:p>
      <w:pPr>
        <w:ind w:firstLine="48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80" w:firstLineChars="200"/>
        <w:rPr>
          <w:rFonts w:hint="eastAsia" w:ascii="仿宋" w:hAnsi="仿宋" w:eastAsia="仿宋"/>
        </w:rPr>
      </w:pPr>
      <w:r>
        <w:rPr>
          <w:rFonts w:hint="eastAsia" w:ascii="仿宋" w:hAnsi="仿宋" w:eastAsia="仿宋"/>
        </w:rPr>
        <w:t>一、保证责任的情形及保证金额</w:t>
      </w:r>
    </w:p>
    <w:p>
      <w:pPr>
        <w:ind w:firstLine="240" w:firstLineChars="100"/>
        <w:rPr>
          <w:rFonts w:hint="eastAsia" w:ascii="仿宋" w:hAnsi="仿宋" w:eastAsia="仿宋"/>
        </w:rPr>
      </w:pPr>
      <w:r>
        <w:rPr>
          <w:rFonts w:hint="eastAsia" w:ascii="仿宋" w:hAnsi="仿宋" w:eastAsia="仿宋"/>
        </w:rPr>
        <w:t>（一）在投标人出现下列情形之一时，我方承担保证责任：</w:t>
      </w:r>
    </w:p>
    <w:p>
      <w:pPr>
        <w:ind w:firstLine="48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pPr>
        <w:ind w:firstLine="480" w:firstLineChars="200"/>
        <w:rPr>
          <w:rFonts w:hint="eastAsia" w:ascii="仿宋" w:hAnsi="仿宋" w:eastAsia="仿宋"/>
        </w:rPr>
      </w:pPr>
      <w:r>
        <w:rPr>
          <w:rFonts w:hint="eastAsia" w:ascii="仿宋" w:hAnsi="仿宋" w:eastAsia="仿宋"/>
        </w:rPr>
        <w:t>2．招标文件规定的投标人应当缴纳保证金的其他情形。</w:t>
      </w:r>
    </w:p>
    <w:p>
      <w:pPr>
        <w:ind w:firstLine="240" w:firstLineChars="100"/>
        <w:rPr>
          <w:rFonts w:hint="eastAsia" w:ascii="仿宋" w:hAnsi="仿宋" w:eastAsia="仿宋"/>
          <w:lang w:eastAsia="zh-CN"/>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w:t>
      </w:r>
      <w:r>
        <w:rPr>
          <w:rFonts w:hint="eastAsia" w:ascii="仿宋" w:hAnsi="仿宋" w:eastAsia="仿宋"/>
          <w:lang w:eastAsia="zh-CN"/>
        </w:rPr>
        <w:t>大写</w:t>
      </w:r>
      <w:r>
        <w:rPr>
          <w:rFonts w:hint="eastAsia" w:ascii="仿宋" w:hAnsi="仿宋" w:eastAsia="仿宋"/>
          <w:u w:val="single"/>
        </w:rPr>
        <w:t xml:space="preserve">     </w:t>
      </w:r>
      <w:r>
        <w:rPr>
          <w:rFonts w:hint="eastAsia" w:ascii="仿宋" w:hAnsi="仿宋" w:eastAsia="仿宋"/>
        </w:rPr>
        <w:t>）</w:t>
      </w:r>
      <w:r>
        <w:rPr>
          <w:rFonts w:hint="eastAsia" w:ascii="仿宋" w:hAnsi="仿宋" w:eastAsia="仿宋"/>
          <w:lang w:eastAsia="zh-CN"/>
        </w:rPr>
        <w:t>，即本项目的</w:t>
      </w:r>
      <w:r>
        <w:rPr>
          <w:rFonts w:hint="eastAsia" w:ascii="仿宋" w:hAnsi="仿宋" w:eastAsia="仿宋"/>
        </w:rPr>
        <w:t>投标保证金金额</w:t>
      </w:r>
      <w:r>
        <w:rPr>
          <w:rFonts w:hint="eastAsia" w:ascii="仿宋" w:hAnsi="仿宋" w:eastAsia="仿宋"/>
          <w:lang w:eastAsia="zh-CN"/>
        </w:rPr>
        <w:t>。</w:t>
      </w:r>
    </w:p>
    <w:p>
      <w:pPr>
        <w:ind w:firstLine="480" w:firstLineChars="200"/>
        <w:rPr>
          <w:rFonts w:hint="eastAsia" w:ascii="仿宋" w:hAnsi="仿宋" w:eastAsia="仿宋"/>
        </w:rPr>
      </w:pPr>
      <w:r>
        <w:rPr>
          <w:rFonts w:hint="eastAsia" w:ascii="仿宋" w:hAnsi="仿宋" w:eastAsia="仿宋"/>
        </w:rPr>
        <w:t>二、保证的方式及保证期间</w:t>
      </w:r>
    </w:p>
    <w:p>
      <w:pPr>
        <w:ind w:firstLine="480" w:firstLineChars="200"/>
        <w:rPr>
          <w:rFonts w:hint="eastAsia" w:ascii="仿宋" w:hAnsi="仿宋" w:eastAsia="仿宋"/>
        </w:rPr>
      </w:pPr>
      <w:r>
        <w:rPr>
          <w:rFonts w:hint="eastAsia" w:ascii="仿宋" w:hAnsi="仿宋" w:eastAsia="仿宋"/>
        </w:rPr>
        <w:t>我方保证的方式为：连带责任保证。</w:t>
      </w:r>
    </w:p>
    <w:p>
      <w:pPr>
        <w:ind w:firstLine="48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pPr>
        <w:ind w:firstLine="480" w:firstLineChars="200"/>
        <w:rPr>
          <w:rFonts w:hint="eastAsia" w:ascii="仿宋" w:hAnsi="仿宋" w:eastAsia="仿宋"/>
        </w:rPr>
      </w:pPr>
      <w:r>
        <w:rPr>
          <w:rFonts w:hint="eastAsia" w:ascii="仿宋" w:hAnsi="仿宋" w:eastAsia="仿宋"/>
        </w:rPr>
        <w:t>三、承担保证责任的程序</w:t>
      </w:r>
    </w:p>
    <w:p>
      <w:pPr>
        <w:ind w:firstLine="48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8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80" w:firstLineChars="200"/>
        <w:rPr>
          <w:rFonts w:hint="eastAsia" w:ascii="仿宋" w:hAnsi="仿宋" w:eastAsia="仿宋"/>
        </w:rPr>
      </w:pPr>
      <w:r>
        <w:rPr>
          <w:rFonts w:hint="eastAsia" w:ascii="仿宋" w:hAnsi="仿宋" w:eastAsia="仿宋"/>
        </w:rPr>
        <w:t>四、保证责任的终止</w:t>
      </w:r>
    </w:p>
    <w:p>
      <w:pPr>
        <w:ind w:firstLine="48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8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8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80" w:firstLineChars="200"/>
        <w:rPr>
          <w:rFonts w:hint="eastAsia" w:ascii="仿宋" w:hAnsi="仿宋" w:eastAsia="仿宋"/>
        </w:rPr>
      </w:pPr>
      <w:r>
        <w:rPr>
          <w:rFonts w:hint="eastAsia" w:ascii="仿宋" w:hAnsi="仿宋" w:eastAsia="仿宋"/>
        </w:rPr>
        <w:t>五、免责条款</w:t>
      </w:r>
    </w:p>
    <w:p>
      <w:pPr>
        <w:ind w:firstLine="48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8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pPr>
        <w:ind w:firstLine="48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pPr>
        <w:ind w:firstLine="48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80" w:firstLineChars="200"/>
        <w:rPr>
          <w:rFonts w:hint="eastAsia" w:ascii="仿宋" w:hAnsi="仿宋" w:eastAsia="仿宋"/>
        </w:rPr>
      </w:pPr>
      <w:r>
        <w:rPr>
          <w:rFonts w:hint="eastAsia" w:ascii="仿宋" w:hAnsi="仿宋" w:eastAsia="仿宋"/>
        </w:rPr>
        <w:t>六、争议的解决</w:t>
      </w:r>
    </w:p>
    <w:p>
      <w:pPr>
        <w:ind w:firstLine="48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pPr>
        <w:ind w:firstLine="480" w:firstLineChars="200"/>
        <w:rPr>
          <w:rFonts w:hint="eastAsia" w:ascii="仿宋" w:hAnsi="仿宋" w:eastAsia="仿宋"/>
        </w:rPr>
      </w:pPr>
      <w:r>
        <w:rPr>
          <w:rFonts w:hint="eastAsia" w:ascii="仿宋" w:hAnsi="仿宋" w:eastAsia="仿宋"/>
        </w:rPr>
        <w:t>七、保函的生效</w:t>
      </w:r>
    </w:p>
    <w:p>
      <w:pPr>
        <w:ind w:firstLine="480" w:firstLineChars="200"/>
        <w:rPr>
          <w:rFonts w:ascii="仿宋" w:hAnsi="仿宋" w:eastAsia="仿宋"/>
        </w:rPr>
      </w:pPr>
      <w:r>
        <w:rPr>
          <w:rFonts w:hint="eastAsia" w:ascii="仿宋" w:hAnsi="仿宋" w:eastAsia="仿宋"/>
        </w:rPr>
        <w:t>本保函自我方加盖公章之日起生效。</w:t>
      </w:r>
    </w:p>
    <w:p>
      <w:pPr>
        <w:ind w:firstLine="6360" w:firstLineChars="2650"/>
        <w:rPr>
          <w:rFonts w:hint="eastAsia" w:ascii="仿宋" w:hAnsi="仿宋" w:eastAsia="仿宋"/>
        </w:rPr>
      </w:pPr>
      <w:r>
        <w:rPr>
          <w:rFonts w:hint="eastAsia" w:ascii="仿宋" w:hAnsi="仿宋" w:eastAsia="仿宋"/>
        </w:rPr>
        <w:t>保证人：（公章）</w:t>
      </w:r>
    </w:p>
    <w:p>
      <w:pPr>
        <w:rPr>
          <w:rFonts w:ascii="仿宋" w:hAnsi="仿宋" w:eastAsia="仿宋"/>
        </w:rPr>
      </w:pPr>
      <w:r>
        <w:rPr>
          <w:rFonts w:ascii="仿宋" w:hAnsi="仿宋" w:eastAsia="仿宋"/>
        </w:rPr>
        <w:t xml:space="preserve">                               </w:t>
      </w:r>
    </w:p>
    <w:p>
      <w:pPr>
        <w:jc w:val="right"/>
        <w:rPr>
          <w:rFonts w:hint="eastAsia" w:ascii="仿宋" w:hAnsi="仿宋" w:eastAsia="仿宋"/>
        </w:rPr>
      </w:pPr>
      <w:r>
        <w:rPr>
          <w:rFonts w:hint="eastAsia" w:ascii="仿宋" w:hAnsi="仿宋" w:eastAsia="仿宋"/>
        </w:rPr>
        <w:t>年     月      日</w:t>
      </w:r>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numPr>
          <w:ilvl w:val="0"/>
          <w:numId w:val="0"/>
        </w:numPr>
      </w:pPr>
    </w:p>
    <w:p>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7</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p>
    <w:p>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本项目为专门面向中小企业采购项目</w:t>
      </w:r>
      <w:r>
        <w:rPr>
          <w:rFonts w:hint="eastAsia" w:ascii="仿宋" w:hAnsi="仿宋" w:eastAsia="仿宋"/>
          <w:b/>
          <w:color w:val="FF0000"/>
          <w:sz w:val="25"/>
          <w:szCs w:val="25"/>
          <w:highlight w:val="green"/>
          <w:lang w:eastAsia="zh-CN"/>
        </w:rPr>
        <w:t>，</w:t>
      </w:r>
      <w:r>
        <w:rPr>
          <w:rFonts w:hint="eastAsia" w:ascii="仿宋" w:hAnsi="仿宋" w:eastAsia="仿宋"/>
          <w:b/>
          <w:color w:val="FF0000"/>
          <w:sz w:val="25"/>
          <w:szCs w:val="25"/>
          <w:highlight w:val="green"/>
        </w:rPr>
        <w:t>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)《政府采购促进中小企业发展管理办法》（财库〔2020〕46号），链接：</w:t>
      </w:r>
      <w:r>
        <w:fldChar w:fldCharType="begin"/>
      </w:r>
      <w:r>
        <w:instrText xml:space="preserve"> HYPERLINK "http://www.ccgp.gov.cn/news/202012/t20201229_15715888.htm" </w:instrText>
      </w:r>
      <w:r>
        <w:fldChar w:fldCharType="separate"/>
      </w:r>
      <w:r>
        <w:rPr>
          <w:rFonts w:ascii="仿宋" w:hAnsi="仿宋" w:eastAsia="仿宋"/>
          <w:color w:val="0000FF"/>
          <w:sz w:val="25"/>
          <w:u w:val="single"/>
        </w:rPr>
        <w:t>www.ccgp.gov.cn/news/202012/t20201229_15715888.htm</w:t>
      </w:r>
      <w:r>
        <w:rPr>
          <w:rFonts w:ascii="仿宋" w:hAnsi="仿宋" w:eastAsia="仿宋"/>
          <w:color w:val="0000FF"/>
          <w:sz w:val="25"/>
          <w:u w:val="single"/>
        </w:rPr>
        <w:fldChar w:fldCharType="end"/>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3" w:name="_Hlk71925120"/>
      <w:r>
        <w:rPr>
          <w:rFonts w:hint="eastAsia" w:ascii="仿宋" w:hAnsi="仿宋" w:eastAsia="仿宋"/>
          <w:color w:val="FF0000"/>
          <w:sz w:val="25"/>
          <w:szCs w:val="25"/>
        </w:rPr>
        <w:t>《关于印发中小企业划型标准规定的通知》（工信部联企业〔2011〕300 号</w:t>
      </w:r>
      <w:bookmarkEnd w:id="13"/>
      <w:r>
        <w:rPr>
          <w:rFonts w:hint="eastAsia" w:ascii="仿宋" w:hAnsi="仿宋" w:eastAsia="仿宋"/>
          <w:color w:val="FF0000"/>
          <w:sz w:val="25"/>
          <w:szCs w:val="25"/>
        </w:rPr>
        <w:t>），链接：</w:t>
      </w:r>
      <w:r>
        <w:fldChar w:fldCharType="begin"/>
      </w:r>
      <w:r>
        <w:instrText xml:space="preserve"> HYPERLINK "http://www.gov.cn/zwgk/2011-07/04/content_1898747.htm" </w:instrText>
      </w:r>
      <w:r>
        <w:fldChar w:fldCharType="separate"/>
      </w:r>
      <w:r>
        <w:rPr>
          <w:rFonts w:ascii="仿宋" w:hAnsi="仿宋" w:eastAsia="仿宋"/>
          <w:color w:val="0000FF"/>
          <w:sz w:val="25"/>
          <w:u w:val="single"/>
        </w:rPr>
        <w:t>www.gov.cn/zwgk/2011-07/04/content_1898747.htm</w:t>
      </w:r>
      <w:r>
        <w:rPr>
          <w:rFonts w:ascii="仿宋" w:hAnsi="仿宋" w:eastAsia="仿宋"/>
          <w:color w:val="0000FF"/>
          <w:sz w:val="25"/>
          <w:u w:val="single"/>
        </w:rPr>
        <w:fldChar w:fldCharType="end"/>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ascii="仿宋" w:hAnsi="仿宋" w:eastAsia="仿宋"/>
          <w:color w:val="0000FF"/>
          <w:sz w:val="25"/>
          <w:u w:val="single"/>
        </w:rPr>
        <w:t>www.stats.gov.cn/tjsj/tjbz/201801/t20180103_1569357.html</w:t>
      </w:r>
      <w:r>
        <w:rPr>
          <w:rFonts w:ascii="仿宋" w:hAnsi="仿宋" w:eastAsia="仿宋"/>
          <w:color w:val="0000FF"/>
          <w:sz w:val="25"/>
          <w:u w:val="single"/>
        </w:rPr>
        <w:fldChar w:fldCharType="end"/>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ascii="仿宋" w:hAnsi="仿宋" w:eastAsia="仿宋"/>
          <w:color w:val="0000FF"/>
          <w:sz w:val="25"/>
          <w:u w:val="single"/>
        </w:rPr>
        <w:t>www.ccgp.gov.cn/zcfg/mof/201709/t20170904_8787205.shtml</w:t>
      </w:r>
      <w:r>
        <w:rPr>
          <w:rFonts w:ascii="仿宋" w:hAnsi="仿宋" w:eastAsia="仿宋"/>
          <w:color w:val="0000FF"/>
          <w:sz w:val="25"/>
          <w:u w:val="single"/>
        </w:rPr>
        <w:fldChar w:fldCharType="end"/>
      </w:r>
    </w:p>
    <w:p>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ascii="仿宋" w:hAnsi="仿宋" w:eastAsia="仿宋"/>
          <w:color w:val="0000FF"/>
          <w:sz w:val="25"/>
          <w:u w:val="single"/>
        </w:rPr>
        <w:t>www.ccgp.gov.cn/zcfg/mof/201406/t20140616_4619272.htm</w:t>
      </w:r>
      <w:r>
        <w:rPr>
          <w:rFonts w:ascii="仿宋" w:hAnsi="仿宋" w:eastAsia="仿宋"/>
          <w:color w:val="0000FF"/>
          <w:sz w:val="25"/>
          <w:u w:val="single"/>
        </w:rPr>
        <w:fldChar w:fldCharType="end"/>
      </w:r>
    </w:p>
    <w:p>
      <w:pPr>
        <w:snapToGrid w:val="0"/>
        <w:rPr>
          <w:rFonts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4、声明函具体填写要求：</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（1）声明是中小企业须填写《中小企业声明函》的以下内容：</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第一处，在“单位名称”下划线处如实填写采购人名称（</w:t>
      </w:r>
      <w:r>
        <w:rPr>
          <w:rFonts w:hint="eastAsia" w:ascii="仿宋" w:hAnsi="仿宋" w:eastAsia="仿宋"/>
          <w:color w:val="FF0000"/>
          <w:sz w:val="25"/>
          <w:szCs w:val="25"/>
          <w:lang w:eastAsia="zh-CN"/>
        </w:rPr>
        <w:t>新疆丰颢源工程管理咨询有限公司</w:t>
      </w:r>
      <w:r>
        <w:rPr>
          <w:rFonts w:hint="eastAsia" w:ascii="仿宋" w:hAnsi="仿宋" w:eastAsia="仿宋"/>
          <w:color w:val="FF0000"/>
          <w:sz w:val="25"/>
          <w:szCs w:val="25"/>
        </w:rPr>
        <w:t>不是本项目的采购人，而是组织实施机构）；</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第二处，在“项目名称”下划线处如实填写采购项目名称；</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第三处，在“标的名称”下划线处填写所采购标的（货物或服务）的具体名称；如果涉及多项标的（货物或服务）为同一企业制造或承接，“标的名称”下划线处可以如实填写多项标的名称；</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第四处，在“招标文件中明确的所属行业”下划线处填写采购标的对应的中小企业划分标准所属行业；</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（2）声明是残疾人福利性单位须填写《残疾人福利性单位声明函》的相关内容，具体参照以上《中小企业声明函》填写要求执行。</w:t>
      </w:r>
    </w:p>
    <w:p>
      <w:pPr>
        <w:snapToGrid w:val="0"/>
        <w:rPr>
          <w:rFonts w:ascii="仿宋" w:hAnsi="仿宋" w:eastAsia="仿宋"/>
          <w:color w:val="FF0000"/>
          <w:sz w:val="25"/>
          <w:szCs w:val="25"/>
        </w:rPr>
      </w:pPr>
      <w:r>
        <w:rPr>
          <w:rFonts w:hint="eastAsia" w:ascii="仿宋" w:hAnsi="仿宋" w:eastAsia="仿宋"/>
          <w:color w:val="FF0000"/>
          <w:sz w:val="25"/>
          <w:szCs w:val="25"/>
        </w:rPr>
        <w:t xml:space="preserve">    （3）声明是监狱企业须填写《监狱企业声明函》的三项内容（填写位置的字体已加粗），具体参照以上《中小企业声明函》填写要求执行。</w:t>
      </w:r>
    </w:p>
    <w:p>
      <w:pPr>
        <w:snapToGrid w:val="0"/>
        <w:rPr>
          <w:rFonts w:ascii="仿宋" w:hAnsi="仿宋" w:eastAsia="仿宋"/>
          <w:b/>
          <w:color w:val="FF0000"/>
          <w:sz w:val="25"/>
          <w:szCs w:val="25"/>
        </w:rPr>
      </w:pPr>
      <w:r>
        <w:rPr>
          <w:rFonts w:hint="eastAsia" w:ascii="仿宋" w:hAnsi="仿宋" w:eastAsia="仿宋"/>
          <w:b/>
          <w:color w:val="FF0000"/>
          <w:sz w:val="25"/>
          <w:szCs w:val="25"/>
        </w:rPr>
        <w:t xml:space="preserve">   </w:t>
      </w:r>
    </w:p>
    <w:p>
      <w:pPr>
        <w:jc w:val="center"/>
        <w:outlineLvl w:val="4"/>
        <w:rPr>
          <w:rFonts w:ascii="Arial" w:hAnsi="Arial" w:eastAsia="宋体"/>
          <w:b/>
        </w:rPr>
      </w:pP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中小企业声明函（货物）</w:t>
      </w:r>
    </w:p>
    <w:p>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郑重声明，根据《政府采购促进中小企业发展管理办法》（财库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号）的规定，本</w:t>
      </w:r>
      <w:r>
        <w:rPr>
          <w:rFonts w:hint="eastAsia" w:ascii="Arial" w:hAnsi="Arial" w:eastAsia="宋体"/>
          <w:szCs w:val="21"/>
        </w:rPr>
        <w:t>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采购活动，提供的货物全部由符合政策要求的中小企业制造。相关企业的具体情况如下：</w:t>
      </w:r>
    </w:p>
    <w:p>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ascii="Arial" w:hAnsi="Arial" w:eastAsia="宋体"/>
          <w:szCs w:val="21"/>
        </w:rPr>
        <w:t>，属于</w:t>
      </w:r>
      <w:r>
        <w:rPr>
          <w:rFonts w:ascii="Arial" w:hAnsi="Arial" w:eastAsia="宋体"/>
          <w:b/>
          <w:bCs/>
          <w:szCs w:val="21"/>
          <w:u w:val="single"/>
        </w:rPr>
        <w:t>（</w:t>
      </w:r>
      <w:r>
        <w:rPr>
          <w:rFonts w:hint="eastAsia" w:ascii="Arial" w:hAnsi="Arial" w:eastAsia="宋体"/>
          <w:b/>
          <w:bCs/>
          <w:szCs w:val="21"/>
          <w:u w:val="single"/>
        </w:rPr>
        <w:t>招标</w:t>
      </w:r>
      <w:r>
        <w:rPr>
          <w:rFonts w:ascii="Arial" w:hAnsi="Arial" w:eastAsia="宋体"/>
          <w:b/>
          <w:bCs/>
          <w:szCs w:val="21"/>
          <w:u w:val="single"/>
        </w:rPr>
        <w:t>文件中明确的所属行业）</w:t>
      </w:r>
      <w:r>
        <w:rPr>
          <w:rFonts w:ascii="Arial" w:hAnsi="Arial" w:eastAsia="宋体"/>
          <w:szCs w:val="21"/>
        </w:rPr>
        <w:t>行业；制造商为</w:t>
      </w:r>
      <w:r>
        <w:rPr>
          <w:rFonts w:ascii="Arial" w:hAnsi="Arial" w:eastAsia="宋体"/>
          <w:b/>
          <w:bCs/>
          <w:szCs w:val="21"/>
          <w:u w:val="single"/>
        </w:rPr>
        <w:t>（企业名称）</w:t>
      </w:r>
      <w:r>
        <w:rPr>
          <w:rFonts w:ascii="Arial" w:hAnsi="Arial" w:eastAsia="宋体"/>
          <w:szCs w:val="21"/>
        </w:rPr>
        <w:t>，从业人员人，营业收入为万元，资产总额为万元，属于</w:t>
      </w:r>
      <w:r>
        <w:rPr>
          <w:rFonts w:ascii="Arial" w:hAnsi="Arial" w:eastAsia="宋体"/>
          <w:b/>
          <w:bCs/>
          <w:szCs w:val="21"/>
          <w:u w:val="single"/>
        </w:rPr>
        <w:t>（中型企业、小型企业、微型企业）</w:t>
      </w:r>
      <w:r>
        <w:rPr>
          <w:rFonts w:ascii="Arial" w:hAnsi="Arial" w:eastAsia="宋体"/>
          <w:szCs w:val="21"/>
        </w:rPr>
        <w:t>；</w:t>
      </w:r>
    </w:p>
    <w:p>
      <w:pPr>
        <w:spacing w:after="60" w:afterLines="25" w:line="300" w:lineRule="auto"/>
        <w:ind w:firstLine="480" w:firstLineChars="200"/>
        <w:rPr>
          <w:rFonts w:ascii="Arial" w:hAnsi="Arial" w:eastAsia="宋体"/>
          <w:szCs w:val="21"/>
          <w:u w:val="single"/>
        </w:rPr>
      </w:pPr>
      <w:r>
        <w:rPr>
          <w:rFonts w:ascii="Arial" w:hAnsi="Arial" w:eastAsia="宋体"/>
          <w:szCs w:val="21"/>
        </w:rPr>
        <w:t>2.</w:t>
      </w:r>
      <w:r>
        <w:rPr>
          <w:rFonts w:ascii="Arial" w:hAnsi="Arial" w:eastAsia="宋体"/>
          <w:b/>
          <w:bCs/>
          <w:szCs w:val="21"/>
          <w:u w:val="single"/>
        </w:rPr>
        <w:t>（标的名称）</w:t>
      </w:r>
      <w:r>
        <w:rPr>
          <w:rFonts w:ascii="Arial" w:hAnsi="Arial" w:eastAsia="宋体"/>
          <w:szCs w:val="21"/>
        </w:rPr>
        <w:t>，属于</w:t>
      </w:r>
      <w:r>
        <w:rPr>
          <w:rFonts w:ascii="Arial" w:hAnsi="Arial" w:eastAsia="宋体"/>
          <w:b/>
          <w:bCs/>
          <w:szCs w:val="21"/>
          <w:u w:val="single"/>
        </w:rPr>
        <w:t>（</w:t>
      </w:r>
      <w:r>
        <w:rPr>
          <w:rFonts w:hint="eastAsia" w:ascii="Arial" w:hAnsi="Arial" w:eastAsia="宋体"/>
          <w:b/>
          <w:bCs/>
          <w:szCs w:val="21"/>
          <w:u w:val="single"/>
        </w:rPr>
        <w:t>招标</w:t>
      </w:r>
      <w:r>
        <w:rPr>
          <w:rFonts w:ascii="Arial" w:hAnsi="Arial" w:eastAsia="宋体"/>
          <w:b/>
          <w:bCs/>
          <w:szCs w:val="21"/>
          <w:u w:val="single"/>
        </w:rPr>
        <w:t>文件中明确的所属行业）</w:t>
      </w:r>
      <w:r>
        <w:rPr>
          <w:rFonts w:ascii="Arial" w:hAnsi="Arial" w:eastAsia="宋体"/>
          <w:szCs w:val="21"/>
        </w:rPr>
        <w:t>行业；制造商为</w:t>
      </w:r>
      <w:r>
        <w:rPr>
          <w:rFonts w:ascii="Arial" w:hAnsi="Arial" w:eastAsia="宋体"/>
          <w:b/>
          <w:bCs/>
          <w:szCs w:val="21"/>
          <w:u w:val="single"/>
        </w:rPr>
        <w:t>（企业名称）</w:t>
      </w:r>
      <w:r>
        <w:rPr>
          <w:rFonts w:ascii="Arial" w:hAnsi="Arial" w:eastAsia="宋体"/>
          <w:szCs w:val="21"/>
        </w:rPr>
        <w:t>，从业人员人，营业收入为万元，资产总额为万元，属于</w:t>
      </w:r>
      <w:r>
        <w:rPr>
          <w:rFonts w:ascii="Arial" w:hAnsi="Arial" w:eastAsia="宋体"/>
          <w:b/>
          <w:bCs/>
          <w:szCs w:val="21"/>
          <w:u w:val="single"/>
        </w:rPr>
        <w:t>（中型企业、小型企业、微型企业）</w:t>
      </w:r>
      <w:r>
        <w:rPr>
          <w:rFonts w:hint="eastAsia" w:ascii="Arial" w:hAnsi="Arial" w:eastAsia="宋体"/>
          <w:szCs w:val="21"/>
        </w:rPr>
        <w:t>；</w:t>
      </w:r>
    </w:p>
    <w:p>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pPr>
        <w:spacing w:after="60" w:afterLines="25" w:line="300" w:lineRule="auto"/>
        <w:ind w:firstLine="480" w:firstLineChars="200"/>
        <w:rPr>
          <w:rFonts w:ascii="Arial" w:hAnsi="Arial" w:eastAsia="宋体"/>
          <w:szCs w:val="21"/>
        </w:rPr>
      </w:pPr>
      <w:r>
        <w:rPr>
          <w:rFonts w:ascii="Arial" w:hAnsi="Arial" w:eastAsia="宋体"/>
          <w:szCs w:val="21"/>
        </w:rPr>
        <w:t>以上企业，不属于大企业的分支机构，不存在控股股东为大企业的情形，也不存在与大企业的负责人为同一人的情形。</w:t>
      </w:r>
    </w:p>
    <w:p>
      <w:pPr>
        <w:spacing w:after="60" w:afterLines="25" w:line="300" w:lineRule="auto"/>
        <w:ind w:firstLine="480" w:firstLineChars="200"/>
        <w:rPr>
          <w:rFonts w:hint="eastAsia" w:ascii="Arial" w:hAnsi="Arial" w:eastAsia="宋体"/>
          <w:szCs w:val="21"/>
        </w:rPr>
      </w:pPr>
      <w:bookmarkStart w:id="14" w:name="_Hlk73562203"/>
      <w:r>
        <w:rPr>
          <w:rFonts w:hint="eastAsia" w:ascii="Arial" w:hAnsi="Arial" w:eastAsia="宋体"/>
          <w:szCs w:val="21"/>
        </w:rPr>
        <w:t>本</w:t>
      </w:r>
      <w:r>
        <w:rPr>
          <w:rFonts w:ascii="Arial" w:hAnsi="Arial" w:eastAsia="宋体"/>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Arial" w:hAnsi="Arial" w:eastAsia="宋体"/>
          <w:szCs w:val="21"/>
        </w:rPr>
        <w:t>投标人</w:t>
      </w:r>
      <w:r>
        <w:rPr>
          <w:rFonts w:ascii="Arial" w:hAnsi="Arial" w:eastAsia="宋体"/>
          <w:szCs w:val="21"/>
        </w:rPr>
        <w:t>按照本办法规定提供声明函内容不实的，属于提供虚假材料谋取中标，依照《政府采购法》等政府采购有关法律法规规定追究相应责任</w:t>
      </w:r>
      <w:r>
        <w:rPr>
          <w:rFonts w:hint="eastAsia" w:ascii="Arial" w:hAnsi="Arial" w:eastAsia="宋体"/>
          <w:szCs w:val="21"/>
        </w:rPr>
        <w:t>。</w:t>
      </w:r>
      <w:bookmarkEnd w:id="14"/>
    </w:p>
    <w:p>
      <w:pPr>
        <w:pStyle w:val="25"/>
        <w:numPr>
          <w:ilvl w:val="0"/>
          <w:numId w:val="0"/>
        </w:numPr>
        <w:ind w:left="3600" w:leftChars="0"/>
        <w:jc w:val="both"/>
      </w:pPr>
    </w:p>
    <w:p>
      <w:pPr>
        <w:spacing w:after="60" w:afterLines="25" w:line="300" w:lineRule="auto"/>
        <w:ind w:firstLine="720" w:firstLineChars="300"/>
        <w:rPr>
          <w:rFonts w:ascii="Arial" w:hAnsi="Arial" w:eastAsia="宋体"/>
          <w:szCs w:val="21"/>
        </w:rPr>
      </w:pPr>
    </w:p>
    <w:p>
      <w:pPr>
        <w:spacing w:after="60" w:afterLines="25" w:line="300" w:lineRule="auto"/>
        <w:ind w:right="420" w:firstLine="3600" w:firstLineChars="1500"/>
        <w:rPr>
          <w:rFonts w:ascii="Arial" w:hAnsi="Arial" w:eastAsia="宋体"/>
          <w:szCs w:val="21"/>
        </w:rPr>
      </w:pPr>
      <w:r>
        <w:rPr>
          <w:rFonts w:hint="eastAsia" w:ascii="Arial" w:hAnsi="Arial" w:eastAsia="宋体"/>
          <w:szCs w:val="21"/>
        </w:rPr>
        <w:t>投标人（投标单位）：</w:t>
      </w:r>
    </w:p>
    <w:p>
      <w:pPr>
        <w:spacing w:after="60" w:afterLines="25" w:line="300" w:lineRule="auto"/>
        <w:ind w:right="420" w:firstLine="5040" w:firstLineChars="2100"/>
        <w:rPr>
          <w:rFonts w:ascii="Arial" w:hAnsi="Arial" w:eastAsia="宋体"/>
          <w:szCs w:val="21"/>
        </w:rPr>
      </w:pPr>
      <w:r>
        <w:rPr>
          <w:rFonts w:hint="eastAsia" w:ascii="Arial" w:hAnsi="Arial" w:eastAsia="宋体"/>
          <w:szCs w:val="21"/>
        </w:rPr>
        <w:t>日期：</w:t>
      </w:r>
    </w:p>
    <w:p>
      <w:pPr>
        <w:spacing w:after="60" w:afterLines="25" w:line="300" w:lineRule="auto"/>
        <w:ind w:right="420" w:firstLine="6385" w:firstLineChars="2650"/>
        <w:rPr>
          <w:rFonts w:ascii="Arial" w:hAnsi="Arial" w:eastAsia="宋体"/>
          <w:b/>
          <w:szCs w:val="21"/>
        </w:rPr>
      </w:pPr>
    </w:p>
    <w:p>
      <w:pPr>
        <w:spacing w:after="60" w:afterLines="25" w:line="300" w:lineRule="auto"/>
        <w:ind w:right="420" w:firstLine="6385" w:firstLineChars="2650"/>
        <w:rPr>
          <w:rFonts w:ascii="Arial" w:hAnsi="Arial" w:eastAsia="宋体"/>
          <w:b/>
          <w:szCs w:val="21"/>
        </w:rPr>
      </w:pPr>
    </w:p>
    <w:p>
      <w:pPr>
        <w:spacing w:after="60" w:afterLines="25" w:line="300" w:lineRule="auto"/>
        <w:ind w:firstLine="482" w:firstLineChars="200"/>
        <w:rPr>
          <w:rFonts w:ascii="宋体" w:hAnsi="宋体" w:eastAsia="宋体"/>
          <w:color w:val="FF0000"/>
          <w:highlight w:val="yellow"/>
        </w:rPr>
      </w:pPr>
      <w:r>
        <w:rPr>
          <w:rFonts w:hint="eastAsia" w:ascii="宋体" w:hAnsi="宋体" w:eastAsia="宋体"/>
          <w:b/>
          <w:color w:val="FF0000"/>
          <w:highlight w:val="yellow"/>
        </w:rPr>
        <w:t>说明：</w:t>
      </w:r>
      <w:r>
        <w:rPr>
          <w:rFonts w:hint="eastAsia" w:ascii="宋体" w:hAnsi="宋体" w:eastAsia="宋体"/>
          <w:color w:val="FF0000"/>
          <w:highlight w:val="yellow"/>
        </w:rPr>
        <w:t>对中小企业的认定，由货物制造商或者工程、服务供应商注册登记所在地的县级以上人民政府中小企业主管部门负责。</w:t>
      </w:r>
      <w:r>
        <w:rPr>
          <w:rFonts w:hint="eastAsia" w:ascii="宋体" w:hAnsi="宋体" w:eastAsia="宋体"/>
          <w:color w:val="0000FF"/>
          <w:highlight w:val="yellow"/>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ascii="宋体" w:hAnsi="宋体" w:eastAsia="宋体"/>
          <w:b/>
        </w:rPr>
      </w:pPr>
      <w:r>
        <w:br w:type="page"/>
      </w:r>
    </w:p>
    <w:p>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spacing w:after="60" w:afterLines="25" w:line="300" w:lineRule="auto"/>
        <w:ind w:firstLine="480" w:firstLineChars="200"/>
        <w:rPr>
          <w:rFonts w:ascii="宋体" w:hAnsi="宋体"/>
          <w:szCs w:val="21"/>
        </w:rPr>
      </w:pPr>
      <w:r>
        <w:rPr>
          <w:rFonts w:ascii="宋体" w:hAnsi="宋体"/>
          <w:szCs w:val="21"/>
        </w:rPr>
        <w:t xml:space="preserve">…… </w:t>
      </w:r>
    </w:p>
    <w:p>
      <w:pPr>
        <w:spacing w:after="60" w:afterLines="25" w:line="300" w:lineRule="auto"/>
        <w:ind w:firstLine="480" w:firstLineChars="200"/>
        <w:rPr>
          <w:rFonts w:ascii="宋体" w:hAnsi="宋体"/>
          <w:szCs w:val="21"/>
        </w:rPr>
      </w:pPr>
      <w:bookmarkStart w:id="15"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5"/>
    </w:p>
    <w:p>
      <w:pPr>
        <w:spacing w:after="60" w:afterLines="25" w:line="300" w:lineRule="auto"/>
        <w:jc w:val="right"/>
        <w:rPr>
          <w:rFonts w:ascii="宋体" w:hAnsi="宋体"/>
          <w:szCs w:val="21"/>
        </w:rPr>
      </w:pPr>
    </w:p>
    <w:p>
      <w:pPr>
        <w:spacing w:after="60" w:afterLines="25" w:line="300" w:lineRule="auto"/>
        <w:ind w:right="420" w:firstLine="3840" w:firstLineChars="1600"/>
        <w:rPr>
          <w:rFonts w:ascii="宋体" w:hAnsi="宋体"/>
          <w:szCs w:val="21"/>
        </w:rPr>
      </w:pPr>
      <w:r>
        <w:rPr>
          <w:rFonts w:hint="eastAsia" w:ascii="宋体" w:hAnsi="宋体"/>
          <w:szCs w:val="21"/>
        </w:rPr>
        <w:t>投标人（投标单位）：</w:t>
      </w:r>
    </w:p>
    <w:p>
      <w:pPr>
        <w:spacing w:after="60" w:afterLines="25" w:line="300" w:lineRule="auto"/>
        <w:ind w:right="420" w:firstLine="5280" w:firstLineChars="2200"/>
        <w:rPr>
          <w:rFonts w:ascii="宋体" w:hAnsi="宋体"/>
          <w:szCs w:val="21"/>
        </w:rPr>
      </w:pPr>
      <w:r>
        <w:rPr>
          <w:rFonts w:hint="eastAsia" w:ascii="宋体" w:hAnsi="宋体"/>
          <w:szCs w:val="21"/>
        </w:rPr>
        <w:t>日期：</w:t>
      </w:r>
    </w:p>
    <w:p>
      <w:pPr>
        <w:spacing w:after="60" w:afterLines="25" w:line="300" w:lineRule="auto"/>
        <w:jc w:val="right"/>
        <w:rPr>
          <w:rFonts w:ascii="宋体" w:hAnsi="宋体"/>
          <w:b/>
          <w:color w:val="FF0000"/>
          <w:sz w:val="28"/>
          <w:szCs w:val="28"/>
        </w:rPr>
      </w:pPr>
    </w:p>
    <w:p>
      <w:pPr>
        <w:spacing w:after="60" w:afterLines="25" w:line="300" w:lineRule="auto"/>
        <w:jc w:val="right"/>
        <w:rPr>
          <w:rFonts w:ascii="Arial" w:hAnsi="Arial" w:eastAsia="宋体"/>
          <w:b/>
          <w:color w:val="FF0000"/>
          <w:sz w:val="28"/>
          <w:szCs w:val="28"/>
        </w:rPr>
      </w:pPr>
    </w:p>
    <w:p>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outlineLvl w:val="4"/>
        <w:rPr>
          <w:rFonts w:hint="eastAsia"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pPr>
        <w:pStyle w:val="25"/>
        <w:numPr>
          <w:ilvl w:val="0"/>
          <w:numId w:val="0"/>
        </w:numPr>
        <w:ind w:left="3600" w:leftChars="0"/>
        <w:jc w:val="both"/>
      </w:pPr>
    </w:p>
    <w:p>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pPr>
        <w:spacing w:after="60" w:afterLines="25" w:line="300" w:lineRule="auto"/>
        <w:ind w:firstLine="482" w:firstLineChars="200"/>
        <w:rPr>
          <w:rFonts w:ascii="Arial" w:hAnsi="Arial" w:eastAsia="宋体"/>
          <w:b/>
          <w:color w:val="FF0000"/>
          <w:szCs w:val="21"/>
        </w:rPr>
      </w:pPr>
    </w:p>
    <w:p>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pPr>
        <w:spacing w:after="60" w:afterLines="25" w:line="300" w:lineRule="auto"/>
        <w:ind w:firstLine="482" w:firstLineChars="200"/>
        <w:rPr>
          <w:rFonts w:ascii="Arial" w:hAnsi="Arial" w:eastAsia="宋体"/>
          <w:b/>
          <w:color w:val="FF0000"/>
          <w:szCs w:val="21"/>
        </w:rPr>
      </w:pPr>
    </w:p>
    <w:p>
      <w:pPr>
        <w:spacing w:after="60" w:afterLines="25" w:line="300" w:lineRule="auto"/>
        <w:ind w:firstLine="482" w:firstLineChars="200"/>
        <w:rPr>
          <w:rFonts w:ascii="Arial" w:hAnsi="Arial" w:eastAsia="宋体"/>
          <w:b/>
          <w:color w:val="FF0000"/>
          <w:szCs w:val="21"/>
        </w:rPr>
      </w:pPr>
    </w:p>
    <w:p>
      <w:pPr>
        <w:wordWrap w:val="0"/>
        <w:spacing w:after="60" w:afterLines="25" w:line="300" w:lineRule="auto"/>
        <w:ind w:right="420" w:firstLine="4560" w:firstLineChars="1900"/>
        <w:jc w:val="both"/>
        <w:rPr>
          <w:rFonts w:ascii="Arial" w:hAnsi="Arial" w:eastAsia="宋体"/>
          <w:szCs w:val="21"/>
        </w:rPr>
      </w:pPr>
      <w:r>
        <w:rPr>
          <w:rFonts w:hint="eastAsia" w:ascii="Arial" w:hAnsi="Arial" w:eastAsia="宋体"/>
          <w:szCs w:val="21"/>
        </w:rPr>
        <w:t>投标人（投标单位）：</w:t>
      </w:r>
    </w:p>
    <w:p>
      <w:pPr>
        <w:wordWrap w:val="0"/>
        <w:spacing w:after="60" w:afterLines="25" w:line="300" w:lineRule="auto"/>
        <w:ind w:right="420" w:firstLine="6000" w:firstLineChars="2500"/>
        <w:jc w:val="both"/>
        <w:rPr>
          <w:rFonts w:ascii="Arial" w:hAnsi="Arial" w:eastAsia="宋体"/>
          <w:szCs w:val="21"/>
        </w:rPr>
      </w:pPr>
      <w:r>
        <w:rPr>
          <w:rFonts w:hint="eastAsia" w:ascii="Arial" w:hAnsi="Arial" w:eastAsia="宋体"/>
          <w:szCs w:val="21"/>
        </w:rPr>
        <w:t>日期：</w:t>
      </w:r>
    </w:p>
    <w:p>
      <w:pPr>
        <w:rPr>
          <w:rFonts w:ascii="宋体" w:hAnsi="宋体" w:eastAsia="宋体"/>
          <w:b/>
        </w:rPr>
      </w:pPr>
      <w:r>
        <w:br w:type="page"/>
      </w:r>
    </w:p>
    <w:p>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pPr>
        <w:spacing w:after="60" w:afterLines="25" w:line="300" w:lineRule="auto"/>
        <w:ind w:firstLine="480" w:firstLineChars="200"/>
        <w:rPr>
          <w:rFonts w:ascii="宋体" w:hAnsi="宋体" w:eastAsia="宋体"/>
          <w:szCs w:val="21"/>
        </w:rPr>
      </w:pPr>
      <w:r>
        <w:rPr>
          <w:rFonts w:hint="eastAsia" w:ascii="宋体" w:hAnsi="宋体" w:eastAsia="宋体"/>
          <w:szCs w:val="21"/>
          <w:u w:val="single"/>
        </w:rPr>
        <w:t xml:space="preserve">  （供应商名称、供应商名称）  </w:t>
      </w:r>
      <w:r>
        <w:rPr>
          <w:rFonts w:hint="eastAsia" w:ascii="宋体" w:hAnsi="宋体" w:eastAsia="宋体"/>
          <w:szCs w:val="21"/>
        </w:rPr>
        <w:t>共同组成联合体（详见联合体协议）。本联合体</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w:t>
      </w:r>
      <w:r>
        <w:rPr>
          <w:rFonts w:hint="eastAsia" w:ascii="Arial" w:hAnsi="Arial" w:eastAsia="宋体"/>
          <w:szCs w:val="21"/>
        </w:rPr>
        <w:t>，</w:t>
      </w:r>
      <w:r>
        <w:rPr>
          <w:rFonts w:hint="eastAsia" w:ascii="宋体" w:hAnsi="宋体" w:eastAsia="宋体"/>
          <w:szCs w:val="21"/>
        </w:rPr>
        <w:t>郑重声明：</w:t>
      </w:r>
    </w:p>
    <w:p>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ascii="Arial" w:hAnsi="Arial" w:eastAsia="宋体"/>
          <w:szCs w:val="21"/>
        </w:rPr>
        <w:t>，属于</w:t>
      </w:r>
      <w:r>
        <w:rPr>
          <w:rFonts w:ascii="Arial" w:hAnsi="Arial" w:eastAsia="宋体"/>
          <w:b/>
          <w:bCs/>
          <w:szCs w:val="21"/>
          <w:u w:val="single"/>
        </w:rPr>
        <w:t>（</w:t>
      </w:r>
      <w:r>
        <w:rPr>
          <w:rFonts w:hint="eastAsia" w:ascii="Arial" w:hAnsi="Arial" w:eastAsia="宋体"/>
          <w:b/>
          <w:bCs/>
          <w:szCs w:val="21"/>
          <w:u w:val="single"/>
        </w:rPr>
        <w:t>招标</w:t>
      </w:r>
      <w:r>
        <w:rPr>
          <w:rFonts w:ascii="Arial" w:hAnsi="Arial" w:eastAsia="宋体"/>
          <w:b/>
          <w:bCs/>
          <w:szCs w:val="21"/>
          <w:u w:val="single"/>
        </w:rPr>
        <w:t>文件中明确的所属行业）</w:t>
      </w:r>
      <w:r>
        <w:rPr>
          <w:rFonts w:ascii="Arial" w:hAnsi="Arial" w:eastAsia="宋体"/>
          <w:szCs w:val="21"/>
        </w:rPr>
        <w:t>行业；制造商为</w:t>
      </w:r>
      <w:r>
        <w:rPr>
          <w:rFonts w:ascii="Arial" w:hAnsi="Arial" w:eastAsia="宋体"/>
          <w:b/>
          <w:bCs/>
          <w:szCs w:val="21"/>
          <w:u w:val="single"/>
        </w:rPr>
        <w:t>（企业名称）</w:t>
      </w:r>
      <w:r>
        <w:rPr>
          <w:rFonts w:ascii="Arial" w:hAnsi="Arial" w:eastAsia="宋体"/>
          <w:szCs w:val="21"/>
        </w:rPr>
        <w:t>，从业人员人，营业收入为万元，资产总额为万元，属于</w:t>
      </w:r>
      <w:r>
        <w:rPr>
          <w:rFonts w:ascii="Arial" w:hAnsi="Arial" w:eastAsia="宋体"/>
          <w:b/>
          <w:bCs/>
          <w:szCs w:val="21"/>
          <w:u w:val="single"/>
        </w:rPr>
        <w:t>（</w:t>
      </w:r>
      <w:r>
        <w:rPr>
          <w:rFonts w:hint="eastAsia" w:ascii="Arial" w:hAnsi="Arial" w:eastAsia="宋体"/>
          <w:b/>
          <w:bCs/>
          <w:szCs w:val="21"/>
          <w:u w:val="single"/>
        </w:rPr>
        <w:t>小型企业、微型企业、监狱企业、残疾人福利性单位</w:t>
      </w:r>
      <w:r>
        <w:rPr>
          <w:rFonts w:ascii="Arial" w:hAnsi="Arial" w:eastAsia="宋体"/>
          <w:b/>
          <w:bCs/>
          <w:szCs w:val="21"/>
          <w:u w:val="single"/>
        </w:rPr>
        <w:t>）</w:t>
      </w:r>
      <w:r>
        <w:rPr>
          <w:rFonts w:ascii="Arial" w:hAnsi="Arial" w:eastAsia="宋体"/>
          <w:szCs w:val="21"/>
        </w:rPr>
        <w:t>；</w:t>
      </w:r>
    </w:p>
    <w:p>
      <w:pPr>
        <w:spacing w:after="60" w:afterLines="25" w:line="300" w:lineRule="auto"/>
        <w:ind w:firstLine="480" w:firstLineChars="200"/>
        <w:rPr>
          <w:rFonts w:ascii="Arial" w:hAnsi="Arial" w:eastAsia="宋体"/>
          <w:szCs w:val="21"/>
          <w:u w:val="single"/>
        </w:rPr>
      </w:pPr>
      <w:r>
        <w:rPr>
          <w:rFonts w:ascii="Arial" w:hAnsi="Arial" w:eastAsia="宋体"/>
          <w:szCs w:val="21"/>
        </w:rPr>
        <w:t>2.</w:t>
      </w:r>
      <w:r>
        <w:rPr>
          <w:rFonts w:ascii="Arial" w:hAnsi="Arial" w:eastAsia="宋体"/>
          <w:b/>
          <w:bCs/>
          <w:szCs w:val="21"/>
          <w:u w:val="single"/>
        </w:rPr>
        <w:t>（标的名称）</w:t>
      </w:r>
      <w:r>
        <w:rPr>
          <w:rFonts w:ascii="Arial" w:hAnsi="Arial" w:eastAsia="宋体"/>
          <w:szCs w:val="21"/>
        </w:rPr>
        <w:t>，属于</w:t>
      </w:r>
      <w:r>
        <w:rPr>
          <w:rFonts w:ascii="Arial" w:hAnsi="Arial" w:eastAsia="宋体"/>
          <w:b/>
          <w:bCs/>
          <w:szCs w:val="21"/>
          <w:u w:val="single"/>
        </w:rPr>
        <w:t>（</w:t>
      </w:r>
      <w:r>
        <w:rPr>
          <w:rFonts w:hint="eastAsia" w:ascii="Arial" w:hAnsi="Arial" w:eastAsia="宋体"/>
          <w:b/>
          <w:bCs/>
          <w:szCs w:val="21"/>
          <w:u w:val="single"/>
        </w:rPr>
        <w:t>招标</w:t>
      </w:r>
      <w:r>
        <w:rPr>
          <w:rFonts w:ascii="Arial" w:hAnsi="Arial" w:eastAsia="宋体"/>
          <w:b/>
          <w:bCs/>
          <w:szCs w:val="21"/>
          <w:u w:val="single"/>
        </w:rPr>
        <w:t>文件中明确的所属行业）</w:t>
      </w:r>
      <w:r>
        <w:rPr>
          <w:rFonts w:ascii="Arial" w:hAnsi="Arial" w:eastAsia="宋体"/>
          <w:szCs w:val="21"/>
        </w:rPr>
        <w:t>行业；制造商为</w:t>
      </w:r>
      <w:r>
        <w:rPr>
          <w:rFonts w:ascii="Arial" w:hAnsi="Arial" w:eastAsia="宋体"/>
          <w:b/>
          <w:bCs/>
          <w:szCs w:val="21"/>
          <w:u w:val="single"/>
        </w:rPr>
        <w:t>（企业名称）</w:t>
      </w:r>
      <w:r>
        <w:rPr>
          <w:rFonts w:ascii="Arial" w:hAnsi="Arial" w:eastAsia="宋体"/>
          <w:szCs w:val="21"/>
        </w:rPr>
        <w:t>，从业人员人，营业收入为万元，资产总额为万元，属于</w:t>
      </w:r>
      <w:r>
        <w:rPr>
          <w:rFonts w:ascii="Arial" w:hAnsi="Arial" w:eastAsia="宋体"/>
          <w:b/>
          <w:bCs/>
          <w:szCs w:val="21"/>
          <w:u w:val="single"/>
        </w:rPr>
        <w:t>（</w:t>
      </w:r>
      <w:r>
        <w:rPr>
          <w:rFonts w:hint="eastAsia" w:ascii="Arial" w:hAnsi="Arial" w:eastAsia="宋体"/>
          <w:b/>
          <w:bCs/>
          <w:szCs w:val="21"/>
          <w:u w:val="single"/>
        </w:rPr>
        <w:t>小型企业、微型企业、监狱企业、残疾人福利性单位</w:t>
      </w:r>
      <w:r>
        <w:rPr>
          <w:rFonts w:ascii="Arial" w:hAnsi="Arial" w:eastAsia="宋体"/>
          <w:b/>
          <w:bCs/>
          <w:szCs w:val="21"/>
          <w:u w:val="single"/>
        </w:rPr>
        <w:t>）</w:t>
      </w:r>
      <w:r>
        <w:rPr>
          <w:rFonts w:hint="eastAsia" w:ascii="Arial" w:hAnsi="Arial" w:eastAsia="宋体"/>
          <w:szCs w:val="21"/>
        </w:rPr>
        <w:t>；</w:t>
      </w:r>
    </w:p>
    <w:p>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pPr>
        <w:spacing w:after="60" w:afterLines="25" w:line="300" w:lineRule="auto"/>
        <w:ind w:firstLine="480" w:firstLineChars="200"/>
        <w:rPr>
          <w:rFonts w:ascii="宋体" w:hAnsi="宋体" w:eastAsia="宋体"/>
          <w:szCs w:val="21"/>
        </w:rPr>
      </w:pPr>
      <w:r>
        <w:rPr>
          <w:rFonts w:hint="eastAsia" w:ascii="宋体" w:hAnsi="宋体" w:eastAsia="宋体"/>
          <w:szCs w:val="21"/>
        </w:rPr>
        <w:t>上述优惠主体均符合《</w:t>
      </w:r>
      <w:r>
        <w:rPr>
          <w:rFonts w:ascii="宋体" w:hAnsi="宋体" w:eastAsia="宋体"/>
          <w:szCs w:val="21"/>
        </w:rPr>
        <w:t>政府采购促进中小企业发展管理办法</w:t>
      </w:r>
      <w:r>
        <w:rPr>
          <w:rFonts w:hint="eastAsia" w:ascii="宋体" w:hAnsi="宋体" w:eastAsia="宋体"/>
          <w:szCs w:val="21"/>
        </w:rPr>
        <w:t>》（</w:t>
      </w:r>
      <w:r>
        <w:rPr>
          <w:rFonts w:ascii="宋体" w:hAnsi="宋体" w:eastAsia="宋体"/>
          <w:szCs w:val="21"/>
        </w:rPr>
        <w:t>财库〔2020〕46号</w:t>
      </w:r>
      <w:r>
        <w:rPr>
          <w:rFonts w:hint="eastAsia" w:ascii="宋体" w:hAnsi="宋体" w:eastAsia="宋体"/>
          <w:szCs w:val="21"/>
        </w:rPr>
        <w:t>）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szCs w:val="21"/>
          <w:u w:val="single"/>
        </w:rPr>
        <w:t>_____</w:t>
      </w:r>
      <w:r>
        <w:rPr>
          <w:rFonts w:hint="eastAsia" w:ascii="宋体" w:hAnsi="宋体" w:eastAsia="宋体"/>
          <w:szCs w:val="21"/>
        </w:rPr>
        <w:t>%。</w:t>
      </w:r>
    </w:p>
    <w:p>
      <w:pPr>
        <w:spacing w:after="60" w:afterLines="25" w:line="300" w:lineRule="auto"/>
        <w:ind w:firstLine="480" w:firstLineChars="200"/>
        <w:rPr>
          <w:rFonts w:ascii="宋体" w:hAnsi="宋体" w:eastAsia="宋体"/>
          <w:szCs w:val="21"/>
        </w:rPr>
      </w:pPr>
      <w:r>
        <w:rPr>
          <w:rFonts w:hint="eastAsia" w:ascii="宋体" w:hAnsi="宋体" w:eastAsia="宋体"/>
          <w:szCs w:val="21"/>
        </w:rPr>
        <w:t>本联合体对上述声明的真实性负责。如有虚假，将依法承担相应责任。</w:t>
      </w:r>
    </w:p>
    <w:p>
      <w:pPr>
        <w:spacing w:after="60" w:afterLines="25" w:line="300" w:lineRule="auto"/>
        <w:rPr>
          <w:rFonts w:ascii="宋体" w:hAnsi="宋体" w:eastAsia="宋体"/>
          <w:szCs w:val="21"/>
        </w:rPr>
      </w:pPr>
    </w:p>
    <w:p>
      <w:pPr>
        <w:spacing w:after="60" w:afterLines="25" w:line="300" w:lineRule="auto"/>
        <w:rPr>
          <w:rFonts w:ascii="宋体" w:hAnsi="宋体" w:eastAsia="宋体"/>
          <w:szCs w:val="21"/>
        </w:rPr>
      </w:pPr>
      <w:r>
        <w:rPr>
          <w:rFonts w:hint="eastAsia" w:ascii="宋体" w:hAnsi="宋体" w:eastAsia="宋体"/>
          <w:szCs w:val="21"/>
        </w:rPr>
        <w:t xml:space="preserve">供应商名称：                              供应商名称： </w:t>
      </w:r>
    </w:p>
    <w:p>
      <w:pPr>
        <w:spacing w:after="60" w:afterLines="25" w:line="300" w:lineRule="auto"/>
        <w:rPr>
          <w:rFonts w:ascii="宋体" w:hAnsi="宋体" w:eastAsia="宋体"/>
          <w:szCs w:val="21"/>
        </w:rPr>
      </w:pPr>
      <w:r>
        <w:rPr>
          <w:rFonts w:hint="eastAsia" w:ascii="宋体" w:hAnsi="宋体" w:eastAsia="宋体"/>
          <w:szCs w:val="21"/>
        </w:rPr>
        <w:t xml:space="preserve">日期：                                    日期： </w:t>
      </w:r>
    </w:p>
    <w:p>
      <w:pPr>
        <w:spacing w:after="60" w:afterLines="25" w:line="300" w:lineRule="auto"/>
        <w:rPr>
          <w:rFonts w:ascii="宋体" w:hAnsi="宋体" w:eastAsia="宋体"/>
          <w:szCs w:val="21"/>
        </w:rPr>
      </w:pPr>
    </w:p>
    <w:p>
      <w:pPr>
        <w:spacing w:after="60" w:afterLines="25" w:line="300" w:lineRule="auto"/>
        <w:rPr>
          <w:rFonts w:ascii="宋体" w:hAnsi="宋体" w:eastAsia="宋体"/>
          <w:szCs w:val="21"/>
        </w:rPr>
      </w:pPr>
      <w:r>
        <w:rPr>
          <w:rFonts w:hint="eastAsia" w:ascii="宋体" w:hAnsi="宋体" w:eastAsia="宋体"/>
          <w:szCs w:val="21"/>
        </w:rPr>
        <w:t xml:space="preserve">供应商名称：       </w:t>
      </w:r>
    </w:p>
    <w:p>
      <w:pPr>
        <w:spacing w:after="60" w:afterLines="25" w:line="300" w:lineRule="auto"/>
        <w:rPr>
          <w:rFonts w:ascii="宋体" w:hAnsi="宋体" w:eastAsia="宋体"/>
          <w:szCs w:val="21"/>
        </w:rPr>
      </w:pPr>
      <w:r>
        <w:rPr>
          <w:rFonts w:hint="eastAsia" w:ascii="宋体" w:hAnsi="宋体" w:eastAsia="宋体"/>
          <w:szCs w:val="21"/>
        </w:rPr>
        <w:t xml:space="preserve">日期：       </w:t>
      </w:r>
    </w:p>
    <w:p>
      <w:pPr>
        <w:spacing w:after="60" w:afterLines="25" w:line="300" w:lineRule="auto"/>
        <w:rPr>
          <w:rFonts w:ascii="Arial" w:hAnsi="Arial" w:eastAsia="宋体"/>
        </w:rPr>
      </w:pPr>
    </w:p>
    <w:p>
      <w:pPr>
        <w:spacing w:after="60" w:afterLines="25" w:line="300" w:lineRule="auto"/>
        <w:rPr>
          <w:rFonts w:ascii="Arial" w:hAnsi="Arial" w:eastAsia="宋体"/>
        </w:rPr>
      </w:pPr>
    </w:p>
    <w:p>
      <w:pPr>
        <w:spacing w:after="60" w:afterLines="25" w:line="300" w:lineRule="auto"/>
        <w:rPr>
          <w:rFonts w:ascii="Arial" w:hAnsi="Arial" w:eastAsia="宋体"/>
        </w:rPr>
      </w:pPr>
    </w:p>
    <w:p>
      <w:pPr>
        <w:snapToGrid w:val="0"/>
        <w:spacing w:after="60" w:afterLines="25" w:line="300" w:lineRule="auto"/>
        <w:ind w:firstLine="480" w:firstLineChars="200"/>
        <w:jc w:val="center"/>
        <w:rPr>
          <w:rFonts w:hint="eastAsia" w:ascii="Arial" w:hAnsi="Arial" w:eastAsia="宋体"/>
          <w:color w:val="FF0000"/>
          <w:highlight w:val="yellow"/>
        </w:rPr>
      </w:pPr>
    </w:p>
    <w:p>
      <w:pPr>
        <w:snapToGrid w:val="0"/>
        <w:spacing w:after="60" w:afterLines="25" w:line="300" w:lineRule="auto"/>
        <w:ind w:firstLine="480" w:firstLineChars="200"/>
        <w:jc w:val="center"/>
        <w:rPr>
          <w:rFonts w:hint="eastAsia" w:ascii="Arial" w:hAnsi="Arial" w:eastAsia="宋体"/>
          <w:color w:val="FF0000"/>
          <w:highlight w:val="yellow"/>
        </w:rPr>
      </w:pPr>
    </w:p>
    <w:p>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8.非联合体投标承诺函（承诺函格式自拟）</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5"/>
        <w:numPr>
          <w:ilvl w:val="0"/>
          <w:numId w:val="0"/>
        </w:numPr>
        <w:rPr>
          <w:rFonts w:hint="eastAsia"/>
          <w:lang w:val="en-US" w:eastAsia="zh-CN"/>
        </w:rPr>
      </w:pPr>
    </w:p>
    <w:p>
      <w:p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9.非进口产品投标承诺函（承诺函格式自拟）</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snapToGrid w:val="0"/>
        <w:spacing w:after="60" w:afterLines="25" w:line="300" w:lineRule="auto"/>
        <w:jc w:val="both"/>
      </w:pPr>
      <w:r>
        <w:rPr>
          <w:rFonts w:hint="eastAsia" w:eastAsia="宋体"/>
          <w:lang w:val="en-US" w:eastAsia="zh-CN"/>
        </w:rPr>
        <w:t>10.</w:t>
      </w:r>
      <w:r>
        <w:rPr>
          <w:rFonts w:hint="eastAsia" w:ascii="宋体" w:hAnsi="宋体" w:eastAsia="宋体"/>
          <w:b/>
          <w:bCs/>
          <w:szCs w:val="20"/>
        </w:rPr>
        <w:t>具有有效的《食品流通许可证》或《食品经营许可证》，且经营范围包含本项目中所有招标内容</w:t>
      </w:r>
    </w:p>
    <w:p>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11</w:t>
      </w:r>
      <w:r>
        <w:rPr>
          <w:rFonts w:ascii="宋体" w:hAnsi="宋体" w:eastAsia="宋体"/>
          <w:b/>
          <w:bCs/>
          <w:szCs w:val="20"/>
        </w:rPr>
        <w:t>.投标</w:t>
      </w:r>
      <w:r>
        <w:rPr>
          <w:rFonts w:hint="eastAsia" w:ascii="宋体" w:hAnsi="宋体" w:eastAsia="宋体"/>
          <w:b/>
          <w:bCs/>
          <w:szCs w:val="20"/>
        </w:rPr>
        <w:t>函</w:t>
      </w:r>
    </w:p>
    <w:p>
      <w:pPr>
        <w:snapToGrid w:val="0"/>
        <w:spacing w:line="360" w:lineRule="auto"/>
        <w:rPr>
          <w:rFonts w:ascii="Arial" w:hAnsi="Arial" w:eastAsia="宋体"/>
        </w:rPr>
      </w:pPr>
    </w:p>
    <w:p>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喀什市公安局</w:t>
      </w:r>
    </w:p>
    <w:p>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KSS-（GK）-FHY2022-12</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喀什市公安局伙食食材采购项目</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pPr>
        <w:numPr>
          <w:ilvl w:val="0"/>
          <w:numId w:val="4"/>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pPr>
        <w:numPr>
          <w:ilvl w:val="0"/>
          <w:numId w:val="4"/>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pPr>
        <w:numPr>
          <w:ilvl w:val="0"/>
          <w:numId w:val="4"/>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w:t>
      </w:r>
      <w:r>
        <w:rPr>
          <w:rFonts w:hint="eastAsia" w:ascii="Arial" w:hAnsi="Arial" w:eastAsia="宋体" w:cs="Arial"/>
          <w:bCs/>
          <w:u w:val="single"/>
        </w:rPr>
        <w:t>120</w:t>
      </w:r>
      <w:r>
        <w:rPr>
          <w:rFonts w:hint="eastAsia" w:ascii="Arial" w:hAnsi="Arial" w:eastAsia="宋体" w:cs="Arial"/>
          <w:bCs/>
        </w:rPr>
        <w:t>__</w:t>
      </w:r>
      <w:r>
        <w:rPr>
          <w:rFonts w:ascii="Arial" w:hAnsi="Arial" w:eastAsia="宋体" w:cs="Arial"/>
        </w:rPr>
        <w:t>个日历日。</w:t>
      </w:r>
    </w:p>
    <w:p>
      <w:pPr>
        <w:numPr>
          <w:ilvl w:val="0"/>
          <w:numId w:val="4"/>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pPr>
        <w:snapToGrid w:val="0"/>
        <w:spacing w:line="360" w:lineRule="auto"/>
        <w:ind w:firstLine="560"/>
        <w:rPr>
          <w:rFonts w:ascii="Arial" w:hAnsi="Arial" w:eastAsia="宋体" w:cs="Arial"/>
        </w:rPr>
      </w:pPr>
    </w:p>
    <w:p>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pPr>
        <w:snapToGrid w:val="0"/>
        <w:spacing w:line="360" w:lineRule="auto"/>
        <w:ind w:firstLine="560"/>
        <w:rPr>
          <w:rFonts w:ascii="Arial" w:hAnsi="Arial" w:eastAsia="宋体" w:cs="Arial"/>
        </w:rPr>
      </w:pPr>
    </w:p>
    <w:p>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pPr>
        <w:snapToGrid w:val="0"/>
        <w:spacing w:line="360" w:lineRule="auto"/>
        <w:rPr>
          <w:rFonts w:ascii="Arial" w:hAnsi="Arial" w:eastAsia="宋体" w:cs="Arial"/>
        </w:rPr>
      </w:pPr>
      <w:r>
        <w:rPr>
          <w:rFonts w:hint="eastAsia" w:ascii="Arial" w:hAnsi="Arial" w:eastAsia="宋体" w:cs="Arial"/>
        </w:rPr>
        <w:t>联系电话：</w:t>
      </w:r>
    </w:p>
    <w:p>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pPr>
        <w:snapToGrid w:val="0"/>
        <w:spacing w:line="360" w:lineRule="auto"/>
        <w:rPr>
          <w:rFonts w:ascii="Arial" w:hAnsi="Arial" w:eastAsia="宋体"/>
        </w:rPr>
      </w:pPr>
    </w:p>
    <w:p>
      <w:pPr>
        <w:spacing w:after="60" w:afterLines="25" w:line="300" w:lineRule="auto"/>
      </w:pPr>
    </w:p>
    <w:p>
      <w:pPr>
        <w:pStyle w:val="17"/>
      </w:pPr>
    </w:p>
    <w:p/>
    <w:p>
      <w:pPr>
        <w:spacing w:after="60" w:afterLines="25" w:line="300" w:lineRule="auto"/>
      </w:pPr>
    </w:p>
    <w:p>
      <w:pPr>
        <w:spacing w:after="60" w:afterLines="25" w:line="300" w:lineRule="auto"/>
      </w:pPr>
    </w:p>
    <w:p>
      <w:pPr>
        <w:spacing w:after="60" w:afterLines="25" w:line="300" w:lineRule="auto"/>
      </w:pPr>
    </w:p>
    <w:p>
      <w:pPr>
        <w:spacing w:after="60" w:afterLines="25" w:line="300" w:lineRule="auto"/>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12.法定代表人证明书（附有效身份证正反面扫描件）</w:t>
      </w:r>
    </w:p>
    <w:p>
      <w:pPr>
        <w:spacing w:line="300" w:lineRule="auto"/>
        <w:ind w:left="140"/>
        <w:jc w:val="center"/>
        <w:rPr>
          <w:rFonts w:hint="eastAsia" w:ascii="Arial" w:hAnsi="Arial" w:eastAsia="宋体" w:cs="Arial"/>
          <w:b/>
        </w:rPr>
      </w:pPr>
    </w:p>
    <w:p>
      <w:pPr>
        <w:spacing w:line="300" w:lineRule="auto"/>
        <w:ind w:left="140"/>
        <w:jc w:val="center"/>
        <w:rPr>
          <w:rFonts w:ascii="Arial" w:hAnsi="Arial" w:eastAsia="宋体" w:cs="Arial"/>
          <w:b/>
        </w:rPr>
      </w:pPr>
      <w:r>
        <w:rPr>
          <w:rFonts w:hint="eastAsia" w:ascii="Arial" w:hAnsi="Arial" w:eastAsia="宋体" w:cs="Arial"/>
          <w:b/>
        </w:rPr>
        <w:t>法定代表人资格证明书</w:t>
      </w:r>
    </w:p>
    <w:p>
      <w:pPr>
        <w:spacing w:line="480" w:lineRule="atLeast"/>
        <w:ind w:firstLine="480" w:firstLineChars="200"/>
        <w:rPr>
          <w:rFonts w:ascii="Arial" w:hAnsi="Arial" w:eastAsia="仿宋_GB2312"/>
        </w:rPr>
      </w:pPr>
    </w:p>
    <w:p>
      <w:pPr>
        <w:spacing w:line="300" w:lineRule="auto"/>
        <w:rPr>
          <w:rFonts w:ascii="Arial" w:hAnsi="Arial" w:eastAsia="宋体"/>
          <w:szCs w:val="21"/>
          <w:u w:val="single"/>
        </w:rPr>
      </w:pPr>
      <w:r>
        <w:rPr>
          <w:rFonts w:hint="eastAsia" w:ascii="Arial" w:hAnsi="Arial" w:eastAsia="宋体"/>
          <w:szCs w:val="21"/>
        </w:rPr>
        <w:t>单位名称：</w:t>
      </w:r>
    </w:p>
    <w:p>
      <w:pPr>
        <w:spacing w:line="300" w:lineRule="auto"/>
        <w:rPr>
          <w:rFonts w:ascii="Arial" w:hAnsi="Arial" w:eastAsia="宋体"/>
          <w:szCs w:val="21"/>
          <w:u w:val="single"/>
        </w:rPr>
      </w:pPr>
      <w:r>
        <w:rPr>
          <w:rFonts w:hint="eastAsia" w:ascii="Arial" w:hAnsi="Arial" w:eastAsia="宋体"/>
          <w:szCs w:val="21"/>
        </w:rPr>
        <w:t>地址：</w:t>
      </w:r>
    </w:p>
    <w:p>
      <w:pPr>
        <w:spacing w:line="300" w:lineRule="auto"/>
        <w:rPr>
          <w:rFonts w:ascii="Arial" w:hAnsi="Arial" w:eastAsia="宋体"/>
          <w:szCs w:val="21"/>
          <w:u w:val="single"/>
        </w:rPr>
      </w:pPr>
      <w:r>
        <w:rPr>
          <w:rFonts w:hint="eastAsia" w:ascii="Arial" w:hAnsi="Arial" w:eastAsia="宋体"/>
          <w:szCs w:val="21"/>
        </w:rPr>
        <w:t>姓名：性别：年龄：职务：</w:t>
      </w:r>
    </w:p>
    <w:p>
      <w:pPr>
        <w:spacing w:line="300" w:lineRule="auto"/>
        <w:rPr>
          <w:rFonts w:ascii="Arial" w:hAnsi="Arial" w:eastAsia="宋体"/>
          <w:szCs w:val="21"/>
        </w:rPr>
      </w:pPr>
      <w:r>
        <w:rPr>
          <w:rFonts w:hint="eastAsia" w:ascii="Arial" w:hAnsi="Arial" w:eastAsia="宋体"/>
          <w:szCs w:val="21"/>
        </w:rPr>
        <w:t>系的法定代表人。</w:t>
      </w:r>
    </w:p>
    <w:p>
      <w:pPr>
        <w:spacing w:line="300" w:lineRule="auto"/>
        <w:rPr>
          <w:rFonts w:ascii="Arial" w:hAnsi="Arial" w:eastAsia="宋体"/>
          <w:szCs w:val="21"/>
        </w:rPr>
      </w:pPr>
      <w:r>
        <w:rPr>
          <w:rFonts w:hint="eastAsia" w:ascii="Arial" w:hAnsi="Arial" w:eastAsia="宋体"/>
          <w:szCs w:val="21"/>
        </w:rPr>
        <w:t>特此证明</w:t>
      </w:r>
    </w:p>
    <w:p>
      <w:pPr>
        <w:spacing w:line="300" w:lineRule="auto"/>
        <w:rPr>
          <w:rFonts w:ascii="Arial" w:hAnsi="Arial" w:eastAsia="宋体"/>
          <w:szCs w:val="21"/>
        </w:rPr>
      </w:pPr>
    </w:p>
    <w:p>
      <w:pPr>
        <w:spacing w:line="300" w:lineRule="auto"/>
        <w:rPr>
          <w:rFonts w:ascii="Arial" w:hAnsi="Arial" w:eastAsia="宋体"/>
          <w:szCs w:val="21"/>
        </w:rPr>
      </w:pPr>
      <w:r>
        <w:rPr>
          <w:rFonts w:hint="eastAsia" w:ascii="Arial" w:hAnsi="Arial" w:eastAsia="宋体"/>
          <w:szCs w:val="21"/>
        </w:rPr>
        <w:t>投标人（投标单位）：</w:t>
      </w:r>
    </w:p>
    <w:p>
      <w:pPr>
        <w:spacing w:line="300" w:lineRule="auto"/>
        <w:rPr>
          <w:rFonts w:ascii="Arial" w:hAnsi="Arial" w:eastAsia="宋体"/>
          <w:szCs w:val="21"/>
        </w:rPr>
      </w:pPr>
      <w:r>
        <w:rPr>
          <w:rFonts w:hint="eastAsia" w:ascii="Arial" w:hAnsi="Arial" w:eastAsia="宋体"/>
          <w:szCs w:val="21"/>
        </w:rPr>
        <w:t>日期：年月日</w:t>
      </w:r>
    </w:p>
    <w:p>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pPr>
        <w:spacing w:line="500" w:lineRule="exact"/>
        <w:ind w:firstLine="480" w:firstLineChars="200"/>
        <w:rPr>
          <w:rFonts w:ascii="Arial" w:hAnsi="Arial" w:eastAsia="宋体"/>
        </w:rPr>
      </w:pPr>
    </w:p>
    <w:p>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pPr>
        <w:spacing w:line="500" w:lineRule="exact"/>
        <w:rPr>
          <w:rFonts w:ascii="宋体" w:hAnsi="宋体" w:eastAsia="宋体"/>
          <w:b/>
          <w:color w:val="FF0000"/>
          <w:sz w:val="32"/>
          <w:szCs w:val="32"/>
        </w:rPr>
      </w:pPr>
    </w:p>
    <w:p>
      <w:pPr>
        <w:snapToGrid w:val="0"/>
        <w:rPr>
          <w:rFonts w:ascii="宋体" w:hAnsi="宋体" w:eastAsia="宋体"/>
          <w:color w:val="FF0000"/>
          <w:sz w:val="28"/>
          <w:szCs w:val="28"/>
        </w:rPr>
      </w:pPr>
      <w:r>
        <w:rPr>
          <w:rFonts w:hint="eastAsia" w:ascii="宋体" w:hAnsi="宋体" w:eastAsia="宋体"/>
          <w:color w:val="FF0000"/>
          <w:sz w:val="28"/>
          <w:szCs w:val="28"/>
        </w:rPr>
        <w:t>备注：</w:t>
      </w:r>
    </w:p>
    <w:p>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pPr>
        <w:spacing w:line="500" w:lineRule="exact"/>
        <w:ind w:firstLine="480" w:firstLineChars="200"/>
        <w:rPr>
          <w:rFonts w:ascii="Arial" w:hAnsi="Arial" w:eastAsia="宋体"/>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ind w:left="0" w:leftChars="0" w:firstLine="0" w:firstLineChars="0"/>
        <w:rPr>
          <w:rFonts w:hint="eastAsia"/>
          <w:lang w:val="en-US" w:eastAsia="zh-CN"/>
        </w:rPr>
      </w:pPr>
    </w:p>
    <w:p>
      <w:pPr>
        <w:rPr>
          <w:rFonts w:hint="eastAsia"/>
          <w:lang w:val="en-US" w:eastAsia="zh-CN"/>
        </w:rPr>
      </w:pPr>
    </w:p>
    <w:p>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13.法定代表人授权书（附有效身份证正反面扫描件）</w:t>
      </w:r>
    </w:p>
    <w:p>
      <w:pPr>
        <w:spacing w:line="300" w:lineRule="auto"/>
        <w:ind w:left="140"/>
        <w:jc w:val="center"/>
        <w:rPr>
          <w:rFonts w:hint="eastAsia" w:ascii="Arial" w:hAnsi="Arial" w:eastAsia="宋体" w:cs="Arial"/>
          <w:b/>
        </w:rPr>
      </w:pPr>
    </w:p>
    <w:p>
      <w:pPr>
        <w:spacing w:line="300" w:lineRule="auto"/>
        <w:ind w:left="140"/>
        <w:jc w:val="center"/>
        <w:rPr>
          <w:rFonts w:hint="eastAsia" w:ascii="Arial" w:hAnsi="Arial" w:eastAsia="宋体" w:cs="Arial"/>
          <w:b/>
        </w:rPr>
      </w:pPr>
    </w:p>
    <w:p>
      <w:pPr>
        <w:spacing w:line="300" w:lineRule="auto"/>
        <w:ind w:left="140"/>
        <w:jc w:val="center"/>
        <w:rPr>
          <w:rFonts w:ascii="Arial" w:hAnsi="Arial" w:eastAsia="宋体" w:cs="Arial"/>
          <w:b/>
        </w:rPr>
      </w:pPr>
      <w:r>
        <w:rPr>
          <w:rFonts w:hint="eastAsia" w:ascii="Arial" w:hAnsi="Arial" w:eastAsia="宋体" w:cs="Arial"/>
          <w:b/>
        </w:rPr>
        <w:t>法定代表人授权书</w:t>
      </w:r>
    </w:p>
    <w:p>
      <w:pPr>
        <w:spacing w:line="360" w:lineRule="auto"/>
        <w:ind w:firstLine="480" w:firstLineChars="200"/>
        <w:rPr>
          <w:rFonts w:ascii="Arial" w:hAnsi="Arial" w:eastAsia="宋体"/>
          <w:szCs w:val="21"/>
        </w:rPr>
      </w:pPr>
    </w:p>
    <w:p>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pPr>
        <w:spacing w:line="300" w:lineRule="auto"/>
        <w:rPr>
          <w:rFonts w:ascii="Arial" w:hAnsi="Arial" w:eastAsia="宋体"/>
          <w:szCs w:val="21"/>
        </w:rPr>
      </w:pPr>
    </w:p>
    <w:p>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pPr>
        <w:spacing w:line="360" w:lineRule="auto"/>
        <w:ind w:left="3840" w:leftChars="1600"/>
        <w:rPr>
          <w:rFonts w:ascii="Arial" w:hAnsi="Arial" w:eastAsia="宋体"/>
          <w:szCs w:val="21"/>
        </w:rPr>
      </w:pPr>
      <w:r>
        <w:rPr>
          <w:rFonts w:hint="eastAsia" w:ascii="Arial" w:hAnsi="Arial" w:eastAsia="宋体"/>
          <w:szCs w:val="21"/>
        </w:rPr>
        <w:t>联系电话：手机：</w:t>
      </w:r>
    </w:p>
    <w:p>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pPr>
        <w:spacing w:line="360" w:lineRule="auto"/>
        <w:ind w:left="3840" w:leftChars="1600"/>
        <w:rPr>
          <w:rFonts w:ascii="Arial" w:hAnsi="Arial" w:eastAsia="宋体"/>
          <w:szCs w:val="21"/>
        </w:rPr>
      </w:pPr>
      <w:r>
        <w:rPr>
          <w:rFonts w:hint="eastAsia" w:ascii="Arial" w:hAnsi="Arial" w:eastAsia="宋体"/>
          <w:szCs w:val="21"/>
        </w:rPr>
        <w:t>投标人（投标单位）：</w:t>
      </w:r>
    </w:p>
    <w:p>
      <w:pPr>
        <w:spacing w:line="360" w:lineRule="auto"/>
        <w:ind w:left="3840" w:leftChars="1600"/>
        <w:rPr>
          <w:rFonts w:ascii="Arial" w:hAnsi="Arial" w:eastAsia="宋体"/>
          <w:szCs w:val="21"/>
        </w:rPr>
      </w:pPr>
      <w:r>
        <w:rPr>
          <w:rFonts w:hint="eastAsia" w:ascii="Arial" w:hAnsi="Arial" w:eastAsia="宋体"/>
          <w:szCs w:val="21"/>
        </w:rPr>
        <w:t>法定代表人：</w:t>
      </w:r>
    </w:p>
    <w:p>
      <w:pPr>
        <w:spacing w:line="360" w:lineRule="auto"/>
        <w:ind w:left="3840" w:leftChars="1600"/>
        <w:rPr>
          <w:rFonts w:ascii="Arial" w:hAnsi="Arial" w:eastAsia="宋体"/>
          <w:szCs w:val="21"/>
        </w:rPr>
      </w:pPr>
      <w:r>
        <w:rPr>
          <w:rFonts w:hint="eastAsia" w:ascii="Arial" w:hAnsi="Arial" w:eastAsia="宋体"/>
          <w:szCs w:val="21"/>
        </w:rPr>
        <w:t>授权委托日期：年月日</w:t>
      </w:r>
    </w:p>
    <w:p>
      <w:pPr>
        <w:spacing w:line="500" w:lineRule="exact"/>
        <w:ind w:firstLine="480" w:firstLineChars="200"/>
        <w:rPr>
          <w:rFonts w:ascii="Arial" w:hAnsi="Arial" w:eastAsia="宋体"/>
        </w:rPr>
      </w:pPr>
    </w:p>
    <w:p>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pPr>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snapToGrid w:val="0"/>
        <w:spacing w:after="60" w:afterLines="25" w:line="300" w:lineRule="auto"/>
        <w:ind w:firstLine="482" w:firstLineChars="200"/>
        <w:jc w:val="center"/>
        <w:outlineLvl w:val="3"/>
        <w:rPr>
          <w:rFonts w:hint="eastAsia" w:ascii="宋体" w:hAnsi="宋体" w:eastAsia="宋体"/>
          <w:b/>
          <w:bCs/>
          <w:szCs w:val="20"/>
          <w:lang w:eastAsia="zh-CN"/>
        </w:rPr>
      </w:pPr>
      <w:r>
        <w:rPr>
          <w:rFonts w:hint="eastAsia" w:ascii="宋体" w:hAnsi="宋体" w:eastAsia="宋体"/>
          <w:b/>
          <w:bCs/>
          <w:szCs w:val="20"/>
          <w:lang w:val="en-US" w:eastAsia="zh-CN"/>
        </w:rPr>
        <w:t>14</w:t>
      </w:r>
      <w:r>
        <w:rPr>
          <w:rFonts w:ascii="宋体" w:hAnsi="宋体" w:eastAsia="宋体"/>
          <w:b/>
          <w:bCs/>
          <w:szCs w:val="20"/>
        </w:rPr>
        <w:t>.</w:t>
      </w:r>
      <w:r>
        <w:rPr>
          <w:rFonts w:hint="eastAsia" w:ascii="宋体" w:hAnsi="宋体" w:eastAsia="宋体"/>
          <w:b/>
          <w:bCs/>
          <w:szCs w:val="20"/>
        </w:rPr>
        <w:t>分项报价清单</w:t>
      </w:r>
      <w:r>
        <w:rPr>
          <w:rFonts w:hint="eastAsia" w:ascii="宋体" w:hAnsi="宋体" w:eastAsia="宋体"/>
          <w:b/>
          <w:bCs/>
          <w:szCs w:val="20"/>
          <w:lang w:eastAsia="zh-CN"/>
        </w:rPr>
        <w:t>（本项目为货物类，如有需求参照本表填写）</w:t>
      </w:r>
    </w:p>
    <w:p>
      <w:pPr>
        <w:spacing w:after="60" w:afterLines="25" w:line="300" w:lineRule="auto"/>
        <w:rPr>
          <w:rFonts w:ascii="Arial" w:hAnsi="Arial" w:eastAsia="宋体" w:cs="Arial"/>
        </w:rPr>
      </w:pPr>
      <w:r>
        <w:rPr>
          <w:rFonts w:hint="eastAsia" w:ascii="Arial" w:hAnsi="Arial" w:eastAsia="宋体" w:cs="Arial"/>
          <w:color w:val="000000"/>
        </w:rPr>
        <w:t>投标单位（投标人）名称：</w:t>
      </w:r>
    </w:p>
    <w:p>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pPr>
              <w:spacing w:after="60" w:afterLines="25" w:line="300" w:lineRule="auto"/>
              <w:jc w:val="center"/>
              <w:rPr>
                <w:rFonts w:ascii="Arial" w:hAnsi="Arial" w:eastAsia="宋体"/>
              </w:rPr>
            </w:pPr>
            <w:r>
              <w:rPr>
                <w:rFonts w:hint="eastAsia" w:ascii="Arial" w:hAnsi="Arial" w:eastAsia="宋体"/>
              </w:rPr>
              <w:t>货物</w:t>
            </w:r>
            <w:r>
              <w:rPr>
                <w:rFonts w:hint="eastAsia" w:ascii="Arial" w:hAnsi="Arial" w:eastAsia="宋体"/>
                <w:lang w:val="en-US" w:eastAsia="zh-CN"/>
              </w:rPr>
              <w:t>/服务</w:t>
            </w:r>
            <w:r>
              <w:rPr>
                <w:rFonts w:hint="eastAsia" w:ascii="Arial" w:hAnsi="Arial" w:eastAsia="宋体"/>
              </w:rPr>
              <w:t>名称</w:t>
            </w:r>
          </w:p>
        </w:tc>
        <w:tc>
          <w:tcPr>
            <w:tcW w:w="1417" w:type="dxa"/>
            <w:vAlign w:val="center"/>
          </w:tcPr>
          <w:p>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pPr>
              <w:spacing w:after="60" w:afterLines="25" w:line="300" w:lineRule="auto"/>
              <w:jc w:val="center"/>
              <w:rPr>
                <w:rFonts w:ascii="Arial" w:hAnsi="Arial" w:eastAsia="宋体"/>
              </w:rPr>
            </w:pPr>
            <w:r>
              <w:rPr>
                <w:rFonts w:hint="eastAsia" w:ascii="Arial" w:hAnsi="Arial" w:eastAsia="宋体"/>
              </w:rPr>
              <w:t>数量</w:t>
            </w:r>
          </w:p>
        </w:tc>
        <w:tc>
          <w:tcPr>
            <w:tcW w:w="708" w:type="dxa"/>
          </w:tcPr>
          <w:p>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pPr>
              <w:spacing w:after="60" w:afterLines="25" w:line="300" w:lineRule="auto"/>
              <w:jc w:val="center"/>
              <w:rPr>
                <w:rFonts w:ascii="Arial" w:hAnsi="Arial" w:eastAsia="宋体"/>
              </w:rPr>
            </w:pPr>
            <w:r>
              <w:rPr>
                <w:rFonts w:hint="eastAsia" w:ascii="Arial" w:hAnsi="Arial" w:eastAsia="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2</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3</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pPr>
              <w:spacing w:after="60" w:afterLines="25" w:line="300" w:lineRule="auto"/>
              <w:jc w:val="center"/>
              <w:rPr>
                <w:rFonts w:ascii="Arial" w:hAnsi="Arial" w:eastAsia="宋体"/>
              </w:rPr>
            </w:pPr>
            <w:r>
              <w:rPr>
                <w:rFonts w:hint="eastAsia" w:ascii="Arial" w:hAnsi="Arial" w:eastAsia="宋体"/>
              </w:rPr>
              <w:t>……</w:t>
            </w:r>
          </w:p>
        </w:tc>
        <w:tc>
          <w:tcPr>
            <w:tcW w:w="2127" w:type="dxa"/>
          </w:tcPr>
          <w:p>
            <w:pPr>
              <w:spacing w:after="60" w:afterLines="25" w:line="300" w:lineRule="auto"/>
              <w:rPr>
                <w:rFonts w:ascii="Arial" w:hAnsi="Arial" w:eastAsia="宋体"/>
                <w:b/>
              </w:rPr>
            </w:pPr>
          </w:p>
        </w:tc>
        <w:tc>
          <w:tcPr>
            <w:tcW w:w="1417"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992" w:type="dxa"/>
          </w:tcPr>
          <w:p>
            <w:pPr>
              <w:spacing w:after="60" w:afterLines="25" w:line="300" w:lineRule="auto"/>
              <w:rPr>
                <w:rFonts w:ascii="Arial" w:hAnsi="Arial" w:eastAsia="宋体"/>
              </w:rPr>
            </w:pPr>
          </w:p>
        </w:tc>
        <w:tc>
          <w:tcPr>
            <w:tcW w:w="709" w:type="dxa"/>
          </w:tcPr>
          <w:p>
            <w:pPr>
              <w:spacing w:after="60" w:afterLines="25" w:line="300" w:lineRule="auto"/>
              <w:rPr>
                <w:rFonts w:ascii="Arial" w:hAnsi="Arial" w:eastAsia="宋体"/>
              </w:rPr>
            </w:pPr>
          </w:p>
        </w:tc>
        <w:tc>
          <w:tcPr>
            <w:tcW w:w="708" w:type="dxa"/>
          </w:tcPr>
          <w:p>
            <w:pPr>
              <w:spacing w:after="60" w:afterLines="25" w:line="300" w:lineRule="auto"/>
              <w:rPr>
                <w:rFonts w:ascii="Arial" w:hAnsi="Arial" w:eastAsia="宋体"/>
              </w:rPr>
            </w:pPr>
          </w:p>
        </w:tc>
        <w:tc>
          <w:tcPr>
            <w:tcW w:w="993" w:type="dxa"/>
          </w:tcPr>
          <w:p>
            <w:pPr>
              <w:spacing w:after="60" w:afterLines="25" w:line="300" w:lineRule="auto"/>
              <w:rPr>
                <w:rFonts w:ascii="Arial" w:hAnsi="Arial" w:eastAsia="宋体"/>
              </w:rPr>
            </w:pPr>
          </w:p>
        </w:tc>
        <w:tc>
          <w:tcPr>
            <w:tcW w:w="1322" w:type="dxa"/>
          </w:tcPr>
          <w:p>
            <w:pPr>
              <w:spacing w:after="60" w:afterLines="25" w:line="300" w:lineRule="auto"/>
              <w:rPr>
                <w:rFonts w:ascii="Arial" w:hAnsi="Arial"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pPr>
              <w:spacing w:after="60" w:afterLines="25" w:line="300" w:lineRule="auto"/>
              <w:rPr>
                <w:rFonts w:ascii="Arial" w:hAnsi="Arial" w:eastAsia="宋体"/>
              </w:rPr>
            </w:pPr>
          </w:p>
        </w:tc>
      </w:tr>
    </w:tbl>
    <w:p>
      <w:pPr>
        <w:tabs>
          <w:tab w:val="left" w:pos="720"/>
        </w:tabs>
        <w:rPr>
          <w:rFonts w:eastAsia="宋体"/>
          <w:b/>
        </w:rPr>
      </w:pPr>
    </w:p>
    <w:p>
      <w:pPr>
        <w:tabs>
          <w:tab w:val="left" w:pos="720"/>
        </w:tabs>
        <w:rPr>
          <w:rFonts w:eastAsia="宋体"/>
          <w:b/>
          <w:color w:val="FF0000"/>
        </w:rPr>
      </w:pPr>
      <w:r>
        <w:rPr>
          <w:rFonts w:hint="eastAsia" w:eastAsia="宋体"/>
          <w:b/>
          <w:color w:val="FF0000"/>
        </w:rPr>
        <w:t>（二）核心产品品牌</w:t>
      </w:r>
    </w:p>
    <w:p>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pPr>
        <w:spacing w:after="60" w:afterLines="25" w:line="300" w:lineRule="auto"/>
        <w:rPr>
          <w:rFonts w:ascii="Arial" w:hAnsi="Arial" w:eastAsia="宋体"/>
          <w:b/>
        </w:rPr>
      </w:pPr>
      <w:r>
        <w:rPr>
          <w:rFonts w:hint="eastAsia" w:ascii="Arial" w:hAnsi="Arial" w:eastAsia="宋体"/>
          <w:b/>
        </w:rPr>
        <w:t>（四）供应商认为需要涉及的其他内容报价清单</w:t>
      </w:r>
    </w:p>
    <w:p>
      <w:pPr>
        <w:spacing w:after="60" w:afterLines="25" w:line="300" w:lineRule="auto"/>
        <w:rPr>
          <w:rFonts w:ascii="Arial" w:hAnsi="Arial" w:eastAsia="宋体"/>
        </w:rPr>
      </w:pPr>
    </w:p>
    <w:p>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pPr>
        <w:snapToGrid w:val="0"/>
        <w:rPr>
          <w:rFonts w:ascii="宋体" w:hAnsi="宋体"/>
          <w:b/>
        </w:rPr>
      </w:pPr>
    </w:p>
    <w:p>
      <w:pPr>
        <w:snapToGrid w:val="0"/>
        <w:rPr>
          <w:rFonts w:ascii="宋体" w:hAnsi="宋体"/>
          <w:b/>
        </w:rPr>
      </w:pPr>
      <w:r>
        <w:rPr>
          <w:rFonts w:hint="eastAsia" w:ascii="宋体" w:hAnsi="宋体"/>
          <w:b/>
        </w:rPr>
        <w:t>填写说明：</w:t>
      </w:r>
    </w:p>
    <w:p>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pPr>
        <w:snapToGrid w:val="0"/>
        <w:rPr>
          <w:rFonts w:ascii="宋体" w:hAnsi="宋体"/>
        </w:rPr>
      </w:pPr>
    </w:p>
    <w:p>
      <w:pPr>
        <w:tabs>
          <w:tab w:val="left" w:pos="651"/>
        </w:tabs>
        <w:snapToGrid w:val="0"/>
        <w:rPr>
          <w:rFonts w:ascii="宋体" w:hAnsi="宋体" w:eastAsia="宋体"/>
          <w:color w:val="FF0000"/>
          <w:sz w:val="28"/>
          <w:szCs w:val="28"/>
        </w:rPr>
      </w:pPr>
    </w:p>
    <w:p>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15</w:t>
      </w:r>
      <w:r>
        <w:rPr>
          <w:rFonts w:ascii="宋体" w:hAnsi="宋体" w:eastAsia="宋体"/>
          <w:b/>
          <w:bCs/>
          <w:szCs w:val="20"/>
        </w:rPr>
        <w:t>.</w:t>
      </w:r>
      <w:r>
        <w:rPr>
          <w:rFonts w:hint="eastAsia" w:ascii="宋体" w:hAnsi="宋体" w:eastAsia="宋体"/>
          <w:b/>
          <w:bCs/>
          <w:szCs w:val="20"/>
        </w:rPr>
        <w:t>商务（服务）条款偏离表</w:t>
      </w:r>
    </w:p>
    <w:p>
      <w:pPr>
        <w:snapToGrid w:val="0"/>
        <w:rPr>
          <w:rFonts w:ascii="Arial" w:hAnsi="Arial" w:eastAsia="宋体" w:cs="Arial"/>
        </w:rPr>
      </w:pPr>
      <w:r>
        <w:rPr>
          <w:rFonts w:hint="eastAsia" w:ascii="Arial" w:hAnsi="Arial" w:eastAsia="宋体" w:cs="Arial"/>
          <w:color w:val="000000"/>
        </w:rPr>
        <w:t>投标单位（投标人）名称：</w:t>
      </w:r>
    </w:p>
    <w:p>
      <w:pPr>
        <w:snapToGrid w:val="0"/>
        <w:rPr>
          <w:rFonts w:ascii="宋体" w:hAnsi="宋体"/>
          <w:b/>
        </w:rPr>
      </w:pPr>
    </w:p>
    <w:tbl>
      <w:tblPr>
        <w:tblStyle w:val="19"/>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pPr>
              <w:spacing w:line="300" w:lineRule="auto"/>
              <w:jc w:val="center"/>
              <w:rPr>
                <w:rFonts w:ascii="Arial" w:hAnsi="Arial" w:eastAsia="宋体"/>
              </w:rPr>
            </w:pPr>
            <w:r>
              <w:rPr>
                <w:rFonts w:hint="eastAsia" w:ascii="Arial" w:hAnsi="Arial" w:eastAsia="宋体"/>
              </w:rPr>
              <w:t>1</w:t>
            </w:r>
          </w:p>
        </w:tc>
        <w:tc>
          <w:tcPr>
            <w:tcW w:w="3901" w:type="dxa"/>
            <w:vAlign w:val="center"/>
          </w:tcPr>
          <w:p>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pPr>
              <w:rPr>
                <w:rFonts w:ascii="宋体" w:hAnsi="宋体" w:eastAsia="宋体" w:cs="Arial"/>
                <w:szCs w:val="21"/>
              </w:rPr>
            </w:pPr>
            <w:r>
              <w:rPr>
                <w:rFonts w:hint="eastAsia" w:ascii="宋体" w:hAnsi="宋体" w:eastAsia="宋体" w:cs="Arial"/>
                <w:szCs w:val="21"/>
              </w:rPr>
              <w:t>无偏离</w:t>
            </w:r>
          </w:p>
        </w:tc>
      </w:tr>
    </w:tbl>
    <w:p>
      <w:pPr>
        <w:snapToGrid w:val="0"/>
        <w:rPr>
          <w:rFonts w:ascii="宋体" w:hAnsi="宋体"/>
        </w:rPr>
      </w:pPr>
    </w:p>
    <w:p>
      <w:pPr>
        <w:snapToGrid w:val="0"/>
        <w:rPr>
          <w:rFonts w:ascii="宋体" w:hAnsi="宋体"/>
          <w:b/>
        </w:rPr>
      </w:pPr>
      <w:r>
        <w:rPr>
          <w:rFonts w:hint="eastAsia" w:ascii="宋体" w:hAnsi="宋体" w:eastAsia="宋体"/>
          <w:b/>
        </w:rPr>
        <w:t>填写说明：</w:t>
      </w:r>
    </w:p>
    <w:p>
      <w:pPr>
        <w:numPr>
          <w:ilvl w:val="0"/>
          <w:numId w:val="5"/>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5"/>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pPr>
        <w:numPr>
          <w:ilvl w:val="0"/>
          <w:numId w:val="5"/>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pPr>
        <w:rPr>
          <w:rFonts w:ascii="宋体" w:hAnsi="宋体" w:eastAsia="宋体"/>
          <w:color w:val="FF0000"/>
          <w:sz w:val="32"/>
          <w:szCs w:val="32"/>
        </w:rPr>
      </w:pPr>
    </w:p>
    <w:p>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16</w:t>
      </w:r>
      <w:r>
        <w:rPr>
          <w:rFonts w:hint="eastAsia" w:ascii="宋体" w:hAnsi="宋体" w:eastAsia="宋体"/>
          <w:b/>
          <w:bCs/>
          <w:szCs w:val="20"/>
        </w:rPr>
        <w:t>.技术规格偏离表</w:t>
      </w:r>
    </w:p>
    <w:p>
      <w:pPr>
        <w:snapToGrid w:val="0"/>
        <w:rPr>
          <w:rFonts w:ascii="Arial" w:hAnsi="Arial" w:eastAsia="宋体" w:cs="Arial"/>
          <w:color w:val="000000"/>
          <w:u w:val="single"/>
        </w:rPr>
      </w:pPr>
      <w:r>
        <w:rPr>
          <w:rFonts w:hint="eastAsia" w:ascii="Arial" w:hAnsi="Arial" w:eastAsia="宋体" w:cs="Arial"/>
          <w:color w:val="000000"/>
        </w:rPr>
        <w:t>投标单位（投标人）名称：</w:t>
      </w:r>
    </w:p>
    <w:p>
      <w:pPr>
        <w:snapToGrid w:val="0"/>
        <w:rPr>
          <w:rFonts w:ascii="宋体" w:hAnsi="宋体"/>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eastAsia="宋体"/>
                <w:b/>
                <w:lang w:eastAsia="zh-CN"/>
              </w:rPr>
              <w:t>服务</w:t>
            </w:r>
            <w:r>
              <w:rPr>
                <w:rFonts w:hint="eastAsia" w:ascii="宋体" w:hAnsi="宋体"/>
                <w:b/>
              </w:rPr>
              <w:t>名称</w:t>
            </w:r>
          </w:p>
        </w:tc>
        <w:tc>
          <w:tcPr>
            <w:tcW w:w="2835"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pPr>
              <w:snapToGrid w:val="0"/>
              <w:jc w:val="center"/>
              <w:rPr>
                <w:rFonts w:ascii="宋体" w:hAnsi="宋体"/>
                <w:b/>
              </w:rPr>
            </w:pPr>
            <w:r>
              <w:rPr>
                <w:rFonts w:hint="eastAsia" w:ascii="宋体" w:hAnsi="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pPr>
              <w:snapToGrid w:val="0"/>
              <w:rPr>
                <w:rFonts w:ascii="宋体" w:hAnsi="宋体"/>
              </w:rPr>
            </w:pPr>
          </w:p>
        </w:tc>
      </w:tr>
    </w:tbl>
    <w:p>
      <w:pPr>
        <w:snapToGrid w:val="0"/>
        <w:rPr>
          <w:rFonts w:ascii="宋体" w:hAnsi="宋体"/>
        </w:rPr>
      </w:pPr>
      <w:r>
        <w:rPr>
          <w:rFonts w:hint="eastAsia" w:ascii="宋体" w:hAnsi="宋体"/>
        </w:rPr>
        <w:t>此表可延长。</w:t>
      </w:r>
    </w:p>
    <w:p>
      <w:pPr>
        <w:snapToGrid w:val="0"/>
        <w:rPr>
          <w:rFonts w:ascii="宋体" w:hAnsi="宋体"/>
        </w:rPr>
      </w:pPr>
    </w:p>
    <w:p>
      <w:pPr>
        <w:snapToGrid w:val="0"/>
        <w:rPr>
          <w:rFonts w:ascii="宋体" w:hAnsi="宋体"/>
          <w:b/>
        </w:rPr>
      </w:pPr>
      <w:r>
        <w:rPr>
          <w:rFonts w:hint="eastAsia" w:ascii="宋体" w:hAnsi="宋体"/>
          <w:b/>
        </w:rPr>
        <w:t>填写说明：</w:t>
      </w:r>
    </w:p>
    <w:p>
      <w:pPr>
        <w:numPr>
          <w:ilvl w:val="0"/>
          <w:numId w:val="6"/>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pPr>
        <w:numPr>
          <w:ilvl w:val="0"/>
          <w:numId w:val="6"/>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pPr>
        <w:numPr>
          <w:ilvl w:val="0"/>
          <w:numId w:val="6"/>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pPr>
        <w:rPr>
          <w:rFonts w:ascii="宋体" w:hAnsi="宋体" w:eastAsia="宋体"/>
          <w:color w:val="FF0000"/>
          <w:sz w:val="32"/>
          <w:szCs w:val="32"/>
        </w:rPr>
      </w:pPr>
      <w:r>
        <w:br w:type="page"/>
      </w:r>
    </w:p>
    <w:p>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16.</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17.售后服务相关资料</w:t>
      </w:r>
      <w:r>
        <w:rPr>
          <w:rFonts w:hint="eastAsia" w:ascii="宋体" w:hAnsi="宋体" w:eastAsia="宋体" w:cs="Times New Roman"/>
          <w:b/>
          <w:bCs/>
          <w:sz w:val="21"/>
          <w:szCs w:val="20"/>
          <w:lang w:val="en-US" w:eastAsia="zh-CN"/>
        </w:rPr>
        <w:t>(如有)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18.产品检测报告(如有)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19.节能产品认证证书(如有)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20.设计、施工方案的合理性评价(如有)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pStyle w:val="17"/>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21.其他招标文件要求或投标人认为需要补充的内容(如有)</w:t>
      </w:r>
    </w:p>
    <w:p>
      <w:pPr>
        <w:pStyle w:val="17"/>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pPr>
        <w:spacing w:after="60" w:afterLines="25" w:line="300" w:lineRule="auto"/>
        <w:rPr>
          <w:rFonts w:ascii="宋体" w:hAnsi="宋体" w:eastAsia="宋体"/>
          <w:color w:val="FF0000"/>
          <w:sz w:val="32"/>
          <w:szCs w:val="32"/>
        </w:rPr>
      </w:pPr>
      <w:r>
        <w:br w:type="page"/>
      </w:r>
    </w:p>
    <w:p>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pPr>
        <w:jc w:val="center"/>
        <w:rPr>
          <w:rFonts w:ascii="宋体" w:hAnsi="宋体" w:eastAsia="黑体"/>
          <w:bCs/>
          <w:kern w:val="44"/>
          <w:sz w:val="28"/>
          <w:szCs w:val="44"/>
        </w:rPr>
      </w:pPr>
      <w:bookmarkStart w:id="16" w:name="_Hlk72574405"/>
      <w:r>
        <w:rPr>
          <w:rFonts w:hint="eastAsia"/>
          <w:b/>
        </w:rPr>
        <w:t>（仅供参考，具体以项目需求及采购结果为准）</w:t>
      </w:r>
      <w:bookmarkEnd w:id="16"/>
    </w:p>
    <w:p>
      <w:pPr>
        <w:snapToGrid w:val="0"/>
        <w:spacing w:line="300" w:lineRule="auto"/>
        <w:jc w:val="center"/>
        <w:rPr>
          <w:rFonts w:ascii="仿宋" w:hAnsi="仿宋" w:eastAsia="仿宋"/>
          <w:sz w:val="28"/>
          <w:szCs w:val="28"/>
        </w:rPr>
      </w:pPr>
    </w:p>
    <w:p>
      <w:pPr>
        <w:snapToGrid w:val="0"/>
        <w:spacing w:line="300" w:lineRule="auto"/>
        <w:rPr>
          <w:rFonts w:ascii="仿宋" w:hAnsi="仿宋" w:eastAsia="仿宋"/>
          <w:sz w:val="28"/>
          <w:szCs w:val="28"/>
          <w:u w:val="single"/>
        </w:rPr>
      </w:pPr>
      <w:r>
        <w:rPr>
          <w:rFonts w:ascii="仿宋" w:hAnsi="仿宋" w:eastAsia="仿宋"/>
          <w:sz w:val="28"/>
          <w:szCs w:val="28"/>
        </w:rPr>
        <w:t>甲方：</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 xml:space="preserve">乙方: </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u w:val="single"/>
        </w:rPr>
        <w:tab/>
      </w:r>
    </w:p>
    <w:p>
      <w:pPr>
        <w:snapToGrid w:val="0"/>
        <w:spacing w:line="300" w:lineRule="auto"/>
        <w:rPr>
          <w:rFonts w:ascii="仿宋" w:hAnsi="仿宋" w:eastAsia="仿宋"/>
          <w:sz w:val="28"/>
          <w:szCs w:val="28"/>
        </w:rPr>
      </w:pPr>
      <w:r>
        <w:rPr>
          <w:rFonts w:ascii="仿宋" w:hAnsi="仿宋" w:eastAsia="仿宋"/>
          <w:sz w:val="28"/>
          <w:szCs w:val="28"/>
        </w:rPr>
        <w:t>住所地：住所地：</w:t>
      </w:r>
    </w:p>
    <w:p>
      <w:pPr>
        <w:snapToGrid w:val="0"/>
        <w:spacing w:line="300" w:lineRule="auto"/>
        <w:rPr>
          <w:rFonts w:ascii="仿宋" w:hAnsi="仿宋" w:eastAsia="仿宋"/>
          <w:sz w:val="28"/>
          <w:szCs w:val="28"/>
        </w:rPr>
      </w:pPr>
      <w:r>
        <w:rPr>
          <w:rFonts w:ascii="仿宋" w:hAnsi="仿宋" w:eastAsia="仿宋"/>
          <w:sz w:val="28"/>
          <w:szCs w:val="28"/>
        </w:rPr>
        <w:t>法定代表人：法定代表人：</w:t>
      </w:r>
    </w:p>
    <w:p>
      <w:pPr>
        <w:snapToGrid w:val="0"/>
        <w:spacing w:line="300" w:lineRule="auto"/>
        <w:rPr>
          <w:rFonts w:ascii="仿宋" w:hAnsi="仿宋" w:eastAsia="仿宋"/>
          <w:sz w:val="28"/>
          <w:szCs w:val="28"/>
        </w:rPr>
      </w:pPr>
      <w:r>
        <w:rPr>
          <w:rFonts w:ascii="仿宋" w:hAnsi="仿宋" w:eastAsia="仿宋"/>
          <w:sz w:val="28"/>
          <w:szCs w:val="28"/>
        </w:rPr>
        <w:t>联系人：</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联系人：</w:t>
      </w:r>
    </w:p>
    <w:p>
      <w:pPr>
        <w:snapToGrid w:val="0"/>
        <w:spacing w:line="300" w:lineRule="auto"/>
        <w:rPr>
          <w:rFonts w:ascii="仿宋" w:hAnsi="仿宋" w:eastAsia="仿宋"/>
          <w:sz w:val="28"/>
          <w:szCs w:val="28"/>
        </w:rPr>
      </w:pPr>
      <w:r>
        <w:rPr>
          <w:rFonts w:ascii="仿宋" w:hAnsi="仿宋" w:eastAsia="仿宋"/>
          <w:sz w:val="28"/>
          <w:szCs w:val="28"/>
        </w:rPr>
        <w:t>电话：</w:t>
      </w:r>
      <w:r>
        <w:rPr>
          <w:rFonts w:ascii="仿宋" w:hAnsi="仿宋" w:eastAsia="仿宋"/>
          <w:sz w:val="28"/>
          <w:szCs w:val="28"/>
          <w:u w:val="single"/>
        </w:rPr>
        <w:tab/>
      </w:r>
      <w:r>
        <w:rPr>
          <w:rFonts w:ascii="仿宋" w:hAnsi="仿宋" w:eastAsia="仿宋"/>
          <w:sz w:val="28"/>
          <w:szCs w:val="28"/>
          <w:u w:val="single"/>
        </w:rPr>
        <w:tab/>
      </w:r>
      <w:r>
        <w:rPr>
          <w:rFonts w:ascii="仿宋" w:hAnsi="仿宋" w:eastAsia="仿宋"/>
          <w:sz w:val="28"/>
          <w:szCs w:val="28"/>
        </w:rPr>
        <w:t>电话：</w:t>
      </w:r>
    </w:p>
    <w:p>
      <w:pPr>
        <w:snapToGrid w:val="0"/>
        <w:spacing w:line="300" w:lineRule="auto"/>
        <w:rPr>
          <w:rFonts w:ascii="仿宋" w:hAnsi="仿宋" w:eastAsia="仿宋"/>
          <w:sz w:val="28"/>
          <w:szCs w:val="28"/>
        </w:rPr>
      </w:pPr>
      <w:r>
        <w:rPr>
          <w:rFonts w:ascii="仿宋" w:hAnsi="仿宋" w:eastAsia="仿宋"/>
          <w:sz w:val="28"/>
          <w:szCs w:val="28"/>
        </w:rPr>
        <w:t>传真：传真：</w:t>
      </w:r>
    </w:p>
    <w:p>
      <w:pPr>
        <w:snapToGrid w:val="0"/>
        <w:spacing w:line="300" w:lineRule="auto"/>
        <w:rPr>
          <w:rFonts w:ascii="仿宋" w:hAnsi="仿宋" w:eastAsia="仿宋"/>
          <w:sz w:val="28"/>
          <w:szCs w:val="28"/>
        </w:rPr>
      </w:pPr>
    </w:p>
    <w:p>
      <w:pPr>
        <w:numPr>
          <w:ilvl w:val="0"/>
          <w:numId w:val="7"/>
        </w:num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项目基本情况</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 xml:space="preserve">    根据</w:t>
      </w:r>
      <w:r>
        <w:rPr>
          <w:rFonts w:hint="eastAsia" w:ascii="仿宋" w:hAnsi="仿宋" w:eastAsia="仿宋"/>
          <w:sz w:val="28"/>
          <w:szCs w:val="28"/>
          <w:u w:val="single"/>
          <w:lang w:eastAsia="zh-CN"/>
        </w:rPr>
        <w:t>采购人</w:t>
      </w:r>
      <w:r>
        <w:rPr>
          <w:rFonts w:hint="eastAsia" w:ascii="仿宋" w:hAnsi="仿宋" w:eastAsia="仿宋"/>
          <w:sz w:val="28"/>
          <w:szCs w:val="28"/>
        </w:rPr>
        <w:t>项目（招标编号：</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）结果，</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为中标人。按照《中华人民共和国民法典》（第三编 合同）》和《</w:t>
      </w:r>
      <w:r>
        <w:rPr>
          <w:rFonts w:hint="eastAsia" w:ascii="仿宋" w:hAnsi="仿宋" w:eastAsia="仿宋"/>
          <w:sz w:val="28"/>
          <w:szCs w:val="28"/>
          <w:lang w:eastAsia="zh-CN"/>
        </w:rPr>
        <w:t>中华人民共和国政府采购法</w:t>
      </w:r>
      <w:r>
        <w:rPr>
          <w:rFonts w:hint="eastAsia" w:ascii="仿宋" w:hAnsi="仿宋" w:eastAsia="仿宋"/>
          <w:sz w:val="28"/>
          <w:szCs w:val="28"/>
        </w:rPr>
        <w:t>》，经（以下简称甲方）和（以下简称乙方）协商，达成本合同条款。</w:t>
      </w:r>
    </w:p>
    <w:p>
      <w:pPr>
        <w:tabs>
          <w:tab w:val="left" w:pos="0"/>
        </w:tabs>
        <w:snapToGrid w:val="0"/>
        <w:spacing w:line="300" w:lineRule="auto"/>
        <w:outlineLvl w:val="2"/>
        <w:rPr>
          <w:rFonts w:ascii="仿宋" w:hAnsi="仿宋" w:eastAsia="仿宋"/>
          <w:sz w:val="28"/>
          <w:szCs w:val="28"/>
        </w:rPr>
      </w:pPr>
      <w:r>
        <w:rPr>
          <w:rFonts w:hint="eastAsia" w:ascii="仿宋" w:hAnsi="仿宋" w:eastAsia="仿宋"/>
          <w:b/>
          <w:sz w:val="28"/>
          <w:szCs w:val="28"/>
        </w:rPr>
        <w:t>第二条 合同标的内容（标的数量或质量等）</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第三条 合同价款（金额）</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第四条 项目履约（交付、交货）地点</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lang w:eastAsia="zh-CN"/>
        </w:rPr>
        <w:t>采购人指定地点</w:t>
      </w:r>
      <w:r>
        <w:rPr>
          <w:rFonts w:hint="eastAsia" w:ascii="仿宋" w:hAnsi="仿宋" w:eastAsia="仿宋"/>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第五条 项目服务期（完工期、履约时间、交货时间）</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第六条 付款期限及方式</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第七条 项目验收标准及方式</w:t>
      </w:r>
    </w:p>
    <w:p>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第八条 甲方的权利和义务</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第九条 乙方的权利和义务</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第十条 违约责任与争议解决办法</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1、合同双方之任何一方不能全面履行合同条款，均属违约。违约所造成的经济损失概由违约方承担赔偿。违约造成工期延误责任分担：甲方违约，工期相应顺延；乙方违约，工期不得顺延。</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2、协商或仲裁：如果发生与本合同的解释或执行中的有关争议，双方首先应通过友好协商解决，否则任何一方可将该争议提交仲裁。仲裁事项应提交</w:t>
      </w:r>
      <w:r>
        <w:rPr>
          <w:rFonts w:hint="eastAsia" w:ascii="仿宋" w:hAnsi="仿宋" w:eastAsia="仿宋"/>
          <w:sz w:val="28"/>
          <w:szCs w:val="28"/>
          <w:lang w:eastAsia="zh-CN"/>
        </w:rPr>
        <w:t>有关部门</w:t>
      </w:r>
      <w:r>
        <w:rPr>
          <w:rFonts w:hint="eastAsia" w:ascii="仿宋" w:hAnsi="仿宋" w:eastAsia="仿宋"/>
          <w:sz w:val="28"/>
          <w:szCs w:val="28"/>
        </w:rPr>
        <w:t>进行裁决。</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第十一条 知识产权、保密或其他事项要求</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1、除政府采购合同继续履行将损害国家利益和社会公共利益外，双方不得擅自变更、中止或者终止合同。</w:t>
      </w:r>
    </w:p>
    <w:p>
      <w:pPr>
        <w:tabs>
          <w:tab w:val="left" w:pos="0"/>
        </w:tabs>
        <w:snapToGrid w:val="0"/>
        <w:spacing w:line="300" w:lineRule="auto"/>
        <w:ind w:firstLine="560" w:firstLineChars="200"/>
        <w:rPr>
          <w:rFonts w:ascii="仿宋" w:hAnsi="仿宋" w:eastAsia="仿宋"/>
          <w:sz w:val="28"/>
          <w:szCs w:val="28"/>
        </w:rPr>
      </w:pPr>
      <w:r>
        <w:rPr>
          <w:rFonts w:hint="eastAsia" w:ascii="仿宋" w:hAnsi="仿宋" w:eastAsia="仿宋"/>
          <w:sz w:val="28"/>
          <w:szCs w:val="28"/>
        </w:rPr>
        <w:t>2、乙方所提供的货物或服务未侵犯知识产权，不会产生因第三方提出的包括但不限于侵犯其专利权、商标权、工业设计权等知识产权和侵犯其所有权、抵押权等物权及其他权利而引发的纠纷。如有纠纷，乙方应承担全部责任。</w:t>
      </w:r>
    </w:p>
    <w:p>
      <w:pPr>
        <w:tabs>
          <w:tab w:val="left" w:pos="0"/>
        </w:tabs>
        <w:snapToGrid w:val="0"/>
        <w:spacing w:line="300" w:lineRule="auto"/>
        <w:rPr>
          <w:rFonts w:ascii="仿宋" w:hAnsi="仿宋" w:eastAsia="仿宋"/>
          <w:sz w:val="28"/>
          <w:szCs w:val="28"/>
        </w:rPr>
      </w:pPr>
      <w:r>
        <w:rPr>
          <w:rFonts w:hint="eastAsia" w:ascii="仿宋_GB2312" w:hAnsi="华文仿宋" w:eastAsia="仿宋_GB2312"/>
          <w:sz w:val="28"/>
          <w:szCs w:val="28"/>
        </w:rPr>
        <w:t>……。</w:t>
      </w:r>
    </w:p>
    <w:p>
      <w:pPr>
        <w:tabs>
          <w:tab w:val="left" w:pos="0"/>
        </w:tabs>
        <w:snapToGrid w:val="0"/>
        <w:spacing w:line="300" w:lineRule="auto"/>
        <w:outlineLvl w:val="2"/>
        <w:rPr>
          <w:rFonts w:ascii="仿宋" w:hAnsi="仿宋" w:eastAsia="仿宋"/>
          <w:b/>
          <w:sz w:val="28"/>
          <w:szCs w:val="28"/>
        </w:rPr>
      </w:pPr>
      <w:r>
        <w:rPr>
          <w:rFonts w:hint="eastAsia" w:ascii="仿宋" w:hAnsi="仿宋" w:eastAsia="仿宋"/>
          <w:b/>
          <w:sz w:val="28"/>
          <w:szCs w:val="28"/>
        </w:rPr>
        <w:t>第十二条 附件（附录）</w:t>
      </w:r>
      <w:r>
        <w:rPr>
          <w:rFonts w:hint="eastAsia" w:ascii="仿宋" w:hAnsi="仿宋" w:eastAsia="仿宋"/>
          <w:sz w:val="28"/>
          <w:szCs w:val="28"/>
        </w:rPr>
        <w:t>（如有，可填写，并附相关内容）</w:t>
      </w:r>
    </w:p>
    <w:p>
      <w:pPr>
        <w:tabs>
          <w:tab w:val="left" w:pos="0"/>
        </w:tabs>
        <w:snapToGrid w:val="0"/>
        <w:spacing w:line="300" w:lineRule="auto"/>
        <w:rPr>
          <w:rFonts w:ascii="仿宋" w:hAnsi="仿宋" w:eastAsia="仿宋"/>
          <w:sz w:val="28"/>
          <w:szCs w:val="28"/>
        </w:rPr>
      </w:pPr>
      <w:r>
        <w:rPr>
          <w:rFonts w:hint="eastAsia" w:ascii="仿宋" w:hAnsi="仿宋" w:eastAsia="仿宋"/>
          <w:sz w:val="28"/>
          <w:szCs w:val="28"/>
        </w:rPr>
        <w:t>……。</w:t>
      </w:r>
    </w:p>
    <w:p>
      <w:pPr>
        <w:snapToGrid w:val="0"/>
        <w:spacing w:line="300" w:lineRule="auto"/>
        <w:ind w:firstLine="200"/>
        <w:rPr>
          <w:rFonts w:ascii="仿宋" w:hAnsi="仿宋" w:eastAsia="仿宋"/>
          <w:sz w:val="28"/>
          <w:szCs w:val="28"/>
        </w:rPr>
      </w:pPr>
    </w:p>
    <w:p>
      <w:pPr>
        <w:snapToGrid w:val="0"/>
        <w:spacing w:line="300" w:lineRule="auto"/>
        <w:ind w:firstLine="200"/>
        <w:rPr>
          <w:rFonts w:ascii="仿宋" w:hAnsi="仿宋" w:eastAsia="仿宋"/>
          <w:sz w:val="28"/>
          <w:szCs w:val="28"/>
        </w:rPr>
      </w:pPr>
    </w:p>
    <w:p>
      <w:pPr>
        <w:snapToGrid w:val="0"/>
        <w:spacing w:line="300" w:lineRule="auto"/>
        <w:ind w:firstLine="200"/>
        <w:rPr>
          <w:rFonts w:ascii="仿宋" w:hAnsi="仿宋" w:eastAsia="仿宋"/>
          <w:sz w:val="28"/>
          <w:szCs w:val="28"/>
        </w:rPr>
      </w:pPr>
    </w:p>
    <w:p>
      <w:pPr>
        <w:snapToGrid w:val="0"/>
        <w:spacing w:line="300" w:lineRule="auto"/>
        <w:rPr>
          <w:rFonts w:ascii="仿宋_GB2312" w:hAnsi="华文仿宋" w:eastAsia="仿宋_GB2312"/>
          <w:sz w:val="28"/>
        </w:rPr>
      </w:pPr>
      <w:r>
        <w:rPr>
          <w:rFonts w:ascii="仿宋_GB2312" w:hAnsi="华文仿宋" w:eastAsia="仿宋_GB2312"/>
          <w:sz w:val="28"/>
        </w:rPr>
        <w:t>甲方（公章）</w:t>
      </w:r>
      <w:r>
        <w:rPr>
          <w:rFonts w:hint="eastAsia" w:ascii="仿宋_GB2312" w:hAnsi="华文仿宋" w:eastAsia="仿宋_GB2312"/>
          <w:sz w:val="28"/>
        </w:rPr>
        <w:t>：</w:t>
      </w:r>
      <w:r>
        <w:rPr>
          <w:rFonts w:ascii="仿宋_GB2312" w:hAnsi="华文仿宋" w:eastAsia="仿宋_GB2312"/>
          <w:sz w:val="28"/>
        </w:rPr>
        <w:t>乙方（公章）</w:t>
      </w:r>
      <w:r>
        <w:rPr>
          <w:rFonts w:hint="eastAsia" w:ascii="仿宋_GB2312" w:hAnsi="华文仿宋" w:eastAsia="仿宋_GB2312"/>
          <w:sz w:val="28"/>
        </w:rPr>
        <w:t>：</w:t>
      </w:r>
    </w:p>
    <w:p>
      <w:pPr>
        <w:snapToGrid w:val="0"/>
        <w:spacing w:line="300" w:lineRule="auto"/>
        <w:rPr>
          <w:rFonts w:ascii="仿宋_GB2312" w:hAnsi="华文仿宋" w:eastAsia="仿宋_GB2312"/>
          <w:sz w:val="28"/>
        </w:rPr>
      </w:pPr>
      <w:r>
        <w:rPr>
          <w:rFonts w:ascii="仿宋_GB2312" w:hAnsi="华文仿宋" w:eastAsia="仿宋_GB2312"/>
          <w:sz w:val="28"/>
        </w:rPr>
        <w:t>法定代表人（签章）</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法定代表人（签章）</w:t>
      </w:r>
    </w:p>
    <w:p>
      <w:pPr>
        <w:snapToGrid w:val="0"/>
        <w:spacing w:line="300" w:lineRule="auto"/>
        <w:rPr>
          <w:rFonts w:ascii="仿宋_GB2312" w:hAnsi="华文仿宋" w:eastAsia="仿宋_GB2312"/>
          <w:sz w:val="28"/>
        </w:rPr>
      </w:pPr>
      <w:r>
        <w:rPr>
          <w:rFonts w:ascii="仿宋_GB2312" w:hAnsi="华文仿宋" w:eastAsia="仿宋_GB2312"/>
          <w:sz w:val="28"/>
        </w:rPr>
        <w:t>或授权代表：</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或授权代表：</w:t>
      </w:r>
    </w:p>
    <w:p>
      <w:pPr>
        <w:snapToGrid w:val="0"/>
        <w:spacing w:line="300" w:lineRule="auto"/>
        <w:rPr>
          <w:rFonts w:ascii="仿宋_GB2312" w:hAnsi="华文仿宋" w:eastAsia="仿宋_GB2312"/>
          <w:sz w:val="28"/>
        </w:rPr>
      </w:pP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 xml:space="preserve">年   月   日     </w:t>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ab/>
      </w:r>
      <w:r>
        <w:rPr>
          <w:rFonts w:ascii="仿宋_GB2312" w:hAnsi="华文仿宋" w:eastAsia="仿宋_GB2312"/>
          <w:sz w:val="28"/>
        </w:rPr>
        <w:t>年   月   日</w:t>
      </w:r>
    </w:p>
    <w:p>
      <w:pPr>
        <w:rPr>
          <w:rFonts w:ascii="Arial" w:hAnsi="Arial" w:eastAsia="宋体"/>
          <w:color w:val="FF0000"/>
        </w:rPr>
      </w:pPr>
    </w:p>
    <w:p>
      <w:pPr>
        <w:rPr>
          <w:rFonts w:ascii="宋体" w:hAnsi="宋体" w:eastAsia="黑体"/>
          <w:b/>
          <w:bCs/>
          <w:color w:val="0000FF"/>
          <w:kern w:val="44"/>
          <w:sz w:val="36"/>
          <w:szCs w:val="44"/>
        </w:rPr>
      </w:pPr>
      <w:r>
        <w:br w:type="page"/>
      </w:r>
    </w:p>
    <w:p>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pPr>
        <w:keepNext/>
        <w:keepLines/>
        <w:numPr>
          <w:ilvl w:val="0"/>
          <w:numId w:val="8"/>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17" w:name="_Hlk72399513"/>
      <w:r>
        <w:rPr>
          <w:rFonts w:hint="eastAsia" w:ascii="Cambria" w:hAnsi="Cambria" w:eastAsia="宋体"/>
          <w:b/>
          <w:bCs/>
          <w:sz w:val="28"/>
          <w:szCs w:val="28"/>
        </w:rPr>
        <w:t>总则</w:t>
      </w:r>
      <w:bookmarkEnd w:id="17"/>
    </w:p>
    <w:p>
      <w:pPr>
        <w:outlineLvl w:val="2"/>
        <w:rPr>
          <w:rFonts w:ascii="黑体" w:hAnsi="宋体" w:eastAsia="黑体"/>
        </w:rPr>
      </w:pPr>
      <w:r>
        <w:rPr>
          <w:rFonts w:hint="eastAsia" w:ascii="黑体" w:hAnsi="宋体" w:eastAsia="黑体"/>
        </w:rPr>
        <w:t>1. 通用条款说明</w:t>
      </w:r>
    </w:p>
    <w:p>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8"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8"/>
    </w:p>
    <w:p>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pPr>
        <w:outlineLvl w:val="2"/>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pPr>
        <w:outlineLvl w:val="2"/>
        <w:rPr>
          <w:rFonts w:ascii="黑体" w:hAnsi="宋体" w:eastAsia="黑体"/>
        </w:rPr>
      </w:pPr>
      <w:r>
        <w:rPr>
          <w:rFonts w:hint="eastAsia" w:ascii="黑体" w:hAnsi="宋体" w:eastAsia="黑体"/>
        </w:rPr>
        <w:t>3．定义</w:t>
      </w:r>
    </w:p>
    <w:p>
      <w:pPr>
        <w:ind w:firstLine="480" w:firstLineChars="200"/>
        <w:rPr>
          <w:rFonts w:ascii="宋体" w:hAnsi="宋体" w:eastAsia="宋体"/>
          <w:szCs w:val="21"/>
        </w:rPr>
      </w:pPr>
      <w:r>
        <w:rPr>
          <w:rFonts w:ascii="宋体" w:hAnsi="宋体" w:eastAsia="宋体"/>
          <w:szCs w:val="21"/>
        </w:rPr>
        <w:t>招标文件中下列术语应解释为：</w:t>
      </w:r>
    </w:p>
    <w:p>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pPr>
        <w:ind w:firstLine="470" w:firstLineChars="196"/>
        <w:rPr>
          <w:rFonts w:ascii="宋体" w:hAnsi="宋体" w:eastAsia="宋体"/>
          <w:szCs w:val="21"/>
        </w:rPr>
      </w:pPr>
      <w:r>
        <w:rPr>
          <w:rFonts w:hint="eastAsia" w:ascii="宋体" w:hAnsi="宋体" w:eastAsia="宋体"/>
          <w:szCs w:val="21"/>
        </w:rPr>
        <w:t>3.2“本文件所述的“</w:t>
      </w:r>
      <w:r>
        <w:rPr>
          <w:rFonts w:hint="eastAsia" w:ascii="宋体" w:hAnsi="宋体" w:eastAsia="宋体"/>
          <w:szCs w:val="21"/>
          <w:lang w:eastAsia="zh-CN"/>
        </w:rPr>
        <w:t>采购代理机构</w:t>
      </w:r>
      <w:r>
        <w:rPr>
          <w:rFonts w:hint="eastAsia" w:ascii="宋体" w:hAnsi="宋体" w:eastAsia="宋体"/>
          <w:szCs w:val="21"/>
        </w:rPr>
        <w:t>”</w:t>
      </w:r>
      <w:r>
        <w:rPr>
          <w:rFonts w:ascii="宋体" w:hAnsi="宋体" w:eastAsia="宋体"/>
          <w:szCs w:val="21"/>
        </w:rPr>
        <w:t>指</w:t>
      </w:r>
      <w:r>
        <w:rPr>
          <w:rFonts w:hint="eastAsia" w:ascii="宋体" w:hAnsi="宋体" w:eastAsia="宋体"/>
          <w:b/>
          <w:bCs/>
          <w:szCs w:val="21"/>
          <w:lang w:eastAsia="zh-CN"/>
        </w:rPr>
        <w:t>新疆丰颢源工程管理咨询有限公司</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9" w:name="_Hlk72398581"/>
      <w:r>
        <w:rPr>
          <w:rFonts w:hint="eastAsia" w:ascii="宋体" w:hAnsi="宋体" w:eastAsia="宋体"/>
          <w:szCs w:val="21"/>
        </w:rPr>
        <w:t>；</w:t>
      </w:r>
      <w:bookmarkEnd w:id="19"/>
    </w:p>
    <w:p>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pPr>
        <w:outlineLvl w:val="2"/>
        <w:rPr>
          <w:rFonts w:ascii="黑体" w:hAnsi="宋体" w:eastAsia="黑体"/>
        </w:rPr>
      </w:pPr>
      <w:r>
        <w:rPr>
          <w:rFonts w:hint="eastAsia" w:ascii="黑体" w:hAnsi="宋体" w:eastAsia="黑体"/>
        </w:rPr>
        <w:t xml:space="preserve">4. </w:t>
      </w:r>
      <w:bookmarkStart w:id="20" w:name="_Hlk72398643"/>
      <w:r>
        <w:rPr>
          <w:rFonts w:hint="eastAsia" w:ascii="黑体" w:hAnsi="宋体" w:eastAsia="黑体"/>
        </w:rPr>
        <w:t>政府采购供应商责任</w:t>
      </w:r>
    </w:p>
    <w:p>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pPr>
        <w:outlineLvl w:val="2"/>
        <w:rPr>
          <w:rFonts w:ascii="黑体" w:hAnsi="宋体" w:eastAsia="黑体"/>
        </w:rPr>
      </w:pPr>
      <w:r>
        <w:rPr>
          <w:rFonts w:hint="eastAsia" w:ascii="黑体" w:hAnsi="宋体" w:eastAsia="黑体"/>
        </w:rPr>
        <w:t>5．投标人参加政府采购的条件</w:t>
      </w:r>
    </w:p>
    <w:p>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pPr>
        <w:ind w:firstLine="470" w:firstLineChars="196"/>
        <w:rPr>
          <w:rFonts w:ascii="宋体" w:hAnsi="宋体" w:eastAsia="宋体"/>
          <w:szCs w:val="21"/>
        </w:rPr>
      </w:pPr>
      <w:r>
        <w:rPr>
          <w:rFonts w:hint="eastAsia" w:ascii="宋体" w:hAnsi="宋体" w:eastAsia="宋体"/>
          <w:szCs w:val="21"/>
        </w:rPr>
        <w:t>5.2投标人资格要求</w:t>
      </w:r>
    </w:p>
    <w:p>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pPr>
        <w:ind w:firstLine="470" w:firstLineChars="196"/>
        <w:rPr>
          <w:rFonts w:ascii="宋体" w:hAnsi="宋体" w:eastAsia="宋体"/>
          <w:szCs w:val="21"/>
        </w:rPr>
      </w:pPr>
      <w:r>
        <w:rPr>
          <w:rFonts w:hint="eastAsia" w:ascii="宋体" w:hAnsi="宋体" w:eastAsia="宋体"/>
          <w:szCs w:val="21"/>
        </w:rPr>
        <w:t>5.3联合体投标</w:t>
      </w:r>
    </w:p>
    <w:p>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pPr>
        <w:ind w:firstLine="470" w:firstLineChars="196"/>
        <w:rPr>
          <w:rFonts w:ascii="宋体" w:hAnsi="宋体" w:eastAsia="宋体"/>
        </w:rPr>
      </w:pPr>
      <w:r>
        <w:rPr>
          <w:rFonts w:hint="eastAsia" w:ascii="宋体" w:hAnsi="宋体" w:eastAsia="宋体"/>
        </w:rPr>
        <w:t>（1）投标联合体各方参加政府采购活动应当具备下列条件：</w:t>
      </w:r>
    </w:p>
    <w:p>
      <w:pPr>
        <w:ind w:left="480" w:leftChars="200" w:firstLine="470" w:firstLineChars="196"/>
        <w:rPr>
          <w:rFonts w:ascii="宋体" w:hAnsi="宋体" w:eastAsia="宋体"/>
        </w:rPr>
      </w:pPr>
      <w:r>
        <w:rPr>
          <w:rFonts w:hint="eastAsia" w:ascii="宋体" w:hAnsi="宋体" w:eastAsia="宋体"/>
        </w:rPr>
        <w:t>1、具有独立承担民事责任的能力；</w:t>
      </w:r>
    </w:p>
    <w:p>
      <w:pPr>
        <w:ind w:left="420" w:firstLine="470" w:firstLineChars="196"/>
        <w:rPr>
          <w:rFonts w:ascii="宋体" w:hAnsi="宋体" w:eastAsia="宋体"/>
        </w:rPr>
      </w:pPr>
      <w:r>
        <w:rPr>
          <w:rFonts w:hint="eastAsia" w:ascii="宋体" w:hAnsi="宋体" w:eastAsia="宋体"/>
        </w:rPr>
        <w:t>2、有良好的商业信誉和健全的财务会计制度；</w:t>
      </w:r>
    </w:p>
    <w:p>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pPr>
        <w:ind w:left="480" w:leftChars="200" w:firstLine="470" w:firstLineChars="196"/>
        <w:rPr>
          <w:rFonts w:ascii="宋体" w:hAnsi="宋体" w:eastAsia="宋体"/>
        </w:rPr>
      </w:pPr>
      <w:r>
        <w:rPr>
          <w:rFonts w:hint="eastAsia" w:ascii="宋体" w:hAnsi="宋体" w:eastAsia="宋体"/>
        </w:rPr>
        <w:t>6、法律、行政法规规定的其他条件。</w:t>
      </w:r>
    </w:p>
    <w:p>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pPr>
        <w:outlineLvl w:val="2"/>
        <w:rPr>
          <w:rFonts w:ascii="黑体" w:hAnsi="宋体" w:eastAsia="黑体"/>
        </w:rPr>
      </w:pPr>
      <w:r>
        <w:rPr>
          <w:rFonts w:hint="eastAsia" w:ascii="黑体" w:hAnsi="宋体" w:eastAsia="黑体"/>
        </w:rPr>
        <w:t>6．政策导向</w:t>
      </w:r>
    </w:p>
    <w:p>
      <w:pPr>
        <w:ind w:firstLine="470" w:firstLineChars="196"/>
        <w:rPr>
          <w:rFonts w:ascii="宋体" w:hAnsi="宋体" w:eastAsia="宋体"/>
        </w:rPr>
      </w:pPr>
      <w:r>
        <w:rPr>
          <w:rFonts w:hint="eastAsia" w:ascii="宋体" w:hAnsi="宋体" w:eastAsia="宋体"/>
        </w:rPr>
        <w:t>6.1政府采购扶持贫困地区、中小企业、监狱企业和残疾人福利性单位发展，支持节能减排、环境保护。</w:t>
      </w:r>
    </w:p>
    <w:p>
      <w:pPr>
        <w:ind w:firstLine="405"/>
        <w:rPr>
          <w:rFonts w:eastAsia="宋体"/>
          <w:shd w:val="clear" w:color="auto" w:fill="FFFFFF"/>
        </w:rPr>
      </w:pPr>
      <w:r>
        <w:rPr>
          <w:rFonts w:hint="eastAsia" w:ascii="宋体" w:hAnsi="宋体" w:eastAsia="宋体"/>
        </w:rPr>
        <w:t>6.2本项目落实政府采购供应商诚信管理政策要求。</w:t>
      </w:r>
    </w:p>
    <w:p>
      <w:pPr>
        <w:outlineLvl w:val="2"/>
        <w:rPr>
          <w:rFonts w:ascii="黑体" w:hAnsi="宋体" w:eastAsia="黑体"/>
        </w:rPr>
      </w:pPr>
      <w:r>
        <w:rPr>
          <w:rFonts w:hint="eastAsia" w:ascii="黑体" w:hAnsi="宋体" w:eastAsia="黑体"/>
        </w:rPr>
        <w:t>7. 本项目若涉及采购货物，则合格的货物及相应服务应满足以下要求：</w:t>
      </w:r>
    </w:p>
    <w:p>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21"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1"/>
    </w:p>
    <w:p>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pPr>
        <w:outlineLvl w:val="2"/>
        <w:rPr>
          <w:rFonts w:ascii="黑体" w:hAnsi="宋体" w:eastAsia="黑体"/>
        </w:rPr>
      </w:pPr>
      <w:r>
        <w:rPr>
          <w:rFonts w:hint="eastAsia" w:ascii="黑体" w:hAnsi="宋体" w:eastAsia="黑体"/>
        </w:rPr>
        <w:t>8．投标费用</w:t>
      </w:r>
    </w:p>
    <w:p>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pPr>
        <w:outlineLvl w:val="2"/>
        <w:rPr>
          <w:rFonts w:ascii="黑体" w:hAnsi="宋体" w:eastAsia="黑体"/>
        </w:rPr>
      </w:pPr>
      <w:r>
        <w:rPr>
          <w:rFonts w:hint="eastAsia" w:ascii="黑体" w:hAnsi="宋体" w:eastAsia="黑体"/>
        </w:rPr>
        <w:t>9．踏勘现场</w:t>
      </w:r>
    </w:p>
    <w:p>
      <w:pPr>
        <w:ind w:firstLine="470" w:firstLineChars="196"/>
        <w:rPr>
          <w:rFonts w:ascii="宋体" w:hAnsi="宋体" w:eastAsia="宋体"/>
          <w:szCs w:val="21"/>
        </w:rPr>
      </w:pPr>
      <w:r>
        <w:rPr>
          <w:rFonts w:hint="eastAsia" w:ascii="宋体" w:hAnsi="宋体" w:eastAsia="宋体"/>
          <w:szCs w:val="21"/>
        </w:rPr>
        <w:t>9.1如有需要，采购人或</w:t>
      </w:r>
      <w:r>
        <w:rPr>
          <w:rFonts w:hint="eastAsia" w:ascii="宋体" w:hAnsi="宋体" w:eastAsia="宋体"/>
          <w:szCs w:val="21"/>
          <w:lang w:eastAsia="zh-CN"/>
        </w:rPr>
        <w:t>采购代理机构</w:t>
      </w:r>
      <w:r>
        <w:rPr>
          <w:rFonts w:hint="eastAsia" w:ascii="宋体" w:hAnsi="宋体" w:eastAsia="宋体"/>
          <w:szCs w:val="21"/>
        </w:rPr>
        <w:t>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pPr>
        <w:ind w:firstLine="470" w:firstLineChars="196"/>
        <w:rPr>
          <w:rFonts w:ascii="宋体" w:hAnsi="宋体" w:eastAsia="宋体"/>
        </w:rPr>
      </w:pPr>
      <w:r>
        <w:rPr>
          <w:rFonts w:hint="eastAsia" w:ascii="宋体" w:hAnsi="宋体" w:eastAsia="宋体"/>
        </w:rPr>
        <w:t>9.3采购人应当通过</w:t>
      </w:r>
      <w:r>
        <w:rPr>
          <w:rFonts w:hint="eastAsia" w:ascii="宋体" w:hAnsi="宋体" w:eastAsia="宋体"/>
          <w:lang w:eastAsia="zh-CN"/>
        </w:rPr>
        <w:t>采购代理机构</w:t>
      </w:r>
      <w:r>
        <w:rPr>
          <w:rFonts w:hint="eastAsia" w:ascii="宋体" w:hAnsi="宋体" w:eastAsia="宋体"/>
        </w:rPr>
        <w:t>向投标人提供有关现场的书面资料和数据。</w:t>
      </w:r>
    </w:p>
    <w:p>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w:t>
      </w:r>
      <w:r>
        <w:rPr>
          <w:rFonts w:hint="eastAsia" w:ascii="宋体" w:hAnsi="宋体" w:eastAsia="宋体"/>
          <w:lang w:eastAsia="zh-CN"/>
        </w:rPr>
        <w:t>采购代理机构</w:t>
      </w:r>
      <w:r>
        <w:rPr>
          <w:rFonts w:hint="eastAsia" w:ascii="宋体" w:hAnsi="宋体" w:eastAsia="宋体"/>
        </w:rPr>
        <w:t>在网上发布或书面通知，均作无效处理。</w:t>
      </w:r>
    </w:p>
    <w:p>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pPr>
        <w:outlineLvl w:val="2"/>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w:t>
      </w:r>
      <w:r>
        <w:rPr>
          <w:rFonts w:hint="eastAsia" w:ascii="宋体" w:hAnsi="宋体" w:eastAsia="宋体"/>
          <w:szCs w:val="21"/>
          <w:lang w:eastAsia="zh-CN"/>
        </w:rPr>
        <w:t>采购代理机构</w:t>
      </w:r>
      <w:r>
        <w:rPr>
          <w:rFonts w:hint="eastAsia" w:ascii="宋体" w:hAnsi="宋体" w:eastAsia="宋体"/>
          <w:szCs w:val="21"/>
        </w:rPr>
        <w:t>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w:t>
      </w:r>
      <w:r>
        <w:rPr>
          <w:rFonts w:hint="eastAsia" w:ascii="宋体" w:hAnsi="宋体" w:eastAsia="宋体"/>
          <w:lang w:eastAsia="zh-CN"/>
        </w:rPr>
        <w:t>采购代理机构</w:t>
      </w:r>
      <w:r>
        <w:rPr>
          <w:rFonts w:hint="eastAsia" w:ascii="宋体" w:hAnsi="宋体" w:eastAsia="宋体"/>
        </w:rPr>
        <w:t>在网上发布或书面通知，均作无效处理。</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20"/>
    </w:p>
    <w:p>
      <w:pPr>
        <w:keepNext/>
        <w:keepLines/>
        <w:numPr>
          <w:ilvl w:val="0"/>
          <w:numId w:val="8"/>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招标文件</w:t>
      </w:r>
    </w:p>
    <w:p>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2" w:name="_Hlk72399819"/>
      <w:r>
        <w:rPr>
          <w:rFonts w:hint="eastAsia" w:ascii="黑体" w:hAnsi="宋体" w:eastAsia="黑体"/>
        </w:rPr>
        <w:t>招标文件的编制与组成</w:t>
      </w:r>
    </w:p>
    <w:p>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pPr>
        <w:ind w:firstLine="470" w:firstLineChars="196"/>
        <w:rPr>
          <w:rFonts w:ascii="宋体" w:hAnsi="宋体" w:eastAsia="宋体"/>
          <w:szCs w:val="21"/>
        </w:rPr>
      </w:pPr>
      <w:r>
        <w:rPr>
          <w:rFonts w:hint="eastAsia" w:ascii="宋体" w:hAnsi="宋体" w:eastAsia="宋体"/>
          <w:szCs w:val="21"/>
        </w:rPr>
        <w:t>招标文件包括下列内容：</w:t>
      </w:r>
    </w:p>
    <w:p>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pPr>
        <w:ind w:left="1234" w:leftChars="514"/>
        <w:rPr>
          <w:rFonts w:ascii="宋体" w:hAnsi="宋体" w:eastAsia="宋体"/>
          <w:b/>
          <w:szCs w:val="21"/>
        </w:rPr>
      </w:pPr>
      <w:r>
        <w:rPr>
          <w:rFonts w:hint="eastAsia" w:ascii="宋体" w:hAnsi="宋体" w:eastAsia="宋体"/>
          <w:b/>
          <w:szCs w:val="21"/>
        </w:rPr>
        <w:t>关键信息</w:t>
      </w:r>
    </w:p>
    <w:p>
      <w:pPr>
        <w:ind w:left="720" w:leftChars="300" w:firstLine="470" w:firstLineChars="196"/>
        <w:rPr>
          <w:rFonts w:ascii="宋体" w:hAnsi="宋体" w:eastAsia="宋体"/>
          <w:szCs w:val="21"/>
        </w:rPr>
      </w:pPr>
      <w:r>
        <w:rPr>
          <w:rFonts w:hint="eastAsia" w:ascii="宋体" w:hAnsi="宋体" w:eastAsia="宋体"/>
          <w:szCs w:val="21"/>
        </w:rPr>
        <w:t>第一章  招标公告</w:t>
      </w:r>
    </w:p>
    <w:p>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pPr>
        <w:ind w:left="720" w:leftChars="300" w:firstLine="470" w:firstLineChars="196"/>
        <w:rPr>
          <w:rFonts w:ascii="宋体" w:hAnsi="宋体" w:eastAsia="宋体"/>
          <w:szCs w:val="21"/>
        </w:rPr>
      </w:pPr>
      <w:r>
        <w:rPr>
          <w:rFonts w:hint="eastAsia" w:ascii="宋体" w:hAnsi="宋体" w:eastAsia="宋体"/>
          <w:szCs w:val="21"/>
        </w:rPr>
        <w:t>第三章  用户需求书</w:t>
      </w:r>
    </w:p>
    <w:p>
      <w:pPr>
        <w:ind w:left="720" w:leftChars="300" w:firstLine="470" w:firstLineChars="196"/>
        <w:rPr>
          <w:rFonts w:ascii="宋体" w:hAnsi="宋体" w:eastAsia="宋体"/>
          <w:szCs w:val="21"/>
        </w:rPr>
      </w:pPr>
      <w:r>
        <w:rPr>
          <w:rFonts w:hint="eastAsia" w:eastAsia="宋体"/>
        </w:rPr>
        <w:t>第四章投标文件格式及附件</w:t>
      </w:r>
    </w:p>
    <w:p>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pPr>
        <w:ind w:left="720" w:leftChars="300" w:firstLine="470" w:firstLineChars="196"/>
        <w:rPr>
          <w:rFonts w:ascii="宋体" w:hAnsi="宋体" w:eastAsia="宋体"/>
          <w:szCs w:val="21"/>
        </w:rPr>
      </w:pPr>
      <w:r>
        <w:rPr>
          <w:rFonts w:hint="eastAsia" w:ascii="宋体" w:hAnsi="宋体" w:eastAsia="宋体"/>
          <w:szCs w:val="21"/>
        </w:rPr>
        <w:t>第一章  总则</w:t>
      </w:r>
    </w:p>
    <w:p>
      <w:pPr>
        <w:ind w:left="720" w:leftChars="300" w:firstLine="470" w:firstLineChars="196"/>
        <w:rPr>
          <w:rFonts w:ascii="宋体" w:hAnsi="宋体" w:eastAsia="宋体"/>
          <w:szCs w:val="21"/>
        </w:rPr>
      </w:pPr>
      <w:r>
        <w:rPr>
          <w:rFonts w:hint="eastAsia" w:ascii="宋体" w:hAnsi="宋体" w:eastAsia="宋体"/>
          <w:szCs w:val="21"/>
        </w:rPr>
        <w:t>第二章  招标文件</w:t>
      </w:r>
    </w:p>
    <w:p>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pPr>
        <w:ind w:left="720" w:leftChars="300" w:firstLine="470" w:firstLineChars="196"/>
        <w:rPr>
          <w:rFonts w:ascii="宋体" w:hAnsi="宋体" w:eastAsia="宋体"/>
          <w:szCs w:val="21"/>
        </w:rPr>
      </w:pPr>
      <w:r>
        <w:rPr>
          <w:rFonts w:hint="eastAsia" w:ascii="宋体" w:hAnsi="宋体" w:eastAsia="宋体"/>
          <w:szCs w:val="21"/>
        </w:rPr>
        <w:t>第五章  开标</w:t>
      </w:r>
    </w:p>
    <w:p>
      <w:pPr>
        <w:ind w:left="720" w:leftChars="300" w:firstLine="470" w:firstLineChars="196"/>
        <w:rPr>
          <w:rFonts w:ascii="宋体" w:hAnsi="宋体" w:eastAsia="宋体"/>
          <w:szCs w:val="21"/>
        </w:rPr>
      </w:pPr>
      <w:r>
        <w:rPr>
          <w:rFonts w:hint="eastAsia" w:ascii="宋体" w:hAnsi="宋体" w:eastAsia="宋体"/>
          <w:szCs w:val="21"/>
        </w:rPr>
        <w:t>第六章  评审要求</w:t>
      </w:r>
    </w:p>
    <w:p>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pPr>
        <w:ind w:left="720" w:leftChars="300" w:firstLine="470" w:firstLineChars="196"/>
        <w:rPr>
          <w:rFonts w:ascii="宋体" w:hAnsi="宋体" w:eastAsia="宋体"/>
          <w:szCs w:val="21"/>
        </w:rPr>
      </w:pPr>
      <w:r>
        <w:rPr>
          <w:rFonts w:hint="eastAsia" w:ascii="宋体" w:hAnsi="宋体" w:eastAsia="宋体"/>
          <w:szCs w:val="21"/>
        </w:rPr>
        <w:t>第八章  定标及公示</w:t>
      </w:r>
    </w:p>
    <w:p>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pPr>
        <w:ind w:left="720" w:leftChars="300" w:firstLine="470" w:firstLineChars="196"/>
        <w:rPr>
          <w:rFonts w:ascii="宋体" w:hAnsi="宋体" w:eastAsia="宋体"/>
          <w:szCs w:val="21"/>
        </w:rPr>
      </w:pPr>
      <w:r>
        <w:rPr>
          <w:rFonts w:hint="eastAsia" w:ascii="宋体" w:hAnsi="宋体" w:eastAsia="宋体"/>
          <w:szCs w:val="21"/>
        </w:rPr>
        <w:t>第十一章  质疑处理</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采购人或采购代理机构</w:t>
      </w:r>
      <w:r>
        <w:rPr>
          <w:rFonts w:hint="eastAsia" w:ascii="宋体" w:hAnsi="宋体" w:eastAsia="宋体"/>
        </w:rPr>
        <w:t>在网上发布或书面通知，均作无效处理，不得作为招标文件的组成部分。</w:t>
      </w:r>
      <w:r>
        <w:rPr>
          <w:rFonts w:hint="eastAsia" w:ascii="宋体" w:hAnsi="宋体" w:eastAsia="宋体"/>
          <w:lang w:eastAsia="zh-CN"/>
        </w:rPr>
        <w:t>采购代理机构</w:t>
      </w:r>
      <w:r>
        <w:rPr>
          <w:rFonts w:hint="eastAsia" w:ascii="宋体" w:hAnsi="宋体" w:eastAsia="宋体"/>
        </w:rPr>
        <w:t>对投标人由此而做出的推论、理解和结论概不负责。</w:t>
      </w:r>
    </w:p>
    <w:p>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采购人或采购代理机构</w:t>
      </w:r>
      <w:r>
        <w:rPr>
          <w:rFonts w:hint="eastAsia" w:ascii="宋体" w:hAnsi="宋体" w:eastAsia="宋体"/>
          <w:szCs w:val="21"/>
        </w:rPr>
        <w:t>根据需要主动对招标文件进行必要的澄清或是根据投标人的要求对招标文件做出澄清，</w:t>
      </w:r>
      <w:r>
        <w:rPr>
          <w:rFonts w:hint="eastAsia" w:ascii="宋体" w:hAnsi="宋体" w:eastAsia="宋体"/>
          <w:szCs w:val="21"/>
          <w:lang w:eastAsia="zh-CN"/>
        </w:rPr>
        <w:t>采购人或采购代理机构</w:t>
      </w:r>
      <w:r>
        <w:rPr>
          <w:rFonts w:hint="eastAsia" w:ascii="宋体" w:hAnsi="宋体" w:eastAsia="宋体"/>
          <w:szCs w:val="21"/>
        </w:rPr>
        <w:t>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pPr>
        <w:rPr>
          <w:rFonts w:ascii="黑体" w:hAnsi="宋体" w:eastAsia="黑体"/>
        </w:rPr>
      </w:pPr>
      <w:r>
        <w:rPr>
          <w:rFonts w:ascii="黑体" w:hAnsi="宋体" w:eastAsia="黑体"/>
        </w:rPr>
        <w:t>1</w:t>
      </w:r>
      <w:r>
        <w:rPr>
          <w:rFonts w:hint="eastAsia" w:ascii="黑体" w:hAnsi="宋体" w:eastAsia="黑体"/>
        </w:rPr>
        <w:t>3．招标文件的修改</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采购人或采购代理机构</w:t>
      </w:r>
      <w:r>
        <w:rPr>
          <w:rFonts w:hint="eastAsia" w:ascii="宋体" w:hAnsi="宋体" w:eastAsia="宋体"/>
          <w:szCs w:val="21"/>
        </w:rPr>
        <w:t>可主动或在解答投标人提出的澄清问题时对招标文件进行修改。</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采购人或采购代理机构</w:t>
      </w:r>
      <w:r>
        <w:rPr>
          <w:rFonts w:hint="eastAsia" w:ascii="宋体" w:hAnsi="宋体" w:eastAsia="宋体"/>
          <w:szCs w:val="21"/>
        </w:rPr>
        <w:t>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w:t>
      </w:r>
      <w:r>
        <w:rPr>
          <w:rFonts w:hint="eastAsia" w:ascii="宋体" w:hAnsi="宋体" w:eastAsia="宋体"/>
          <w:szCs w:val="21"/>
          <w:lang w:eastAsia="zh-CN"/>
        </w:rPr>
        <w:t>采购代理机构</w:t>
      </w:r>
      <w:r>
        <w:rPr>
          <w:rFonts w:hint="eastAsia" w:ascii="宋体" w:hAnsi="宋体" w:eastAsia="宋体"/>
          <w:szCs w:val="21"/>
        </w:rPr>
        <w:t>可以酌情延长递交投标文件的截止日期。</w:t>
      </w:r>
      <w:bookmarkEnd w:id="22"/>
    </w:p>
    <w:p>
      <w:pPr>
        <w:keepNext/>
        <w:keepLines/>
        <w:numPr>
          <w:ilvl w:val="0"/>
          <w:numId w:val="8"/>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投标文件的编制</w:t>
      </w:r>
    </w:p>
    <w:p>
      <w:pPr>
        <w:rPr>
          <w:rFonts w:ascii="黑体" w:hAnsi="宋体" w:eastAsia="黑体"/>
        </w:rPr>
      </w:pPr>
      <w:r>
        <w:rPr>
          <w:rFonts w:hint="eastAsia" w:ascii="黑体" w:hAnsi="宋体" w:eastAsia="黑体"/>
        </w:rPr>
        <w:t>14．</w:t>
      </w:r>
      <w:bookmarkStart w:id="23" w:name="_Hlk72400236"/>
      <w:r>
        <w:rPr>
          <w:rFonts w:hint="eastAsia" w:ascii="黑体" w:hAnsi="宋体" w:eastAsia="黑体"/>
        </w:rPr>
        <w:t>投标文件的语言及度量单位</w:t>
      </w:r>
    </w:p>
    <w:p>
      <w:pPr>
        <w:ind w:firstLine="470" w:firstLineChars="196"/>
        <w:rPr>
          <w:rFonts w:ascii="宋体" w:hAnsi="宋体" w:eastAsia="宋体"/>
          <w:szCs w:val="21"/>
        </w:rPr>
      </w:pPr>
      <w:r>
        <w:rPr>
          <w:rFonts w:hint="eastAsia" w:ascii="宋体" w:hAnsi="宋体" w:eastAsia="宋体"/>
          <w:szCs w:val="21"/>
        </w:rPr>
        <w:t>14.1 投标人与</w:t>
      </w:r>
      <w:r>
        <w:rPr>
          <w:rFonts w:hint="eastAsia" w:ascii="宋体" w:hAnsi="宋体" w:eastAsia="宋体"/>
          <w:szCs w:val="21"/>
          <w:lang w:eastAsia="zh-CN"/>
        </w:rPr>
        <w:t>采购代理机构</w:t>
      </w:r>
      <w:r>
        <w:rPr>
          <w:rFonts w:hint="eastAsia" w:ascii="宋体" w:hAnsi="宋体" w:eastAsia="宋体"/>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3"/>
    </w:p>
    <w:p>
      <w:pPr>
        <w:rPr>
          <w:rFonts w:ascii="黑体" w:hAnsi="宋体" w:eastAsia="黑体"/>
        </w:rPr>
      </w:pPr>
      <w:r>
        <w:rPr>
          <w:rFonts w:hint="eastAsia" w:ascii="黑体" w:hAnsi="宋体" w:eastAsia="黑体"/>
        </w:rPr>
        <w:t>15．</w:t>
      </w:r>
      <w:bookmarkStart w:id="24" w:name="_Hlk72401567"/>
      <w:r>
        <w:rPr>
          <w:rFonts w:hint="eastAsia" w:ascii="黑体" w:hAnsi="宋体" w:eastAsia="黑体"/>
        </w:rPr>
        <w:t>投标文件的组成</w:t>
      </w:r>
    </w:p>
    <w:p>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pPr>
        <w:rPr>
          <w:rFonts w:ascii="黑体" w:hAnsi="宋体" w:eastAsia="黑体"/>
        </w:rPr>
      </w:pPr>
      <w:r>
        <w:rPr>
          <w:rFonts w:ascii="黑体" w:hAnsi="宋体" w:eastAsia="黑体"/>
        </w:rPr>
        <w:t>16．投标文件格式</w:t>
      </w:r>
    </w:p>
    <w:p>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pPr>
        <w:rPr>
          <w:rFonts w:ascii="黑体" w:hAnsi="宋体" w:eastAsia="黑体"/>
        </w:rPr>
      </w:pPr>
      <w:r>
        <w:rPr>
          <w:rFonts w:hint="eastAsia" w:ascii="黑体" w:hAnsi="宋体" w:eastAsia="黑体"/>
        </w:rPr>
        <w:t>17．投标货币</w:t>
      </w:r>
    </w:p>
    <w:p>
      <w:pPr>
        <w:ind w:firstLine="470" w:firstLineChars="196"/>
        <w:rPr>
          <w:rFonts w:ascii="宋体" w:hAnsi="宋体" w:eastAsia="宋体"/>
          <w:szCs w:val="21"/>
        </w:rPr>
      </w:pPr>
      <w:r>
        <w:rPr>
          <w:rFonts w:hint="eastAsia" w:ascii="宋体" w:hAnsi="宋体" w:eastAsia="宋体"/>
          <w:szCs w:val="21"/>
        </w:rPr>
        <w:t>本项目的投标报价应以人民币计。</w:t>
      </w:r>
      <w:bookmarkEnd w:id="24"/>
    </w:p>
    <w:p>
      <w:pPr>
        <w:rPr>
          <w:rFonts w:ascii="黑体" w:hAnsi="宋体" w:eastAsia="黑体"/>
        </w:rPr>
      </w:pPr>
      <w:r>
        <w:rPr>
          <w:rFonts w:hint="eastAsia" w:ascii="黑体" w:hAnsi="宋体" w:eastAsia="黑体"/>
        </w:rPr>
        <w:t>18．</w:t>
      </w:r>
      <w:bookmarkStart w:id="25" w:name="_Hlk72401735"/>
      <w:r>
        <w:rPr>
          <w:rFonts w:hint="eastAsia" w:ascii="黑体" w:hAnsi="宋体" w:eastAsia="黑体"/>
        </w:rPr>
        <w:t>证明投标文件投标技术方案的合格性和符合招标文件规定的文件要求</w:t>
      </w:r>
    </w:p>
    <w:p>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70" w:firstLineChars="196"/>
        <w:rPr>
          <w:rFonts w:ascii="宋体" w:hAnsi="宋体" w:eastAsia="宋体"/>
          <w:szCs w:val="21"/>
        </w:rPr>
      </w:pPr>
      <w:r>
        <w:rPr>
          <w:rFonts w:hint="eastAsia" w:ascii="宋体" w:hAnsi="宋体" w:eastAsia="宋体"/>
          <w:szCs w:val="21"/>
        </w:rPr>
        <w:t>18.2.1主要技术指标和性能的详细说明。</w:t>
      </w:r>
    </w:p>
    <w:p>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清晰度要求能够使用电脑阅读、识别和判断</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18.2.5我国政府机构出具的产品检验和核准证件应为证件正面、背面和附件标注的全部具体内容；产品检验和核准证件的尺寸和清晰度应该能够在电脑上被阅读、识别和判断，提供扫描件。</w:t>
      </w:r>
    </w:p>
    <w:p>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5"/>
    </w:p>
    <w:p>
      <w:pPr>
        <w:rPr>
          <w:rFonts w:ascii="黑体" w:hAnsi="宋体" w:eastAsia="黑体"/>
        </w:rPr>
      </w:pPr>
      <w:r>
        <w:rPr>
          <w:rFonts w:hint="eastAsia" w:ascii="黑体" w:hAnsi="宋体" w:eastAsia="黑体"/>
        </w:rPr>
        <w:t>19．</w:t>
      </w:r>
      <w:bookmarkStart w:id="26" w:name="_Hlk72402034"/>
      <w:r>
        <w:rPr>
          <w:rFonts w:hint="eastAsia" w:ascii="黑体" w:hAnsi="宋体" w:eastAsia="黑体"/>
        </w:rPr>
        <w:t>投标文件其他证明文件的要求</w:t>
      </w:r>
    </w:p>
    <w:p>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7" w:name="_Hlk71407299"/>
      <w:bookmarkEnd w:id="27"/>
    </w:p>
    <w:p>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rPr>
      </w:pPr>
      <w:r>
        <w:rPr>
          <w:rFonts w:hint="eastAsia" w:ascii="黑体" w:hAnsi="宋体" w:eastAsia="黑体"/>
        </w:rPr>
        <w:t>20．投标有效期</w:t>
      </w:r>
    </w:p>
    <w:bookmarkEnd w:id="26"/>
    <w:p>
      <w:pPr>
        <w:ind w:firstLine="470" w:firstLineChars="196"/>
        <w:rPr>
          <w:rFonts w:ascii="宋体" w:hAnsi="宋体" w:eastAsia="宋体"/>
          <w:szCs w:val="21"/>
        </w:rPr>
      </w:pPr>
      <w:bookmarkStart w:id="28"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采购人或采购代理机构</w:t>
      </w:r>
      <w:r>
        <w:rPr>
          <w:rFonts w:hint="eastAsia" w:ascii="宋体" w:hAnsi="宋体" w:eastAsia="宋体"/>
          <w:szCs w:val="21"/>
        </w:rPr>
        <w:t>在原定的投标有效期满之前，</w:t>
      </w:r>
      <w:r>
        <w:rPr>
          <w:rFonts w:hint="eastAsia" w:ascii="宋体" w:hAnsi="宋体" w:eastAsia="宋体"/>
          <w:szCs w:val="21"/>
          <w:lang w:eastAsia="zh-CN"/>
        </w:rPr>
        <w:t>采购人或采购代理机构</w:t>
      </w:r>
      <w:r>
        <w:rPr>
          <w:rFonts w:hint="eastAsia" w:ascii="宋体" w:hAnsi="宋体" w:eastAsia="宋体"/>
          <w:szCs w:val="21"/>
        </w:rPr>
        <w:t>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w:t>
      </w:r>
      <w:r>
        <w:rPr>
          <w:rFonts w:hint="eastAsia" w:ascii="宋体" w:hAnsi="宋体" w:eastAsia="宋体"/>
          <w:szCs w:val="21"/>
          <w:lang w:eastAsia="zh-CN"/>
        </w:rPr>
        <w:t>采购代理机构</w:t>
      </w:r>
      <w:r>
        <w:rPr>
          <w:rFonts w:hint="eastAsia" w:ascii="宋体" w:hAnsi="宋体" w:eastAsia="宋体"/>
          <w:szCs w:val="21"/>
        </w:rPr>
        <w:t>此项要求，其投标在原投标有效期满后不再有效。同意延长投标有效期的投标人不能要求也不允许修改其投标文件。</w:t>
      </w:r>
    </w:p>
    <w:p>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8"/>
    </w:p>
    <w:p>
      <w:pPr>
        <w:rPr>
          <w:rFonts w:ascii="黑体" w:hAnsi="宋体" w:eastAsia="黑体"/>
        </w:rPr>
      </w:pPr>
      <w:r>
        <w:rPr>
          <w:rFonts w:hint="eastAsia" w:ascii="黑体" w:hAnsi="宋体" w:eastAsia="黑体"/>
        </w:rPr>
        <w:t>21．</w:t>
      </w:r>
      <w:bookmarkStart w:id="29" w:name="_Hlk72402325"/>
      <w:r>
        <w:rPr>
          <w:rFonts w:hint="eastAsia" w:ascii="黑体" w:hAnsi="宋体" w:eastAsia="黑体"/>
        </w:rPr>
        <w:t xml:space="preserve">关于投标保证金 </w:t>
      </w:r>
    </w:p>
    <w:p>
      <w:pPr>
        <w:pStyle w:val="13"/>
        <w:tabs>
          <w:tab w:val="left" w:pos="5580"/>
        </w:tabs>
        <w:spacing w:line="240" w:lineRule="atLeast"/>
        <w:rPr>
          <w:rFonts w:hint="default" w:hAnsi="宋体" w:eastAsia="宋体"/>
          <w:szCs w:val="21"/>
          <w:lang w:val="en-US" w:eastAsia="zh-CN"/>
        </w:rPr>
      </w:pPr>
      <w:r>
        <w:rPr>
          <w:rFonts w:hint="eastAsia" w:hAnsi="宋体" w:eastAsia="宋体"/>
          <w:szCs w:val="21"/>
          <w:lang w:val="en-US" w:eastAsia="zh-CN"/>
        </w:rPr>
        <w:t>时间：投标截止日期前一天（2022年1月15日11:00）</w:t>
      </w:r>
    </w:p>
    <w:p>
      <w:pPr>
        <w:pStyle w:val="13"/>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hAnsi="宋体" w:eastAsia="宋体"/>
          <w:szCs w:val="21"/>
          <w:lang w:eastAsia="zh-CN"/>
        </w:rPr>
        <w:t>应</w:t>
      </w:r>
      <w:r>
        <w:rPr>
          <w:rFonts w:hint="eastAsia" w:ascii="宋体" w:hAnsi="宋体" w:eastAsia="宋体"/>
          <w:szCs w:val="21"/>
        </w:rPr>
        <w:t>注明投标保证金项目名称及项目编号</w:t>
      </w:r>
      <w:r>
        <w:rPr>
          <w:rFonts w:hint="eastAsia" w:eastAsia="宋体"/>
        </w:rPr>
        <w:t>。</w:t>
      </w:r>
    </w:p>
    <w:p>
      <w:pPr>
        <w:rPr>
          <w:rFonts w:ascii="黑体" w:hAnsi="宋体" w:eastAsia="黑体"/>
        </w:rPr>
      </w:pPr>
      <w:r>
        <w:rPr>
          <w:rFonts w:hint="eastAsia" w:ascii="黑体" w:hAnsi="宋体" w:eastAsia="黑体"/>
        </w:rPr>
        <w:t>22．投标人的替代方案</w:t>
      </w:r>
    </w:p>
    <w:p>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9"/>
    </w:p>
    <w:p>
      <w:pPr>
        <w:rPr>
          <w:rFonts w:ascii="黑体" w:hAnsi="宋体" w:eastAsia="黑体"/>
        </w:rPr>
      </w:pPr>
      <w:r>
        <w:rPr>
          <w:rFonts w:hint="eastAsia" w:ascii="黑体" w:hAnsi="宋体" w:eastAsia="黑体"/>
        </w:rPr>
        <w:t>23．</w:t>
      </w:r>
      <w:bookmarkStart w:id="30"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pPr>
        <w:ind w:firstLine="470" w:firstLineChars="196"/>
        <w:rPr>
          <w:rFonts w:ascii="宋体" w:hAnsi="宋体" w:eastAsia="宋体"/>
        </w:rPr>
      </w:pPr>
      <w:r>
        <w:rPr>
          <w:rFonts w:hint="eastAsia" w:ascii="宋体" w:hAnsi="宋体" w:eastAsia="宋体"/>
        </w:rPr>
        <w:t>23.2</w:t>
      </w:r>
      <w:r>
        <w:rPr>
          <w:rFonts w:hint="eastAsia" w:ascii="宋体" w:hAnsi="宋体" w:eastAsia="宋体"/>
          <w:lang w:eastAsia="zh-CN"/>
        </w:rPr>
        <w:t>采购代理机构</w:t>
      </w:r>
      <w:r>
        <w:rPr>
          <w:rFonts w:hint="eastAsia" w:ascii="宋体" w:hAnsi="宋体" w:eastAsia="宋体"/>
        </w:rPr>
        <w:t>不接受投标截止时间后递交的纸质、电子、传真等所有形式的投标文件。由于对网上政府采购系统操作不熟悉或自身电脑、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23.3电报、电话、传真形式的投标概不接受。</w:t>
      </w:r>
    </w:p>
    <w:p>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30"/>
    </w:p>
    <w:p>
      <w:pPr>
        <w:keepNext/>
        <w:keepLines/>
        <w:numPr>
          <w:ilvl w:val="0"/>
          <w:numId w:val="8"/>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投标文件的递交</w:t>
      </w:r>
    </w:p>
    <w:p>
      <w:pPr>
        <w:jc w:val="center"/>
        <w:rPr>
          <w:rFonts w:ascii="宋体" w:hAnsi="宋体" w:eastAsia="宋体" w:cs="宋体"/>
        </w:rPr>
      </w:pPr>
      <w:bookmarkStart w:id="31" w:name="_Hlk72405459"/>
      <w:r>
        <w:rPr>
          <w:rFonts w:hint="eastAsia" w:ascii="黑体" w:hAnsi="宋体" w:eastAsia="黑体"/>
        </w:rPr>
        <w:t>24．电子加密投标文件上传至政府采购云平台投标客户端</w:t>
      </w:r>
    </w:p>
    <w:p>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pPr>
        <w:jc w:val="center"/>
        <w:rPr>
          <w:rFonts w:eastAsia="宋体"/>
        </w:rPr>
      </w:pPr>
    </w:p>
    <w:bookmarkEnd w:id="31"/>
    <w:p>
      <w:pPr>
        <w:rPr>
          <w:rFonts w:ascii="黑体" w:hAnsi="宋体" w:eastAsia="黑体"/>
        </w:rPr>
      </w:pPr>
      <w:bookmarkStart w:id="32"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eastAsia="zh-CN"/>
        </w:rPr>
        <w:t>采购代理机构</w:t>
      </w:r>
      <w:r>
        <w:rPr>
          <w:rFonts w:hint="eastAsia" w:ascii="宋体" w:hAnsi="宋体" w:eastAsia="宋体"/>
          <w:szCs w:val="21"/>
        </w:rPr>
        <w:t>不退还投标文件，专用条款另有规定的除外。</w:t>
      </w:r>
      <w:bookmarkEnd w:id="32"/>
    </w:p>
    <w:p>
      <w:pPr>
        <w:keepNext/>
        <w:keepLines/>
        <w:numPr>
          <w:ilvl w:val="0"/>
          <w:numId w:val="8"/>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开标</w:t>
      </w:r>
    </w:p>
    <w:p>
      <w:pPr>
        <w:rPr>
          <w:rFonts w:ascii="黑体" w:hAnsi="宋体" w:eastAsia="黑体"/>
        </w:rPr>
      </w:pPr>
      <w:r>
        <w:rPr>
          <w:rFonts w:hint="eastAsia" w:ascii="黑体" w:hAnsi="宋体" w:eastAsia="黑体"/>
        </w:rPr>
        <w:t>28．开标</w:t>
      </w:r>
    </w:p>
    <w:p>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pPr>
        <w:keepNext/>
        <w:keepLines/>
        <w:numPr>
          <w:ilvl w:val="0"/>
          <w:numId w:val="8"/>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评审要求</w:t>
      </w:r>
    </w:p>
    <w:p>
      <w:pPr>
        <w:rPr>
          <w:rFonts w:ascii="黑体" w:hAnsi="宋体" w:eastAsia="黑体"/>
          <w:color w:val="auto"/>
        </w:rPr>
      </w:pPr>
      <w:r>
        <w:rPr>
          <w:rFonts w:hint="eastAsia" w:ascii="黑体" w:hAnsi="宋体" w:eastAsia="黑体"/>
          <w:color w:val="auto"/>
        </w:rPr>
        <w:t>29．评审委员会组成</w:t>
      </w:r>
    </w:p>
    <w:p>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3"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3"/>
    </w:p>
    <w:p>
      <w:pPr>
        <w:ind w:firstLine="470" w:firstLineChars="196"/>
        <w:rPr>
          <w:rFonts w:ascii="宋体" w:hAnsi="宋体" w:eastAsia="宋体"/>
        </w:rPr>
      </w:pPr>
      <w:r>
        <w:rPr>
          <w:rFonts w:hint="eastAsia" w:ascii="宋体" w:hAnsi="宋体" w:eastAsia="宋体"/>
        </w:rPr>
        <w:t>29.2评审定标应当遵循公平、公正、科学、择优的原则。</w:t>
      </w:r>
    </w:p>
    <w:p>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pPr>
        <w:rPr>
          <w:rFonts w:ascii="黑体" w:hAnsi="宋体" w:eastAsia="黑体"/>
        </w:rPr>
      </w:pPr>
      <w:r>
        <w:rPr>
          <w:rFonts w:hint="eastAsia" w:ascii="黑体" w:hAnsi="宋体" w:eastAsia="黑体"/>
        </w:rPr>
        <w:t>30．向评审委员会提供的资料</w:t>
      </w:r>
    </w:p>
    <w:p>
      <w:pPr>
        <w:ind w:firstLine="470" w:firstLineChars="196"/>
        <w:rPr>
          <w:rFonts w:ascii="宋体" w:hAnsi="宋体" w:eastAsia="宋体"/>
        </w:rPr>
      </w:pPr>
      <w:r>
        <w:rPr>
          <w:rFonts w:hint="eastAsia" w:ascii="宋体" w:hAnsi="宋体" w:eastAsia="宋体"/>
        </w:rPr>
        <w:t>30.1公开发布的招标文件，包括图纸、服务清单、答疑文件等；</w:t>
      </w:r>
    </w:p>
    <w:p>
      <w:pPr>
        <w:ind w:firstLine="470" w:firstLineChars="196"/>
        <w:rPr>
          <w:rFonts w:ascii="宋体" w:hAnsi="宋体" w:eastAsia="宋体"/>
        </w:rPr>
      </w:pPr>
      <w:r>
        <w:rPr>
          <w:rFonts w:hint="eastAsia" w:ascii="宋体" w:hAnsi="宋体" w:eastAsia="宋体"/>
        </w:rPr>
        <w:t>30.2其他评标必须的资料。</w:t>
      </w:r>
    </w:p>
    <w:p>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pPr>
        <w:ind w:firstLine="470" w:firstLineChars="196"/>
        <w:rPr>
          <w:rFonts w:ascii="宋体" w:hAnsi="宋体" w:eastAsia="宋体"/>
        </w:rPr>
      </w:pPr>
      <w:r>
        <w:rPr>
          <w:rFonts w:hint="eastAsia" w:ascii="宋体" w:hAnsi="宋体" w:eastAsia="宋体"/>
        </w:rPr>
        <w:t>（1）招标的目的；</w:t>
      </w:r>
    </w:p>
    <w:p>
      <w:pPr>
        <w:ind w:firstLine="470" w:firstLineChars="196"/>
        <w:rPr>
          <w:rFonts w:ascii="宋体" w:hAnsi="宋体" w:eastAsia="宋体"/>
        </w:rPr>
      </w:pPr>
      <w:r>
        <w:rPr>
          <w:rFonts w:hint="eastAsia" w:ascii="宋体" w:hAnsi="宋体" w:eastAsia="宋体"/>
        </w:rPr>
        <w:t>（2）招标项目需求的范围和性质；</w:t>
      </w:r>
    </w:p>
    <w:p>
      <w:pPr>
        <w:ind w:firstLine="470" w:firstLineChars="196"/>
        <w:rPr>
          <w:rFonts w:ascii="宋体" w:hAnsi="宋体" w:eastAsia="宋体"/>
        </w:rPr>
      </w:pPr>
      <w:r>
        <w:rPr>
          <w:rFonts w:hint="eastAsia" w:ascii="宋体" w:hAnsi="宋体" w:eastAsia="宋体"/>
        </w:rPr>
        <w:t>（3）招标文件规定的投标人的资格、财政预算限额、商务条款；</w:t>
      </w:r>
    </w:p>
    <w:p>
      <w:pPr>
        <w:ind w:firstLine="470" w:firstLineChars="196"/>
        <w:rPr>
          <w:rFonts w:ascii="宋体" w:hAnsi="宋体" w:eastAsia="宋体"/>
        </w:rPr>
      </w:pPr>
      <w:r>
        <w:rPr>
          <w:rFonts w:hint="eastAsia" w:ascii="宋体" w:hAnsi="宋体" w:eastAsia="宋体"/>
        </w:rPr>
        <w:t>（4）招标文件规定的评标程序、评标方法和评标因素；</w:t>
      </w:r>
    </w:p>
    <w:p>
      <w:pPr>
        <w:ind w:firstLine="470" w:firstLineChars="196"/>
        <w:rPr>
          <w:rFonts w:ascii="宋体" w:hAnsi="宋体" w:eastAsia="宋体"/>
        </w:rPr>
      </w:pPr>
      <w:r>
        <w:rPr>
          <w:rFonts w:hint="eastAsia" w:ascii="宋体" w:hAnsi="宋体" w:eastAsia="宋体"/>
        </w:rPr>
        <w:t>（5）招标文件所列示的资格性审查表及符合性审查表。</w:t>
      </w:r>
    </w:p>
    <w:p>
      <w:pPr>
        <w:rPr>
          <w:rFonts w:ascii="黑体" w:hAnsi="宋体" w:eastAsia="黑体"/>
        </w:rPr>
      </w:pPr>
      <w:r>
        <w:rPr>
          <w:rFonts w:hint="eastAsia" w:ascii="黑体" w:hAnsi="宋体" w:eastAsia="黑体"/>
        </w:rPr>
        <w:t>31．独立评审</w:t>
      </w:r>
    </w:p>
    <w:p>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pPr>
        <w:keepNext/>
        <w:keepLines/>
        <w:numPr>
          <w:ilvl w:val="0"/>
          <w:numId w:val="8"/>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评审程序及评审方法</w:t>
      </w:r>
    </w:p>
    <w:p>
      <w:pPr>
        <w:rPr>
          <w:rFonts w:ascii="黑体" w:hAnsi="宋体" w:eastAsia="黑体"/>
        </w:rPr>
      </w:pPr>
      <w:r>
        <w:rPr>
          <w:rFonts w:hint="eastAsia" w:ascii="黑体" w:hAnsi="宋体" w:eastAsia="黑体"/>
        </w:rPr>
        <w:t>32．投标文件初审</w:t>
      </w:r>
    </w:p>
    <w:p>
      <w:pPr>
        <w:ind w:firstLine="470" w:firstLineChars="196"/>
        <w:rPr>
          <w:rFonts w:ascii="宋体" w:hAnsi="宋体" w:eastAsia="宋体"/>
        </w:rPr>
      </w:pPr>
      <w:r>
        <w:rPr>
          <w:rFonts w:hint="eastAsia" w:ascii="宋体" w:hAnsi="宋体" w:eastAsia="宋体"/>
        </w:rPr>
        <w:t>32.1投标文件初审包括资格性审查和符合性审查。</w:t>
      </w:r>
    </w:p>
    <w:p>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pPr>
        <w:ind w:firstLine="470" w:firstLineChars="196"/>
        <w:rPr>
          <w:rFonts w:ascii="宋体" w:hAnsi="宋体" w:eastAsia="宋体"/>
          <w:bCs/>
        </w:rPr>
      </w:pPr>
      <w:r>
        <w:rPr>
          <w:rFonts w:hint="eastAsia" w:ascii="宋体" w:hAnsi="宋体" w:eastAsia="宋体"/>
          <w:bCs/>
        </w:rPr>
        <w:t>32.3 投标文件初审中关于供应商家数的计算:</w:t>
      </w:r>
    </w:p>
    <w:p>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pPr>
        <w:ind w:firstLine="470" w:firstLineChars="196"/>
        <w:rPr>
          <w:rFonts w:ascii="宋体" w:hAnsi="宋体" w:eastAsia="宋体"/>
        </w:rPr>
      </w:pPr>
      <w:r>
        <w:rPr>
          <w:rFonts w:hint="eastAsia" w:ascii="宋体" w:hAnsi="宋体" w:eastAsia="宋体"/>
        </w:rPr>
        <w:t>32.4投标人投标文件作无效处理的情形，具体包括但不限于以下：</w:t>
      </w:r>
    </w:p>
    <w:p>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pPr>
        <w:ind w:firstLine="470" w:firstLineChars="196"/>
        <w:rPr>
          <w:rFonts w:ascii="宋体" w:hAnsi="宋体" w:eastAsia="宋体"/>
        </w:rPr>
      </w:pPr>
      <w:r>
        <w:rPr>
          <w:rFonts w:hint="eastAsia" w:ascii="宋体" w:hAnsi="宋体" w:eastAsia="宋体"/>
        </w:rPr>
        <w:t>32.4.6投标供应商之间相互约定给予未中标的供应商利益补偿；</w:t>
      </w:r>
    </w:p>
    <w:p>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pPr>
        <w:ind w:firstLine="470" w:firstLineChars="196"/>
        <w:rPr>
          <w:rFonts w:ascii="宋体" w:hAnsi="宋体" w:eastAsia="宋体"/>
        </w:rPr>
      </w:pPr>
      <w:r>
        <w:rPr>
          <w:rFonts w:hint="eastAsia" w:ascii="宋体" w:hAnsi="宋体" w:eastAsia="宋体"/>
        </w:rPr>
        <w:t>32.4.8不同投标供应商的投标文件内容存在非正常一致；</w:t>
      </w:r>
    </w:p>
    <w:p>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pPr>
        <w:ind w:firstLine="470" w:firstLineChars="196"/>
        <w:rPr>
          <w:rFonts w:ascii="宋体" w:hAnsi="宋体" w:eastAsia="宋体"/>
        </w:rPr>
      </w:pPr>
      <w:r>
        <w:rPr>
          <w:rFonts w:hint="eastAsia" w:ascii="宋体" w:hAnsi="宋体" w:eastAsia="宋体"/>
        </w:rPr>
        <w:t>32.4.10主管部门依照法律、法规认定的其他情形。</w:t>
      </w:r>
    </w:p>
    <w:p>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pPr>
        <w:rPr>
          <w:rFonts w:ascii="黑体" w:hAnsi="宋体" w:eastAsia="黑体"/>
        </w:rPr>
      </w:pPr>
      <w:r>
        <w:rPr>
          <w:rFonts w:hint="eastAsia" w:ascii="黑体" w:hAnsi="宋体" w:eastAsia="黑体"/>
        </w:rPr>
        <w:t>33．澄清有关问题</w:t>
      </w:r>
    </w:p>
    <w:p>
      <w:pPr>
        <w:ind w:firstLine="470" w:firstLineChars="196"/>
        <w:rPr>
          <w:rFonts w:ascii="宋体" w:hAnsi="宋体" w:eastAsia="宋体"/>
        </w:rPr>
      </w:pPr>
      <w:bookmarkStart w:id="34"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4"/>
    </w:p>
    <w:p>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lang w:eastAsia="zh-CN"/>
        </w:rPr>
        <w:t>采购代理机构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pPr>
        <w:rPr>
          <w:rFonts w:ascii="黑体" w:hAnsi="宋体" w:eastAsia="黑体"/>
        </w:rPr>
      </w:pPr>
      <w:bookmarkStart w:id="35" w:name="_Toc73517673"/>
      <w:bookmarkStart w:id="36" w:name="_Toc100052400"/>
      <w:bookmarkStart w:id="37" w:name="_Toc73518151"/>
      <w:bookmarkStart w:id="38" w:name="_Toc73521581"/>
      <w:bookmarkStart w:id="39" w:name="_Toc73521669"/>
      <w:r>
        <w:rPr>
          <w:rFonts w:hint="eastAsia" w:ascii="黑体" w:hAnsi="宋体" w:eastAsia="黑体"/>
        </w:rPr>
        <w:t>34．错误的修正</w:t>
      </w:r>
      <w:bookmarkEnd w:id="35"/>
      <w:bookmarkEnd w:id="36"/>
      <w:bookmarkEnd w:id="37"/>
      <w:bookmarkEnd w:id="38"/>
      <w:bookmarkEnd w:id="39"/>
    </w:p>
    <w:p>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rPr>
      </w:pPr>
      <w:r>
        <w:rPr>
          <w:rFonts w:hint="eastAsia" w:ascii="黑体" w:hAnsi="宋体" w:eastAsia="黑体"/>
        </w:rPr>
        <w:t>35．投标文件的比较与评价</w:t>
      </w:r>
    </w:p>
    <w:p>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rPr>
      </w:pPr>
      <w:r>
        <w:rPr>
          <w:rFonts w:hint="eastAsia" w:ascii="黑体" w:hAnsi="宋体" w:eastAsia="黑体"/>
        </w:rPr>
        <w:t>36. 实地考察或资料查验</w:t>
      </w:r>
    </w:p>
    <w:p>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pPr>
        <w:rPr>
          <w:rFonts w:ascii="黑体" w:hAnsi="宋体" w:eastAsia="黑体"/>
        </w:rPr>
      </w:pPr>
      <w:r>
        <w:rPr>
          <w:rFonts w:hint="eastAsia" w:ascii="黑体" w:hAnsi="宋体" w:eastAsia="黑体"/>
        </w:rPr>
        <w:t>37．评审方法</w:t>
      </w:r>
    </w:p>
    <w:p>
      <w:pPr>
        <w:ind w:firstLine="472" w:firstLineChars="196"/>
        <w:rPr>
          <w:rFonts w:ascii="宋体" w:hAnsi="宋体" w:eastAsia="宋体"/>
          <w:b/>
          <w:bCs/>
          <w:szCs w:val="21"/>
        </w:rPr>
      </w:pPr>
      <w:r>
        <w:rPr>
          <w:rFonts w:hint="eastAsia" w:ascii="宋体" w:hAnsi="宋体" w:eastAsia="宋体"/>
          <w:b/>
          <w:bCs/>
          <w:szCs w:val="21"/>
        </w:rPr>
        <w:t>37.1.1最低价法</w:t>
      </w:r>
    </w:p>
    <w:p>
      <w:pPr>
        <w:ind w:firstLine="470" w:firstLineChars="196"/>
        <w:rPr>
          <w:rFonts w:ascii="ˎ̥" w:hAnsi="ˎ̥" w:eastAsia="宋体"/>
        </w:rPr>
      </w:pPr>
      <w:bookmarkStart w:id="40"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pPr>
        <w:ind w:firstLine="472" w:firstLineChars="196"/>
        <w:rPr>
          <w:rFonts w:ascii="宋体" w:hAnsi="宋体" w:eastAsia="宋体"/>
          <w:b/>
          <w:bCs/>
          <w:szCs w:val="21"/>
        </w:rPr>
      </w:pPr>
      <w:r>
        <w:rPr>
          <w:rFonts w:hint="eastAsia" w:ascii="宋体" w:hAnsi="宋体" w:eastAsia="宋体"/>
          <w:b/>
          <w:bCs/>
          <w:szCs w:val="21"/>
        </w:rPr>
        <w:t>37.1.2综合评分法</w:t>
      </w:r>
    </w:p>
    <w:p>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40"/>
    </w:p>
    <w:p>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pPr>
        <w:keepNext/>
        <w:keepLines/>
        <w:numPr>
          <w:ilvl w:val="0"/>
          <w:numId w:val="8"/>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定标及公示</w:t>
      </w:r>
    </w:p>
    <w:p>
      <w:pPr>
        <w:rPr>
          <w:rFonts w:ascii="宋体" w:hAnsi="宋体" w:eastAsia="宋体"/>
          <w:szCs w:val="21"/>
        </w:rPr>
      </w:pPr>
      <w:r>
        <w:rPr>
          <w:rFonts w:hint="eastAsia" w:ascii="黑体" w:hAnsi="宋体" w:eastAsia="黑体"/>
        </w:rPr>
        <w:t>38．</w:t>
      </w:r>
      <w:bookmarkStart w:id="41" w:name="_Hlk73782795"/>
      <w:r>
        <w:rPr>
          <w:rFonts w:hint="eastAsia" w:ascii="黑体" w:hAnsi="宋体" w:eastAsia="黑体"/>
        </w:rPr>
        <w:t>中标候选人的确定原则及标准</w:t>
      </w:r>
    </w:p>
    <w:p>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2"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2"/>
      <w:r>
        <w:rPr>
          <w:rFonts w:ascii="ˎ̥" w:hAnsi="ˎ̥" w:eastAsia="宋体"/>
        </w:rPr>
        <w:t>）。</w:t>
      </w:r>
    </w:p>
    <w:p>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41"/>
    <w:p>
      <w:pPr>
        <w:rPr>
          <w:rFonts w:ascii="黑体" w:hAnsi="宋体" w:eastAsia="黑体"/>
        </w:rPr>
      </w:pPr>
      <w:r>
        <w:rPr>
          <w:rFonts w:hint="eastAsia" w:ascii="黑体" w:hAnsi="宋体" w:eastAsia="黑体"/>
        </w:rPr>
        <w:t>39．编写评审报告</w:t>
      </w:r>
    </w:p>
    <w:p>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rPr>
      </w:pPr>
      <w:r>
        <w:rPr>
          <w:rFonts w:hint="eastAsia" w:ascii="黑体" w:hAnsi="宋体" w:eastAsia="黑体"/>
        </w:rPr>
        <w:t>40．中标公告</w:t>
      </w:r>
    </w:p>
    <w:p>
      <w:pPr>
        <w:ind w:firstLine="470" w:firstLineChars="196"/>
        <w:rPr>
          <w:rFonts w:ascii="宋体" w:hAnsi="宋体" w:eastAsia="宋体"/>
          <w:szCs w:val="21"/>
        </w:rPr>
      </w:pPr>
      <w:r>
        <w:rPr>
          <w:rFonts w:hint="eastAsia" w:ascii="宋体" w:hAnsi="宋体" w:eastAsia="宋体"/>
          <w:szCs w:val="21"/>
        </w:rPr>
        <w:t>40.1</w:t>
      </w:r>
      <w:bookmarkStart w:id="43"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采购人或采购代理机构</w:t>
      </w:r>
      <w:r>
        <w:rPr>
          <w:rFonts w:hint="eastAsia" w:ascii="宋体" w:hAnsi="宋体" w:eastAsia="宋体"/>
          <w:szCs w:val="21"/>
        </w:rPr>
        <w:t>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3"/>
      <w:bookmarkStart w:id="44"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4"/>
    </w:p>
    <w:p>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pPr>
        <w:rPr>
          <w:rFonts w:ascii="黑体" w:hAnsi="宋体" w:eastAsia="黑体"/>
        </w:rPr>
      </w:pPr>
      <w:r>
        <w:rPr>
          <w:rFonts w:hint="eastAsia" w:ascii="黑体" w:hAnsi="宋体" w:eastAsia="黑体"/>
        </w:rPr>
        <w:t>41．中标通知书</w:t>
      </w:r>
    </w:p>
    <w:p>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w:t>
      </w:r>
      <w:r>
        <w:rPr>
          <w:rFonts w:hint="eastAsia" w:ascii="宋体" w:hAnsi="宋体" w:eastAsia="宋体"/>
          <w:szCs w:val="21"/>
          <w:lang w:eastAsia="zh-CN"/>
        </w:rPr>
        <w:t>采购代理机构</w:t>
      </w:r>
      <w:r>
        <w:rPr>
          <w:rFonts w:hint="eastAsia" w:ascii="宋体" w:hAnsi="宋体" w:eastAsia="宋体"/>
          <w:szCs w:val="21"/>
        </w:rPr>
        <w:t>发布中标公告，同时以书面形式向中标人发出中标通知书。</w:t>
      </w:r>
    </w:p>
    <w:p>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pPr>
        <w:ind w:firstLine="470" w:firstLineChars="196"/>
        <w:rPr>
          <w:rFonts w:ascii="宋体" w:hAnsi="宋体" w:eastAsia="宋体"/>
          <w:szCs w:val="21"/>
        </w:rPr>
      </w:pPr>
      <w:bookmarkStart w:id="45"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采购人或采购代理机构</w:t>
      </w:r>
      <w:r>
        <w:rPr>
          <w:rFonts w:hint="eastAsia" w:ascii="宋体" w:hAnsi="宋体" w:eastAsia="宋体"/>
          <w:szCs w:val="21"/>
        </w:rPr>
        <w:t>有权吊销中标通知书。</w:t>
      </w:r>
      <w:bookmarkEnd w:id="45"/>
    </w:p>
    <w:p>
      <w:pPr>
        <w:keepNext/>
        <w:keepLines/>
        <w:numPr>
          <w:ilvl w:val="0"/>
          <w:numId w:val="8"/>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公开招标失败的后续处理</w:t>
      </w:r>
    </w:p>
    <w:p>
      <w:pPr>
        <w:rPr>
          <w:rFonts w:ascii="黑体" w:hAnsi="宋体" w:eastAsia="黑体"/>
        </w:rPr>
      </w:pPr>
      <w:r>
        <w:rPr>
          <w:rFonts w:hint="eastAsia" w:ascii="黑体" w:hAnsi="宋体" w:eastAsia="黑体"/>
        </w:rPr>
        <w:t>42．公开招标失败的处理</w:t>
      </w:r>
    </w:p>
    <w:p>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lang w:eastAsia="zh-CN"/>
        </w:rPr>
        <w:t>采购代理机构</w:t>
      </w:r>
      <w:r>
        <w:rPr>
          <w:rFonts w:hint="eastAsia" w:ascii="宋体" w:hAnsi="宋体" w:eastAsia="宋体"/>
        </w:rPr>
        <w:t>重新组织采购。</w:t>
      </w:r>
    </w:p>
    <w:p>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pPr>
        <w:ind w:firstLine="470" w:firstLineChars="196"/>
        <w:rPr>
          <w:rFonts w:ascii="宋体" w:hAnsi="宋体" w:eastAsia="宋体"/>
          <w:szCs w:val="21"/>
        </w:rPr>
      </w:pPr>
      <w:r>
        <w:rPr>
          <w:rFonts w:hint="eastAsia" w:ascii="宋体" w:hAnsi="宋体" w:eastAsia="宋体"/>
          <w:szCs w:val="21"/>
        </w:rPr>
        <w:t>42.3重新组织采购有以下两种组织形式：</w:t>
      </w:r>
    </w:p>
    <w:p>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采购人或采购代理机构</w:t>
      </w:r>
      <w:r>
        <w:rPr>
          <w:rFonts w:hint="eastAsia" w:ascii="宋体" w:hAnsi="宋体" w:eastAsia="宋体"/>
        </w:rPr>
        <w:t>重新组织公开招标；</w:t>
      </w:r>
    </w:p>
    <w:p>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采购人或采购代理机构</w:t>
      </w:r>
      <w:r>
        <w:rPr>
          <w:rFonts w:hint="eastAsia" w:ascii="宋体" w:hAnsi="宋体" w:eastAsia="宋体"/>
        </w:rPr>
        <w:t>重新按公开招标流程组织采购活动。</w:t>
      </w:r>
    </w:p>
    <w:p>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pPr>
        <w:keepNext/>
        <w:keepLines/>
        <w:numPr>
          <w:ilvl w:val="0"/>
          <w:numId w:val="8"/>
        </w:numPr>
        <w:adjustRightInd w:val="0"/>
        <w:spacing w:before="120" w:beforeLines="50" w:after="120" w:afterLines="50"/>
        <w:ind w:left="562" w:hanging="562"/>
        <w:jc w:val="center"/>
        <w:textAlignment w:val="baseline"/>
        <w:outlineLvl w:val="1"/>
        <w:rPr>
          <w:rFonts w:ascii="Cambria" w:hAnsi="Cambria" w:eastAsia="宋体"/>
          <w:b/>
          <w:bCs/>
          <w:sz w:val="28"/>
          <w:szCs w:val="28"/>
        </w:rPr>
      </w:pPr>
      <w:bookmarkStart w:id="46" w:name="_Hlk72439043"/>
      <w:r>
        <w:rPr>
          <w:rFonts w:hint="eastAsia" w:ascii="Cambria" w:hAnsi="Cambria" w:eastAsia="宋体"/>
          <w:b/>
          <w:bCs/>
          <w:sz w:val="28"/>
          <w:szCs w:val="28"/>
        </w:rPr>
        <w:t>合同的授予与备案</w:t>
      </w:r>
      <w:bookmarkEnd w:id="46"/>
    </w:p>
    <w:p>
      <w:pPr>
        <w:rPr>
          <w:rFonts w:ascii="黑体" w:hAnsi="宋体" w:eastAsia="黑体"/>
        </w:rPr>
      </w:pPr>
      <w:bookmarkStart w:id="47" w:name="_Toc73518157"/>
      <w:bookmarkStart w:id="48" w:name="_Toc73521674"/>
      <w:bookmarkStart w:id="49" w:name="_Toc73517679"/>
      <w:bookmarkStart w:id="50" w:name="_Toc73521586"/>
      <w:bookmarkStart w:id="51" w:name="_Toc100052408"/>
      <w:bookmarkStart w:id="52" w:name="_Hlk72439088"/>
      <w:r>
        <w:rPr>
          <w:rFonts w:hint="eastAsia" w:ascii="黑体" w:hAnsi="宋体" w:eastAsia="黑体"/>
        </w:rPr>
        <w:t>43．合同授予标准</w:t>
      </w:r>
      <w:bookmarkEnd w:id="47"/>
      <w:bookmarkEnd w:id="48"/>
      <w:bookmarkEnd w:id="49"/>
      <w:bookmarkEnd w:id="50"/>
      <w:bookmarkEnd w:id="51"/>
    </w:p>
    <w:p>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pPr>
        <w:rPr>
          <w:rFonts w:ascii="黑体" w:hAnsi="宋体" w:eastAsia="黑体"/>
        </w:rPr>
      </w:pPr>
      <w:bookmarkStart w:id="53" w:name="_Toc100052409"/>
      <w:bookmarkStart w:id="54" w:name="_Toc73518158"/>
      <w:bookmarkStart w:id="55" w:name="_Toc73517680"/>
      <w:bookmarkStart w:id="56" w:name="_Toc73521587"/>
      <w:bookmarkStart w:id="57" w:name="_Toc73521675"/>
      <w:r>
        <w:rPr>
          <w:rFonts w:hint="eastAsia" w:ascii="黑体" w:hAnsi="宋体" w:eastAsia="黑体"/>
        </w:rPr>
        <w:t>44．</w:t>
      </w:r>
      <w:bookmarkEnd w:id="53"/>
      <w:bookmarkEnd w:id="54"/>
      <w:bookmarkEnd w:id="55"/>
      <w:bookmarkEnd w:id="56"/>
      <w:bookmarkEnd w:id="57"/>
      <w:r>
        <w:rPr>
          <w:rFonts w:hint="eastAsia" w:ascii="黑体" w:hAnsi="宋体" w:eastAsia="黑体"/>
        </w:rPr>
        <w:t>接受和拒绝任何或所有投标的权力</w:t>
      </w:r>
    </w:p>
    <w:p>
      <w:pPr>
        <w:ind w:firstLine="470" w:firstLineChars="196"/>
        <w:rPr>
          <w:rFonts w:ascii="宋体" w:hAnsi="宋体" w:eastAsia="宋体"/>
          <w:szCs w:val="21"/>
        </w:rPr>
      </w:pPr>
      <w:r>
        <w:rPr>
          <w:rFonts w:hint="eastAsia" w:ascii="宋体" w:hAnsi="宋体" w:eastAsia="宋体"/>
          <w:szCs w:val="21"/>
          <w:lang w:eastAsia="zh-CN"/>
        </w:rPr>
        <w:t>采购代理机构</w:t>
      </w:r>
      <w:r>
        <w:rPr>
          <w:rFonts w:hint="eastAsia" w:ascii="宋体" w:hAnsi="宋体" w:eastAsia="宋体"/>
          <w:szCs w:val="21"/>
        </w:rPr>
        <w:t>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rPr>
      </w:pPr>
      <w:bookmarkStart w:id="58" w:name="_Toc73517682"/>
      <w:bookmarkStart w:id="59" w:name="_Toc73518160"/>
      <w:bookmarkStart w:id="60" w:name="_Toc73521589"/>
      <w:bookmarkStart w:id="61" w:name="_Toc73521677"/>
      <w:bookmarkStart w:id="62" w:name="_Toc100052410"/>
      <w:r>
        <w:rPr>
          <w:rFonts w:hint="eastAsia" w:ascii="黑体" w:hAnsi="宋体" w:eastAsia="黑体"/>
        </w:rPr>
        <w:t>45．合同的签订</w:t>
      </w:r>
      <w:bookmarkEnd w:id="58"/>
      <w:bookmarkEnd w:id="59"/>
      <w:bookmarkEnd w:id="60"/>
      <w:bookmarkEnd w:id="61"/>
      <w:bookmarkEnd w:id="62"/>
    </w:p>
    <w:p>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pPr>
        <w:rPr>
          <w:rFonts w:ascii="黑体" w:hAnsi="宋体" w:eastAsia="黑体"/>
        </w:rPr>
      </w:pPr>
      <w:bookmarkStart w:id="63" w:name="_Toc73517683"/>
      <w:bookmarkStart w:id="64" w:name="_Toc100052411"/>
      <w:bookmarkStart w:id="65" w:name="_Toc73521590"/>
      <w:bookmarkStart w:id="66" w:name="_Toc73521678"/>
      <w:bookmarkStart w:id="67" w:name="_Toc73518161"/>
      <w:r>
        <w:rPr>
          <w:rFonts w:hint="eastAsia" w:ascii="黑体" w:hAnsi="宋体" w:eastAsia="黑体"/>
        </w:rPr>
        <w:t>46．履约担保</w:t>
      </w:r>
      <w:bookmarkEnd w:id="63"/>
      <w:bookmarkEnd w:id="64"/>
      <w:bookmarkEnd w:id="65"/>
      <w:bookmarkEnd w:id="66"/>
      <w:bookmarkEnd w:id="67"/>
    </w:p>
    <w:p>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pPr>
        <w:rPr>
          <w:rFonts w:ascii="黑体" w:hAnsi="宋体" w:eastAsia="黑体"/>
        </w:rPr>
      </w:pPr>
      <w:r>
        <w:rPr>
          <w:rFonts w:hint="eastAsia" w:ascii="黑体" w:hAnsi="宋体" w:eastAsia="黑体"/>
        </w:rPr>
        <w:t>47. 合同备案</w:t>
      </w:r>
    </w:p>
    <w:p>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pPr>
        <w:rPr>
          <w:rFonts w:ascii="黑体" w:hAnsi="宋体" w:eastAsia="黑体"/>
        </w:rPr>
      </w:pPr>
      <w:r>
        <w:rPr>
          <w:rFonts w:hint="eastAsia" w:ascii="黑体" w:hAnsi="宋体" w:eastAsia="黑体"/>
        </w:rPr>
        <w:t>48. 合同变更</w:t>
      </w:r>
    </w:p>
    <w:p>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pPr>
        <w:rPr>
          <w:rFonts w:ascii="黑体" w:hAnsi="宋体" w:eastAsia="黑体"/>
        </w:rPr>
      </w:pPr>
      <w:r>
        <w:rPr>
          <w:rFonts w:hint="eastAsia" w:ascii="黑体" w:hAnsi="宋体" w:eastAsia="黑体"/>
        </w:rPr>
        <w:t>49. 项目验收</w:t>
      </w:r>
    </w:p>
    <w:p>
      <w:pPr>
        <w:ind w:right="176" w:firstLine="420"/>
        <w:rPr>
          <w:rFonts w:ascii="宋体" w:hAnsi="宋体" w:eastAsia="宋体"/>
        </w:rPr>
      </w:pPr>
      <w:r>
        <w:rPr>
          <w:rFonts w:hint="eastAsia" w:ascii="宋体" w:hAnsi="宋体" w:eastAsia="宋体"/>
        </w:rPr>
        <w:t>49.1采购人应当按照招标文件和合同规定的标准和方法，及时组织验收。</w:t>
      </w:r>
    </w:p>
    <w:p>
      <w:pPr>
        <w:rPr>
          <w:rFonts w:ascii="黑体" w:hAnsi="宋体" w:eastAsia="黑体"/>
        </w:rPr>
      </w:pPr>
      <w:r>
        <w:rPr>
          <w:rFonts w:hint="eastAsia" w:ascii="黑体" w:hAnsi="宋体" w:eastAsia="黑体"/>
        </w:rPr>
        <w:t>50. 宣传</w:t>
      </w:r>
    </w:p>
    <w:p>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lang w:eastAsia="zh-CN"/>
        </w:rPr>
        <w:t>采购代理机构</w:t>
      </w:r>
      <w:r>
        <w:rPr>
          <w:rFonts w:ascii="宋体" w:hAnsi="宋体" w:eastAsia="宋体"/>
        </w:rPr>
        <w:t>，并征得其同意。对外市场宣传包括但不限于以下形式：</w:t>
      </w:r>
    </w:p>
    <w:p>
      <w:pPr>
        <w:ind w:left="240" w:leftChars="100" w:firstLine="470" w:firstLineChars="196"/>
        <w:rPr>
          <w:rFonts w:ascii="宋体" w:hAnsi="宋体" w:eastAsia="宋体"/>
        </w:rPr>
      </w:pPr>
      <w:r>
        <w:rPr>
          <w:rFonts w:ascii="宋体" w:hAnsi="宋体" w:eastAsia="宋体"/>
        </w:rPr>
        <w:t>a.名片、宣传册、广告标语等；</w:t>
      </w:r>
    </w:p>
    <w:p>
      <w:pPr>
        <w:ind w:left="240" w:leftChars="100" w:firstLine="470" w:firstLineChars="196"/>
        <w:rPr>
          <w:rFonts w:ascii="宋体" w:hAnsi="宋体" w:eastAsia="宋体"/>
        </w:rPr>
      </w:pPr>
      <w:r>
        <w:rPr>
          <w:rFonts w:ascii="宋体" w:hAnsi="宋体" w:eastAsia="宋体"/>
        </w:rPr>
        <w:t>b.案例介绍、推广等；</w:t>
      </w:r>
    </w:p>
    <w:p>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2"/>
    <w:p>
      <w:pPr>
        <w:keepNext/>
        <w:keepLines/>
        <w:numPr>
          <w:ilvl w:val="0"/>
          <w:numId w:val="8"/>
        </w:numPr>
        <w:adjustRightInd w:val="0"/>
        <w:spacing w:before="120" w:beforeLines="50" w:after="120" w:afterLines="50"/>
        <w:ind w:left="562" w:hanging="562"/>
        <w:jc w:val="center"/>
        <w:textAlignment w:val="baseline"/>
        <w:outlineLvl w:val="1"/>
        <w:rPr>
          <w:rFonts w:ascii="Cambria" w:hAnsi="Cambria" w:eastAsia="宋体"/>
          <w:b/>
          <w:bCs/>
          <w:sz w:val="28"/>
          <w:szCs w:val="28"/>
        </w:rPr>
      </w:pPr>
      <w:r>
        <w:rPr>
          <w:rFonts w:hint="eastAsia" w:ascii="Cambria" w:hAnsi="Cambria" w:eastAsia="宋体"/>
          <w:b/>
          <w:bCs/>
          <w:sz w:val="28"/>
          <w:szCs w:val="28"/>
        </w:rPr>
        <w:t>质疑处理</w:t>
      </w:r>
    </w:p>
    <w:p>
      <w:pPr>
        <w:rPr>
          <w:rFonts w:ascii="黑体" w:hAnsi="宋体" w:eastAsia="黑体"/>
        </w:rPr>
      </w:pPr>
      <w:bookmarkStart w:id="68" w:name="_Hlk72439706"/>
      <w:r>
        <w:rPr>
          <w:rFonts w:hint="eastAsia" w:ascii="黑体" w:hAnsi="宋体" w:eastAsia="黑体"/>
          <w:lang w:eastAsia="zh-CN"/>
        </w:rPr>
        <w:t>51.</w:t>
      </w:r>
      <w:r>
        <w:rPr>
          <w:rFonts w:hint="eastAsia" w:ascii="黑体" w:hAnsi="宋体" w:eastAsia="黑体"/>
        </w:rPr>
        <w:t>质疑提出与答复</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9" w:name="_Hlk75374941"/>
      <w:r>
        <w:rPr>
          <w:rFonts w:hint="eastAsia" w:ascii="宋体" w:hAnsi="宋体" w:eastAsia="宋体"/>
          <w:szCs w:val="21"/>
        </w:rPr>
        <w:t>以联合体形式参与的，质疑应当由组成联合体的所有成员共同提出</w:t>
      </w:r>
      <w:bookmarkEnd w:id="69"/>
      <w:r>
        <w:rPr>
          <w:rFonts w:hint="eastAsia" w:ascii="宋体" w:hAnsi="宋体" w:eastAsia="宋体"/>
          <w:szCs w:val="21"/>
        </w:rPr>
        <w:t>；</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pPr>
        <w:ind w:firstLine="480" w:firstLineChars="200"/>
        <w:rPr>
          <w:rFonts w:ascii="宋体" w:hAnsi="宋体" w:eastAsia="宋体"/>
          <w:szCs w:val="21"/>
        </w:rPr>
      </w:pPr>
      <w:r>
        <w:rPr>
          <w:rFonts w:hint="eastAsia" w:ascii="宋体" w:hAnsi="宋体" w:eastAsia="宋体"/>
          <w:szCs w:val="21"/>
        </w:rPr>
        <w:t>（2）质疑项目的名称、编号；</w:t>
      </w:r>
    </w:p>
    <w:p>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pPr>
        <w:ind w:firstLine="480" w:firstLineChars="200"/>
        <w:rPr>
          <w:rFonts w:ascii="宋体" w:hAnsi="宋体" w:eastAsia="宋体"/>
          <w:szCs w:val="21"/>
        </w:rPr>
      </w:pPr>
      <w:r>
        <w:rPr>
          <w:rFonts w:hint="eastAsia" w:ascii="宋体" w:hAnsi="宋体" w:eastAsia="宋体"/>
          <w:szCs w:val="21"/>
        </w:rPr>
        <w:t>（4）因质疑事项而受损害的权益；</w:t>
      </w:r>
    </w:p>
    <w:p>
      <w:pPr>
        <w:ind w:firstLine="480" w:firstLineChars="200"/>
        <w:rPr>
          <w:rFonts w:ascii="宋体" w:hAnsi="宋体" w:eastAsia="宋体"/>
          <w:szCs w:val="21"/>
        </w:rPr>
      </w:pPr>
      <w:r>
        <w:rPr>
          <w:rFonts w:hint="eastAsia" w:ascii="宋体" w:hAnsi="宋体" w:eastAsia="宋体"/>
          <w:szCs w:val="21"/>
        </w:rPr>
        <w:t>（5）事实依据；</w:t>
      </w:r>
    </w:p>
    <w:p>
      <w:pPr>
        <w:ind w:firstLine="480" w:firstLineChars="200"/>
        <w:rPr>
          <w:rFonts w:ascii="宋体" w:hAnsi="宋体" w:eastAsia="宋体"/>
          <w:szCs w:val="21"/>
        </w:rPr>
      </w:pPr>
      <w:r>
        <w:rPr>
          <w:rFonts w:hint="eastAsia" w:ascii="宋体" w:hAnsi="宋体" w:eastAsia="宋体"/>
          <w:szCs w:val="21"/>
        </w:rPr>
        <w:t>（6）必要的法律依据；</w:t>
      </w:r>
    </w:p>
    <w:p>
      <w:pPr>
        <w:ind w:firstLine="480" w:firstLineChars="200"/>
        <w:rPr>
          <w:rFonts w:ascii="宋体" w:hAnsi="宋体" w:eastAsia="宋体"/>
          <w:szCs w:val="21"/>
        </w:rPr>
      </w:pPr>
      <w:r>
        <w:rPr>
          <w:rFonts w:hint="eastAsia" w:ascii="宋体" w:hAnsi="宋体" w:eastAsia="宋体"/>
          <w:szCs w:val="21"/>
        </w:rPr>
        <w:t>（7）提出质疑的日期。</w:t>
      </w:r>
    </w:p>
    <w:p>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pPr>
        <w:ind w:firstLine="482" w:firstLineChars="200"/>
        <w:rPr>
          <w:rFonts w:ascii="宋体" w:hAnsi="宋体" w:eastAsia="宋体"/>
          <w:b/>
          <w:bCs/>
          <w:szCs w:val="21"/>
        </w:rPr>
      </w:pPr>
      <w:r>
        <w:rPr>
          <w:rFonts w:hint="eastAsia" w:ascii="宋体" w:hAnsi="宋体" w:eastAsia="宋体"/>
          <w:b/>
          <w:bCs/>
          <w:szCs w:val="21"/>
        </w:rPr>
        <w:t>地址：新疆丰颢源工程管理咨询有限公司</w:t>
      </w:r>
      <w:r>
        <w:rPr>
          <w:rFonts w:hint="eastAsia" w:ascii="宋体" w:hAnsi="宋体" w:eastAsia="宋体"/>
          <w:b/>
          <w:bCs/>
          <w:szCs w:val="21"/>
          <w:lang w:eastAsia="zh-CN"/>
        </w:rPr>
        <w:t>（喀什市帕依那甫路唐城国际商务大厦6楼603室）</w:t>
      </w:r>
      <w:r>
        <w:rPr>
          <w:rFonts w:hint="eastAsia" w:ascii="宋体" w:hAnsi="宋体" w:eastAsia="宋体"/>
          <w:b/>
          <w:bCs/>
          <w:szCs w:val="21"/>
        </w:rPr>
        <w:t>，质疑咨询电话：</w:t>
      </w:r>
      <w:r>
        <w:rPr>
          <w:rFonts w:hint="eastAsia" w:ascii="宋体" w:hAnsi="宋体" w:eastAsia="宋体"/>
          <w:b/>
          <w:bCs/>
          <w:szCs w:val="21"/>
          <w:lang w:val="en-US" w:eastAsia="zh-CN"/>
        </w:rPr>
        <w:t>王工</w:t>
      </w:r>
      <w:r>
        <w:rPr>
          <w:rFonts w:hint="eastAsia" w:ascii="宋体" w:hAnsi="宋体" w:eastAsia="宋体"/>
          <w:b/>
          <w:bCs/>
          <w:szCs w:val="21"/>
        </w:rPr>
        <w:t>，</w:t>
      </w:r>
      <w:r>
        <w:rPr>
          <w:rFonts w:hint="eastAsia" w:ascii="宋体" w:hAnsi="宋体" w:eastAsia="宋体"/>
          <w:b/>
          <w:bCs/>
          <w:szCs w:val="21"/>
          <w:lang w:val="en-US" w:eastAsia="zh-CN"/>
        </w:rPr>
        <w:t>13571936590</w:t>
      </w:r>
      <w:r>
        <w:rPr>
          <w:rFonts w:hint="eastAsia" w:ascii="宋体" w:hAnsi="宋体" w:eastAsia="宋体"/>
          <w:b/>
          <w:bCs/>
          <w:szCs w:val="21"/>
        </w:rPr>
        <w:t>。质疑书的递交应当采取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喀什市公安局</w:t>
      </w:r>
      <w:r>
        <w:rPr>
          <w:rFonts w:hint="eastAsia" w:ascii="宋体" w:hAnsi="宋体" w:eastAsia="宋体"/>
          <w:b/>
          <w:bCs/>
          <w:szCs w:val="21"/>
        </w:rPr>
        <w:t>，未提前电联</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pPr>
        <w:ind w:firstLine="480" w:firstLineChars="200"/>
        <w:rPr>
          <w:rFonts w:ascii="宋体" w:hAnsi="宋体" w:eastAsia="宋体"/>
          <w:szCs w:val="21"/>
        </w:rPr>
      </w:pPr>
      <w:r>
        <w:rPr>
          <w:rFonts w:hint="eastAsia" w:ascii="宋体" w:hAnsi="宋体" w:eastAsia="宋体"/>
          <w:szCs w:val="21"/>
        </w:rPr>
        <w:t>（1）质疑主体不满足要求的；</w:t>
      </w:r>
    </w:p>
    <w:p>
      <w:pPr>
        <w:ind w:firstLine="480" w:firstLineChars="200"/>
        <w:rPr>
          <w:rFonts w:ascii="宋体" w:hAnsi="宋体" w:eastAsia="宋体"/>
          <w:szCs w:val="21"/>
        </w:rPr>
      </w:pPr>
      <w:r>
        <w:rPr>
          <w:rFonts w:hint="eastAsia" w:ascii="宋体" w:hAnsi="宋体" w:eastAsia="宋体"/>
          <w:szCs w:val="21"/>
        </w:rPr>
        <w:t>（2）供应商自身权益未受到损害的；</w:t>
      </w:r>
    </w:p>
    <w:p>
      <w:pPr>
        <w:ind w:firstLine="480" w:firstLineChars="200"/>
        <w:rPr>
          <w:rFonts w:ascii="宋体" w:hAnsi="宋体" w:eastAsia="宋体"/>
          <w:szCs w:val="21"/>
        </w:rPr>
      </w:pPr>
      <w:r>
        <w:rPr>
          <w:rFonts w:hint="eastAsia" w:ascii="宋体" w:hAnsi="宋体" w:eastAsia="宋体"/>
          <w:szCs w:val="21"/>
        </w:rPr>
        <w:t>（3）供应商未在法定质疑期限内提出质疑的；</w:t>
      </w:r>
    </w:p>
    <w:p>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pPr>
        <w:ind w:firstLine="480" w:firstLineChars="200"/>
        <w:rPr>
          <w:rFonts w:ascii="宋体" w:hAnsi="宋体" w:eastAsia="宋体"/>
          <w:szCs w:val="21"/>
        </w:rPr>
      </w:pPr>
      <w:r>
        <w:rPr>
          <w:rFonts w:hint="eastAsia" w:ascii="宋体" w:hAnsi="宋体" w:eastAsia="宋体"/>
          <w:szCs w:val="21"/>
        </w:rPr>
        <w:t>（5）其他不符合受理条件情形的。</w:t>
      </w:r>
    </w:p>
    <w:p>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pPr>
        <w:rPr>
          <w:rFonts w:ascii="宋体" w:hAnsi="宋体" w:eastAsia="宋体"/>
          <w:szCs w:val="21"/>
        </w:rPr>
      </w:pPr>
      <w:r>
        <w:rPr>
          <w:rFonts w:hint="eastAsia" w:ascii="宋体" w:hAnsi="宋体" w:eastAsia="宋体"/>
          <w:szCs w:val="21"/>
        </w:rPr>
        <w:t xml:space="preserve">    自收文之日起七个工作日内。</w:t>
      </w:r>
    </w:p>
    <w:p>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pPr>
        <w:rPr>
          <w:rFonts w:ascii="黑体" w:hAnsi="宋体" w:eastAsia="黑体"/>
        </w:rPr>
      </w:pPr>
      <w:r>
        <w:rPr>
          <w:rFonts w:hint="eastAsia" w:ascii="黑体" w:hAnsi="宋体" w:eastAsia="黑体"/>
        </w:rPr>
        <w:t>53. 质疑后续处理</w:t>
      </w:r>
    </w:p>
    <w:p>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rPr>
          <w:rFonts w:eastAsia="宋体"/>
        </w:rPr>
      </w:pPr>
      <w:r>
        <w:rPr>
          <w:rFonts w:eastAsia="宋体"/>
        </w:rPr>
        <w:t>---- END ----</w:t>
      </w:r>
      <w:bookmarkEnd w:id="68"/>
    </w:p>
    <w:p>
      <w:pPr>
        <w:rPr>
          <w:rFonts w:ascii="宋体" w:hAnsi="宋体" w:eastAsia="黑体"/>
          <w:b/>
          <w:bCs/>
          <w:color w:val="0000FF"/>
          <w:kern w:val="44"/>
          <w:sz w:val="36"/>
          <w:szCs w:val="44"/>
        </w:rPr>
      </w:pPr>
    </w:p>
    <w:p/>
    <w:p/>
    <w:sectPr>
      <w:headerReference r:id="rId5" w:type="default"/>
      <w:footerReference r:id="rId6"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4"/>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1"/>
                            </w:rPr>
                          </w:pPr>
                          <w:r>
                            <w:fldChar w:fldCharType="begin"/>
                          </w:r>
                          <w:r>
                            <w:rPr>
                              <w:rStyle w:val="21"/>
                            </w:rPr>
                            <w:instrText xml:space="preserve">PAGE  </w:instrText>
                          </w:r>
                          <w:r>
                            <w:fldChar w:fldCharType="separate"/>
                          </w:r>
                          <w:r>
                            <w:rPr>
                              <w:rStyle w:val="21"/>
                            </w:rP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4"/>
                      <w:rPr>
                        <w:rStyle w:val="21"/>
                      </w:rPr>
                    </w:pPr>
                    <w:r>
                      <w:fldChar w:fldCharType="begin"/>
                    </w:r>
                    <w:r>
                      <w:rPr>
                        <w:rStyle w:val="21"/>
                      </w:rPr>
                      <w:instrText xml:space="preserve">PAGE  </w:instrText>
                    </w:r>
                    <w:r>
                      <w:fldChar w:fldCharType="separate"/>
                    </w:r>
                    <w:r>
                      <w:rPr>
                        <w:rStyle w:val="21"/>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eastAsia"/>
      </w:rPr>
    </w:pPr>
    <w:r>
      <w:rPr>
        <w:rFonts w:hint="eastAsia"/>
        <w:lang w:eastAsia="zh-CN"/>
      </w:rPr>
      <w:t>新疆丰颢源工程管理咨询有限公司</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7"/>
    <w:multiLevelType w:val="multilevel"/>
    <w:tmpl w:val="00000007"/>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4E409BB"/>
    <w:multiLevelType w:val="multilevel"/>
    <w:tmpl w:val="24E409BB"/>
    <w:lvl w:ilvl="0" w:tentative="0">
      <w:start w:val="1"/>
      <w:numFmt w:val="decimal"/>
      <w:pStyle w:val="25"/>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1"/>
  </w:num>
  <w:num w:numId="3">
    <w:abstractNumId w:val="0"/>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MDYwMjNlNGNlNzM1MGRjNWI2MTYyZWMyNTZhOTUifQ=="/>
  </w:docVars>
  <w:rsids>
    <w:rsidRoot w:val="00000000"/>
    <w:rsid w:val="030750A8"/>
    <w:rsid w:val="038251E4"/>
    <w:rsid w:val="0491602D"/>
    <w:rsid w:val="053B5831"/>
    <w:rsid w:val="066F61BA"/>
    <w:rsid w:val="07CE6076"/>
    <w:rsid w:val="07E22A0A"/>
    <w:rsid w:val="080C42F3"/>
    <w:rsid w:val="0889017A"/>
    <w:rsid w:val="0A084FFE"/>
    <w:rsid w:val="0A21662D"/>
    <w:rsid w:val="0AB42B4F"/>
    <w:rsid w:val="0D3A744A"/>
    <w:rsid w:val="0DF57054"/>
    <w:rsid w:val="0F255064"/>
    <w:rsid w:val="1192589F"/>
    <w:rsid w:val="157403EC"/>
    <w:rsid w:val="16C056AB"/>
    <w:rsid w:val="1ED5358C"/>
    <w:rsid w:val="20596F74"/>
    <w:rsid w:val="21C4062D"/>
    <w:rsid w:val="245A1CC8"/>
    <w:rsid w:val="24EC66D5"/>
    <w:rsid w:val="250410F2"/>
    <w:rsid w:val="267A507C"/>
    <w:rsid w:val="280A4341"/>
    <w:rsid w:val="296C066D"/>
    <w:rsid w:val="2B675A24"/>
    <w:rsid w:val="2C366F69"/>
    <w:rsid w:val="2D847558"/>
    <w:rsid w:val="2EFA653D"/>
    <w:rsid w:val="311A02B3"/>
    <w:rsid w:val="3137687A"/>
    <w:rsid w:val="32265D43"/>
    <w:rsid w:val="323C629C"/>
    <w:rsid w:val="337C7542"/>
    <w:rsid w:val="35503953"/>
    <w:rsid w:val="3C795F8F"/>
    <w:rsid w:val="3CB971DE"/>
    <w:rsid w:val="3D012277"/>
    <w:rsid w:val="3D224849"/>
    <w:rsid w:val="3D863DAC"/>
    <w:rsid w:val="3E52449D"/>
    <w:rsid w:val="3E9A489A"/>
    <w:rsid w:val="429750D7"/>
    <w:rsid w:val="4422077D"/>
    <w:rsid w:val="45024BF8"/>
    <w:rsid w:val="4A29520E"/>
    <w:rsid w:val="4D2C2FDF"/>
    <w:rsid w:val="4E601A65"/>
    <w:rsid w:val="50093AE6"/>
    <w:rsid w:val="51570C73"/>
    <w:rsid w:val="51680854"/>
    <w:rsid w:val="51B44C64"/>
    <w:rsid w:val="56606BE9"/>
    <w:rsid w:val="5662250A"/>
    <w:rsid w:val="574D2CF7"/>
    <w:rsid w:val="58155A5A"/>
    <w:rsid w:val="59D2767F"/>
    <w:rsid w:val="5E7304B4"/>
    <w:rsid w:val="60173081"/>
    <w:rsid w:val="604E7BD7"/>
    <w:rsid w:val="620E3E31"/>
    <w:rsid w:val="643D1580"/>
    <w:rsid w:val="643E619F"/>
    <w:rsid w:val="6594282D"/>
    <w:rsid w:val="67283F04"/>
    <w:rsid w:val="673F14F0"/>
    <w:rsid w:val="68653FE4"/>
    <w:rsid w:val="68A76B92"/>
    <w:rsid w:val="69A725C4"/>
    <w:rsid w:val="6B1729F4"/>
    <w:rsid w:val="6BF502A5"/>
    <w:rsid w:val="6C5B5032"/>
    <w:rsid w:val="6CA60D1F"/>
    <w:rsid w:val="6D4E436F"/>
    <w:rsid w:val="6ED332D0"/>
    <w:rsid w:val="6F421E56"/>
    <w:rsid w:val="6F450465"/>
    <w:rsid w:val="6FD25210"/>
    <w:rsid w:val="708B1138"/>
    <w:rsid w:val="711F649C"/>
    <w:rsid w:val="72476B05"/>
    <w:rsid w:val="73124222"/>
    <w:rsid w:val="744E3935"/>
    <w:rsid w:val="752776A3"/>
    <w:rsid w:val="762C4BB0"/>
    <w:rsid w:val="779C18C8"/>
    <w:rsid w:val="79955522"/>
    <w:rsid w:val="7BAF7AFB"/>
    <w:rsid w:val="7CED4825"/>
    <w:rsid w:val="7F0659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rPr>
  </w:style>
  <w:style w:type="paragraph" w:styleId="3">
    <w:name w:val="heading 1"/>
    <w:basedOn w:val="1"/>
    <w:next w:val="1"/>
    <w:link w:val="26"/>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28"/>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29"/>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Indent"/>
    <w:basedOn w:val="1"/>
    <w:next w:val="8"/>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sz w:val="24"/>
      <w:szCs w:val="24"/>
    </w:rPr>
  </w:style>
  <w:style w:type="paragraph" w:styleId="9">
    <w:name w:val="annotation text"/>
    <w:basedOn w:val="1"/>
    <w:qFormat/>
    <w:uiPriority w:val="0"/>
    <w:pPr>
      <w:jc w:val="left"/>
    </w:pPr>
  </w:style>
  <w:style w:type="paragraph" w:styleId="10">
    <w:name w:val="Body Text"/>
    <w:basedOn w:val="1"/>
    <w:next w:val="11"/>
    <w:qFormat/>
    <w:uiPriority w:val="0"/>
    <w:pPr>
      <w:tabs>
        <w:tab w:val="left" w:pos="567"/>
      </w:tabs>
      <w:spacing w:before="120" w:line="22" w:lineRule="atLeast"/>
    </w:pPr>
    <w:rPr>
      <w:rFonts w:ascii="宋体" w:hAnsi="宋体"/>
      <w:sz w:val="24"/>
    </w:rPr>
  </w:style>
  <w:style w:type="paragraph" w:styleId="11">
    <w:name w:val="Body Text 2"/>
    <w:basedOn w:val="1"/>
    <w:qFormat/>
    <w:uiPriority w:val="0"/>
    <w:pPr>
      <w:spacing w:after="120" w:line="480" w:lineRule="auto"/>
    </w:pPr>
    <w:rPr>
      <w:rFonts w:ascii="Arial" w:hAnsi="Arial"/>
      <w:sz w:val="24"/>
    </w:rPr>
  </w:style>
  <w:style w:type="paragraph" w:styleId="12">
    <w:name w:val="Body Text Indent"/>
    <w:basedOn w:val="1"/>
    <w:qFormat/>
    <w:uiPriority w:val="0"/>
    <w:pPr>
      <w:spacing w:after="120"/>
      <w:ind w:left="420" w:leftChars="200"/>
    </w:pPr>
  </w:style>
  <w:style w:type="paragraph" w:styleId="13">
    <w:name w:val="Plain Text"/>
    <w:basedOn w:val="1"/>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footnote text"/>
    <w:basedOn w:val="1"/>
    <w:qFormat/>
    <w:uiPriority w:val="99"/>
    <w:pPr>
      <w:snapToGrid w:val="0"/>
      <w:jc w:val="left"/>
    </w:pPr>
    <w:rPr>
      <w:sz w:val="18"/>
    </w:rPr>
  </w:style>
  <w:style w:type="paragraph" w:styleId="16">
    <w:name w:val="Normal (Web)"/>
    <w:basedOn w:val="1"/>
    <w:next w:val="2"/>
    <w:qFormat/>
    <w:uiPriority w:val="99"/>
    <w:pPr>
      <w:widowControl/>
      <w:spacing w:before="100" w:beforeAutospacing="1" w:afterAutospacing="1"/>
      <w:jc w:val="left"/>
    </w:pPr>
    <w:rPr>
      <w:rFonts w:ascii="宋体" w:hAnsi="宋体"/>
      <w:sz w:val="24"/>
      <w:szCs w:val="24"/>
    </w:rPr>
  </w:style>
  <w:style w:type="paragraph" w:styleId="17">
    <w:name w:val="Body Text First Indent"/>
    <w:basedOn w:val="10"/>
    <w:next w:val="1"/>
    <w:qFormat/>
    <w:uiPriority w:val="0"/>
    <w:pPr>
      <w:spacing w:after="120" w:line="240" w:lineRule="auto"/>
      <w:ind w:firstLine="420" w:firstLineChars="100"/>
      <w:jc w:val="both"/>
    </w:pPr>
    <w:rPr>
      <w:rFonts w:ascii="Arial" w:hAnsi="Arial"/>
      <w:sz w:val="21"/>
      <w:szCs w:val="24"/>
    </w:rPr>
  </w:style>
  <w:style w:type="paragraph" w:styleId="18">
    <w:name w:val="Body Text First Indent 2"/>
    <w:basedOn w:val="12"/>
    <w:qFormat/>
    <w:uiPriority w:val="0"/>
    <w:pPr>
      <w:ind w:firstLine="420" w:firstLineChars="200"/>
    </w:pPr>
  </w:style>
  <w:style w:type="character" w:styleId="21">
    <w:name w:val="page number"/>
    <w:basedOn w:val="20"/>
    <w:qFormat/>
    <w:uiPriority w:val="0"/>
    <w:rPr>
      <w:rFonts w:eastAsia="宋体"/>
      <w:sz w:val="24"/>
      <w:szCs w:val="24"/>
      <w:lang w:val="en-US" w:eastAsia="zh-CN" w:bidi="ar-SA"/>
    </w:rPr>
  </w:style>
  <w:style w:type="character" w:styleId="22">
    <w:name w:val="Hyperlink"/>
    <w:qFormat/>
    <w:uiPriority w:val="0"/>
    <w:rPr>
      <w:rFonts w:eastAsia="宋体"/>
      <w:color w:val="0000FF"/>
      <w:sz w:val="24"/>
      <w:szCs w:val="24"/>
      <w:u w:val="single"/>
      <w:lang w:val="en-US" w:eastAsia="zh-CN" w:bidi="ar-SA"/>
    </w:rPr>
  </w:style>
  <w:style w:type="paragraph" w:customStyle="1" w:styleId="23">
    <w:name w:val="Heading 1"/>
    <w:basedOn w:val="1"/>
    <w:next w:val="1"/>
    <w:link w:val="24"/>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4">
    <w:name w:val="标题 1 Char"/>
    <w:basedOn w:val="20"/>
    <w:link w:val="23"/>
    <w:qFormat/>
    <w:uiPriority w:val="0"/>
    <w:rPr>
      <w:rFonts w:ascii="Arial" w:hAnsi="Arial" w:eastAsia="宋体" w:cs="Times New Roman"/>
      <w:b/>
      <w:bCs/>
      <w:kern w:val="44"/>
      <w:sz w:val="44"/>
      <w:szCs w:val="44"/>
    </w:rPr>
  </w:style>
  <w:style w:type="paragraph" w:customStyle="1" w:styleId="25">
    <w:name w:val="表名称"/>
    <w:basedOn w:val="7"/>
    <w:qFormat/>
    <w:uiPriority w:val="0"/>
    <w:pPr>
      <w:numPr>
        <w:ilvl w:val="0"/>
        <w:numId w:val="1"/>
      </w:numPr>
      <w:ind w:firstLine="0" w:firstLineChars="0"/>
      <w:jc w:val="center"/>
    </w:pPr>
  </w:style>
  <w:style w:type="character" w:customStyle="1" w:styleId="26">
    <w:name w:val="标题 1 Char1"/>
    <w:link w:val="3"/>
    <w:qFormat/>
    <w:uiPriority w:val="0"/>
    <w:rPr>
      <w:b/>
      <w:kern w:val="44"/>
      <w:sz w:val="44"/>
    </w:rPr>
  </w:style>
  <w:style w:type="character" w:customStyle="1" w:styleId="27">
    <w:name w:val="标题 2 Char"/>
    <w:link w:val="4"/>
    <w:qFormat/>
    <w:uiPriority w:val="0"/>
    <w:rPr>
      <w:rFonts w:ascii="Arial" w:hAnsi="Arial" w:eastAsia="黑体"/>
      <w:b/>
      <w:kern w:val="0"/>
      <w:sz w:val="30"/>
      <w:szCs w:val="20"/>
    </w:rPr>
  </w:style>
  <w:style w:type="character" w:customStyle="1" w:styleId="28">
    <w:name w:val="标题 3 Char"/>
    <w:link w:val="5"/>
    <w:qFormat/>
    <w:uiPriority w:val="0"/>
    <w:rPr>
      <w:b/>
      <w:sz w:val="32"/>
    </w:rPr>
  </w:style>
  <w:style w:type="character" w:customStyle="1" w:styleId="29">
    <w:name w:val="标题 4 Char"/>
    <w:link w:val="6"/>
    <w:qFormat/>
    <w:uiPriority w:val="0"/>
    <w:rPr>
      <w:rFonts w:ascii="Arial" w:hAnsi="Arial" w:eastAsia="黑体"/>
      <w:b/>
      <w:sz w:val="28"/>
    </w:rPr>
  </w:style>
  <w:style w:type="paragraph" w:customStyle="1" w:styleId="30">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1">
    <w:name w:val="font41"/>
    <w:basedOn w:val="20"/>
    <w:qFormat/>
    <w:uiPriority w:val="0"/>
    <w:rPr>
      <w:rFonts w:ascii="新宋体" w:hAnsi="新宋体" w:eastAsia="新宋体" w:cs="新宋体"/>
      <w:color w:val="000000"/>
      <w:sz w:val="20"/>
      <w:szCs w:val="20"/>
      <w:u w:val="none"/>
    </w:rPr>
  </w:style>
  <w:style w:type="paragraph" w:customStyle="1" w:styleId="32">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62</Pages>
  <Words>32775</Words>
  <Characters>35148</Characters>
  <Lines>1</Lines>
  <Paragraphs>1</Paragraphs>
  <TotalTime>0</TotalTime>
  <ScaleCrop>false</ScaleCrop>
  <LinksUpToDate>false</LinksUpToDate>
  <CharactersWithSpaces>35808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我是蠢蛋我怕谁</cp:lastModifiedBy>
  <cp:lastPrinted>2022-07-28T10:27:00Z</cp:lastPrinted>
  <dcterms:modified xsi:type="dcterms:W3CDTF">2022-12-26T09:55:42Z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EF976112EA4D41A3A5722E3178B86D4F</vt:lpwstr>
  </property>
</Properties>
</file>