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auto"/>
        <w:rPr>
          <w:rFonts w:hint="eastAsia" w:ascii="仿宋" w:hAnsi="仿宋" w:eastAsia="仿宋" w:cs="仿宋"/>
          <w:b/>
          <w:color w:val="000000"/>
          <w:sz w:val="44"/>
          <w:szCs w:val="44"/>
          <w:highlight w:val="none"/>
          <w:lang w:eastAsia="zh-CN"/>
        </w:rPr>
      </w:pPr>
      <w:r>
        <w:rPr>
          <w:rFonts w:hint="eastAsia" w:ascii="仿宋" w:hAnsi="仿宋" w:eastAsia="仿宋" w:cs="仿宋"/>
          <w:b/>
          <w:color w:val="000000"/>
          <w:sz w:val="44"/>
          <w:szCs w:val="44"/>
          <w:highlight w:val="none"/>
          <w:lang w:eastAsia="zh-CN"/>
        </w:rPr>
        <w:t>疏附县村庄规划编制项目（第二批）</w:t>
      </w:r>
    </w:p>
    <w:p>
      <w:pPr>
        <w:pStyle w:val="6"/>
        <w:keepNext w:val="0"/>
        <w:keepLines w:val="0"/>
        <w:pageBreakBefore w:val="0"/>
        <w:widowControl w:val="0"/>
        <w:kinsoku/>
        <w:wordWrap/>
        <w:overflowPunct/>
        <w:topLinePunct w:val="0"/>
        <w:autoSpaceDE w:val="0"/>
        <w:autoSpaceDN w:val="0"/>
        <w:bidi w:val="0"/>
        <w:adjustRightInd w:val="0"/>
        <w:snapToGrid/>
        <w:spacing w:line="960" w:lineRule="auto"/>
        <w:ind w:firstLine="0"/>
        <w:jc w:val="center"/>
        <w:textAlignment w:val="auto"/>
        <w:rPr>
          <w:rFonts w:hint="eastAsia" w:ascii="仿宋" w:hAnsi="仿宋" w:eastAsia="仿宋" w:cs="仿宋"/>
          <w:b/>
          <w:color w:val="000000"/>
          <w:sz w:val="40"/>
          <w:szCs w:val="40"/>
          <w:highlight w:val="none"/>
          <w:lang w:val="en-US" w:eastAsia="zh-CN"/>
        </w:rPr>
      </w:pPr>
      <w:r>
        <w:rPr>
          <w:rFonts w:hint="eastAsia" w:ascii="仿宋" w:hAnsi="仿宋" w:eastAsia="仿宋" w:cs="仿宋"/>
          <w:b/>
          <w:color w:val="000000"/>
          <w:sz w:val="40"/>
          <w:szCs w:val="40"/>
          <w:highlight w:val="none"/>
          <w:lang w:eastAsia="zh-CN"/>
        </w:rPr>
        <w:t>项目编号：</w:t>
      </w:r>
      <w:r>
        <w:rPr>
          <w:rFonts w:hint="eastAsia" w:ascii="仿宋" w:hAnsi="仿宋" w:eastAsia="仿宋" w:cs="仿宋"/>
          <w:b/>
          <w:color w:val="000000"/>
          <w:sz w:val="40"/>
          <w:szCs w:val="40"/>
          <w:highlight w:val="none"/>
          <w:lang w:val="en-US" w:eastAsia="zh-CN"/>
        </w:rPr>
        <w:t>KSHD-(GK)2023-13号</w:t>
      </w:r>
    </w:p>
    <w:p>
      <w:pPr>
        <w:pStyle w:val="6"/>
        <w:spacing w:line="720" w:lineRule="auto"/>
        <w:ind w:left="0" w:leftChars="0" w:firstLine="0" w:firstLineChars="0"/>
        <w:jc w:val="both"/>
        <w:rPr>
          <w:rFonts w:hint="eastAsia" w:ascii="仿宋" w:hAnsi="仿宋" w:eastAsia="仿宋" w:cs="仿宋"/>
          <w:b/>
          <w:color w:val="000000"/>
          <w:sz w:val="56"/>
          <w:szCs w:val="56"/>
          <w:highlight w:val="none"/>
        </w:rPr>
      </w:pPr>
    </w:p>
    <w:p>
      <w:pPr>
        <w:pStyle w:val="7"/>
        <w:rPr>
          <w:rFonts w:hint="eastAsia" w:ascii="仿宋" w:hAnsi="仿宋" w:eastAsia="仿宋" w:cs="仿宋"/>
        </w:rPr>
      </w:pPr>
    </w:p>
    <w:p>
      <w:pPr>
        <w:pStyle w:val="6"/>
        <w:spacing w:line="720" w:lineRule="auto"/>
        <w:jc w:val="center"/>
        <w:rPr>
          <w:rFonts w:hint="eastAsia" w:ascii="仿宋" w:hAnsi="仿宋" w:eastAsia="仿宋" w:cs="仿宋"/>
          <w:b/>
          <w:color w:val="000000"/>
          <w:sz w:val="52"/>
          <w:szCs w:val="52"/>
          <w:highlight w:val="none"/>
        </w:rPr>
      </w:pPr>
      <w:r>
        <w:rPr>
          <w:rFonts w:hint="eastAsia" w:ascii="仿宋" w:hAnsi="仿宋" w:eastAsia="仿宋" w:cs="仿宋"/>
          <w:b/>
          <w:color w:val="000000"/>
          <w:sz w:val="56"/>
          <w:szCs w:val="56"/>
          <w:highlight w:val="none"/>
        </w:rPr>
        <w:t>招</w:t>
      </w:r>
    </w:p>
    <w:p>
      <w:pPr>
        <w:pStyle w:val="6"/>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标</w:t>
      </w:r>
    </w:p>
    <w:p>
      <w:pPr>
        <w:pStyle w:val="6"/>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文</w:t>
      </w:r>
    </w:p>
    <w:p>
      <w:pPr>
        <w:pStyle w:val="6"/>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件</w:t>
      </w:r>
    </w:p>
    <w:p>
      <w:pPr>
        <w:spacing w:line="240" w:lineRule="atLeast"/>
        <w:ind w:left="1079" w:leftChars="257" w:hanging="540"/>
        <w:jc w:val="center"/>
        <w:rPr>
          <w:rFonts w:hint="eastAsia" w:ascii="仿宋" w:hAnsi="仿宋" w:eastAsia="仿宋" w:cs="仿宋"/>
        </w:rPr>
      </w:pPr>
    </w:p>
    <w:p>
      <w:pPr>
        <w:pStyle w:val="26"/>
        <w:rPr>
          <w:rFonts w:hint="eastAsia" w:ascii="仿宋" w:hAnsi="仿宋" w:eastAsia="仿宋" w:cs="仿宋"/>
        </w:rPr>
      </w:pPr>
    </w:p>
    <w:p>
      <w:pPr>
        <w:pStyle w:val="9"/>
        <w:rPr>
          <w:rFonts w:hint="eastAsia" w:ascii="仿宋" w:hAnsi="仿宋" w:eastAsia="仿宋" w:cs="仿宋"/>
        </w:rPr>
      </w:pPr>
    </w:p>
    <w:p>
      <w:pPr>
        <w:pStyle w:val="6"/>
        <w:ind w:left="0" w:leftChars="0" w:firstLine="0" w:firstLineChars="0"/>
        <w:rPr>
          <w:rFonts w:hint="eastAsia" w:ascii="仿宋" w:hAnsi="仿宋" w:eastAsia="仿宋" w:cs="仿宋"/>
          <w:highlight w:val="none"/>
        </w:rPr>
      </w:pPr>
    </w:p>
    <w:p>
      <w:pPr>
        <w:spacing w:line="360" w:lineRule="auto"/>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招   标   人：</w:t>
      </w:r>
      <w:r>
        <w:rPr>
          <w:rFonts w:hint="eastAsia" w:ascii="仿宋" w:hAnsi="仿宋" w:eastAsia="仿宋" w:cs="仿宋"/>
          <w:b/>
          <w:bCs/>
          <w:color w:val="000000"/>
          <w:sz w:val="30"/>
          <w:highlight w:val="none"/>
          <w:lang w:eastAsia="zh-CN"/>
        </w:rPr>
        <w:t>新疆维吾尔自治区疏附县自然资源局</w:t>
      </w:r>
    </w:p>
    <w:p>
      <w:pPr>
        <w:spacing w:line="360" w:lineRule="auto"/>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采购代理机构：</w:t>
      </w:r>
      <w:r>
        <w:rPr>
          <w:rFonts w:hint="eastAsia" w:ascii="仿宋" w:hAnsi="仿宋" w:eastAsia="仿宋" w:cs="仿宋"/>
          <w:b/>
          <w:bCs/>
          <w:color w:val="000000"/>
          <w:sz w:val="30"/>
          <w:highlight w:val="none"/>
          <w:lang w:eastAsia="zh-CN"/>
        </w:rPr>
        <w:t>喀什厚德建设工程项目管理有限公司</w:t>
      </w:r>
    </w:p>
    <w:p>
      <w:pPr>
        <w:spacing w:line="360" w:lineRule="auto"/>
        <w:ind w:left="2108" w:hanging="2100" w:hangingChars="700"/>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代理机构地址：</w:t>
      </w:r>
      <w:r>
        <w:rPr>
          <w:rFonts w:hint="eastAsia" w:ascii="仿宋" w:hAnsi="仿宋" w:eastAsia="仿宋" w:cs="仿宋"/>
          <w:b/>
          <w:bCs/>
          <w:color w:val="000000"/>
          <w:sz w:val="30"/>
          <w:highlight w:val="none"/>
          <w:lang w:eastAsia="zh-CN"/>
        </w:rPr>
        <w:t>新疆喀什地区喀什市人民东路天缘国际酒店院内综合办公楼3楼303室</w:t>
      </w:r>
    </w:p>
    <w:p>
      <w:pPr>
        <w:spacing w:line="360" w:lineRule="auto"/>
        <w:jc w:val="left"/>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rPr>
        <w:t>联   系   人：</w:t>
      </w:r>
      <w:r>
        <w:rPr>
          <w:rFonts w:hint="eastAsia" w:ascii="仿宋" w:hAnsi="仿宋" w:eastAsia="仿宋" w:cs="仿宋"/>
          <w:b/>
          <w:bCs/>
          <w:color w:val="000000"/>
          <w:sz w:val="30"/>
          <w:szCs w:val="30"/>
          <w:highlight w:val="none"/>
          <w:lang w:val="en-US" w:eastAsia="zh-CN"/>
        </w:rPr>
        <w:t>谭彬</w:t>
      </w:r>
    </w:p>
    <w:p>
      <w:pPr>
        <w:spacing w:line="360" w:lineRule="auto"/>
        <w:jc w:val="left"/>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rPr>
        <w:t>联  系 电 话：</w:t>
      </w:r>
      <w:r>
        <w:rPr>
          <w:rFonts w:hint="eastAsia" w:ascii="仿宋" w:hAnsi="仿宋" w:eastAsia="仿宋" w:cs="仿宋"/>
          <w:b/>
          <w:bCs/>
          <w:color w:val="000000"/>
          <w:sz w:val="30"/>
          <w:szCs w:val="30"/>
          <w:highlight w:val="none"/>
          <w:lang w:val="en-US" w:eastAsia="zh-CN"/>
        </w:rPr>
        <w:t>16699780112</w:t>
      </w:r>
    </w:p>
    <w:p>
      <w:pPr>
        <w:spacing w:line="360" w:lineRule="auto"/>
        <w:jc w:val="lef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 xml:space="preserve"> </w:t>
      </w:r>
    </w:p>
    <w:p>
      <w:pPr>
        <w:spacing w:line="600" w:lineRule="exact"/>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发  出 日 期：</w:t>
      </w:r>
      <w:r>
        <w:rPr>
          <w:rFonts w:hint="eastAsia" w:ascii="仿宋" w:hAnsi="仿宋" w:eastAsia="仿宋" w:cs="仿宋"/>
          <w:b/>
          <w:bCs/>
          <w:color w:val="000000"/>
          <w:sz w:val="30"/>
          <w:szCs w:val="30"/>
          <w:highlight w:val="none"/>
          <w:u w:val="single"/>
        </w:rPr>
        <w:t>202</w:t>
      </w:r>
      <w:r>
        <w:rPr>
          <w:rFonts w:hint="eastAsia" w:ascii="仿宋" w:hAnsi="仿宋" w:eastAsia="仿宋" w:cs="仿宋"/>
          <w:b/>
          <w:bCs/>
          <w:color w:val="000000"/>
          <w:sz w:val="30"/>
          <w:szCs w:val="30"/>
          <w:highlight w:val="none"/>
          <w:u w:val="single"/>
          <w:lang w:val="en-US" w:eastAsia="zh-CN"/>
        </w:rPr>
        <w:t>3</w:t>
      </w:r>
      <w:r>
        <w:rPr>
          <w:rFonts w:hint="eastAsia" w:ascii="仿宋" w:hAnsi="仿宋" w:eastAsia="仿宋" w:cs="仿宋"/>
          <w:b/>
          <w:bCs/>
          <w:color w:val="000000"/>
          <w:sz w:val="30"/>
          <w:szCs w:val="30"/>
          <w:highlight w:val="none"/>
          <w:u w:val="single"/>
        </w:rPr>
        <w:t>年</w:t>
      </w:r>
      <w:r>
        <w:rPr>
          <w:rFonts w:hint="eastAsia" w:ascii="仿宋" w:hAnsi="仿宋" w:eastAsia="仿宋" w:cs="仿宋"/>
          <w:b/>
          <w:bCs/>
          <w:color w:val="000000"/>
          <w:sz w:val="30"/>
          <w:szCs w:val="30"/>
          <w:highlight w:val="none"/>
          <w:u w:val="single"/>
          <w:lang w:val="en-US" w:eastAsia="zh-CN"/>
        </w:rPr>
        <w:t>9</w:t>
      </w:r>
      <w:r>
        <w:rPr>
          <w:rFonts w:hint="eastAsia" w:ascii="仿宋" w:hAnsi="仿宋" w:eastAsia="仿宋" w:cs="仿宋"/>
          <w:b/>
          <w:bCs/>
          <w:color w:val="000000"/>
          <w:sz w:val="30"/>
          <w:szCs w:val="30"/>
          <w:highlight w:val="none"/>
          <w:u w:val="single"/>
        </w:rPr>
        <w:t>月</w:t>
      </w:r>
    </w:p>
    <w:p>
      <w:pPr>
        <w:pStyle w:val="6"/>
        <w:rPr>
          <w:rFonts w:hint="eastAsia"/>
          <w:color w:val="000000"/>
          <w:highlight w:val="none"/>
        </w:rPr>
      </w:pPr>
      <w:r>
        <w:rPr>
          <w:rFonts w:hint="eastAsia" w:ascii="宋体" w:hAnsi="宋体" w:cs="宋体"/>
          <w:b/>
          <w:color w:val="000000"/>
          <w:sz w:val="52"/>
          <w:highlight w:val="none"/>
        </w:rPr>
        <w:br w:type="page"/>
      </w:r>
    </w:p>
    <w:p>
      <w:pPr>
        <w:spacing w:line="240" w:lineRule="atLeast"/>
        <w:ind w:left="1079" w:leftChars="257" w:hanging="540"/>
        <w:jc w:val="center"/>
        <w:rPr>
          <w:rFonts w:hint="eastAsia" w:ascii="仿宋" w:hAnsi="仿宋" w:eastAsia="仿宋" w:cs="仿宋"/>
          <w:b/>
          <w:color w:val="000000"/>
          <w:sz w:val="32"/>
          <w:highlight w:val="none"/>
        </w:rPr>
      </w:pPr>
      <w:bookmarkStart w:id="0" w:name="_Toc17230"/>
      <w:bookmarkStart w:id="1" w:name="_Toc25817"/>
      <w:bookmarkStart w:id="2" w:name="_Toc22782"/>
      <w:bookmarkStart w:id="3" w:name="_Toc216582804"/>
      <w:r>
        <w:rPr>
          <w:rFonts w:hint="eastAsia" w:ascii="仿宋" w:hAnsi="仿宋" w:eastAsia="仿宋" w:cs="仿宋"/>
          <w:b/>
          <w:color w:val="000000"/>
          <w:sz w:val="32"/>
          <w:highlight w:val="none"/>
        </w:rPr>
        <w:t>目  录</w:t>
      </w:r>
    </w:p>
    <w:p>
      <w:pPr>
        <w:spacing w:line="360" w:lineRule="auto"/>
        <w:ind w:left="1079" w:leftChars="257" w:hanging="540"/>
        <w:jc w:val="center"/>
        <w:rPr>
          <w:rFonts w:hint="eastAsia" w:ascii="仿宋" w:hAnsi="仿宋" w:eastAsia="仿宋" w:cs="仿宋"/>
          <w:b/>
          <w:color w:val="000000"/>
          <w:sz w:val="32"/>
          <w:highlight w:val="none"/>
        </w:rPr>
      </w:pPr>
    </w:p>
    <w:p>
      <w:pPr>
        <w:pStyle w:val="24"/>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TOC \o "1-3" \h \z \u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_Toc25817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第1章   投标人须知</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1</w:t>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_Toc22145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一   总 则</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1</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_Toc5999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1.采购人、采购代理机构及投标人</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_Toc5999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_Toc4322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2.资金来源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_Toc4322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_Toc13828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3.投标费用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_Toc13828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_Toc32665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4.适用法律</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_Toc32665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_Toc28572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二   招标文件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_Toc28572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_Toc4671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5.招标文件构成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_Toc4671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_Toc1922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6.招标文件的澄清与修改</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_Toc1922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_Toc12448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7.投标截止时间的顺延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_Toc12448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_Toc31039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三   投标文件的编制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_Toc31039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pos="3600"/>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_Toc30570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8.</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投标范围及投标文件中标准和计量单位的使用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_Toc30570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_Toc18692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9.投标文件构成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_Toc18692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pos="3600"/>
          <w:tab w:val="right" w:leader="dot" w:pos="8312"/>
          <w:tab w:val="clear" w:pos="1260"/>
          <w:tab w:val="clear" w:pos="8630"/>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_Toc13143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10.</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证明投标标的的合格性和符合招标文件规定的技术文件</w:t>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3</w:t>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_Toc19624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11.投标报价</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_Toc19624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_Toc22212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12.投标保证金</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_Toc22212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_Toc22901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13.投标有效期</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_Toc22901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_Toc17609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14.投标文件的签署及规定</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_Toc17609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_Toc25925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四   投标文件的递交</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_Toc25925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_Toc26195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15.投标文件的密封和标记</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_Toc24017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16.投标截止</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_Toc24785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17.投标文件的接收、修改与撤回</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_Toc20246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五   开标及评标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5</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_Toc17257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18. 开标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5</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_Toc31290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19.资格审查及组建评标委员会</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5</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_Toc26332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20.投标文件符合性审查与澄清</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_Toc18529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21.投标偏离</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_Toc23936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22.投标无效</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_Toc8521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23.比较与评价</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_Toc31728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24.废标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_Toc11175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25.保密原则</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_Toc2153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六   确定中标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kern w:val="0"/>
          <w:sz w:val="24"/>
          <w:highlight w:val="none"/>
          <w:lang w:val="en-US" w:eastAsia="zh-CN"/>
        </w:rPr>
        <w:t>7</w:t>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_Toc28066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26.中标候选人的确定原则及标准</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kern w:val="0"/>
          <w:sz w:val="24"/>
          <w:highlight w:val="none"/>
          <w:lang w:val="en-US" w:eastAsia="zh-CN"/>
        </w:rPr>
        <w:t>7</w:t>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_Toc19950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27.确定中标候选人和中标人</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_Toc13782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28.采购任务取消</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_Toc31142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29.中标通知书和招标结果通知书</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_Toc14795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30.签订合同</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_Toc7188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31.履约保证金</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_Toc31936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32.中标服务费</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_Toc13588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33.政府采购信用担保</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_Toc27198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34.廉洁自律规定</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_Toc10437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35.人员回避</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fldChar w:fldCharType="end"/>
      </w:r>
    </w:p>
    <w:p>
      <w:pPr>
        <w:pStyle w:val="15"/>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_Toc10700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36.质疑与接收</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9</w:t>
      </w:r>
      <w:r>
        <w:rPr>
          <w:rFonts w:hint="eastAsia" w:ascii="仿宋" w:hAnsi="仿宋" w:eastAsia="仿宋" w:cs="仿宋"/>
          <w:b/>
          <w:bCs/>
          <w:color w:val="000000"/>
          <w:kern w:val="0"/>
          <w:sz w:val="24"/>
          <w:highlight w:val="none"/>
        </w:rPr>
        <w:fldChar w:fldCharType="end"/>
      </w:r>
    </w:p>
    <w:p>
      <w:pPr>
        <w:pStyle w:val="29"/>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_Toc19692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第2章 投标文件格式</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6</w:t>
      </w:r>
    </w:p>
    <w:p>
      <w:pPr>
        <w:pStyle w:val="29"/>
        <w:tabs>
          <w:tab w:val="right" w:leader="dot" w:pos="8312"/>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_Toc20439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3</w:t>
      </w:r>
      <w:r>
        <w:rPr>
          <w:rFonts w:hint="eastAsia" w:ascii="仿宋" w:hAnsi="仿宋" w:eastAsia="仿宋" w:cs="仿宋"/>
          <w:b/>
          <w:bCs/>
          <w:color w:val="000000"/>
          <w:sz w:val="24"/>
          <w:szCs w:val="32"/>
          <w:highlight w:val="none"/>
        </w:rPr>
        <w:t>章 投标</w:t>
      </w:r>
      <w:r>
        <w:rPr>
          <w:rFonts w:hint="eastAsia" w:ascii="仿宋" w:hAnsi="仿宋" w:eastAsia="仿宋" w:cs="仿宋"/>
          <w:b/>
          <w:bCs/>
          <w:color w:val="000000"/>
          <w:sz w:val="24"/>
          <w:szCs w:val="32"/>
          <w:highlight w:val="none"/>
          <w:lang w:val="en-US" w:eastAsia="zh-CN"/>
        </w:rPr>
        <w:t>公告</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9</w:t>
      </w:r>
    </w:p>
    <w:p>
      <w:pPr>
        <w:pStyle w:val="29"/>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_Toc22779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sz w:val="24"/>
          <w:szCs w:val="32"/>
          <w:highlight w:val="none"/>
        </w:rPr>
        <w:t>章 投标人须知资料表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2</w:t>
      </w:r>
    </w:p>
    <w:p>
      <w:pPr>
        <w:pStyle w:val="29"/>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_Toc23331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5</w:t>
      </w:r>
      <w:r>
        <w:rPr>
          <w:rFonts w:hint="eastAsia" w:ascii="仿宋" w:hAnsi="仿宋" w:eastAsia="仿宋" w:cs="仿宋"/>
          <w:b/>
          <w:bCs/>
          <w:color w:val="000000"/>
          <w:sz w:val="24"/>
          <w:szCs w:val="32"/>
          <w:highlight w:val="none"/>
        </w:rPr>
        <w:t xml:space="preserve">章 </w:t>
      </w:r>
      <w:r>
        <w:rPr>
          <w:rFonts w:hint="eastAsia" w:ascii="仿宋" w:hAnsi="仿宋" w:eastAsia="仿宋" w:cs="仿宋"/>
          <w:b/>
          <w:bCs/>
          <w:color w:val="000000"/>
          <w:sz w:val="24"/>
          <w:szCs w:val="32"/>
          <w:highlight w:val="none"/>
          <w:lang w:val="en-US" w:eastAsia="zh-CN"/>
        </w:rPr>
        <w:t>服务</w:t>
      </w:r>
      <w:r>
        <w:rPr>
          <w:rFonts w:hint="eastAsia" w:ascii="仿宋" w:hAnsi="仿宋" w:eastAsia="仿宋" w:cs="仿宋"/>
          <w:b/>
          <w:bCs/>
          <w:color w:val="000000"/>
          <w:sz w:val="24"/>
          <w:szCs w:val="32"/>
          <w:highlight w:val="none"/>
        </w:rPr>
        <w:t>需求</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4</w:t>
      </w:r>
    </w:p>
    <w:p>
      <w:pPr>
        <w:pStyle w:val="29"/>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_Toc4337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sz w:val="24"/>
          <w:szCs w:val="32"/>
          <w:highlight w:val="none"/>
        </w:rPr>
        <w:t>章 评标方法和标准</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46</w:t>
      </w:r>
    </w:p>
    <w:p>
      <w:pPr>
        <w:pStyle w:val="29"/>
        <w:tabs>
          <w:tab w:val="right" w:leader="dot" w:pos="8312"/>
        </w:tabs>
        <w:spacing w:line="360" w:lineRule="auto"/>
        <w:rPr>
          <w:rFonts w:hint="eastAsia" w:ascii="仿宋" w:hAnsi="仿宋" w:eastAsia="仿宋" w:cs="仿宋"/>
          <w:b/>
          <w:bCs/>
          <w:color w:val="000000"/>
          <w:sz w:val="24"/>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74" w:right="1701" w:bottom="1474" w:left="1701" w:header="851" w:footer="992" w:gutter="0"/>
          <w:pgNumType w:start="1"/>
          <w:cols w:space="720" w:num="1"/>
          <w:docGrid w:type="linesAndChars" w:linePitch="312" w:charSpace="0"/>
        </w:sectPr>
      </w:pP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sz w:val="24"/>
          <w:szCs w:val="32"/>
          <w:highlight w:val="none"/>
        </w:rPr>
        <w:t>章</w:t>
      </w:r>
      <w:r>
        <w:rPr>
          <w:rFonts w:hint="eastAsia" w:ascii="仿宋" w:hAnsi="仿宋" w:eastAsia="仿宋" w:cs="仿宋"/>
          <w:b/>
          <w:bCs/>
          <w:color w:val="000000"/>
          <w:sz w:val="24"/>
          <w:szCs w:val="32"/>
          <w:highlight w:val="none"/>
          <w:lang w:val="en-US" w:eastAsia="zh-CN"/>
        </w:rPr>
        <w:t xml:space="preserve"> </w:t>
      </w:r>
      <w:r>
        <w:rPr>
          <w:rFonts w:hint="eastAsia" w:ascii="仿宋" w:hAnsi="仿宋" w:eastAsia="仿宋" w:cs="仿宋"/>
          <w:b/>
          <w:bCs/>
          <w:color w:val="000000"/>
          <w:sz w:val="24"/>
          <w:szCs w:val="32"/>
          <w:highlight w:val="none"/>
        </w:rPr>
        <w:t>政府采购合同</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5</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5</w:t>
      </w:r>
    </w:p>
    <w:p>
      <w:pPr>
        <w:pStyle w:val="3"/>
        <w:numPr>
          <w:ilvl w:val="0"/>
          <w:numId w:val="1"/>
        </w:numPr>
        <w:tabs>
          <w:tab w:val="left" w:pos="0"/>
          <w:tab w:val="clear" w:pos="3134"/>
        </w:tabs>
        <w:spacing w:before="0" w:after="0" w:line="360" w:lineRule="auto"/>
        <w:ind w:left="4440" w:leftChars="0" w:hanging="3134" w:firstLineChars="0"/>
        <w:rPr>
          <w:rFonts w:hint="eastAsia" w:ascii="仿宋" w:hAnsi="仿宋" w:eastAsia="仿宋" w:cs="仿宋"/>
          <w:color w:val="000000"/>
          <w:highlight w:val="none"/>
        </w:rPr>
      </w:pPr>
      <w:r>
        <w:rPr>
          <w:rFonts w:hint="eastAsia" w:ascii="仿宋" w:hAnsi="仿宋" w:eastAsia="仿宋" w:cs="仿宋"/>
          <w:bCs/>
          <w:color w:val="000000"/>
          <w:kern w:val="0"/>
          <w:sz w:val="40"/>
          <w:szCs w:val="24"/>
          <w:highlight w:val="none"/>
        </w:rPr>
        <w:fldChar w:fldCharType="end"/>
      </w:r>
      <w:r>
        <w:rPr>
          <w:rFonts w:hint="eastAsia" w:ascii="仿宋" w:hAnsi="仿宋" w:eastAsia="仿宋" w:cs="仿宋"/>
          <w:color w:val="000000"/>
          <w:highlight w:val="none"/>
        </w:rPr>
        <w:t xml:space="preserve">  </w:t>
      </w:r>
      <w:bookmarkStart w:id="4" w:name="_Toc515647756"/>
      <w:r>
        <w:rPr>
          <w:rFonts w:hint="eastAsia" w:ascii="仿宋" w:hAnsi="仿宋" w:eastAsia="仿宋" w:cs="仿宋"/>
          <w:color w:val="000000"/>
          <w:highlight w:val="none"/>
        </w:rPr>
        <w:t>投标人须知</w:t>
      </w:r>
      <w:bookmarkEnd w:id="0"/>
      <w:bookmarkEnd w:id="1"/>
      <w:bookmarkEnd w:id="2"/>
      <w:bookmarkEnd w:id="3"/>
      <w:bookmarkEnd w:id="4"/>
    </w:p>
    <w:p>
      <w:pPr>
        <w:pStyle w:val="2"/>
        <w:spacing w:before="0" w:line="320" w:lineRule="exact"/>
        <w:ind w:left="1079" w:leftChars="257" w:hanging="540"/>
        <w:rPr>
          <w:rFonts w:hint="eastAsia" w:ascii="仿宋" w:hAnsi="仿宋" w:eastAsia="仿宋" w:cs="仿宋"/>
          <w:color w:val="000000"/>
          <w:highlight w:val="none"/>
        </w:rPr>
      </w:pPr>
      <w:bookmarkStart w:id="5" w:name="_Toc520356143"/>
      <w:bookmarkStart w:id="6" w:name="_Toc515647757"/>
      <w:bookmarkStart w:id="7" w:name="_Toc216582805"/>
      <w:bookmarkStart w:id="8" w:name="_Toc21215"/>
      <w:bookmarkStart w:id="9" w:name="_Toc22145"/>
      <w:bookmarkStart w:id="10" w:name="_Toc21015"/>
      <w:r>
        <w:rPr>
          <w:rFonts w:hint="eastAsia" w:ascii="仿宋" w:hAnsi="仿宋" w:eastAsia="仿宋" w:cs="仿宋"/>
          <w:color w:val="000000"/>
          <w:sz w:val="28"/>
          <w:highlight w:val="none"/>
        </w:rPr>
        <w:t xml:space="preserve">一   </w:t>
      </w:r>
      <w:bookmarkEnd w:id="5"/>
      <w:bookmarkEnd w:id="6"/>
      <w:bookmarkEnd w:id="7"/>
      <w:r>
        <w:rPr>
          <w:rFonts w:hint="eastAsia" w:ascii="仿宋" w:hAnsi="仿宋" w:eastAsia="仿宋" w:cs="仿宋"/>
          <w:color w:val="000000"/>
          <w:sz w:val="28"/>
          <w:highlight w:val="none"/>
        </w:rPr>
        <w:t>总 则</w:t>
      </w:r>
      <w:bookmarkEnd w:id="8"/>
      <w:bookmarkEnd w:id="9"/>
      <w:bookmarkEnd w:id="10"/>
    </w:p>
    <w:p>
      <w:pPr>
        <w:pStyle w:val="4"/>
        <w:spacing w:before="0" w:after="0" w:line="240" w:lineRule="atLeast"/>
        <w:rPr>
          <w:rFonts w:hint="eastAsia" w:ascii="仿宋" w:hAnsi="仿宋" w:eastAsia="仿宋" w:cs="仿宋"/>
          <w:color w:val="000000"/>
          <w:highlight w:val="none"/>
          <w:u w:val="none"/>
        </w:rPr>
      </w:pPr>
      <w:bookmarkStart w:id="11" w:name="_Toc520356144"/>
      <w:bookmarkStart w:id="12" w:name="_Toc32189"/>
      <w:bookmarkStart w:id="13" w:name="_Toc5999"/>
      <w:bookmarkStart w:id="14" w:name="_Toc515647758"/>
      <w:bookmarkStart w:id="15" w:name="_Toc32623"/>
      <w:r>
        <w:rPr>
          <w:rFonts w:hint="eastAsia" w:ascii="仿宋" w:hAnsi="仿宋" w:eastAsia="仿宋" w:cs="仿宋"/>
          <w:color w:val="000000"/>
          <w:highlight w:val="none"/>
          <w:u w:val="none"/>
        </w:rPr>
        <w:t>1.采购人、采购代理机构及</w:t>
      </w:r>
      <w:bookmarkEnd w:id="11"/>
      <w:r>
        <w:rPr>
          <w:rFonts w:hint="eastAsia" w:ascii="仿宋" w:hAnsi="仿宋" w:eastAsia="仿宋" w:cs="仿宋"/>
          <w:color w:val="000000"/>
          <w:highlight w:val="none"/>
          <w:u w:val="none"/>
        </w:rPr>
        <w:t>投标人</w:t>
      </w:r>
      <w:bookmarkEnd w:id="12"/>
      <w:bookmarkEnd w:id="13"/>
      <w:bookmarkEnd w:id="14"/>
      <w:bookmarkEnd w:id="15"/>
    </w:p>
    <w:p>
      <w:pPr>
        <w:numPr>
          <w:ilvl w:val="1"/>
          <w:numId w:val="2"/>
        </w:numPr>
        <w:tabs>
          <w:tab w:val="left" w:pos="0"/>
          <w:tab w:val="clear" w:pos="900"/>
        </w:tabs>
        <w:spacing w:line="240" w:lineRule="atLeast"/>
        <w:ind w:hanging="898"/>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采购人：是指依法开展政府采购活动的国家机关、事业单位、团体组织。</w:t>
      </w:r>
    </w:p>
    <w:p>
      <w:pPr>
        <w:tabs>
          <w:tab w:val="left" w:pos="0"/>
        </w:tabs>
        <w:spacing w:line="240" w:lineRule="atLeast"/>
        <w:ind w:left="9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本项目的采购人见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pPr>
        <w:numPr>
          <w:ilvl w:val="1"/>
          <w:numId w:val="2"/>
        </w:numPr>
        <w:tabs>
          <w:tab w:val="left" w:pos="0"/>
          <w:tab w:val="clear" w:pos="900"/>
        </w:tabs>
        <w:spacing w:line="240" w:lineRule="atLeast"/>
        <w:ind w:hanging="898"/>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采购代理机构：是指在集中采购机构或从事采购代理业务的社会中介机构。本项目的采购代理机构见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pPr>
        <w:numPr>
          <w:ilvl w:val="1"/>
          <w:numId w:val="2"/>
        </w:numPr>
        <w:spacing w:line="240" w:lineRule="atLeast"/>
        <w:ind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投标人：是指向采购人提供货物、工程或者服务的法人、非法人组织或者自然人。本项目的投标人及其投标货物须满足以下条件：</w:t>
      </w:r>
    </w:p>
    <w:p>
      <w:pPr>
        <w:spacing w:line="240" w:lineRule="atLeast"/>
        <w:ind w:left="850" w:hanging="849" w:hangingChars="354"/>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1.3.3   以采购代理机构认可的方式获得了本项目的招标文件。</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1.3.4   符合</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中规定的其他要求。</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1.3.5   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中写明允许采购进口产品，投标人应保证所投产品可履行合法报通关手续进入中国关境内。</w:t>
      </w:r>
    </w:p>
    <w:p>
      <w:pPr>
        <w:spacing w:line="240" w:lineRule="atLeast"/>
        <w:ind w:left="898" w:leftChars="428"/>
        <w:rPr>
          <w:rFonts w:hint="eastAsia" w:ascii="仿宋" w:hAnsi="仿宋" w:eastAsia="仿宋" w:cs="仿宋"/>
          <w:color w:val="000000"/>
          <w:sz w:val="24"/>
          <w:highlight w:val="none"/>
        </w:rPr>
      </w:pPr>
      <w:r>
        <w:rPr>
          <w:rFonts w:hint="eastAsia" w:ascii="仿宋" w:hAnsi="仿宋" w:eastAsia="仿宋" w:cs="仿宋"/>
          <w:color w:val="000000"/>
          <w:sz w:val="24"/>
          <w:highlight w:val="none"/>
        </w:rPr>
        <w:t>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中未写明允许采购进口产品，如投标人所投产品为进口产品，其投标将被认定为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spacing w:line="240" w:lineRule="atLeast"/>
        <w:ind w:left="840" w:hanging="840" w:hanging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1.3.6  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中写明专门面向中小企业采购的，如投标人为非中小企业且所投产品为非中小企业产品，其投标将被认定为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1.4    本项目不允许联合体投标；</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1.5    单位负责人为同一人或者存在直接控股、管理关系的不同供应商，其相关投标将被认定为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1.6</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投标人在投标过程中不得向采购人提供、给予任何有价值的物品，影响其正常决策行为。一经发现，其将被认定为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pStyle w:val="4"/>
        <w:spacing w:before="0" w:after="0" w:line="240" w:lineRule="atLeast"/>
        <w:rPr>
          <w:rFonts w:hint="eastAsia" w:ascii="仿宋" w:hAnsi="仿宋" w:eastAsia="仿宋" w:cs="仿宋"/>
          <w:color w:val="000000"/>
          <w:highlight w:val="none"/>
          <w:u w:val="none"/>
        </w:rPr>
      </w:pPr>
      <w:bookmarkStart w:id="16" w:name="_Toc4322"/>
      <w:bookmarkStart w:id="17" w:name="_Toc12139"/>
      <w:bookmarkStart w:id="18" w:name="_Toc5286"/>
      <w:bookmarkStart w:id="19" w:name="_Toc515647759"/>
      <w:r>
        <w:rPr>
          <w:rFonts w:hint="eastAsia" w:ascii="仿宋" w:hAnsi="仿宋" w:eastAsia="仿宋" w:cs="仿宋"/>
          <w:color w:val="000000"/>
          <w:highlight w:val="none"/>
          <w:u w:val="none"/>
        </w:rPr>
        <w:t>2.资金来源</w:t>
      </w:r>
      <w:bookmarkEnd w:id="16"/>
      <w:bookmarkEnd w:id="17"/>
      <w:bookmarkEnd w:id="18"/>
      <w:bookmarkEnd w:id="19"/>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项目预算金额和分项或分包最高限价</w:t>
      </w:r>
      <w:r>
        <w:rPr>
          <w:rFonts w:hint="eastAsia" w:ascii="仿宋" w:hAnsi="仿宋" w:eastAsia="仿宋" w:cs="仿宋"/>
          <w:color w:val="000000"/>
          <w:sz w:val="24"/>
          <w:highlight w:val="none"/>
          <w:u w:val="single"/>
        </w:rPr>
        <w:t>见投标人须知资料表</w:t>
      </w:r>
      <w:r>
        <w:rPr>
          <w:rFonts w:hint="eastAsia" w:ascii="仿宋" w:hAnsi="仿宋" w:eastAsia="仿宋" w:cs="仿宋"/>
          <w:color w:val="000000"/>
          <w:sz w:val="24"/>
          <w:highlight w:val="none"/>
        </w:rPr>
        <w:t>。</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2.3    投标人报价超过招标文件规定的预算金额或者分项、分包最高限价的，其投标将被认定为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pStyle w:val="4"/>
        <w:spacing w:before="0" w:after="0" w:line="240" w:lineRule="atLeast"/>
        <w:rPr>
          <w:rFonts w:hint="eastAsia" w:ascii="仿宋" w:hAnsi="仿宋" w:eastAsia="仿宋" w:cs="仿宋"/>
          <w:color w:val="000000"/>
          <w:highlight w:val="none"/>
          <w:u w:val="none"/>
        </w:rPr>
      </w:pPr>
      <w:bookmarkStart w:id="20" w:name="_Toc515647760"/>
      <w:bookmarkStart w:id="21" w:name="_Toc20526"/>
      <w:bookmarkStart w:id="22" w:name="_Toc13828"/>
      <w:bookmarkStart w:id="23" w:name="_Toc15936"/>
      <w:bookmarkStart w:id="24" w:name="_Toc520356145"/>
      <w:r>
        <w:rPr>
          <w:rFonts w:hint="eastAsia" w:ascii="仿宋" w:hAnsi="仿宋" w:eastAsia="仿宋" w:cs="仿宋"/>
          <w:color w:val="000000"/>
          <w:highlight w:val="none"/>
          <w:u w:val="none"/>
        </w:rPr>
        <w:t>3.投标费用</w:t>
      </w:r>
      <w:bookmarkEnd w:id="20"/>
      <w:bookmarkEnd w:id="21"/>
      <w:bookmarkEnd w:id="22"/>
      <w:bookmarkEnd w:id="23"/>
      <w:bookmarkEnd w:id="24"/>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不论投标的结果如何，投标人应承担所有与准备和参加投标有关的费用。</w:t>
      </w:r>
    </w:p>
    <w:p>
      <w:pPr>
        <w:pStyle w:val="4"/>
        <w:spacing w:before="0" w:after="0" w:line="240" w:lineRule="atLeast"/>
        <w:rPr>
          <w:rFonts w:hint="eastAsia" w:ascii="仿宋" w:hAnsi="仿宋" w:eastAsia="仿宋" w:cs="仿宋"/>
          <w:color w:val="000000"/>
          <w:highlight w:val="none"/>
          <w:u w:val="none"/>
        </w:rPr>
      </w:pPr>
      <w:bookmarkStart w:id="25" w:name="_Toc515647761"/>
      <w:bookmarkStart w:id="26" w:name="_Toc32665"/>
      <w:bookmarkStart w:id="27" w:name="_Toc4463"/>
      <w:bookmarkStart w:id="28" w:name="_Toc6116"/>
      <w:r>
        <w:rPr>
          <w:rFonts w:hint="eastAsia" w:ascii="仿宋" w:hAnsi="仿宋" w:eastAsia="仿宋" w:cs="仿宋"/>
          <w:color w:val="000000"/>
          <w:highlight w:val="none"/>
          <w:u w:val="none"/>
        </w:rPr>
        <w:t>4.适用法律</w:t>
      </w:r>
      <w:bookmarkEnd w:id="25"/>
      <w:bookmarkEnd w:id="26"/>
      <w:bookmarkEnd w:id="27"/>
      <w:bookmarkEnd w:id="28"/>
    </w:p>
    <w:p>
      <w:pPr>
        <w:spacing w:line="240" w:lineRule="atLeast"/>
        <w:ind w:left="900" w:hanging="900" w:hangingChars="375"/>
        <w:rPr>
          <w:rFonts w:hint="eastAsia" w:ascii="仿宋" w:hAnsi="仿宋" w:eastAsia="仿宋" w:cs="仿宋"/>
          <w:sz w:val="34"/>
        </w:rPr>
      </w:pPr>
      <w:r>
        <w:rPr>
          <w:rFonts w:hint="eastAsia" w:ascii="仿宋" w:hAnsi="仿宋" w:eastAsia="仿宋" w:cs="仿宋"/>
          <w:color w:val="000000"/>
          <w:sz w:val="24"/>
          <w:highlight w:val="none"/>
        </w:rPr>
        <w:t xml:space="preserve">       本项目采购人、采购代理机构、投标人、评标委员会的相关行为均受《中华人民共和国政府采购法》、《中华人民共和国政府采购法实施条例》、中华人民共和国财政部令第 74 号《政府采购非招标采购方式管理办法》、中华人民共和国财政部令第 87 号--政府采购货物和服务招标报价管理办法及本项目本级和上级财政部门政府采购有关规定的约束， 其权利受到上述法律法规的保护。</w:t>
      </w:r>
    </w:p>
    <w:p>
      <w:pPr>
        <w:spacing w:line="240" w:lineRule="atLeast"/>
        <w:ind w:left="900" w:hanging="900" w:hangingChars="375"/>
        <w:rPr>
          <w:rFonts w:hint="eastAsia" w:ascii="仿宋" w:hAnsi="仿宋" w:eastAsia="仿宋" w:cs="仿宋"/>
          <w:color w:val="000000"/>
          <w:sz w:val="24"/>
          <w:highlight w:val="none"/>
        </w:rPr>
      </w:pPr>
    </w:p>
    <w:p>
      <w:pPr>
        <w:pStyle w:val="2"/>
        <w:spacing w:before="0" w:line="240" w:lineRule="atLeast"/>
        <w:ind w:left="1079" w:leftChars="257" w:hanging="540"/>
        <w:rPr>
          <w:rFonts w:hint="eastAsia" w:ascii="仿宋" w:hAnsi="仿宋" w:eastAsia="仿宋" w:cs="仿宋"/>
          <w:color w:val="000000"/>
          <w:highlight w:val="none"/>
        </w:rPr>
      </w:pPr>
      <w:bookmarkStart w:id="29" w:name="_Toc520356146"/>
      <w:bookmarkStart w:id="30" w:name="_Toc515647762"/>
      <w:bookmarkStart w:id="31" w:name="_Toc4365"/>
      <w:bookmarkStart w:id="32" w:name="_Toc28572"/>
      <w:bookmarkStart w:id="33" w:name="_Toc21566"/>
      <w:bookmarkStart w:id="34" w:name="_Toc216582806"/>
      <w:r>
        <w:rPr>
          <w:rFonts w:hint="eastAsia" w:ascii="仿宋" w:hAnsi="仿宋" w:eastAsia="仿宋" w:cs="仿宋"/>
          <w:color w:val="000000"/>
          <w:sz w:val="28"/>
          <w:highlight w:val="none"/>
        </w:rPr>
        <w:t>二   招标文件</w:t>
      </w:r>
      <w:bookmarkEnd w:id="29"/>
      <w:bookmarkEnd w:id="30"/>
      <w:bookmarkEnd w:id="31"/>
      <w:bookmarkEnd w:id="32"/>
      <w:bookmarkEnd w:id="33"/>
      <w:bookmarkEnd w:id="34"/>
    </w:p>
    <w:p>
      <w:pPr>
        <w:pStyle w:val="4"/>
        <w:spacing w:before="0" w:after="0" w:line="240" w:lineRule="atLeast"/>
        <w:rPr>
          <w:rFonts w:hint="eastAsia" w:ascii="仿宋" w:hAnsi="仿宋" w:eastAsia="仿宋" w:cs="仿宋"/>
          <w:color w:val="000000"/>
          <w:highlight w:val="none"/>
          <w:u w:val="none"/>
        </w:rPr>
      </w:pPr>
      <w:bookmarkStart w:id="35" w:name="_Toc520356147"/>
      <w:bookmarkStart w:id="36" w:name="_Toc4671"/>
      <w:bookmarkStart w:id="37" w:name="_Toc515647763"/>
      <w:bookmarkStart w:id="38" w:name="_Toc14084"/>
      <w:bookmarkStart w:id="39" w:name="_Toc25743"/>
      <w:r>
        <w:rPr>
          <w:rFonts w:hint="eastAsia" w:ascii="仿宋" w:hAnsi="仿宋" w:eastAsia="仿宋" w:cs="仿宋"/>
          <w:color w:val="000000"/>
          <w:highlight w:val="none"/>
          <w:u w:val="none"/>
        </w:rPr>
        <w:t>5.招标文件构成</w:t>
      </w:r>
      <w:bookmarkEnd w:id="35"/>
      <w:bookmarkEnd w:id="36"/>
      <w:bookmarkEnd w:id="37"/>
      <w:bookmarkEnd w:id="38"/>
      <w:bookmarkEnd w:id="39"/>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招标文件分为三册共7章，内容如下：</w:t>
      </w:r>
    </w:p>
    <w:p>
      <w:pPr>
        <w:spacing w:line="240" w:lineRule="atLeast"/>
        <w:ind w:left="1078" w:leftChars="428"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第一册</w:t>
      </w:r>
    </w:p>
    <w:p>
      <w:pPr>
        <w:numPr>
          <w:ilvl w:val="0"/>
          <w:numId w:val="3"/>
        </w:numPr>
        <w:tabs>
          <w:tab w:val="left" w:pos="0"/>
        </w:tabs>
        <w:spacing w:line="240" w:lineRule="atLeast"/>
        <w:ind w:hanging="82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投标人须知</w:t>
      </w:r>
    </w:p>
    <w:p>
      <w:pPr>
        <w:numPr>
          <w:ilvl w:val="0"/>
          <w:numId w:val="3"/>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投标文件格式</w:t>
      </w:r>
    </w:p>
    <w:p>
      <w:p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第二册</w:t>
      </w:r>
    </w:p>
    <w:p>
      <w:pPr>
        <w:numPr>
          <w:ilvl w:val="0"/>
          <w:numId w:val="3"/>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投标邀请</w:t>
      </w:r>
    </w:p>
    <w:p>
      <w:pPr>
        <w:numPr>
          <w:ilvl w:val="0"/>
          <w:numId w:val="3"/>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投标人须知资料表</w:t>
      </w:r>
    </w:p>
    <w:p>
      <w:pPr>
        <w:numPr>
          <w:ilvl w:val="0"/>
          <w:numId w:val="3"/>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需求一览表及项目要求</w:t>
      </w:r>
    </w:p>
    <w:p>
      <w:pPr>
        <w:numPr>
          <w:ilvl w:val="0"/>
          <w:numId w:val="3"/>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评标方法和标准</w:t>
      </w:r>
    </w:p>
    <w:p>
      <w:pPr>
        <w:spacing w:line="240" w:lineRule="atLeast"/>
        <w:ind w:left="901"/>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第三册</w:t>
      </w:r>
    </w:p>
    <w:p>
      <w:pPr>
        <w:numPr>
          <w:ilvl w:val="0"/>
          <w:numId w:val="3"/>
        </w:numPr>
        <w:spacing w:line="240" w:lineRule="atLeast"/>
        <w:ind w:left="718" w:leftChars="342"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政府采购合同格式</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如本文件的前后内容不一致，以最后描述为准。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pStyle w:val="4"/>
        <w:spacing w:before="0" w:after="0" w:line="240" w:lineRule="atLeast"/>
        <w:rPr>
          <w:rFonts w:hint="eastAsia" w:ascii="仿宋" w:hAnsi="仿宋" w:eastAsia="仿宋" w:cs="仿宋"/>
          <w:color w:val="000000"/>
          <w:highlight w:val="none"/>
          <w:u w:val="none"/>
        </w:rPr>
      </w:pPr>
      <w:bookmarkStart w:id="40" w:name="_Toc520356148"/>
      <w:bookmarkStart w:id="41" w:name="_Toc515904805"/>
      <w:bookmarkStart w:id="42" w:name="_Toc9232"/>
      <w:bookmarkStart w:id="43" w:name="_Toc1922"/>
      <w:bookmarkStart w:id="44" w:name="_Toc26044"/>
      <w:r>
        <w:rPr>
          <w:rFonts w:hint="eastAsia" w:ascii="仿宋" w:hAnsi="仿宋" w:eastAsia="仿宋" w:cs="仿宋"/>
          <w:color w:val="000000"/>
          <w:highlight w:val="none"/>
          <w:u w:val="none"/>
        </w:rPr>
        <w:t>6.招标文件的澄清</w:t>
      </w:r>
      <w:bookmarkEnd w:id="40"/>
      <w:bookmarkEnd w:id="41"/>
      <w:r>
        <w:rPr>
          <w:rFonts w:hint="eastAsia" w:ascii="仿宋" w:hAnsi="仿宋" w:eastAsia="仿宋" w:cs="仿宋"/>
          <w:color w:val="000000"/>
          <w:highlight w:val="none"/>
          <w:u w:val="none"/>
        </w:rPr>
        <w:t>与修改</w:t>
      </w:r>
      <w:bookmarkEnd w:id="42"/>
      <w:bookmarkEnd w:id="43"/>
      <w:bookmarkEnd w:id="44"/>
    </w:p>
    <w:p>
      <w:pPr>
        <w:pStyle w:val="6"/>
        <w:ind w:left="840" w:hanging="840" w:hangingChars="35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pPr>
        <w:pStyle w:val="6"/>
        <w:ind w:left="840" w:hanging="840" w:hangingChars="350"/>
        <w:rPr>
          <w:rFonts w:hint="eastAsia" w:ascii="仿宋" w:hAnsi="仿宋" w:eastAsia="仿宋" w:cs="仿宋"/>
          <w:color w:val="000000"/>
          <w:szCs w:val="24"/>
          <w:highlight w:val="none"/>
        </w:rPr>
      </w:pPr>
      <w:bookmarkStart w:id="45" w:name="_Toc515904806"/>
      <w:bookmarkStart w:id="46" w:name="_Ref467378678"/>
      <w:bookmarkStart w:id="47" w:name="_Toc520356149"/>
      <w:r>
        <w:rPr>
          <w:rFonts w:hint="eastAsia" w:ascii="仿宋" w:hAnsi="仿宋" w:eastAsia="仿宋" w:cs="仿宋"/>
          <w:color w:val="000000"/>
          <w:szCs w:val="24"/>
          <w:highlight w:val="none"/>
        </w:rPr>
        <w:t>6.2</w:t>
      </w:r>
      <w:r>
        <w:rPr>
          <w:rFonts w:hint="eastAsia" w:ascii="仿宋" w:hAnsi="仿宋" w:eastAsia="仿宋" w:cs="仿宋"/>
          <w:color w:val="000000"/>
          <w:szCs w:val="24"/>
          <w:highlight w:val="none"/>
        </w:rPr>
        <w:tab/>
      </w:r>
      <w:r>
        <w:rPr>
          <w:rFonts w:hint="eastAsia" w:ascii="仿宋" w:hAnsi="仿宋" w:eastAsia="仿宋" w:cs="仿宋"/>
          <w:color w:val="000000"/>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6"/>
        <w:ind w:left="840" w:hanging="840" w:hangingChars="35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6.3</w:t>
      </w:r>
      <w:r>
        <w:rPr>
          <w:rFonts w:hint="eastAsia" w:ascii="仿宋" w:hAnsi="仿宋" w:eastAsia="仿宋" w:cs="仿宋"/>
          <w:color w:val="000000"/>
          <w:szCs w:val="24"/>
          <w:highlight w:val="none"/>
        </w:rPr>
        <w:tab/>
      </w:r>
      <w:r>
        <w:rPr>
          <w:rFonts w:hint="eastAsia" w:ascii="仿宋" w:hAnsi="仿宋" w:eastAsia="仿宋" w:cs="仿宋"/>
          <w:color w:val="000000"/>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4"/>
        <w:tabs>
          <w:tab w:val="left" w:pos="900"/>
        </w:tabs>
        <w:spacing w:before="0" w:after="0" w:line="240" w:lineRule="atLeast"/>
        <w:rPr>
          <w:rFonts w:hint="eastAsia" w:ascii="仿宋" w:hAnsi="仿宋" w:eastAsia="仿宋" w:cs="仿宋"/>
          <w:color w:val="000000"/>
          <w:highlight w:val="none"/>
          <w:u w:val="none"/>
        </w:rPr>
      </w:pPr>
      <w:bookmarkStart w:id="48" w:name="_Toc14569"/>
      <w:bookmarkStart w:id="49" w:name="_Toc25635"/>
      <w:bookmarkStart w:id="50" w:name="_Toc12448"/>
      <w:r>
        <w:rPr>
          <w:rFonts w:hint="eastAsia" w:ascii="仿宋" w:hAnsi="仿宋" w:eastAsia="仿宋" w:cs="仿宋"/>
          <w:color w:val="000000"/>
          <w:highlight w:val="none"/>
          <w:u w:val="none"/>
        </w:rPr>
        <w:t>7</w:t>
      </w:r>
      <w:bookmarkEnd w:id="45"/>
      <w:bookmarkEnd w:id="46"/>
      <w:bookmarkEnd w:id="47"/>
      <w:r>
        <w:rPr>
          <w:rFonts w:hint="eastAsia" w:ascii="仿宋" w:hAnsi="仿宋" w:eastAsia="仿宋" w:cs="仿宋"/>
          <w:color w:val="000000"/>
          <w:highlight w:val="none"/>
          <w:u w:val="none"/>
        </w:rPr>
        <w:t>.投标截止时间的顺延</w:t>
      </w:r>
      <w:bookmarkEnd w:id="48"/>
      <w:bookmarkEnd w:id="49"/>
      <w:bookmarkEnd w:id="50"/>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为使投标人准备投标时有足够的时间对招标文件的澄清或者修改部分进行研究，采购人将依法决定是否顺延投标截止时间。</w:t>
      </w:r>
    </w:p>
    <w:p>
      <w:pPr>
        <w:pStyle w:val="2"/>
        <w:tabs>
          <w:tab w:val="left" w:pos="900"/>
        </w:tabs>
        <w:spacing w:before="0" w:line="240" w:lineRule="atLeast"/>
        <w:ind w:left="1079" w:leftChars="257" w:hanging="540"/>
        <w:rPr>
          <w:rFonts w:hint="eastAsia" w:ascii="仿宋" w:hAnsi="仿宋" w:eastAsia="仿宋" w:cs="仿宋"/>
          <w:color w:val="000000"/>
          <w:highlight w:val="none"/>
        </w:rPr>
      </w:pPr>
      <w:bookmarkStart w:id="51" w:name="_Toc516367020"/>
      <w:bookmarkStart w:id="52" w:name="_Toc216582807"/>
      <w:bookmarkStart w:id="53" w:name="_Toc515647766"/>
      <w:bookmarkStart w:id="54" w:name="_Toc31039"/>
      <w:bookmarkStart w:id="55" w:name="_Toc7636"/>
      <w:bookmarkStart w:id="56" w:name="_Toc520356150"/>
      <w:bookmarkStart w:id="57" w:name="_Toc30808"/>
      <w:r>
        <w:rPr>
          <w:rFonts w:hint="eastAsia" w:ascii="仿宋" w:hAnsi="仿宋" w:eastAsia="仿宋" w:cs="仿宋"/>
          <w:color w:val="000000"/>
          <w:sz w:val="28"/>
          <w:highlight w:val="none"/>
        </w:rPr>
        <w:t>三   投标文件</w:t>
      </w:r>
      <w:bookmarkEnd w:id="51"/>
      <w:r>
        <w:rPr>
          <w:rFonts w:hint="eastAsia" w:ascii="仿宋" w:hAnsi="仿宋" w:eastAsia="仿宋" w:cs="仿宋"/>
          <w:color w:val="000000"/>
          <w:sz w:val="28"/>
          <w:highlight w:val="none"/>
        </w:rPr>
        <w:t>的编制</w:t>
      </w:r>
      <w:bookmarkEnd w:id="52"/>
      <w:bookmarkEnd w:id="53"/>
      <w:bookmarkEnd w:id="54"/>
      <w:bookmarkEnd w:id="55"/>
      <w:bookmarkEnd w:id="56"/>
      <w:bookmarkEnd w:id="57"/>
    </w:p>
    <w:p>
      <w:pPr>
        <w:pStyle w:val="4"/>
        <w:tabs>
          <w:tab w:val="left" w:pos="900"/>
        </w:tabs>
        <w:spacing w:before="0" w:after="0" w:line="240" w:lineRule="atLeast"/>
        <w:rPr>
          <w:rFonts w:hint="eastAsia" w:ascii="仿宋" w:hAnsi="仿宋" w:eastAsia="仿宋" w:cs="仿宋"/>
          <w:color w:val="000000"/>
          <w:highlight w:val="none"/>
          <w:u w:val="none"/>
        </w:rPr>
      </w:pPr>
      <w:bookmarkStart w:id="58" w:name="_Toc3553"/>
      <w:bookmarkStart w:id="59" w:name="_Toc7786"/>
      <w:bookmarkStart w:id="60" w:name="_Toc520356151"/>
      <w:bookmarkStart w:id="61" w:name="_Toc515647767"/>
      <w:bookmarkStart w:id="62" w:name="_Toc30570"/>
      <w:bookmarkStart w:id="63" w:name="_Toc516367021"/>
      <w:r>
        <w:rPr>
          <w:rFonts w:hint="eastAsia" w:ascii="仿宋" w:hAnsi="仿宋" w:eastAsia="仿宋" w:cs="仿宋"/>
          <w:color w:val="000000"/>
          <w:highlight w:val="none"/>
          <w:u w:val="none"/>
        </w:rPr>
        <w:t>8.</w:t>
      </w:r>
      <w:r>
        <w:rPr>
          <w:rFonts w:hint="eastAsia" w:ascii="仿宋" w:hAnsi="仿宋" w:eastAsia="仿宋" w:cs="仿宋"/>
          <w:color w:val="000000"/>
          <w:highlight w:val="none"/>
          <w:u w:val="none"/>
        </w:rPr>
        <w:tab/>
      </w:r>
      <w:r>
        <w:rPr>
          <w:rFonts w:hint="eastAsia" w:ascii="仿宋" w:hAnsi="仿宋" w:eastAsia="仿宋" w:cs="仿宋"/>
          <w:color w:val="000000"/>
          <w:highlight w:val="none"/>
          <w:u w:val="none"/>
        </w:rPr>
        <w:t>投标范围及投标文件中标准和计量单位的使用</w:t>
      </w:r>
      <w:bookmarkEnd w:id="58"/>
      <w:bookmarkEnd w:id="59"/>
      <w:bookmarkEnd w:id="60"/>
      <w:bookmarkEnd w:id="61"/>
      <w:bookmarkEnd w:id="62"/>
      <w:bookmarkEnd w:id="63"/>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项目有分包的，投标人可对招标文件其中某一个或几个分包货物进行投标，除非在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中另有规定。</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8.2    投标人应当对所投分包招标文件中“服务需求”所列的所有服务内容进行投标，如仅响应分包中的部分内容，其投标将被认定为投标无效。</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8.3     无论招标文件第5章服务需求中是否要求，投标人所投服务均应符合国家强制性标准。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8.4     除招标文件中有特殊要求外，投标文件中所使用的计量单位，应采用中华人民共和国法定计量单位。</w:t>
      </w:r>
    </w:p>
    <w:p>
      <w:pPr>
        <w:spacing w:line="240" w:lineRule="atLeast"/>
        <w:ind w:left="900" w:hanging="900" w:hangingChars="375"/>
        <w:rPr>
          <w:rFonts w:hint="eastAsia" w:ascii="仿宋" w:hAnsi="仿宋" w:eastAsia="仿宋" w:cs="仿宋"/>
          <w:b/>
          <w:bCs/>
          <w:color w:val="000000"/>
          <w:sz w:val="24"/>
          <w:highlight w:val="none"/>
        </w:rPr>
      </w:pPr>
      <w:bookmarkStart w:id="64" w:name="_Ref467306195"/>
      <w:bookmarkStart w:id="65" w:name="_Toc516367022"/>
      <w:bookmarkStart w:id="66" w:name="_Ref467306676"/>
      <w:bookmarkStart w:id="67" w:name="_Toc520356152"/>
      <w:bookmarkStart w:id="68" w:name="_Toc28307"/>
      <w:bookmarkStart w:id="69" w:name="_Toc10364"/>
      <w:bookmarkStart w:id="70" w:name="_Toc18692"/>
      <w:bookmarkStart w:id="71" w:name="_Toc515647768"/>
      <w:r>
        <w:rPr>
          <w:rFonts w:hint="eastAsia" w:ascii="仿宋" w:hAnsi="仿宋" w:eastAsia="仿宋" w:cs="仿宋"/>
          <w:b/>
          <w:bCs/>
          <w:color w:val="000000"/>
          <w:sz w:val="24"/>
          <w:highlight w:val="none"/>
        </w:rPr>
        <w:t>9.投标文件</w:t>
      </w:r>
      <w:bookmarkEnd w:id="64"/>
      <w:bookmarkEnd w:id="65"/>
      <w:bookmarkEnd w:id="66"/>
      <w:r>
        <w:rPr>
          <w:rFonts w:hint="eastAsia" w:ascii="仿宋" w:hAnsi="仿宋" w:eastAsia="仿宋" w:cs="仿宋"/>
          <w:b/>
          <w:bCs/>
          <w:color w:val="000000"/>
          <w:sz w:val="24"/>
          <w:highlight w:val="none"/>
        </w:rPr>
        <w:t>构成</w:t>
      </w:r>
      <w:bookmarkEnd w:id="67"/>
      <w:bookmarkEnd w:id="68"/>
      <w:bookmarkEnd w:id="69"/>
      <w:bookmarkEnd w:id="70"/>
      <w:bookmarkEnd w:id="71"/>
    </w:p>
    <w:p>
      <w:pPr>
        <w:spacing w:line="240" w:lineRule="atLeast"/>
        <w:ind w:left="900" w:hanging="900" w:hangingChars="375"/>
        <w:rPr>
          <w:rFonts w:hint="eastAsia" w:ascii="仿宋" w:hAnsi="仿宋" w:eastAsia="仿宋" w:cs="仿宋"/>
          <w:b/>
          <w:bCs/>
          <w:color w:val="000000"/>
          <w:sz w:val="24"/>
          <w:highlight w:val="none"/>
        </w:rPr>
      </w:pPr>
      <w:bookmarkStart w:id="72" w:name="_Ref467052588"/>
      <w:r>
        <w:rPr>
          <w:rFonts w:hint="eastAsia" w:ascii="仿宋" w:hAnsi="仿宋" w:eastAsia="仿宋" w:cs="仿宋"/>
          <w:color w:val="000000"/>
          <w:sz w:val="24"/>
          <w:highlight w:val="none"/>
        </w:rPr>
        <w:t xml:space="preserve">9.1    </w:t>
      </w:r>
      <w:r>
        <w:rPr>
          <w:rFonts w:hint="eastAsia" w:ascii="仿宋" w:hAnsi="仿宋" w:eastAsia="仿宋" w:cs="仿宋"/>
          <w:b/>
          <w:bCs/>
          <w:color w:val="000000"/>
          <w:sz w:val="24"/>
          <w:highlight w:val="none"/>
          <w:lang w:val="en-US" w:eastAsia="zh-CN"/>
        </w:rPr>
        <w:t>投标人</w:t>
      </w:r>
      <w:r>
        <w:rPr>
          <w:rFonts w:hint="eastAsia" w:ascii="仿宋" w:hAnsi="仿宋" w:eastAsia="仿宋" w:cs="仿宋"/>
          <w:b/>
          <w:bCs/>
          <w:color w:val="000000"/>
          <w:sz w:val="24"/>
          <w:highlight w:val="none"/>
        </w:rPr>
        <w:t>应完整地按</w:t>
      </w:r>
      <w:r>
        <w:rPr>
          <w:rFonts w:hint="eastAsia" w:ascii="仿宋" w:hAnsi="仿宋" w:eastAsia="仿宋" w:cs="仿宋"/>
          <w:b/>
          <w:bCs/>
          <w:color w:val="000000"/>
          <w:sz w:val="24"/>
          <w:highlight w:val="none"/>
          <w:lang w:eastAsia="zh-CN"/>
        </w:rPr>
        <w:t>招标文件</w:t>
      </w:r>
      <w:r>
        <w:rPr>
          <w:rFonts w:hint="eastAsia" w:ascii="仿宋" w:hAnsi="仿宋" w:eastAsia="仿宋" w:cs="仿宋"/>
          <w:b/>
          <w:bCs/>
          <w:color w:val="000000"/>
          <w:sz w:val="24"/>
          <w:highlight w:val="none"/>
        </w:rPr>
        <w:t>提供的</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lang w:eastAsia="zh-CN"/>
        </w:rPr>
        <w:t>文件</w:t>
      </w:r>
      <w:r>
        <w:rPr>
          <w:rFonts w:hint="eastAsia" w:ascii="仿宋" w:hAnsi="仿宋" w:eastAsia="仿宋" w:cs="仿宋"/>
          <w:b/>
          <w:bCs/>
          <w:color w:val="000000"/>
          <w:sz w:val="24"/>
          <w:highlight w:val="none"/>
        </w:rPr>
        <w:t>格式及要求编写</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lang w:eastAsia="zh-CN"/>
        </w:rPr>
        <w:t>文件，</w:t>
      </w:r>
      <w:r>
        <w:rPr>
          <w:rFonts w:hint="eastAsia" w:ascii="仿宋" w:hAnsi="仿宋" w:eastAsia="仿宋" w:cs="仿宋"/>
          <w:b/>
          <w:bCs/>
          <w:color w:val="000000"/>
          <w:sz w:val="24"/>
          <w:highlight w:val="none"/>
          <w:lang w:val="en-US" w:eastAsia="zh-CN"/>
        </w:rPr>
        <w:t>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9.2    上述文件应按照招标文件规定的格式填写、签署和盖章。</w:t>
      </w:r>
    </w:p>
    <w:bookmarkEnd w:id="72"/>
    <w:p>
      <w:pPr>
        <w:pStyle w:val="4"/>
        <w:tabs>
          <w:tab w:val="left" w:pos="900"/>
        </w:tabs>
        <w:spacing w:before="0" w:after="0" w:line="240" w:lineRule="atLeast"/>
        <w:rPr>
          <w:rFonts w:hint="eastAsia" w:ascii="仿宋" w:hAnsi="仿宋" w:eastAsia="仿宋" w:cs="仿宋"/>
          <w:u w:val="none"/>
          <w:lang w:eastAsia="zh-CN"/>
        </w:rPr>
      </w:pPr>
      <w:bookmarkStart w:id="73" w:name="_Toc2671"/>
      <w:bookmarkStart w:id="74" w:name="_Toc516367023"/>
      <w:bookmarkStart w:id="75" w:name="_Toc518923072"/>
      <w:bookmarkStart w:id="76" w:name="_Toc520356153"/>
      <w:bookmarkStart w:id="77" w:name="_Toc508185920"/>
      <w:bookmarkStart w:id="78" w:name="_Toc520356155"/>
      <w:bookmarkStart w:id="79" w:name="_Toc515647770"/>
      <w:bookmarkStart w:id="80" w:name="_Toc2248"/>
      <w:bookmarkStart w:id="81" w:name="_Toc19624"/>
      <w:bookmarkStart w:id="82" w:name="_Toc23231"/>
      <w:r>
        <w:rPr>
          <w:rFonts w:hint="eastAsia" w:ascii="仿宋" w:hAnsi="仿宋" w:eastAsia="仿宋" w:cs="仿宋"/>
          <w:u w:val="none"/>
        </w:rPr>
        <w:t>10.证明投标标的的合格性和符合招标文件规定的</w:t>
      </w:r>
      <w:bookmarkEnd w:id="73"/>
      <w:bookmarkEnd w:id="74"/>
      <w:bookmarkEnd w:id="75"/>
      <w:bookmarkEnd w:id="76"/>
      <w:bookmarkEnd w:id="77"/>
      <w:r>
        <w:rPr>
          <w:rFonts w:hint="eastAsia" w:ascii="仿宋" w:hAnsi="仿宋" w:eastAsia="仿宋" w:cs="仿宋"/>
          <w:u w:val="none"/>
          <w:lang w:eastAsia="zh-CN"/>
        </w:rPr>
        <w:t>投标文件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rPr>
      </w:pPr>
      <w:bookmarkStart w:id="8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83"/>
      <w:r>
        <w:rPr>
          <w:rFonts w:hint="eastAsia" w:ascii="仿宋" w:hAnsi="仿宋" w:eastAsia="仿宋" w:cs="仿宋"/>
          <w:sz w:val="24"/>
        </w:rPr>
        <w:t>。</w:t>
      </w:r>
    </w:p>
    <w:bookmarkEnd w:id="78"/>
    <w:bookmarkEnd w:id="79"/>
    <w:bookmarkEnd w:id="80"/>
    <w:bookmarkEnd w:id="81"/>
    <w:bookmarkEnd w:id="82"/>
    <w:p>
      <w:pPr>
        <w:pStyle w:val="4"/>
        <w:spacing w:before="0" w:after="0" w:line="240" w:lineRule="atLeast"/>
        <w:rPr>
          <w:rFonts w:hint="eastAsia" w:ascii="仿宋" w:hAnsi="仿宋" w:eastAsia="仿宋" w:cs="仿宋"/>
          <w:u w:val="none"/>
        </w:rPr>
      </w:pPr>
      <w:bookmarkStart w:id="84" w:name="_Toc518923073"/>
      <w:bookmarkStart w:id="85" w:name="_Toc8529"/>
      <w:bookmarkStart w:id="86" w:name="_Toc11514"/>
      <w:bookmarkStart w:id="87" w:name="_Toc22212"/>
      <w:bookmarkStart w:id="88" w:name="_Toc17788"/>
      <w:bookmarkStart w:id="89" w:name="_Toc515647771"/>
      <w:bookmarkStart w:id="90" w:name="_Toc520356156"/>
      <w:bookmarkStart w:id="91" w:name="_Ref467306513"/>
      <w:r>
        <w:rPr>
          <w:rFonts w:hint="eastAsia" w:ascii="仿宋" w:hAnsi="仿宋" w:eastAsia="仿宋" w:cs="仿宋"/>
          <w:u w:val="none"/>
        </w:rPr>
        <w:t>11.投标报价</w:t>
      </w:r>
      <w:bookmarkEnd w:id="84"/>
      <w:bookmarkEnd w:id="8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投标人应在投标分项报价表上标明分项服务的价格（如适用）和总价，并由法定代表人或其委托代理人签署。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投标人所报的各分项投标报价在合同履行过程中是固定不变的，不得以任何理由予以变更。任何包含价格调整要求的投标，将被认定为投标无效。</w:t>
      </w:r>
    </w:p>
    <w:p>
      <w:pPr>
        <w:pStyle w:val="4"/>
        <w:spacing w:before="0" w:after="0" w:line="240" w:lineRule="atLeast"/>
        <w:rPr>
          <w:rFonts w:hint="eastAsia" w:ascii="仿宋" w:hAnsi="仿宋" w:eastAsia="仿宋" w:cs="仿宋"/>
          <w:color w:val="000000"/>
          <w:highlight w:val="none"/>
          <w:u w:val="none"/>
        </w:rPr>
      </w:pPr>
      <w:r>
        <w:rPr>
          <w:rFonts w:hint="eastAsia" w:ascii="仿宋" w:hAnsi="仿宋" w:eastAsia="仿宋" w:cs="仿宋"/>
          <w:color w:val="000000"/>
          <w:highlight w:val="none"/>
          <w:u w:val="none"/>
        </w:rPr>
        <w:t>12.投标保证金</w:t>
      </w:r>
      <w:bookmarkEnd w:id="86"/>
      <w:bookmarkEnd w:id="87"/>
      <w:bookmarkEnd w:id="88"/>
      <w:bookmarkEnd w:id="89"/>
      <w:bookmarkEnd w:id="90"/>
      <w:bookmarkEnd w:id="91"/>
    </w:p>
    <w:p>
      <w:pPr>
        <w:spacing w:line="240" w:lineRule="atLeast"/>
        <w:ind w:left="900" w:hanging="900" w:hangingChars="375"/>
        <w:rPr>
          <w:rFonts w:hint="eastAsia" w:ascii="仿宋" w:hAnsi="仿宋" w:eastAsia="仿宋" w:cs="仿宋"/>
          <w:color w:val="000000"/>
          <w:sz w:val="24"/>
          <w:highlight w:val="none"/>
        </w:rPr>
      </w:pPr>
      <w:bookmarkStart w:id="92" w:name="_Ref467306302"/>
      <w:r>
        <w:rPr>
          <w:rFonts w:hint="eastAsia" w:ascii="仿宋" w:hAnsi="仿宋" w:eastAsia="仿宋" w:cs="仿宋"/>
          <w:color w:val="000000"/>
          <w:sz w:val="24"/>
          <w:highlight w:val="none"/>
        </w:rPr>
        <w:t>12.1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投标人应提交</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中规定的投标保证金</w:t>
      </w:r>
      <w:bookmarkEnd w:id="92"/>
      <w:r>
        <w:rPr>
          <w:rFonts w:hint="eastAsia" w:ascii="仿宋" w:hAnsi="仿宋" w:eastAsia="仿宋" w:cs="仿宋"/>
          <w:color w:val="000000"/>
          <w:sz w:val="24"/>
          <w:highlight w:val="none"/>
        </w:rPr>
        <w:t>，并作为其投标的一部分。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投标人存在下列情形的，投标保证金不予退还：</w:t>
      </w:r>
    </w:p>
    <w:p>
      <w:pPr>
        <w:pStyle w:val="16"/>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（1）在投标有效期内，撤销投标的；</w:t>
      </w:r>
    </w:p>
    <w:p>
      <w:pPr>
        <w:pStyle w:val="16"/>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（2）中标后不按本须知第30条的规定与采购人签订合同的；</w:t>
      </w:r>
    </w:p>
    <w:p>
      <w:pPr>
        <w:pStyle w:val="16"/>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（3）中标后不按本须知第31条的规定提交履约保证金的；</w:t>
      </w:r>
    </w:p>
    <w:p>
      <w:pPr>
        <w:pStyle w:val="16"/>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（4）中标后不按本须知第32条的规定缴纳中标服务费的；</w:t>
      </w:r>
    </w:p>
    <w:p>
      <w:pPr>
        <w:pStyle w:val="16"/>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（5）存在其他违法违规行为的。</w:t>
      </w:r>
    </w:p>
    <w:p>
      <w:pPr>
        <w:spacing w:line="240" w:lineRule="atLeast"/>
        <w:ind w:left="900" w:hanging="900" w:hangingChars="375"/>
        <w:rPr>
          <w:rFonts w:hint="eastAsia" w:ascii="仿宋" w:hAnsi="仿宋" w:eastAsia="仿宋" w:cs="仿宋"/>
          <w:color w:val="000000"/>
          <w:sz w:val="24"/>
          <w:highlight w:val="none"/>
        </w:rPr>
      </w:pPr>
      <w:bookmarkStart w:id="93" w:name="_Ref467306336"/>
      <w:r>
        <w:rPr>
          <w:rFonts w:hint="eastAsia" w:ascii="仿宋" w:hAnsi="仿宋" w:eastAsia="仿宋" w:cs="仿宋"/>
          <w:color w:val="000000"/>
          <w:sz w:val="24"/>
          <w:highlight w:val="none"/>
        </w:rPr>
        <w:t>12.3</w:t>
      </w:r>
      <w:r>
        <w:rPr>
          <w:rFonts w:hint="eastAsia" w:ascii="仿宋" w:hAnsi="仿宋" w:eastAsia="仿宋" w:cs="仿宋"/>
          <w:color w:val="000000"/>
          <w:sz w:val="24"/>
          <w:highlight w:val="none"/>
        </w:rPr>
        <w:tab/>
      </w:r>
      <w:bookmarkEnd w:id="93"/>
      <w:r>
        <w:rPr>
          <w:rFonts w:hint="eastAsia" w:ascii="仿宋" w:hAnsi="仿宋" w:eastAsia="仿宋" w:cs="仿宋"/>
          <w:color w:val="000000"/>
          <w:sz w:val="24"/>
          <w:highlight w:val="none"/>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投标人未按本须知第12.1和12.3条规定提交投标保证金的，其投标将被认定为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12.4.1  采用电汇形式的，一般可以实时入账。</w:t>
      </w:r>
    </w:p>
    <w:p>
      <w:pPr>
        <w:spacing w:line="240" w:lineRule="atLeast"/>
        <w:ind w:left="960" w:hanging="960" w:hangingChars="4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投标保证金的退还</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12.6.1  中标人应在与采购人签订合同之日起5个工作日内，及时联系保证金收受机构办理投标保证金无息退还手续。</w:t>
      </w:r>
    </w:p>
    <w:p>
      <w:pPr>
        <w:spacing w:line="240" w:lineRule="atLeast"/>
        <w:ind w:left="960" w:hanging="960" w:hanging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12.6.3  政府采购投标担保函不予退回。</w:t>
      </w:r>
    </w:p>
    <w:p>
      <w:pPr>
        <w:spacing w:line="240" w:lineRule="atLeast"/>
        <w:ind w:left="960" w:hanging="960" w:hanging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12.7    因投标人自身原因导致无法及时退还的，采购人或采购代理机构将不承担相应责任。</w:t>
      </w:r>
    </w:p>
    <w:p>
      <w:pPr>
        <w:pStyle w:val="4"/>
        <w:spacing w:before="0" w:after="0" w:line="240" w:lineRule="atLeast"/>
        <w:rPr>
          <w:rFonts w:hint="eastAsia" w:ascii="仿宋" w:hAnsi="仿宋" w:eastAsia="仿宋" w:cs="仿宋"/>
          <w:color w:val="000000"/>
          <w:highlight w:val="none"/>
          <w:u w:val="none"/>
        </w:rPr>
      </w:pPr>
      <w:bookmarkStart w:id="94" w:name="_Toc32569"/>
      <w:bookmarkStart w:id="95" w:name="_Toc515647772"/>
      <w:bookmarkStart w:id="96" w:name="_Toc23590"/>
      <w:bookmarkStart w:id="97" w:name="_Toc22901"/>
      <w:bookmarkStart w:id="98" w:name="_Toc520356157"/>
      <w:r>
        <w:rPr>
          <w:rFonts w:hint="eastAsia" w:ascii="仿宋" w:hAnsi="仿宋" w:eastAsia="仿宋" w:cs="仿宋"/>
          <w:color w:val="000000"/>
          <w:highlight w:val="none"/>
          <w:u w:val="none"/>
        </w:rPr>
        <w:t>13.投标有效期</w:t>
      </w:r>
      <w:bookmarkEnd w:id="94"/>
      <w:bookmarkEnd w:id="95"/>
      <w:bookmarkEnd w:id="96"/>
      <w:bookmarkEnd w:id="97"/>
      <w:bookmarkEnd w:id="98"/>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投标应在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中规定时间内保持有效。投标有效期不满足要求的投标，其投标将被认定为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4"/>
        <w:spacing w:before="0" w:after="0" w:line="240" w:lineRule="atLeast"/>
        <w:rPr>
          <w:rFonts w:hint="eastAsia" w:ascii="仿宋" w:hAnsi="仿宋" w:eastAsia="仿宋" w:cs="仿宋"/>
          <w:color w:val="000000"/>
          <w:highlight w:val="none"/>
          <w:u w:val="none"/>
        </w:rPr>
      </w:pPr>
      <w:bookmarkStart w:id="99" w:name="_Toc520356158"/>
      <w:bookmarkStart w:id="100" w:name="_Toc515647773"/>
      <w:bookmarkStart w:id="101" w:name="_Toc493"/>
      <w:bookmarkStart w:id="102" w:name="_Toc17074"/>
      <w:bookmarkStart w:id="103" w:name="_Toc17609"/>
      <w:r>
        <w:rPr>
          <w:rFonts w:hint="eastAsia" w:ascii="仿宋" w:hAnsi="仿宋" w:eastAsia="仿宋" w:cs="仿宋"/>
          <w:color w:val="000000"/>
          <w:highlight w:val="none"/>
          <w:u w:val="none"/>
        </w:rPr>
        <w:t>14.投标文件的签署</w:t>
      </w:r>
      <w:bookmarkEnd w:id="99"/>
      <w:r>
        <w:rPr>
          <w:rFonts w:hint="eastAsia" w:ascii="仿宋" w:hAnsi="仿宋" w:eastAsia="仿宋" w:cs="仿宋"/>
          <w:color w:val="000000"/>
          <w:highlight w:val="none"/>
          <w:u w:val="none"/>
        </w:rPr>
        <w:t>及规定</w:t>
      </w:r>
      <w:bookmarkEnd w:id="100"/>
      <w:bookmarkEnd w:id="101"/>
      <w:bookmarkEnd w:id="102"/>
      <w:bookmarkEnd w:id="103"/>
    </w:p>
    <w:p>
      <w:pPr>
        <w:spacing w:line="240" w:lineRule="atLeast"/>
        <w:ind w:left="900" w:hanging="900" w:hangingChars="375"/>
        <w:rPr>
          <w:rFonts w:hint="eastAsia" w:ascii="仿宋" w:hAnsi="仿宋" w:eastAsia="仿宋" w:cs="仿宋"/>
          <w:color w:val="000000"/>
          <w:sz w:val="24"/>
        </w:rPr>
      </w:pPr>
      <w:bookmarkStart w:id="104" w:name="_Toc11179"/>
      <w:bookmarkStart w:id="105" w:name="_Toc520356159"/>
      <w:bookmarkStart w:id="106" w:name="_Toc25925"/>
      <w:bookmarkStart w:id="107" w:name="_Toc515647774"/>
      <w:bookmarkStart w:id="108" w:name="_Toc216582808"/>
      <w:bookmarkStart w:id="109" w:name="_Toc16865"/>
      <w:r>
        <w:rPr>
          <w:rFonts w:hint="eastAsia" w:ascii="仿宋" w:hAnsi="仿宋" w:eastAsia="仿宋" w:cs="仿宋"/>
          <w:color w:val="000000"/>
          <w:sz w:val="24"/>
        </w:rPr>
        <w:t>14.1</w:t>
      </w:r>
      <w:r>
        <w:rPr>
          <w:rFonts w:hint="eastAsia" w:ascii="仿宋" w:hAnsi="仿宋" w:eastAsia="仿宋" w:cs="仿宋"/>
          <w:color w:val="000000"/>
          <w:sz w:val="24"/>
        </w:rPr>
        <w:tab/>
      </w:r>
      <w:r>
        <w:rPr>
          <w:rFonts w:hint="eastAsia" w:ascii="仿宋" w:hAnsi="仿宋" w:eastAsia="仿宋" w:cs="仿宋"/>
          <w:color w:val="000000"/>
          <w:sz w:val="24"/>
          <w:lang w:val="en-US" w:eastAsia="zh-CN"/>
        </w:rPr>
        <w:t>投标人</w:t>
      </w:r>
      <w:r>
        <w:rPr>
          <w:rFonts w:hint="eastAsia" w:ascii="仿宋" w:hAnsi="仿宋" w:eastAsia="仿宋" w:cs="仿宋"/>
          <w:color w:val="000000"/>
          <w:sz w:val="24"/>
        </w:rPr>
        <w:t>应按</w:t>
      </w:r>
      <w:r>
        <w:rPr>
          <w:rFonts w:hint="eastAsia" w:ascii="仿宋" w:hAnsi="仿宋" w:eastAsia="仿宋" w:cs="仿宋"/>
          <w:color w:val="000000"/>
          <w:sz w:val="24"/>
          <w:lang w:val="en-US" w:eastAsia="zh-CN"/>
        </w:rPr>
        <w:t>投标人</w:t>
      </w:r>
      <w:r>
        <w:rPr>
          <w:rFonts w:hint="eastAsia" w:ascii="仿宋" w:hAnsi="仿宋" w:eastAsia="仿宋" w:cs="仿宋"/>
          <w:color w:val="000000"/>
          <w:sz w:val="24"/>
        </w:rPr>
        <w:t>须知资料表中的规定，准备和递交</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加密上传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电子投标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w:t>
      </w:r>
    </w:p>
    <w:p>
      <w:pPr>
        <w:spacing w:line="240" w:lineRule="atLeast"/>
        <w:ind w:left="900" w:hanging="900" w:hangingChars="375"/>
        <w:rPr>
          <w:rFonts w:hint="eastAsia" w:ascii="仿宋" w:hAnsi="仿宋" w:eastAsia="仿宋" w:cs="仿宋"/>
          <w:color w:val="000000"/>
          <w:sz w:val="24"/>
          <w:lang w:val="en-US" w:eastAsia="zh-CN"/>
        </w:rPr>
      </w:pPr>
      <w:r>
        <w:rPr>
          <w:rFonts w:hint="eastAsia" w:ascii="仿宋" w:hAnsi="仿宋" w:eastAsia="仿宋" w:cs="仿宋"/>
          <w:color w:val="000000"/>
          <w:sz w:val="24"/>
        </w:rPr>
        <w:t>14.</w:t>
      </w:r>
      <w:r>
        <w:rPr>
          <w:rFonts w:hint="eastAsia" w:ascii="仿宋" w:hAnsi="仿宋" w:eastAsia="仿宋" w:cs="仿宋"/>
          <w:color w:val="000000"/>
          <w:sz w:val="24"/>
          <w:lang w:val="en-US" w:eastAsia="zh-CN"/>
        </w:rPr>
        <w:t>2</w:t>
      </w:r>
      <w:r>
        <w:rPr>
          <w:rFonts w:hint="eastAsia" w:ascii="仿宋" w:hAnsi="仿宋" w:eastAsia="仿宋" w:cs="仿宋"/>
          <w:color w:val="000000"/>
          <w:sz w:val="24"/>
        </w:rPr>
        <w:t xml:space="preserve">   所有</w:t>
      </w:r>
      <w:r>
        <w:rPr>
          <w:rFonts w:hint="eastAsia" w:ascii="仿宋" w:hAnsi="仿宋" w:eastAsia="仿宋" w:cs="仿宋"/>
          <w:color w:val="000000"/>
          <w:sz w:val="24"/>
          <w:lang w:val="en-US" w:eastAsia="zh-CN"/>
        </w:rPr>
        <w:t>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应按照</w:t>
      </w:r>
      <w:r>
        <w:rPr>
          <w:rFonts w:hint="eastAsia" w:ascii="仿宋" w:hAnsi="仿宋" w:eastAsia="仿宋" w:cs="仿宋"/>
          <w:color w:val="000000"/>
          <w:sz w:val="24"/>
          <w:lang w:eastAsia="zh-CN"/>
        </w:rPr>
        <w:t>招标文件</w:t>
      </w:r>
      <w:r>
        <w:rPr>
          <w:rFonts w:hint="eastAsia" w:ascii="仿宋" w:hAnsi="仿宋" w:eastAsia="仿宋" w:cs="仿宋"/>
          <w:color w:val="000000"/>
          <w:sz w:val="24"/>
        </w:rPr>
        <w:t>规定的格式填写、签署和盖章</w:t>
      </w:r>
      <w:r>
        <w:rPr>
          <w:rFonts w:hint="eastAsia" w:ascii="仿宋" w:hAnsi="仿宋" w:eastAsia="仿宋" w:cs="仿宋"/>
          <w:color w:val="000000"/>
          <w:sz w:val="24"/>
          <w:lang w:eastAsia="zh-CN"/>
        </w:rPr>
        <w:t>。</w:t>
      </w:r>
    </w:p>
    <w:p>
      <w:pPr>
        <w:spacing w:line="240" w:lineRule="atLeast"/>
        <w:ind w:left="900" w:hanging="900" w:hangingChars="375"/>
        <w:rPr>
          <w:rFonts w:hint="eastAsia" w:ascii="仿宋" w:hAnsi="仿宋" w:eastAsia="仿宋" w:cs="仿宋"/>
          <w:color w:val="000000"/>
          <w:sz w:val="24"/>
        </w:rPr>
      </w:pPr>
      <w:r>
        <w:rPr>
          <w:rFonts w:hint="eastAsia" w:ascii="仿宋" w:hAnsi="仿宋" w:eastAsia="仿宋" w:cs="仿宋"/>
          <w:color w:val="000000"/>
          <w:sz w:val="24"/>
        </w:rPr>
        <w:t>14.</w:t>
      </w:r>
      <w:r>
        <w:rPr>
          <w:rFonts w:hint="eastAsia" w:ascii="仿宋" w:hAnsi="仿宋" w:eastAsia="仿宋" w:cs="仿宋"/>
          <w:color w:val="000000"/>
          <w:sz w:val="24"/>
          <w:lang w:val="en-US" w:eastAsia="zh-CN"/>
        </w:rPr>
        <w:t>3</w:t>
      </w:r>
      <w:r>
        <w:rPr>
          <w:rFonts w:hint="eastAsia" w:ascii="仿宋" w:hAnsi="仿宋" w:eastAsia="仿宋" w:cs="仿宋"/>
          <w:color w:val="000000"/>
          <w:sz w:val="24"/>
        </w:rPr>
        <w:tab/>
      </w:r>
      <w:r>
        <w:rPr>
          <w:rFonts w:hint="eastAsia" w:ascii="仿宋" w:hAnsi="仿宋" w:eastAsia="仿宋" w:cs="仿宋"/>
          <w:color w:val="000000"/>
          <w:sz w:val="24"/>
          <w:lang w:val="en-US" w:eastAsia="zh-CN"/>
        </w:rPr>
        <w:t>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因字迹潦草、表达不清或</w:t>
      </w:r>
      <w:r>
        <w:rPr>
          <w:rFonts w:hint="eastAsia" w:ascii="仿宋" w:hAnsi="仿宋" w:eastAsia="仿宋" w:cs="仿宋"/>
          <w:color w:val="000000"/>
          <w:sz w:val="24"/>
          <w:lang w:val="en-US" w:eastAsia="zh-CN"/>
        </w:rPr>
        <w:t>未按照</w:t>
      </w:r>
      <w:r>
        <w:rPr>
          <w:rFonts w:hint="eastAsia" w:ascii="仿宋" w:hAnsi="仿宋" w:eastAsia="仿宋" w:cs="仿宋"/>
          <w:color w:val="000000"/>
          <w:sz w:val="24"/>
          <w:lang w:eastAsia="zh-CN"/>
        </w:rPr>
        <w:t>招标文件</w:t>
      </w:r>
      <w:r>
        <w:rPr>
          <w:rFonts w:hint="eastAsia" w:ascii="仿宋" w:hAnsi="仿宋" w:eastAsia="仿宋" w:cs="仿宋"/>
          <w:color w:val="000000"/>
          <w:sz w:val="24"/>
        </w:rPr>
        <w:t>规定的格式填写、签署和盖章所引起的后果由</w:t>
      </w:r>
      <w:r>
        <w:rPr>
          <w:rFonts w:hint="eastAsia" w:ascii="仿宋" w:hAnsi="仿宋" w:eastAsia="仿宋" w:cs="仿宋"/>
          <w:color w:val="000000"/>
          <w:sz w:val="24"/>
          <w:lang w:eastAsia="zh-CN"/>
        </w:rPr>
        <w:t>供应商</w:t>
      </w:r>
      <w:r>
        <w:rPr>
          <w:rFonts w:hint="eastAsia" w:ascii="仿宋" w:hAnsi="仿宋" w:eastAsia="仿宋" w:cs="仿宋"/>
          <w:color w:val="000000"/>
          <w:sz w:val="24"/>
        </w:rPr>
        <w:t>负责。</w:t>
      </w:r>
    </w:p>
    <w:p>
      <w:pPr>
        <w:pStyle w:val="2"/>
        <w:tabs>
          <w:tab w:val="left" w:pos="900"/>
        </w:tabs>
        <w:spacing w:before="0" w:line="240" w:lineRule="atLeast"/>
        <w:ind w:left="1079" w:leftChars="257" w:hanging="540"/>
        <w:rPr>
          <w:rFonts w:hint="eastAsia" w:ascii="仿宋" w:hAnsi="仿宋" w:eastAsia="仿宋" w:cs="仿宋"/>
          <w:color w:val="000000"/>
          <w:sz w:val="28"/>
          <w:highlight w:val="none"/>
        </w:rPr>
      </w:pPr>
      <w:r>
        <w:rPr>
          <w:rFonts w:hint="eastAsia" w:ascii="仿宋" w:hAnsi="仿宋" w:eastAsia="仿宋" w:cs="仿宋"/>
          <w:color w:val="000000"/>
          <w:sz w:val="28"/>
          <w:highlight w:val="none"/>
        </w:rPr>
        <w:t>四   投标文件的递交</w:t>
      </w:r>
      <w:bookmarkEnd w:id="104"/>
      <w:bookmarkEnd w:id="105"/>
      <w:bookmarkEnd w:id="106"/>
      <w:bookmarkEnd w:id="107"/>
      <w:bookmarkEnd w:id="108"/>
      <w:bookmarkEnd w:id="109"/>
    </w:p>
    <w:p>
      <w:pPr>
        <w:pStyle w:val="4"/>
        <w:spacing w:before="0" w:after="0" w:line="240" w:lineRule="atLeast"/>
        <w:rPr>
          <w:rFonts w:hint="eastAsia" w:ascii="仿宋" w:hAnsi="仿宋" w:eastAsia="仿宋" w:cs="仿宋"/>
          <w:color w:val="000000"/>
          <w:highlight w:val="none"/>
          <w:u w:val="none"/>
        </w:rPr>
      </w:pPr>
      <w:bookmarkStart w:id="110" w:name="_Toc12751"/>
      <w:bookmarkStart w:id="111" w:name="_Toc9840"/>
      <w:bookmarkStart w:id="112" w:name="_Toc520356161"/>
      <w:bookmarkStart w:id="113" w:name="_Toc515647776"/>
      <w:bookmarkStart w:id="114" w:name="_Toc24017"/>
      <w:r>
        <w:rPr>
          <w:rFonts w:hint="eastAsia" w:ascii="仿宋" w:hAnsi="仿宋" w:eastAsia="仿宋" w:cs="仿宋"/>
          <w:color w:val="000000"/>
          <w:highlight w:val="none"/>
          <w:u w:val="none"/>
        </w:rPr>
        <w:t>15.投标文件的密封和标记</w:t>
      </w:r>
    </w:p>
    <w:p>
      <w:pPr>
        <w:spacing w:line="240" w:lineRule="atLeast"/>
        <w:ind w:left="900" w:hanging="900" w:hangingChars="375"/>
        <w:rPr>
          <w:rFonts w:hint="eastAsia" w:ascii="仿宋" w:hAnsi="仿宋" w:eastAsia="仿宋" w:cs="仿宋"/>
          <w:b/>
          <w:bCs/>
          <w:color w:val="000000"/>
          <w:sz w:val="24"/>
          <w:lang w:val="en-US" w:eastAsia="zh-CN"/>
        </w:rPr>
      </w:pPr>
      <w:r>
        <w:rPr>
          <w:rFonts w:hint="eastAsia" w:ascii="仿宋" w:hAnsi="仿宋" w:eastAsia="仿宋" w:cs="仿宋"/>
          <w:b/>
          <w:bCs/>
          <w:color w:val="000000"/>
          <w:sz w:val="24"/>
        </w:rPr>
        <w:t xml:space="preserve">15.1  </w:t>
      </w: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为方便</w:t>
      </w:r>
      <w:r>
        <w:rPr>
          <w:rFonts w:hint="eastAsia" w:ascii="仿宋" w:hAnsi="仿宋" w:eastAsia="仿宋" w:cs="仿宋"/>
          <w:b/>
          <w:bCs/>
          <w:color w:val="000000"/>
          <w:sz w:val="24"/>
          <w:lang w:val="en-US" w:eastAsia="zh-CN"/>
        </w:rPr>
        <w:t>评审</w:t>
      </w:r>
      <w:r>
        <w:rPr>
          <w:rFonts w:hint="eastAsia" w:ascii="仿宋" w:hAnsi="仿宋" w:eastAsia="仿宋" w:cs="仿宋"/>
          <w:b/>
          <w:bCs/>
          <w:color w:val="000000"/>
          <w:sz w:val="24"/>
        </w:rPr>
        <w:t>及进行资格审查，</w:t>
      </w:r>
      <w:r>
        <w:rPr>
          <w:rFonts w:hint="eastAsia" w:ascii="仿宋" w:hAnsi="仿宋" w:eastAsia="仿宋" w:cs="仿宋"/>
          <w:b/>
          <w:bCs/>
          <w:color w:val="000000"/>
          <w:sz w:val="24"/>
          <w:lang w:val="en-US" w:eastAsia="zh-CN"/>
        </w:rPr>
        <w:t>投标人</w:t>
      </w:r>
      <w:r>
        <w:rPr>
          <w:rFonts w:hint="eastAsia" w:ascii="仿宋" w:hAnsi="仿宋" w:eastAsia="仿宋" w:cs="仿宋"/>
          <w:b/>
          <w:bCs/>
          <w:color w:val="000000"/>
          <w:sz w:val="24"/>
        </w:rPr>
        <w:t>应完整地按</w:t>
      </w:r>
      <w:r>
        <w:rPr>
          <w:rFonts w:hint="eastAsia" w:ascii="仿宋" w:hAnsi="仿宋" w:eastAsia="仿宋" w:cs="仿宋"/>
          <w:b/>
          <w:bCs/>
          <w:color w:val="000000"/>
          <w:sz w:val="24"/>
          <w:lang w:val="en-US" w:eastAsia="zh-CN"/>
        </w:rPr>
        <w:t>招标</w:t>
      </w:r>
      <w:r>
        <w:rPr>
          <w:rFonts w:hint="eastAsia" w:ascii="仿宋" w:hAnsi="仿宋" w:eastAsia="仿宋" w:cs="仿宋"/>
          <w:b/>
          <w:bCs/>
          <w:color w:val="000000"/>
          <w:sz w:val="24"/>
          <w:lang w:eastAsia="zh-CN"/>
        </w:rPr>
        <w:t>文件</w:t>
      </w:r>
      <w:r>
        <w:rPr>
          <w:rFonts w:hint="eastAsia" w:ascii="仿宋" w:hAnsi="仿宋" w:eastAsia="仿宋" w:cs="仿宋"/>
          <w:b/>
          <w:bCs/>
          <w:color w:val="000000"/>
          <w:sz w:val="24"/>
        </w:rPr>
        <w:t>提供的</w:t>
      </w:r>
      <w:r>
        <w:rPr>
          <w:rFonts w:hint="eastAsia" w:ascii="仿宋" w:hAnsi="仿宋" w:eastAsia="仿宋" w:cs="仿宋"/>
          <w:b/>
          <w:bCs/>
          <w:color w:val="000000"/>
          <w:sz w:val="24"/>
          <w:lang w:val="en-US" w:eastAsia="zh-CN"/>
        </w:rPr>
        <w:t>投标文件</w:t>
      </w:r>
      <w:r>
        <w:rPr>
          <w:rFonts w:hint="eastAsia" w:ascii="仿宋" w:hAnsi="仿宋" w:eastAsia="仿宋" w:cs="仿宋"/>
          <w:b/>
          <w:bCs/>
          <w:color w:val="000000"/>
          <w:sz w:val="24"/>
        </w:rPr>
        <w:t>格式及要求编写</w:t>
      </w:r>
      <w:r>
        <w:rPr>
          <w:rFonts w:hint="eastAsia" w:ascii="仿宋" w:hAnsi="仿宋" w:eastAsia="仿宋" w:cs="仿宋"/>
          <w:b/>
          <w:bCs/>
          <w:color w:val="000000"/>
          <w:sz w:val="24"/>
          <w:lang w:val="en-US" w:eastAsia="zh-CN"/>
        </w:rPr>
        <w:t>投标文件</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 xml:space="preserve"> 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pPr>
        <w:pStyle w:val="4"/>
        <w:spacing w:before="0" w:after="0" w:line="240" w:lineRule="atLeast"/>
        <w:rPr>
          <w:rFonts w:hint="eastAsia" w:ascii="仿宋" w:hAnsi="仿宋" w:eastAsia="仿宋" w:cs="仿宋"/>
          <w:color w:val="000000"/>
          <w:u w:val="none"/>
        </w:rPr>
      </w:pPr>
      <w:r>
        <w:rPr>
          <w:rFonts w:hint="eastAsia" w:ascii="仿宋" w:hAnsi="仿宋" w:eastAsia="仿宋" w:cs="仿宋"/>
          <w:color w:val="000000"/>
          <w:u w:val="none"/>
        </w:rPr>
        <w:t>16.</w:t>
      </w:r>
      <w:r>
        <w:rPr>
          <w:rFonts w:hint="eastAsia" w:ascii="仿宋" w:hAnsi="仿宋" w:eastAsia="仿宋" w:cs="仿宋"/>
          <w:color w:val="000000"/>
          <w:u w:val="none"/>
          <w:lang w:val="en-US" w:eastAsia="zh-CN"/>
        </w:rPr>
        <w:t>投标</w:t>
      </w:r>
      <w:r>
        <w:rPr>
          <w:rFonts w:hint="eastAsia" w:ascii="仿宋" w:hAnsi="仿宋" w:eastAsia="仿宋" w:cs="仿宋"/>
          <w:color w:val="000000"/>
          <w:u w:val="none"/>
        </w:rPr>
        <w:t>截止</w:t>
      </w:r>
    </w:p>
    <w:p>
      <w:pPr>
        <w:spacing w:line="240" w:lineRule="atLeast"/>
        <w:ind w:left="900" w:hanging="900" w:hangingChars="375"/>
        <w:rPr>
          <w:rFonts w:hint="eastAsia" w:ascii="仿宋" w:hAnsi="仿宋" w:eastAsia="仿宋" w:cs="仿宋"/>
          <w:b w:val="0"/>
          <w:bCs w:val="0"/>
          <w:color w:val="000000"/>
          <w:sz w:val="24"/>
          <w:lang w:val="en-US" w:eastAsia="zh-CN"/>
        </w:rPr>
      </w:pPr>
      <w:bookmarkStart w:id="115" w:name="_Toc3653"/>
      <w:bookmarkStart w:id="116" w:name="_Toc520356162"/>
      <w:bookmarkStart w:id="117" w:name="_Toc515647777"/>
      <w:bookmarkStart w:id="118" w:name="_Toc29943"/>
      <w:bookmarkStart w:id="119" w:name="_Toc17389"/>
      <w:bookmarkStart w:id="120" w:name="_Toc24275"/>
      <w:bookmarkStart w:id="121" w:name="_Toc18537"/>
      <w:r>
        <w:rPr>
          <w:rFonts w:hint="eastAsia" w:ascii="仿宋" w:hAnsi="仿宋" w:eastAsia="仿宋" w:cs="仿宋"/>
          <w:b w:val="0"/>
          <w:bCs w:val="0"/>
          <w:color w:val="000000"/>
          <w:sz w:val="24"/>
          <w:lang w:val="en-US" w:eastAsia="zh-CN"/>
        </w:rPr>
        <w:t>16.1</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投标人应在招标文件中规定的截止时间前，将电子投标文件上传到政采云平台。</w:t>
      </w:r>
    </w:p>
    <w:p>
      <w:pPr>
        <w:spacing w:line="240" w:lineRule="atLeast"/>
        <w:ind w:left="900" w:hanging="900" w:hangingChars="375"/>
        <w:rPr>
          <w:rFonts w:hint="eastAsia" w:ascii="仿宋" w:hAnsi="仿宋" w:eastAsia="仿宋" w:cs="仿宋"/>
        </w:rPr>
      </w:pPr>
      <w:r>
        <w:rPr>
          <w:rFonts w:hint="eastAsia" w:ascii="仿宋" w:hAnsi="仿宋" w:eastAsia="仿宋" w:cs="仿宋"/>
          <w:b w:val="0"/>
          <w:bCs w:val="0"/>
          <w:color w:val="000000"/>
          <w:sz w:val="24"/>
          <w:lang w:val="en-US" w:eastAsia="zh-CN"/>
        </w:rPr>
        <w:t>16.2</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采购人和采购代理机构有权按本须知的规定，延迟投标截止时间。在此情况下，采购人、采购代理机构和投标人受投标截止时间制约的所有权利和义务均应延长至新的截止时间。</w:t>
      </w:r>
      <w:bookmarkEnd w:id="115"/>
      <w:bookmarkEnd w:id="116"/>
      <w:bookmarkEnd w:id="117"/>
      <w:bookmarkEnd w:id="118"/>
      <w:bookmarkEnd w:id="119"/>
      <w:bookmarkEnd w:id="120"/>
      <w:bookmarkEnd w:id="121"/>
    </w:p>
    <w:bookmarkEnd w:id="110"/>
    <w:bookmarkEnd w:id="111"/>
    <w:bookmarkEnd w:id="112"/>
    <w:bookmarkEnd w:id="113"/>
    <w:bookmarkEnd w:id="114"/>
    <w:p>
      <w:pPr>
        <w:spacing w:line="240" w:lineRule="atLeast"/>
        <w:ind w:left="900" w:hanging="900" w:hangingChars="375"/>
        <w:rPr>
          <w:rFonts w:hint="eastAsia" w:ascii="仿宋" w:hAnsi="仿宋" w:eastAsia="仿宋" w:cs="仿宋"/>
          <w:b/>
          <w:bCs/>
          <w:color w:val="000000"/>
          <w:sz w:val="24"/>
          <w:lang w:val="en-US" w:eastAsia="zh-CN"/>
        </w:rPr>
      </w:pPr>
      <w:bookmarkStart w:id="122" w:name="_Toc518923081"/>
      <w:bookmarkStart w:id="123" w:name="_Toc16710"/>
      <w:bookmarkStart w:id="124" w:name="_Toc520356163"/>
      <w:bookmarkStart w:id="125" w:name="_Toc216582809"/>
      <w:bookmarkStart w:id="126" w:name="_Toc28398"/>
      <w:bookmarkStart w:id="127" w:name="_Toc515647778"/>
      <w:bookmarkStart w:id="128" w:name="_Toc12436"/>
      <w:bookmarkStart w:id="129" w:name="_Toc20246"/>
      <w:r>
        <w:rPr>
          <w:rFonts w:hint="eastAsia" w:ascii="仿宋" w:hAnsi="仿宋" w:eastAsia="仿宋" w:cs="仿宋"/>
          <w:b/>
          <w:bCs/>
          <w:color w:val="000000"/>
          <w:sz w:val="24"/>
          <w:lang w:val="en-US" w:eastAsia="zh-CN"/>
        </w:rPr>
        <w:t>17.投标文件的接收、修改、撤回</w:t>
      </w:r>
      <w:bookmarkEnd w:id="122"/>
      <w:r>
        <w:rPr>
          <w:rFonts w:hint="eastAsia" w:ascii="仿宋" w:hAnsi="仿宋" w:eastAsia="仿宋" w:cs="仿宋"/>
          <w:b/>
          <w:bCs/>
          <w:color w:val="000000"/>
          <w:sz w:val="24"/>
          <w:lang w:val="en-US" w:eastAsia="zh-CN"/>
        </w:rPr>
        <w:t>与解密</w:t>
      </w:r>
      <w:bookmarkEnd w:id="123"/>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17.1</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17.2</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代理机构对因不可抗力事件造成的投标文件的损坏、丢失的，不承担责任。</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17.3</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 xml:space="preserve">出现下述情形之一，属于未成功提交投标文件，按无效投标处理： </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（1）至提交投标文件截止时间，投标文件未完整上传的。 </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（2）投标文件未按投标格式中注明需签字盖章的要求进行签名（含电子签名）和加盖电子印章，或签名（含电子签名）或电子印章不完整的。 </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（3）投标文件损坏或格式不正确的。 </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17.4</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17.5</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在提交投标文件截止时间后，投标人不得补充、修改和更换投标文件。</w:t>
      </w:r>
    </w:p>
    <w:p>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17.6   到达开标时间后，投标人需使用上传投标文件的同一数字证书解密，投标人须在采购代理机构规定的时间内完成投标文件解密，投标人因非系统原因导致的逾期未解密投标文件，将作无效投标处理。</w:t>
      </w:r>
    </w:p>
    <w:p>
      <w:pPr>
        <w:pStyle w:val="2"/>
        <w:tabs>
          <w:tab w:val="left" w:pos="900"/>
        </w:tabs>
        <w:spacing w:before="0" w:line="240" w:lineRule="atLeast"/>
        <w:ind w:left="1079" w:leftChars="257" w:hanging="540"/>
        <w:rPr>
          <w:rFonts w:hint="eastAsia" w:ascii="仿宋" w:hAnsi="仿宋" w:eastAsia="仿宋" w:cs="仿宋"/>
          <w:color w:val="000000"/>
          <w:sz w:val="28"/>
          <w:highlight w:val="none"/>
        </w:rPr>
      </w:pPr>
      <w:r>
        <w:rPr>
          <w:rFonts w:hint="eastAsia" w:ascii="仿宋" w:hAnsi="仿宋" w:eastAsia="仿宋" w:cs="仿宋"/>
          <w:color w:val="000000"/>
          <w:sz w:val="28"/>
          <w:highlight w:val="none"/>
        </w:rPr>
        <w:t>五   开标及评标</w:t>
      </w:r>
      <w:bookmarkEnd w:id="124"/>
      <w:bookmarkEnd w:id="125"/>
      <w:bookmarkEnd w:id="126"/>
      <w:bookmarkEnd w:id="127"/>
      <w:bookmarkEnd w:id="128"/>
      <w:bookmarkEnd w:id="129"/>
    </w:p>
    <w:p>
      <w:pPr>
        <w:pStyle w:val="4"/>
        <w:spacing w:before="0" w:after="0" w:line="240" w:lineRule="atLeast"/>
        <w:rPr>
          <w:rFonts w:hint="eastAsia" w:ascii="仿宋" w:hAnsi="仿宋" w:eastAsia="仿宋" w:cs="仿宋"/>
          <w:color w:val="000000"/>
          <w:highlight w:val="none"/>
          <w:u w:val="none"/>
        </w:rPr>
      </w:pPr>
      <w:bookmarkStart w:id="130" w:name="_Toc520356164"/>
      <w:bookmarkStart w:id="131" w:name="_Toc25345"/>
      <w:bookmarkStart w:id="132" w:name="_Toc515647779"/>
      <w:bookmarkStart w:id="133" w:name="_Toc17257"/>
      <w:bookmarkStart w:id="134" w:name="_Toc7186"/>
      <w:r>
        <w:rPr>
          <w:rFonts w:hint="eastAsia" w:ascii="仿宋" w:hAnsi="仿宋" w:eastAsia="仿宋" w:cs="仿宋"/>
          <w:color w:val="000000"/>
          <w:highlight w:val="none"/>
          <w:u w:val="none"/>
        </w:rPr>
        <w:t>18.开标</w:t>
      </w:r>
      <w:bookmarkEnd w:id="130"/>
      <w:bookmarkEnd w:id="131"/>
      <w:bookmarkEnd w:id="132"/>
      <w:bookmarkEnd w:id="133"/>
      <w:bookmarkEnd w:id="134"/>
    </w:p>
    <w:p>
      <w:pPr>
        <w:numPr>
          <w:ilvl w:val="1"/>
          <w:numId w:val="4"/>
        </w:num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采购人和采购代理机构将按</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中规定的开标时间和地点组织公开开标并邀请所有投标人代表参加。</w:t>
      </w:r>
    </w:p>
    <w:p>
      <w:pPr>
        <w:spacing w:line="240" w:lineRule="atLeast"/>
        <w:ind w:left="735" w:leftChars="350" w:firstLine="120" w:firstLineChars="5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投标人不足3家的，不得开标。</w:t>
      </w:r>
    </w:p>
    <w:p>
      <w:pPr>
        <w:numPr>
          <w:ilvl w:val="1"/>
          <w:numId w:val="4"/>
        </w:numPr>
        <w:spacing w:line="240" w:lineRule="atLeast"/>
        <w:ind w:left="900" w:hanging="900" w:hangingChars="375"/>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18.3    采购人或采购代理机构将对开标过程进行记录</w:t>
      </w:r>
      <w:bookmarkStart w:id="135" w:name="_Toc520356165"/>
      <w:r>
        <w:rPr>
          <w:rFonts w:hint="eastAsia" w:ascii="仿宋" w:hAnsi="仿宋" w:eastAsia="仿宋" w:cs="仿宋"/>
          <w:color w:val="000000"/>
          <w:sz w:val="24"/>
          <w:highlight w:val="none"/>
        </w:rPr>
        <w:t>，由参加开标的各投标人代表和相关工作人员签字确认，并存档备查。</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18.4    投标人代表对开标过程和开标记录有疑义，以及认为采购人、采购代理机构相关工作人员有需要回避的情形的，应当场提出询问或者回避申请。</w:t>
      </w:r>
    </w:p>
    <w:p>
      <w:pPr>
        <w:pStyle w:val="4"/>
        <w:spacing w:before="0" w:after="0" w:line="240" w:lineRule="atLeast"/>
        <w:rPr>
          <w:rFonts w:hint="eastAsia" w:ascii="仿宋" w:hAnsi="仿宋" w:eastAsia="仿宋" w:cs="仿宋"/>
          <w:color w:val="000000"/>
          <w:highlight w:val="none"/>
          <w:u w:val="none"/>
        </w:rPr>
      </w:pPr>
      <w:bookmarkStart w:id="136" w:name="_Toc21372"/>
      <w:bookmarkStart w:id="137" w:name="_Toc31290"/>
      <w:bookmarkStart w:id="138" w:name="_Toc19296"/>
      <w:bookmarkStart w:id="139" w:name="_Toc515647780"/>
      <w:r>
        <w:rPr>
          <w:rFonts w:hint="eastAsia" w:ascii="仿宋" w:hAnsi="仿宋" w:eastAsia="仿宋" w:cs="仿宋"/>
          <w:color w:val="000000"/>
          <w:highlight w:val="none"/>
          <w:u w:val="none"/>
        </w:rPr>
        <w:t>19.</w:t>
      </w:r>
      <w:bookmarkEnd w:id="135"/>
      <w:r>
        <w:rPr>
          <w:rFonts w:hint="eastAsia" w:ascii="仿宋" w:hAnsi="仿宋" w:eastAsia="仿宋" w:cs="仿宋"/>
          <w:color w:val="000000"/>
          <w:highlight w:val="none"/>
          <w:u w:val="none"/>
        </w:rPr>
        <w:t>资格审查及组建评标委员会</w:t>
      </w:r>
      <w:bookmarkEnd w:id="136"/>
      <w:bookmarkEnd w:id="137"/>
      <w:bookmarkEnd w:id="138"/>
      <w:bookmarkEnd w:id="139"/>
    </w:p>
    <w:p>
      <w:pPr>
        <w:spacing w:line="240" w:lineRule="atLeast"/>
        <w:ind w:left="900" w:hanging="900" w:hangingChars="375"/>
        <w:rPr>
          <w:rFonts w:hint="eastAsia" w:ascii="仿宋" w:hAnsi="仿宋" w:eastAsia="仿宋" w:cs="仿宋"/>
          <w:color w:val="000000"/>
          <w:sz w:val="24"/>
          <w:highlight w:val="none"/>
        </w:rPr>
      </w:pPr>
      <w:bookmarkStart w:id="140" w:name="_Toc520356166"/>
      <w:bookmarkStart w:id="141" w:name="_Toc28479"/>
      <w:bookmarkStart w:id="142" w:name="_Toc26332"/>
      <w:bookmarkStart w:id="143" w:name="_Toc515647781"/>
      <w:bookmarkStart w:id="144" w:name="_Toc19949"/>
      <w:r>
        <w:rPr>
          <w:rFonts w:hint="eastAsia" w:ascii="仿宋" w:hAnsi="仿宋" w:eastAsia="仿宋" w:cs="仿宋"/>
          <w:color w:val="000000"/>
          <w:sz w:val="24"/>
          <w:highlight w:val="none"/>
        </w:rPr>
        <w:t>19.</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 xml:space="preserve"> 采购人或采购代理机构将在开标</w:t>
      </w:r>
      <w:r>
        <w:rPr>
          <w:rFonts w:hint="eastAsia" w:ascii="仿宋" w:hAnsi="仿宋" w:eastAsia="仿宋" w:cs="仿宋"/>
          <w:color w:val="000000"/>
          <w:sz w:val="24"/>
          <w:highlight w:val="none"/>
          <w:lang w:eastAsia="zh-CN"/>
        </w:rPr>
        <w:t>后</w:t>
      </w:r>
      <w:r>
        <w:rPr>
          <w:rFonts w:hint="eastAsia" w:ascii="仿宋" w:hAnsi="仿宋" w:eastAsia="仿宋" w:cs="仿宋"/>
          <w:color w:val="000000"/>
          <w:sz w:val="24"/>
          <w:highlight w:val="none"/>
          <w:lang w:val="en-US" w:eastAsia="zh-CN"/>
        </w:rPr>
        <w:t>1个小时</w:t>
      </w:r>
      <w:r>
        <w:rPr>
          <w:rFonts w:hint="eastAsia" w:ascii="仿宋" w:hAnsi="仿宋" w:eastAsia="仿宋" w:cs="仿宋"/>
          <w:color w:val="000000"/>
          <w:sz w:val="24"/>
          <w:highlight w:val="none"/>
        </w:rPr>
        <w:t>内查询投标人的信用记录。投标人存在不良信用记录的，其投标将被认定为投标无效。</w:t>
      </w:r>
    </w:p>
    <w:p>
      <w:pPr>
        <w:spacing w:line="240" w:lineRule="atLeast"/>
        <w:ind w:left="900" w:hanging="900" w:hangingChars="375"/>
        <w:rPr>
          <w:rFonts w:hint="eastAsia" w:ascii="仿宋" w:hAnsi="仿宋" w:eastAsia="仿宋" w:cs="仿宋"/>
          <w:color w:val="auto"/>
          <w:sz w:val="24"/>
          <w:szCs w:val="24"/>
        </w:rPr>
      </w:pPr>
      <w:r>
        <w:rPr>
          <w:rFonts w:hint="eastAsia" w:ascii="仿宋" w:hAnsi="仿宋" w:eastAsia="仿宋" w:cs="仿宋"/>
          <w:color w:val="000000"/>
          <w:sz w:val="24"/>
          <w:highlight w:val="none"/>
        </w:rPr>
        <w:t>19.2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http://www.gsxt.gov.cn)被列入失信被执行人、重大税收违法案件当事人名单中的，以及存在《中华人民共和国政府采购法实施条例》第十九条规定的行政处罚记录。</w:t>
      </w:r>
      <w:r>
        <w:rPr>
          <w:rFonts w:hint="eastAsia" w:ascii="仿宋" w:hAnsi="仿宋" w:eastAsia="仿宋" w:cs="仿宋"/>
          <w:color w:val="auto"/>
          <w:sz w:val="24"/>
          <w:szCs w:val="24"/>
        </w:rPr>
        <w:t>以联合体形式参加投标的，联合体任何成员存在以上不良信用记录的，联合体投标将被认定为</w:t>
      </w:r>
      <w:r>
        <w:rPr>
          <w:rFonts w:hint="eastAsia" w:ascii="仿宋" w:hAnsi="仿宋" w:eastAsia="仿宋" w:cs="仿宋"/>
          <w:b/>
          <w:bCs/>
          <w:color w:val="auto"/>
          <w:sz w:val="24"/>
          <w:szCs w:val="24"/>
        </w:rPr>
        <w:t>投标无效</w:t>
      </w:r>
      <w:r>
        <w:rPr>
          <w:rFonts w:hint="eastAsia" w:ascii="仿宋" w:hAnsi="仿宋" w:eastAsia="仿宋" w:cs="仿宋"/>
          <w:color w:val="auto"/>
          <w:sz w:val="24"/>
          <w:szCs w:val="24"/>
        </w:rPr>
        <w:t>。</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19.2.</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查询及记录方式：采购人或采购代理机构经办人将查询网页打印并存档备查。投标人不良信用记录以采购人或采购代理机构查询结果为准。在本</w:t>
      </w:r>
      <w:r>
        <w:rPr>
          <w:rFonts w:hint="eastAsia" w:ascii="仿宋" w:hAnsi="仿宋" w:eastAsia="仿宋" w:cs="仿宋"/>
          <w:color w:val="000000"/>
          <w:sz w:val="24"/>
          <w:highlight w:val="none"/>
          <w:lang w:val="en-US" w:eastAsia="zh-CN"/>
        </w:rPr>
        <w:t>招标</w:t>
      </w:r>
      <w:r>
        <w:rPr>
          <w:rFonts w:hint="eastAsia" w:ascii="仿宋" w:hAnsi="仿宋" w:eastAsia="仿宋" w:cs="仿宋"/>
          <w:color w:val="000000"/>
          <w:sz w:val="24"/>
          <w:highlight w:val="none"/>
          <w:lang w:eastAsia="zh-CN"/>
        </w:rPr>
        <w:t>文件</w:t>
      </w:r>
      <w:r>
        <w:rPr>
          <w:rFonts w:hint="eastAsia" w:ascii="仿宋" w:hAnsi="仿宋" w:eastAsia="仿宋" w:cs="仿宋"/>
          <w:color w:val="000000"/>
          <w:sz w:val="24"/>
          <w:highlight w:val="none"/>
        </w:rPr>
        <w:t>规定的查询时间之后，网站信息发生的任何变更均不再作为评标依据。投标人自行提供的与网站信息不一致的其他证明材料亦不作为资格审查依据。</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19.3按照《中华人民共和国政府采购法》、《中华人民共和国政府采购法实施条例》</w:t>
      </w:r>
      <w:r>
        <w:rPr>
          <w:rFonts w:hint="eastAsia" w:ascii="仿宋" w:hAnsi="仿宋" w:eastAsia="仿宋" w:cs="仿宋"/>
          <w:color w:val="000000"/>
          <w:sz w:val="24"/>
          <w:highlight w:val="none"/>
          <w:lang w:eastAsia="zh-CN"/>
        </w:rPr>
        <w:t>、及</w:t>
      </w:r>
      <w:r>
        <w:rPr>
          <w:rFonts w:hint="eastAsia" w:ascii="仿宋" w:hAnsi="仿宋" w:eastAsia="仿宋" w:cs="仿宋"/>
          <w:color w:val="000000"/>
          <w:sz w:val="24"/>
          <w:highlight w:val="none"/>
        </w:rPr>
        <w:t>本项目本级和上级财政部门的有关规定依法组建的评标委员会，负责评标工作。</w:t>
      </w:r>
      <w:r>
        <w:rPr>
          <w:rFonts w:hint="eastAsia" w:ascii="仿宋" w:hAnsi="仿宋" w:eastAsia="仿宋" w:cs="仿宋"/>
          <w:color w:val="0000FF"/>
          <w:sz w:val="24"/>
          <w:highlight w:val="none"/>
        </w:rPr>
        <w:t>本项目评标委员会由</w:t>
      </w:r>
      <w:r>
        <w:rPr>
          <w:rFonts w:hint="eastAsia" w:ascii="仿宋" w:hAnsi="仿宋" w:eastAsia="仿宋" w:cs="仿宋"/>
          <w:color w:val="0000FF"/>
          <w:sz w:val="24"/>
          <w:highlight w:val="none"/>
          <w:lang w:val="en-US" w:eastAsia="zh-CN"/>
        </w:rPr>
        <w:t>7人</w:t>
      </w:r>
      <w:r>
        <w:rPr>
          <w:rFonts w:hint="eastAsia" w:ascii="仿宋" w:hAnsi="仿宋" w:eastAsia="仿宋" w:cs="仿宋"/>
          <w:color w:val="0000FF"/>
          <w:sz w:val="24"/>
          <w:highlight w:val="none"/>
        </w:rPr>
        <w:t>组成（</w:t>
      </w:r>
      <w:r>
        <w:rPr>
          <w:rFonts w:hint="eastAsia" w:ascii="仿宋" w:hAnsi="仿宋" w:eastAsia="仿宋" w:cs="仿宋"/>
          <w:color w:val="0000FF"/>
          <w:sz w:val="24"/>
          <w:highlight w:val="none"/>
          <w:lang w:eastAsia="zh-CN"/>
        </w:rPr>
        <w:t>政采云专家库</w:t>
      </w:r>
      <w:r>
        <w:rPr>
          <w:rFonts w:hint="eastAsia" w:ascii="仿宋" w:hAnsi="仿宋" w:eastAsia="仿宋" w:cs="仿宋"/>
          <w:color w:val="0000FF"/>
          <w:sz w:val="24"/>
          <w:highlight w:val="none"/>
        </w:rPr>
        <w:t>随机抽取专家</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名</w:t>
      </w: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lang w:val="en-US" w:eastAsia="zh-CN"/>
        </w:rPr>
        <w:t>业主代表1名</w:t>
      </w:r>
      <w:r>
        <w:rPr>
          <w:rFonts w:hint="eastAsia" w:ascii="仿宋" w:hAnsi="仿宋" w:eastAsia="仿宋" w:cs="仿宋"/>
          <w:color w:val="0000FF"/>
          <w:sz w:val="24"/>
          <w:highlight w:val="none"/>
        </w:rPr>
        <w:t>）。</w:t>
      </w:r>
    </w:p>
    <w:p>
      <w:pPr>
        <w:pStyle w:val="4"/>
        <w:spacing w:before="0" w:after="0" w:line="240" w:lineRule="atLeast"/>
        <w:rPr>
          <w:rFonts w:hint="eastAsia" w:ascii="仿宋" w:hAnsi="仿宋" w:eastAsia="仿宋" w:cs="仿宋"/>
          <w:b w:val="0"/>
          <w:bCs/>
          <w:color w:val="000000"/>
          <w:highlight w:val="none"/>
          <w:bdr w:val="single" w:color="auto" w:sz="4" w:space="0"/>
        </w:rPr>
      </w:pPr>
      <w:r>
        <w:rPr>
          <w:rFonts w:hint="eastAsia" w:ascii="仿宋" w:hAnsi="仿宋" w:eastAsia="仿宋" w:cs="仿宋"/>
          <w:color w:val="000000"/>
          <w:highlight w:val="none"/>
          <w:u w:val="none"/>
        </w:rPr>
        <w:t>20.投标文件</w:t>
      </w:r>
      <w:bookmarkEnd w:id="140"/>
      <w:r>
        <w:rPr>
          <w:rFonts w:hint="eastAsia" w:ascii="仿宋" w:hAnsi="仿宋" w:eastAsia="仿宋" w:cs="仿宋"/>
          <w:color w:val="000000"/>
          <w:highlight w:val="none"/>
          <w:u w:val="none"/>
        </w:rPr>
        <w:t>符合性审查与澄清</w:t>
      </w:r>
      <w:bookmarkEnd w:id="141"/>
      <w:bookmarkEnd w:id="142"/>
      <w:bookmarkEnd w:id="143"/>
      <w:bookmarkEnd w:id="144"/>
    </w:p>
    <w:p>
      <w:pPr>
        <w:spacing w:line="240" w:lineRule="atLeast"/>
        <w:ind w:left="900" w:hanging="900" w:hangingChars="375"/>
        <w:rPr>
          <w:rFonts w:hint="eastAsia" w:ascii="仿宋" w:hAnsi="仿宋" w:eastAsia="仿宋" w:cs="仿宋"/>
          <w:color w:val="000000"/>
          <w:sz w:val="24"/>
          <w:highlight w:val="none"/>
          <w:lang w:bidi="ar-SA"/>
        </w:rPr>
      </w:pPr>
      <w:bookmarkStart w:id="145" w:name="_Toc520356167"/>
      <w:r>
        <w:rPr>
          <w:rFonts w:hint="eastAsia" w:ascii="仿宋" w:hAnsi="仿宋" w:eastAsia="仿宋" w:cs="仿宋"/>
          <w:color w:val="000000"/>
          <w:sz w:val="24"/>
          <w:highlight w:val="none"/>
          <w:lang w:bidi="ar-SA"/>
        </w:rPr>
        <w:t>20.1   符合性审查是指依据招标文件的规定，从投标文件的有效性和完整性对招标文件的响应程度进行审查，以确定是否对招标文件的实质性要求做出响应。</w:t>
      </w:r>
      <w:bookmarkStart w:id="146" w:name="_Hlt522424701"/>
      <w:bookmarkEnd w:id="146"/>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w:t>
      </w:r>
      <w:r>
        <w:rPr>
          <w:rFonts w:hint="eastAsia" w:ascii="仿宋" w:hAnsi="仿宋" w:eastAsia="仿宋" w:cs="仿宋"/>
          <w:color w:val="000000"/>
          <w:sz w:val="24"/>
          <w:highlight w:val="none"/>
          <w:lang w:bidi="ar-SA"/>
        </w:rPr>
        <w:tab/>
      </w:r>
      <w:r>
        <w:rPr>
          <w:rFonts w:hint="eastAsia" w:ascii="仿宋" w:hAnsi="仿宋" w:eastAsia="仿宋" w:cs="仿宋"/>
          <w:color w:val="000000"/>
          <w:sz w:val="24"/>
          <w:highlight w:val="none"/>
          <w:lang w:bidi="ar-SA"/>
        </w:rPr>
        <w:t>投标文件的澄清</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20.2.2  投标人的的澄清、说明或补正将作为投标文件的一部分。</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20.3  投标文件报价出现前后不一致的，按照下列规定修正：</w:t>
      </w:r>
    </w:p>
    <w:p>
      <w:pPr>
        <w:spacing w:line="240" w:lineRule="atLeast"/>
        <w:ind w:left="1020" w:hanging="1020" w:hangingChars="42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（二）大写金额和小写金额不一致的，以大写金额为准；</w:t>
      </w:r>
    </w:p>
    <w:p>
      <w:pPr>
        <w:spacing w:line="240" w:lineRule="atLeast"/>
        <w:ind w:left="1020" w:hanging="1020" w:hangingChars="42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（四）总价金额与按单价汇总金额不一致的，以单价金额计算结果为准。</w:t>
      </w:r>
    </w:p>
    <w:p>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000000"/>
          <w:sz w:val="24"/>
          <w:highlight w:val="none"/>
          <w:lang w:bidi="ar-SA"/>
        </w:rPr>
        <w:t>投标无效</w:t>
      </w:r>
      <w:r>
        <w:rPr>
          <w:rFonts w:hint="eastAsia" w:ascii="仿宋" w:hAnsi="仿宋" w:eastAsia="仿宋" w:cs="仿宋"/>
          <w:color w:val="000000"/>
          <w:sz w:val="24"/>
          <w:highlight w:val="none"/>
          <w:lang w:bidi="ar-SA"/>
        </w:rPr>
        <w:t>。</w:t>
      </w:r>
    </w:p>
    <w:p>
      <w:pPr>
        <w:spacing w:line="240" w:lineRule="atLeast"/>
        <w:ind w:left="735" w:leftChars="350" w:firstLine="120" w:firstLineChars="50"/>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对不同文字文本投标文件的解释发生异议的，以中文文本为准。</w:t>
      </w:r>
    </w:p>
    <w:p>
      <w:pPr>
        <w:pStyle w:val="4"/>
        <w:spacing w:before="0" w:after="0" w:line="240" w:lineRule="atLeast"/>
        <w:rPr>
          <w:rFonts w:hint="eastAsia" w:ascii="仿宋" w:hAnsi="仿宋" w:eastAsia="仿宋" w:cs="仿宋"/>
          <w:color w:val="000000"/>
          <w:highlight w:val="none"/>
          <w:u w:val="none"/>
        </w:rPr>
      </w:pPr>
      <w:bookmarkStart w:id="147" w:name="_Toc6364"/>
      <w:bookmarkStart w:id="148" w:name="_Toc18529"/>
      <w:bookmarkStart w:id="149" w:name="_Toc9469"/>
      <w:bookmarkStart w:id="150" w:name="_Toc515647782"/>
      <w:r>
        <w:rPr>
          <w:rFonts w:hint="eastAsia" w:ascii="仿宋" w:hAnsi="仿宋" w:eastAsia="仿宋" w:cs="仿宋"/>
          <w:color w:val="000000"/>
          <w:highlight w:val="none"/>
          <w:u w:val="none"/>
        </w:rPr>
        <w:t>21.投标偏离</w:t>
      </w:r>
      <w:bookmarkEnd w:id="147"/>
      <w:bookmarkEnd w:id="148"/>
      <w:bookmarkEnd w:id="149"/>
      <w:bookmarkEnd w:id="150"/>
    </w:p>
    <w:p>
      <w:pPr>
        <w:spacing w:line="240" w:lineRule="atLeast"/>
        <w:ind w:left="847" w:leftChars="99" w:hanging="640" w:hangingChars="267"/>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评标委员会可以接受投标文件中不构成实质性偏离的不正规或不一致。</w:t>
      </w:r>
    </w:p>
    <w:p>
      <w:pPr>
        <w:pStyle w:val="4"/>
        <w:spacing w:before="0" w:after="0" w:line="240" w:lineRule="atLeast"/>
        <w:rPr>
          <w:rFonts w:hint="eastAsia" w:ascii="仿宋" w:hAnsi="仿宋" w:eastAsia="仿宋" w:cs="仿宋"/>
          <w:color w:val="000000"/>
          <w:highlight w:val="none"/>
          <w:u w:val="none"/>
        </w:rPr>
      </w:pPr>
      <w:bookmarkStart w:id="151" w:name="_Toc515647783"/>
      <w:bookmarkStart w:id="152" w:name="_Toc4950"/>
      <w:bookmarkStart w:id="153" w:name="_Toc6092"/>
      <w:bookmarkStart w:id="154" w:name="_Toc23936"/>
      <w:r>
        <w:rPr>
          <w:rFonts w:hint="eastAsia" w:ascii="仿宋" w:hAnsi="仿宋" w:eastAsia="仿宋" w:cs="仿宋"/>
          <w:color w:val="000000"/>
          <w:highlight w:val="none"/>
          <w:u w:val="none"/>
        </w:rPr>
        <w:t>22.投标</w:t>
      </w:r>
      <w:bookmarkEnd w:id="151"/>
      <w:r>
        <w:rPr>
          <w:rFonts w:hint="eastAsia" w:ascii="仿宋" w:hAnsi="仿宋" w:eastAsia="仿宋" w:cs="仿宋"/>
          <w:color w:val="000000"/>
          <w:highlight w:val="none"/>
          <w:u w:val="none"/>
        </w:rPr>
        <w:t>无效</w:t>
      </w:r>
      <w:bookmarkEnd w:id="152"/>
      <w:bookmarkEnd w:id="153"/>
      <w:bookmarkEnd w:id="154"/>
    </w:p>
    <w:p>
      <w:pPr>
        <w:spacing w:line="240" w:lineRule="atLeast"/>
        <w:ind w:left="852" w:leftChars="-23"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。投标人不得通过修正或撤销不符合要求的偏离，从而使其投标成为实质上响应的投标。</w:t>
      </w:r>
    </w:p>
    <w:p>
      <w:pPr>
        <w:spacing w:line="240" w:lineRule="atLeast"/>
        <w:ind w:left="791" w:leftChars="377"/>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评标委员会决定投标的响应性只根据招标文件要求、投标文件内容及财政主管部门指定相关信息发布媒体。</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如发现下列情况之一的，其投标将被认定为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未按招标文件规定的形式和金额提交投标保证金的；</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未按照招标文件规定要求签署、盖章的；</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未满足招标文件中技术条款的实质性要求；</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与其他投标人串通投标，或者与招标人串通投标；</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属于招标文件规定的其他投标无效情形；</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评标委员会认为投标人的报价明显低于其他通过符合性检查投标人的报价，有可能影响履约的，且投标人未按照规定证明其报价合理性的；</w:t>
      </w:r>
    </w:p>
    <w:p>
      <w:pPr>
        <w:numPr>
          <w:ilvl w:val="0"/>
          <w:numId w:val="5"/>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投标文件含有采购人不能接受的附加条件的；</w:t>
      </w:r>
    </w:p>
    <w:p>
      <w:pPr>
        <w:numPr>
          <w:ilvl w:val="0"/>
          <w:numId w:val="5"/>
        </w:numPr>
        <w:tabs>
          <w:tab w:val="left" w:pos="0"/>
        </w:tabs>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不符合法规和招标文件中规定的其他实质性要求的。</w:t>
      </w:r>
    </w:p>
    <w:p>
      <w:pPr>
        <w:spacing w:line="240" w:lineRule="atLeast"/>
        <w:rPr>
          <w:rFonts w:hint="eastAsia" w:ascii="仿宋" w:hAnsi="仿宋" w:eastAsia="仿宋" w:cs="仿宋"/>
          <w:b/>
          <w:bCs/>
          <w:color w:val="000000"/>
          <w:sz w:val="24"/>
          <w:highlight w:val="none"/>
        </w:rPr>
      </w:pPr>
      <w:bookmarkStart w:id="155" w:name="_Toc515647784"/>
      <w:bookmarkStart w:id="156" w:name="_Toc13652"/>
      <w:bookmarkStart w:id="157" w:name="_Toc22941"/>
      <w:bookmarkStart w:id="158" w:name="_Toc8521"/>
      <w:r>
        <w:rPr>
          <w:rFonts w:hint="eastAsia" w:ascii="仿宋" w:hAnsi="仿宋" w:eastAsia="仿宋" w:cs="仿宋"/>
          <w:b/>
          <w:bCs/>
          <w:color w:val="000000"/>
          <w:sz w:val="24"/>
          <w:highlight w:val="none"/>
        </w:rPr>
        <w:t>23.</w:t>
      </w:r>
      <w:bookmarkEnd w:id="145"/>
      <w:r>
        <w:rPr>
          <w:rFonts w:hint="eastAsia" w:ascii="仿宋" w:hAnsi="仿宋" w:eastAsia="仿宋" w:cs="仿宋"/>
          <w:b/>
          <w:bCs/>
          <w:color w:val="000000"/>
          <w:sz w:val="24"/>
          <w:highlight w:val="none"/>
        </w:rPr>
        <w:t>比较与评价</w:t>
      </w:r>
      <w:bookmarkEnd w:id="155"/>
      <w:bookmarkEnd w:id="156"/>
      <w:bookmarkEnd w:id="157"/>
      <w:bookmarkEnd w:id="158"/>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 xml:space="preserve">23.2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评标严格按照招标文件的要求和条件进行。根据实际情况，在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中规定采用下列（2）评标方法，详细评标标准见招标文件</w:t>
      </w:r>
      <w:r>
        <w:rPr>
          <w:rFonts w:hint="eastAsia" w:ascii="仿宋" w:hAnsi="仿宋" w:eastAsia="仿宋" w:cs="仿宋"/>
          <w:b/>
          <w:bCs/>
          <w:color w:val="000000"/>
          <w:sz w:val="24"/>
          <w:highlight w:val="none"/>
        </w:rPr>
        <w:t>第六章：</w:t>
      </w:r>
    </w:p>
    <w:p>
      <w:pPr>
        <w:spacing w:line="240" w:lineRule="atLeast"/>
        <w:ind w:left="898" w:leftChars="342"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（1）最低评标价法，是指投标文件满足招标文件全部实质性要求，且投标报价最低的投标人为中标候选人的评标方法。</w:t>
      </w:r>
    </w:p>
    <w:p>
      <w:pPr>
        <w:spacing w:line="240" w:lineRule="atLeast"/>
        <w:ind w:left="898" w:leftChars="342"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 综合评分法，是指投标文件满足招标文件全部实质性要求，且按照评审因素的量化指标评审得分最高的投标人为中标候选人的评标方法。</w:t>
      </w:r>
    </w:p>
    <w:p>
      <w:pPr>
        <w:pStyle w:val="6"/>
        <w:keepNext w:val="0"/>
        <w:keepLines w:val="0"/>
        <w:pageBreakBefore w:val="0"/>
        <w:widowControl w:val="0"/>
        <w:kinsoku/>
        <w:wordWrap/>
        <w:overflowPunct/>
        <w:topLinePunct w:val="0"/>
        <w:autoSpaceDE w:val="0"/>
        <w:autoSpaceDN w:val="0"/>
        <w:bidi w:val="0"/>
        <w:adjustRightInd w:val="0"/>
        <w:snapToGrid/>
        <w:ind w:left="660" w:leftChars="0" w:hanging="660" w:hangingChars="275"/>
        <w:textAlignment w:val="auto"/>
        <w:rPr>
          <w:rFonts w:hint="eastAsia" w:ascii="仿宋" w:hAnsi="仿宋" w:eastAsia="仿宋" w:cs="仿宋"/>
          <w:color w:val="000000"/>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 xml:space="preserve">3  </w:t>
      </w:r>
      <w:r>
        <w:rPr>
          <w:rFonts w:hint="eastAsia" w:ascii="仿宋" w:hAnsi="仿宋" w:eastAsia="仿宋" w:cs="仿宋"/>
          <w:b/>
          <w:bCs/>
          <w:color w:val="auto"/>
          <w:kern w:val="2"/>
          <w:sz w:val="24"/>
          <w:szCs w:val="24"/>
          <w:highlight w:val="none"/>
          <w:lang w:val="en-US" w:eastAsia="zh-CN" w:bidi="ar-SA"/>
        </w:rPr>
        <w:t>本项目不专门面向中小企业采购。</w:t>
      </w:r>
      <w:r>
        <w:rPr>
          <w:rFonts w:hint="eastAsia" w:ascii="仿宋" w:hAnsi="仿宋" w:eastAsia="仿宋" w:cs="仿宋"/>
          <w:b/>
          <w:bCs/>
          <w:color w:val="auto"/>
          <w:sz w:val="24"/>
          <w:highlight w:val="none"/>
          <w:lang w:eastAsia="zh-CN"/>
        </w:rPr>
        <w:t>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仿宋" w:hAnsi="仿宋" w:eastAsia="仿宋" w:cs="仿宋"/>
          <w:b/>
          <w:bCs/>
          <w:color w:val="auto"/>
          <w:sz w:val="24"/>
          <w:highlight w:val="none"/>
          <w:u w:val="single"/>
          <w:lang w:eastAsia="zh-CN"/>
        </w:rPr>
        <w:t xml:space="preserve">  10  %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pPr>
        <w:pStyle w:val="4"/>
        <w:spacing w:before="0" w:after="0" w:line="240" w:lineRule="atLeast"/>
        <w:rPr>
          <w:rFonts w:hint="eastAsia" w:ascii="仿宋" w:hAnsi="仿宋" w:eastAsia="仿宋" w:cs="仿宋"/>
          <w:color w:val="000000"/>
          <w:highlight w:val="none"/>
          <w:u w:val="none"/>
        </w:rPr>
      </w:pPr>
      <w:bookmarkStart w:id="159" w:name="_Toc520356168"/>
      <w:bookmarkStart w:id="160" w:name="_Toc9378"/>
      <w:bookmarkStart w:id="161" w:name="_Toc31728"/>
      <w:bookmarkStart w:id="162" w:name="_Toc515647785"/>
      <w:bookmarkStart w:id="163" w:name="_Toc20227"/>
      <w:r>
        <w:rPr>
          <w:rFonts w:hint="eastAsia" w:ascii="仿宋" w:hAnsi="仿宋" w:eastAsia="仿宋" w:cs="仿宋"/>
          <w:color w:val="000000"/>
          <w:highlight w:val="none"/>
          <w:u w:val="none"/>
        </w:rPr>
        <w:t>24</w:t>
      </w:r>
      <w:bookmarkEnd w:id="159"/>
      <w:r>
        <w:rPr>
          <w:rFonts w:hint="eastAsia" w:ascii="仿宋" w:hAnsi="仿宋" w:eastAsia="仿宋" w:cs="仿宋"/>
          <w:color w:val="000000"/>
          <w:highlight w:val="none"/>
          <w:u w:val="none"/>
        </w:rPr>
        <w:t>.废标</w:t>
      </w:r>
      <w:bookmarkEnd w:id="160"/>
      <w:bookmarkEnd w:id="161"/>
      <w:bookmarkEnd w:id="162"/>
      <w:bookmarkEnd w:id="163"/>
    </w:p>
    <w:p>
      <w:pPr>
        <w:spacing w:line="240" w:lineRule="atLeast"/>
        <w:ind w:left="897" w:leftChars="399" w:hanging="60" w:hangingChars="2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出现下列情形之一，将导致项目废标： </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（1）符合专业条件的供应商或者对招标文件做实质性响应的供应商不足三家；</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（2）出现影响采购公正的违法、违规行为的；</w:t>
      </w:r>
    </w:p>
    <w:p>
      <w:pPr>
        <w:spacing w:line="240" w:lineRule="atLeast"/>
        <w:ind w:firstLine="840" w:firstLine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（3）投标人的报价均超过了采购预算，采购人不能支付的；</w:t>
      </w:r>
    </w:p>
    <w:p>
      <w:pPr>
        <w:spacing w:line="240" w:lineRule="atLeast"/>
        <w:ind w:firstLine="840" w:firstLine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（4）因重大变故，采购任务取消的。   </w:t>
      </w:r>
    </w:p>
    <w:p>
      <w:pPr>
        <w:pStyle w:val="4"/>
        <w:spacing w:before="0" w:after="0" w:line="240" w:lineRule="atLeast"/>
        <w:rPr>
          <w:rFonts w:hint="eastAsia" w:ascii="仿宋" w:hAnsi="仿宋" w:eastAsia="仿宋" w:cs="仿宋"/>
          <w:color w:val="000000"/>
          <w:highlight w:val="none"/>
          <w:u w:val="none"/>
        </w:rPr>
      </w:pPr>
      <w:bookmarkStart w:id="164" w:name="_Toc31289"/>
      <w:bookmarkStart w:id="165" w:name="_Toc11175"/>
      <w:bookmarkStart w:id="166" w:name="_Toc24972"/>
      <w:bookmarkStart w:id="167" w:name="_Toc515647786"/>
      <w:bookmarkStart w:id="168" w:name="_Toc520356169"/>
      <w:r>
        <w:rPr>
          <w:rFonts w:hint="eastAsia" w:ascii="仿宋" w:hAnsi="仿宋" w:eastAsia="仿宋" w:cs="仿宋"/>
          <w:color w:val="000000"/>
          <w:highlight w:val="none"/>
          <w:u w:val="none"/>
        </w:rPr>
        <w:t>25.保密原则</w:t>
      </w:r>
      <w:bookmarkEnd w:id="164"/>
      <w:bookmarkEnd w:id="165"/>
      <w:bookmarkEnd w:id="166"/>
      <w:bookmarkEnd w:id="167"/>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25.1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评标将在严格保密的情况下进行。</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25.2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政府采购评审专家应当遵守评审工作纪律，不得泄露评审文件、评审情况和评审中获悉的商业秘密。</w:t>
      </w:r>
    </w:p>
    <w:p>
      <w:pPr>
        <w:pStyle w:val="2"/>
        <w:tabs>
          <w:tab w:val="left" w:pos="900"/>
        </w:tabs>
        <w:spacing w:before="0" w:line="240" w:lineRule="atLeast"/>
        <w:ind w:left="1079" w:leftChars="257" w:hanging="540"/>
        <w:rPr>
          <w:rFonts w:hint="eastAsia" w:ascii="仿宋" w:hAnsi="仿宋" w:eastAsia="仿宋" w:cs="仿宋"/>
          <w:color w:val="000000"/>
          <w:sz w:val="28"/>
          <w:highlight w:val="none"/>
        </w:rPr>
      </w:pPr>
      <w:bookmarkStart w:id="169" w:name="_Toc216582810"/>
      <w:bookmarkStart w:id="170" w:name="_Toc23904"/>
      <w:bookmarkStart w:id="171" w:name="_Toc12143"/>
      <w:bookmarkStart w:id="172" w:name="_Toc515647787"/>
      <w:bookmarkStart w:id="173" w:name="_Toc2153"/>
      <w:r>
        <w:rPr>
          <w:rFonts w:hint="eastAsia" w:ascii="仿宋" w:hAnsi="仿宋" w:eastAsia="仿宋" w:cs="仿宋"/>
          <w:color w:val="000000"/>
          <w:sz w:val="28"/>
          <w:highlight w:val="none"/>
        </w:rPr>
        <w:t xml:space="preserve">六   </w:t>
      </w:r>
      <w:bookmarkEnd w:id="168"/>
      <w:r>
        <w:rPr>
          <w:rFonts w:hint="eastAsia" w:ascii="仿宋" w:hAnsi="仿宋" w:eastAsia="仿宋" w:cs="仿宋"/>
          <w:color w:val="000000"/>
          <w:sz w:val="28"/>
          <w:highlight w:val="none"/>
        </w:rPr>
        <w:t>确定中标</w:t>
      </w:r>
      <w:bookmarkEnd w:id="169"/>
      <w:bookmarkEnd w:id="170"/>
      <w:bookmarkEnd w:id="171"/>
      <w:bookmarkEnd w:id="172"/>
      <w:bookmarkEnd w:id="173"/>
    </w:p>
    <w:p>
      <w:pPr>
        <w:pStyle w:val="4"/>
        <w:spacing w:before="0" w:after="0" w:line="240" w:lineRule="atLeast"/>
        <w:rPr>
          <w:rFonts w:hint="eastAsia" w:ascii="仿宋" w:hAnsi="仿宋" w:eastAsia="仿宋" w:cs="仿宋"/>
          <w:color w:val="000000"/>
          <w:highlight w:val="none"/>
          <w:u w:val="none"/>
        </w:rPr>
      </w:pPr>
      <w:bookmarkStart w:id="174" w:name="_Toc515647788"/>
      <w:bookmarkStart w:id="175" w:name="_Toc23762"/>
      <w:bookmarkStart w:id="176" w:name="_Toc520356170"/>
      <w:bookmarkStart w:id="177" w:name="_Toc28066"/>
      <w:bookmarkStart w:id="178" w:name="_Ref467307010"/>
      <w:bookmarkStart w:id="179" w:name="_Toc23617"/>
      <w:r>
        <w:rPr>
          <w:rFonts w:hint="eastAsia" w:ascii="仿宋" w:hAnsi="仿宋" w:eastAsia="仿宋" w:cs="仿宋"/>
          <w:color w:val="000000"/>
          <w:highlight w:val="none"/>
          <w:u w:val="none"/>
        </w:rPr>
        <w:t>26.中标候选人的确定原则及标准</w:t>
      </w:r>
      <w:bookmarkEnd w:id="174"/>
      <w:bookmarkEnd w:id="175"/>
      <w:bookmarkEnd w:id="176"/>
      <w:bookmarkEnd w:id="177"/>
      <w:bookmarkEnd w:id="178"/>
      <w:bookmarkEnd w:id="179"/>
    </w:p>
    <w:p>
      <w:pPr>
        <w:spacing w:line="240" w:lineRule="atLeast"/>
        <w:ind w:left="901"/>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除第28条规定外，对实质上响应招标文件的投标人按下列</w:t>
      </w:r>
      <w:r>
        <w:rPr>
          <w:rFonts w:hint="eastAsia" w:ascii="仿宋" w:hAnsi="仿宋" w:eastAsia="仿宋" w:cs="仿宋"/>
          <w:color w:val="000000"/>
          <w:sz w:val="24"/>
          <w:highlight w:val="none"/>
          <w:lang w:val="en-US" w:eastAsia="zh-CN"/>
        </w:rPr>
        <w:t>第（2）种</w:t>
      </w:r>
      <w:r>
        <w:rPr>
          <w:rFonts w:hint="eastAsia" w:ascii="仿宋" w:hAnsi="仿宋" w:eastAsia="仿宋" w:cs="仿宋"/>
          <w:color w:val="000000"/>
          <w:sz w:val="24"/>
          <w:highlight w:val="none"/>
        </w:rPr>
        <w:t>方法进行排序，确定投标候选人：</w:t>
      </w:r>
    </w:p>
    <w:p>
      <w:pPr>
        <w:spacing w:line="240" w:lineRule="atLeast"/>
        <w:ind w:left="901"/>
        <w:rPr>
          <w:rFonts w:hint="eastAsia" w:ascii="仿宋" w:hAnsi="仿宋" w:eastAsia="仿宋" w:cs="仿宋"/>
          <w:color w:val="000000"/>
          <w:sz w:val="24"/>
          <w:highlight w:val="none"/>
        </w:rPr>
      </w:pPr>
      <w:bookmarkStart w:id="180" w:name="_Toc520356171"/>
      <w:bookmarkStart w:id="181" w:name="_Toc515647789"/>
      <w:bookmarkStart w:id="182" w:name="_Toc19950"/>
      <w:bookmarkStart w:id="183" w:name="_Toc9653"/>
      <w:bookmarkStart w:id="184" w:name="_Toc23951"/>
      <w:r>
        <w:rPr>
          <w:rFonts w:hint="eastAsia" w:ascii="仿宋" w:hAnsi="仿宋" w:eastAsia="仿宋" w:cs="仿宋"/>
          <w:color w:val="000000"/>
          <w:sz w:val="24"/>
          <w:highlight w:val="none"/>
        </w:rPr>
        <w:t>（1）最低评标价法，是指投标文件满足招标文件全部实质性要求，且投标报价最低的投标人为中标候选人的评标方法。</w:t>
      </w:r>
    </w:p>
    <w:p>
      <w:pPr>
        <w:spacing w:line="240" w:lineRule="atLeast"/>
        <w:ind w:left="901"/>
        <w:rPr>
          <w:rFonts w:hint="eastAsia" w:ascii="宋体" w:hAnsi="宋体" w:eastAsia="宋体" w:cs="宋体"/>
          <w:b/>
          <w:bCs/>
          <w:color w:val="000000"/>
          <w:sz w:val="24"/>
          <w:highlight w:val="none"/>
          <w:lang w:eastAsia="zh-CN"/>
        </w:rPr>
      </w:pPr>
      <w:r>
        <w:rPr>
          <w:rFonts w:hint="eastAsia" w:ascii="仿宋" w:hAnsi="仿宋" w:eastAsia="仿宋" w:cs="仿宋"/>
          <w:b/>
          <w:bCs/>
          <w:color w:val="000000"/>
          <w:sz w:val="24"/>
          <w:highlight w:val="none"/>
        </w:rPr>
        <w:t>（2）综合评分法，是指投标文件满足招标文件全部实质性要求，且按照评审因素的量化指标评审得分最高的投标人为中标候选人的评标方法。</w:t>
      </w:r>
    </w:p>
    <w:p>
      <w:pPr>
        <w:pStyle w:val="4"/>
        <w:tabs>
          <w:tab w:val="left" w:pos="900"/>
        </w:tabs>
        <w:spacing w:before="0" w:after="0" w:line="240" w:lineRule="atLeast"/>
        <w:rPr>
          <w:rFonts w:hint="eastAsia" w:ascii="仿宋" w:hAnsi="仿宋" w:eastAsia="仿宋" w:cs="仿宋"/>
          <w:color w:val="000000"/>
          <w:highlight w:val="none"/>
          <w:u w:val="none"/>
        </w:rPr>
      </w:pPr>
      <w:r>
        <w:rPr>
          <w:rFonts w:hint="eastAsia" w:ascii="仿宋" w:hAnsi="仿宋" w:eastAsia="仿宋" w:cs="仿宋"/>
          <w:color w:val="000000"/>
          <w:highlight w:val="none"/>
          <w:u w:val="none"/>
        </w:rPr>
        <w:t>27</w:t>
      </w:r>
      <w:bookmarkEnd w:id="180"/>
      <w:r>
        <w:rPr>
          <w:rFonts w:hint="eastAsia" w:ascii="仿宋" w:hAnsi="仿宋" w:eastAsia="仿宋" w:cs="仿宋"/>
          <w:color w:val="000000"/>
          <w:highlight w:val="none"/>
          <w:u w:val="none"/>
        </w:rPr>
        <w:t>.确定中标候选人和中标人</w:t>
      </w:r>
      <w:bookmarkEnd w:id="181"/>
      <w:bookmarkEnd w:id="182"/>
      <w:bookmarkEnd w:id="183"/>
      <w:bookmarkEnd w:id="184"/>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评标委员会将根据评标标准，按</w:t>
      </w:r>
      <w:r>
        <w:rPr>
          <w:rFonts w:hint="eastAsia" w:ascii="仿宋" w:hAnsi="仿宋" w:eastAsia="仿宋" w:cs="仿宋"/>
          <w:color w:val="000000"/>
          <w:sz w:val="24"/>
          <w:highlight w:val="none"/>
          <w:u w:val="single"/>
        </w:rPr>
        <w:t>投标人须知资料表中</w:t>
      </w:r>
      <w:r>
        <w:rPr>
          <w:rFonts w:hint="eastAsia" w:ascii="仿宋" w:hAnsi="仿宋" w:eastAsia="仿宋" w:cs="仿宋"/>
          <w:color w:val="000000"/>
          <w:sz w:val="24"/>
          <w:highlight w:val="none"/>
        </w:rPr>
        <w:t>规定数量推荐中标候选人；或根据采购人的委托，直接确定中标人。</w:t>
      </w:r>
    </w:p>
    <w:p>
      <w:pPr>
        <w:pStyle w:val="4"/>
        <w:tabs>
          <w:tab w:val="left" w:pos="900"/>
        </w:tabs>
        <w:spacing w:before="0" w:after="0" w:line="240" w:lineRule="atLeast"/>
        <w:rPr>
          <w:rFonts w:hint="eastAsia" w:ascii="仿宋" w:hAnsi="仿宋" w:eastAsia="仿宋" w:cs="仿宋"/>
          <w:color w:val="000000"/>
          <w:highlight w:val="none"/>
          <w:u w:val="none"/>
        </w:rPr>
      </w:pPr>
      <w:bookmarkStart w:id="185" w:name="_Toc520356173"/>
      <w:bookmarkStart w:id="186" w:name="_Ref467306874"/>
      <w:bookmarkStart w:id="187" w:name="_Toc28562"/>
      <w:bookmarkStart w:id="188" w:name="_Toc8389"/>
      <w:bookmarkStart w:id="189" w:name="_Toc13782"/>
      <w:bookmarkStart w:id="190" w:name="_Toc515647790"/>
      <w:r>
        <w:rPr>
          <w:rFonts w:hint="eastAsia" w:ascii="仿宋" w:hAnsi="仿宋" w:eastAsia="仿宋" w:cs="仿宋"/>
          <w:color w:val="000000"/>
          <w:highlight w:val="none"/>
          <w:u w:val="none"/>
        </w:rPr>
        <w:t>28.</w:t>
      </w:r>
      <w:bookmarkEnd w:id="185"/>
      <w:bookmarkEnd w:id="186"/>
      <w:r>
        <w:rPr>
          <w:rFonts w:hint="eastAsia" w:ascii="仿宋" w:hAnsi="仿宋" w:eastAsia="仿宋" w:cs="仿宋"/>
          <w:color w:val="000000"/>
          <w:highlight w:val="none"/>
          <w:u w:val="none"/>
        </w:rPr>
        <w:t>采购任务取消</w:t>
      </w:r>
      <w:bookmarkEnd w:id="187"/>
      <w:bookmarkEnd w:id="188"/>
      <w:bookmarkEnd w:id="189"/>
      <w:bookmarkEnd w:id="190"/>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因重大变故采购任务取消时，采购人有权拒绝任何投标人中标，且对受影响的投标人不承担任何责任。</w:t>
      </w:r>
      <w:bookmarkStart w:id="191" w:name="_Toc520356174"/>
    </w:p>
    <w:p>
      <w:pPr>
        <w:pStyle w:val="4"/>
        <w:spacing w:before="0" w:after="0" w:line="240" w:lineRule="atLeast"/>
        <w:rPr>
          <w:rFonts w:hint="eastAsia" w:ascii="仿宋" w:hAnsi="仿宋" w:eastAsia="仿宋" w:cs="仿宋"/>
          <w:color w:val="000000"/>
          <w:highlight w:val="none"/>
          <w:u w:val="none"/>
        </w:rPr>
      </w:pPr>
      <w:bookmarkStart w:id="192" w:name="_Toc515647791"/>
      <w:bookmarkStart w:id="193" w:name="_Toc30170"/>
      <w:bookmarkStart w:id="194" w:name="_Toc31142"/>
      <w:bookmarkStart w:id="195" w:name="_Toc31099"/>
      <w:r>
        <w:rPr>
          <w:rFonts w:hint="eastAsia" w:ascii="仿宋" w:hAnsi="仿宋" w:eastAsia="仿宋" w:cs="仿宋"/>
          <w:color w:val="000000"/>
          <w:highlight w:val="none"/>
          <w:u w:val="none"/>
        </w:rPr>
        <w:t>29.中标通知书</w:t>
      </w:r>
      <w:bookmarkEnd w:id="191"/>
      <w:r>
        <w:rPr>
          <w:rFonts w:hint="eastAsia" w:ascii="仿宋" w:hAnsi="仿宋" w:eastAsia="仿宋" w:cs="仿宋"/>
          <w:color w:val="000000"/>
          <w:highlight w:val="none"/>
          <w:u w:val="none"/>
        </w:rPr>
        <w:t>和招标结果通知书</w:t>
      </w:r>
      <w:bookmarkEnd w:id="192"/>
      <w:bookmarkEnd w:id="193"/>
      <w:bookmarkEnd w:id="194"/>
      <w:bookmarkEnd w:id="195"/>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中标通知书是合同的组成部分。</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29.3    招标结果通知书和中标通知书同时发出。招标结果通知书中将告知未通过资格审查的投标人未通过的原因；采用综合评分法评审的，还将告知未中标人本人的评审得分和排序。</w:t>
      </w:r>
    </w:p>
    <w:p>
      <w:pPr>
        <w:pStyle w:val="4"/>
        <w:spacing w:before="0" w:after="0" w:line="240" w:lineRule="atLeast"/>
        <w:rPr>
          <w:rFonts w:hint="eastAsia" w:ascii="仿宋" w:hAnsi="仿宋" w:eastAsia="仿宋" w:cs="仿宋"/>
          <w:color w:val="000000"/>
          <w:highlight w:val="none"/>
          <w:u w:val="none"/>
        </w:rPr>
      </w:pPr>
      <w:bookmarkStart w:id="196" w:name="_Ref467307062"/>
      <w:bookmarkStart w:id="197" w:name="_Toc520356175"/>
      <w:bookmarkStart w:id="198" w:name="_Toc515647792"/>
      <w:bookmarkStart w:id="199" w:name="_Ref467306978"/>
      <w:bookmarkStart w:id="200" w:name="_Toc7779"/>
      <w:bookmarkStart w:id="201" w:name="_Ref467306377"/>
      <w:bookmarkStart w:id="202" w:name="_Toc14795"/>
      <w:bookmarkStart w:id="203" w:name="_Toc790"/>
      <w:bookmarkStart w:id="204" w:name="_Ref467307204"/>
      <w:r>
        <w:rPr>
          <w:rFonts w:hint="eastAsia" w:ascii="仿宋" w:hAnsi="仿宋" w:eastAsia="仿宋" w:cs="仿宋"/>
          <w:color w:val="000000"/>
          <w:highlight w:val="none"/>
          <w:u w:val="none"/>
        </w:rPr>
        <w:t>30.签订合同</w:t>
      </w:r>
      <w:bookmarkEnd w:id="196"/>
      <w:bookmarkEnd w:id="197"/>
      <w:bookmarkEnd w:id="198"/>
      <w:bookmarkEnd w:id="199"/>
      <w:bookmarkEnd w:id="200"/>
      <w:bookmarkEnd w:id="201"/>
      <w:bookmarkEnd w:id="202"/>
      <w:bookmarkEnd w:id="203"/>
      <w:bookmarkEnd w:id="204"/>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中标人应当自发出中标通知书之日起7日内，与采购人签订合同。</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30.2</w:t>
      </w:r>
      <w:r>
        <w:rPr>
          <w:rFonts w:hint="eastAsia" w:ascii="仿宋" w:hAnsi="仿宋" w:eastAsia="仿宋" w:cs="仿宋"/>
          <w:color w:val="000000"/>
          <w:sz w:val="24"/>
          <w:highlight w:val="none"/>
        </w:rPr>
        <w:tab/>
      </w:r>
      <w:bookmarkStart w:id="205" w:name="_Ref467306425"/>
      <w:bookmarkStart w:id="206" w:name="_Toc520356176"/>
      <w:bookmarkStart w:id="207" w:name="_Ref467307090"/>
      <w:r>
        <w:rPr>
          <w:rFonts w:hint="eastAsia" w:ascii="仿宋" w:hAnsi="仿宋" w:eastAsia="仿宋" w:cs="仿宋"/>
          <w:color w:val="000000"/>
          <w:sz w:val="24"/>
          <w:highlight w:val="none"/>
        </w:rPr>
        <w:t>招标文件、中标人的投标文件及其澄清文件等，均为签订合同的依据。</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30.4   当出现法规规定的</w:t>
      </w:r>
      <w:r>
        <w:rPr>
          <w:rFonts w:hint="eastAsia" w:ascii="仿宋" w:hAnsi="仿宋" w:eastAsia="仿宋" w:cs="仿宋"/>
          <w:b/>
          <w:color w:val="000000"/>
          <w:sz w:val="24"/>
          <w:highlight w:val="none"/>
        </w:rPr>
        <w:t>中标无效或中标结果无效</w:t>
      </w:r>
      <w:r>
        <w:rPr>
          <w:rFonts w:hint="eastAsia" w:ascii="仿宋" w:hAnsi="仿宋" w:eastAsia="仿宋" w:cs="仿宋"/>
          <w:color w:val="000000"/>
          <w:sz w:val="24"/>
          <w:highlight w:val="none"/>
        </w:rPr>
        <w:t>情形时，采购人可与排名下一位的中标候选人另行签订合同，或依法重新开展采购活动。</w:t>
      </w:r>
    </w:p>
    <w:p>
      <w:pPr>
        <w:pStyle w:val="4"/>
        <w:spacing w:before="0" w:after="0" w:line="240" w:lineRule="atLeast"/>
        <w:rPr>
          <w:rFonts w:hint="eastAsia" w:ascii="仿宋" w:hAnsi="仿宋" w:eastAsia="仿宋" w:cs="仿宋"/>
          <w:color w:val="000000"/>
          <w:highlight w:val="none"/>
          <w:u w:val="none"/>
        </w:rPr>
      </w:pPr>
      <w:bookmarkStart w:id="208" w:name="_Toc7188"/>
      <w:bookmarkStart w:id="209" w:name="_Toc515647793"/>
      <w:bookmarkStart w:id="210" w:name="_Toc14080"/>
      <w:bookmarkStart w:id="211" w:name="_Toc22555"/>
      <w:r>
        <w:rPr>
          <w:rFonts w:hint="eastAsia" w:ascii="仿宋" w:hAnsi="仿宋" w:eastAsia="仿宋" w:cs="仿宋"/>
          <w:color w:val="000000"/>
          <w:highlight w:val="none"/>
          <w:u w:val="none"/>
        </w:rPr>
        <w:t>31.履约保证金</w:t>
      </w:r>
      <w:bookmarkEnd w:id="205"/>
      <w:bookmarkEnd w:id="206"/>
      <w:bookmarkEnd w:id="207"/>
      <w:bookmarkEnd w:id="208"/>
      <w:bookmarkEnd w:id="209"/>
      <w:bookmarkEnd w:id="210"/>
      <w:bookmarkEnd w:id="211"/>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中标人应按照</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规定向采购人缴纳履约保证金（如采用保函形式，格式见本章附件1）。</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4"/>
        <w:spacing w:before="0" w:after="0" w:line="240" w:lineRule="atLeast"/>
        <w:rPr>
          <w:rFonts w:hint="eastAsia" w:ascii="仿宋" w:hAnsi="仿宋" w:eastAsia="仿宋" w:cs="仿宋"/>
          <w:color w:val="000000"/>
          <w:highlight w:val="none"/>
          <w:u w:val="none"/>
        </w:rPr>
      </w:pPr>
      <w:bookmarkStart w:id="212" w:name="_Toc515647794"/>
      <w:bookmarkStart w:id="213" w:name="_Toc31936"/>
      <w:bookmarkStart w:id="214" w:name="_Toc3090"/>
      <w:bookmarkStart w:id="215" w:name="_Toc29408"/>
      <w:r>
        <w:rPr>
          <w:rFonts w:hint="eastAsia" w:ascii="仿宋" w:hAnsi="仿宋" w:eastAsia="仿宋" w:cs="仿宋"/>
          <w:color w:val="000000"/>
          <w:highlight w:val="none"/>
          <w:u w:val="none"/>
        </w:rPr>
        <w:t>32.中标服务费</w:t>
      </w:r>
      <w:bookmarkEnd w:id="212"/>
      <w:bookmarkEnd w:id="213"/>
      <w:bookmarkEnd w:id="214"/>
      <w:bookmarkEnd w:id="215"/>
    </w:p>
    <w:p>
      <w:pPr>
        <w:spacing w:line="240" w:lineRule="atLeast"/>
        <w:ind w:left="840" w:leftChars="200" w:hanging="420" w:hangingChars="17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中标人须按照</w:t>
      </w:r>
      <w:r>
        <w:rPr>
          <w:rFonts w:hint="eastAsia" w:ascii="仿宋" w:hAnsi="仿宋" w:eastAsia="仿宋" w:cs="仿宋"/>
          <w:color w:val="000000"/>
          <w:sz w:val="24"/>
          <w:highlight w:val="none"/>
          <w:u w:val="single"/>
        </w:rPr>
        <w:t>投标须知资料表</w:t>
      </w:r>
      <w:r>
        <w:rPr>
          <w:rFonts w:hint="eastAsia" w:ascii="仿宋" w:hAnsi="仿宋" w:eastAsia="仿宋" w:cs="仿宋"/>
          <w:color w:val="000000"/>
          <w:sz w:val="24"/>
          <w:highlight w:val="none"/>
        </w:rPr>
        <w:t>规定，向采购代理机构支付中标服务费。</w:t>
      </w:r>
    </w:p>
    <w:p>
      <w:pPr>
        <w:pStyle w:val="4"/>
        <w:spacing w:before="0" w:after="0" w:line="240" w:lineRule="atLeast"/>
        <w:rPr>
          <w:rFonts w:hint="eastAsia" w:ascii="仿宋" w:hAnsi="仿宋" w:eastAsia="仿宋" w:cs="仿宋"/>
          <w:color w:val="000000"/>
          <w:highlight w:val="none"/>
          <w:u w:val="none"/>
        </w:rPr>
      </w:pPr>
      <w:bookmarkStart w:id="216" w:name="_Toc7049"/>
      <w:bookmarkStart w:id="217" w:name="_Toc515647795"/>
      <w:bookmarkStart w:id="218" w:name="_Toc6923"/>
      <w:bookmarkStart w:id="219" w:name="_Toc13588"/>
      <w:r>
        <w:rPr>
          <w:rFonts w:hint="eastAsia" w:ascii="仿宋" w:hAnsi="仿宋" w:eastAsia="仿宋" w:cs="仿宋"/>
          <w:color w:val="000000"/>
          <w:highlight w:val="none"/>
          <w:u w:val="none"/>
        </w:rPr>
        <w:t>33.政府采购信用担保</w:t>
      </w:r>
      <w:bookmarkEnd w:id="216"/>
      <w:bookmarkEnd w:id="217"/>
      <w:bookmarkEnd w:id="218"/>
      <w:bookmarkEnd w:id="219"/>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33.1   本项目是否属于信用担保试点范围见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pPr>
        <w:pStyle w:val="4"/>
        <w:spacing w:before="0" w:after="0" w:line="240" w:lineRule="atLeast"/>
        <w:rPr>
          <w:rFonts w:hint="eastAsia" w:ascii="仿宋" w:hAnsi="仿宋" w:eastAsia="仿宋" w:cs="仿宋"/>
          <w:color w:val="000000"/>
          <w:highlight w:val="none"/>
          <w:u w:val="none"/>
        </w:rPr>
      </w:pPr>
      <w:bookmarkStart w:id="220" w:name="_Toc23999"/>
      <w:bookmarkStart w:id="221" w:name="_Toc27198"/>
      <w:bookmarkStart w:id="222" w:name="_Toc2133"/>
      <w:bookmarkStart w:id="223" w:name="_Toc515647796"/>
      <w:r>
        <w:rPr>
          <w:rFonts w:hint="eastAsia" w:ascii="仿宋" w:hAnsi="仿宋" w:eastAsia="仿宋" w:cs="仿宋"/>
          <w:color w:val="000000"/>
          <w:highlight w:val="none"/>
          <w:u w:val="none"/>
        </w:rPr>
        <w:t>34.廉洁自律规定</w:t>
      </w:r>
      <w:bookmarkEnd w:id="220"/>
      <w:bookmarkEnd w:id="221"/>
      <w:bookmarkEnd w:id="222"/>
      <w:bookmarkEnd w:id="223"/>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color w:val="000000"/>
          <w:highlight w:val="none"/>
        </w:rPr>
      </w:pPr>
      <w:r>
        <w:rPr>
          <w:rFonts w:hint="eastAsia" w:ascii="仿宋" w:hAnsi="仿宋" w:eastAsia="仿宋" w:cs="仿宋"/>
          <w:color w:val="000000"/>
          <w:sz w:val="24"/>
          <w:highlight w:val="none"/>
        </w:rPr>
        <w:t>34.3   为强化采购代理机构内部监督机制，供应商可按投标人须知资料表中的监督电话和信箱，反映采购代理机构的廉洁自律等问题。</w:t>
      </w:r>
    </w:p>
    <w:p>
      <w:pPr>
        <w:pStyle w:val="4"/>
        <w:spacing w:before="0" w:after="0" w:line="240" w:lineRule="atLeast"/>
        <w:rPr>
          <w:rFonts w:hint="eastAsia" w:ascii="仿宋" w:hAnsi="仿宋" w:eastAsia="仿宋" w:cs="仿宋"/>
          <w:color w:val="000000"/>
          <w:highlight w:val="none"/>
          <w:u w:val="none"/>
        </w:rPr>
      </w:pPr>
      <w:bookmarkStart w:id="224" w:name="_Toc10437"/>
      <w:bookmarkStart w:id="225" w:name="_Toc11586"/>
      <w:bookmarkStart w:id="226" w:name="_Toc515647797"/>
      <w:bookmarkStart w:id="227" w:name="_Toc25480"/>
      <w:r>
        <w:rPr>
          <w:rFonts w:hint="eastAsia" w:ascii="仿宋" w:hAnsi="仿宋" w:eastAsia="仿宋" w:cs="仿宋"/>
          <w:color w:val="000000"/>
          <w:highlight w:val="none"/>
          <w:u w:val="none"/>
        </w:rPr>
        <w:t>35.人员回避</w:t>
      </w:r>
      <w:bookmarkEnd w:id="224"/>
      <w:bookmarkEnd w:id="225"/>
      <w:bookmarkEnd w:id="226"/>
      <w:bookmarkEnd w:id="227"/>
    </w:p>
    <w:p>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投标人认为采购人员及其相关人员有法律法规所列与其他供应商有利害关系的，可以向采购人或采购代理机构书面提出回避申请，并说明理由。</w:t>
      </w:r>
    </w:p>
    <w:p>
      <w:pPr>
        <w:pStyle w:val="4"/>
        <w:spacing w:before="0" w:after="0" w:line="240" w:lineRule="atLeast"/>
        <w:rPr>
          <w:rFonts w:hint="eastAsia" w:ascii="仿宋" w:hAnsi="仿宋" w:eastAsia="仿宋" w:cs="仿宋"/>
          <w:color w:val="000000"/>
          <w:highlight w:val="none"/>
          <w:u w:val="none"/>
        </w:rPr>
      </w:pPr>
      <w:bookmarkStart w:id="228" w:name="_Toc515647798"/>
      <w:bookmarkStart w:id="229" w:name="_Toc1148"/>
      <w:bookmarkStart w:id="230" w:name="_Toc10700"/>
      <w:bookmarkStart w:id="231" w:name="_Toc11115"/>
      <w:r>
        <w:rPr>
          <w:rFonts w:hint="eastAsia" w:ascii="仿宋" w:hAnsi="仿宋" w:eastAsia="仿宋" w:cs="仿宋"/>
          <w:color w:val="000000"/>
          <w:highlight w:val="none"/>
          <w:u w:val="none"/>
        </w:rPr>
        <w:t>36.质疑与接收</w:t>
      </w:r>
      <w:bookmarkEnd w:id="228"/>
      <w:bookmarkEnd w:id="229"/>
      <w:bookmarkEnd w:id="230"/>
      <w:bookmarkEnd w:id="231"/>
    </w:p>
    <w:p>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10"/>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10"/>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pPr>
        <w:pageBreakBefore w:val="0"/>
        <w:widowControl w:val="0"/>
        <w:kinsoku/>
        <w:wordWrap/>
        <w:overflowPunct/>
        <w:topLinePunct w:val="0"/>
        <w:bidi w:val="0"/>
        <w:spacing w:line="360" w:lineRule="exact"/>
        <w:ind w:left="718" w:leftChars="342"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pPr>
        <w:pageBreakBefore w:val="0"/>
        <w:widowControl w:val="0"/>
        <w:kinsoku/>
        <w:wordWrap/>
        <w:overflowPunct/>
        <w:topLinePunct w:val="0"/>
        <w:bidi w:val="0"/>
        <w:spacing w:line="360" w:lineRule="exact"/>
        <w:ind w:left="718" w:leftChars="342"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pPr>
        <w:pStyle w:val="10"/>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（六）答复质疑的日期。</w:t>
      </w:r>
    </w:p>
    <w:p>
      <w:pPr>
        <w:rPr>
          <w:rFonts w:hint="eastAsia" w:ascii="仿宋" w:hAnsi="仿宋" w:eastAsia="仿宋" w:cs="仿宋"/>
          <w:color w:val="auto"/>
          <w:sz w:val="24"/>
          <w:szCs w:val="24"/>
          <w:highlight w:val="none"/>
        </w:rPr>
      </w:pPr>
    </w:p>
    <w:p>
      <w:pPr>
        <w:pStyle w:val="26"/>
        <w:rPr>
          <w:rFonts w:hint="eastAsia" w:ascii="仿宋" w:hAnsi="仿宋" w:eastAsia="仿宋" w:cs="仿宋"/>
          <w:color w:val="auto"/>
          <w:sz w:val="24"/>
          <w:szCs w:val="24"/>
          <w:highlight w:val="none"/>
        </w:rPr>
      </w:pPr>
    </w:p>
    <w:p>
      <w:pPr>
        <w:pStyle w:val="9"/>
        <w:rPr>
          <w:rFonts w:hint="eastAsia" w:ascii="宋体" w:hAnsi="宋体" w:eastAsia="宋体" w:cs="宋体"/>
          <w:color w:val="auto"/>
          <w:sz w:val="24"/>
          <w:szCs w:val="24"/>
          <w:highlight w:val="none"/>
        </w:rPr>
      </w:pPr>
    </w:p>
    <w:p>
      <w:pPr>
        <w:pStyle w:val="3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6"/>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3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6"/>
        <w:rPr>
          <w:rFonts w:hint="eastAsia"/>
        </w:rPr>
      </w:pPr>
    </w:p>
    <w:p>
      <w:pPr>
        <w:pStyle w:val="26"/>
        <w:rPr>
          <w:rFonts w:hint="eastAsia" w:ascii="宋体" w:hAnsi="宋体" w:eastAsia="宋体" w:cs="宋体"/>
          <w:color w:val="auto"/>
          <w:sz w:val="24"/>
          <w:szCs w:val="24"/>
          <w:highlight w:val="none"/>
        </w:rPr>
      </w:pPr>
    </w:p>
    <w:p>
      <w:pPr>
        <w:pStyle w:val="9"/>
        <w:rPr>
          <w:rFonts w:hint="eastAsia" w:ascii="宋体" w:hAnsi="宋体" w:eastAsia="宋体" w:cs="宋体"/>
          <w:color w:val="auto"/>
          <w:sz w:val="24"/>
          <w:szCs w:val="24"/>
          <w:highlight w:val="none"/>
        </w:rPr>
      </w:pPr>
    </w:p>
    <w:p>
      <w:pPr>
        <w:pStyle w:val="37"/>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6"/>
        <w:rPr>
          <w:rFonts w:hint="eastAsia"/>
        </w:rPr>
      </w:pPr>
    </w:p>
    <w:p>
      <w:pPr>
        <w:rPr>
          <w:rFonts w:hint="eastAsia" w:ascii="宋体" w:hAnsi="宋体" w:eastAsia="宋体" w:cs="宋体"/>
          <w:color w:val="auto"/>
          <w:sz w:val="24"/>
          <w:szCs w:val="24"/>
          <w:highlight w:val="none"/>
        </w:rPr>
      </w:pPr>
    </w:p>
    <w:p>
      <w:pPr>
        <w:pStyle w:val="26"/>
        <w:rPr>
          <w:rFonts w:hint="eastAsia" w:ascii="宋体" w:hAnsi="宋体" w:eastAsia="宋体" w:cs="宋体"/>
          <w:color w:val="auto"/>
          <w:sz w:val="24"/>
          <w:szCs w:val="24"/>
          <w:highlight w:val="none"/>
        </w:rPr>
      </w:pPr>
    </w:p>
    <w:p>
      <w:pPr>
        <w:pStyle w:val="9"/>
        <w:rPr>
          <w:rFonts w:hint="eastAsia"/>
        </w:rPr>
      </w:pPr>
    </w:p>
    <w:p>
      <w:pPr>
        <w:pStyle w:val="10"/>
        <w:pageBreakBefore w:val="0"/>
        <w:widowControl w:val="0"/>
        <w:kinsoku/>
        <w:wordWrap/>
        <w:overflowPunct/>
        <w:topLinePunct w:val="0"/>
        <w:bidi w:val="0"/>
        <w:spacing w:line="360" w:lineRule="exact"/>
        <w:ind w:left="0" w:leftChars="0"/>
        <w:textAlignment w:val="auto"/>
        <w:rPr>
          <w:rFonts w:hint="eastAsia" w:ascii="宋体" w:hAnsi="宋体" w:eastAsia="宋体" w:cs="宋体"/>
          <w:color w:val="auto"/>
          <w:sz w:val="24"/>
          <w:szCs w:val="24"/>
          <w:highlight w:val="none"/>
        </w:rPr>
      </w:pPr>
    </w:p>
    <w:p>
      <w:pPr>
        <w:pageBreakBefore w:val="0"/>
        <w:kinsoku/>
        <w:wordWrap/>
        <w:overflowPunct/>
        <w:topLinePunct w:val="0"/>
        <w:bidi w:val="0"/>
        <w:spacing w:line="360" w:lineRule="exact"/>
        <w:ind w:left="0" w:leftChars="0"/>
        <w:jc w:val="center"/>
        <w:textAlignment w:val="auto"/>
        <w:outlineLvl w:val="2"/>
        <w:rPr>
          <w:rFonts w:hint="eastAsia" w:ascii="仿宋" w:hAnsi="仿宋" w:eastAsia="仿宋" w:cs="仿宋"/>
          <w:b/>
          <w:bCs/>
          <w:color w:val="auto"/>
          <w:sz w:val="24"/>
          <w:szCs w:val="24"/>
          <w:highlight w:val="none"/>
        </w:rPr>
      </w:pPr>
      <w:bookmarkStart w:id="232" w:name="_Toc13021"/>
      <w:bookmarkStart w:id="233" w:name="_Toc27096"/>
      <w:bookmarkStart w:id="234" w:name="_Toc3696"/>
      <w:bookmarkStart w:id="235" w:name="_Toc27601"/>
      <w:bookmarkStart w:id="236" w:name="_Toc24946"/>
      <w:bookmarkStart w:id="237" w:name="_Toc2072"/>
      <w:bookmarkStart w:id="238" w:name="_Toc16652"/>
      <w:bookmarkStart w:id="239" w:name="_Toc4981"/>
      <w:bookmarkStart w:id="240" w:name="_Toc30512"/>
      <w:bookmarkStart w:id="241" w:name="_Toc2799"/>
      <w:bookmarkStart w:id="242" w:name="_Toc11297"/>
      <w:bookmarkStart w:id="243" w:name="_Toc9437"/>
      <w:bookmarkStart w:id="244" w:name="_Toc23411"/>
      <w:bookmarkStart w:id="245" w:name="_Toc27146"/>
      <w:bookmarkStart w:id="246" w:name="_Toc30855"/>
      <w:bookmarkStart w:id="247" w:name="_Toc14742"/>
      <w:bookmarkStart w:id="248" w:name="_Toc8353"/>
      <w:bookmarkStart w:id="249" w:name="_Toc16553"/>
      <w:bookmarkStart w:id="250" w:name="_Toc1369"/>
      <w:bookmarkStart w:id="251" w:name="_Toc25636"/>
      <w:bookmarkStart w:id="252" w:name="_Toc1819"/>
      <w:bookmarkStart w:id="253" w:name="_Toc11973"/>
      <w:bookmarkStart w:id="254" w:name="_Toc30093"/>
      <w:bookmarkStart w:id="255" w:name="_Toc6493"/>
      <w:bookmarkStart w:id="256" w:name="_Toc22908"/>
      <w:bookmarkStart w:id="257" w:name="_Toc12088"/>
      <w:bookmarkStart w:id="258" w:name="_Toc5602"/>
      <w:bookmarkStart w:id="259" w:name="_Toc18518"/>
      <w:bookmarkStart w:id="260" w:name="_Toc2500"/>
      <w:r>
        <w:rPr>
          <w:rFonts w:hint="eastAsia" w:ascii="仿宋" w:hAnsi="仿宋" w:eastAsia="仿宋" w:cs="仿宋"/>
          <w:b/>
          <w:bCs/>
          <w:color w:val="auto"/>
          <w:sz w:val="24"/>
          <w:szCs w:val="24"/>
          <w:highlight w:val="none"/>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pPr>
        <w:pageBreakBefore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pPr>
        <w:pageBreakBefore w:val="0"/>
        <w:kinsoku/>
        <w:wordWrap/>
        <w:overflowPunct/>
        <w:topLinePunct w:val="0"/>
        <w:bidi w:val="0"/>
        <w:spacing w:line="360" w:lineRule="exact"/>
        <w:ind w:left="0" w:leftChars="0"/>
        <w:textAlignment w:val="auto"/>
        <w:rPr>
          <w:rFonts w:hint="eastAsia" w:ascii="仿宋" w:hAnsi="仿宋" w:eastAsia="仿宋" w:cs="仿宋"/>
          <w:b/>
          <w:color w:val="auto"/>
          <w:sz w:val="24"/>
          <w:szCs w:val="24"/>
          <w:highlight w:val="none"/>
        </w:rPr>
      </w:pPr>
    </w:p>
    <w:p>
      <w:pPr>
        <w:pageBreakBefore w:val="0"/>
        <w:kinsoku/>
        <w:wordWrap/>
        <w:overflowPunct/>
        <w:topLinePunct w:val="0"/>
        <w:bidi w:val="0"/>
        <w:spacing w:line="36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spacing w:line="240" w:lineRule="atLeast"/>
        <w:ind w:left="850" w:leftChars="68" w:hanging="708" w:hangingChars="295"/>
        <w:rPr>
          <w:rFonts w:hint="eastAsia" w:ascii="仿宋" w:hAnsi="仿宋" w:eastAsia="仿宋" w:cs="仿宋"/>
          <w:color w:val="000000"/>
          <w:sz w:val="24"/>
          <w:highlight w:val="none"/>
        </w:rPr>
      </w:pPr>
    </w:p>
    <w:p>
      <w:pPr>
        <w:pStyle w:val="2"/>
        <w:spacing w:before="0" w:line="360" w:lineRule="exact"/>
        <w:rPr>
          <w:rFonts w:hint="eastAsia" w:ascii="仿宋" w:hAnsi="仿宋" w:eastAsia="仿宋" w:cs="仿宋"/>
          <w:szCs w:val="24"/>
          <w:lang w:eastAsia="zh-CN"/>
        </w:rPr>
      </w:pPr>
      <w:bookmarkStart w:id="261" w:name="_Toc23883"/>
      <w:bookmarkStart w:id="262" w:name="_Toc518923103"/>
      <w:r>
        <w:rPr>
          <w:rFonts w:hint="eastAsia" w:ascii="仿宋" w:hAnsi="仿宋" w:eastAsia="仿宋" w:cs="仿宋"/>
          <w:szCs w:val="24"/>
        </w:rPr>
        <w:t>附件1：履约保证金保函（格式）</w:t>
      </w:r>
      <w:bookmarkEnd w:id="261"/>
      <w:bookmarkEnd w:id="262"/>
    </w:p>
    <w:p>
      <w:pPr>
        <w:pStyle w:val="16"/>
        <w:spacing w:line="360" w:lineRule="exact"/>
        <w:ind w:left="1079" w:leftChars="257" w:hanging="540"/>
        <w:rPr>
          <w:rFonts w:hint="eastAsia" w:ascii="仿宋" w:hAnsi="仿宋" w:eastAsia="仿宋" w:cs="仿宋"/>
          <w:b/>
          <w:sz w:val="24"/>
        </w:rPr>
      </w:pPr>
      <w:r>
        <w:rPr>
          <w:rFonts w:hint="eastAsia" w:ascii="仿宋" w:hAnsi="仿宋" w:eastAsia="仿宋" w:cs="仿宋"/>
          <w:b/>
          <w:sz w:val="24"/>
        </w:rPr>
        <w:t xml:space="preserve">                         （中标后开具）</w:t>
      </w:r>
    </w:p>
    <w:p>
      <w:pPr>
        <w:pStyle w:val="16"/>
        <w:spacing w:line="360" w:lineRule="exact"/>
        <w:ind w:left="1079" w:leftChars="257" w:hanging="540"/>
        <w:rPr>
          <w:rFonts w:hint="eastAsia" w:ascii="仿宋" w:hAnsi="仿宋" w:eastAsia="仿宋" w:cs="仿宋"/>
          <w:b/>
          <w:sz w:val="24"/>
        </w:rPr>
      </w:pPr>
    </w:p>
    <w:p>
      <w:pPr>
        <w:pStyle w:val="16"/>
        <w:spacing w:line="360" w:lineRule="exac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6"/>
        <w:spacing w:line="360" w:lineRule="exac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6"/>
        <w:spacing w:line="360" w:lineRule="exact"/>
        <w:ind w:left="1079" w:leftChars="257" w:hanging="540"/>
        <w:jc w:val="center"/>
        <w:rPr>
          <w:rFonts w:hint="eastAsia" w:ascii="仿宋" w:hAnsi="仿宋" w:eastAsia="仿宋" w:cs="仿宋"/>
          <w:sz w:val="24"/>
        </w:rPr>
      </w:pPr>
    </w:p>
    <w:p>
      <w:pPr>
        <w:pStyle w:val="16"/>
        <w:spacing w:line="360" w:lineRule="exac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6"/>
        <w:spacing w:line="360" w:lineRule="exac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6"/>
        <w:spacing w:line="360" w:lineRule="exac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6"/>
        <w:spacing w:line="360" w:lineRule="exac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6"/>
        <w:spacing w:line="360" w:lineRule="exac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6"/>
        <w:spacing w:line="360" w:lineRule="exac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6"/>
        <w:spacing w:line="360" w:lineRule="exact"/>
        <w:ind w:left="1079" w:leftChars="257" w:hanging="540"/>
        <w:rPr>
          <w:rFonts w:hint="eastAsia" w:ascii="仿宋" w:hAnsi="仿宋" w:eastAsia="仿宋" w:cs="仿宋"/>
          <w:sz w:val="24"/>
        </w:rPr>
      </w:pPr>
    </w:p>
    <w:p>
      <w:pPr>
        <w:pStyle w:val="16"/>
        <w:spacing w:line="360" w:lineRule="exact"/>
        <w:ind w:left="1079" w:leftChars="257" w:hanging="540"/>
        <w:rPr>
          <w:rFonts w:hint="eastAsia" w:ascii="仿宋" w:hAnsi="仿宋" w:eastAsia="仿宋" w:cs="仿宋"/>
          <w:sz w:val="24"/>
        </w:rPr>
      </w:pPr>
      <w:r>
        <w:rPr>
          <w:rFonts w:hint="eastAsia" w:ascii="仿宋" w:hAnsi="仿宋" w:eastAsia="仿宋" w:cs="仿宋"/>
          <w:sz w:val="24"/>
        </w:rPr>
        <w:t>谨启</w:t>
      </w:r>
    </w:p>
    <w:p>
      <w:pPr>
        <w:pStyle w:val="16"/>
        <w:spacing w:line="360" w:lineRule="exac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6"/>
        <w:spacing w:line="360" w:lineRule="exac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6"/>
        <w:spacing w:line="360" w:lineRule="exac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6"/>
        <w:spacing w:line="360" w:lineRule="exac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2"/>
        <w:spacing w:before="0" w:line="360" w:lineRule="exact"/>
        <w:ind w:left="1079" w:leftChars="257" w:hanging="540"/>
        <w:rPr>
          <w:rFonts w:hint="eastAsia" w:ascii="仿宋" w:hAnsi="仿宋" w:eastAsia="仿宋" w:cs="仿宋"/>
          <w:szCs w:val="24"/>
        </w:rPr>
      </w:pPr>
      <w:r>
        <w:rPr>
          <w:rFonts w:hint="eastAsia" w:ascii="仿宋" w:hAnsi="仿宋" w:eastAsia="仿宋" w:cs="仿宋"/>
        </w:rPr>
        <w:br w:type="page"/>
      </w:r>
      <w:bookmarkStart w:id="263" w:name="_Toc518923104"/>
      <w:bookmarkStart w:id="264" w:name="_Toc27788"/>
      <w:r>
        <w:rPr>
          <w:rFonts w:hint="eastAsia" w:ascii="仿宋" w:hAnsi="仿宋" w:eastAsia="仿宋" w:cs="仿宋"/>
          <w:szCs w:val="24"/>
        </w:rPr>
        <w:t>附件2：履约担保函格式</w:t>
      </w:r>
      <w:bookmarkEnd w:id="263"/>
      <w:bookmarkEnd w:id="264"/>
    </w:p>
    <w:p>
      <w:pPr>
        <w:pStyle w:val="2"/>
        <w:spacing w:before="0" w:line="360" w:lineRule="exact"/>
        <w:ind w:left="1079" w:leftChars="257" w:hanging="540"/>
        <w:rPr>
          <w:rFonts w:hint="eastAsia" w:ascii="仿宋" w:hAnsi="仿宋" w:eastAsia="仿宋" w:cs="仿宋"/>
          <w:b w:val="0"/>
        </w:rPr>
      </w:pPr>
      <w:bookmarkStart w:id="265" w:name="_Toc515904842"/>
      <w:bookmarkStart w:id="266" w:name="_Toc30995"/>
      <w:bookmarkStart w:id="267" w:name="_Toc518923105"/>
      <w:r>
        <w:rPr>
          <w:rFonts w:hint="eastAsia" w:ascii="仿宋" w:hAnsi="仿宋" w:eastAsia="仿宋" w:cs="仿宋"/>
          <w:szCs w:val="24"/>
        </w:rPr>
        <w:t>（采用政府采购信用担保形式时使用）</w:t>
      </w:r>
      <w:bookmarkEnd w:id="265"/>
      <w:bookmarkEnd w:id="266"/>
      <w:bookmarkEnd w:id="267"/>
    </w:p>
    <w:p>
      <w:pPr>
        <w:spacing w:line="360" w:lineRule="exact"/>
        <w:ind w:left="1079" w:leftChars="257" w:hanging="540"/>
        <w:rPr>
          <w:rFonts w:hint="eastAsia" w:ascii="仿宋" w:hAnsi="仿宋" w:eastAsia="仿宋" w:cs="仿宋"/>
          <w:b/>
          <w:kern w:val="0"/>
          <w:sz w:val="24"/>
          <w:szCs w:val="20"/>
        </w:rPr>
      </w:pPr>
    </w:p>
    <w:p>
      <w:pPr>
        <w:spacing w:line="360" w:lineRule="exact"/>
        <w:jc w:val="center"/>
        <w:rPr>
          <w:rFonts w:hint="eastAsia" w:ascii="仿宋" w:hAnsi="仿宋" w:eastAsia="仿宋" w:cs="仿宋"/>
          <w:sz w:val="24"/>
        </w:rPr>
      </w:pPr>
      <w:r>
        <w:rPr>
          <w:rFonts w:hint="eastAsia" w:ascii="仿宋" w:hAnsi="仿宋" w:eastAsia="仿宋" w:cs="仿宋"/>
          <w:sz w:val="24"/>
        </w:rPr>
        <w:t>政府采购履约担保函（项目用）</w:t>
      </w:r>
    </w:p>
    <w:p>
      <w:pPr>
        <w:spacing w:line="360" w:lineRule="exact"/>
        <w:rPr>
          <w:rFonts w:hint="eastAsia" w:ascii="仿宋" w:hAnsi="仿宋" w:eastAsia="仿宋" w:cs="仿宋"/>
          <w:sz w:val="24"/>
        </w:rPr>
      </w:pPr>
      <w:r>
        <w:rPr>
          <w:rFonts w:hint="eastAsia" w:ascii="仿宋" w:hAnsi="仿宋" w:eastAsia="仿宋" w:cs="仿宋"/>
          <w:sz w:val="24"/>
        </w:rPr>
        <w:t xml:space="preserve">                                                   编号：</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spacing w:line="360" w:lineRule="exact"/>
        <w:rPr>
          <w:rFonts w:hint="eastAsia" w:ascii="仿宋" w:hAnsi="仿宋" w:eastAsia="仿宋" w:cs="仿宋"/>
          <w:sz w:val="24"/>
        </w:rPr>
      </w:pP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pPr>
        <w:spacing w:line="36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spacing w:line="360" w:lineRule="exact"/>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五、免责条款</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六、争议的解决</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七、保函的生效</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 xml:space="preserve">                                      </w:t>
      </w:r>
    </w:p>
    <w:p>
      <w:pPr>
        <w:spacing w:line="360" w:lineRule="exact"/>
        <w:ind w:firstLine="5400" w:firstLineChars="2250"/>
        <w:rPr>
          <w:rFonts w:hint="eastAsia" w:ascii="仿宋" w:hAnsi="仿宋" w:eastAsia="仿宋" w:cs="仿宋"/>
          <w:sz w:val="24"/>
        </w:rPr>
      </w:pPr>
      <w:r>
        <w:rPr>
          <w:rFonts w:hint="eastAsia" w:ascii="仿宋" w:hAnsi="仿宋" w:eastAsia="仿宋" w:cs="仿宋"/>
          <w:sz w:val="24"/>
        </w:rPr>
        <w:t>保证人：（公章）</w:t>
      </w:r>
    </w:p>
    <w:p>
      <w:pPr>
        <w:spacing w:line="360" w:lineRule="exact"/>
        <w:rPr>
          <w:rFonts w:hint="eastAsia" w:ascii="仿宋" w:hAnsi="仿宋" w:eastAsia="仿宋" w:cs="仿宋"/>
          <w:sz w:val="24"/>
        </w:rPr>
      </w:pPr>
      <w:r>
        <w:rPr>
          <w:rFonts w:hint="eastAsia" w:ascii="仿宋" w:hAnsi="仿宋" w:eastAsia="仿宋" w:cs="仿宋"/>
          <w:sz w:val="24"/>
        </w:rPr>
        <w:t xml:space="preserve">                   </w:t>
      </w:r>
    </w:p>
    <w:p>
      <w:pPr>
        <w:spacing w:line="360" w:lineRule="exact"/>
        <w:rPr>
          <w:rFonts w:hint="eastAsia" w:ascii="仿宋" w:hAnsi="仿宋" w:eastAsia="仿宋" w:cs="仿宋"/>
          <w:sz w:val="24"/>
        </w:rPr>
      </w:pPr>
      <w:r>
        <w:rPr>
          <w:rFonts w:hint="eastAsia" w:ascii="仿宋" w:hAnsi="仿宋" w:eastAsia="仿宋" w:cs="仿宋"/>
          <w:sz w:val="24"/>
        </w:rPr>
        <w:t xml:space="preserve">                                                   年     月      日</w:t>
      </w:r>
    </w:p>
    <w:p>
      <w:pPr>
        <w:pStyle w:val="6"/>
        <w:spacing w:line="360" w:lineRule="exact"/>
        <w:ind w:firstLine="0"/>
        <w:rPr>
          <w:rFonts w:hint="eastAsia" w:hAnsi="宋体" w:cs="宋体"/>
          <w:kern w:val="2"/>
          <w:szCs w:val="24"/>
        </w:rPr>
      </w:pPr>
    </w:p>
    <w:p>
      <w:pPr>
        <w:pStyle w:val="6"/>
        <w:spacing w:line="360" w:lineRule="exact"/>
        <w:ind w:firstLine="0"/>
        <w:rPr>
          <w:rFonts w:hint="eastAsia" w:hAnsi="宋体" w:cs="宋体"/>
          <w:kern w:val="2"/>
          <w:szCs w:val="24"/>
        </w:rPr>
      </w:pPr>
    </w:p>
    <w:p>
      <w:pPr>
        <w:pStyle w:val="6"/>
        <w:spacing w:line="360" w:lineRule="exact"/>
        <w:ind w:firstLine="0"/>
        <w:rPr>
          <w:rFonts w:hint="eastAsia" w:hAnsi="宋体" w:cs="宋体"/>
          <w:kern w:val="2"/>
          <w:szCs w:val="24"/>
        </w:rPr>
      </w:pPr>
    </w:p>
    <w:p>
      <w:pPr>
        <w:pStyle w:val="6"/>
        <w:spacing w:line="360" w:lineRule="exact"/>
        <w:ind w:firstLine="0"/>
        <w:rPr>
          <w:rFonts w:hint="eastAsia" w:hAnsi="宋体" w:cs="宋体"/>
          <w:kern w:val="2"/>
          <w:szCs w:val="24"/>
        </w:rPr>
      </w:pPr>
    </w:p>
    <w:p>
      <w:pPr>
        <w:pStyle w:val="3"/>
        <w:numPr>
          <w:ilvl w:val="0"/>
          <w:numId w:val="1"/>
        </w:numPr>
        <w:spacing w:before="0" w:after="0" w:line="240" w:lineRule="atLeast"/>
        <w:ind w:left="4440" w:leftChars="0" w:firstLineChars="0"/>
        <w:jc w:val="both"/>
        <w:rPr>
          <w:rFonts w:hint="eastAsia" w:ascii="仿宋" w:hAnsi="仿宋" w:eastAsia="仿宋" w:cs="仿宋"/>
          <w:color w:val="000000"/>
          <w:highlight w:val="none"/>
        </w:rPr>
      </w:pPr>
      <w:r>
        <w:rPr>
          <w:rFonts w:hint="eastAsia" w:ascii="仿宋" w:hAnsi="仿宋" w:eastAsia="仿宋" w:cs="仿宋"/>
          <w:b w:val="0"/>
          <w:color w:val="000000"/>
          <w:highlight w:val="none"/>
        </w:rPr>
        <w:br w:type="page"/>
      </w:r>
      <w:bookmarkStart w:id="268" w:name="_Toc728"/>
      <w:bookmarkStart w:id="269" w:name="_Toc216582812"/>
      <w:bookmarkStart w:id="270" w:name="_Toc702"/>
      <w:bookmarkStart w:id="271" w:name="_Toc19692"/>
      <w:bookmarkStart w:id="272" w:name="_Toc515647802"/>
      <w:r>
        <w:rPr>
          <w:rFonts w:hint="eastAsia" w:ascii="仿宋" w:hAnsi="仿宋" w:eastAsia="仿宋" w:cs="仿宋"/>
          <w:color w:val="000000"/>
          <w:highlight w:val="none"/>
        </w:rPr>
        <w:t>投标文件格式</w:t>
      </w:r>
      <w:bookmarkEnd w:id="268"/>
      <w:bookmarkEnd w:id="269"/>
      <w:bookmarkEnd w:id="270"/>
      <w:bookmarkEnd w:id="271"/>
      <w:bookmarkEnd w:id="272"/>
    </w:p>
    <w:p>
      <w:pPr>
        <w:spacing w:line="240" w:lineRule="atLeast"/>
        <w:ind w:left="735" w:leftChars="350" w:firstLine="120" w:firstLineChars="50"/>
        <w:rPr>
          <w:rFonts w:hint="eastAsia" w:ascii="仿宋" w:hAnsi="仿宋" w:eastAsia="仿宋" w:cs="仿宋"/>
          <w:color w:val="000000"/>
          <w:sz w:val="24"/>
          <w:highlight w:val="none"/>
        </w:rPr>
      </w:pPr>
    </w:p>
    <w:p>
      <w:pPr>
        <w:pStyle w:val="2"/>
        <w:spacing w:before="0" w:line="240" w:lineRule="atLeast"/>
        <w:ind w:left="1079" w:leftChars="257" w:hanging="540"/>
        <w:rPr>
          <w:rFonts w:hint="eastAsia" w:ascii="仿宋" w:hAnsi="仿宋" w:eastAsia="仿宋" w:cs="仿宋"/>
          <w:color w:val="000000"/>
          <w:sz w:val="24"/>
          <w:highlight w:val="none"/>
        </w:rPr>
      </w:pPr>
      <w:bookmarkStart w:id="273" w:name="_Toc515647803"/>
      <w:bookmarkStart w:id="274" w:name="_Toc6220"/>
      <w:bookmarkStart w:id="275" w:name="_Toc18694"/>
      <w:bookmarkStart w:id="276" w:name="_Toc18974"/>
      <w:r>
        <w:rPr>
          <w:rFonts w:hint="eastAsia" w:ascii="仿宋" w:hAnsi="仿宋" w:eastAsia="仿宋" w:cs="仿宋"/>
          <w:color w:val="000000"/>
          <w:sz w:val="24"/>
          <w:highlight w:val="none"/>
        </w:rPr>
        <w:t>第一部分 开标一览表及资格证明文件</w:t>
      </w:r>
      <w:bookmarkEnd w:id="273"/>
      <w:bookmarkEnd w:id="274"/>
      <w:bookmarkEnd w:id="275"/>
      <w:bookmarkEnd w:id="276"/>
    </w:p>
    <w:p>
      <w:pPr>
        <w:spacing w:line="240" w:lineRule="atLeast"/>
        <w:ind w:left="708" w:hanging="708" w:hangingChars="295"/>
        <w:jc w:val="center"/>
        <w:rPr>
          <w:rFonts w:hint="eastAsia" w:ascii="仿宋" w:hAnsi="仿宋" w:eastAsia="仿宋" w:cs="仿宋"/>
          <w:color w:val="000000"/>
          <w:sz w:val="24"/>
          <w:highlight w:val="none"/>
        </w:rPr>
      </w:pPr>
    </w:p>
    <w:p>
      <w:pPr>
        <w:tabs>
          <w:tab w:val="left" w:pos="5580"/>
        </w:tabs>
        <w:spacing w:line="3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1、开标一览表（附件</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w:t>
      </w:r>
    </w:p>
    <w:p>
      <w:pPr>
        <w:spacing w:line="360" w:lineRule="exact"/>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w:t>
      </w:r>
      <w:r>
        <w:rPr>
          <w:rFonts w:hint="eastAsia" w:ascii="仿宋" w:hAnsi="仿宋" w:eastAsia="仿宋" w:cs="仿宋"/>
          <w:bCs/>
          <w:color w:val="000000"/>
          <w:kern w:val="0"/>
          <w:sz w:val="24"/>
          <w:highlight w:val="none"/>
          <w:lang w:val="en-US" w:eastAsia="zh-CN"/>
        </w:rPr>
        <w:t>单位三证合一营业执照（事业单位法人证书）</w:t>
      </w:r>
      <w:r>
        <w:rPr>
          <w:rFonts w:hint="eastAsia" w:ascii="仿宋" w:hAnsi="仿宋" w:eastAsia="仿宋" w:cs="仿宋"/>
          <w:bCs/>
          <w:color w:val="000000"/>
          <w:kern w:val="0"/>
          <w:sz w:val="24"/>
          <w:highlight w:val="none"/>
        </w:rPr>
        <w:t>；</w:t>
      </w:r>
    </w:p>
    <w:p>
      <w:pPr>
        <w:spacing w:line="360" w:lineRule="exact"/>
        <w:rPr>
          <w:rFonts w:hint="eastAsia" w:ascii="仿宋" w:hAnsi="仿宋" w:eastAsia="仿宋" w:cs="仿宋"/>
          <w:b/>
          <w:color w:val="000000"/>
          <w:sz w:val="24"/>
          <w:highlight w:val="none"/>
        </w:rPr>
      </w:pPr>
      <w:r>
        <w:rPr>
          <w:rFonts w:hint="eastAsia" w:ascii="仿宋" w:hAnsi="仿宋" w:eastAsia="仿宋" w:cs="仿宋"/>
          <w:bCs/>
          <w:color w:val="000000"/>
          <w:kern w:val="0"/>
          <w:sz w:val="24"/>
          <w:highlight w:val="none"/>
          <w:lang w:val="en-US" w:eastAsia="zh-CN"/>
        </w:rPr>
        <w:t>3</w:t>
      </w:r>
      <w:r>
        <w:rPr>
          <w:rFonts w:hint="eastAsia" w:ascii="仿宋" w:hAnsi="仿宋" w:eastAsia="仿宋" w:cs="仿宋"/>
          <w:bCs/>
          <w:color w:val="000000"/>
          <w:kern w:val="0"/>
          <w:sz w:val="24"/>
          <w:highlight w:val="none"/>
        </w:rPr>
        <w:t>、</w:t>
      </w:r>
      <w:r>
        <w:rPr>
          <w:rFonts w:hint="eastAsia" w:ascii="仿宋" w:hAnsi="仿宋" w:eastAsia="仿宋" w:cs="仿宋"/>
          <w:bCs/>
          <w:color w:val="000000"/>
          <w:sz w:val="24"/>
          <w:highlight w:val="none"/>
        </w:rPr>
        <w:t>法定代表人身份证明书</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kern w:val="0"/>
          <w:sz w:val="24"/>
          <w:highlight w:val="none"/>
        </w:rPr>
        <w:t>法人授权委托书附法人身份证复印件及授权委托人身份证复印件加盖公章；（附件</w:t>
      </w:r>
      <w:r>
        <w:rPr>
          <w:rFonts w:hint="eastAsia" w:ascii="仿宋" w:hAnsi="仿宋" w:eastAsia="仿宋" w:cs="仿宋"/>
          <w:bCs/>
          <w:color w:val="000000"/>
          <w:kern w:val="0"/>
          <w:sz w:val="24"/>
          <w:highlight w:val="none"/>
          <w:lang w:val="en-US" w:eastAsia="zh-CN"/>
        </w:rPr>
        <w:t>二</w:t>
      </w:r>
      <w:r>
        <w:rPr>
          <w:rFonts w:hint="eastAsia" w:ascii="仿宋" w:hAnsi="仿宋" w:eastAsia="仿宋" w:cs="仿宋"/>
          <w:bCs/>
          <w:color w:val="000000"/>
          <w:kern w:val="0"/>
          <w:sz w:val="24"/>
          <w:highlight w:val="none"/>
        </w:rPr>
        <w:t>）</w:t>
      </w:r>
    </w:p>
    <w:p>
      <w:pP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城乡规划编制乙级（含乙级）及以上资质或土地利用规划乙级（含乙级）及以上资质证书</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p>
    <w:p>
      <w:pPr>
        <w:widowControl/>
        <w:numPr>
          <w:ilvl w:val="0"/>
          <w:numId w:val="0"/>
        </w:numPr>
        <w:spacing w:line="36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lang w:eastAsia="zh-CN"/>
        </w:rPr>
        <w:t>依法缴纳近三个月</w:t>
      </w:r>
      <w:r>
        <w:rPr>
          <w:rFonts w:hint="eastAsia" w:ascii="仿宋" w:hAnsi="仿宋" w:eastAsia="仿宋" w:cs="仿宋"/>
          <w:color w:val="000000"/>
          <w:sz w:val="24"/>
          <w:highlight w:val="none"/>
          <w:lang w:val="en-US" w:eastAsia="zh-CN"/>
        </w:rPr>
        <w:t>中任意一个月</w:t>
      </w:r>
      <w:r>
        <w:rPr>
          <w:rFonts w:hint="eastAsia" w:ascii="仿宋" w:hAnsi="仿宋" w:eastAsia="仿宋" w:cs="仿宋"/>
          <w:color w:val="000000"/>
          <w:sz w:val="24"/>
          <w:highlight w:val="none"/>
          <w:lang w:eastAsia="zh-CN"/>
        </w:rPr>
        <w:t>的社会保险社保缴纳凭证；依法缴纳近三个月任意一个月的税收良好记录证明</w:t>
      </w:r>
      <w:r>
        <w:rPr>
          <w:rFonts w:hint="eastAsia" w:ascii="仿宋" w:hAnsi="仿宋" w:eastAsia="仿宋" w:cs="仿宋"/>
          <w:color w:val="000000"/>
          <w:sz w:val="24"/>
          <w:highlight w:val="none"/>
        </w:rPr>
        <w:t>；</w:t>
      </w:r>
    </w:p>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、具有良好的商业信誉和健全的财务会计制度，</w:t>
      </w:r>
      <w:r>
        <w:rPr>
          <w:rFonts w:hint="eastAsia" w:ascii="仿宋" w:hAnsi="仿宋" w:eastAsia="仿宋" w:cs="仿宋"/>
          <w:color w:val="000000"/>
          <w:sz w:val="24"/>
          <w:highlight w:val="none"/>
          <w:lang w:eastAsia="zh-CN"/>
        </w:rPr>
        <w:t>提供2022年度经会计事务所出具财务审计报告（事业单位法人可提供内审财务报表或征信证明）；（新成立的公司须提供近一个月的银行资信证明）</w:t>
      </w:r>
      <w:r>
        <w:rPr>
          <w:rFonts w:hint="eastAsia" w:ascii="仿宋" w:hAnsi="仿宋" w:eastAsia="仿宋" w:cs="仿宋"/>
          <w:color w:val="000000"/>
          <w:sz w:val="24"/>
          <w:highlight w:val="none"/>
        </w:rPr>
        <w:t xml:space="preserve">； </w:t>
      </w:r>
    </w:p>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未在“信用中国”网站 被列入失信被执行人、重大税收违法案件当事人名单；中国政府采购网，</w:t>
      </w: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color w:val="000000"/>
          <w:sz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lang w:val="en-US" w:eastAsia="zh-CN"/>
        </w:rPr>
        <w:t>，附网站截图。</w:t>
      </w:r>
    </w:p>
    <w:p>
      <w:pPr>
        <w:pStyle w:val="6"/>
        <w:ind w:firstLine="0"/>
        <w:rPr>
          <w:rFonts w:hint="eastAsia" w:ascii="仿宋" w:hAnsi="仿宋" w:eastAsia="仿宋" w:cs="仿宋"/>
          <w:color w:val="000000"/>
          <w:highlight w:val="none"/>
        </w:rPr>
      </w:pPr>
      <w:r>
        <w:rPr>
          <w:rFonts w:hint="eastAsia" w:ascii="仿宋" w:hAnsi="仿宋" w:eastAsia="仿宋" w:cs="仿宋"/>
          <w:color w:val="000000"/>
          <w:szCs w:val="24"/>
          <w:highlight w:val="none"/>
          <w:lang w:val="en-US" w:eastAsia="zh-CN"/>
        </w:rPr>
        <w:t>8</w:t>
      </w:r>
      <w:r>
        <w:rPr>
          <w:rFonts w:hint="eastAsia" w:ascii="仿宋" w:hAnsi="仿宋" w:eastAsia="仿宋" w:cs="仿宋"/>
          <w:color w:val="000000"/>
          <w:szCs w:val="24"/>
          <w:highlight w:val="none"/>
        </w:rPr>
        <w:t>、投标单位（供应商）提供针对本次项目《反商业贿赂承诺书》</w:t>
      </w:r>
    </w:p>
    <w:p>
      <w:pPr>
        <w:tabs>
          <w:tab w:val="left" w:pos="5580"/>
        </w:tabs>
        <w:spacing w:line="3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、参加政府采购活动近3年内，在经营活动中没有重大违法记录的书面声明；</w:t>
      </w:r>
    </w:p>
    <w:p>
      <w:pPr>
        <w:tabs>
          <w:tab w:val="left" w:pos="5580"/>
        </w:tabs>
        <w:spacing w:line="3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、投标保证金缴纳凭证或投标担保函；</w:t>
      </w:r>
    </w:p>
    <w:p>
      <w:pPr>
        <w:spacing w:line="36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、投标人须知资料表要求的其他证明文件；</w:t>
      </w:r>
    </w:p>
    <w:p>
      <w:pPr>
        <w:spacing w:line="360" w:lineRule="exact"/>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、投标人可提供有利于投标的其他证明材料；</w:t>
      </w: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ind w:left="1" w:firstLine="564" w:firstLineChars="235"/>
        <w:rPr>
          <w:rFonts w:hint="eastAsia" w:ascii="宋体" w:hAnsi="宋体" w:cs="宋体"/>
          <w:color w:val="000000"/>
          <w:sz w:val="24"/>
          <w:highlight w:val="none"/>
        </w:rPr>
      </w:pPr>
    </w:p>
    <w:p>
      <w:pPr>
        <w:tabs>
          <w:tab w:val="left" w:pos="5580"/>
        </w:tabs>
        <w:spacing w:line="240" w:lineRule="atLeast"/>
        <w:jc w:val="center"/>
        <w:rPr>
          <w:rFonts w:hint="eastAsia" w:ascii="仿宋" w:hAnsi="仿宋" w:eastAsia="仿宋" w:cs="仿宋"/>
          <w:color w:val="000000"/>
          <w:sz w:val="28"/>
          <w:szCs w:val="28"/>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 xml:space="preserve">   </w:t>
      </w:r>
      <w:r>
        <w:rPr>
          <w:rFonts w:hint="eastAsia" w:ascii="仿宋" w:hAnsi="仿宋" w:eastAsia="仿宋" w:cs="仿宋"/>
          <w:b/>
          <w:bCs/>
          <w:color w:val="000000"/>
          <w:sz w:val="28"/>
          <w:szCs w:val="28"/>
          <w:highlight w:val="none"/>
        </w:rPr>
        <w:t>1  开标一览表（附件</w:t>
      </w: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w:t>
      </w:r>
    </w:p>
    <w:p>
      <w:pPr>
        <w:pStyle w:val="6"/>
        <w:tabs>
          <w:tab w:val="left" w:pos="5580"/>
        </w:tabs>
        <w:spacing w:line="240" w:lineRule="atLeast"/>
        <w:ind w:firstLine="3360" w:firstLineChars="1200"/>
        <w:rPr>
          <w:rFonts w:hint="eastAsia" w:ascii="仿宋" w:hAnsi="仿宋" w:eastAsia="仿宋" w:cs="仿宋"/>
          <w:b/>
          <w:color w:val="000000"/>
          <w:szCs w:val="24"/>
          <w:highlight w:val="none"/>
        </w:rPr>
      </w:pPr>
      <w:bookmarkStart w:id="277" w:name="_Hlt520356241"/>
      <w:bookmarkEnd w:id="277"/>
      <w:bookmarkStart w:id="278" w:name="_Toc494296984"/>
      <w:r>
        <w:rPr>
          <w:rFonts w:hint="eastAsia" w:ascii="仿宋" w:hAnsi="仿宋" w:eastAsia="仿宋" w:cs="仿宋"/>
          <w:b/>
          <w:color w:val="000000"/>
          <w:sz w:val="28"/>
          <w:szCs w:val="28"/>
          <w:highlight w:val="none"/>
        </w:rPr>
        <w:t>开标一览表</w:t>
      </w:r>
      <w:bookmarkEnd w:id="278"/>
      <w:r>
        <w:rPr>
          <w:rFonts w:hint="eastAsia" w:ascii="仿宋" w:hAnsi="仿宋" w:eastAsia="仿宋" w:cs="仿宋"/>
          <w:b/>
          <w:color w:val="000000"/>
          <w:szCs w:val="24"/>
          <w:highlight w:val="none"/>
        </w:rPr>
        <w:cr/>
      </w:r>
    </w:p>
    <w:p>
      <w:pPr>
        <w:pStyle w:val="6"/>
        <w:tabs>
          <w:tab w:val="left" w:pos="5580"/>
        </w:tabs>
        <w:spacing w:line="240" w:lineRule="atLeast"/>
        <w:ind w:left="539" w:leftChars="257" w:firstLine="480"/>
        <w:rPr>
          <w:rFonts w:hint="eastAsia" w:ascii="仿宋" w:hAnsi="仿宋" w:eastAsia="仿宋" w:cs="仿宋"/>
          <w:color w:val="000000"/>
          <w:szCs w:val="24"/>
          <w:highlight w:val="none"/>
        </w:rPr>
      </w:pPr>
    </w:p>
    <w:p>
      <w:pPr>
        <w:tabs>
          <w:tab w:val="left" w:pos="1800"/>
          <w:tab w:val="left" w:pos="5580"/>
        </w:tabs>
        <w:spacing w:line="240" w:lineRule="atLeast"/>
        <w:ind w:left="1079" w:leftChars="257" w:right="-867" w:rightChars="-413"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招标编号：                        </w:t>
      </w:r>
    </w:p>
    <w:p>
      <w:pPr>
        <w:tabs>
          <w:tab w:val="left" w:pos="1800"/>
          <w:tab w:val="left" w:pos="5580"/>
        </w:tabs>
        <w:spacing w:line="240" w:lineRule="atLeast"/>
        <w:ind w:left="1079" w:leftChars="257" w:right="-867" w:rightChars="-413" w:hanging="540"/>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 xml:space="preserve">报价单位：人民币  </w:t>
      </w:r>
      <w:r>
        <w:rPr>
          <w:rFonts w:hint="eastAsia" w:ascii="仿宋" w:hAnsi="仿宋" w:eastAsia="仿宋" w:cs="仿宋"/>
          <w:bCs/>
          <w:color w:val="000000"/>
          <w:sz w:val="24"/>
          <w:highlight w:val="none"/>
        </w:rPr>
        <w:t>元</w:t>
      </w:r>
    </w:p>
    <w:tbl>
      <w:tblPr>
        <w:tblStyle w:val="38"/>
        <w:tblW w:w="0" w:type="auto"/>
        <w:tblInd w:w="111" w:type="dxa"/>
        <w:tblLayout w:type="fixed"/>
        <w:tblCellMar>
          <w:top w:w="0" w:type="dxa"/>
          <w:left w:w="0" w:type="dxa"/>
          <w:bottom w:w="0" w:type="dxa"/>
          <w:right w:w="0" w:type="dxa"/>
        </w:tblCellMar>
      </w:tblPr>
      <w:tblGrid>
        <w:gridCol w:w="1341"/>
        <w:gridCol w:w="2247"/>
        <w:gridCol w:w="1439"/>
        <w:gridCol w:w="1548"/>
        <w:gridCol w:w="1279"/>
        <w:gridCol w:w="1129"/>
      </w:tblGrid>
      <w:tr>
        <w:tblPrEx>
          <w:tblCellMar>
            <w:top w:w="0" w:type="dxa"/>
            <w:left w:w="0" w:type="dxa"/>
            <w:bottom w:w="0" w:type="dxa"/>
            <w:right w:w="0" w:type="dxa"/>
          </w:tblCellMar>
        </w:tblPrEx>
        <w:trPr>
          <w:trHeight w:val="662" w:hRule="atLeast"/>
        </w:trPr>
        <w:tc>
          <w:tcPr>
            <w:tcW w:w="1341"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服务名称</w:t>
            </w:r>
          </w:p>
        </w:tc>
        <w:tc>
          <w:tcPr>
            <w:tcW w:w="2247"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投标总价</w:t>
            </w:r>
          </w:p>
        </w:tc>
        <w:tc>
          <w:tcPr>
            <w:tcW w:w="143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投标保证金</w:t>
            </w:r>
          </w:p>
        </w:tc>
        <w:tc>
          <w:tcPr>
            <w:tcW w:w="154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服务期</w:t>
            </w:r>
          </w:p>
        </w:tc>
        <w:tc>
          <w:tcPr>
            <w:tcW w:w="1279"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备注</w:t>
            </w:r>
          </w:p>
        </w:tc>
      </w:tr>
      <w:tr>
        <w:tblPrEx>
          <w:tblCellMar>
            <w:top w:w="0" w:type="dxa"/>
            <w:left w:w="0" w:type="dxa"/>
            <w:bottom w:w="0" w:type="dxa"/>
            <w:right w:w="0" w:type="dxa"/>
          </w:tblCellMar>
        </w:tblPrEx>
        <w:trPr>
          <w:cantSplit/>
          <w:trHeight w:val="1640" w:hRule="atLeast"/>
        </w:trPr>
        <w:tc>
          <w:tcPr>
            <w:tcW w:w="1341"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2247"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240" w:lineRule="atLeas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大写：</w:t>
            </w:r>
          </w:p>
          <w:p>
            <w:pPr>
              <w:tabs>
                <w:tab w:val="left" w:pos="5580"/>
              </w:tabs>
              <w:spacing w:line="240" w:lineRule="atLeas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小写：</w:t>
            </w:r>
          </w:p>
        </w:tc>
        <w:tc>
          <w:tcPr>
            <w:tcW w:w="1439"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548"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279"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79" w:leftChars="257" w:hanging="540"/>
              <w:jc w:val="center"/>
              <w:rPr>
                <w:rFonts w:hint="eastAsia" w:ascii="仿宋" w:hAnsi="仿宋" w:eastAsia="仿宋" w:cs="仿宋"/>
                <w:color w:val="000000"/>
                <w:sz w:val="24"/>
                <w:highlight w:val="none"/>
              </w:rPr>
            </w:pPr>
          </w:p>
        </w:tc>
      </w:tr>
    </w:tbl>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u w:val="singl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u w:val="singl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投标人名称（单位盖章）：</w:t>
      </w:r>
      <w:r>
        <w:rPr>
          <w:rFonts w:hint="eastAsia" w:ascii="仿宋" w:hAnsi="仿宋" w:eastAsia="仿宋" w:cs="仿宋"/>
          <w:color w:val="000000"/>
          <w:sz w:val="24"/>
          <w:szCs w:val="24"/>
          <w:highlight w:val="none"/>
          <w:u w:val="single"/>
        </w:rPr>
        <w:t xml:space="preserve">                       </w:t>
      </w: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法定代表人或其委托代理人(签字):</w:t>
      </w:r>
      <w:r>
        <w:rPr>
          <w:rFonts w:hint="eastAsia" w:ascii="仿宋" w:hAnsi="仿宋" w:eastAsia="仿宋" w:cs="仿宋"/>
          <w:color w:val="000000"/>
          <w:sz w:val="24"/>
          <w:szCs w:val="24"/>
          <w:highlight w:val="none"/>
          <w:u w:val="single"/>
        </w:rPr>
        <w:tab/>
      </w: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p>
    <w:p>
      <w:pPr>
        <w:pStyle w:val="16"/>
        <w:tabs>
          <w:tab w:val="left" w:pos="5580"/>
        </w:tabs>
        <w:spacing w:line="240" w:lineRule="atLeas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注:1、此表应按投标人须知的规定装订密封。</w:t>
      </w:r>
    </w:p>
    <w:p>
      <w:pPr>
        <w:pStyle w:val="16"/>
        <w:tabs>
          <w:tab w:val="left" w:pos="5580"/>
        </w:tabs>
        <w:spacing w:line="240" w:lineRule="atLeast"/>
        <w:ind w:left="1078" w:leftChars="428" w:hanging="180" w:hangingChars="7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2、此表中，每个分包的投标总价应和投标分项报价表的总价相一致。</w:t>
      </w:r>
    </w:p>
    <w:p>
      <w:pPr>
        <w:widowControl/>
        <w:spacing w:line="360" w:lineRule="exact"/>
        <w:jc w:val="left"/>
        <w:rPr>
          <w:rFonts w:hint="eastAsia" w:ascii="仿宋" w:hAnsi="仿宋" w:eastAsia="仿宋" w:cs="仿宋"/>
          <w:b/>
          <w:bCs/>
          <w:color w:val="000000"/>
          <w:sz w:val="28"/>
          <w:szCs w:val="28"/>
          <w:highlight w:val="none"/>
        </w:rPr>
      </w:pPr>
    </w:p>
    <w:p>
      <w:pPr>
        <w:widowControl/>
        <w:spacing w:line="360" w:lineRule="exact"/>
        <w:jc w:val="left"/>
        <w:rPr>
          <w:rFonts w:hint="eastAsia" w:ascii="仿宋" w:hAnsi="仿宋" w:eastAsia="仿宋" w:cs="仿宋"/>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widowControl/>
        <w:spacing w:line="360" w:lineRule="exact"/>
        <w:jc w:val="left"/>
        <w:rPr>
          <w:rFonts w:hint="eastAsia" w:ascii="宋体" w:hAnsi="宋体" w:cs="宋体"/>
          <w:b/>
          <w:bCs/>
          <w:color w:val="000000"/>
          <w:sz w:val="28"/>
          <w:szCs w:val="28"/>
          <w:highlight w:val="none"/>
        </w:rPr>
      </w:pPr>
    </w:p>
    <w:p>
      <w:pPr>
        <w:tabs>
          <w:tab w:val="left" w:pos="5580"/>
        </w:tabs>
        <w:spacing w:line="360" w:lineRule="exact"/>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2、</w:t>
      </w:r>
      <w:r>
        <w:rPr>
          <w:rFonts w:hint="eastAsia" w:ascii="仿宋" w:hAnsi="仿宋" w:eastAsia="仿宋" w:cs="仿宋"/>
          <w:b/>
          <w:bCs/>
          <w:color w:val="000000"/>
          <w:sz w:val="28"/>
          <w:szCs w:val="28"/>
          <w:highlight w:val="none"/>
          <w:lang w:val="en-US" w:eastAsia="zh-CN"/>
        </w:rPr>
        <w:t>单位三证合一营业执照（事业单位法人证书）</w:t>
      </w: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tabs>
          <w:tab w:val="left" w:pos="5580"/>
        </w:tabs>
        <w:spacing w:line="360" w:lineRule="exact"/>
        <w:rPr>
          <w:rFonts w:hint="eastAsia" w:ascii="宋体" w:hAnsi="宋体" w:cs="宋体"/>
          <w:b/>
          <w:bCs/>
          <w:color w:val="000000"/>
          <w:sz w:val="28"/>
          <w:szCs w:val="28"/>
          <w:highlight w:val="none"/>
        </w:rPr>
      </w:pPr>
    </w:p>
    <w:p>
      <w:pPr>
        <w:tabs>
          <w:tab w:val="left" w:pos="5580"/>
        </w:tabs>
        <w:spacing w:line="360" w:lineRule="exact"/>
        <w:ind w:left="1" w:firstLine="658" w:firstLineChars="235"/>
        <w:rPr>
          <w:rFonts w:hint="eastAsia" w:ascii="宋体" w:hAnsi="宋体" w:cs="宋体"/>
          <w:color w:val="000000"/>
          <w:sz w:val="28"/>
          <w:szCs w:val="28"/>
          <w:highlight w:val="none"/>
        </w:rPr>
      </w:pPr>
    </w:p>
    <w:p>
      <w:pPr>
        <w:adjustRightInd w:val="0"/>
        <w:snapToGrid w:val="0"/>
        <w:spacing w:before="312" w:beforeLines="100" w:after="312" w:afterLines="100" w:line="360" w:lineRule="exact"/>
        <w:rPr>
          <w:rFonts w:hint="eastAsia" w:ascii="宋体"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pStyle w:val="6"/>
        <w:rPr>
          <w:rFonts w:hint="eastAsia" w:hAnsi="宋体" w:cs="宋体"/>
          <w:b/>
          <w:bCs/>
          <w:color w:val="000000"/>
          <w:sz w:val="28"/>
          <w:szCs w:val="28"/>
          <w:highlight w:val="none"/>
        </w:rPr>
      </w:pPr>
    </w:p>
    <w:p>
      <w:pPr>
        <w:adjustRightInd w:val="0"/>
        <w:snapToGrid w:val="0"/>
        <w:spacing w:before="312" w:beforeLines="100" w:after="312" w:afterLines="100" w:line="360" w:lineRule="exact"/>
        <w:rPr>
          <w:rFonts w:hint="eastAsia" w:ascii="宋体" w:hAnsi="宋体" w:cs="宋体"/>
          <w:b/>
          <w:bCs/>
          <w:color w:val="000000"/>
          <w:sz w:val="28"/>
          <w:szCs w:val="28"/>
          <w:highlight w:val="none"/>
        </w:rPr>
      </w:pPr>
    </w:p>
    <w:p>
      <w:pPr>
        <w:adjustRightInd w:val="0"/>
        <w:snapToGrid w:val="0"/>
        <w:spacing w:before="312" w:beforeLines="100" w:after="312" w:afterLines="100" w:line="360" w:lineRule="exact"/>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sz w:val="28"/>
          <w:szCs w:val="28"/>
          <w:highlight w:val="none"/>
        </w:rPr>
        <w:t xml:space="preserve"> </w:t>
      </w:r>
      <w:r>
        <w:rPr>
          <w:rFonts w:hint="eastAsia" w:ascii="仿宋" w:hAnsi="仿宋" w:eastAsia="仿宋" w:cs="仿宋"/>
          <w:b/>
          <w:bCs/>
          <w:color w:val="000000"/>
          <w:kern w:val="0"/>
          <w:sz w:val="28"/>
          <w:szCs w:val="28"/>
          <w:highlight w:val="none"/>
          <w:lang w:val="en-US" w:eastAsia="zh-CN"/>
        </w:rPr>
        <w:t>3</w:t>
      </w:r>
      <w:r>
        <w:rPr>
          <w:rFonts w:hint="eastAsia" w:ascii="仿宋" w:hAnsi="仿宋" w:eastAsia="仿宋" w:cs="仿宋"/>
          <w:b/>
          <w:bCs/>
          <w:color w:val="000000"/>
          <w:kern w:val="0"/>
          <w:sz w:val="28"/>
          <w:szCs w:val="28"/>
          <w:highlight w:val="none"/>
        </w:rPr>
        <w:t>、法定代表人身份证明书；法人授权委托书附法人身份证复印件及授权委托人身份证复印件加盖公章；</w:t>
      </w:r>
    </w:p>
    <w:p>
      <w:pPr>
        <w:adjustRightInd w:val="0"/>
        <w:snapToGrid w:val="0"/>
        <w:spacing w:before="312" w:beforeLines="100" w:after="312" w:afterLines="100" w:line="360" w:lineRule="auto"/>
        <w:ind w:firstLine="1960" w:firstLineChars="700"/>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（一）法定代表人身份证明书</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同志，现任我单位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（职务）为法定代表人，特此证明。</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                      签发日期：</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                性别：            年龄：           </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                联系电话：</w:t>
      </w:r>
    </w:p>
    <w:p>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营业执照号码：              经济性质：</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w:t>
      </w:r>
    </w:p>
    <w:p>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1、法定代表人为企业事业单位、国家机关、社会团体的主要行政负责人。</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2、内容必须填写真实、清楚、涂改无效，不得转让。</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附：法定代表人身份证复印件</w:t>
      </w: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pict>
          <v:shape id="流程图: 可选过程 14" o:spid="_x0000_s1034"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path/>
            <v:fill on="t" focussize="0,0"/>
            <v:stroke/>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仿宋" w:hAnsi="仿宋" w:eastAsia="仿宋" w:cs="仿宋"/>
                      <w:szCs w:val="21"/>
                    </w:rPr>
                  </w:pPr>
                  <w:r>
                    <w:rPr>
                      <w:rFonts w:hint="eastAsia" w:ascii="仿宋" w:hAnsi="仿宋" w:eastAsia="仿宋" w:cs="仿宋"/>
                      <w:szCs w:val="21"/>
                    </w:rPr>
                    <w:t>法定代表人身份证复印件正面</w:t>
                  </w:r>
                </w:p>
              </w:txbxContent>
            </v:textbox>
          </v:shape>
        </w:pict>
      </w:r>
      <w:r>
        <w:rPr>
          <w:rFonts w:hint="eastAsia" w:ascii="仿宋" w:hAnsi="仿宋" w:eastAsia="仿宋" w:cs="仿宋"/>
          <w:color w:val="000000"/>
          <w:sz w:val="24"/>
          <w:highlight w:val="none"/>
        </w:rPr>
        <w:pict>
          <v:roundrect id="圆角矩形 15" o:spid="_x0000_s1035"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path/>
            <v:fill on="t" focussize="0,0"/>
            <v:stroke weight="1.25pt" color="#808080"/>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rFonts w:hint="eastAsia" w:ascii="仿宋" w:hAnsi="仿宋" w:eastAsia="仿宋" w:cs="仿宋"/>
                      <w:szCs w:val="21"/>
                    </w:rPr>
                  </w:pPr>
                  <w:r>
                    <w:rPr>
                      <w:rFonts w:hint="eastAsia" w:ascii="仿宋" w:hAnsi="仿宋" w:eastAsia="仿宋" w:cs="仿宋"/>
                      <w:szCs w:val="21"/>
                    </w:rPr>
                    <w:t>法定代表人身份证复印件反面</w:t>
                  </w:r>
                </w:p>
                <w:p/>
                <w:p>
                  <w:pPr>
                    <w:pStyle w:val="6"/>
                  </w:pPr>
                </w:p>
                <w:p>
                  <w:pPr>
                    <w:pStyle w:val="6"/>
                  </w:pPr>
                </w:p>
                <w:p>
                  <w:pPr>
                    <w:pStyle w:val="6"/>
                  </w:pPr>
                </w:p>
                <w:p>
                  <w:pPr>
                    <w:pStyle w:val="6"/>
                  </w:pPr>
                </w:p>
              </w:txbxContent>
            </v:textbox>
          </v:roundrect>
        </w:pict>
      </w:r>
    </w:p>
    <w:p>
      <w:pPr>
        <w:spacing w:line="360" w:lineRule="auto"/>
        <w:rPr>
          <w:rFonts w:hint="eastAsia" w:ascii="仿宋" w:hAnsi="仿宋" w:eastAsia="仿宋" w:cs="仿宋"/>
          <w:color w:val="000000"/>
          <w:sz w:val="24"/>
          <w:highlight w:val="none"/>
        </w:rPr>
      </w:pPr>
    </w:p>
    <w:p>
      <w:pPr>
        <w:spacing w:line="360" w:lineRule="auto"/>
        <w:rPr>
          <w:rFonts w:hint="eastAsia" w:ascii="仿宋" w:hAnsi="仿宋" w:eastAsia="仿宋" w:cs="仿宋"/>
          <w:color w:val="000000"/>
          <w:sz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000000"/>
          <w:sz w:val="24"/>
          <w:highlight w:val="none"/>
        </w:rPr>
      </w:pPr>
    </w:p>
    <w:p>
      <w:pPr>
        <w:autoSpaceDE w:val="0"/>
        <w:autoSpaceDN w:val="0"/>
        <w:adjustRightInd w:val="0"/>
        <w:spacing w:line="360" w:lineRule="auto"/>
        <w:ind w:right="246"/>
        <w:rPr>
          <w:rFonts w:hint="eastAsia" w:ascii="仿宋" w:hAnsi="仿宋" w:eastAsia="仿宋" w:cs="仿宋"/>
          <w:color w:val="000000"/>
          <w:kern w:val="0"/>
          <w:sz w:val="24"/>
          <w:highlight w:val="none"/>
        </w:rPr>
      </w:pPr>
    </w:p>
    <w:p>
      <w:pPr>
        <w:autoSpaceDE w:val="0"/>
        <w:autoSpaceDN w:val="0"/>
        <w:adjustRightInd w:val="0"/>
        <w:spacing w:line="360" w:lineRule="auto"/>
        <w:ind w:right="246"/>
        <w:rPr>
          <w:rFonts w:hint="eastAsia" w:ascii="仿宋" w:hAnsi="仿宋" w:eastAsia="仿宋" w:cs="仿宋"/>
          <w:color w:val="000000"/>
          <w:kern w:val="0"/>
          <w:sz w:val="24"/>
          <w:highlight w:val="none"/>
        </w:rPr>
      </w:pPr>
    </w:p>
    <w:p>
      <w:pPr>
        <w:pStyle w:val="26"/>
        <w:rPr>
          <w:rFonts w:hint="eastAsia" w:ascii="仿宋" w:hAnsi="仿宋" w:eastAsia="仿宋" w:cs="仿宋"/>
          <w:color w:val="000000"/>
          <w:highlight w:val="none"/>
        </w:rPr>
      </w:pPr>
    </w:p>
    <w:p>
      <w:pPr>
        <w:autoSpaceDE w:val="0"/>
        <w:autoSpaceDN w:val="0"/>
        <w:adjustRightInd w:val="0"/>
        <w:spacing w:line="360" w:lineRule="auto"/>
        <w:ind w:right="246" w:firstLine="784" w:firstLineChars="327"/>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投标人（盖章）：         </w:t>
      </w:r>
      <w:r>
        <w:rPr>
          <w:rFonts w:hint="eastAsia" w:ascii="仿宋" w:hAnsi="仿宋" w:eastAsia="仿宋" w:cs="仿宋"/>
          <w:color w:val="000000"/>
          <w:kern w:val="0"/>
          <w:sz w:val="24"/>
          <w:highlight w:val="none"/>
          <w:u w:val="single"/>
        </w:rPr>
        <w:t xml:space="preserve">           </w:t>
      </w:r>
    </w:p>
    <w:p>
      <w:pPr>
        <w:adjustRightInd w:val="0"/>
        <w:snapToGrid w:val="0"/>
        <w:spacing w:line="360" w:lineRule="auto"/>
        <w:ind w:firstLine="784" w:firstLineChars="327"/>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法定代表人（签章）：</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784" w:firstLineChars="327"/>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日   期：</w:t>
      </w:r>
      <w:r>
        <w:rPr>
          <w:rFonts w:hint="eastAsia" w:ascii="仿宋" w:hAnsi="仿宋" w:eastAsia="仿宋" w:cs="仿宋"/>
          <w:color w:val="000000"/>
          <w:sz w:val="24"/>
          <w:highlight w:val="none"/>
          <w:u w:val="single"/>
        </w:rPr>
        <w:t xml:space="preserve">                        </w:t>
      </w:r>
    </w:p>
    <w:p>
      <w:pPr>
        <w:pStyle w:val="16"/>
        <w:tabs>
          <w:tab w:val="left" w:pos="5580"/>
        </w:tabs>
        <w:spacing w:line="240" w:lineRule="atLeast"/>
        <w:ind w:left="1079" w:leftChars="257" w:hanging="540"/>
        <w:rPr>
          <w:rFonts w:hint="eastAsia" w:ascii="仿宋" w:hAnsi="仿宋" w:eastAsia="仿宋" w:cs="仿宋"/>
          <w:b/>
          <w:color w:val="000000"/>
          <w:sz w:val="24"/>
          <w:highlight w:val="none"/>
        </w:rPr>
      </w:pPr>
    </w:p>
    <w:p>
      <w:pPr>
        <w:pStyle w:val="16"/>
        <w:tabs>
          <w:tab w:val="left" w:pos="5580"/>
        </w:tabs>
        <w:spacing w:line="240" w:lineRule="atLeast"/>
        <w:ind w:left="1108" w:leftChars="371" w:hanging="329" w:hangingChars="157"/>
        <w:rPr>
          <w:rFonts w:hint="eastAsia" w:ascii="仿宋" w:hAnsi="仿宋" w:eastAsia="仿宋" w:cs="仿宋"/>
          <w:color w:val="000000"/>
          <w:sz w:val="24"/>
          <w:highlight w:val="none"/>
        </w:rPr>
      </w:pPr>
      <w:r>
        <w:rPr>
          <w:rFonts w:hint="eastAsia" w:ascii="仿宋" w:hAnsi="仿宋" w:eastAsia="仿宋" w:cs="仿宋"/>
          <w:color w:val="000000"/>
          <w:highlight w:val="none"/>
        </w:rPr>
        <w:t>注：</w:t>
      </w:r>
      <w:r>
        <w:rPr>
          <w:rFonts w:hint="eastAsia" w:ascii="仿宋" w:hAnsi="仿宋" w:eastAsia="仿宋" w:cs="仿宋"/>
          <w:color w:val="000000"/>
          <w:sz w:val="24"/>
          <w:highlight w:val="none"/>
        </w:rPr>
        <w:t>1. 投标人为自然人的，应提供身份证明的复印件。</w:t>
      </w:r>
    </w:p>
    <w:p>
      <w:pPr>
        <w:pStyle w:val="16"/>
        <w:tabs>
          <w:tab w:val="left" w:pos="5580"/>
        </w:tabs>
        <w:spacing w:line="240" w:lineRule="atLeast"/>
        <w:ind w:left="1079"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2.联合体投标应提供联合体各方满足以上要求的证明文件。</w:t>
      </w:r>
    </w:p>
    <w:p>
      <w:pPr>
        <w:pStyle w:val="2"/>
        <w:tabs>
          <w:tab w:val="left" w:pos="540"/>
        </w:tabs>
        <w:spacing w:line="240" w:lineRule="atLeast"/>
        <w:jc w:val="both"/>
        <w:rPr>
          <w:rFonts w:hint="eastAsia" w:ascii="仿宋" w:hAnsi="仿宋" w:eastAsia="仿宋" w:cs="仿宋"/>
          <w:color w:val="000000"/>
          <w:szCs w:val="28"/>
          <w:highlight w:val="none"/>
        </w:rPr>
      </w:pPr>
      <w:r>
        <w:rPr>
          <w:rFonts w:hint="eastAsia" w:ascii="宋体" w:hAnsi="宋体" w:cs="宋体"/>
          <w:color w:val="000000"/>
          <w:sz w:val="24"/>
          <w:szCs w:val="24"/>
          <w:highlight w:val="none"/>
        </w:rPr>
        <w:br w:type="page"/>
      </w:r>
      <w:bookmarkStart w:id="279" w:name="_Toc23503"/>
      <w:bookmarkStart w:id="280" w:name="_Toc1083"/>
      <w:bookmarkStart w:id="281" w:name="_Toc22472"/>
      <w:bookmarkStart w:id="282" w:name="_Toc515647807"/>
      <w:r>
        <w:rPr>
          <w:rFonts w:hint="eastAsia" w:ascii="仿宋" w:hAnsi="仿宋" w:eastAsia="仿宋" w:cs="仿宋"/>
          <w:color w:val="000000"/>
          <w:sz w:val="24"/>
          <w:szCs w:val="24"/>
          <w:highlight w:val="none"/>
        </w:rPr>
        <w:t xml:space="preserve"> </w:t>
      </w:r>
      <w:bookmarkStart w:id="283" w:name="_Toc1846"/>
      <w:bookmarkStart w:id="284" w:name="_Toc23386"/>
      <w:bookmarkStart w:id="285" w:name="_Toc29028"/>
      <w:r>
        <w:rPr>
          <w:rFonts w:hint="eastAsia" w:ascii="仿宋" w:hAnsi="仿宋" w:eastAsia="仿宋" w:cs="仿宋"/>
          <w:color w:val="000000"/>
          <w:szCs w:val="28"/>
          <w:highlight w:val="none"/>
        </w:rPr>
        <w:t>（二）法定代表人授权委托书(附件</w:t>
      </w:r>
      <w:r>
        <w:rPr>
          <w:rFonts w:hint="eastAsia" w:ascii="仿宋" w:hAnsi="仿宋" w:eastAsia="仿宋" w:cs="仿宋"/>
          <w:color w:val="000000"/>
          <w:szCs w:val="28"/>
          <w:highlight w:val="none"/>
          <w:lang w:val="en-US" w:eastAsia="zh-CN"/>
        </w:rPr>
        <w:t>二</w:t>
      </w:r>
      <w:r>
        <w:rPr>
          <w:rFonts w:hint="eastAsia" w:ascii="仿宋" w:hAnsi="仿宋" w:eastAsia="仿宋" w:cs="仿宋"/>
          <w:color w:val="000000"/>
          <w:szCs w:val="28"/>
          <w:highlight w:val="none"/>
        </w:rPr>
        <w:t>，自然人投标的无需提供)</w:t>
      </w:r>
      <w:bookmarkEnd w:id="279"/>
      <w:bookmarkEnd w:id="280"/>
      <w:bookmarkEnd w:id="281"/>
      <w:bookmarkEnd w:id="282"/>
      <w:bookmarkEnd w:id="283"/>
      <w:bookmarkEnd w:id="284"/>
      <w:bookmarkEnd w:id="285"/>
    </w:p>
    <w:p>
      <w:pPr>
        <w:pStyle w:val="2"/>
        <w:tabs>
          <w:tab w:val="left" w:pos="540"/>
        </w:tabs>
        <w:jc w:val="both"/>
        <w:rPr>
          <w:rFonts w:hint="eastAsia" w:ascii="仿宋" w:hAnsi="仿宋" w:eastAsia="仿宋" w:cs="仿宋"/>
          <w:color w:val="000000"/>
          <w:sz w:val="24"/>
          <w:highlight w:val="none"/>
        </w:rPr>
      </w:pPr>
      <w:bookmarkStart w:id="286" w:name="_Toc5232"/>
      <w:bookmarkStart w:id="287" w:name="_Toc6592"/>
      <w:bookmarkStart w:id="288" w:name="_Toc30228"/>
      <w:r>
        <w:rPr>
          <w:rFonts w:hint="eastAsia" w:ascii="仿宋" w:hAnsi="仿宋" w:eastAsia="仿宋" w:cs="仿宋"/>
          <w:color w:val="000000"/>
          <w:szCs w:val="28"/>
          <w:highlight w:val="none"/>
        </w:rPr>
        <w:cr/>
      </w:r>
      <w:r>
        <w:rPr>
          <w:rFonts w:hint="eastAsia" w:ascii="仿宋" w:hAnsi="仿宋" w:eastAsia="仿宋" w:cs="仿宋"/>
          <w:color w:val="000000"/>
          <w:sz w:val="24"/>
          <w:highlight w:val="none"/>
        </w:rPr>
        <w:t xml:space="preserve">    本授权书声明：注册于</w:t>
      </w:r>
      <w:r>
        <w:rPr>
          <w:rFonts w:hint="eastAsia" w:ascii="仿宋" w:hAnsi="仿宋" w:eastAsia="仿宋" w:cs="仿宋"/>
          <w:bCs/>
          <w:color w:val="000000"/>
          <w:sz w:val="24"/>
          <w:highlight w:val="none"/>
          <w:u w:val="single"/>
        </w:rPr>
        <w:t>（国家或地区的名称）</w:t>
      </w:r>
      <w:r>
        <w:rPr>
          <w:rFonts w:hint="eastAsia" w:ascii="仿宋" w:hAnsi="仿宋" w:eastAsia="仿宋" w:cs="仿宋"/>
          <w:color w:val="000000"/>
          <w:sz w:val="24"/>
          <w:highlight w:val="none"/>
        </w:rPr>
        <w:t>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投标人</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的在下面签字的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法人代表姓名、职务</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代表我单位授权</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单位名称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的在下面签字的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被授权人的姓名、职务</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为我单位的合法代理人，就</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项目名称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合同名称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投标，以我单位名义处理一切与之有关的事务。</w:t>
      </w:r>
      <w:r>
        <w:rPr>
          <w:rFonts w:hint="eastAsia" w:ascii="仿宋" w:hAnsi="仿宋" w:eastAsia="仿宋" w:cs="仿宋"/>
          <w:color w:val="000000"/>
          <w:sz w:val="24"/>
          <w:highlight w:val="none"/>
        </w:rPr>
        <w:cr/>
      </w:r>
      <w:bookmarkEnd w:id="286"/>
      <w:bookmarkEnd w:id="287"/>
      <w:bookmarkEnd w:id="288"/>
      <w:r>
        <w:rPr>
          <w:rFonts w:hint="eastAsia" w:ascii="仿宋" w:hAnsi="仿宋" w:eastAsia="仿宋" w:cs="仿宋"/>
          <w:color w:val="000000"/>
          <w:sz w:val="24"/>
          <w:highlight w:val="none"/>
        </w:rPr>
        <w:t>　　</w:t>
      </w:r>
    </w:p>
    <w:p>
      <w:pPr>
        <w:pStyle w:val="16"/>
        <w:tabs>
          <w:tab w:val="left" w:pos="5580"/>
        </w:tabs>
        <w:spacing w:line="240" w:lineRule="atLeast"/>
        <w:ind w:left="-539" w:leftChars="-257" w:firstLine="900" w:firstLineChars="375"/>
        <w:rPr>
          <w:rFonts w:hint="eastAsia" w:hAnsi="宋体" w:cs="宋体"/>
          <w:color w:val="000000"/>
          <w:sz w:val="24"/>
          <w:highlight w:val="none"/>
        </w:rPr>
      </w:pPr>
      <w:r>
        <w:rPr>
          <w:rFonts w:hint="eastAsia" w:ascii="仿宋" w:hAnsi="仿宋" w:eastAsia="仿宋" w:cs="仿宋"/>
          <w:color w:val="000000"/>
          <w:sz w:val="24"/>
          <w:highlight w:val="none"/>
        </w:rPr>
        <w:pict>
          <v:roundrect id="_x0000_s1036" o:spid="_x0000_s1036" o:spt="2" style="position:absolute;left:0pt;margin-left:222.65pt;margin-top:45.75pt;height:97.6pt;width:175.65pt;z-index:251664384;mso-width-relative:page;mso-height-relative:page;" fillcolor="#FFFFFF" filled="t" stroked="t" coordsize="21600,21600" arcsize="0.166666666666667">
            <v:path/>
            <v:fill on="t" focussize="0,0"/>
            <v:stroke weight="1.25pt" color="#808080"/>
            <v:imagedata o:title=""/>
            <o:lock v:ext="edit" aspectratio="f"/>
            <v:textbox>
              <w:txbxContent>
                <w:p>
                  <w:pPr>
                    <w:jc w:val="center"/>
                    <w:rPr>
                      <w:rFonts w:hint="eastAsia" w:hAnsi="宋体"/>
                    </w:rPr>
                  </w:pPr>
                  <w:r>
                    <w:rPr>
                      <w:rFonts w:hint="eastAsia" w:hAnsi="宋体"/>
                    </w:rPr>
                    <w:t xml:space="preserve">  </w:t>
                  </w:r>
                </w:p>
                <w:p>
                  <w:pPr>
                    <w:rPr>
                      <w:rFonts w:hint="eastAsia" w:hAnsi="宋体"/>
                    </w:rPr>
                  </w:pPr>
                </w:p>
                <w:p>
                  <w:pPr>
                    <w:jc w:val="center"/>
                    <w:rPr>
                      <w:rFonts w:hint="eastAsia" w:ascii="仿宋" w:hAnsi="仿宋" w:eastAsia="仿宋" w:cs="仿宋"/>
                      <w:szCs w:val="21"/>
                    </w:rPr>
                  </w:pPr>
                  <w:r>
                    <w:rPr>
                      <w:rFonts w:hint="eastAsia" w:ascii="仿宋" w:hAnsi="仿宋" w:eastAsia="仿宋" w:cs="仿宋"/>
                      <w:szCs w:val="21"/>
                    </w:rPr>
                    <w:t>法定代表人身份证复印件反面</w:t>
                  </w:r>
                </w:p>
                <w:p/>
              </w:txbxContent>
            </v:textbox>
          </v:roundrect>
        </w:pict>
      </w:r>
      <w:r>
        <w:rPr>
          <w:rFonts w:hint="eastAsia" w:ascii="仿宋" w:hAnsi="仿宋" w:eastAsia="仿宋" w:cs="仿宋"/>
          <w:color w:val="000000"/>
          <w:sz w:val="24"/>
          <w:highlight w:val="none"/>
        </w:rPr>
        <w:pict>
          <v:roundrect id="_x0000_s1037" o:spid="_x0000_s1037" o:spt="2" style="position:absolute;left:0pt;margin-left:25.35pt;margin-top:44.6pt;height:102.55pt;width:178.8pt;z-index:251663360;mso-width-relative:page;mso-height-relative:page;" fillcolor="#FFFFFF" filled="t" stroked="t" coordsize="21600,21600" arcsize="0.166666666666667">
            <v:path/>
            <v:fill on="t" focussize="0,0"/>
            <v:stroke weight="1.25pt" color="#808080"/>
            <v:imagedata o:title=""/>
            <o:lock v:ext="edit" aspectratio="f"/>
            <v:textbox>
              <w:txbxContent>
                <w:p>
                  <w:pPr>
                    <w:jc w:val="center"/>
                    <w:rPr>
                      <w:rFonts w:hint="eastAsia" w:hAnsi="宋体"/>
                    </w:rPr>
                  </w:pPr>
                </w:p>
                <w:p>
                  <w:pPr>
                    <w:rPr>
                      <w:rFonts w:hint="eastAsia" w:hAnsi="宋体"/>
                    </w:rPr>
                  </w:pPr>
                </w:p>
                <w:p>
                  <w:pPr>
                    <w:jc w:val="center"/>
                    <w:rPr>
                      <w:rFonts w:hint="eastAsia" w:ascii="仿宋" w:hAnsi="仿宋" w:eastAsia="仿宋" w:cs="仿宋"/>
                      <w:szCs w:val="21"/>
                    </w:rPr>
                  </w:pPr>
                  <w:r>
                    <w:rPr>
                      <w:rFonts w:hint="eastAsia" w:ascii="仿宋" w:hAnsi="仿宋" w:eastAsia="仿宋" w:cs="仿宋"/>
                      <w:szCs w:val="21"/>
                    </w:rPr>
                    <w:t>法定代表人身份证复印件正面</w:t>
                  </w:r>
                </w:p>
                <w:p/>
              </w:txbxContent>
            </v:textbox>
          </v:roundrect>
        </w:pict>
      </w:r>
      <w:r>
        <w:rPr>
          <w:rFonts w:hint="eastAsia" w:ascii="仿宋" w:hAnsi="仿宋" w:eastAsia="仿宋" w:cs="仿宋"/>
          <w:color w:val="000000"/>
          <w:sz w:val="24"/>
          <w:highlight w:val="none"/>
        </w:rPr>
        <w:t>本授权书于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日签字生效,特此声明。</w:t>
      </w:r>
      <w:r>
        <w:rPr>
          <w:rFonts w:hint="eastAsia" w:ascii="仿宋" w:hAnsi="仿宋" w:eastAsia="仿宋" w:cs="仿宋"/>
          <w:color w:val="000000"/>
          <w:sz w:val="24"/>
          <w:highlight w:val="none"/>
        </w:rPr>
        <w:cr/>
      </w:r>
      <w:r>
        <w:rPr>
          <w:rFonts w:hint="eastAsia" w:ascii="仿宋" w:hAnsi="仿宋" w:eastAsia="仿宋" w:cs="仿宋"/>
          <w:color w:val="000000"/>
          <w:sz w:val="24"/>
          <w:highlight w:val="none"/>
        </w:rPr>
        <w:cr/>
      </w:r>
    </w:p>
    <w:p>
      <w:pPr>
        <w:pStyle w:val="16"/>
        <w:tabs>
          <w:tab w:val="left" w:pos="5580"/>
        </w:tabs>
        <w:spacing w:line="240" w:lineRule="atLeast"/>
        <w:ind w:left="-539" w:leftChars="-257" w:firstLine="900" w:firstLineChars="375"/>
        <w:rPr>
          <w:rFonts w:hint="eastAsia"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pict>
          <v:roundrect id="_x0000_s1038" o:spid="_x0000_s1038" o:spt="2" style="position:absolute;left:0pt;margin-left:226.55pt;margin-top:3.5pt;height:95.4pt;width:178.65pt;z-index:251662336;mso-width-relative:page;mso-height-relative:page;" fillcolor="#FFFFFF" filled="t" stroked="t" coordsize="21600,21600" arcsize="0.166666666666667">
            <v:path/>
            <v:fill on="t" focussize="0,0"/>
            <v:stroke weight="1.25pt" color="#808080"/>
            <v:imagedata o:title=""/>
            <o:lock v:ext="edit" aspectratio="f"/>
            <v:textbox>
              <w:txbxContent>
                <w:p>
                  <w:pPr>
                    <w:rPr>
                      <w:rFonts w:hint="eastAsia" w:hAnsi="宋体"/>
                    </w:rPr>
                  </w:pPr>
                </w:p>
                <w:p>
                  <w:pPr>
                    <w:rPr>
                      <w:rFonts w:hint="eastAsia" w:hAnsi="宋体"/>
                    </w:rPr>
                  </w:pPr>
                </w:p>
                <w:p>
                  <w:pPr>
                    <w:rPr>
                      <w:rFonts w:hint="eastAsia" w:ascii="仿宋" w:hAnsi="仿宋" w:eastAsia="仿宋" w:cs="仿宋"/>
                    </w:rPr>
                  </w:pPr>
                  <w:r>
                    <w:rPr>
                      <w:rFonts w:hint="eastAsia" w:ascii="仿宋" w:hAnsi="仿宋" w:eastAsia="仿宋" w:cs="仿宋"/>
                    </w:rPr>
                    <w:t>被授权委托人身份证复印件反面</w:t>
                  </w:r>
                </w:p>
                <w:p/>
              </w:txbxContent>
            </v:textbox>
          </v:roundrect>
        </w:pict>
      </w:r>
      <w:r>
        <w:rPr>
          <w:rFonts w:hint="eastAsia" w:ascii="宋体" w:hAnsi="宋体" w:cs="宋体"/>
          <w:color w:val="000000"/>
          <w:sz w:val="24"/>
          <w:highlight w:val="none"/>
        </w:rPr>
        <w:pict>
          <v:shape id="_x0000_s1039" o:spid="_x0000_s1039" o:spt="176" type="#_x0000_t176" style="position:absolute;left:0pt;margin-left:27.9pt;margin-top:4.75pt;height:95.25pt;width:177.95pt;z-index:251661312;mso-width-relative:page;mso-height-relative:page;" fillcolor="#FFFFFF" filled="t" stroked="t" coordsize="21600,21600">
            <v:path/>
            <v:fill on="t" focussize="0,0"/>
            <v:stroke/>
            <v:imagedata o:title=""/>
            <o:lock v:ext="edit" aspectratio="f"/>
            <v:textbox>
              <w:txbxContent>
                <w:p>
                  <w:pPr>
                    <w:rPr>
                      <w:rFonts w:hint="eastAsia" w:hAnsi="宋体"/>
                    </w:rPr>
                  </w:pPr>
                </w:p>
                <w:p>
                  <w:pPr>
                    <w:jc w:val="center"/>
                    <w:rPr>
                      <w:rFonts w:hint="eastAsia" w:hAnsi="宋体"/>
                    </w:rPr>
                  </w:pPr>
                </w:p>
                <w:p>
                  <w:pPr>
                    <w:jc w:val="center"/>
                    <w:rPr>
                      <w:rFonts w:hint="eastAsia" w:ascii="仿宋" w:hAnsi="仿宋" w:eastAsia="仿宋" w:cs="仿宋"/>
                    </w:rPr>
                  </w:pPr>
                  <w:r>
                    <w:rPr>
                      <w:rFonts w:hint="eastAsia" w:ascii="仿宋" w:hAnsi="仿宋" w:eastAsia="仿宋" w:cs="仿宋"/>
                    </w:rPr>
                    <w:t>被授权委托人身份证复印件正面</w:t>
                  </w:r>
                </w:p>
              </w:txbxContent>
            </v:textbox>
          </v:shape>
        </w:pict>
      </w:r>
    </w:p>
    <w:p>
      <w:pPr>
        <w:spacing w:line="360" w:lineRule="auto"/>
        <w:ind w:firstLine="240" w:firstLineChars="100"/>
        <w:rPr>
          <w:rFonts w:hint="eastAsia" w:ascii="宋体" w:hAnsi="宋体" w:cs="宋体"/>
          <w:color w:val="000000"/>
          <w:sz w:val="24"/>
          <w:highlight w:val="none"/>
        </w:rPr>
      </w:pPr>
    </w:p>
    <w:p>
      <w:pPr>
        <w:spacing w:line="360" w:lineRule="auto"/>
        <w:ind w:firstLine="240" w:firstLineChars="100"/>
        <w:rPr>
          <w:rFonts w:hint="eastAsia" w:ascii="宋体" w:hAnsi="宋体" w:cs="宋体"/>
          <w:color w:val="000000"/>
          <w:sz w:val="24"/>
          <w:highlight w:val="none"/>
        </w:rPr>
      </w:pPr>
    </w:p>
    <w:p>
      <w:pPr>
        <w:spacing w:line="360" w:lineRule="auto"/>
        <w:rPr>
          <w:rFonts w:hint="eastAsia" w:ascii="宋体" w:hAnsi="宋体" w:cs="宋体"/>
          <w:color w:val="000000"/>
          <w:sz w:val="24"/>
          <w:highlight w:val="none"/>
        </w:rPr>
      </w:pPr>
    </w:p>
    <w:p>
      <w:pPr>
        <w:pStyle w:val="16"/>
        <w:tabs>
          <w:tab w:val="left" w:pos="5580"/>
        </w:tabs>
        <w:spacing w:line="240" w:lineRule="atLeast"/>
        <w:rPr>
          <w:rFonts w:hint="eastAsia" w:hAnsi="宋体" w:cs="宋体"/>
          <w:color w:val="000000"/>
          <w:sz w:val="24"/>
          <w:highlight w:val="none"/>
        </w:rPr>
      </w:pPr>
    </w:p>
    <w:p>
      <w:pPr>
        <w:pStyle w:val="16"/>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 标 人（盖章）：</w:t>
      </w:r>
      <w:r>
        <w:rPr>
          <w:rFonts w:hint="eastAsia" w:ascii="仿宋" w:hAnsi="仿宋" w:eastAsia="仿宋" w:cs="仿宋"/>
          <w:color w:val="000000"/>
          <w:sz w:val="24"/>
          <w:highlight w:val="none"/>
          <w:u w:val="singl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法定代表人（签章）：</w:t>
      </w:r>
      <w:r>
        <w:rPr>
          <w:rFonts w:hint="eastAsia" w:ascii="仿宋" w:hAnsi="仿宋" w:eastAsia="仿宋" w:cs="仿宋"/>
          <w:color w:val="000000"/>
          <w:sz w:val="24"/>
          <w:highlight w:val="none"/>
          <w:u w:val="singl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color="EEECE1"/>
        </w:rPr>
        <w:t>身</w:t>
      </w:r>
      <w:r>
        <w:rPr>
          <w:rFonts w:hint="eastAsia" w:ascii="仿宋" w:hAnsi="仿宋" w:eastAsia="仿宋" w:cs="仿宋"/>
          <w:color w:val="000000"/>
          <w:sz w:val="24"/>
          <w:highlight w:val="none"/>
        </w:rPr>
        <w:t>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委托代理人：</w:t>
      </w:r>
      <w:r>
        <w:rPr>
          <w:rFonts w:hint="eastAsia" w:ascii="仿宋" w:hAnsi="仿宋" w:eastAsia="仿宋" w:cs="仿宋"/>
          <w:color w:val="000000"/>
          <w:sz w:val="24"/>
          <w:highlight w:val="none"/>
          <w:u w:val="singl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详细通讯地址：</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邮 政 编 码 ：</w:t>
      </w:r>
      <w:r>
        <w:rPr>
          <w:rFonts w:hint="eastAsia" w:ascii="仿宋" w:hAnsi="仿宋" w:eastAsia="仿宋" w:cs="仿宋"/>
          <w:color w:val="000000"/>
          <w:sz w:val="24"/>
          <w:highlight w:val="none"/>
          <w:u w:val="single"/>
        </w:rPr>
        <w:t xml:space="preserve">                               </w:t>
      </w:r>
    </w:p>
    <w:p>
      <w:pPr>
        <w:pStyle w:val="16"/>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日       期 ：</w:t>
      </w:r>
      <w:r>
        <w:rPr>
          <w:rFonts w:hint="eastAsia" w:ascii="仿宋" w:hAnsi="仿宋" w:eastAsia="仿宋" w:cs="仿宋"/>
          <w:color w:val="000000"/>
          <w:sz w:val="24"/>
          <w:highlight w:val="none"/>
          <w:u w:val="single"/>
        </w:rPr>
        <w:t xml:space="preserve">                               </w:t>
      </w:r>
    </w:p>
    <w:p>
      <w:pPr>
        <w:pStyle w:val="16"/>
        <w:tabs>
          <w:tab w:val="left" w:pos="5580"/>
        </w:tabs>
        <w:spacing w:line="360" w:lineRule="auto"/>
        <w:ind w:firstLine="480" w:firstLineChars="200"/>
        <w:rPr>
          <w:rFonts w:hint="eastAsia" w:hAnsi="宋体" w:cs="宋体"/>
          <w:color w:val="000000"/>
          <w:sz w:val="24"/>
          <w:highlight w:val="none"/>
          <w:u w:val="single"/>
        </w:rPr>
      </w:pPr>
    </w:p>
    <w:p>
      <w:pPr>
        <w:pStyle w:val="16"/>
        <w:tabs>
          <w:tab w:val="left" w:pos="5580"/>
        </w:tabs>
        <w:spacing w:line="360" w:lineRule="auto"/>
        <w:ind w:firstLine="480" w:firstLineChars="200"/>
        <w:rPr>
          <w:rFonts w:hint="eastAsia" w:hAnsi="宋体" w:cs="宋体"/>
          <w:color w:val="000000"/>
          <w:sz w:val="24"/>
          <w:highlight w:val="none"/>
          <w:u w:val="single"/>
        </w:rPr>
      </w:pPr>
    </w:p>
    <w:p>
      <w:pPr>
        <w:tabs>
          <w:tab w:val="left" w:pos="5580"/>
        </w:tabs>
        <w:spacing w:line="360" w:lineRule="exact"/>
        <w:rPr>
          <w:rFonts w:hint="eastAsia" w:ascii="宋体" w:hAnsi="宋体" w:cs="宋体"/>
          <w:b/>
          <w:bCs/>
          <w:color w:val="000000"/>
          <w:sz w:val="28"/>
          <w:szCs w:val="28"/>
          <w:highlight w:val="none"/>
        </w:rPr>
      </w:pPr>
    </w:p>
    <w:p>
      <w:pPr>
        <w:numPr>
          <w:ilvl w:val="0"/>
          <w:numId w:val="0"/>
        </w:numPr>
        <w:tabs>
          <w:tab w:val="left" w:pos="5580"/>
        </w:tabs>
        <w:spacing w:line="240" w:lineRule="atLeast"/>
        <w:ind w:leftChars="257"/>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4、城乡规划编制乙级（含乙级）及以上资质或土地利用规划乙级（含乙级）及以上资质证书证书；</w:t>
      </w:r>
    </w:p>
    <w:p>
      <w:pPr>
        <w:tabs>
          <w:tab w:val="left" w:pos="5580"/>
        </w:tabs>
        <w:spacing w:line="240" w:lineRule="atLeast"/>
        <w:ind w:left="540"/>
        <w:rPr>
          <w:rFonts w:hint="eastAsia" w:ascii="宋体" w:hAnsi="宋体" w:cs="宋体"/>
          <w:color w:val="000000"/>
          <w:sz w:val="24"/>
          <w:highlight w:val="none"/>
        </w:rPr>
      </w:pPr>
    </w:p>
    <w:p>
      <w:pPr>
        <w:pStyle w:val="6"/>
        <w:ind w:firstLine="0"/>
        <w:rPr>
          <w:rFonts w:hint="eastAsia" w:hAnsi="宋体" w:cs="宋体"/>
          <w:color w:val="000000"/>
          <w:szCs w:val="24"/>
          <w:highlight w:val="none"/>
        </w:rPr>
      </w:pPr>
    </w:p>
    <w:p>
      <w:pPr>
        <w:pStyle w:val="6"/>
        <w:rPr>
          <w:rFonts w:hint="eastAsia" w:hAnsi="宋体" w:cs="宋体"/>
          <w:color w:val="000000"/>
          <w:szCs w:val="24"/>
          <w:highlight w:val="none"/>
        </w:rPr>
      </w:pPr>
    </w:p>
    <w:p>
      <w:pPr>
        <w:pStyle w:val="6"/>
        <w:rPr>
          <w:rFonts w:hint="eastAsia" w:hAnsi="宋体" w:cs="宋体"/>
          <w:color w:val="000000"/>
          <w:szCs w:val="24"/>
          <w:highlight w:val="none"/>
        </w:rPr>
      </w:pPr>
    </w:p>
    <w:p>
      <w:pPr>
        <w:pStyle w:val="7"/>
        <w:rPr>
          <w:rFonts w:hint="eastAsia"/>
        </w:rPr>
      </w:pPr>
    </w:p>
    <w:p>
      <w:pPr>
        <w:pStyle w:val="6"/>
        <w:rPr>
          <w:rFonts w:hint="eastAsia" w:hAnsi="宋体" w:cs="宋体"/>
          <w:color w:val="000000"/>
          <w:szCs w:val="24"/>
          <w:highlight w:val="none"/>
        </w:rPr>
      </w:pPr>
    </w:p>
    <w:p>
      <w:pPr>
        <w:numPr>
          <w:ilvl w:val="0"/>
          <w:numId w:val="0"/>
        </w:numPr>
        <w:tabs>
          <w:tab w:val="left" w:pos="5580"/>
        </w:tabs>
        <w:spacing w:line="240" w:lineRule="atLeast"/>
        <w:ind w:leftChars="257"/>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5、依法缴纳近三个月中任意一个月的社会保险社保缴纳凭证；依法缴纳近三个月任意一个月的税收良好记录证明；</w:t>
      </w:r>
    </w:p>
    <w:p>
      <w:pPr>
        <w:pStyle w:val="6"/>
        <w:ind w:firstLine="0"/>
        <w:rPr>
          <w:color w:val="000000"/>
          <w:highlight w:val="none"/>
        </w:rPr>
      </w:pPr>
    </w:p>
    <w:p>
      <w:pPr>
        <w:pStyle w:val="6"/>
        <w:ind w:firstLine="0"/>
        <w:rPr>
          <w:rFonts w:hint="eastAsia" w:ascii="仿宋" w:hAnsi="仿宋" w:eastAsia="仿宋" w:cs="仿宋"/>
          <w:color w:val="000000"/>
          <w:highlight w:val="none"/>
        </w:rPr>
      </w:pPr>
      <w:r>
        <w:rPr>
          <w:rFonts w:hint="eastAsia" w:ascii="仿宋" w:hAnsi="仿宋" w:eastAsia="仿宋" w:cs="仿宋"/>
          <w:color w:val="000000"/>
          <w:highlight w:val="none"/>
        </w:rPr>
        <w:t>注：</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1.按照投标人须知资料表中的规定提供复印件。</w:t>
      </w:r>
    </w:p>
    <w:p>
      <w:pPr>
        <w:pStyle w:val="6"/>
        <w:ind w:firstLine="0"/>
        <w:rPr>
          <w:rFonts w:hint="eastAsia" w:ascii="仿宋" w:hAnsi="仿宋" w:eastAsia="仿宋" w:cs="仿宋"/>
          <w:color w:val="000000"/>
          <w:highlight w:val="none"/>
        </w:rPr>
      </w:pPr>
      <w:r>
        <w:rPr>
          <w:rFonts w:hint="eastAsia" w:ascii="仿宋" w:hAnsi="仿宋" w:eastAsia="仿宋" w:cs="仿宋"/>
          <w:color w:val="000000"/>
          <w:highlight w:val="none"/>
        </w:rPr>
        <w:t xml:space="preserve">      2.复印件上应加盖本单位章。</w:t>
      </w:r>
    </w:p>
    <w:p>
      <w:pPr>
        <w:pStyle w:val="6"/>
        <w:ind w:firstLine="0"/>
        <w:rPr>
          <w:rFonts w:hint="eastAsia" w:ascii="仿宋" w:hAnsi="仿宋" w:eastAsia="仿宋" w:cs="仿宋"/>
          <w:color w:val="000000"/>
          <w:highlight w:val="none"/>
        </w:rPr>
      </w:pPr>
      <w:r>
        <w:rPr>
          <w:rFonts w:hint="eastAsia" w:ascii="仿宋" w:hAnsi="仿宋" w:eastAsia="仿宋" w:cs="仿宋"/>
          <w:color w:val="000000"/>
          <w:highlight w:val="none"/>
        </w:rPr>
        <w:t xml:space="preserve">      3.如果是联合体投标，联合体各方均需提供上述证明。</w:t>
      </w: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pStyle w:val="6"/>
        <w:keepNext w:val="0"/>
        <w:keepLines w:val="0"/>
        <w:pageBreakBefore w:val="0"/>
        <w:widowControl w:val="0"/>
        <w:kinsoku/>
        <w:wordWrap/>
        <w:overflowPunct/>
        <w:topLinePunct w:val="0"/>
        <w:bidi w:val="0"/>
        <w:snapToGrid/>
        <w:spacing w:line="440" w:lineRule="exact"/>
        <w:ind w:firstLine="0"/>
        <w:textAlignment w:val="auto"/>
        <w:rPr>
          <w:color w:val="000000"/>
          <w:highlight w:val="none"/>
        </w:rPr>
      </w:pPr>
    </w:p>
    <w:p>
      <w:pPr>
        <w:numPr>
          <w:ilvl w:val="0"/>
          <w:numId w:val="0"/>
        </w:numPr>
        <w:tabs>
          <w:tab w:val="left" w:pos="5580"/>
        </w:tabs>
        <w:spacing w:line="240" w:lineRule="atLeast"/>
        <w:ind w:leftChars="257"/>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6、具有良好的商业信誉和健全的财务会计制度，提供2022年度经会计事务所出具财务审计报告（事业单位法人可提供内审财务报表或征信证明）；（新成立的公司须提供近一个月的银行资信证明）；</w:t>
      </w:r>
    </w:p>
    <w:p>
      <w:pPr>
        <w:pStyle w:val="6"/>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注：1、如提供本单位</w:t>
      </w:r>
      <w:r>
        <w:rPr>
          <w:rFonts w:hint="eastAsia" w:ascii="仿宋" w:hAnsi="仿宋" w:eastAsia="仿宋" w:cs="仿宋"/>
          <w:color w:val="000000"/>
          <w:highlight w:val="none"/>
          <w:lang w:eastAsia="zh-CN"/>
        </w:rPr>
        <w:t>2022年度</w:t>
      </w:r>
      <w:r>
        <w:rPr>
          <w:rFonts w:hint="eastAsia" w:ascii="仿宋" w:hAnsi="仿宋" w:eastAsia="仿宋" w:cs="仿宋"/>
          <w:color w:val="000000"/>
          <w:highlight w:val="none"/>
        </w:rPr>
        <w:t>经会计师事务所出具的审计报告</w:t>
      </w:r>
      <w:r>
        <w:rPr>
          <w:rFonts w:hint="eastAsia" w:ascii="仿宋" w:hAnsi="仿宋" w:eastAsia="仿宋" w:cs="仿宋"/>
          <w:color w:val="000000"/>
          <w:highlight w:val="none"/>
          <w:lang w:val="en-US" w:eastAsia="zh-CN"/>
        </w:rPr>
        <w:t>（事业单位法人可提供内审财务报表或征信证明）</w:t>
      </w:r>
      <w:r>
        <w:rPr>
          <w:rFonts w:hint="eastAsia" w:ascii="仿宋" w:hAnsi="仿宋" w:eastAsia="仿宋" w:cs="仿宋"/>
          <w:color w:val="000000"/>
          <w:highlight w:val="none"/>
        </w:rPr>
        <w:t>复印件</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成立不足一年的提供企业成立至今的财务报表复印件</w:t>
      </w:r>
      <w:r>
        <w:rPr>
          <w:rFonts w:hint="eastAsia" w:ascii="仿宋" w:hAnsi="仿宋" w:eastAsia="仿宋" w:cs="仿宋"/>
          <w:color w:val="000000"/>
          <w:highlight w:val="none"/>
          <w:lang w:eastAsia="zh-CN"/>
        </w:rPr>
        <w:t>）</w:t>
      </w:r>
      <w:r>
        <w:rPr>
          <w:rFonts w:hint="eastAsia" w:ascii="仿宋" w:hAnsi="仿宋" w:eastAsia="仿宋" w:cs="仿宋"/>
          <w:color w:val="000000"/>
          <w:highlight w:val="none"/>
        </w:rPr>
        <w:t>，须加盖本单位章。</w:t>
      </w:r>
    </w:p>
    <w:p>
      <w:pPr>
        <w:pStyle w:val="6"/>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2、如提供银行出具的证明文件。银行证明文件可提供原件，也可提供银行开具证明文件的复印件。若提供的是复印件，招标采购单位保留审核原件的权利。银行出具的证明文件应能说明该投标人与银行之间业务往来正常，企业信誉良好等。</w:t>
      </w:r>
    </w:p>
    <w:p>
      <w:pPr>
        <w:pStyle w:val="6"/>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3、如果是联合体投标，联合体各方均需提供上述证明。</w:t>
      </w: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numPr>
          <w:ilvl w:val="0"/>
          <w:numId w:val="0"/>
        </w:numPr>
        <w:tabs>
          <w:tab w:val="left" w:pos="5580"/>
        </w:tabs>
        <w:spacing w:line="240" w:lineRule="atLeast"/>
        <w:ind w:leftChars="257"/>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7、未在“信用中国”网站 被列入失信被执行人、重大税收违法案件当事人名单；中国政府采购网，</w:t>
      </w:r>
      <w:r>
        <w:rPr>
          <w:rFonts w:hint="eastAsia" w:ascii="仿宋" w:hAnsi="仿宋" w:eastAsia="仿宋" w:cs="仿宋"/>
          <w:b/>
          <w:bCs/>
          <w:color w:val="000000"/>
          <w:sz w:val="28"/>
          <w:szCs w:val="28"/>
          <w:highlight w:val="none"/>
          <w:lang w:val="en-US" w:eastAsia="zh-CN"/>
        </w:rPr>
        <w:fldChar w:fldCharType="begin"/>
      </w:r>
      <w:r>
        <w:rPr>
          <w:rFonts w:hint="eastAsia" w:ascii="仿宋" w:hAnsi="仿宋" w:eastAsia="仿宋" w:cs="仿宋"/>
          <w:b/>
          <w:bCs/>
          <w:color w:val="000000"/>
          <w:sz w:val="28"/>
          <w:szCs w:val="28"/>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仿宋" w:hAnsi="仿宋" w:eastAsia="仿宋" w:cs="仿宋"/>
          <w:b/>
          <w:bCs/>
          <w:color w:val="000000"/>
          <w:sz w:val="28"/>
          <w:szCs w:val="28"/>
          <w:highlight w:val="none"/>
          <w:lang w:val="en-US" w:eastAsia="zh-CN"/>
        </w:rPr>
        <w:fldChar w:fldCharType="separate"/>
      </w:r>
      <w:r>
        <w:rPr>
          <w:rFonts w:hint="eastAsia" w:ascii="仿宋" w:hAnsi="仿宋" w:eastAsia="仿宋" w:cs="仿宋"/>
          <w:b/>
          <w:bCs/>
          <w:color w:val="000000"/>
          <w:sz w:val="28"/>
          <w:szCs w:val="28"/>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b/>
          <w:bCs/>
          <w:color w:val="000000"/>
          <w:sz w:val="28"/>
          <w:szCs w:val="28"/>
          <w:highlight w:val="none"/>
          <w:lang w:val="en-US" w:eastAsia="zh-CN"/>
        </w:rPr>
        <w:fldChar w:fldCharType="end"/>
      </w:r>
      <w:r>
        <w:rPr>
          <w:rFonts w:hint="eastAsia" w:ascii="仿宋" w:hAnsi="仿宋" w:eastAsia="仿宋" w:cs="仿宋"/>
          <w:b/>
          <w:bCs/>
          <w:color w:val="000000"/>
          <w:sz w:val="28"/>
          <w:szCs w:val="28"/>
          <w:highlight w:val="none"/>
          <w:lang w:val="en-US" w:eastAsia="zh-CN"/>
        </w:rPr>
        <w:t>，附网站截图。</w:t>
      </w:r>
    </w:p>
    <w:p>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ind w:leftChars="257"/>
        <w:textAlignment w:val="auto"/>
        <w:rPr>
          <w:rFonts w:hint="eastAsia" w:ascii="宋体" w:hAnsi="宋体" w:cs="宋体"/>
          <w:b/>
          <w:bCs/>
          <w:color w:val="000000"/>
          <w:sz w:val="28"/>
          <w:szCs w:val="28"/>
          <w:highlight w:val="none"/>
        </w:rPr>
      </w:pPr>
    </w:p>
    <w:p>
      <w:pPr>
        <w:pStyle w:val="6"/>
        <w:ind w:firstLine="0"/>
        <w:rPr>
          <w:rFonts w:hint="eastAsia"/>
          <w:color w:val="000000"/>
          <w:highlight w:val="none"/>
        </w:rPr>
      </w:pPr>
    </w:p>
    <w:p>
      <w:pPr>
        <w:pStyle w:val="6"/>
        <w:ind w:firstLine="0"/>
        <w:rPr>
          <w:rFonts w:hint="eastAsia"/>
          <w:color w:val="000000"/>
          <w:highlight w:val="none"/>
        </w:rPr>
      </w:pPr>
    </w:p>
    <w:p>
      <w:pPr>
        <w:pStyle w:val="6"/>
        <w:ind w:firstLine="0"/>
        <w:rPr>
          <w:rFonts w:hint="eastAsia"/>
          <w:color w:val="000000"/>
          <w:highlight w:val="none"/>
        </w:rPr>
      </w:pPr>
    </w:p>
    <w:p>
      <w:pPr>
        <w:tabs>
          <w:tab w:val="left" w:pos="5580"/>
        </w:tabs>
        <w:spacing w:line="360" w:lineRule="exact"/>
        <w:ind w:firstLine="280" w:firstLineChars="100"/>
        <w:rPr>
          <w:rFonts w:hint="eastAsia" w:ascii="仿宋" w:hAnsi="仿宋" w:eastAsia="仿宋" w:cs="仿宋"/>
          <w:b/>
          <w:bCs/>
          <w:color w:val="000000"/>
          <w:sz w:val="28"/>
          <w:szCs w:val="28"/>
          <w:highlight w:val="none"/>
        </w:rPr>
      </w:pPr>
      <w:r>
        <w:rPr>
          <w:rFonts w:hint="eastAsia" w:ascii="宋体" w:hAnsi="宋体" w:cs="宋体"/>
          <w:b/>
          <w:bCs/>
          <w:color w:val="000000"/>
          <w:sz w:val="28"/>
          <w:szCs w:val="28"/>
          <w:highlight w:val="none"/>
          <w:lang w:val="en-US" w:eastAsia="zh-CN"/>
        </w:rPr>
        <w:t>8</w:t>
      </w:r>
      <w:r>
        <w:rPr>
          <w:rFonts w:hint="eastAsia" w:ascii="仿宋" w:hAnsi="仿宋" w:eastAsia="仿宋" w:cs="仿宋"/>
          <w:b/>
          <w:bCs/>
          <w:color w:val="000000"/>
          <w:sz w:val="28"/>
          <w:szCs w:val="28"/>
          <w:highlight w:val="none"/>
        </w:rPr>
        <w:t>、投标单位（供应商）提供针对本次项目《反商业贿赂承诺书》</w:t>
      </w:r>
    </w:p>
    <w:p>
      <w:pPr>
        <w:pStyle w:val="6"/>
        <w:ind w:firstLine="0"/>
        <w:rPr>
          <w:rFonts w:hint="eastAsia" w:ascii="仿宋" w:hAnsi="仿宋" w:eastAsia="仿宋" w:cs="仿宋"/>
          <w:color w:val="000000"/>
          <w:highlight w:val="none"/>
        </w:rPr>
      </w:pPr>
    </w:p>
    <w:p>
      <w:pPr>
        <w:widowControl/>
        <w:spacing w:before="100" w:beforeAutospacing="1" w:after="100" w:afterAutospacing="1"/>
        <w:ind w:firstLine="960" w:firstLineChars="4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360" w:lineRule="auto"/>
        <w:ind w:firstLine="89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公司法人代表：</w:t>
      </w:r>
    </w:p>
    <w:p>
      <w:pPr>
        <w:widowControl/>
        <w:spacing w:before="100" w:beforeAutospacing="1" w:after="100" w:afterAutospacing="1" w:line="360" w:lineRule="auto"/>
        <w:ind w:firstLine="899"/>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法人授权代表：</w:t>
      </w:r>
    </w:p>
    <w:p>
      <w:pPr>
        <w:widowControl/>
        <w:spacing w:before="100" w:beforeAutospacing="1" w:after="100" w:afterAutospacing="1" w:line="360" w:lineRule="auto"/>
        <w:ind w:firstLine="897"/>
        <w:jc w:val="left"/>
        <w:rPr>
          <w:rFonts w:hint="eastAsia" w:ascii="仿宋" w:hAnsi="仿宋" w:eastAsia="仿宋" w:cs="仿宋"/>
          <w:color w:val="000000"/>
          <w:szCs w:val="21"/>
          <w:highlight w:val="none"/>
        </w:rPr>
      </w:pPr>
      <w:r>
        <w:rPr>
          <w:rFonts w:hint="eastAsia" w:ascii="仿宋" w:hAnsi="仿宋" w:eastAsia="仿宋" w:cs="仿宋"/>
          <w:color w:val="000000"/>
          <w:spacing w:val="30"/>
          <w:sz w:val="24"/>
          <w:highlight w:val="none"/>
        </w:rPr>
        <w:t>项目经办人</w:t>
      </w:r>
      <w:r>
        <w:rPr>
          <w:rFonts w:hint="eastAsia" w:ascii="仿宋" w:hAnsi="仿宋" w:eastAsia="仿宋" w:cs="仿宋"/>
          <w:color w:val="000000"/>
          <w:spacing w:val="30"/>
          <w:szCs w:val="21"/>
          <w:highlight w:val="none"/>
        </w:rPr>
        <w:t>：</w:t>
      </w: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pStyle w:val="6"/>
        <w:ind w:firstLine="0"/>
        <w:rPr>
          <w:color w:val="000000"/>
          <w:highlight w:val="none"/>
        </w:rPr>
      </w:pPr>
    </w:p>
    <w:p>
      <w:pPr>
        <w:pStyle w:val="6"/>
        <w:numPr>
          <w:ilvl w:val="0"/>
          <w:numId w:val="0"/>
        </w:numP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参加政府采购活动近3年内，在经营活动中没有重大违法记录的书面声明；</w:t>
      </w:r>
    </w:p>
    <w:p>
      <w:pPr>
        <w:pStyle w:val="6"/>
        <w:ind w:firstLine="0"/>
        <w:rPr>
          <w:rFonts w:hint="eastAsia" w:ascii="仿宋" w:hAnsi="仿宋" w:eastAsia="仿宋" w:cs="仿宋"/>
          <w:color w:val="000000"/>
          <w:highlight w:val="none"/>
        </w:rPr>
      </w:pPr>
      <w:r>
        <w:rPr>
          <w:rFonts w:hint="eastAsia" w:ascii="仿宋" w:hAnsi="仿宋" w:eastAsia="仿宋" w:cs="仿宋"/>
          <w:color w:val="000000"/>
          <w:highlight w:val="none"/>
        </w:rPr>
        <w:t>注：</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1.投标人应按照相关法规规定如实作出说明。</w:t>
      </w:r>
    </w:p>
    <w:p>
      <w:pPr>
        <w:pStyle w:val="6"/>
        <w:ind w:firstLine="720" w:firstLineChars="300"/>
        <w:rPr>
          <w:rFonts w:hint="eastAsia" w:ascii="仿宋" w:hAnsi="仿宋" w:eastAsia="仿宋" w:cs="仿宋"/>
          <w:color w:val="000000"/>
          <w:highlight w:val="none"/>
        </w:rPr>
      </w:pPr>
      <w:r>
        <w:rPr>
          <w:rFonts w:hint="eastAsia" w:ascii="仿宋" w:hAnsi="仿宋" w:eastAsia="仿宋" w:cs="仿宋"/>
          <w:color w:val="000000"/>
          <w:highlight w:val="none"/>
        </w:rPr>
        <w:t>2．按照招标文件的规定加盖本单位章（自然人投标的无需盖章，需要签字）。</w:t>
      </w:r>
    </w:p>
    <w:p>
      <w:pPr>
        <w:pStyle w:val="6"/>
        <w:ind w:firstLine="0"/>
        <w:rPr>
          <w:rFonts w:hint="eastAsia" w:ascii="仿宋" w:hAnsi="仿宋" w:eastAsia="仿宋" w:cs="仿宋"/>
          <w:color w:val="000000"/>
          <w:highlight w:val="none"/>
        </w:rPr>
      </w:pPr>
      <w:r>
        <w:rPr>
          <w:rFonts w:hint="eastAsia" w:ascii="仿宋" w:hAnsi="仿宋" w:eastAsia="仿宋" w:cs="仿宋"/>
          <w:color w:val="000000"/>
          <w:highlight w:val="none"/>
        </w:rPr>
        <w:t xml:space="preserve">      3.如果是联合体投标，联合体各方均需提供上述证明。</w:t>
      </w:r>
    </w:p>
    <w:p>
      <w:pPr>
        <w:pStyle w:val="6"/>
        <w:ind w:firstLine="0"/>
        <w:rPr>
          <w:rFonts w:hint="eastAsia" w:ascii="仿宋" w:hAnsi="仿宋" w:eastAsia="仿宋" w:cs="仿宋"/>
          <w:color w:val="000000"/>
          <w:highlight w:val="none"/>
        </w:rPr>
      </w:pPr>
    </w:p>
    <w:p>
      <w:pPr>
        <w:pStyle w:val="7"/>
      </w:pPr>
    </w:p>
    <w:p>
      <w:pPr>
        <w:pStyle w:val="26"/>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8"/>
          <w:szCs w:val="28"/>
          <w:highlight w:val="none"/>
          <w:lang w:val="en-US" w:eastAsia="zh-CN"/>
        </w:rPr>
        <w:t>10</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rPr>
        <w:t>投标保证金缴纳凭证复印件或投标担保函</w:t>
      </w:r>
    </w:p>
    <w:p>
      <w:pPr>
        <w:pStyle w:val="26"/>
        <w:ind w:left="718" w:leftChars="342"/>
        <w:jc w:val="center"/>
        <w:rPr>
          <w:rFonts w:hint="eastAsia" w:ascii="宋体" w:hAnsi="宋体" w:eastAsia="宋体" w:cs="宋体"/>
          <w:color w:val="000000"/>
          <w:highlight w:val="none"/>
        </w:rPr>
      </w:pPr>
    </w:p>
    <w:p>
      <w:pPr>
        <w:jc w:val="both"/>
        <w:rPr>
          <w:rFonts w:hint="eastAsia" w:ascii="仿宋" w:hAnsi="仿宋" w:eastAsia="仿宋" w:cs="仿宋"/>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投标人可将本项目投标保证金支付的汇款凭证、支票、汇票或保证金收据（如有）的复印件作为缴纳凭证装订在本部分，复印件上应加盖本单位章；使用银行保函等其他投标担保函的，应将担保函</w:t>
      </w:r>
      <w:r>
        <w:rPr>
          <w:rFonts w:hint="eastAsia" w:ascii="仿宋" w:hAnsi="仿宋" w:eastAsia="仿宋" w:cs="仿宋"/>
          <w:color w:val="auto"/>
          <w:sz w:val="24"/>
          <w:highlight w:val="none"/>
          <w:lang w:val="en-US" w:eastAsia="zh-CN"/>
        </w:rPr>
        <w:t>扫描件做入电子文件中</w:t>
      </w:r>
      <w:r>
        <w:rPr>
          <w:rFonts w:hint="eastAsia" w:ascii="仿宋" w:hAnsi="仿宋" w:eastAsia="仿宋" w:cs="仿宋"/>
          <w:color w:val="auto"/>
          <w:sz w:val="24"/>
          <w:highlight w:val="none"/>
        </w:rPr>
        <w:t>；如采用政府采购信用担保形式的，应使用政府采购投标担保函。</w:t>
      </w:r>
    </w:p>
    <w:p>
      <w:pPr>
        <w:pStyle w:val="26"/>
        <w:jc w:val="both"/>
        <w:rPr>
          <w:rFonts w:hint="eastAsia"/>
        </w:rPr>
      </w:pPr>
    </w:p>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政府采购投标担保函 </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编号：</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（采购人或采购代理机构）：</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鉴于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（以下简称“投标人”）拟参加编号为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一、保证责任的情形及保证金额</w:t>
      </w:r>
    </w:p>
    <w:p>
      <w:pPr>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（一）在投标人出现下列情形之一时，我方承担保证责任：</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1．中标后投标人无正当理由不与采购人或者采购代理机构签订《政府采购合同》；</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2．招标文件规定的投标人应当缴纳保证金的其他情形。</w:t>
      </w:r>
    </w:p>
    <w:p>
      <w:pPr>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（二）我方承担保证责任的最高金额为人民币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元（大写</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），即本项目的投标保证金金额。</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二、保证的方式及保证期间</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我方保证的方式为：连带责任保证。</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我方的保证期间为：自本保函生效之日起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个月止。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三、承担保证责任的程序</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2．我方在收到索赔通知及相关证明材料后，在</w:t>
      </w:r>
      <w:r>
        <w:rPr>
          <w:rFonts w:hint="eastAsia" w:ascii="仿宋" w:hAnsi="仿宋" w:eastAsia="仿宋" w:cs="仿宋"/>
          <w:color w:val="000000"/>
          <w:sz w:val="24"/>
          <w:highlight w:val="none"/>
          <w:u w:val="single"/>
        </w:rPr>
        <w:t>　　　</w:t>
      </w:r>
      <w:r>
        <w:rPr>
          <w:rFonts w:hint="eastAsia" w:ascii="仿宋" w:hAnsi="仿宋" w:eastAsia="仿宋" w:cs="仿宋"/>
          <w:color w:val="000000"/>
          <w:sz w:val="24"/>
          <w:highlight w:val="none"/>
        </w:rPr>
        <w:t>个工作日内进行审查，符合应承担保证责任情形的，我方应按照你方的要求代投标人向你方支付投标保证金。</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四、保证责任的终止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1．保证期间届满你方未向我方书面主张保证责任的，自保证期间届满次日起，我方保证责任自动终止。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3．按照法律法规的规定或出现我方保证责任终止的其它情形的，我方在本保函项下的保证责任亦终止。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五、免责条款</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2．因你方原因致使投标人发生本保函第一条第（一）款约定情形的，我方不承担保证责任。</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3．因不可抗力造成投标人发生本保函第一条约定情形的，我方不承担保证责任。</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六、争议的解决</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因本保函发生的纠纷，由你我双方协商解决，协商不成的，通过诉讼程序解决，诉讼管辖地法院为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法院。</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七、保函的生效</w:t>
      </w: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本保函自我方加盖公章之日起生效。</w:t>
      </w:r>
    </w:p>
    <w:p>
      <w:pPr>
        <w:ind w:firstLine="6360" w:firstLineChars="26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保证人：（公章）</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pPr>
        <w:tabs>
          <w:tab w:val="left" w:pos="5580"/>
        </w:tabs>
        <w:spacing w:line="360" w:lineRule="exact"/>
        <w:jc w:val="right"/>
        <w:rPr>
          <w:rFonts w:hint="eastAsia"/>
          <w:color w:val="000000"/>
          <w:highlight w:val="none"/>
        </w:rPr>
      </w:pPr>
      <w:r>
        <w:rPr>
          <w:rFonts w:hint="eastAsia" w:ascii="仿宋" w:hAnsi="仿宋" w:eastAsia="仿宋" w:cs="仿宋"/>
          <w:color w:val="000000"/>
          <w:sz w:val="24"/>
          <w:highlight w:val="none"/>
        </w:rPr>
        <w:t>年     月</w:t>
      </w:r>
      <w:r>
        <w:rPr>
          <w:rFonts w:hint="eastAsia" w:ascii="仿宋" w:hAnsi="仿宋" w:eastAsia="仿宋" w:cs="仿宋"/>
          <w:color w:val="000000"/>
          <w:highlight w:val="none"/>
        </w:rPr>
        <w:br w:type="page"/>
      </w:r>
    </w:p>
    <w:p>
      <w:pPr>
        <w:tabs>
          <w:tab w:val="left" w:pos="5580"/>
        </w:tabs>
        <w:spacing w:line="360" w:lineRule="exact"/>
        <w:jc w:val="center"/>
        <w:rPr>
          <w:rFonts w:hint="eastAsia" w:ascii="仿宋" w:hAnsi="仿宋" w:eastAsia="仿宋" w:cs="仿宋"/>
          <w:color w:val="000000"/>
          <w:highlight w:val="none"/>
        </w:rPr>
      </w:pPr>
      <w:r>
        <w:rPr>
          <w:rFonts w:hint="eastAsia" w:ascii="仿宋" w:hAnsi="仿宋" w:eastAsia="仿宋" w:cs="仿宋"/>
          <w:b/>
          <w:bCs/>
          <w:color w:val="000000"/>
          <w:sz w:val="28"/>
          <w:szCs w:val="28"/>
          <w:highlight w:val="none"/>
          <w:lang w:val="en-US" w:eastAsia="zh-CN"/>
        </w:rPr>
        <w:t>11</w:t>
      </w:r>
      <w:r>
        <w:rPr>
          <w:rFonts w:hint="eastAsia" w:ascii="仿宋" w:hAnsi="仿宋" w:eastAsia="仿宋" w:cs="仿宋"/>
          <w:b/>
          <w:bCs/>
          <w:color w:val="000000"/>
          <w:sz w:val="28"/>
          <w:szCs w:val="28"/>
          <w:highlight w:val="none"/>
        </w:rPr>
        <w:t>、投标人须知资料表要求的其他资格证明文件</w:t>
      </w:r>
    </w:p>
    <w:p>
      <w:pPr>
        <w:pStyle w:val="6"/>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注：1.应提供投标人须知资料表要求的其他资格证明文件。</w:t>
      </w:r>
    </w:p>
    <w:p>
      <w:pPr>
        <w:pStyle w:val="6"/>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    2.复印件上应加盖本单位章（自然人投标的无需盖章，需要签字）。</w:t>
      </w:r>
    </w:p>
    <w:p>
      <w:pPr>
        <w:pStyle w:val="6"/>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    3. 如果是联合体投标，联合体各方需提供的满足招标文件要求的其他资格证明文件。</w:t>
      </w:r>
    </w:p>
    <w:p>
      <w:pPr>
        <w:rPr>
          <w:rFonts w:hint="eastAsia" w:ascii="仿宋" w:hAnsi="仿宋" w:eastAsia="仿宋" w:cs="仿宋"/>
          <w:color w:val="000000"/>
          <w:sz w:val="24"/>
          <w:highlight w:val="none"/>
        </w:rPr>
      </w:pPr>
    </w:p>
    <w:p>
      <w:pPr>
        <w:pStyle w:val="37"/>
        <w:ind w:firstLine="240"/>
        <w:rPr>
          <w:color w:val="000000"/>
          <w:highlight w:val="none"/>
        </w:rPr>
      </w:pPr>
    </w:p>
    <w:p>
      <w:pPr>
        <w:rPr>
          <w:rFonts w:hint="eastAsia"/>
          <w:color w:val="000000"/>
          <w:sz w:val="24"/>
          <w:highlight w:val="none"/>
        </w:rPr>
      </w:pPr>
    </w:p>
    <w:p>
      <w:pPr>
        <w:pStyle w:val="2"/>
        <w:tabs>
          <w:tab w:val="left" w:pos="540"/>
        </w:tabs>
        <w:rPr>
          <w:rFonts w:hint="eastAsia"/>
          <w:color w:val="000000"/>
          <w:sz w:val="24"/>
          <w:szCs w:val="24"/>
          <w:highlight w:val="none"/>
        </w:rPr>
      </w:pPr>
    </w:p>
    <w:p>
      <w:pPr>
        <w:tabs>
          <w:tab w:val="left" w:pos="5580"/>
        </w:tabs>
        <w:spacing w:line="360" w:lineRule="exact"/>
        <w:jc w:val="center"/>
        <w:rPr>
          <w:rFonts w:hint="eastAsia" w:ascii="仿宋" w:hAnsi="仿宋" w:eastAsia="仿宋" w:cs="仿宋"/>
          <w:b/>
          <w:bCs/>
          <w:color w:val="000000"/>
          <w:sz w:val="28"/>
          <w:szCs w:val="28"/>
          <w:highlight w:val="none"/>
        </w:rPr>
      </w:pPr>
      <w:bookmarkStart w:id="289" w:name="_Toc3644"/>
      <w:bookmarkStart w:id="290" w:name="_Toc22951"/>
      <w:bookmarkStart w:id="291" w:name="_Toc12856"/>
      <w:r>
        <w:rPr>
          <w:rFonts w:hint="eastAsia" w:ascii="仿宋" w:hAnsi="仿宋" w:eastAsia="仿宋" w:cs="仿宋"/>
          <w:b/>
          <w:bCs/>
          <w:color w:val="000000"/>
          <w:sz w:val="28"/>
          <w:szCs w:val="28"/>
          <w:highlight w:val="none"/>
          <w:lang w:val="en-US" w:eastAsia="zh-CN"/>
        </w:rPr>
        <w:t>12</w:t>
      </w:r>
      <w:r>
        <w:rPr>
          <w:rFonts w:hint="eastAsia" w:ascii="仿宋" w:hAnsi="仿宋" w:eastAsia="仿宋" w:cs="仿宋"/>
          <w:b/>
          <w:bCs/>
          <w:color w:val="000000"/>
          <w:sz w:val="28"/>
          <w:szCs w:val="28"/>
          <w:highlight w:val="none"/>
        </w:rPr>
        <w:t>、投标人可提供有利于投标的其他证明材料</w:t>
      </w:r>
      <w:bookmarkEnd w:id="289"/>
      <w:bookmarkEnd w:id="290"/>
      <w:bookmarkEnd w:id="291"/>
    </w:p>
    <w:p>
      <w:pPr>
        <w:tabs>
          <w:tab w:val="left" w:pos="5580"/>
        </w:tabs>
        <w:spacing w:line="360" w:lineRule="exact"/>
        <w:rPr>
          <w:rFonts w:hint="eastAsia" w:ascii="宋体" w:hAnsi="宋体" w:cs="宋体"/>
          <w:b/>
          <w:bCs/>
          <w:sz w:val="28"/>
          <w:szCs w:val="28"/>
          <w:highlight w:val="none"/>
        </w:rPr>
      </w:pPr>
    </w:p>
    <w:p>
      <w:pPr>
        <w:pStyle w:val="33"/>
        <w:spacing w:line="360" w:lineRule="auto"/>
        <w:ind w:left="120"/>
        <w:rPr>
          <w:rFonts w:hint="eastAsia"/>
          <w:b/>
          <w:bCs/>
          <w:color w:val="000000"/>
          <w:highlight w:val="none"/>
        </w:rPr>
      </w:pPr>
    </w:p>
    <w:p>
      <w:pPr>
        <w:pStyle w:val="33"/>
        <w:spacing w:line="360" w:lineRule="auto"/>
        <w:rPr>
          <w:rFonts w:hint="eastAsia"/>
          <w:b/>
          <w:bCs/>
          <w:color w:val="000000"/>
          <w:sz w:val="28"/>
          <w:szCs w:val="28"/>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pStyle w:val="6"/>
        <w:ind w:firstLine="0"/>
        <w:rPr>
          <w:rFonts w:hint="eastAsia"/>
          <w:highlight w:val="none"/>
        </w:rPr>
      </w:pPr>
    </w:p>
    <w:p>
      <w:pPr>
        <w:tabs>
          <w:tab w:val="left" w:pos="5580"/>
        </w:tabs>
        <w:spacing w:line="360" w:lineRule="exact"/>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第二部分  商务及技术文件</w:t>
      </w:r>
    </w:p>
    <w:p>
      <w:pPr>
        <w:pStyle w:val="6"/>
        <w:ind w:firstLine="0"/>
        <w:rPr>
          <w:rFonts w:hint="eastAsia" w:ascii="仿宋" w:hAnsi="仿宋" w:eastAsia="仿宋" w:cs="仿宋"/>
          <w:color w:val="000000"/>
          <w:highlight w:val="none"/>
        </w:rPr>
      </w:pPr>
    </w:p>
    <w:p>
      <w:pPr>
        <w:pStyle w:val="6"/>
        <w:ind w:firstLine="0"/>
        <w:rPr>
          <w:rFonts w:hint="eastAsia" w:ascii="仿宋" w:hAnsi="仿宋" w:eastAsia="仿宋" w:cs="仿宋"/>
          <w:color w:val="000000"/>
          <w:highlight w:val="none"/>
        </w:rPr>
      </w:pPr>
    </w:p>
    <w:p>
      <w:pPr>
        <w:pStyle w:val="16"/>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投标书（附件</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w:t>
      </w:r>
    </w:p>
    <w:p>
      <w:pPr>
        <w:pStyle w:val="16"/>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投标人企业（单位）类型声明函（附件</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w:t>
      </w:r>
    </w:p>
    <w:p>
      <w:pPr>
        <w:pStyle w:val="16"/>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2-1中小企业声明函</w:t>
      </w: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w:t>
      </w:r>
    </w:p>
    <w:p>
      <w:pPr>
        <w:pStyle w:val="16"/>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、投标分项报价表（附件</w:t>
      </w: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w:t>
      </w:r>
    </w:p>
    <w:p>
      <w:pPr>
        <w:pStyle w:val="16"/>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、服务需求偏离表（附件</w:t>
      </w: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w:t>
      </w:r>
    </w:p>
    <w:p>
      <w:pPr>
        <w:pStyle w:val="16"/>
        <w:spacing w:line="400" w:lineRule="exact"/>
        <w:ind w:left="718" w:leftChars="228" w:hanging="240" w:hangingChars="100"/>
        <w:rPr>
          <w:rFonts w:hint="eastAsia" w:ascii="仿宋" w:hAnsi="仿宋" w:eastAsia="仿宋" w:cs="仿宋"/>
          <w:color w:val="000000"/>
          <w:sz w:val="24"/>
          <w:szCs w:val="24"/>
          <w:highlight w:val="none"/>
        </w:rPr>
      </w:pPr>
      <w:bookmarkStart w:id="292" w:name="_Toc425"/>
      <w:r>
        <w:rPr>
          <w:rFonts w:hint="eastAsia" w:ascii="仿宋" w:hAnsi="仿宋" w:eastAsia="仿宋" w:cs="仿宋"/>
          <w:color w:val="000000"/>
          <w:sz w:val="24"/>
          <w:szCs w:val="24"/>
          <w:highlight w:val="none"/>
          <w:lang w:val="en-US" w:eastAsia="zh-CN"/>
        </w:rPr>
        <w:t>5、商务条款偏离表</w:t>
      </w:r>
      <w:bookmarkEnd w:id="292"/>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类似</w:t>
      </w:r>
      <w:r>
        <w:rPr>
          <w:rFonts w:hint="eastAsia" w:ascii="仿宋" w:hAnsi="仿宋" w:eastAsia="仿宋" w:cs="仿宋"/>
          <w:color w:val="000000"/>
          <w:sz w:val="24"/>
          <w:szCs w:val="24"/>
          <w:highlight w:val="none"/>
        </w:rPr>
        <w:t>项目业绩一览表（附件</w:t>
      </w: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w:t>
      </w:r>
    </w:p>
    <w:p>
      <w:pPr>
        <w:autoSpaceDE w:val="0"/>
        <w:autoSpaceDN w:val="0"/>
        <w:spacing w:line="400" w:lineRule="exact"/>
        <w:ind w:firstLine="480" w:firstLineChars="200"/>
        <w:jc w:val="both"/>
        <w:rPr>
          <w:rFonts w:hint="eastAsia" w:ascii="仿宋" w:hAnsi="仿宋" w:eastAsia="仿宋" w:cs="仿宋"/>
          <w:color w:val="000000"/>
          <w:kern w:val="2"/>
          <w:sz w:val="24"/>
          <w:szCs w:val="24"/>
          <w:highlight w:val="none"/>
          <w:lang w:val="zh-CN" w:eastAsia="zh-CN" w:bidi="ar-SA"/>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kern w:val="2"/>
          <w:sz w:val="24"/>
          <w:szCs w:val="24"/>
          <w:highlight w:val="none"/>
          <w:lang w:val="zh-CN" w:eastAsia="zh-CN" w:bidi="ar-SA"/>
        </w:rPr>
        <w:t>人员配备情况（</w:t>
      </w:r>
      <w:r>
        <w:rPr>
          <w:rFonts w:hint="eastAsia" w:ascii="仿宋" w:hAnsi="仿宋" w:eastAsia="仿宋" w:cs="仿宋"/>
          <w:color w:val="000000"/>
          <w:kern w:val="2"/>
          <w:sz w:val="24"/>
          <w:szCs w:val="24"/>
          <w:highlight w:val="none"/>
          <w:lang w:val="en-US" w:eastAsia="zh-CN" w:bidi="ar-SA"/>
        </w:rPr>
        <w:t>格式自拟</w:t>
      </w:r>
      <w:r>
        <w:rPr>
          <w:rFonts w:hint="eastAsia" w:ascii="仿宋" w:hAnsi="仿宋" w:eastAsia="仿宋" w:cs="仿宋"/>
          <w:color w:val="000000"/>
          <w:kern w:val="2"/>
          <w:sz w:val="24"/>
          <w:szCs w:val="24"/>
          <w:highlight w:val="none"/>
          <w:lang w:val="zh-CN" w:eastAsia="zh-CN" w:bidi="ar-SA"/>
        </w:rPr>
        <w:t>）</w:t>
      </w:r>
    </w:p>
    <w:p>
      <w:pPr>
        <w:pStyle w:val="2"/>
        <w:ind w:firstLine="480" w:firstLineChars="200"/>
        <w:jc w:val="both"/>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8、企业获奖情况</w:t>
      </w:r>
    </w:p>
    <w:p>
      <w:pPr>
        <w:autoSpaceDE w:val="0"/>
        <w:autoSpaceDN w:val="0"/>
        <w:spacing w:line="400" w:lineRule="exact"/>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9、项目管理保障</w:t>
      </w:r>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编制总体思路</w:t>
      </w:r>
    </w:p>
    <w:p>
      <w:pPr>
        <w:pStyle w:val="16"/>
        <w:spacing w:line="400" w:lineRule="exact"/>
        <w:ind w:left="718" w:leftChars="228" w:hanging="240" w:hangingChars="1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技术路径</w:t>
      </w:r>
    </w:p>
    <w:p>
      <w:pPr>
        <w:pStyle w:val="16"/>
        <w:spacing w:line="400" w:lineRule="exact"/>
        <w:ind w:left="718" w:leftChars="228" w:hanging="240" w:hangingChars="1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 基础研究</w:t>
      </w:r>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13、质量和进度保证措施</w:t>
      </w:r>
      <w:r>
        <w:rPr>
          <w:rFonts w:hint="eastAsia" w:ascii="仿宋" w:hAnsi="仿宋" w:eastAsia="仿宋" w:cs="仿宋"/>
          <w:color w:val="000000"/>
          <w:sz w:val="24"/>
          <w:szCs w:val="24"/>
          <w:highlight w:val="none"/>
        </w:rPr>
        <w:t xml:space="preserve"> </w:t>
      </w:r>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14、成果内容</w:t>
      </w:r>
      <w:r>
        <w:rPr>
          <w:rFonts w:hint="eastAsia" w:ascii="仿宋" w:hAnsi="仿宋" w:eastAsia="仿宋" w:cs="仿宋"/>
          <w:color w:val="000000"/>
          <w:sz w:val="24"/>
          <w:szCs w:val="24"/>
          <w:highlight w:val="none"/>
        </w:rPr>
        <w:t xml:space="preserve">     </w:t>
      </w:r>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zh-CN"/>
        </w:rPr>
        <w:t>售后服务计划及服务承诺</w:t>
      </w:r>
    </w:p>
    <w:p>
      <w:pPr>
        <w:pStyle w:val="16"/>
        <w:spacing w:line="400" w:lineRule="exact"/>
        <w:ind w:left="718" w:leftChars="228" w:hanging="240" w:hanging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16、 </w:t>
      </w:r>
      <w:r>
        <w:rPr>
          <w:rFonts w:hint="eastAsia" w:ascii="仿宋" w:hAnsi="仿宋" w:eastAsia="仿宋" w:cs="仿宋"/>
          <w:color w:val="000000"/>
          <w:sz w:val="24"/>
          <w:szCs w:val="24"/>
          <w:highlight w:val="none"/>
        </w:rPr>
        <w:t>其他资料</w:t>
      </w:r>
    </w:p>
    <w:p>
      <w:pPr>
        <w:pStyle w:val="16"/>
        <w:spacing w:line="400" w:lineRule="exact"/>
        <w:ind w:left="718" w:leftChars="228" w:hanging="240" w:hangingChars="100"/>
        <w:rPr>
          <w:rFonts w:hint="eastAsia" w:ascii="宋体" w:hAnsi="宋体" w:eastAsia="宋体" w:cs="宋体"/>
          <w:color w:val="000000"/>
          <w:sz w:val="24"/>
          <w:szCs w:val="24"/>
          <w:highlight w:val="none"/>
        </w:rPr>
      </w:pPr>
    </w:p>
    <w:p>
      <w:pPr>
        <w:pStyle w:val="6"/>
        <w:ind w:firstLine="480"/>
        <w:rPr>
          <w:rFonts w:hint="eastAsia" w:ascii="仿宋" w:hAnsi="仿宋" w:eastAsia="仿宋" w:cs="仿宋"/>
          <w:color w:val="000000"/>
          <w:szCs w:val="24"/>
          <w:highlight w:val="none"/>
        </w:rPr>
      </w:pPr>
      <w:r>
        <w:rPr>
          <w:rFonts w:hint="eastAsia" w:hAnsi="宋体" w:cs="宋体"/>
          <w:b/>
          <w:color w:val="000000"/>
          <w:szCs w:val="24"/>
          <w:highlight w:val="none"/>
        </w:rPr>
        <w:br w:type="page"/>
      </w:r>
      <w:bookmarkStart w:id="293" w:name="_Toc518923116"/>
      <w:bookmarkStart w:id="294" w:name="_Toc26126"/>
      <w:r>
        <w:rPr>
          <w:rFonts w:hint="eastAsia" w:hAnsi="宋体" w:cs="宋体"/>
          <w:color w:val="000000"/>
          <w:szCs w:val="24"/>
          <w:highlight w:val="none"/>
        </w:rPr>
        <w:t xml:space="preserve">             </w:t>
      </w:r>
      <w:bookmarkEnd w:id="293"/>
      <w:bookmarkEnd w:id="294"/>
      <w:r>
        <w:rPr>
          <w:rFonts w:hint="eastAsia" w:hAnsi="宋体" w:cs="宋体"/>
          <w:color w:val="000000"/>
          <w:szCs w:val="24"/>
          <w:highlight w:val="none"/>
        </w:rPr>
        <w:t xml:space="preserve"> </w:t>
      </w:r>
      <w:r>
        <w:rPr>
          <w:rFonts w:hint="eastAsia" w:ascii="仿宋" w:hAnsi="仿宋" w:eastAsia="仿宋" w:cs="仿宋"/>
          <w:b/>
          <w:bCs/>
          <w:color w:val="000000"/>
          <w:sz w:val="28"/>
          <w:szCs w:val="28"/>
          <w:highlight w:val="none"/>
        </w:rPr>
        <w:t xml:space="preserve">   1   </w:t>
      </w:r>
      <w:bookmarkStart w:id="295" w:name="_Hlt520355504"/>
      <w:bookmarkEnd w:id="295"/>
      <w:r>
        <w:rPr>
          <w:rFonts w:hint="eastAsia" w:ascii="仿宋" w:hAnsi="仿宋" w:eastAsia="仿宋" w:cs="仿宋"/>
          <w:b/>
          <w:bCs/>
          <w:color w:val="000000"/>
          <w:sz w:val="28"/>
          <w:szCs w:val="28"/>
          <w:highlight w:val="none"/>
        </w:rPr>
        <w:t>投标书（附件</w:t>
      </w:r>
      <w:r>
        <w:rPr>
          <w:rFonts w:hint="eastAsia" w:ascii="仿宋" w:hAnsi="仿宋" w:eastAsia="仿宋" w:cs="仿宋"/>
          <w:b/>
          <w:bCs/>
          <w:color w:val="000000"/>
          <w:sz w:val="28"/>
          <w:szCs w:val="28"/>
          <w:highlight w:val="none"/>
          <w:lang w:val="en-US" w:eastAsia="zh-CN"/>
        </w:rPr>
        <w:t>四</w:t>
      </w:r>
      <w:r>
        <w:rPr>
          <w:rFonts w:hint="eastAsia" w:ascii="仿宋" w:hAnsi="仿宋" w:eastAsia="仿宋" w:cs="仿宋"/>
          <w:b/>
          <w:bCs/>
          <w:color w:val="000000"/>
          <w:sz w:val="28"/>
          <w:szCs w:val="28"/>
          <w:highlight w:val="none"/>
        </w:rPr>
        <w:t>）</w:t>
      </w:r>
    </w:p>
    <w:p>
      <w:pPr>
        <w:tabs>
          <w:tab w:val="left" w:pos="5580"/>
        </w:tabs>
        <w:spacing w:line="360" w:lineRule="exact"/>
        <w:ind w:left="1079" w:leftChars="257" w:hanging="540"/>
        <w:rPr>
          <w:rFonts w:hint="eastAsia" w:ascii="仿宋" w:hAnsi="仿宋" w:eastAsia="仿宋" w:cs="仿宋"/>
          <w:color w:val="000000"/>
          <w:sz w:val="24"/>
          <w:highlight w:val="none"/>
        </w:rPr>
      </w:pPr>
    </w:p>
    <w:p>
      <w:pPr>
        <w:tabs>
          <w:tab w:val="left" w:pos="5580"/>
        </w:tabs>
        <w:spacing w:line="360" w:lineRule="exact"/>
        <w:ind w:left="1080" w:hanging="1080"/>
        <w:rPr>
          <w:rFonts w:hint="eastAsia" w:ascii="仿宋" w:hAnsi="仿宋" w:eastAsia="仿宋" w:cs="仿宋"/>
          <w:color w:val="000000"/>
          <w:sz w:val="24"/>
          <w:highlight w:val="none"/>
        </w:rPr>
      </w:pPr>
      <w:r>
        <w:rPr>
          <w:rFonts w:hint="eastAsia" w:ascii="仿宋" w:hAnsi="仿宋" w:eastAsia="仿宋" w:cs="仿宋"/>
          <w:color w:val="000000"/>
          <w:sz w:val="24"/>
          <w:highlight w:val="none"/>
        </w:rPr>
        <w:t>致：</w:t>
      </w:r>
      <w:r>
        <w:rPr>
          <w:rFonts w:hint="eastAsia" w:ascii="仿宋" w:hAnsi="仿宋" w:eastAsia="仿宋" w:cs="仿宋"/>
          <w:color w:val="000000"/>
          <w:sz w:val="24"/>
          <w:highlight w:val="none"/>
          <w:u w:val="single"/>
        </w:rPr>
        <w:t>采购代理机构</w:t>
      </w:r>
    </w:p>
    <w:p>
      <w:pPr>
        <w:pStyle w:val="16"/>
        <w:keepNext w:val="0"/>
        <w:keepLines w:val="0"/>
        <w:pageBreakBefore w:val="0"/>
        <w:widowControl w:val="0"/>
        <w:tabs>
          <w:tab w:val="left" w:pos="5580"/>
        </w:tabs>
        <w:kinsoku/>
        <w:wordWrap/>
        <w:overflowPunct/>
        <w:topLinePunct w:val="0"/>
        <w:autoSpaceDE/>
        <w:autoSpaceDN/>
        <w:bidi w:val="0"/>
        <w:adjustRightInd/>
        <w:snapToGrid/>
        <w:spacing w:line="360" w:lineRule="atLeast"/>
        <w:ind w:left="2" w:leftChars="1"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根据贵方(</w:t>
      </w:r>
      <w:r>
        <w:rPr>
          <w:rFonts w:hint="eastAsia" w:ascii="仿宋" w:hAnsi="仿宋" w:eastAsia="仿宋" w:cs="仿宋"/>
          <w:i/>
          <w:color w:val="auto"/>
          <w:sz w:val="24"/>
          <w:u w:val="single"/>
        </w:rPr>
        <w:t>项目名称</w:t>
      </w:r>
      <w:r>
        <w:rPr>
          <w:rFonts w:hint="eastAsia" w:ascii="仿宋" w:hAnsi="仿宋" w:eastAsia="仿宋" w:cs="仿宋"/>
          <w:color w:val="auto"/>
          <w:sz w:val="24"/>
        </w:rPr>
        <w:t>)项目的投标邀请(</w:t>
      </w:r>
      <w:r>
        <w:rPr>
          <w:rFonts w:hint="eastAsia" w:ascii="仿宋" w:hAnsi="仿宋" w:eastAsia="仿宋" w:cs="仿宋"/>
          <w:i/>
          <w:color w:val="auto"/>
          <w:sz w:val="24"/>
          <w:u w:val="single"/>
        </w:rPr>
        <w:t>招标编号</w:t>
      </w:r>
      <w:r>
        <w:rPr>
          <w:rFonts w:hint="eastAsia" w:ascii="仿宋" w:hAnsi="仿宋" w:eastAsia="仿宋" w:cs="仿宋"/>
          <w:color w:val="auto"/>
          <w:sz w:val="24"/>
        </w:rPr>
        <w:t>),签字代表(</w:t>
      </w:r>
      <w:r>
        <w:rPr>
          <w:rFonts w:hint="eastAsia" w:ascii="仿宋" w:hAnsi="仿宋" w:eastAsia="仿宋" w:cs="仿宋"/>
          <w:i/>
          <w:color w:val="auto"/>
          <w:sz w:val="24"/>
          <w:u w:val="single"/>
        </w:rPr>
        <w:t>姓名、职务</w:t>
      </w:r>
      <w:r>
        <w:rPr>
          <w:rFonts w:hint="eastAsia" w:ascii="仿宋" w:hAnsi="仿宋" w:eastAsia="仿宋" w:cs="仿宋"/>
          <w:color w:val="auto"/>
          <w:sz w:val="24"/>
        </w:rPr>
        <w:t>)经正式授权并代表投标人（</w:t>
      </w:r>
      <w:r>
        <w:rPr>
          <w:rFonts w:hint="eastAsia" w:ascii="仿宋" w:hAnsi="仿宋" w:eastAsia="仿宋" w:cs="仿宋"/>
          <w:i/>
          <w:color w:val="auto"/>
          <w:sz w:val="24"/>
          <w:u w:val="single"/>
        </w:rPr>
        <w:t>名称、地址</w:t>
      </w:r>
      <w:r>
        <w:rPr>
          <w:rFonts w:hint="eastAsia" w:ascii="仿宋" w:hAnsi="仿宋" w:eastAsia="仿宋" w:cs="仿宋"/>
          <w:color w:val="auto"/>
          <w:sz w:val="24"/>
        </w:rPr>
        <w:t>），以</w:t>
      </w:r>
      <w:r>
        <w:rPr>
          <w:rFonts w:hint="eastAsia" w:ascii="仿宋" w:hAnsi="仿宋" w:eastAsia="仿宋" w:cs="仿宋"/>
          <w:color w:val="auto"/>
          <w:sz w:val="24"/>
          <w:u w:val="single"/>
        </w:rPr>
        <w:t xml:space="preserve">         </w:t>
      </w:r>
      <w:r>
        <w:rPr>
          <w:rFonts w:hint="eastAsia" w:ascii="仿宋" w:hAnsi="仿宋" w:eastAsia="仿宋" w:cs="仿宋"/>
          <w:color w:val="auto"/>
          <w:sz w:val="24"/>
        </w:rPr>
        <w:t>形式出具的金额为人民币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据此，签字代表宣布同意如下：</w:t>
      </w:r>
    </w:p>
    <w:p>
      <w:pPr>
        <w:pStyle w:val="16"/>
        <w:tabs>
          <w:tab w:val="left" w:pos="720"/>
          <w:tab w:val="left" w:pos="900"/>
        </w:tabs>
        <w:spacing w:line="360" w:lineRule="exact"/>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（1）附投标价格表中规定的应提供服务的投标总价详见开标一览表，价格为</w:t>
      </w:r>
      <w:r>
        <w:rPr>
          <w:rFonts w:hint="eastAsia" w:ascii="仿宋" w:hAnsi="仿宋" w:eastAsia="仿宋" w:cs="仿宋"/>
          <w:color w:val="000000"/>
          <w:sz w:val="24"/>
          <w:szCs w:val="24"/>
          <w:highlight w:val="none"/>
          <w:u w:val="single"/>
        </w:rPr>
        <w:t>　　  （用文字和数字表示），占投标总价   %</w:t>
      </w:r>
      <w:r>
        <w:rPr>
          <w:rFonts w:hint="eastAsia" w:ascii="仿宋" w:hAnsi="仿宋" w:eastAsia="仿宋" w:cs="仿宋"/>
          <w:color w:val="000000"/>
          <w:sz w:val="24"/>
          <w:szCs w:val="24"/>
          <w:highlight w:val="none"/>
        </w:rPr>
        <w:t>。</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（2）本投标有效期为自投标截止之日起</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个日历日。</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（3）联合体中的大中型企业和其他自然人、法人或者非法人组织，与联合体中的小型、微型企业之间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存在、不存在）投资关系（如果联合体的话）。</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（4）已详细审查全部招标文件，包括所有补充通知（如果有的话），完全理解并同意放弃对这方面有不明、误解和质疑的权力。</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（5）在规定的开标时间后，遵守招标文件中有关保证金的规定。</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）在领取中标通知书的同时按招标文件规定的形式，向贵方一次性支付中标服务费。</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）按照贵方可能要求，提供与其投标有关的一切数据或资料，完全理解贵方不一定接受最低价的投标或收到的任何投标。</w:t>
      </w:r>
    </w:p>
    <w:p>
      <w:pPr>
        <w:pStyle w:val="16"/>
        <w:tabs>
          <w:tab w:val="left" w:pos="5580"/>
        </w:tabs>
        <w:spacing w:line="36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）按照招标文件的规定履行合同责任和义务。</w:t>
      </w:r>
    </w:p>
    <w:p>
      <w:pPr>
        <w:pStyle w:val="16"/>
        <w:tabs>
          <w:tab w:val="left" w:pos="5580"/>
        </w:tabs>
        <w:spacing w:line="360" w:lineRule="exact"/>
        <w:ind w:left="358" w:leftChars="68" w:hanging="216" w:hangingChars="9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pStyle w:val="16"/>
        <w:tabs>
          <w:tab w:val="left" w:pos="5580"/>
        </w:tabs>
        <w:spacing w:line="360" w:lineRule="exact"/>
        <w:ind w:left="358" w:leftChars="68" w:hanging="216" w:hangingChars="9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与本投标有关的一切正式往来信函请寄：</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传真：</w:t>
      </w:r>
      <w:r>
        <w:rPr>
          <w:rFonts w:hint="eastAsia" w:ascii="仿宋" w:hAnsi="仿宋" w:eastAsia="仿宋" w:cs="仿宋"/>
          <w:color w:val="000000"/>
          <w:sz w:val="24"/>
          <w:szCs w:val="24"/>
          <w:highlight w:val="none"/>
          <w:u w:val="single"/>
        </w:rPr>
        <w:t xml:space="preserve">                             </w:t>
      </w:r>
    </w:p>
    <w:p>
      <w:pPr>
        <w:pStyle w:val="16"/>
        <w:tabs>
          <w:tab w:val="left" w:pos="5580"/>
        </w:tabs>
        <w:spacing w:line="360" w:lineRule="exact"/>
        <w:ind w:left="1079" w:leftChars="257" w:hanging="54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电子函件：</w:t>
      </w:r>
      <w:r>
        <w:rPr>
          <w:rFonts w:hint="eastAsia" w:ascii="仿宋" w:hAnsi="仿宋" w:eastAsia="仿宋" w:cs="仿宋"/>
          <w:color w:val="000000"/>
          <w:sz w:val="24"/>
          <w:szCs w:val="24"/>
          <w:highlight w:val="none"/>
          <w:u w:val="single"/>
        </w:rPr>
        <w:t xml:space="preserve">                         </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p>
    <w:p>
      <w:pPr>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投标人名称（全称）：</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投标人开户银行（全称）：</w:t>
      </w:r>
      <w:r>
        <w:rPr>
          <w:rFonts w:hint="eastAsia" w:ascii="仿宋" w:hAnsi="仿宋" w:eastAsia="仿宋" w:cs="仿宋"/>
          <w:color w:val="000000"/>
          <w:sz w:val="24"/>
          <w:szCs w:val="24"/>
          <w:highlight w:val="none"/>
          <w:u w:val="single"/>
        </w:rPr>
        <w:t xml:space="preserve">　　　　　　 </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投标人银行帐号：</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投标人单位章：</w:t>
      </w:r>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w:t>
      </w:r>
      <w:bookmarkStart w:id="296" w:name="_Hlt520356243"/>
      <w:bookmarkEnd w:id="296"/>
      <w:bookmarkStart w:id="297" w:name="_Hlt520355938"/>
      <w:bookmarkEnd w:id="297"/>
      <w:bookmarkStart w:id="298" w:name="_Toc216582815"/>
    </w:p>
    <w:p>
      <w:pPr>
        <w:pStyle w:val="16"/>
        <w:tabs>
          <w:tab w:val="left" w:pos="5580"/>
        </w:tabs>
        <w:spacing w:line="360" w:lineRule="exact"/>
        <w:ind w:left="1079" w:leftChars="257" w:hanging="540"/>
        <w:rPr>
          <w:rFonts w:hint="eastAsia" w:ascii="仿宋" w:hAnsi="仿宋" w:eastAsia="仿宋" w:cs="仿宋"/>
          <w:color w:val="000000"/>
          <w:sz w:val="24"/>
          <w:szCs w:val="24"/>
          <w:highlight w:val="none"/>
        </w:rPr>
      </w:pPr>
    </w:p>
    <w:p>
      <w:pPr>
        <w:pStyle w:val="16"/>
        <w:spacing w:line="360" w:lineRule="auto"/>
        <w:jc w:val="both"/>
        <w:rPr>
          <w:rFonts w:hint="eastAsia" w:ascii="宋体" w:hAnsi="宋体" w:eastAsia="宋体" w:cs="宋体"/>
          <w:b/>
          <w:bCs/>
          <w:color w:val="000000"/>
          <w:sz w:val="24"/>
          <w:szCs w:val="24"/>
          <w:highlight w:val="none"/>
        </w:rPr>
      </w:pPr>
    </w:p>
    <w:p>
      <w:pPr>
        <w:pStyle w:val="17"/>
        <w:rPr>
          <w:rFonts w:hint="eastAsia" w:ascii="宋体" w:hAnsi="宋体" w:eastAsia="宋体" w:cs="宋体"/>
          <w:b/>
          <w:bCs/>
          <w:color w:val="000000"/>
          <w:sz w:val="24"/>
          <w:szCs w:val="24"/>
          <w:highlight w:val="none"/>
        </w:rPr>
      </w:pPr>
    </w:p>
    <w:p>
      <w:pPr>
        <w:rPr>
          <w:rFonts w:hint="eastAsia"/>
        </w:rPr>
      </w:pPr>
    </w:p>
    <w:p>
      <w:pPr>
        <w:pStyle w:val="16"/>
        <w:spacing w:line="360" w:lineRule="auto"/>
        <w:jc w:val="both"/>
        <w:rPr>
          <w:rFonts w:hint="eastAsia" w:ascii="宋体" w:hAnsi="宋体" w:eastAsia="宋体" w:cs="宋体"/>
          <w:b/>
          <w:bCs/>
          <w:color w:val="000000"/>
          <w:sz w:val="24"/>
          <w:szCs w:val="24"/>
          <w:highlight w:val="none"/>
        </w:rPr>
      </w:pPr>
    </w:p>
    <w:p>
      <w:pPr>
        <w:pStyle w:val="16"/>
        <w:spacing w:line="240" w:lineRule="atLeast"/>
        <w:ind w:left="1079" w:leftChars="257" w:hanging="54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 xml:space="preserve"> 投标人企业（单位）类型声明函（附件</w:t>
      </w: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w:t>
      </w:r>
    </w:p>
    <w:p>
      <w:pPr>
        <w:spacing w:line="240" w:lineRule="atLeast"/>
        <w:ind w:left="1079" w:leftChars="257" w:hanging="540"/>
        <w:jc w:val="center"/>
        <w:rPr>
          <w:rFonts w:hint="eastAsia" w:ascii="仿宋" w:hAnsi="仿宋" w:eastAsia="仿宋" w:cs="仿宋"/>
          <w:b/>
          <w:color w:val="000000"/>
          <w:kern w:val="0"/>
          <w:sz w:val="24"/>
          <w:szCs w:val="20"/>
          <w:highlight w:val="none"/>
        </w:rPr>
      </w:pPr>
    </w:p>
    <w:p>
      <w:pPr>
        <w:widowControl/>
        <w:spacing w:before="100" w:beforeAutospacing="1" w:after="100" w:afterAutospacing="1" w:line="330" w:lineRule="atLeas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1、□本企业（单位）为直接投标人，提供本企业（单位）服务。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《政府采购促进中小企业发展管理办法》（财库﹝2020﹞46号）的规定</w:t>
      </w:r>
      <w:r>
        <w:rPr>
          <w:rFonts w:hint="eastAsia" w:ascii="仿宋" w:hAnsi="仿宋" w:eastAsia="仿宋" w:cs="仿宋"/>
          <w:color w:val="000000"/>
          <w:kern w:val="0"/>
          <w:sz w:val="24"/>
          <w:highlight w:val="none"/>
        </w:rPr>
        <w:t>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（2）本企业</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（3）根据《关于促进残疾人就业政府采购政策的通知》（财库〔2017〕141号）。本单位</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rPr>
      </w:pPr>
      <w:r>
        <w:rPr>
          <w:rFonts w:hint="eastAsia" w:ascii="仿宋" w:hAnsi="仿宋" w:eastAsia="仿宋" w:cs="仿宋"/>
          <w:color w:val="000000"/>
          <w:kern w:val="0"/>
          <w:sz w:val="24"/>
          <w:highlight w:val="none"/>
        </w:rPr>
        <w:t>2、□本项目提供伴随</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，由其他______（请填写：中型、小型、微型）企业、监狱企业或残疾人福利性单位。</w:t>
      </w:r>
    </w:p>
    <w:p>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3、□本企业（单位）为联合体一方，提供本企业（单位）</w:t>
      </w:r>
      <w:r>
        <w:rPr>
          <w:rFonts w:hint="eastAsia" w:ascii="仿宋" w:hAnsi="仿宋" w:eastAsia="仿宋" w:cs="仿宋"/>
          <w:color w:val="000000"/>
          <w:kern w:val="0"/>
          <w:sz w:val="24"/>
          <w:highlight w:val="none"/>
          <w:lang w:eastAsia="zh-CN"/>
        </w:rPr>
        <w:t>服务</w:t>
      </w:r>
      <w:r>
        <w:rPr>
          <w:rFonts w:hint="eastAsia" w:ascii="仿宋" w:hAnsi="仿宋" w:eastAsia="仿宋" w:cs="仿宋"/>
          <w:color w:val="000000"/>
          <w:kern w:val="0"/>
          <w:sz w:val="24"/>
          <w:highlight w:val="none"/>
        </w:rPr>
        <w:t>，由本企业（单位）提供服务。本企业（单位）提供协议合同金额占到共同投标协议合同总金额的比例为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pPr>
        <w:widowControl/>
        <w:spacing w:before="100" w:beforeAutospacing="1" w:after="100" w:afterAutospacing="1" w:line="330" w:lineRule="atLeas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本企业（单位）对上述声明的真实性负责。如有虚假，将依法承担相应责任。</w:t>
      </w:r>
    </w:p>
    <w:p>
      <w:pPr>
        <w:widowControl/>
        <w:spacing w:before="100" w:beforeAutospacing="1" w:after="100" w:afterAutospacing="1" w:line="330" w:lineRule="atLeas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pPr>
        <w:widowControl/>
        <w:spacing w:before="100" w:beforeAutospacing="1" w:after="100" w:afterAutospacing="1" w:line="330" w:lineRule="atLeast"/>
        <w:jc w:val="left"/>
        <w:rPr>
          <w:rFonts w:hint="eastAsia" w:ascii="仿宋" w:hAnsi="仿宋" w:eastAsia="仿宋" w:cs="仿宋"/>
          <w:color w:val="000000"/>
          <w:kern w:val="0"/>
          <w:sz w:val="24"/>
          <w:highlight w:val="none"/>
        </w:rPr>
      </w:pPr>
    </w:p>
    <w:p>
      <w:pPr>
        <w:widowControl/>
        <w:spacing w:before="100" w:beforeAutospacing="1" w:after="100" w:afterAutospacing="1" w:line="330" w:lineRule="atLeast"/>
        <w:jc w:val="left"/>
        <w:rPr>
          <w:rFonts w:hint="eastAsia" w:ascii="仿宋" w:hAnsi="仿宋" w:eastAsia="仿宋" w:cs="仿宋"/>
          <w:color w:val="000000"/>
          <w:kern w:val="0"/>
          <w:sz w:val="24"/>
          <w:highlight w:val="none"/>
        </w:rPr>
      </w:pPr>
    </w:p>
    <w:p>
      <w:pPr>
        <w:spacing w:line="240" w:lineRule="atLeast"/>
        <w:ind w:left="1079" w:leftChars="257" w:hanging="540"/>
        <w:jc w:val="center"/>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　</w:t>
      </w:r>
    </w:p>
    <w:p>
      <w:pPr>
        <w:widowControl/>
        <w:spacing w:before="100" w:beforeAutospacing="1" w:after="100" w:afterAutospacing="1" w:line="330" w:lineRule="atLeast"/>
        <w:ind w:firstLine="3960" w:firstLineChars="165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投标人名称（盖单位章）：</w:t>
      </w:r>
      <w:r>
        <w:rPr>
          <w:rFonts w:hint="eastAsia" w:ascii="仿宋" w:hAnsi="仿宋" w:eastAsia="仿宋" w:cs="仿宋"/>
          <w:color w:val="000000"/>
          <w:kern w:val="0"/>
          <w:sz w:val="24"/>
          <w:highlight w:val="none"/>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　日　                期：</w:t>
      </w:r>
      <w:r>
        <w:rPr>
          <w:rFonts w:hint="eastAsia" w:ascii="仿宋" w:hAnsi="仿宋" w:eastAsia="仿宋" w:cs="仿宋"/>
          <w:color w:val="000000"/>
          <w:kern w:val="0"/>
          <w:sz w:val="24"/>
          <w:highlight w:val="none"/>
          <w:u w:val="single"/>
        </w:rPr>
        <w:t xml:space="preserve">             </w:t>
      </w:r>
    </w:p>
    <w:p>
      <w:pPr>
        <w:pStyle w:val="2"/>
        <w:keepNext/>
        <w:keepLines/>
        <w:pageBreakBefore w:val="0"/>
        <w:widowControl w:val="0"/>
        <w:kinsoku/>
        <w:wordWrap/>
        <w:overflowPunct/>
        <w:topLinePunct w:val="0"/>
        <w:autoSpaceDE w:val="0"/>
        <w:autoSpaceDN w:val="0"/>
        <w:bidi w:val="0"/>
        <w:adjustRightInd w:val="0"/>
        <w:snapToGrid/>
        <w:spacing w:before="0" w:line="440" w:lineRule="exact"/>
        <w:jc w:val="left"/>
        <w:textAlignment w:val="auto"/>
        <w:rPr>
          <w:rFonts w:hint="eastAsia" w:ascii="宋体" w:hAnsi="宋体" w:eastAsia="宋体" w:cs="宋体"/>
          <w:color w:val="auto"/>
          <w:sz w:val="28"/>
          <w:szCs w:val="28"/>
          <w:highlight w:val="none"/>
          <w:lang w:val="en-US" w:eastAsia="zh-CN"/>
        </w:rPr>
      </w:pPr>
      <w:bookmarkStart w:id="299" w:name="_Toc9512"/>
      <w:bookmarkStart w:id="300" w:name="_Toc9687"/>
      <w:bookmarkStart w:id="301" w:name="_Toc11343"/>
      <w:bookmarkStart w:id="302" w:name="_Toc11803"/>
      <w:bookmarkStart w:id="303" w:name="_Toc10977"/>
      <w:bookmarkStart w:id="304" w:name="_Toc2709"/>
      <w:bookmarkStart w:id="305" w:name="_Toc21610"/>
      <w:bookmarkStart w:id="306" w:name="_Toc515647824"/>
    </w:p>
    <w:p>
      <w:pPr>
        <w:rPr>
          <w:rFonts w:hint="eastAsia" w:ascii="宋体" w:hAnsi="宋体" w:eastAsia="宋体" w:cs="宋体"/>
          <w:color w:val="auto"/>
          <w:sz w:val="28"/>
          <w:szCs w:val="28"/>
          <w:highlight w:val="none"/>
          <w:lang w:val="en-US" w:eastAsia="zh-CN"/>
        </w:rPr>
      </w:pPr>
    </w:p>
    <w:p>
      <w:pPr>
        <w:pStyle w:val="26"/>
        <w:rPr>
          <w:rFonts w:hint="eastAsia"/>
          <w:lang w:val="en-US" w:eastAsia="zh-CN"/>
        </w:rPr>
      </w:pPr>
    </w:p>
    <w:p>
      <w:pPr>
        <w:pStyle w:val="2"/>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2-1中小企业声明函</w:t>
      </w:r>
      <w:bookmarkEnd w:id="299"/>
      <w:r>
        <w:rPr>
          <w:rFonts w:hint="eastAsia" w:ascii="仿宋" w:hAnsi="仿宋" w:eastAsia="仿宋" w:cs="仿宋"/>
          <w:color w:val="auto"/>
          <w:sz w:val="28"/>
          <w:szCs w:val="28"/>
          <w:highlight w:val="none"/>
          <w:lang w:val="en-US" w:eastAsia="zh-CN"/>
        </w:rPr>
        <w:t>（附件六）</w:t>
      </w:r>
    </w:p>
    <w:bookmarkEnd w:id="300"/>
    <w:bookmarkEnd w:id="301"/>
    <w:bookmarkEnd w:id="302"/>
    <w:bookmarkEnd w:id="303"/>
    <w:bookmarkEnd w:id="304"/>
    <w:bookmarkEnd w:id="305"/>
    <w:bookmarkEnd w:id="306"/>
    <w:p>
      <w:pPr>
        <w:keepNext w:val="0"/>
        <w:keepLines w:val="0"/>
        <w:widowControl/>
        <w:suppressLineNumbers w:val="0"/>
        <w:shd w:val="clear" w:color="auto" w:fill="auto"/>
        <w:spacing w:before="0" w:beforeAutospacing="1" w:after="0" w:afterAutospacing="1" w:line="348" w:lineRule="atLeast"/>
        <w:ind w:left="0" w:right="0" w:firstLine="676" w:firstLineChars="282"/>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（单位名称）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的</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（项目名称）第  包</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采购活动，服务全部由符合政策要求的中小企业承接。相关企业（含联合体中的中小企业、签订分包意向协议的中小企业）的具体情况如下：</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行业；承接企业为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（标的名称）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（采购文件中明确的所属行业）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行业；承接企业为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（企业名称）</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，从业人员</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人，营业收入为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万元，资产总额为</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万元，属于</w:t>
      </w:r>
      <w:r>
        <w:rPr>
          <w:rFonts w:hint="eastAsia" w:ascii="仿宋" w:hAnsi="仿宋" w:eastAsia="仿宋" w:cs="仿宋"/>
          <w:i w:val="0"/>
          <w:iCs w:val="0"/>
          <w:caps w:val="0"/>
          <w:color w:val="auto"/>
          <w:spacing w:val="0"/>
          <w:kern w:val="0"/>
          <w:sz w:val="24"/>
          <w:szCs w:val="24"/>
          <w:highlight w:val="none"/>
          <w:u w:val="single"/>
          <w:shd w:val="clear" w:color="auto" w:fill="FFFFFF"/>
          <w:lang w:val="en-US" w:eastAsia="zh-CN"/>
        </w:rPr>
        <w:t>     （中型企业、小型企业、微型企业）</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本企业对上述声明内容的真实性负责。如有虚假，将依法承担相应责任。</w:t>
      </w:r>
    </w:p>
    <w:p>
      <w:pPr>
        <w:keepNext w:val="0"/>
        <w:keepLines w:val="0"/>
        <w:widowControl/>
        <w:suppressLineNumbers w:val="0"/>
        <w:shd w:val="clear" w:color="auto" w:fill="auto"/>
        <w:spacing w:before="0" w:beforeAutospacing="1" w:after="0" w:afterAutospacing="1" w:line="348" w:lineRule="atLeast"/>
        <w:ind w:left="0" w:right="0" w:firstLine="38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w:t>
      </w:r>
    </w:p>
    <w:p>
      <w:pPr>
        <w:keepNext w:val="0"/>
        <w:keepLines w:val="0"/>
        <w:widowControl/>
        <w:suppressLineNumbers w:val="0"/>
        <w:shd w:val="clear" w:color="auto" w:fill="auto"/>
        <w:spacing w:before="0" w:beforeAutospacing="1" w:after="0" w:afterAutospacing="1" w:line="348" w:lineRule="atLeast"/>
        <w:ind w:left="0" w:right="0" w:firstLine="4224"/>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企业名称（盖章）：</w:t>
      </w:r>
    </w:p>
    <w:p>
      <w:pPr>
        <w:jc w:val="center"/>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 xml:space="preserve">        日 期：</w:t>
      </w: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pStyle w:val="2"/>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pStyle w:val="2"/>
        <w:rPr>
          <w:rFonts w:hint="eastAsia"/>
          <w:lang w:val="en-US" w:eastAsia="zh-CN"/>
        </w:rPr>
      </w:pPr>
    </w:p>
    <w:p>
      <w:pPr>
        <w:rPr>
          <w:rFonts w:hint="eastAsia" w:ascii="宋体" w:hAnsi="宋体" w:eastAsia="宋体" w:cs="宋体"/>
          <w:i w:val="0"/>
          <w:iCs w:val="0"/>
          <w:caps w:val="0"/>
          <w:color w:val="auto"/>
          <w:spacing w:val="0"/>
          <w:kern w:val="0"/>
          <w:sz w:val="24"/>
          <w:szCs w:val="24"/>
          <w:highlight w:val="none"/>
          <w:shd w:val="clear" w:color="auto" w:fill="FFFFFF"/>
          <w:lang w:val="en-US" w:eastAsia="zh-CN"/>
        </w:rPr>
      </w:pPr>
    </w:p>
    <w:p>
      <w:pPr>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本项目所属行业为租赁和商务服务业。</w:t>
      </w:r>
    </w:p>
    <w:p>
      <w:pPr>
        <w:rPr>
          <w:rFonts w:hint="eastAsia" w:ascii="仿宋" w:hAnsi="仿宋" w:eastAsia="仿宋" w:cs="仿宋"/>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投标人企业（单位）类型声明函”，如果提供虚假的“中小企业声明函”，投标企业将承担由此造成的一切不利后果。未提供“中小企业声明函”不享受扣除政策。</w:t>
      </w:r>
    </w:p>
    <w:p>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8"/>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877"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pPr>
              <w:widowControl/>
              <w:snapToGrid w:val="0"/>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pPr>
        <w:widowControl/>
        <w:spacing w:before="100" w:beforeAutospacing="1" w:after="100" w:afterAutospacing="1" w:line="330" w:lineRule="atLeast"/>
        <w:jc w:val="left"/>
        <w:rPr>
          <w:rFonts w:hint="eastAsia" w:ascii="仿宋" w:hAnsi="仿宋" w:eastAsia="仿宋" w:cs="仿宋"/>
          <w:color w:val="000000"/>
          <w:kern w:val="0"/>
          <w:sz w:val="24"/>
          <w:highlight w:val="none"/>
          <w:u w:val="singl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pPr>
        <w:pStyle w:val="16"/>
        <w:tabs>
          <w:tab w:val="left" w:pos="5580"/>
        </w:tabs>
        <w:spacing w:line="360" w:lineRule="exact"/>
        <w:rPr>
          <w:rFonts w:hint="eastAsia" w:hAnsi="宋体" w:cs="宋体"/>
          <w:color w:val="000000"/>
          <w:sz w:val="24"/>
          <w:szCs w:val="24"/>
          <w:highlight w:val="none"/>
        </w:rPr>
        <w:sectPr>
          <w:footerReference r:id="rId12" w:type="first"/>
          <w:headerReference r:id="rId9" w:type="default"/>
          <w:footerReference r:id="rId10" w:type="default"/>
          <w:footerReference r:id="rId11" w:type="even"/>
          <w:pgSz w:w="11906" w:h="16838"/>
          <w:pgMar w:top="1474" w:right="1701" w:bottom="1474" w:left="1701" w:header="851" w:footer="992" w:gutter="0"/>
          <w:pgNumType w:fmt="decimal" w:start="1"/>
          <w:cols w:space="720" w:num="1"/>
          <w:docGrid w:type="linesAndChars" w:linePitch="312" w:charSpace="0"/>
        </w:sectPr>
      </w:pPr>
    </w:p>
    <w:bookmarkEnd w:id="298"/>
    <w:p>
      <w:pPr>
        <w:pStyle w:val="16"/>
        <w:spacing w:line="240" w:lineRule="atLeast"/>
        <w:rPr>
          <w:rFonts w:hint="eastAsia" w:hAnsi="宋体" w:cs="宋体"/>
          <w:color w:val="000000"/>
          <w:sz w:val="24"/>
          <w:szCs w:val="24"/>
          <w:highlight w:val="none"/>
        </w:rPr>
      </w:pPr>
    </w:p>
    <w:p>
      <w:pPr>
        <w:pStyle w:val="16"/>
        <w:spacing w:line="240" w:lineRule="atLeast"/>
        <w:ind w:left="1378" w:leftChars="656" w:firstLine="961" w:firstLineChars="342"/>
        <w:rPr>
          <w:rFonts w:hint="eastAsia" w:ascii="仿宋" w:hAnsi="仿宋" w:eastAsia="仿宋" w:cs="仿宋"/>
          <w:b/>
          <w:bCs/>
          <w:color w:val="000000"/>
          <w:sz w:val="28"/>
          <w:szCs w:val="28"/>
          <w:highlight w:val="none"/>
        </w:rPr>
      </w:pPr>
      <w:bookmarkStart w:id="307" w:name="_Toc1893"/>
      <w:bookmarkStart w:id="308" w:name="_Toc518923118"/>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 xml:space="preserve">   投标分项报价表（附件</w:t>
      </w: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w:t>
      </w:r>
      <w:bookmarkEnd w:id="307"/>
      <w:bookmarkEnd w:id="308"/>
    </w:p>
    <w:p>
      <w:pPr>
        <w:pStyle w:val="16"/>
        <w:spacing w:line="240" w:lineRule="atLeast"/>
        <w:ind w:left="1080" w:leftChars="257" w:hanging="540"/>
        <w:rPr>
          <w:rFonts w:hint="eastAsia" w:ascii="仿宋" w:hAnsi="仿宋" w:eastAsia="仿宋" w:cs="仿宋"/>
          <w:color w:val="000000"/>
          <w:sz w:val="24"/>
          <w:szCs w:val="24"/>
          <w:highlight w:val="none"/>
        </w:rPr>
      </w:pP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                      招标编号:                    　</w:t>
      </w: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报价单位：人民币元</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noWrap w:val="0"/>
            <w:vAlign w:val="center"/>
          </w:tcPr>
          <w:p>
            <w:pPr>
              <w:pStyle w:val="16"/>
              <w:spacing w:line="240" w:lineRule="atLeas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报价</w:t>
            </w: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91"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3796"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2162"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总价：</w:t>
            </w:r>
          </w:p>
        </w:tc>
        <w:tc>
          <w:tcPr>
            <w:tcW w:w="1667" w:type="dxa"/>
            <w:noWrap w:val="0"/>
            <w:vAlign w:val="center"/>
          </w:tcPr>
          <w:p>
            <w:pPr>
              <w:pStyle w:val="16"/>
              <w:spacing w:line="240" w:lineRule="atLeast"/>
              <w:ind w:left="1080" w:leftChars="257" w:hanging="540"/>
              <w:jc w:val="center"/>
              <w:rPr>
                <w:rFonts w:hint="eastAsia" w:ascii="仿宋" w:hAnsi="仿宋" w:eastAsia="仿宋" w:cs="仿宋"/>
                <w:color w:val="000000"/>
                <w:sz w:val="24"/>
                <w:szCs w:val="24"/>
                <w:highlight w:val="none"/>
              </w:rPr>
            </w:pPr>
          </w:p>
        </w:tc>
      </w:tr>
    </w:tbl>
    <w:p>
      <w:pPr>
        <w:pStyle w:val="16"/>
        <w:spacing w:line="240" w:lineRule="atLeast"/>
        <w:ind w:left="1080" w:leftChars="257" w:hanging="540"/>
        <w:rPr>
          <w:rFonts w:hint="eastAsia" w:ascii="仿宋" w:hAnsi="仿宋" w:eastAsia="仿宋" w:cs="仿宋"/>
          <w:color w:val="000000"/>
          <w:sz w:val="24"/>
          <w:szCs w:val="24"/>
          <w:highlight w:val="none"/>
        </w:rPr>
      </w:pP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法定代表人或其委托代理人签字: </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t xml:space="preserve">                 </w:t>
      </w: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投标人(盖单位章):</w:t>
      </w:r>
      <w:r>
        <w:rPr>
          <w:rFonts w:hint="eastAsia" w:ascii="仿宋" w:hAnsi="仿宋" w:eastAsia="仿宋" w:cs="仿宋"/>
          <w:color w:val="000000"/>
          <w:sz w:val="24"/>
          <w:szCs w:val="24"/>
          <w:highlight w:val="none"/>
        </w:rPr>
        <w:tab/>
      </w:r>
    </w:p>
    <w:p>
      <w:pPr>
        <w:pStyle w:val="16"/>
        <w:spacing w:line="240" w:lineRule="atLeast"/>
        <w:ind w:left="1080" w:leftChars="257" w:hanging="540"/>
        <w:rPr>
          <w:rFonts w:hint="eastAsia" w:ascii="仿宋" w:hAnsi="仿宋" w:eastAsia="仿宋" w:cs="仿宋"/>
          <w:color w:val="000000"/>
          <w:sz w:val="24"/>
          <w:szCs w:val="24"/>
          <w:highlight w:val="none"/>
        </w:rPr>
      </w:pP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 如果按分项报价计算的结果与总价不一致,以分项报价为准修正总价。</w:t>
      </w:r>
    </w:p>
    <w:p>
      <w:pPr>
        <w:pStyle w:val="16"/>
        <w:spacing w:line="240" w:lineRule="atLeast"/>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 上述各项的详细分项报价，可另页描述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可随意增加行数</w:t>
      </w:r>
      <w:r>
        <w:rPr>
          <w:rFonts w:hint="eastAsia" w:ascii="仿宋" w:hAnsi="仿宋" w:eastAsia="仿宋" w:cs="仿宋"/>
          <w:color w:val="000000"/>
          <w:sz w:val="24"/>
          <w:szCs w:val="24"/>
          <w:highlight w:val="none"/>
        </w:rPr>
        <w:t>。</w:t>
      </w:r>
    </w:p>
    <w:p>
      <w:pPr>
        <w:pStyle w:val="16"/>
        <w:spacing w:line="240" w:lineRule="atLeast"/>
        <w:ind w:left="1080"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3. 如果开标一览表（报价表）内容与投标文件中明细表内容不一致的，以开标一览表（报价表）内容为准。  </w:t>
      </w: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FF"/>
          <w:sz w:val="24"/>
          <w:szCs w:val="24"/>
          <w:highlight w:val="none"/>
          <w:lang w:val="en-US" w:eastAsia="zh-CN"/>
        </w:rPr>
        <w:t xml:space="preserve">  </w:t>
      </w:r>
      <w:bookmarkStart w:id="309" w:name="_Toc216582818"/>
      <w:bookmarkStart w:id="310" w:name="_Toc8079"/>
      <w:bookmarkStart w:id="311" w:name="_Toc518923119"/>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宋体" w:hAnsi="宋体" w:eastAsia="宋体" w:cs="宋体"/>
          <w:color w:val="0000FF"/>
          <w:sz w:val="24"/>
          <w:szCs w:val="24"/>
          <w:highlight w:val="none"/>
          <w:lang w:val="en-US" w:eastAsia="zh-CN"/>
        </w:rPr>
      </w:pPr>
    </w:p>
    <w:p>
      <w:pPr>
        <w:pStyle w:val="16"/>
        <w:spacing w:line="240" w:lineRule="atLeast"/>
        <w:ind w:left="1080" w:leftChars="257" w:hanging="540"/>
        <w:rPr>
          <w:rFonts w:hint="eastAsia" w:ascii="仿宋" w:hAnsi="仿宋" w:eastAsia="仿宋" w:cs="仿宋"/>
          <w:b/>
          <w:bCs/>
          <w:color w:val="000000"/>
          <w:sz w:val="28"/>
          <w:szCs w:val="28"/>
          <w:highlight w:val="none"/>
        </w:rPr>
      </w:pPr>
      <w:r>
        <w:rPr>
          <w:rFonts w:hint="eastAsia" w:hAnsi="宋体" w:cs="宋体"/>
          <w:color w:val="000000"/>
          <w:sz w:val="24"/>
          <w:szCs w:val="24"/>
          <w:highlight w:val="non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b/>
          <w:bCs/>
          <w:color w:val="000000"/>
          <w:sz w:val="28"/>
          <w:szCs w:val="28"/>
          <w:highlight w:val="none"/>
        </w:rPr>
        <w:t xml:space="preserve">  </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 xml:space="preserve">   服务需求偏离表</w:t>
      </w:r>
      <w:bookmarkEnd w:id="309"/>
      <w:r>
        <w:rPr>
          <w:rFonts w:hint="eastAsia" w:ascii="仿宋" w:hAnsi="仿宋" w:eastAsia="仿宋" w:cs="仿宋"/>
          <w:b/>
          <w:bCs/>
          <w:color w:val="000000"/>
          <w:sz w:val="28"/>
          <w:szCs w:val="28"/>
          <w:highlight w:val="none"/>
        </w:rPr>
        <w:t>（附件</w:t>
      </w: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w:t>
      </w:r>
      <w:bookmarkEnd w:id="310"/>
      <w:bookmarkEnd w:id="311"/>
    </w:p>
    <w:p>
      <w:pPr>
        <w:pStyle w:val="6"/>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项目名称:                      招标编号: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8"/>
        <w:gridCol w:w="2090"/>
        <w:gridCol w:w="1755"/>
        <w:gridCol w:w="142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20"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序号</w:t>
            </w:r>
          </w:p>
        </w:tc>
        <w:tc>
          <w:tcPr>
            <w:tcW w:w="1278"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项目名称</w:t>
            </w:r>
          </w:p>
        </w:tc>
        <w:tc>
          <w:tcPr>
            <w:tcW w:w="2090"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招标服务内容</w:t>
            </w:r>
          </w:p>
        </w:tc>
        <w:tc>
          <w:tcPr>
            <w:tcW w:w="1755"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响应服务内容</w:t>
            </w:r>
          </w:p>
        </w:tc>
        <w:tc>
          <w:tcPr>
            <w:tcW w:w="1425"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偏离情况</w:t>
            </w:r>
          </w:p>
        </w:tc>
        <w:tc>
          <w:tcPr>
            <w:tcW w:w="1593"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noWrap w:val="0"/>
            <w:vAlign w:val="center"/>
          </w:tcPr>
          <w:p>
            <w:pPr>
              <w:snapToGrid w:val="0"/>
              <w:spacing w:line="360" w:lineRule="auto"/>
              <w:jc w:val="center"/>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1278" w:type="dxa"/>
            <w:noWrap w:val="0"/>
            <w:vAlign w:val="top"/>
          </w:tcPr>
          <w:p>
            <w:pPr>
              <w:snapToGrid w:val="0"/>
              <w:spacing w:line="360" w:lineRule="auto"/>
              <w:rPr>
                <w:rFonts w:hint="eastAsia" w:ascii="仿宋" w:hAnsi="仿宋" w:eastAsia="仿宋" w:cs="仿宋"/>
                <w:bCs/>
                <w:color w:val="000000"/>
                <w:sz w:val="24"/>
                <w:highlight w:val="none"/>
              </w:rPr>
            </w:pPr>
          </w:p>
        </w:tc>
        <w:tc>
          <w:tcPr>
            <w:tcW w:w="2090" w:type="dxa"/>
            <w:noWrap w:val="0"/>
            <w:vAlign w:val="top"/>
          </w:tcPr>
          <w:p>
            <w:pPr>
              <w:snapToGrid w:val="0"/>
              <w:spacing w:line="360" w:lineRule="auto"/>
              <w:rPr>
                <w:rFonts w:hint="eastAsia" w:ascii="仿宋" w:hAnsi="仿宋" w:eastAsia="仿宋" w:cs="仿宋"/>
                <w:bCs/>
                <w:color w:val="000000"/>
                <w:sz w:val="24"/>
                <w:highlight w:val="none"/>
              </w:rPr>
            </w:pPr>
          </w:p>
        </w:tc>
        <w:tc>
          <w:tcPr>
            <w:tcW w:w="1755" w:type="dxa"/>
            <w:noWrap w:val="0"/>
            <w:vAlign w:val="top"/>
          </w:tcPr>
          <w:p>
            <w:pPr>
              <w:snapToGrid w:val="0"/>
              <w:spacing w:line="360" w:lineRule="auto"/>
              <w:rPr>
                <w:rFonts w:hint="eastAsia" w:ascii="仿宋" w:hAnsi="仿宋" w:eastAsia="仿宋" w:cs="仿宋"/>
                <w:bCs/>
                <w:color w:val="000000"/>
                <w:sz w:val="24"/>
                <w:highlight w:val="none"/>
              </w:rPr>
            </w:pPr>
          </w:p>
        </w:tc>
        <w:tc>
          <w:tcPr>
            <w:tcW w:w="1425" w:type="dxa"/>
            <w:noWrap w:val="0"/>
            <w:vAlign w:val="top"/>
          </w:tcPr>
          <w:p>
            <w:pPr>
              <w:snapToGrid w:val="0"/>
              <w:spacing w:line="360" w:lineRule="auto"/>
              <w:rPr>
                <w:rFonts w:hint="eastAsia" w:ascii="仿宋" w:hAnsi="仿宋" w:eastAsia="仿宋" w:cs="仿宋"/>
                <w:bCs/>
                <w:color w:val="000000"/>
                <w:sz w:val="24"/>
                <w:highlight w:val="none"/>
              </w:rPr>
            </w:pPr>
          </w:p>
        </w:tc>
        <w:tc>
          <w:tcPr>
            <w:tcW w:w="1593" w:type="dxa"/>
            <w:noWrap w:val="0"/>
            <w:vAlign w:val="top"/>
          </w:tcPr>
          <w:p>
            <w:pPr>
              <w:snapToGrid w:val="0"/>
              <w:spacing w:line="360" w:lineRule="auto"/>
              <w:rPr>
                <w:rFonts w:hint="eastAsia" w:ascii="仿宋" w:hAnsi="仿宋" w:eastAsia="仿宋" w:cs="仿宋"/>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noWrap w:val="0"/>
            <w:vAlign w:val="center"/>
          </w:tcPr>
          <w:p>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278" w:type="dxa"/>
            <w:noWrap w:val="0"/>
            <w:vAlign w:val="top"/>
          </w:tcPr>
          <w:p>
            <w:pPr>
              <w:snapToGrid w:val="0"/>
              <w:spacing w:line="360" w:lineRule="auto"/>
              <w:rPr>
                <w:rFonts w:hint="eastAsia" w:ascii="仿宋" w:hAnsi="仿宋" w:eastAsia="仿宋" w:cs="仿宋"/>
                <w:color w:val="000000"/>
                <w:sz w:val="24"/>
                <w:highlight w:val="none"/>
              </w:rPr>
            </w:pPr>
          </w:p>
        </w:tc>
        <w:tc>
          <w:tcPr>
            <w:tcW w:w="2090" w:type="dxa"/>
            <w:noWrap w:val="0"/>
            <w:vAlign w:val="top"/>
          </w:tcPr>
          <w:p>
            <w:pPr>
              <w:snapToGrid w:val="0"/>
              <w:spacing w:line="360" w:lineRule="auto"/>
              <w:rPr>
                <w:rFonts w:hint="eastAsia" w:ascii="仿宋" w:hAnsi="仿宋" w:eastAsia="仿宋" w:cs="仿宋"/>
                <w:color w:val="000000"/>
                <w:sz w:val="24"/>
                <w:highlight w:val="none"/>
              </w:rPr>
            </w:pPr>
          </w:p>
        </w:tc>
        <w:tc>
          <w:tcPr>
            <w:tcW w:w="1755" w:type="dxa"/>
            <w:noWrap w:val="0"/>
            <w:vAlign w:val="top"/>
          </w:tcPr>
          <w:p>
            <w:pPr>
              <w:snapToGrid w:val="0"/>
              <w:spacing w:line="360" w:lineRule="auto"/>
              <w:rPr>
                <w:rFonts w:hint="eastAsia" w:ascii="仿宋" w:hAnsi="仿宋" w:eastAsia="仿宋" w:cs="仿宋"/>
                <w:color w:val="000000"/>
                <w:sz w:val="24"/>
                <w:highlight w:val="none"/>
              </w:rPr>
            </w:pPr>
          </w:p>
        </w:tc>
        <w:tc>
          <w:tcPr>
            <w:tcW w:w="1425" w:type="dxa"/>
            <w:noWrap w:val="0"/>
            <w:vAlign w:val="top"/>
          </w:tcPr>
          <w:p>
            <w:pPr>
              <w:snapToGrid w:val="0"/>
              <w:spacing w:line="360" w:lineRule="auto"/>
              <w:rPr>
                <w:rFonts w:hint="eastAsia" w:ascii="仿宋" w:hAnsi="仿宋" w:eastAsia="仿宋" w:cs="仿宋"/>
                <w:color w:val="000000"/>
                <w:sz w:val="24"/>
                <w:highlight w:val="none"/>
              </w:rPr>
            </w:pPr>
          </w:p>
        </w:tc>
        <w:tc>
          <w:tcPr>
            <w:tcW w:w="1593"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1278" w:type="dxa"/>
            <w:noWrap w:val="0"/>
            <w:vAlign w:val="top"/>
          </w:tcPr>
          <w:p>
            <w:pPr>
              <w:snapToGrid w:val="0"/>
              <w:spacing w:line="360" w:lineRule="auto"/>
              <w:rPr>
                <w:rFonts w:hint="eastAsia" w:ascii="仿宋" w:hAnsi="仿宋" w:eastAsia="仿宋" w:cs="仿宋"/>
                <w:color w:val="000000"/>
                <w:sz w:val="24"/>
                <w:highlight w:val="none"/>
              </w:rPr>
            </w:pPr>
          </w:p>
        </w:tc>
        <w:tc>
          <w:tcPr>
            <w:tcW w:w="2090" w:type="dxa"/>
            <w:noWrap w:val="0"/>
            <w:vAlign w:val="top"/>
          </w:tcPr>
          <w:p>
            <w:pPr>
              <w:snapToGrid w:val="0"/>
              <w:spacing w:line="360" w:lineRule="auto"/>
              <w:rPr>
                <w:rFonts w:hint="eastAsia" w:ascii="仿宋" w:hAnsi="仿宋" w:eastAsia="仿宋" w:cs="仿宋"/>
                <w:color w:val="000000"/>
                <w:sz w:val="24"/>
                <w:highlight w:val="none"/>
              </w:rPr>
            </w:pPr>
          </w:p>
        </w:tc>
        <w:tc>
          <w:tcPr>
            <w:tcW w:w="1755" w:type="dxa"/>
            <w:noWrap w:val="0"/>
            <w:vAlign w:val="top"/>
          </w:tcPr>
          <w:p>
            <w:pPr>
              <w:snapToGrid w:val="0"/>
              <w:spacing w:line="360" w:lineRule="auto"/>
              <w:rPr>
                <w:rFonts w:hint="eastAsia" w:ascii="仿宋" w:hAnsi="仿宋" w:eastAsia="仿宋" w:cs="仿宋"/>
                <w:color w:val="000000"/>
                <w:sz w:val="24"/>
                <w:highlight w:val="none"/>
              </w:rPr>
            </w:pPr>
          </w:p>
        </w:tc>
        <w:tc>
          <w:tcPr>
            <w:tcW w:w="1425" w:type="dxa"/>
            <w:noWrap w:val="0"/>
            <w:vAlign w:val="top"/>
          </w:tcPr>
          <w:p>
            <w:pPr>
              <w:snapToGrid w:val="0"/>
              <w:spacing w:line="360" w:lineRule="auto"/>
              <w:rPr>
                <w:rFonts w:hint="eastAsia" w:ascii="仿宋" w:hAnsi="仿宋" w:eastAsia="仿宋" w:cs="仿宋"/>
                <w:color w:val="000000"/>
                <w:sz w:val="24"/>
                <w:highlight w:val="none"/>
              </w:rPr>
            </w:pPr>
          </w:p>
        </w:tc>
        <w:tc>
          <w:tcPr>
            <w:tcW w:w="1593"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noWrap w:val="0"/>
            <w:vAlign w:val="center"/>
          </w:tcPr>
          <w:p>
            <w:pPr>
              <w:snapToGrid w:val="0"/>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278" w:type="dxa"/>
            <w:noWrap w:val="0"/>
            <w:vAlign w:val="top"/>
          </w:tcPr>
          <w:p>
            <w:pPr>
              <w:snapToGrid w:val="0"/>
              <w:spacing w:line="360" w:lineRule="auto"/>
              <w:rPr>
                <w:rFonts w:hint="eastAsia" w:ascii="仿宋" w:hAnsi="仿宋" w:eastAsia="仿宋" w:cs="仿宋"/>
                <w:color w:val="000000"/>
                <w:sz w:val="24"/>
                <w:highlight w:val="none"/>
              </w:rPr>
            </w:pPr>
          </w:p>
        </w:tc>
        <w:tc>
          <w:tcPr>
            <w:tcW w:w="2090" w:type="dxa"/>
            <w:noWrap w:val="0"/>
            <w:vAlign w:val="top"/>
          </w:tcPr>
          <w:p>
            <w:pPr>
              <w:snapToGrid w:val="0"/>
              <w:spacing w:line="360" w:lineRule="auto"/>
              <w:rPr>
                <w:rFonts w:hint="eastAsia" w:ascii="仿宋" w:hAnsi="仿宋" w:eastAsia="仿宋" w:cs="仿宋"/>
                <w:color w:val="000000"/>
                <w:sz w:val="24"/>
                <w:highlight w:val="none"/>
              </w:rPr>
            </w:pPr>
          </w:p>
        </w:tc>
        <w:tc>
          <w:tcPr>
            <w:tcW w:w="1755" w:type="dxa"/>
            <w:noWrap w:val="0"/>
            <w:vAlign w:val="top"/>
          </w:tcPr>
          <w:p>
            <w:pPr>
              <w:snapToGrid w:val="0"/>
              <w:spacing w:line="360" w:lineRule="auto"/>
              <w:rPr>
                <w:rFonts w:hint="eastAsia" w:ascii="仿宋" w:hAnsi="仿宋" w:eastAsia="仿宋" w:cs="仿宋"/>
                <w:color w:val="000000"/>
                <w:sz w:val="24"/>
                <w:highlight w:val="none"/>
              </w:rPr>
            </w:pPr>
          </w:p>
        </w:tc>
        <w:tc>
          <w:tcPr>
            <w:tcW w:w="1425" w:type="dxa"/>
            <w:noWrap w:val="0"/>
            <w:vAlign w:val="top"/>
          </w:tcPr>
          <w:p>
            <w:pPr>
              <w:snapToGrid w:val="0"/>
              <w:spacing w:line="360" w:lineRule="auto"/>
              <w:rPr>
                <w:rFonts w:hint="eastAsia" w:ascii="仿宋" w:hAnsi="仿宋" w:eastAsia="仿宋" w:cs="仿宋"/>
                <w:color w:val="000000"/>
                <w:sz w:val="24"/>
                <w:highlight w:val="none"/>
              </w:rPr>
            </w:pPr>
          </w:p>
        </w:tc>
        <w:tc>
          <w:tcPr>
            <w:tcW w:w="1593"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noWrap w:val="0"/>
            <w:vAlign w:val="center"/>
          </w:tcPr>
          <w:p>
            <w:pPr>
              <w:snapToGrid w:val="0"/>
              <w:spacing w:line="360" w:lineRule="auto"/>
              <w:jc w:val="center"/>
              <w:rPr>
                <w:rFonts w:hint="eastAsia" w:ascii="仿宋" w:hAnsi="仿宋" w:eastAsia="仿宋" w:cs="仿宋"/>
                <w:color w:val="000000"/>
                <w:sz w:val="24"/>
                <w:highlight w:val="none"/>
              </w:rPr>
            </w:pPr>
          </w:p>
        </w:tc>
        <w:tc>
          <w:tcPr>
            <w:tcW w:w="1278" w:type="dxa"/>
            <w:noWrap w:val="0"/>
            <w:vAlign w:val="top"/>
          </w:tcPr>
          <w:p>
            <w:pPr>
              <w:snapToGrid w:val="0"/>
              <w:spacing w:line="360" w:lineRule="auto"/>
              <w:rPr>
                <w:rFonts w:hint="eastAsia" w:ascii="仿宋" w:hAnsi="仿宋" w:eastAsia="仿宋" w:cs="仿宋"/>
                <w:color w:val="000000"/>
                <w:sz w:val="24"/>
                <w:highlight w:val="none"/>
              </w:rPr>
            </w:pPr>
          </w:p>
        </w:tc>
        <w:tc>
          <w:tcPr>
            <w:tcW w:w="2090" w:type="dxa"/>
            <w:noWrap w:val="0"/>
            <w:vAlign w:val="top"/>
          </w:tcPr>
          <w:p>
            <w:pPr>
              <w:snapToGrid w:val="0"/>
              <w:spacing w:line="360" w:lineRule="auto"/>
              <w:rPr>
                <w:rFonts w:hint="eastAsia" w:ascii="仿宋" w:hAnsi="仿宋" w:eastAsia="仿宋" w:cs="仿宋"/>
                <w:color w:val="000000"/>
                <w:sz w:val="24"/>
                <w:highlight w:val="none"/>
              </w:rPr>
            </w:pPr>
          </w:p>
        </w:tc>
        <w:tc>
          <w:tcPr>
            <w:tcW w:w="1755" w:type="dxa"/>
            <w:noWrap w:val="0"/>
            <w:vAlign w:val="top"/>
          </w:tcPr>
          <w:p>
            <w:pPr>
              <w:snapToGrid w:val="0"/>
              <w:spacing w:line="360" w:lineRule="auto"/>
              <w:rPr>
                <w:rFonts w:hint="eastAsia" w:ascii="仿宋" w:hAnsi="仿宋" w:eastAsia="仿宋" w:cs="仿宋"/>
                <w:color w:val="000000"/>
                <w:sz w:val="24"/>
                <w:highlight w:val="none"/>
              </w:rPr>
            </w:pPr>
          </w:p>
        </w:tc>
        <w:tc>
          <w:tcPr>
            <w:tcW w:w="1425" w:type="dxa"/>
            <w:noWrap w:val="0"/>
            <w:vAlign w:val="top"/>
          </w:tcPr>
          <w:p>
            <w:pPr>
              <w:snapToGrid w:val="0"/>
              <w:spacing w:line="360" w:lineRule="auto"/>
              <w:rPr>
                <w:rFonts w:hint="eastAsia" w:ascii="仿宋" w:hAnsi="仿宋" w:eastAsia="仿宋" w:cs="仿宋"/>
                <w:color w:val="000000"/>
                <w:sz w:val="24"/>
                <w:highlight w:val="none"/>
              </w:rPr>
            </w:pPr>
          </w:p>
        </w:tc>
        <w:tc>
          <w:tcPr>
            <w:tcW w:w="1593" w:type="dxa"/>
            <w:noWrap w:val="0"/>
            <w:vAlign w:val="top"/>
          </w:tcPr>
          <w:p>
            <w:pPr>
              <w:snapToGrid w:val="0"/>
              <w:spacing w:line="360" w:lineRule="auto"/>
              <w:rPr>
                <w:rFonts w:hint="eastAsia" w:ascii="仿宋" w:hAnsi="仿宋" w:eastAsia="仿宋" w:cs="仿宋"/>
                <w:color w:val="000000"/>
                <w:sz w:val="24"/>
                <w:highlight w:val="none"/>
              </w:rPr>
            </w:pPr>
          </w:p>
        </w:tc>
      </w:tr>
    </w:tbl>
    <w:p>
      <w:pPr>
        <w:pStyle w:val="6"/>
        <w:ind w:firstLine="48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 xml:space="preserve"> </w:t>
      </w:r>
    </w:p>
    <w:p>
      <w:pPr>
        <w:pStyle w:val="16"/>
        <w:spacing w:line="240" w:lineRule="atLeast"/>
        <w:ind w:left="1080" w:leftChars="257" w:hanging="540"/>
        <w:rPr>
          <w:rFonts w:hint="eastAsia" w:ascii="仿宋" w:hAnsi="仿宋" w:eastAsia="仿宋" w:cs="仿宋"/>
          <w:color w:val="000000"/>
          <w:sz w:val="24"/>
          <w:szCs w:val="24"/>
          <w:highlight w:val="none"/>
        </w:rPr>
      </w:pPr>
    </w:p>
    <w:p>
      <w:pPr>
        <w:pStyle w:val="16"/>
        <w:spacing w:line="240" w:lineRule="atLeast"/>
        <w:ind w:left="1080" w:leftChars="257" w:hanging="540"/>
        <w:rPr>
          <w:rFonts w:hint="eastAsia" w:ascii="仿宋" w:hAnsi="仿宋" w:eastAsia="仿宋" w:cs="仿宋"/>
          <w:color w:val="000000"/>
          <w:sz w:val="24"/>
          <w:szCs w:val="24"/>
          <w:highlight w:val="none"/>
        </w:rPr>
      </w:pPr>
    </w:p>
    <w:p>
      <w:pPr>
        <w:pStyle w:val="16"/>
        <w:spacing w:line="240" w:lineRule="atLeast"/>
        <w:ind w:left="1080" w:leftChars="257" w:hanging="540"/>
        <w:rPr>
          <w:rFonts w:hint="eastAsia" w:ascii="仿宋" w:hAnsi="仿宋" w:eastAsia="仿宋" w:cs="仿宋"/>
          <w:color w:val="000000"/>
          <w:sz w:val="24"/>
          <w:szCs w:val="24"/>
          <w:highlight w:val="none"/>
        </w:rPr>
      </w:pP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注：凡</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中服务条款（包括项目服务期、内容）与公开招标文件有偏差的，均应在此表中列出（内容较多的可以标注见</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第几页，偏差包括正偏差和负偏差），未在此表中列出的视同完全满足</w:t>
      </w:r>
      <w:r>
        <w:rPr>
          <w:rFonts w:hint="eastAsia" w:ascii="仿宋" w:hAnsi="仿宋" w:eastAsia="仿宋" w:cs="仿宋"/>
          <w:color w:val="000000"/>
          <w:sz w:val="24"/>
          <w:highlight w:val="none"/>
          <w:lang w:eastAsia="zh-CN"/>
        </w:rPr>
        <w:t>招标文件</w:t>
      </w:r>
      <w:r>
        <w:rPr>
          <w:rFonts w:hint="eastAsia" w:ascii="仿宋" w:hAnsi="仿宋" w:eastAsia="仿宋" w:cs="仿宋"/>
          <w:color w:val="000000"/>
          <w:sz w:val="24"/>
          <w:highlight w:val="none"/>
        </w:rPr>
        <w:t>要求。</w:t>
      </w:r>
    </w:p>
    <w:p>
      <w:pPr>
        <w:pStyle w:val="16"/>
        <w:spacing w:line="240" w:lineRule="atLeast"/>
        <w:ind w:left="1080" w:leftChars="257" w:hanging="540"/>
        <w:rPr>
          <w:rFonts w:hint="eastAsia" w:ascii="仿宋" w:hAnsi="仿宋" w:eastAsia="仿宋" w:cs="仿宋"/>
          <w:color w:val="000000"/>
          <w:sz w:val="24"/>
          <w:szCs w:val="24"/>
          <w:highlight w:val="none"/>
        </w:rPr>
      </w:pPr>
    </w:p>
    <w:p>
      <w:pPr>
        <w:pStyle w:val="37"/>
        <w:ind w:firstLine="240"/>
        <w:rPr>
          <w:rFonts w:hint="eastAsia" w:ascii="仿宋" w:hAnsi="仿宋" w:eastAsia="仿宋" w:cs="仿宋"/>
          <w:color w:val="000000"/>
          <w:szCs w:val="24"/>
          <w:highlight w:val="none"/>
        </w:rPr>
      </w:pPr>
    </w:p>
    <w:p>
      <w:pPr>
        <w:pStyle w:val="16"/>
        <w:tabs>
          <w:tab w:val="left" w:pos="5370"/>
        </w:tabs>
        <w:spacing w:line="240" w:lineRule="atLeast"/>
        <w:ind w:left="1154" w:leftChars="485" w:hanging="136" w:hangingChars="5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投标人(盖单位章):</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Style w:val="16"/>
        <w:tabs>
          <w:tab w:val="left" w:pos="5370"/>
        </w:tabs>
        <w:spacing w:line="240" w:lineRule="atLeast"/>
        <w:ind w:left="1080" w:leftChars="257" w:hanging="540"/>
        <w:rPr>
          <w:rFonts w:hint="eastAsia" w:ascii="仿宋" w:hAnsi="仿宋" w:eastAsia="仿宋" w:cs="仿宋"/>
          <w:color w:val="000000"/>
          <w:sz w:val="24"/>
          <w:szCs w:val="24"/>
          <w:highlight w:val="none"/>
          <w:u w:val="single"/>
        </w:rPr>
      </w:pPr>
    </w:p>
    <w:p>
      <w:pPr>
        <w:pStyle w:val="37"/>
        <w:ind w:firstLine="960" w:firstLineChars="40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法定代表人或其委托代理人签字:</w:t>
      </w:r>
      <w:r>
        <w:rPr>
          <w:rFonts w:hint="eastAsia" w:ascii="仿宋" w:hAnsi="仿宋" w:eastAsia="仿宋" w:cs="仿宋"/>
          <w:color w:val="000000"/>
          <w:szCs w:val="24"/>
          <w:highlight w:val="none"/>
          <w:u w:val="single"/>
        </w:rPr>
        <w:t xml:space="preserve">     </w:t>
      </w:r>
      <w:r>
        <w:rPr>
          <w:rFonts w:hint="eastAsia" w:ascii="仿宋" w:hAnsi="仿宋" w:eastAsia="仿宋" w:cs="仿宋"/>
          <w:color w:val="000000"/>
          <w:szCs w:val="24"/>
          <w:highlight w:val="none"/>
          <w:u w:val="single"/>
        </w:rPr>
        <w:tab/>
      </w:r>
      <w:r>
        <w:rPr>
          <w:rFonts w:hint="eastAsia" w:ascii="仿宋" w:hAnsi="仿宋" w:eastAsia="仿宋" w:cs="仿宋"/>
          <w:color w:val="000000"/>
          <w:szCs w:val="24"/>
          <w:highlight w:val="none"/>
          <w:u w:val="single"/>
        </w:rPr>
        <w:t xml:space="preserve">   </w:t>
      </w:r>
    </w:p>
    <w:p>
      <w:pPr>
        <w:snapToGrid w:val="0"/>
        <w:spacing w:line="360" w:lineRule="auto"/>
        <w:ind w:right="105" w:rightChars="50"/>
        <w:rPr>
          <w:rFonts w:hint="eastAsia" w:ascii="宋体" w:hAnsi="宋体" w:cs="宋体"/>
          <w:color w:val="000000"/>
          <w:sz w:val="24"/>
          <w:highlight w:val="non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16"/>
        <w:spacing w:line="240" w:lineRule="atLeast"/>
        <w:ind w:left="1080" w:leftChars="257" w:hanging="540"/>
        <w:rPr>
          <w:rFonts w:hint="eastAsia" w:hAnsi="宋体" w:cs="宋体"/>
          <w:color w:val="000000"/>
          <w:sz w:val="24"/>
          <w:szCs w:val="24"/>
          <w:highlight w:val="none"/>
          <w:u w:val="single"/>
        </w:rPr>
      </w:pPr>
    </w:p>
    <w:p>
      <w:pPr>
        <w:pStyle w:val="2"/>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宋体" w:hAnsi="宋体" w:eastAsia="宋体" w:cs="宋体"/>
          <w:color w:val="auto"/>
          <w:sz w:val="28"/>
          <w:szCs w:val="28"/>
          <w:highlight w:val="none"/>
          <w:lang w:val="en-US" w:eastAsia="zh-CN"/>
        </w:rPr>
      </w:pPr>
    </w:p>
    <w:p>
      <w:pPr>
        <w:rPr>
          <w:rFonts w:hint="eastAsia"/>
          <w:lang w:val="en-US" w:eastAsia="zh-CN"/>
        </w:rPr>
      </w:pPr>
    </w:p>
    <w:p>
      <w:pPr>
        <w:pStyle w:val="2"/>
        <w:keepNext/>
        <w:keepLines/>
        <w:pageBreakBefore w:val="0"/>
        <w:widowControl w:val="0"/>
        <w:kinsoku/>
        <w:wordWrap/>
        <w:overflowPunct/>
        <w:topLinePunct w:val="0"/>
        <w:autoSpaceDE w:val="0"/>
        <w:autoSpaceDN w:val="0"/>
        <w:bidi w:val="0"/>
        <w:adjustRightInd w:val="0"/>
        <w:snapToGrid/>
        <w:spacing w:before="0"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5.商务条款偏离表</w:t>
      </w:r>
    </w:p>
    <w:p>
      <w:pPr>
        <w:pStyle w:val="16"/>
        <w:spacing w:line="400" w:lineRule="exac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包号：</w:t>
      </w:r>
    </w:p>
    <w:tbl>
      <w:tblPr>
        <w:tblStyle w:val="38"/>
        <w:tblW w:w="5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085"/>
        <w:gridCol w:w="2614"/>
        <w:gridCol w:w="2614"/>
        <w:gridCol w:w="7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5" w:type="pct"/>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360" w:type="pct"/>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360" w:type="pct"/>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p>
        </w:tc>
        <w:tc>
          <w:tcPr>
            <w:tcW w:w="398" w:type="pct"/>
            <w:vAlign w:val="center"/>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398" w:type="pct"/>
            <w:vAlign w:val="center"/>
          </w:tcPr>
          <w:p>
            <w:pPr>
              <w:pStyle w:val="16"/>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jc w:val="center"/>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6"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085"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1360"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c>
          <w:tcPr>
            <w:tcW w:w="398" w:type="pct"/>
          </w:tcPr>
          <w:p>
            <w:pPr>
              <w:pStyle w:val="16"/>
              <w:spacing w:line="400" w:lineRule="exact"/>
              <w:ind w:left="1080" w:leftChars="257" w:hanging="540"/>
              <w:rPr>
                <w:rFonts w:hint="eastAsia" w:ascii="仿宋" w:hAnsi="仿宋" w:eastAsia="仿宋" w:cs="仿宋"/>
                <w:color w:val="auto"/>
                <w:sz w:val="24"/>
                <w:szCs w:val="24"/>
                <w:highlight w:val="none"/>
              </w:rPr>
            </w:pPr>
          </w:p>
        </w:tc>
      </w:tr>
    </w:tbl>
    <w:p>
      <w:pPr>
        <w:pStyle w:val="16"/>
        <w:spacing w:line="400" w:lineRule="exact"/>
        <w:ind w:left="1080" w:leftChars="257" w:hanging="540"/>
        <w:rPr>
          <w:rFonts w:hint="eastAsia" w:ascii="仿宋" w:hAnsi="仿宋" w:eastAsia="仿宋" w:cs="仿宋"/>
          <w:color w:val="auto"/>
          <w:sz w:val="24"/>
          <w:szCs w:val="24"/>
          <w:highlight w:val="none"/>
        </w:rPr>
      </w:pPr>
    </w:p>
    <w:p>
      <w:pPr>
        <w:pStyle w:val="16"/>
        <w:spacing w:line="400" w:lineRule="exact"/>
        <w:ind w:left="1080" w:leftChars="257" w:hanging="54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注：凡</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中</w:t>
      </w:r>
      <w:r>
        <w:rPr>
          <w:rFonts w:hint="eastAsia" w:ascii="仿宋" w:hAnsi="仿宋" w:eastAsia="仿宋" w:cs="仿宋"/>
          <w:color w:val="000000"/>
          <w:sz w:val="24"/>
          <w:highlight w:val="none"/>
          <w:lang w:val="en-US" w:eastAsia="zh-CN"/>
        </w:rPr>
        <w:t>商务</w:t>
      </w:r>
      <w:r>
        <w:rPr>
          <w:rFonts w:hint="eastAsia" w:ascii="仿宋" w:hAnsi="仿宋" w:eastAsia="仿宋" w:cs="仿宋"/>
          <w:color w:val="000000"/>
          <w:sz w:val="24"/>
          <w:highlight w:val="none"/>
        </w:rPr>
        <w:t>条款与公开招标文件有偏差的，均应在此表中列出（内容较多的可以标注见</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第几页，偏差包括正偏差和负偏差），未在此表中列出的视同完全满足</w:t>
      </w:r>
      <w:r>
        <w:rPr>
          <w:rFonts w:hint="eastAsia" w:ascii="仿宋" w:hAnsi="仿宋" w:eastAsia="仿宋" w:cs="仿宋"/>
          <w:color w:val="000000"/>
          <w:sz w:val="24"/>
          <w:highlight w:val="none"/>
          <w:lang w:eastAsia="zh-CN"/>
        </w:rPr>
        <w:t>招标文件</w:t>
      </w:r>
      <w:r>
        <w:rPr>
          <w:rFonts w:hint="eastAsia" w:ascii="仿宋" w:hAnsi="仿宋" w:eastAsia="仿宋" w:cs="仿宋"/>
          <w:color w:val="000000"/>
          <w:sz w:val="24"/>
          <w:highlight w:val="none"/>
        </w:rPr>
        <w:t>要求。</w:t>
      </w:r>
    </w:p>
    <w:p>
      <w:pPr>
        <w:pStyle w:val="16"/>
        <w:spacing w:line="240" w:lineRule="atLeast"/>
        <w:ind w:left="1080" w:leftChars="257" w:hanging="540"/>
        <w:rPr>
          <w:rFonts w:hint="eastAsia" w:ascii="仿宋" w:hAnsi="仿宋" w:eastAsia="仿宋" w:cs="仿宋"/>
          <w:color w:val="000000"/>
          <w:sz w:val="24"/>
          <w:szCs w:val="24"/>
          <w:highlight w:val="none"/>
        </w:rPr>
      </w:pPr>
    </w:p>
    <w:p>
      <w:pPr>
        <w:pStyle w:val="37"/>
        <w:ind w:firstLine="240"/>
        <w:rPr>
          <w:rFonts w:hint="eastAsia" w:ascii="仿宋" w:hAnsi="仿宋" w:eastAsia="仿宋" w:cs="仿宋"/>
          <w:color w:val="000000"/>
          <w:szCs w:val="24"/>
          <w:highlight w:val="none"/>
        </w:rPr>
      </w:pPr>
    </w:p>
    <w:p>
      <w:pPr>
        <w:rPr>
          <w:rFonts w:hint="eastAsia" w:ascii="仿宋" w:hAnsi="仿宋" w:eastAsia="仿宋" w:cs="仿宋"/>
          <w:color w:val="000000"/>
          <w:szCs w:val="24"/>
          <w:highlight w:val="none"/>
        </w:rPr>
      </w:pPr>
    </w:p>
    <w:p>
      <w:pPr>
        <w:pStyle w:val="26"/>
        <w:rPr>
          <w:rFonts w:hint="eastAsia" w:ascii="仿宋" w:hAnsi="仿宋" w:eastAsia="仿宋" w:cs="仿宋"/>
        </w:rPr>
      </w:pPr>
    </w:p>
    <w:p>
      <w:pPr>
        <w:pStyle w:val="16"/>
        <w:tabs>
          <w:tab w:val="left" w:pos="5370"/>
        </w:tabs>
        <w:spacing w:line="240" w:lineRule="atLeast"/>
        <w:ind w:left="1154" w:leftChars="485" w:hanging="136" w:hangingChars="5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投标人(盖单位章):</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pPr>
        <w:pStyle w:val="16"/>
        <w:tabs>
          <w:tab w:val="left" w:pos="5370"/>
        </w:tabs>
        <w:spacing w:line="240" w:lineRule="atLeast"/>
        <w:ind w:left="1080" w:leftChars="257" w:hanging="540"/>
        <w:rPr>
          <w:rFonts w:hint="eastAsia" w:ascii="仿宋" w:hAnsi="仿宋" w:eastAsia="仿宋" w:cs="仿宋"/>
          <w:color w:val="000000"/>
          <w:sz w:val="24"/>
          <w:szCs w:val="24"/>
          <w:highlight w:val="none"/>
          <w:u w:val="single"/>
        </w:rPr>
      </w:pPr>
    </w:p>
    <w:p>
      <w:pPr>
        <w:pStyle w:val="37"/>
        <w:ind w:firstLine="960" w:firstLineChars="40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法定代表人或其委托代理人签字:</w:t>
      </w:r>
      <w:r>
        <w:rPr>
          <w:rFonts w:hint="eastAsia" w:ascii="仿宋" w:hAnsi="仿宋" w:eastAsia="仿宋" w:cs="仿宋"/>
          <w:color w:val="000000"/>
          <w:szCs w:val="24"/>
          <w:highlight w:val="none"/>
          <w:u w:val="single"/>
        </w:rPr>
        <w:t xml:space="preserve">     </w:t>
      </w:r>
      <w:r>
        <w:rPr>
          <w:rFonts w:hint="eastAsia" w:ascii="仿宋" w:hAnsi="仿宋" w:eastAsia="仿宋" w:cs="仿宋"/>
          <w:color w:val="000000"/>
          <w:szCs w:val="24"/>
          <w:highlight w:val="none"/>
          <w:u w:val="single"/>
        </w:rPr>
        <w:tab/>
      </w:r>
      <w:r>
        <w:rPr>
          <w:rFonts w:hint="eastAsia" w:ascii="仿宋" w:hAnsi="仿宋" w:eastAsia="仿宋" w:cs="仿宋"/>
          <w:color w:val="000000"/>
          <w:szCs w:val="24"/>
          <w:highlight w:val="none"/>
          <w:u w:val="single"/>
        </w:rPr>
        <w:t xml:space="preserve">   </w:t>
      </w:r>
    </w:p>
    <w:p>
      <w:pPr>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b/>
          <w:bCs/>
          <w:color w:val="000000"/>
          <w:sz w:val="24"/>
          <w:szCs w:val="24"/>
          <w:highlight w:val="none"/>
        </w:rPr>
        <w:br w:type="page"/>
      </w:r>
      <w:r>
        <w:rPr>
          <w:rFonts w:hint="eastAsia" w:hAnsi="宋体" w:cs="宋体"/>
          <w:b/>
          <w:bCs/>
          <w:color w:val="000000"/>
          <w:sz w:val="24"/>
          <w:szCs w:val="24"/>
          <w:highlight w:val="none"/>
        </w:rPr>
        <w:t xml:space="preserve">   </w:t>
      </w:r>
      <w:r>
        <w:rPr>
          <w:rFonts w:hint="eastAsia" w:ascii="宋体" w:hAnsi="宋体" w:cs="宋体"/>
          <w:b/>
          <w:bCs/>
          <w:color w:val="000000"/>
          <w:sz w:val="24"/>
          <w:highlight w:val="none"/>
        </w:rPr>
        <w:t xml:space="preserve">              </w:t>
      </w:r>
      <w:r>
        <w:rPr>
          <w:rFonts w:hint="eastAsia" w:ascii="仿宋" w:hAnsi="仿宋" w:eastAsia="仿宋" w:cs="仿宋"/>
          <w:b/>
          <w:bCs/>
          <w:color w:val="000000"/>
          <w:sz w:val="24"/>
          <w:highlight w:val="none"/>
        </w:rPr>
        <w:t xml:space="preserve">  </w:t>
      </w:r>
      <w:r>
        <w:rPr>
          <w:rFonts w:hint="eastAsia" w:ascii="仿宋" w:hAnsi="仿宋" w:eastAsia="仿宋" w:cs="仿宋"/>
          <w:b/>
          <w:bCs/>
          <w:color w:val="000000"/>
          <w:sz w:val="28"/>
          <w:szCs w:val="28"/>
          <w:highlight w:val="none"/>
          <w:lang w:val="en-US" w:eastAsia="zh-CN"/>
        </w:rPr>
        <w:t>6</w:t>
      </w:r>
      <w:r>
        <w:rPr>
          <w:rFonts w:hint="eastAsia" w:ascii="仿宋" w:hAnsi="仿宋" w:eastAsia="仿宋" w:cs="仿宋"/>
          <w:b/>
          <w:bCs/>
          <w:color w:val="000000"/>
          <w:sz w:val="28"/>
          <w:szCs w:val="28"/>
          <w:highlight w:val="none"/>
        </w:rPr>
        <w:t xml:space="preserve">   </w:t>
      </w:r>
      <w:r>
        <w:rPr>
          <w:rFonts w:hint="eastAsia" w:ascii="仿宋" w:hAnsi="仿宋" w:eastAsia="仿宋" w:cs="仿宋"/>
          <w:b/>
          <w:bCs/>
          <w:color w:val="000000"/>
          <w:sz w:val="28"/>
          <w:szCs w:val="28"/>
          <w:highlight w:val="none"/>
          <w:lang w:val="en-US" w:eastAsia="zh-CN"/>
        </w:rPr>
        <w:t>类似</w:t>
      </w:r>
      <w:r>
        <w:rPr>
          <w:rFonts w:hint="eastAsia" w:ascii="仿宋" w:hAnsi="仿宋" w:eastAsia="仿宋" w:cs="仿宋"/>
          <w:b/>
          <w:bCs/>
          <w:color w:val="000000"/>
          <w:sz w:val="28"/>
          <w:szCs w:val="28"/>
          <w:highlight w:val="none"/>
        </w:rPr>
        <w:t>项目业绩一览表（附件</w:t>
      </w: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18"/>
        <w:gridCol w:w="1401"/>
        <w:gridCol w:w="1303"/>
        <w:gridCol w:w="1374"/>
        <w:gridCol w:w="125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序号</w:t>
            </w:r>
          </w:p>
        </w:tc>
        <w:tc>
          <w:tcPr>
            <w:tcW w:w="2018"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项目名称</w:t>
            </w:r>
          </w:p>
        </w:tc>
        <w:tc>
          <w:tcPr>
            <w:tcW w:w="1401"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合同金额</w:t>
            </w:r>
          </w:p>
        </w:tc>
        <w:tc>
          <w:tcPr>
            <w:tcW w:w="1303"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业主名称</w:t>
            </w:r>
          </w:p>
        </w:tc>
        <w:tc>
          <w:tcPr>
            <w:tcW w:w="1374"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签约时间</w:t>
            </w:r>
          </w:p>
        </w:tc>
        <w:tc>
          <w:tcPr>
            <w:tcW w:w="1256"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完成情况</w:t>
            </w:r>
          </w:p>
        </w:tc>
        <w:tc>
          <w:tcPr>
            <w:tcW w:w="852" w:type="dxa"/>
            <w:noWrap w:val="0"/>
            <w:vAlign w:val="center"/>
          </w:tcPr>
          <w:p>
            <w:pPr>
              <w:snapToGrid w:val="0"/>
              <w:spacing w:line="360" w:lineRule="auto"/>
              <w:jc w:val="center"/>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pPr>
              <w:snapToGrid w:val="0"/>
              <w:spacing w:line="360" w:lineRule="auto"/>
              <w:rPr>
                <w:rFonts w:hint="eastAsia" w:ascii="仿宋" w:hAnsi="仿宋" w:eastAsia="仿宋" w:cs="仿宋"/>
                <w:color w:val="000000"/>
                <w:sz w:val="24"/>
                <w:highlight w:val="none"/>
              </w:rPr>
            </w:pPr>
          </w:p>
        </w:tc>
        <w:tc>
          <w:tcPr>
            <w:tcW w:w="2018" w:type="dxa"/>
            <w:noWrap w:val="0"/>
            <w:vAlign w:val="top"/>
          </w:tcPr>
          <w:p>
            <w:pPr>
              <w:snapToGrid w:val="0"/>
              <w:spacing w:line="360" w:lineRule="auto"/>
              <w:rPr>
                <w:rFonts w:hint="eastAsia" w:ascii="仿宋" w:hAnsi="仿宋" w:eastAsia="仿宋" w:cs="仿宋"/>
                <w:color w:val="000000"/>
                <w:sz w:val="24"/>
                <w:highlight w:val="none"/>
              </w:rPr>
            </w:pPr>
          </w:p>
        </w:tc>
        <w:tc>
          <w:tcPr>
            <w:tcW w:w="1401" w:type="dxa"/>
            <w:noWrap w:val="0"/>
            <w:vAlign w:val="top"/>
          </w:tcPr>
          <w:p>
            <w:pPr>
              <w:snapToGrid w:val="0"/>
              <w:spacing w:line="360" w:lineRule="auto"/>
              <w:rPr>
                <w:rFonts w:hint="eastAsia" w:ascii="仿宋" w:hAnsi="仿宋" w:eastAsia="仿宋" w:cs="仿宋"/>
                <w:color w:val="000000"/>
                <w:sz w:val="24"/>
                <w:highlight w:val="none"/>
              </w:rPr>
            </w:pPr>
          </w:p>
        </w:tc>
        <w:tc>
          <w:tcPr>
            <w:tcW w:w="1303" w:type="dxa"/>
            <w:noWrap w:val="0"/>
            <w:vAlign w:val="top"/>
          </w:tcPr>
          <w:p>
            <w:pPr>
              <w:snapToGrid w:val="0"/>
              <w:spacing w:line="360" w:lineRule="auto"/>
              <w:rPr>
                <w:rFonts w:hint="eastAsia" w:ascii="仿宋" w:hAnsi="仿宋" w:eastAsia="仿宋" w:cs="仿宋"/>
                <w:color w:val="000000"/>
                <w:sz w:val="24"/>
                <w:highlight w:val="none"/>
              </w:rPr>
            </w:pPr>
          </w:p>
        </w:tc>
        <w:tc>
          <w:tcPr>
            <w:tcW w:w="1374" w:type="dxa"/>
            <w:noWrap w:val="0"/>
            <w:vAlign w:val="top"/>
          </w:tcPr>
          <w:p>
            <w:pPr>
              <w:snapToGrid w:val="0"/>
              <w:spacing w:line="360" w:lineRule="auto"/>
              <w:rPr>
                <w:rFonts w:hint="eastAsia" w:ascii="仿宋" w:hAnsi="仿宋" w:eastAsia="仿宋" w:cs="仿宋"/>
                <w:color w:val="000000"/>
                <w:sz w:val="24"/>
                <w:highlight w:val="none"/>
              </w:rPr>
            </w:pPr>
          </w:p>
        </w:tc>
        <w:tc>
          <w:tcPr>
            <w:tcW w:w="1256" w:type="dxa"/>
            <w:noWrap w:val="0"/>
            <w:vAlign w:val="top"/>
          </w:tcPr>
          <w:p>
            <w:pPr>
              <w:snapToGrid w:val="0"/>
              <w:spacing w:line="360" w:lineRule="auto"/>
              <w:rPr>
                <w:rFonts w:hint="eastAsia" w:ascii="仿宋" w:hAnsi="仿宋" w:eastAsia="仿宋" w:cs="仿宋"/>
                <w:color w:val="000000"/>
                <w:sz w:val="24"/>
                <w:highlight w:val="none"/>
              </w:rPr>
            </w:pPr>
          </w:p>
        </w:tc>
        <w:tc>
          <w:tcPr>
            <w:tcW w:w="852" w:type="dxa"/>
            <w:noWrap w:val="0"/>
            <w:vAlign w:val="top"/>
          </w:tcPr>
          <w:p>
            <w:pPr>
              <w:snapToGrid w:val="0"/>
              <w:spacing w:line="360" w:lineRule="auto"/>
              <w:rPr>
                <w:rFonts w:hint="eastAsia" w:ascii="仿宋" w:hAnsi="仿宋" w:eastAsia="仿宋" w:cs="仿宋"/>
                <w:color w:val="000000"/>
                <w:sz w:val="24"/>
                <w:highlight w:val="none"/>
              </w:rPr>
            </w:pPr>
          </w:p>
        </w:tc>
      </w:tr>
    </w:tbl>
    <w:p>
      <w:pPr>
        <w:snapToGrid w:val="0"/>
        <w:spacing w:line="360" w:lineRule="auto"/>
        <w:ind w:firstLine="480" w:firstLineChars="200"/>
        <w:rPr>
          <w:rFonts w:hint="eastAsia" w:ascii="仿宋" w:hAnsi="仿宋" w:eastAsia="仿宋" w:cs="仿宋"/>
          <w:color w:val="000000"/>
          <w:sz w:val="24"/>
          <w:highlight w:val="none"/>
        </w:rPr>
      </w:pPr>
    </w:p>
    <w:p>
      <w:pPr>
        <w:snapToGrid w:val="0"/>
        <w:spacing w:line="360" w:lineRule="auto"/>
        <w:ind w:right="105" w:rightChars="50"/>
        <w:rPr>
          <w:rFonts w:hint="eastAsia" w:ascii="仿宋" w:hAnsi="仿宋" w:eastAsia="仿宋" w:cs="仿宋"/>
          <w:color w:val="000000"/>
          <w:sz w:val="24"/>
          <w:highlight w:val="none"/>
        </w:rPr>
      </w:pPr>
    </w:p>
    <w:p>
      <w:pPr>
        <w:widowControl/>
        <w:autoSpaceDE w:val="0"/>
        <w:autoSpaceDN w:val="0"/>
        <w:adjustRightInd w:val="0"/>
        <w:spacing w:line="360" w:lineRule="auto"/>
        <w:ind w:left="482" w:hanging="482" w:hangingChars="200"/>
        <w:rPr>
          <w:rFonts w:hint="eastAsia" w:ascii="仿宋" w:hAnsi="仿宋" w:eastAsia="仿宋" w:cs="仿宋"/>
          <w:b/>
          <w:bCs/>
          <w:color w:val="000000"/>
          <w:sz w:val="24"/>
          <w:highlight w:val="none"/>
        </w:rPr>
      </w:pPr>
    </w:p>
    <w:p>
      <w:pPr>
        <w:widowControl/>
        <w:autoSpaceDE w:val="0"/>
        <w:autoSpaceDN w:val="0"/>
        <w:adjustRightIn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注：（提供项目业绩中标通知书和合同复印件加盖投标单位公章，合同中必须体现甲乙双方单位名称）；</w:t>
      </w:r>
    </w:p>
    <w:p>
      <w:pPr>
        <w:pStyle w:val="2"/>
        <w:tabs>
          <w:tab w:val="left" w:pos="540"/>
        </w:tabs>
        <w:rPr>
          <w:rFonts w:hint="eastAsia" w:ascii="宋体" w:hAnsi="宋体" w:cs="宋体"/>
          <w:color w:val="000000"/>
          <w:sz w:val="24"/>
          <w:szCs w:val="24"/>
          <w:highlight w:val="none"/>
        </w:rPr>
      </w:pPr>
    </w:p>
    <w:p>
      <w:pPr>
        <w:pStyle w:val="16"/>
        <w:ind w:firstLine="241" w:firstLineChars="100"/>
        <w:rPr>
          <w:rFonts w:hint="eastAsia" w:hAnsi="宋体" w:cs="宋体"/>
          <w:b/>
          <w:bCs/>
          <w:color w:val="000000"/>
          <w:sz w:val="24"/>
          <w:szCs w:val="24"/>
          <w:highlight w:val="none"/>
          <w:u w:val="single"/>
        </w:rPr>
      </w:pPr>
    </w:p>
    <w:p>
      <w:pPr>
        <w:snapToGrid w:val="0"/>
        <w:spacing w:line="360" w:lineRule="auto"/>
        <w:jc w:val="left"/>
        <w:rPr>
          <w:rFonts w:hint="eastAsia" w:ascii="宋体" w:hAnsi="宋体" w:cs="宋体"/>
          <w:b/>
          <w:color w:val="000000"/>
          <w:sz w:val="24"/>
          <w:highlight w:val="none"/>
        </w:rPr>
      </w:pPr>
    </w:p>
    <w:p>
      <w:pPr>
        <w:tabs>
          <w:tab w:val="left" w:pos="900"/>
        </w:tabs>
        <w:adjustRightInd w:val="0"/>
        <w:snapToGrid w:val="0"/>
        <w:spacing w:line="360" w:lineRule="auto"/>
        <w:jc w:val="left"/>
        <w:rPr>
          <w:rFonts w:hint="eastAsia" w:ascii="宋体" w:hAnsi="宋体" w:cs="宋体"/>
          <w:color w:val="000000"/>
          <w:sz w:val="24"/>
          <w:highlight w:val="none"/>
        </w:rPr>
      </w:pPr>
    </w:p>
    <w:p>
      <w:pPr>
        <w:snapToGrid w:val="0"/>
        <w:spacing w:line="360" w:lineRule="auto"/>
        <w:jc w:val="center"/>
        <w:rPr>
          <w:rFonts w:hint="eastAsia" w:ascii="宋体" w:hAnsi="宋体" w:cs="宋体"/>
          <w:color w:val="000000"/>
          <w:sz w:val="24"/>
          <w:highlight w:val="none"/>
        </w:rPr>
      </w:pPr>
    </w:p>
    <w:p>
      <w:pPr>
        <w:rPr>
          <w:rFonts w:hint="eastAsia" w:ascii="宋体" w:hAnsi="宋体" w:cs="宋体"/>
          <w:b/>
          <w:color w:val="000000"/>
          <w:sz w:val="24"/>
          <w:highlight w:val="none"/>
        </w:rPr>
      </w:pPr>
    </w:p>
    <w:p>
      <w:pPr>
        <w:pStyle w:val="2"/>
        <w:tabs>
          <w:tab w:val="left" w:pos="540"/>
        </w:tabs>
        <w:rPr>
          <w:rFonts w:hint="eastAsia" w:ascii="宋体" w:hAnsi="宋体" w:cs="宋体"/>
          <w:color w:val="000000"/>
          <w:sz w:val="24"/>
          <w:szCs w:val="24"/>
          <w:highlight w:val="none"/>
        </w:rPr>
      </w:pPr>
    </w:p>
    <w:p>
      <w:pPr>
        <w:pStyle w:val="16"/>
        <w:spacing w:line="240" w:lineRule="atLeast"/>
        <w:ind w:firstLine="720" w:firstLineChars="300"/>
        <w:rPr>
          <w:rFonts w:hint="eastAsia" w:hAnsi="宋体" w:cs="宋体"/>
          <w:color w:val="000000"/>
          <w:sz w:val="24"/>
          <w:szCs w:val="24"/>
          <w:highlight w:val="none"/>
        </w:rPr>
      </w:pPr>
      <w:bookmarkStart w:id="312" w:name="_Hlt520274407"/>
      <w:bookmarkEnd w:id="312"/>
      <w:bookmarkStart w:id="313" w:name="_Hlt520343000"/>
      <w:bookmarkEnd w:id="313"/>
      <w:bookmarkStart w:id="314" w:name="_Hlt520274393"/>
      <w:bookmarkEnd w:id="314"/>
      <w:bookmarkStart w:id="315" w:name="_Hlt520274911"/>
      <w:bookmarkEnd w:id="315"/>
      <w:bookmarkStart w:id="316" w:name="_Hlt520350918"/>
      <w:bookmarkEnd w:id="316"/>
      <w:bookmarkStart w:id="317" w:name="_Hlt520343392"/>
      <w:bookmarkEnd w:id="317"/>
      <w:bookmarkStart w:id="318" w:name="_Hlt520271212"/>
      <w:bookmarkEnd w:id="318"/>
      <w:bookmarkStart w:id="319" w:name="_Hlt520273973"/>
      <w:bookmarkEnd w:id="319"/>
      <w:bookmarkStart w:id="320" w:name="_Hlt520350957"/>
      <w:bookmarkEnd w:id="320"/>
      <w:bookmarkStart w:id="321" w:name="_Hlt520273711"/>
      <w:bookmarkEnd w:id="321"/>
      <w:bookmarkStart w:id="322" w:name="_Hlt520274065"/>
      <w:bookmarkEnd w:id="322"/>
      <w:bookmarkStart w:id="323" w:name="_Toc518923120"/>
      <w:bookmarkStart w:id="324" w:name="_Toc480"/>
    </w:p>
    <w:p>
      <w:pPr>
        <w:pStyle w:val="16"/>
        <w:spacing w:line="240" w:lineRule="atLeast"/>
        <w:ind w:firstLine="720" w:firstLineChars="300"/>
        <w:rPr>
          <w:rFonts w:hint="eastAsia" w:hAnsi="宋体" w:cs="宋体"/>
          <w:color w:val="000000"/>
          <w:sz w:val="24"/>
          <w:szCs w:val="24"/>
          <w:highlight w:val="none"/>
        </w:rPr>
      </w:pPr>
    </w:p>
    <w:p>
      <w:pPr>
        <w:pStyle w:val="16"/>
        <w:spacing w:line="240" w:lineRule="atLeast"/>
        <w:ind w:firstLine="720" w:firstLineChars="300"/>
        <w:rPr>
          <w:rFonts w:hint="eastAsia" w:hAnsi="宋体" w:cs="宋体"/>
          <w:color w:val="000000"/>
          <w:sz w:val="24"/>
          <w:szCs w:val="24"/>
          <w:highlight w:val="none"/>
        </w:rPr>
      </w:pPr>
    </w:p>
    <w:p>
      <w:pPr>
        <w:pStyle w:val="16"/>
        <w:spacing w:line="240" w:lineRule="atLeast"/>
        <w:ind w:firstLine="720" w:firstLineChars="300"/>
        <w:rPr>
          <w:rFonts w:hint="eastAsia" w:hAnsi="宋体" w:cs="宋体"/>
          <w:color w:val="000000"/>
          <w:sz w:val="24"/>
          <w:szCs w:val="24"/>
          <w:highlight w:val="none"/>
        </w:rPr>
      </w:pPr>
    </w:p>
    <w:p>
      <w:pPr>
        <w:pStyle w:val="16"/>
        <w:spacing w:line="240" w:lineRule="atLeast"/>
        <w:ind w:firstLine="720" w:firstLineChars="300"/>
        <w:rPr>
          <w:rFonts w:hint="eastAsia" w:hAnsi="宋体" w:cs="宋体"/>
          <w:color w:val="000000"/>
          <w:sz w:val="24"/>
          <w:szCs w:val="24"/>
          <w:highlight w:val="none"/>
        </w:rPr>
      </w:pPr>
    </w:p>
    <w:p>
      <w:pPr>
        <w:pStyle w:val="16"/>
        <w:spacing w:line="240" w:lineRule="atLeast"/>
        <w:rPr>
          <w:rFonts w:hint="eastAsia" w:hAnsi="宋体" w:cs="宋体"/>
          <w:color w:val="000000"/>
          <w:sz w:val="24"/>
          <w:szCs w:val="24"/>
          <w:highlight w:val="none"/>
        </w:rPr>
      </w:pPr>
    </w:p>
    <w:p>
      <w:pPr>
        <w:pStyle w:val="16"/>
        <w:spacing w:line="240" w:lineRule="atLeast"/>
        <w:rPr>
          <w:rFonts w:hint="eastAsia" w:hAnsi="宋体" w:cs="宋体"/>
          <w:color w:val="000000"/>
          <w:sz w:val="24"/>
          <w:szCs w:val="24"/>
          <w:highlight w:val="none"/>
        </w:rPr>
      </w:pPr>
    </w:p>
    <w:p>
      <w:pPr>
        <w:pStyle w:val="16"/>
        <w:spacing w:line="240" w:lineRule="atLeast"/>
        <w:rPr>
          <w:rFonts w:hint="eastAsia" w:hAnsi="宋体" w:cs="宋体"/>
          <w:color w:val="000000"/>
          <w:sz w:val="24"/>
          <w:szCs w:val="24"/>
          <w:highlight w:val="none"/>
        </w:rPr>
      </w:pPr>
    </w:p>
    <w:p>
      <w:pPr>
        <w:pStyle w:val="16"/>
        <w:spacing w:line="240" w:lineRule="atLeast"/>
        <w:rPr>
          <w:rFonts w:hint="eastAsia" w:hAnsi="宋体" w:cs="宋体"/>
          <w:color w:val="000000"/>
          <w:sz w:val="24"/>
          <w:szCs w:val="24"/>
          <w:highlight w:val="none"/>
        </w:rPr>
      </w:pPr>
    </w:p>
    <w:p>
      <w:pPr>
        <w:pStyle w:val="16"/>
        <w:spacing w:line="240" w:lineRule="atLeast"/>
        <w:rPr>
          <w:rFonts w:hint="eastAsia" w:hAnsi="宋体" w:cs="宋体"/>
          <w:color w:val="000000"/>
          <w:sz w:val="24"/>
          <w:szCs w:val="24"/>
          <w:highlight w:val="none"/>
        </w:rPr>
      </w:pPr>
    </w:p>
    <w:bookmarkEnd w:id="323"/>
    <w:bookmarkEnd w:id="324"/>
    <w:p>
      <w:pPr>
        <w:snapToGrid w:val="0"/>
        <w:spacing w:line="720" w:lineRule="auto"/>
        <w:rPr>
          <w:rFonts w:hint="eastAsia" w:ascii="仿宋" w:hAnsi="仿宋" w:eastAsia="仿宋" w:cs="仿宋"/>
          <w:b/>
          <w:color w:val="000000"/>
          <w:sz w:val="28"/>
          <w:szCs w:val="28"/>
          <w:highlight w:val="none"/>
          <w:lang w:val="zh-CN" w:eastAsia="zh-CN"/>
        </w:rPr>
      </w:pPr>
      <w:r>
        <w:rPr>
          <w:rFonts w:hint="eastAsia" w:ascii="仿宋" w:hAnsi="仿宋" w:eastAsia="仿宋" w:cs="仿宋"/>
          <w:b/>
          <w:color w:val="000000"/>
          <w:sz w:val="28"/>
          <w:szCs w:val="28"/>
          <w:highlight w:val="none"/>
          <w:lang w:val="en-US" w:eastAsia="zh-CN"/>
        </w:rPr>
        <w:t>7、</w:t>
      </w:r>
      <w:r>
        <w:rPr>
          <w:rFonts w:hint="eastAsia" w:ascii="仿宋" w:hAnsi="仿宋" w:eastAsia="仿宋" w:cs="仿宋"/>
          <w:b/>
          <w:color w:val="000000"/>
          <w:sz w:val="28"/>
          <w:szCs w:val="28"/>
          <w:highlight w:val="none"/>
          <w:lang w:val="zh-CN" w:eastAsia="zh-CN"/>
        </w:rPr>
        <w:t>人员配备情况（</w:t>
      </w:r>
      <w:r>
        <w:rPr>
          <w:rFonts w:hint="eastAsia" w:ascii="仿宋" w:hAnsi="仿宋" w:eastAsia="仿宋" w:cs="仿宋"/>
          <w:b/>
          <w:color w:val="000000"/>
          <w:sz w:val="28"/>
          <w:szCs w:val="28"/>
          <w:highlight w:val="none"/>
          <w:lang w:val="en-US" w:eastAsia="zh-CN"/>
        </w:rPr>
        <w:t>格式自拟</w:t>
      </w:r>
      <w:r>
        <w:rPr>
          <w:rFonts w:hint="eastAsia" w:ascii="仿宋" w:hAnsi="仿宋" w:eastAsia="仿宋" w:cs="仿宋"/>
          <w:b/>
          <w:color w:val="000000"/>
          <w:sz w:val="28"/>
          <w:szCs w:val="28"/>
          <w:highlight w:val="none"/>
          <w:lang w:val="zh-CN" w:eastAsia="zh-CN"/>
        </w:rPr>
        <w:t>）</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8、企业获奖情况</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9、项目管理保障</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10、</w:t>
      </w:r>
      <w:r>
        <w:rPr>
          <w:rFonts w:hint="eastAsia" w:ascii="仿宋" w:hAnsi="仿宋" w:eastAsia="仿宋" w:cs="仿宋"/>
          <w:b/>
          <w:color w:val="000000"/>
          <w:sz w:val="28"/>
          <w:szCs w:val="28"/>
          <w:highlight w:val="none"/>
          <w:lang w:val="zh-CN" w:eastAsia="zh-CN"/>
        </w:rPr>
        <w:t>编制总体思路</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11、技术路径</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12、 基础研究</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 xml:space="preserve">13、质量和进度保证措施 </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 xml:space="preserve">14、成果内容     </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 xml:space="preserve">15、 </w:t>
      </w:r>
      <w:r>
        <w:rPr>
          <w:rFonts w:hint="eastAsia" w:ascii="仿宋" w:hAnsi="仿宋" w:eastAsia="仿宋" w:cs="仿宋"/>
          <w:b/>
          <w:color w:val="000000"/>
          <w:sz w:val="28"/>
          <w:szCs w:val="28"/>
          <w:highlight w:val="none"/>
          <w:lang w:val="zh-CN" w:eastAsia="zh-CN"/>
        </w:rPr>
        <w:t>售后服务计划及服务承诺</w:t>
      </w:r>
    </w:p>
    <w:p>
      <w:pPr>
        <w:snapToGrid w:val="0"/>
        <w:spacing w:line="720" w:lineRule="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16、 其他资料</w:t>
      </w:r>
    </w:p>
    <w:p>
      <w:pPr>
        <w:spacing w:line="240" w:lineRule="atLeast"/>
        <w:jc w:val="both"/>
        <w:rPr>
          <w:rFonts w:hint="eastAsia" w:ascii="宋体" w:hAnsi="宋体" w:cs="宋体"/>
          <w:b/>
          <w:color w:val="000000"/>
          <w:sz w:val="52"/>
          <w:szCs w:val="52"/>
          <w:highlight w:val="none"/>
        </w:rPr>
      </w:pPr>
    </w:p>
    <w:p>
      <w:pPr>
        <w:spacing w:line="240" w:lineRule="atLeast"/>
        <w:ind w:left="1080" w:leftChars="257" w:hanging="540"/>
        <w:jc w:val="center"/>
        <w:rPr>
          <w:rFonts w:hint="eastAsia" w:ascii="宋体" w:hAnsi="宋体" w:cs="宋体"/>
          <w:b/>
          <w:color w:val="000000"/>
          <w:sz w:val="52"/>
          <w:highlight w:val="none"/>
        </w:rPr>
      </w:pPr>
    </w:p>
    <w:p>
      <w:pPr>
        <w:pStyle w:val="6"/>
        <w:rPr>
          <w:rFonts w:hint="eastAsia"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pStyle w:val="16"/>
        <w:spacing w:line="360" w:lineRule="exact"/>
        <w:outlineLvl w:val="2"/>
        <w:rPr>
          <w:rFonts w:hint="eastAsia" w:ascii="仿宋" w:hAnsi="仿宋" w:eastAsia="仿宋" w:cs="仿宋"/>
          <w:sz w:val="24"/>
          <w:highlight w:val="none"/>
        </w:rPr>
      </w:pPr>
      <w:r>
        <w:rPr>
          <w:rFonts w:hint="eastAsia" w:ascii="仿宋" w:hAnsi="仿宋" w:eastAsia="仿宋" w:cs="仿宋"/>
          <w:b/>
          <w:kern w:val="0"/>
          <w:sz w:val="24"/>
          <w:szCs w:val="20"/>
          <w:highlight w:val="none"/>
          <w:lang w:val="en-US" w:eastAsia="zh-CN"/>
        </w:rPr>
        <w:t>投标</w:t>
      </w:r>
      <w:r>
        <w:rPr>
          <w:rFonts w:hint="eastAsia" w:ascii="仿宋" w:hAnsi="仿宋" w:eastAsia="仿宋" w:cs="仿宋"/>
          <w:b/>
          <w:kern w:val="0"/>
          <w:sz w:val="24"/>
          <w:szCs w:val="20"/>
          <w:highlight w:val="none"/>
          <w:lang w:eastAsia="zh-CN"/>
        </w:rPr>
        <w:t>文件</w:t>
      </w:r>
      <w:r>
        <w:rPr>
          <w:rFonts w:hint="eastAsia" w:ascii="仿宋" w:hAnsi="仿宋" w:eastAsia="仿宋" w:cs="仿宋"/>
          <w:b/>
          <w:kern w:val="0"/>
          <w:sz w:val="24"/>
          <w:szCs w:val="20"/>
          <w:highlight w:val="none"/>
        </w:rPr>
        <w:t>格式范本</w:t>
      </w:r>
    </w:p>
    <w:p>
      <w:pPr>
        <w:spacing w:line="240" w:lineRule="atLeast"/>
        <w:outlineLvl w:val="2"/>
        <w:rPr>
          <w:rFonts w:hint="eastAsia" w:ascii="宋体" w:hAnsi="宋体" w:eastAsia="宋体" w:cs="宋体"/>
          <w:b/>
          <w:kern w:val="0"/>
          <w:sz w:val="24"/>
          <w:szCs w:val="20"/>
          <w:highlight w:val="none"/>
        </w:rPr>
      </w:pPr>
    </w:p>
    <w:tbl>
      <w:tblPr>
        <w:tblStyle w:val="38"/>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733" w:hRule="atLeast"/>
        </w:trPr>
        <w:tc>
          <w:tcPr>
            <w:tcW w:w="8060" w:type="dxa"/>
            <w:shd w:val="clear" w:color="auto" w:fill="FCFEEA"/>
            <w:noWrap w:val="0"/>
            <w:vAlign w:val="top"/>
          </w:tcPr>
          <w:p>
            <w:pPr>
              <w:pStyle w:val="9"/>
              <w:jc w:val="right"/>
              <w:rPr>
                <w:rFonts w:hint="eastAsia" w:ascii="宋体" w:hAnsi="宋体" w:eastAsia="宋体" w:cs="宋体"/>
                <w:b/>
                <w:bCs/>
                <w:sz w:val="28"/>
                <w:szCs w:val="28"/>
                <w:highlight w:val="none"/>
              </w:rPr>
            </w:pPr>
          </w:p>
          <w:p>
            <w:pPr>
              <w:pStyle w:val="9"/>
              <w:ind w:firstLine="4216" w:firstLineChars="1500"/>
              <w:rPr>
                <w:rFonts w:hint="eastAsia" w:ascii="宋体" w:hAnsi="宋体" w:eastAsia="宋体" w:cs="宋体"/>
                <w:b/>
                <w:bCs/>
                <w:sz w:val="28"/>
                <w:szCs w:val="28"/>
                <w:highlight w:val="none"/>
              </w:rPr>
            </w:pPr>
          </w:p>
          <w:p>
            <w:pPr>
              <w:pStyle w:val="9"/>
              <w:ind w:firstLine="4216" w:firstLineChars="1500"/>
              <w:rPr>
                <w:rFonts w:hint="eastAsia" w:ascii="仿宋" w:hAnsi="仿宋" w:eastAsia="仿宋" w:cs="仿宋"/>
                <w:b/>
                <w:bCs/>
                <w:sz w:val="28"/>
                <w:szCs w:val="28"/>
                <w:highlight w:val="none"/>
              </w:rPr>
            </w:pPr>
          </w:p>
          <w:p>
            <w:pPr>
              <w:pStyle w:val="9"/>
              <w:rPr>
                <w:rFonts w:hint="eastAsia" w:ascii="仿宋" w:hAnsi="仿宋" w:eastAsia="仿宋" w:cs="仿宋"/>
                <w:b/>
                <w:bCs/>
                <w:sz w:val="28"/>
                <w:szCs w:val="28"/>
                <w:highlight w:val="none"/>
              </w:rPr>
            </w:pPr>
          </w:p>
          <w:p>
            <w:pPr>
              <w:pStyle w:val="9"/>
              <w:ind w:firstLine="2530" w:firstLineChars="9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 *** *** ***   项目</w:t>
            </w:r>
          </w:p>
          <w:p>
            <w:pPr>
              <w:pStyle w:val="9"/>
              <w:jc w:val="center"/>
              <w:rPr>
                <w:rFonts w:hint="eastAsia" w:ascii="仿宋" w:hAnsi="仿宋" w:eastAsia="仿宋" w:cs="仿宋"/>
                <w:b/>
                <w:bCs/>
                <w:sz w:val="21"/>
                <w:szCs w:val="21"/>
                <w:highlight w:val="none"/>
              </w:rPr>
            </w:pPr>
          </w:p>
          <w:p>
            <w:pPr>
              <w:pStyle w:val="9"/>
              <w:ind w:firstLine="3162" w:firstLineChars="15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编号</w:t>
            </w:r>
            <w:r>
              <w:rPr>
                <w:rFonts w:hint="eastAsia" w:ascii="仿宋" w:hAnsi="仿宋" w:eastAsia="仿宋" w:cs="仿宋"/>
                <w:b/>
                <w:bCs/>
                <w:sz w:val="21"/>
                <w:szCs w:val="21"/>
                <w:highlight w:val="none"/>
                <w:lang w:val="en-US" w:eastAsia="zh-CN"/>
              </w:rPr>
              <w:t>*****************</w:t>
            </w:r>
          </w:p>
          <w:p>
            <w:pPr>
              <w:pStyle w:val="9"/>
              <w:jc w:val="center"/>
              <w:rPr>
                <w:rFonts w:hint="eastAsia" w:ascii="仿宋" w:hAnsi="仿宋" w:eastAsia="仿宋" w:cs="仿宋"/>
                <w:b/>
                <w:bCs/>
                <w:sz w:val="48"/>
                <w:highlight w:val="none"/>
              </w:rPr>
            </w:pPr>
          </w:p>
          <w:p>
            <w:pPr>
              <w:pStyle w:val="9"/>
              <w:jc w:val="center"/>
              <w:rPr>
                <w:rFonts w:hint="eastAsia" w:ascii="仿宋" w:hAnsi="仿宋" w:eastAsia="仿宋" w:cs="仿宋"/>
                <w:b/>
                <w:bCs/>
                <w:sz w:val="48"/>
                <w:highlight w:val="none"/>
              </w:rPr>
            </w:pPr>
            <w:r>
              <w:rPr>
                <w:rFonts w:hint="eastAsia" w:ascii="仿宋" w:hAnsi="仿宋" w:eastAsia="仿宋" w:cs="仿宋"/>
                <w:b/>
                <w:bCs/>
                <w:sz w:val="48"/>
                <w:highlight w:val="none"/>
                <w:lang w:val="en-US" w:eastAsia="zh-CN"/>
              </w:rPr>
              <w:t>投标</w:t>
            </w:r>
            <w:r>
              <w:rPr>
                <w:rFonts w:hint="eastAsia" w:ascii="仿宋" w:hAnsi="仿宋" w:eastAsia="仿宋" w:cs="仿宋"/>
                <w:b/>
                <w:bCs/>
                <w:sz w:val="48"/>
                <w:highlight w:val="none"/>
                <w:lang w:eastAsia="zh-CN"/>
              </w:rPr>
              <w:t>文件</w:t>
            </w:r>
          </w:p>
          <w:p>
            <w:pPr>
              <w:jc w:val="center"/>
              <w:rPr>
                <w:rFonts w:hint="eastAsia" w:ascii="仿宋" w:hAnsi="仿宋" w:eastAsia="仿宋" w:cs="仿宋"/>
                <w:b/>
                <w:sz w:val="32"/>
                <w:highlight w:val="none"/>
              </w:rPr>
            </w:pPr>
          </w:p>
          <w:p>
            <w:pPr>
              <w:pStyle w:val="6"/>
              <w:rPr>
                <w:rFonts w:hint="eastAsia" w:ascii="仿宋" w:hAnsi="仿宋" w:eastAsia="仿宋" w:cs="仿宋"/>
                <w:b/>
                <w:sz w:val="32"/>
                <w:highlight w:val="none"/>
              </w:rPr>
            </w:pPr>
          </w:p>
          <w:p>
            <w:pPr>
              <w:pStyle w:val="6"/>
              <w:rPr>
                <w:rFonts w:hint="eastAsia" w:ascii="仿宋" w:hAnsi="仿宋" w:eastAsia="仿宋" w:cs="仿宋"/>
                <w:b/>
                <w:sz w:val="32"/>
                <w:highlight w:val="none"/>
              </w:rPr>
            </w:pPr>
          </w:p>
          <w:p>
            <w:pPr>
              <w:spacing w:line="360" w:lineRule="auto"/>
              <w:ind w:left="176" w:leftChars="84" w:firstLine="840" w:firstLineChars="400"/>
              <w:rPr>
                <w:rFonts w:hint="eastAsia" w:ascii="仿宋" w:hAnsi="仿宋" w:eastAsia="仿宋" w:cs="仿宋"/>
                <w:szCs w:val="21"/>
                <w:highlight w:val="none"/>
              </w:rPr>
            </w:pPr>
            <w:r>
              <w:rPr>
                <w:rFonts w:hint="eastAsia" w:ascii="仿宋" w:hAnsi="仿宋" w:eastAsia="仿宋" w:cs="仿宋"/>
                <w:szCs w:val="21"/>
                <w:highlight w:val="none"/>
              </w:rPr>
              <w:t>投标单位：（公章）</w:t>
            </w:r>
          </w:p>
          <w:p>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项目名称：</w:t>
            </w:r>
          </w:p>
          <w:p>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项目编号：</w:t>
            </w:r>
          </w:p>
          <w:p>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联系人：</w:t>
            </w:r>
          </w:p>
          <w:p>
            <w:pPr>
              <w:spacing w:line="360" w:lineRule="auto"/>
              <w:ind w:left="176" w:leftChars="84" w:firstLine="840" w:firstLineChars="400"/>
              <w:rPr>
                <w:rFonts w:hint="eastAsia" w:ascii="仿宋" w:hAnsi="仿宋" w:eastAsia="仿宋" w:cs="仿宋"/>
                <w:szCs w:val="21"/>
                <w:highlight w:val="none"/>
              </w:rPr>
            </w:pPr>
            <w:r>
              <w:rPr>
                <w:rFonts w:hint="eastAsia" w:ascii="仿宋" w:hAnsi="仿宋" w:eastAsia="仿宋" w:cs="仿宋"/>
                <w:szCs w:val="21"/>
                <w:highlight w:val="none"/>
              </w:rPr>
              <w:t>电话：</w:t>
            </w:r>
          </w:p>
          <w:p>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地址：</w:t>
            </w:r>
          </w:p>
          <w:p>
            <w:pPr>
              <w:spacing w:line="360" w:lineRule="auto"/>
              <w:ind w:left="176" w:leftChars="84" w:firstLine="960" w:firstLineChars="400"/>
              <w:rPr>
                <w:rFonts w:hint="eastAsia" w:ascii="仿宋" w:hAnsi="仿宋" w:eastAsia="仿宋" w:cs="仿宋"/>
                <w:sz w:val="24"/>
                <w:highlight w:val="none"/>
              </w:rPr>
            </w:pPr>
          </w:p>
          <w:p>
            <w:pPr>
              <w:jc w:val="center"/>
              <w:rPr>
                <w:rFonts w:hint="eastAsia" w:ascii="仿宋" w:hAnsi="仿宋" w:eastAsia="仿宋" w:cs="仿宋"/>
                <w:b/>
                <w:bCs/>
                <w:highlight w:val="none"/>
              </w:rPr>
            </w:pPr>
          </w:p>
          <w:p>
            <w:pPr>
              <w:jc w:val="center"/>
              <w:rPr>
                <w:rFonts w:hint="eastAsia" w:ascii="仿宋" w:hAnsi="仿宋" w:eastAsia="仿宋" w:cs="仿宋"/>
                <w:b/>
                <w:bCs/>
                <w:highlight w:val="none"/>
              </w:rPr>
            </w:pPr>
          </w:p>
          <w:p>
            <w:pPr>
              <w:jc w:val="center"/>
              <w:rPr>
                <w:rFonts w:hint="eastAsia" w:ascii="宋体" w:hAnsi="宋体" w:eastAsia="宋体" w:cs="宋体"/>
                <w:b/>
                <w:bCs/>
                <w:highlight w:val="none"/>
              </w:rPr>
            </w:pPr>
          </w:p>
        </w:tc>
      </w:tr>
    </w:tbl>
    <w:p>
      <w:pPr>
        <w:pStyle w:val="6"/>
        <w:rPr>
          <w:rFonts w:hint="eastAsia" w:ascii="宋体" w:hAnsi="宋体" w:eastAsia="宋体" w:cs="宋体"/>
          <w:highlight w:val="none"/>
        </w:rPr>
      </w:pPr>
    </w:p>
    <w:p>
      <w:pPr>
        <w:spacing w:line="240" w:lineRule="atLeast"/>
        <w:ind w:left="1080" w:leftChars="257" w:hanging="540"/>
        <w:jc w:val="center"/>
        <w:rPr>
          <w:rFonts w:hint="eastAsia" w:ascii="宋体" w:hAnsi="宋体" w:eastAsia="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pStyle w:val="6"/>
        <w:rPr>
          <w:rFonts w:hint="eastAsia" w:ascii="宋体" w:hAnsi="宋体" w:cs="宋体"/>
          <w:b/>
          <w:color w:val="000000"/>
          <w:sz w:val="48"/>
          <w:szCs w:val="48"/>
          <w:highlight w:val="none"/>
        </w:rPr>
      </w:pPr>
    </w:p>
    <w:p>
      <w:pPr>
        <w:pStyle w:val="6"/>
        <w:rPr>
          <w:rFonts w:hint="eastAsia" w:ascii="宋体" w:hAnsi="宋体" w:cs="宋体"/>
          <w:b/>
          <w:color w:val="000000"/>
          <w:sz w:val="48"/>
          <w:szCs w:val="48"/>
          <w:highlight w:val="none"/>
        </w:rPr>
      </w:pPr>
    </w:p>
    <w:p>
      <w:pPr>
        <w:pStyle w:val="6"/>
        <w:rPr>
          <w:rFonts w:hint="eastAsia" w:ascii="宋体" w:hAnsi="宋体" w:cs="宋体"/>
          <w:b/>
          <w:color w:val="000000"/>
          <w:sz w:val="48"/>
          <w:szCs w:val="48"/>
          <w:highlight w:val="none"/>
        </w:rPr>
      </w:pPr>
    </w:p>
    <w:p>
      <w:pPr>
        <w:pStyle w:val="6"/>
        <w:rPr>
          <w:rFonts w:hint="eastAsia" w:ascii="宋体" w:hAnsi="宋体" w:cs="宋体"/>
          <w:b/>
          <w:color w:val="000000"/>
          <w:sz w:val="48"/>
          <w:szCs w:val="48"/>
          <w:highlight w:val="none"/>
        </w:rPr>
      </w:pPr>
    </w:p>
    <w:p>
      <w:pPr>
        <w:spacing w:line="240" w:lineRule="atLeast"/>
        <w:ind w:left="1080" w:leftChars="257" w:hanging="540"/>
        <w:jc w:val="center"/>
        <w:rPr>
          <w:rFonts w:hint="eastAsia" w:ascii="仿宋" w:hAnsi="仿宋" w:eastAsia="仿宋" w:cs="仿宋"/>
          <w:b/>
          <w:color w:val="000000"/>
          <w:sz w:val="48"/>
          <w:szCs w:val="48"/>
          <w:highlight w:val="none"/>
        </w:rPr>
      </w:pPr>
    </w:p>
    <w:p>
      <w:pPr>
        <w:spacing w:line="240" w:lineRule="atLeast"/>
        <w:ind w:left="1080" w:leftChars="257" w:hanging="54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第二册</w:t>
      </w: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rPr>
          <w:rFonts w:hint="eastAsia" w:ascii="宋体" w:hAnsi="宋体" w:cs="宋体"/>
          <w:b/>
          <w:color w:val="000000"/>
          <w:sz w:val="28"/>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rPr>
          <w:rFonts w:hint="eastAsia" w:ascii="宋体" w:hAnsi="宋体" w:cs="宋体"/>
          <w:b/>
          <w:color w:val="000000"/>
          <w:sz w:val="52"/>
          <w:highlight w:val="none"/>
        </w:rPr>
      </w:pPr>
    </w:p>
    <w:p>
      <w:pPr>
        <w:pStyle w:val="6"/>
        <w:rPr>
          <w:rFonts w:hint="eastAsia" w:hAnsi="宋体" w:cs="宋体"/>
          <w:b/>
          <w:color w:val="000000"/>
          <w:sz w:val="52"/>
          <w:highlight w:val="none"/>
        </w:rPr>
      </w:pPr>
    </w:p>
    <w:p>
      <w:pPr>
        <w:pStyle w:val="7"/>
        <w:rPr>
          <w:rFonts w:hint="eastAsia" w:hAnsi="宋体" w:cs="宋体"/>
          <w:b/>
          <w:color w:val="000000"/>
          <w:sz w:val="52"/>
          <w:highlight w:val="none"/>
        </w:rPr>
      </w:pPr>
    </w:p>
    <w:p>
      <w:pPr>
        <w:rPr>
          <w:rFonts w:hint="eastAsia"/>
        </w:rPr>
      </w:pPr>
    </w:p>
    <w:p>
      <w:pPr>
        <w:pStyle w:val="6"/>
        <w:ind w:left="0" w:leftChars="0" w:firstLine="0" w:firstLineChars="0"/>
        <w:rPr>
          <w:rFonts w:hint="eastAsia" w:hAnsi="宋体" w:cs="宋体"/>
          <w:b/>
          <w:color w:val="000000"/>
          <w:sz w:val="52"/>
          <w:highlight w:val="none"/>
        </w:rPr>
      </w:pP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400" w:lineRule="exact"/>
        <w:jc w:val="center"/>
        <w:textAlignment w:val="auto"/>
        <w:rPr>
          <w:rFonts w:hint="eastAsia" w:ascii="仿宋" w:hAnsi="仿宋" w:eastAsia="仿宋" w:cs="仿宋"/>
          <w:b/>
          <w:color w:val="000000"/>
          <w:sz w:val="32"/>
          <w:szCs w:val="32"/>
          <w:highlight w:val="none"/>
          <w:lang w:eastAsia="zh-CN"/>
        </w:rPr>
      </w:pP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400" w:lineRule="exact"/>
        <w:jc w:val="center"/>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eastAsia="zh-CN"/>
        </w:rPr>
        <w:t>第</w:t>
      </w:r>
      <w:r>
        <w:rPr>
          <w:rFonts w:hint="eastAsia" w:ascii="仿宋" w:hAnsi="仿宋" w:eastAsia="仿宋" w:cs="仿宋"/>
          <w:b/>
          <w:color w:val="000000"/>
          <w:sz w:val="32"/>
          <w:szCs w:val="32"/>
          <w:highlight w:val="none"/>
          <w:lang w:val="en-US" w:eastAsia="zh-CN"/>
        </w:rPr>
        <w:t>3</w:t>
      </w:r>
      <w:r>
        <w:rPr>
          <w:rFonts w:hint="eastAsia" w:ascii="仿宋" w:hAnsi="仿宋" w:eastAsia="仿宋" w:cs="仿宋"/>
          <w:b/>
          <w:color w:val="000000"/>
          <w:sz w:val="32"/>
          <w:szCs w:val="32"/>
          <w:highlight w:val="none"/>
          <w:lang w:eastAsia="zh-CN"/>
        </w:rPr>
        <w:t xml:space="preserve">章 </w:t>
      </w:r>
      <w:r>
        <w:rPr>
          <w:rFonts w:hint="eastAsia" w:ascii="仿宋" w:hAnsi="仿宋" w:eastAsia="仿宋" w:cs="仿宋"/>
          <w:b/>
          <w:color w:val="000000"/>
          <w:sz w:val="32"/>
          <w:szCs w:val="32"/>
          <w:highlight w:val="none"/>
          <w:lang w:val="en-US" w:eastAsia="zh-CN"/>
        </w:rPr>
        <w:t>招标公告</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bookmarkStart w:id="325" w:name="_Toc216582823"/>
      <w:bookmarkStart w:id="326" w:name="_Toc20439"/>
      <w:bookmarkStart w:id="327" w:name="_Toc31583"/>
      <w:bookmarkStart w:id="328" w:name="_Toc507399903"/>
      <w:bookmarkStart w:id="329" w:name="_Toc515647830"/>
      <w:bookmarkStart w:id="330" w:name="_Toc10488"/>
      <w:bookmarkStart w:id="331" w:name="_Toc512937850"/>
      <w:r>
        <w:rPr>
          <w:rFonts w:hint="eastAsia" w:ascii="仿宋" w:hAnsi="仿宋" w:eastAsia="仿宋" w:cs="仿宋"/>
          <w:b/>
          <w:bCs/>
          <w:color w:val="auto"/>
          <w:highlight w:val="none"/>
        </w:rPr>
        <w:t>一、项目基本情况</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项目编号：KSHD-(GK)2023-13号</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疏附县村庄规划编制项目（第二批）</w:t>
      </w:r>
      <w:r>
        <w:rPr>
          <w:rFonts w:hint="eastAsia" w:ascii="仿宋" w:hAnsi="仿宋" w:eastAsia="仿宋" w:cs="仿宋"/>
          <w:color w:val="auto"/>
          <w:highlight w:val="none"/>
        </w:rPr>
        <w:t>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采购方式：</w:t>
      </w:r>
      <w:r>
        <w:rPr>
          <w:rFonts w:hint="eastAsia" w:ascii="仿宋" w:hAnsi="仿宋" w:eastAsia="仿宋" w:cs="仿宋"/>
          <w:color w:val="auto"/>
          <w:highlight w:val="none"/>
          <w:lang w:val="en-US" w:eastAsia="zh-CN"/>
        </w:rPr>
        <w:t>公开招标</w:t>
      </w:r>
      <w:r>
        <w:rPr>
          <w:rFonts w:hint="eastAsia" w:ascii="仿宋" w:hAnsi="仿宋" w:eastAsia="仿宋" w:cs="仿宋"/>
          <w:color w:val="auto"/>
          <w:highlight w:val="none"/>
        </w:rPr>
        <w:t>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color w:val="auto"/>
          <w:kern w:val="0"/>
          <w:sz w:val="24"/>
          <w:szCs w:val="24"/>
          <w:highlight w:val="none"/>
          <w:lang w:val="en-US" w:eastAsia="zh-CN" w:bidi="ar"/>
        </w:rPr>
        <w:t>：10100000.00 </w:t>
      </w:r>
      <w:r>
        <w:rPr>
          <w:rFonts w:hint="eastAsia" w:ascii="仿宋" w:hAnsi="仿宋" w:eastAsia="仿宋" w:cs="仿宋"/>
          <w:color w:val="auto"/>
          <w:highlight w:val="none"/>
        </w:rPr>
        <w:t>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最高限价</w:t>
      </w:r>
      <w:r>
        <w:rPr>
          <w:rFonts w:hint="eastAsia" w:ascii="仿宋" w:hAnsi="仿宋" w:eastAsia="仿宋" w:cs="仿宋"/>
          <w:color w:val="auto"/>
          <w:highlight w:val="none"/>
        </w:rPr>
        <w:t>（元）：</w:t>
      </w:r>
      <w:r>
        <w:rPr>
          <w:rFonts w:hint="eastAsia" w:ascii="仿宋" w:hAnsi="仿宋" w:eastAsia="仿宋" w:cs="仿宋"/>
          <w:color w:val="auto"/>
          <w:highlight w:val="none"/>
          <w:lang w:val="en-US" w:eastAsia="zh-CN"/>
        </w:rPr>
        <w:t>10100000.00</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采购需求：</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标项1：</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标项</w:t>
      </w: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疏附县村庄规划编制项目（第二批）</w:t>
      </w:r>
      <w:r>
        <w:rPr>
          <w:rFonts w:hint="eastAsia" w:ascii="仿宋" w:hAnsi="仿宋" w:eastAsia="仿宋" w:cs="仿宋"/>
          <w:color w:val="auto"/>
          <w:highlight w:val="none"/>
        </w:rPr>
        <w:t>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数量:1</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预算金额</w:t>
      </w:r>
      <w:r>
        <w:rPr>
          <w:rFonts w:hint="eastAsia" w:ascii="仿宋" w:hAnsi="仿宋" w:eastAsia="仿宋" w:cs="仿宋"/>
          <w:color w:val="auto"/>
          <w:highlight w:val="none"/>
        </w:rPr>
        <w:t>（元）:</w:t>
      </w:r>
      <w:r>
        <w:rPr>
          <w:rFonts w:hint="eastAsia" w:ascii="仿宋" w:hAnsi="仿宋" w:eastAsia="仿宋" w:cs="仿宋"/>
          <w:color w:val="auto"/>
          <w:highlight w:val="none"/>
          <w:lang w:val="en-US" w:eastAsia="zh-CN"/>
        </w:rPr>
        <w:t>10100000.00</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单位：次</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简要规格描述或项目基本概况介绍、用途：完成8个乡（镇）、3个场（林场、良种场、园艺场）的国土空间总体规划和54个村村庄规划编制工作</w:t>
      </w:r>
      <w:r>
        <w:rPr>
          <w:rFonts w:hint="eastAsia" w:ascii="仿宋" w:hAnsi="仿宋" w:eastAsia="仿宋" w:cs="仿宋"/>
          <w:color w:val="auto"/>
          <w:highlight w:val="none"/>
          <w:lang w:val="en-US" w:eastAsia="zh-CN"/>
        </w:rPr>
        <w:t>。</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合同履约期限：标项 1，</w:t>
      </w:r>
      <w:r>
        <w:rPr>
          <w:rFonts w:hint="eastAsia" w:ascii="仿宋" w:hAnsi="仿宋" w:eastAsia="仿宋" w:cs="仿宋"/>
          <w:color w:val="auto"/>
          <w:highlight w:val="none"/>
          <w:lang w:val="en-US" w:eastAsia="zh-CN"/>
        </w:rPr>
        <w:t>详见招标文件</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本项目（否）接受联合体投标。  </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二、申请人的资格要求：</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1.满足《中华人民共和国政府采购法》第二十二条规定；</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2.落实政府采购政策需满足的资格要求：</w:t>
      </w:r>
      <w:r>
        <w:rPr>
          <w:rFonts w:hint="eastAsia" w:ascii="仿宋" w:hAnsi="仿宋" w:eastAsia="仿宋" w:cs="仿宋"/>
          <w:color w:val="auto"/>
          <w:highlight w:val="none"/>
          <w:lang w:val="en-US" w:eastAsia="zh-CN"/>
        </w:rPr>
        <w:t>无</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auto"/>
          <w:highlight w:val="none"/>
          <w:lang w:eastAsia="zh-CN"/>
        </w:rPr>
        <w:t>3.本项目的特定资格要求：</w:t>
      </w:r>
      <w:r>
        <w:rPr>
          <w:rFonts w:hint="eastAsia" w:ascii="仿宋" w:hAnsi="仿宋" w:eastAsia="仿宋" w:cs="仿宋"/>
          <w:color w:val="auto"/>
          <w:highlight w:val="none"/>
        </w:rPr>
        <w:t xml:space="preserve">标项 </w:t>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eastAsia="zh-CN"/>
          <w14:textFill>
            <w14:solidFill>
              <w14:schemeClr w14:val="tx1"/>
            </w14:solidFill>
          </w14:textFill>
        </w:rPr>
        <w:t>：须具备</w:t>
      </w:r>
      <w:r>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t>城乡规划编制乙级（含乙级）及以上资质或土地利用规划乙级（含乙级）及以上资质</w:t>
      </w:r>
      <w:r>
        <w:rPr>
          <w:rFonts w:hint="eastAsia" w:ascii="仿宋" w:hAnsi="仿宋" w:eastAsia="仿宋" w:cs="仿宋"/>
          <w:color w:val="000000" w:themeColor="text1"/>
          <w:highlight w:val="none"/>
          <w:lang w:eastAsia="zh-CN"/>
          <w14:textFill>
            <w14:solidFill>
              <w14:schemeClr w14:val="tx1"/>
            </w14:solidFill>
          </w14:textFill>
        </w:rPr>
        <w:t>；</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b/>
          <w:bCs/>
          <w:color w:val="auto"/>
          <w:highlight w:val="none"/>
        </w:rPr>
        <w:t>三、获取</w:t>
      </w:r>
      <w:r>
        <w:rPr>
          <w:rFonts w:hint="eastAsia" w:ascii="仿宋" w:hAnsi="仿宋" w:eastAsia="仿宋" w:cs="仿宋"/>
          <w:b/>
          <w:bCs/>
          <w:color w:val="auto"/>
          <w:highlight w:val="none"/>
          <w:lang w:val="en-US" w:eastAsia="zh-CN"/>
        </w:rPr>
        <w:t>招标文件</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时间：2023年9月1日至2023年9月8日，每天上午10:00至14:00，下午16:00至20:00（北京时间，法定节假日除外）</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color w:val="auto"/>
          <w:sz w:val="24"/>
          <w:szCs w:val="24"/>
          <w:highlight w:val="none"/>
          <w:lang w:val="en-US" w:eastAsia="zh-CN"/>
        </w:rPr>
        <w:t>地点：</w:t>
      </w:r>
      <w:r>
        <w:rPr>
          <w:rFonts w:hint="eastAsia" w:ascii="仿宋" w:hAnsi="仿宋" w:eastAsia="仿宋" w:cs="仿宋"/>
          <w:i w:val="0"/>
          <w:iCs w:val="0"/>
          <w:caps w:val="0"/>
          <w:color w:val="auto"/>
          <w:spacing w:val="0"/>
          <w:sz w:val="24"/>
          <w:szCs w:val="24"/>
          <w:highlight w:val="none"/>
        </w:rPr>
        <w:t>政采云平台线上（ http://www.ccgp-xinjiang.gov.cn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w:t>
      </w:r>
      <w:r>
        <w:rPr>
          <w:rFonts w:hint="eastAsia" w:ascii="仿宋" w:hAnsi="仿宋" w:eastAsia="仿宋" w:cs="仿宋"/>
          <w:i w:val="0"/>
          <w:iCs w:val="0"/>
          <w:caps w:val="0"/>
          <w:color w:val="auto"/>
          <w:spacing w:val="0"/>
          <w:sz w:val="24"/>
          <w:szCs w:val="24"/>
          <w:highlight w:val="none"/>
        </w:rPr>
        <w:t>供应商登录政采云平台https://www.zcygov.cn/在线申请获取采购文件（进入“项目采购”应用，在获取采购文件菜单中选择项目，申请获取采购文件）</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售价（元）：0</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eastAsia="zh-CN"/>
        </w:rPr>
        <w:t>提交投标文件截止时间、开标时间和地点</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提交投标文件截止时间：2023年9月21日 11:00（北京时间）</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投标地点：https://www.zcygov.cn在线投标</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开标时间：2023年9月21日 11:00（北京时间）</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开标地点：https://www.zcygov.cn在线投标</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五</w:t>
      </w:r>
      <w:r>
        <w:rPr>
          <w:rFonts w:hint="eastAsia" w:ascii="仿宋" w:hAnsi="仿宋" w:eastAsia="仿宋" w:cs="仿宋"/>
          <w:b/>
          <w:bCs/>
          <w:color w:val="auto"/>
          <w:highlight w:val="none"/>
        </w:rPr>
        <w:t>、公告期限</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自本公告发布之日起</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个工作日。</w:t>
      </w:r>
    </w:p>
    <w:p>
      <w:pPr>
        <w:pStyle w:val="90"/>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六</w:t>
      </w:r>
      <w:r>
        <w:rPr>
          <w:rFonts w:hint="eastAsia" w:ascii="仿宋" w:hAnsi="仿宋" w:eastAsia="仿宋" w:cs="仿宋"/>
          <w:b/>
          <w:bCs/>
          <w:color w:val="auto"/>
          <w:highlight w:val="none"/>
        </w:rPr>
        <w:t>、其他补充事宜</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r>
        <w:rPr>
          <w:rFonts w:hint="eastAsia" w:ascii="仿宋" w:hAnsi="仿宋" w:eastAsia="仿宋" w:cs="仿宋"/>
          <w:color w:val="auto"/>
          <w:highlight w:val="none"/>
          <w:lang w:eastAsia="zh-CN"/>
        </w:rPr>
        <w:br w:type="textWrapping"/>
      </w:r>
      <w:r>
        <w:rPr>
          <w:rFonts w:hint="eastAsia" w:ascii="仿宋" w:hAnsi="仿宋" w:eastAsia="仿宋" w:cs="仿宋"/>
          <w:color w:val="auto"/>
          <w:highlight w:val="none"/>
          <w:lang w:eastAsia="zh-CN"/>
        </w:rPr>
        <w:t>2.各政府采购代理机构（含集采机构）及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特别提示：</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1、采购限额标准以上，200万元以下的货物和服务采购项目、400万元以下的工程采购项目，适宜由中小企业提供的，采购人应当专门面向中小企业采购。</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2、超过200万元的货物和服务采购项目，预留该部分采购项目预算总额的30%以上专门面向中小企业采购，其中预留给小微企业的比例不低于60%。</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3、超过400万元的工程采购项目中适宜由中小企业提供的，预留该部分采购项目预算总额的40%以上专门面向中小企业采购，其中预留给小微企业的比例不低于60%。</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90"/>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color w:val="auto"/>
          <w:highlight w:val="none"/>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rPr>
        <w:t>、对本次招标提出询问，请按以下方式联系</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1.采购人信息</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bookmarkStart w:id="332" w:name="_Toc28359086"/>
      <w:bookmarkStart w:id="333" w:name="_Toc28359009"/>
      <w:r>
        <w:rPr>
          <w:rFonts w:hint="eastAsia" w:ascii="仿宋" w:hAnsi="仿宋" w:eastAsia="仿宋" w:cs="仿宋"/>
          <w:color w:val="auto"/>
          <w:highlight w:val="none"/>
          <w:lang w:val="en-US" w:eastAsia="zh-CN"/>
        </w:rPr>
        <w:t>名 称：新疆维吾尔自治区疏附县自然资源局</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址：疏附县文化路3号</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联系方式：15292915522</w:t>
      </w:r>
    </w:p>
    <w:bookmarkEnd w:id="332"/>
    <w:bookmarkEnd w:id="333"/>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2.采购代理机构信息</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 称：喀什厚德建设工程项目管理有限公司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址：新疆喀什地区喀什市人民东路天缘国际酒店院内综合办公楼3楼303室　</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联系方式：</w:t>
      </w:r>
      <w:bookmarkStart w:id="334" w:name="_Toc28359087"/>
      <w:bookmarkStart w:id="335" w:name="_Toc28359010"/>
      <w:r>
        <w:rPr>
          <w:rFonts w:hint="eastAsia" w:ascii="仿宋" w:hAnsi="仿宋" w:eastAsia="仿宋" w:cs="仿宋"/>
          <w:color w:val="auto"/>
          <w:highlight w:val="none"/>
          <w:lang w:val="en-US" w:eastAsia="zh-CN"/>
        </w:rPr>
        <w:t>16699780112</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3.项目联系方式</w:t>
      </w:r>
      <w:bookmarkEnd w:id="334"/>
      <w:bookmarkEnd w:id="335"/>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项目联系人：谭彬</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话：16699780112</w:t>
      </w:r>
    </w:p>
    <w:p>
      <w:pPr>
        <w:pStyle w:val="90"/>
        <w:keepNext w:val="0"/>
        <w:keepLines w:val="0"/>
        <w:pageBreakBefore w:val="0"/>
        <w:widowControl/>
        <w:kinsoku/>
        <w:wordWrap/>
        <w:overflowPunct/>
        <w:topLinePunct w:val="0"/>
        <w:autoSpaceDE/>
        <w:autoSpaceDN/>
        <w:bidi w:val="0"/>
        <w:adjustRightInd/>
        <w:snapToGrid/>
        <w:spacing w:line="400" w:lineRule="exact"/>
        <w:ind w:left="0" w:right="0" w:firstLine="480"/>
        <w:textAlignment w:val="auto"/>
        <w:rPr>
          <w:rFonts w:hint="eastAsia" w:ascii="仿宋" w:hAnsi="仿宋" w:eastAsia="仿宋" w:cs="仿宋"/>
          <w:color w:val="auto"/>
          <w:lang w:val="en-US" w:eastAsia="zh-CN"/>
        </w:rPr>
      </w:pPr>
    </w:p>
    <w:p>
      <w:pPr>
        <w:pStyle w:val="26"/>
        <w:rPr>
          <w:rFonts w:hint="eastAsia" w:ascii="仿宋" w:hAnsi="仿宋" w:eastAsia="仿宋" w:cs="宋体"/>
          <w:b w:val="0"/>
          <w:color w:val="000000"/>
          <w:kern w:val="0"/>
          <w:sz w:val="28"/>
          <w:szCs w:val="28"/>
          <w:highlight w:val="none"/>
          <w:lang w:val="en-US" w:eastAsia="zh-CN" w:bidi="ar-SA"/>
        </w:rPr>
      </w:pPr>
    </w:p>
    <w:p>
      <w:pPr>
        <w:pStyle w:val="9"/>
        <w:rPr>
          <w:rFonts w:hint="eastAsia" w:ascii="仿宋" w:hAnsi="仿宋" w:eastAsia="仿宋" w:cs="宋体"/>
          <w:b w:val="0"/>
          <w:color w:val="000000"/>
          <w:kern w:val="0"/>
          <w:sz w:val="28"/>
          <w:szCs w:val="28"/>
          <w:highlight w:val="none"/>
          <w:lang w:val="en-US" w:eastAsia="zh-CN" w:bidi="ar-SA"/>
        </w:rPr>
      </w:pPr>
    </w:p>
    <w:p>
      <w:pPr>
        <w:pStyle w:val="37"/>
        <w:rPr>
          <w:rFonts w:hint="eastAsia" w:ascii="仿宋" w:hAnsi="仿宋" w:eastAsia="仿宋" w:cs="宋体"/>
          <w:b w:val="0"/>
          <w:color w:val="000000"/>
          <w:kern w:val="0"/>
          <w:sz w:val="28"/>
          <w:szCs w:val="28"/>
          <w:highlight w:val="none"/>
          <w:lang w:val="en-US" w:eastAsia="zh-CN" w:bidi="ar-SA"/>
        </w:rPr>
      </w:pPr>
    </w:p>
    <w:p>
      <w:pPr>
        <w:rPr>
          <w:rFonts w:hint="eastAsia" w:ascii="仿宋" w:hAnsi="仿宋" w:eastAsia="仿宋" w:cs="宋体"/>
          <w:b w:val="0"/>
          <w:color w:val="000000"/>
          <w:kern w:val="0"/>
          <w:sz w:val="28"/>
          <w:szCs w:val="28"/>
          <w:highlight w:val="none"/>
          <w:lang w:val="en-US" w:eastAsia="zh-CN" w:bidi="ar-SA"/>
        </w:rPr>
      </w:pPr>
    </w:p>
    <w:p>
      <w:pPr>
        <w:pStyle w:val="26"/>
        <w:rPr>
          <w:rFonts w:hint="eastAsia" w:ascii="仿宋" w:hAnsi="仿宋" w:eastAsia="仿宋" w:cs="宋体"/>
          <w:b w:val="0"/>
          <w:color w:val="000000"/>
          <w:kern w:val="0"/>
          <w:sz w:val="28"/>
          <w:szCs w:val="28"/>
          <w:highlight w:val="none"/>
          <w:lang w:val="en-US" w:eastAsia="zh-CN" w:bidi="ar-SA"/>
        </w:rPr>
      </w:pPr>
    </w:p>
    <w:p>
      <w:pPr>
        <w:pStyle w:val="9"/>
        <w:rPr>
          <w:rFonts w:hint="eastAsia" w:ascii="仿宋" w:hAnsi="仿宋" w:eastAsia="仿宋" w:cs="宋体"/>
          <w:b w:val="0"/>
          <w:color w:val="000000"/>
          <w:kern w:val="0"/>
          <w:sz w:val="28"/>
          <w:szCs w:val="28"/>
          <w:highlight w:val="none"/>
          <w:lang w:val="en-US" w:eastAsia="zh-CN" w:bidi="ar-SA"/>
        </w:rPr>
      </w:pPr>
    </w:p>
    <w:p>
      <w:pPr>
        <w:pStyle w:val="37"/>
        <w:rPr>
          <w:rFonts w:hint="eastAsia" w:ascii="仿宋" w:hAnsi="仿宋" w:eastAsia="仿宋" w:cs="宋体"/>
          <w:b w:val="0"/>
          <w:color w:val="000000"/>
          <w:kern w:val="0"/>
          <w:sz w:val="28"/>
          <w:szCs w:val="28"/>
          <w:highlight w:val="none"/>
          <w:lang w:val="en-US" w:eastAsia="zh-CN" w:bidi="ar-SA"/>
        </w:rPr>
      </w:pPr>
    </w:p>
    <w:p>
      <w:pPr>
        <w:pStyle w:val="3"/>
        <w:tabs>
          <w:tab w:val="left" w:pos="0"/>
        </w:tabs>
        <w:spacing w:before="0" w:after="0" w:line="240" w:lineRule="atLeast"/>
        <w:rPr>
          <w:rFonts w:hint="eastAsia" w:ascii="仿宋" w:hAnsi="仿宋" w:eastAsia="仿宋" w:cs="仿宋"/>
          <w:b w:val="0"/>
          <w:color w:val="000000"/>
          <w:szCs w:val="32"/>
          <w:highlight w:val="none"/>
        </w:rPr>
      </w:pPr>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章 投标人须知资料表</w:t>
      </w:r>
      <w:bookmarkEnd w:id="325"/>
      <w:bookmarkEnd w:id="326"/>
      <w:bookmarkEnd w:id="327"/>
      <w:bookmarkEnd w:id="328"/>
      <w:bookmarkEnd w:id="329"/>
      <w:bookmarkEnd w:id="330"/>
    </w:p>
    <w:bookmarkEnd w:id="331"/>
    <w:p>
      <w:pPr>
        <w:spacing w:line="240" w:lineRule="atLeast"/>
        <w:ind w:left="1080" w:leftChars="257" w:hanging="540"/>
        <w:rPr>
          <w:rFonts w:hint="eastAsia" w:ascii="仿宋" w:hAnsi="仿宋" w:eastAsia="仿宋" w:cs="仿宋"/>
          <w:color w:val="000000"/>
          <w:sz w:val="24"/>
          <w:highlight w:val="none"/>
        </w:rPr>
      </w:pPr>
    </w:p>
    <w:p>
      <w:pPr>
        <w:spacing w:line="240" w:lineRule="atLeast"/>
        <w:ind w:firstLine="330" w:firstLineChars="15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 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0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条款号</w:t>
            </w:r>
          </w:p>
        </w:tc>
        <w:tc>
          <w:tcPr>
            <w:tcW w:w="7050" w:type="dxa"/>
            <w:noWrap w:val="0"/>
            <w:vAlign w:val="center"/>
          </w:tcPr>
          <w:p>
            <w:pPr>
              <w:spacing w:line="240" w:lineRule="atLeast"/>
              <w:ind w:left="1080" w:leftChars="257" w:hanging="540"/>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w:t>
            </w:r>
          </w:p>
        </w:tc>
        <w:tc>
          <w:tcPr>
            <w:tcW w:w="7050" w:type="dxa"/>
            <w:noWrap w:val="0"/>
            <w:vAlign w:val="center"/>
          </w:tcPr>
          <w:p>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 xml:space="preserve">采 购 人：新疆维吾尔自治区疏附县自然资源局　　　　 </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lang w:val="en-US" w:eastAsia="zh-CN"/>
              </w:rPr>
              <w:t>15292915522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w:t>
            </w:r>
          </w:p>
        </w:tc>
        <w:tc>
          <w:tcPr>
            <w:tcW w:w="7050" w:type="dxa"/>
            <w:noWrap w:val="0"/>
            <w:vAlign w:val="center"/>
          </w:tcPr>
          <w:p>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采购代理机构：喀什厚德建设工程项目管理有限公司</w:t>
            </w:r>
          </w:p>
          <w:p>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地址：新疆喀什地区喀什市人民东路天缘国际酒店院内综合办公楼3楼303室</w:t>
            </w:r>
          </w:p>
          <w:p>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业务联系人：</w:t>
            </w:r>
            <w:r>
              <w:rPr>
                <w:rFonts w:hint="eastAsia" w:ascii="仿宋" w:hAnsi="仿宋" w:eastAsia="仿宋" w:cs="仿宋"/>
                <w:color w:val="000000"/>
                <w:sz w:val="24"/>
                <w:highlight w:val="none"/>
                <w:lang w:val="en-US" w:eastAsia="zh-CN"/>
              </w:rPr>
              <w:t>谭彬</w:t>
            </w:r>
            <w:r>
              <w:rPr>
                <w:rFonts w:hint="eastAsia" w:ascii="仿宋" w:hAnsi="仿宋" w:eastAsia="仿宋" w:cs="仿宋"/>
                <w:color w:val="000000"/>
                <w:sz w:val="24"/>
                <w:highlight w:val="none"/>
                <w:lang w:eastAsia="zh-CN"/>
              </w:rPr>
              <w:t xml:space="preserve"> 电</w:t>
            </w:r>
            <w:r>
              <w:rPr>
                <w:rFonts w:hint="eastAsia" w:ascii="仿宋" w:hAnsi="仿宋" w:eastAsia="仿宋" w:cs="仿宋"/>
                <w:color w:val="000000"/>
                <w:sz w:val="24"/>
                <w:highlight w:val="none"/>
                <w:lang w:val="en-US" w:eastAsia="zh-CN"/>
              </w:rPr>
              <w:t xml:space="preserve">话：16699780112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468" w:type="dxa"/>
            <w:noWrap w:val="0"/>
            <w:vAlign w:val="center"/>
          </w:tcPr>
          <w:p>
            <w:pPr>
              <w:spacing w:line="240" w:lineRule="atLeast"/>
              <w:ind w:left="1080" w:leftChars="257" w:hanging="540"/>
              <w:rPr>
                <w:rFonts w:hint="eastAsia" w:ascii="宋体" w:hAnsi="宋体" w:cs="宋体"/>
                <w:color w:val="000000"/>
                <w:sz w:val="24"/>
                <w:highlight w:val="none"/>
              </w:rPr>
            </w:pPr>
            <w:r>
              <w:rPr>
                <w:rFonts w:hint="eastAsia" w:ascii="仿宋" w:hAnsi="仿宋" w:eastAsia="仿宋" w:cs="仿宋"/>
                <w:color w:val="000000"/>
                <w:sz w:val="24"/>
                <w:highlight w:val="none"/>
              </w:rPr>
              <w:t>1.3.4</w:t>
            </w:r>
          </w:p>
        </w:tc>
        <w:tc>
          <w:tcPr>
            <w:tcW w:w="7050" w:type="dxa"/>
            <w:noWrap w:val="0"/>
            <w:vAlign w:val="center"/>
          </w:tcPr>
          <w:p>
            <w:pPr>
              <w:widowControl/>
              <w:spacing w:line="30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合格投标人的资格要求：</w:t>
            </w:r>
          </w:p>
          <w:p>
            <w:pPr>
              <w:pStyle w:val="6"/>
              <w:ind w:firstLine="0"/>
              <w:rPr>
                <w:rFonts w:hint="eastAsia" w:ascii="仿宋" w:hAnsi="仿宋" w:eastAsia="仿宋" w:cs="仿宋"/>
                <w:b/>
                <w:bCs/>
                <w:color w:val="000000"/>
                <w:szCs w:val="24"/>
                <w:highlight w:val="none"/>
              </w:rPr>
            </w:pPr>
            <w:r>
              <w:rPr>
                <w:rFonts w:hint="eastAsia" w:ascii="仿宋" w:hAnsi="仿宋" w:eastAsia="仿宋" w:cs="仿宋"/>
                <w:b/>
                <w:bCs/>
                <w:color w:val="000000"/>
                <w:szCs w:val="24"/>
                <w:highlight w:val="none"/>
              </w:rPr>
              <w:t>1.满足《中华人民共和国政府采购法》第二十二条规定；</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2.合格三证合一营业执照（事业单位法人证书）；</w:t>
            </w:r>
          </w:p>
          <w:p>
            <w:pPr>
              <w:pStyle w:val="6"/>
              <w:ind w:firstLine="0"/>
              <w:rPr>
                <w:rFonts w:hint="eastAsia" w:ascii="仿宋" w:hAnsi="仿宋" w:eastAsia="仿宋" w:cs="仿宋"/>
                <w:b/>
                <w:bCs/>
                <w:color w:val="FF0000"/>
                <w:szCs w:val="24"/>
                <w:highlight w:val="none"/>
                <w:lang w:val="en-US" w:eastAsia="zh-CN"/>
              </w:rPr>
            </w:pPr>
            <w:r>
              <w:rPr>
                <w:rFonts w:hint="eastAsia" w:ascii="仿宋" w:hAnsi="仿宋" w:eastAsia="仿宋" w:cs="仿宋"/>
                <w:b/>
                <w:bCs/>
                <w:color w:val="000000" w:themeColor="text1"/>
                <w:szCs w:val="24"/>
                <w:highlight w:val="none"/>
                <w:lang w:val="en-US" w:eastAsia="zh-CN"/>
                <w14:textFill>
                  <w14:solidFill>
                    <w14:schemeClr w14:val="tx1"/>
                  </w14:solidFill>
                </w14:textFill>
              </w:rPr>
              <w:t>3.城乡规划编制乙级（含乙级）及以上资质或土地利用规划乙级（含乙级）及以上资质证书；</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4.</w:t>
            </w:r>
            <w:r>
              <w:rPr>
                <w:rFonts w:hint="eastAsia" w:ascii="仿宋" w:hAnsi="仿宋" w:eastAsia="仿宋" w:cs="仿宋"/>
                <w:b/>
                <w:bCs/>
                <w:color w:val="auto"/>
                <w:szCs w:val="24"/>
                <w:highlight w:val="none"/>
                <w:lang w:val="en-US" w:eastAsia="zh-CN"/>
              </w:rPr>
              <w:t>法人本人投标的需提供法定代表人身份证明书；被授权委托人需提供法人授权委托书</w:t>
            </w:r>
            <w:r>
              <w:rPr>
                <w:rFonts w:hint="eastAsia" w:ascii="仿宋" w:hAnsi="仿宋" w:eastAsia="仿宋" w:cs="仿宋"/>
                <w:b/>
                <w:bCs/>
                <w:color w:val="000000"/>
                <w:szCs w:val="24"/>
                <w:highlight w:val="none"/>
                <w:lang w:val="en-US" w:eastAsia="zh-CN"/>
              </w:rPr>
              <w:t>；</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5.2022年度经会计事务所出具财务审计报告（事业单位法人可提供内审财务报表或征信证明）；（新成立的公司须提供近一个月的银行资信证明）；</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6.依法缴纳近三个月中任意一个月的社会保险社保缴纳凭证；依法缴纳近三个月任意一个月的税收良好记录证明；</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7.未在“信用中国”网站 被列入失信被执行人、重大税收违法案件当事人名单；“中国政府采购网”</w:t>
            </w:r>
            <w:r>
              <w:rPr>
                <w:rFonts w:hint="eastAsia" w:ascii="仿宋" w:hAnsi="仿宋" w:eastAsia="仿宋" w:cs="仿宋"/>
                <w:b/>
                <w:bCs/>
                <w:color w:val="000000"/>
                <w:szCs w:val="24"/>
                <w:highlight w:val="none"/>
                <w:lang w:val="en-US" w:eastAsia="zh-CN"/>
              </w:rPr>
              <w:fldChar w:fldCharType="begin"/>
            </w:r>
            <w:r>
              <w:rPr>
                <w:rFonts w:hint="eastAsia" w:ascii="仿宋" w:hAnsi="仿宋" w:eastAsia="仿宋" w:cs="仿宋"/>
                <w:b/>
                <w:bCs/>
                <w:color w:val="000000"/>
                <w:szCs w:val="24"/>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仿宋" w:hAnsi="仿宋" w:eastAsia="仿宋" w:cs="仿宋"/>
                <w:b/>
                <w:bCs/>
                <w:color w:val="000000"/>
                <w:szCs w:val="24"/>
                <w:highlight w:val="none"/>
                <w:lang w:val="en-US" w:eastAsia="zh-CN"/>
              </w:rPr>
              <w:fldChar w:fldCharType="separate"/>
            </w:r>
            <w:r>
              <w:rPr>
                <w:rFonts w:hint="eastAsia" w:ascii="仿宋" w:hAnsi="仿宋" w:eastAsia="仿宋" w:cs="仿宋"/>
                <w:b/>
                <w:bCs/>
                <w:color w:val="000000"/>
                <w:szCs w:val="24"/>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b/>
                <w:bCs/>
                <w:color w:val="000000"/>
                <w:szCs w:val="24"/>
                <w:highlight w:val="none"/>
                <w:lang w:val="en-US" w:eastAsia="zh-CN"/>
              </w:rPr>
              <w:fldChar w:fldCharType="end"/>
            </w:r>
            <w:r>
              <w:rPr>
                <w:rFonts w:hint="eastAsia" w:ascii="仿宋" w:hAnsi="仿宋" w:eastAsia="仿宋" w:cs="仿宋"/>
                <w:b/>
                <w:bCs/>
                <w:color w:val="000000"/>
                <w:szCs w:val="24"/>
                <w:highlight w:val="none"/>
                <w:lang w:val="en-US" w:eastAsia="zh-CN"/>
              </w:rPr>
              <w:t>投标商；</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8.提供针对本次项目《反商业贿赂承诺书》；</w:t>
            </w:r>
          </w:p>
          <w:p>
            <w:pPr>
              <w:pStyle w:val="6"/>
              <w:ind w:firstLine="0"/>
              <w:rPr>
                <w:rFonts w:hint="eastAsia" w:ascii="仿宋" w:hAnsi="仿宋" w:eastAsia="仿宋" w:cs="仿宋"/>
                <w:b/>
                <w:bCs/>
                <w:color w:val="000000"/>
                <w:szCs w:val="24"/>
                <w:highlight w:val="none"/>
                <w:lang w:val="en-US" w:eastAsia="zh-CN"/>
              </w:rPr>
            </w:pPr>
            <w:r>
              <w:rPr>
                <w:rFonts w:hint="eastAsia" w:ascii="仿宋" w:hAnsi="仿宋" w:eastAsia="仿宋" w:cs="仿宋"/>
                <w:b/>
                <w:bCs/>
                <w:color w:val="000000"/>
                <w:szCs w:val="24"/>
                <w:highlight w:val="none"/>
                <w:lang w:val="en-US" w:eastAsia="zh-CN"/>
              </w:rPr>
              <w:t>9.提供本单位在参加政府采购活动中前三年内无重大违法记录的承诺声明函；</w:t>
            </w:r>
          </w:p>
          <w:p>
            <w:pPr>
              <w:pStyle w:val="6"/>
              <w:ind w:firstLine="0"/>
              <w:rPr>
                <w:rFonts w:hint="eastAsia" w:ascii="宋体" w:hAnsi="宋体" w:cs="宋体"/>
                <w:color w:val="000000"/>
                <w:sz w:val="24"/>
                <w:highlight w:val="none"/>
              </w:rPr>
            </w:pPr>
            <w:r>
              <w:rPr>
                <w:rFonts w:hint="eastAsia" w:ascii="仿宋" w:hAnsi="仿宋" w:eastAsia="仿宋" w:cs="仿宋"/>
                <w:b/>
                <w:bCs/>
                <w:color w:val="000000"/>
                <w:szCs w:val="24"/>
                <w:highlight w:val="none"/>
                <w:lang w:val="en-US" w:eastAsia="zh-CN"/>
              </w:rPr>
              <w:t>10</w:t>
            </w:r>
            <w:r>
              <w:rPr>
                <w:rFonts w:hint="eastAsia" w:ascii="仿宋" w:hAnsi="仿宋" w:eastAsia="仿宋" w:cs="仿宋"/>
                <w:b/>
                <w:bCs/>
                <w:color w:val="000000"/>
                <w:szCs w:val="24"/>
                <w:highlight w:val="none"/>
              </w:rPr>
              <w:t>、</w:t>
            </w:r>
            <w:r>
              <w:rPr>
                <w:rFonts w:hint="eastAsia" w:ascii="仿宋" w:hAnsi="仿宋" w:eastAsia="仿宋" w:cs="仿宋"/>
                <w:b/>
                <w:bCs/>
                <w:color w:val="000000"/>
                <w:szCs w:val="24"/>
                <w:highlight w:val="none"/>
                <w:lang w:val="en-US" w:eastAsia="zh-CN"/>
              </w:rPr>
              <w:t>投标保证金收据复印件或银行电子回单或银行保函；</w:t>
            </w:r>
            <w:r>
              <w:rPr>
                <w:rFonts w:hint="eastAsia" w:ascii="仿宋" w:hAnsi="仿宋" w:eastAsia="仿宋" w:cs="仿宋"/>
                <w:b/>
                <w:bCs/>
                <w:color w:val="000000"/>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1.3.5   </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是否允许采购进口产品：</w:t>
            </w:r>
            <w:r>
              <w:rPr>
                <w:rFonts w:hint="eastAsia" w:ascii="仿宋" w:hAnsi="仿宋" w:eastAsia="仿宋" w:cs="仿宋"/>
                <w:color w:val="000000"/>
                <w:sz w:val="24"/>
                <w:highlight w:val="none"/>
                <w:u w:val="single"/>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1.3.6</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是否为专门面向中小企业采购：</w:t>
            </w:r>
            <w:r>
              <w:rPr>
                <w:rFonts w:hint="eastAsia" w:ascii="仿宋" w:hAnsi="仿宋" w:eastAsia="仿宋" w:cs="仿宋"/>
                <w:color w:val="000000"/>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是否允许联合体投标：</w:t>
            </w:r>
            <w:r>
              <w:rPr>
                <w:rFonts w:hint="eastAsia" w:ascii="仿宋" w:hAnsi="仿宋" w:eastAsia="仿宋" w:cs="仿宋"/>
                <w:color w:val="000000"/>
                <w:sz w:val="24"/>
                <w:highlight w:val="none"/>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9"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1.4.8</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trPr>
        <w:tc>
          <w:tcPr>
            <w:tcW w:w="1468" w:type="dxa"/>
            <w:noWrap w:val="0"/>
            <w:vAlign w:val="center"/>
          </w:tcPr>
          <w:p>
            <w:pPr>
              <w:widowControl/>
              <w:spacing w:line="30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p>
        </w:tc>
        <w:tc>
          <w:tcPr>
            <w:tcW w:w="7050" w:type="dxa"/>
            <w:noWrap w:val="0"/>
            <w:vAlign w:val="center"/>
          </w:tcPr>
          <w:p>
            <w:pPr>
              <w:spacing w:line="240" w:lineRule="atLeast"/>
              <w:rPr>
                <w:rFonts w:hint="eastAsia" w:ascii="仿宋" w:hAnsi="仿宋" w:eastAsia="仿宋" w:cs="仿宋"/>
                <w:highlight w:val="none"/>
                <w:lang w:val="en-US" w:eastAsia="zh-CN"/>
              </w:rPr>
            </w:pPr>
            <w:r>
              <w:rPr>
                <w:rFonts w:hint="eastAsia" w:ascii="仿宋" w:hAnsi="仿宋" w:eastAsia="仿宋" w:cs="仿宋"/>
                <w:b/>
                <w:bCs/>
                <w:color w:val="000000"/>
                <w:sz w:val="24"/>
                <w:highlight w:val="none"/>
                <w:lang w:val="en-US" w:eastAsia="zh-CN"/>
              </w:rPr>
              <w:t>预算价10100000.00元；最高限价10100000.00元。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12.1</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保证金形式：☑电汇☑银行保函☑电子保函☑转账（本项目允许的其他形式） </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保证金数额：100000.00元（壹拾万元整）；</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开户名称：喀什厚德建设工程项目管理有限公司</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行号：102894000067</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开户账号：3012341509200049338（电汇时请在汇款备注栏注明项目名称及编号、包号（如有），并注明是投标保证金）</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开户银行：中国工商银行股份有限公司喀什解放南路支行</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到账截止时间：同投标截止时间</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打款后请联系我方确认是否到账</w:t>
            </w:r>
          </w:p>
          <w:p>
            <w:pPr>
              <w:spacing w:line="240" w:lineRule="atLeast"/>
              <w:rPr>
                <w:rFonts w:hint="eastAsia" w:ascii="仿宋" w:hAnsi="仿宋" w:eastAsia="仿宋" w:cs="仿宋"/>
                <w:highlight w:val="none"/>
                <w:lang w:val="en-US" w:eastAsia="zh-CN"/>
              </w:rPr>
            </w:pPr>
            <w:r>
              <w:rPr>
                <w:rFonts w:hint="eastAsia" w:ascii="仿宋" w:hAnsi="仿宋" w:eastAsia="仿宋" w:cs="仿宋"/>
                <w:color w:val="000000"/>
                <w:sz w:val="24"/>
                <w:highlight w:val="none"/>
                <w:lang w:val="en-US" w:eastAsia="zh-CN"/>
              </w:rPr>
              <w:t>联系人：冉宁     联系电话：15569196685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p>
        </w:tc>
        <w:tc>
          <w:tcPr>
            <w:tcW w:w="7050" w:type="dxa"/>
            <w:noWrap w:val="0"/>
            <w:vAlign w:val="center"/>
          </w:tcPr>
          <w:p>
            <w:pPr>
              <w:spacing w:line="240" w:lineRule="atLeas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投标有效期：</w:t>
            </w:r>
            <w:r>
              <w:rPr>
                <w:rFonts w:hint="eastAsia" w:ascii="仿宋" w:hAnsi="仿宋" w:eastAsia="仿宋" w:cs="仿宋"/>
                <w:color w:val="000000"/>
                <w:sz w:val="24"/>
                <w:highlight w:val="none"/>
                <w:u w:val="single"/>
                <w:lang w:val="en-US" w:eastAsia="zh-CN"/>
              </w:rPr>
              <w:t>90</w:t>
            </w:r>
            <w:r>
              <w:rPr>
                <w:rFonts w:hint="eastAsia" w:ascii="仿宋" w:hAnsi="仿宋" w:eastAsia="仿宋" w:cs="仿宋"/>
                <w:color w:val="000000"/>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14.1</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本项目实行全流程电子化“不见面”网上开标，请各潜在投标人自行下载学习（新疆政府采购网下载专区）注：投标截止时间前按要求在政采云上传电子版投标文件。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16.1</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投标截止时间： </w:t>
            </w:r>
            <w:r>
              <w:rPr>
                <w:rFonts w:hint="eastAsia" w:ascii="仿宋" w:hAnsi="仿宋" w:eastAsia="仿宋" w:cs="仿宋"/>
                <w:color w:val="000000"/>
                <w:sz w:val="24"/>
                <w:highlight w:val="none"/>
                <w:lang w:val="en-US" w:eastAsia="zh-CN"/>
              </w:rPr>
              <w:t>2023</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21</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点</w:t>
            </w:r>
            <w:r>
              <w:rPr>
                <w:rFonts w:hint="eastAsia" w:ascii="仿宋" w:hAnsi="仿宋" w:eastAsia="仿宋" w:cs="仿宋"/>
                <w:color w:val="000000"/>
                <w:sz w:val="24"/>
                <w:highlight w:val="none"/>
                <w:lang w:val="en-US" w:eastAsia="zh-CN"/>
              </w:rPr>
              <w:t>00</w:t>
            </w:r>
            <w:r>
              <w:rPr>
                <w:rFonts w:hint="eastAsia" w:ascii="仿宋" w:hAnsi="仿宋" w:eastAsia="仿宋" w:cs="仿宋"/>
                <w:color w:val="000000"/>
                <w:sz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18.1</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开标时间：2023年9月21日11点00分（北京时间）</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开标地点：</w:t>
            </w:r>
            <w:r>
              <w:rPr>
                <w:rFonts w:hint="eastAsia" w:ascii="仿宋" w:hAnsi="仿宋" w:eastAsia="仿宋" w:cs="仿宋"/>
                <w:color w:val="000000"/>
                <w:sz w:val="24"/>
                <w:highlight w:val="none"/>
                <w:lang w:val="en-US" w:eastAsia="zh-CN"/>
              </w:rPr>
              <w:fldChar w:fldCharType="begin"/>
            </w:r>
            <w:r>
              <w:rPr>
                <w:rFonts w:hint="eastAsia" w:ascii="仿宋" w:hAnsi="仿宋" w:eastAsia="仿宋" w:cs="仿宋"/>
                <w:color w:val="000000"/>
                <w:sz w:val="24"/>
                <w:highlight w:val="none"/>
                <w:lang w:val="en-US" w:eastAsia="zh-CN"/>
              </w:rPr>
              <w:instrText xml:space="preserve"> HYPERLINK "https://www.zcygov.cn在线投标" </w:instrText>
            </w:r>
            <w:r>
              <w:rPr>
                <w:rFonts w:hint="eastAsia" w:ascii="仿宋" w:hAnsi="仿宋" w:eastAsia="仿宋" w:cs="仿宋"/>
                <w:color w:val="000000"/>
                <w:sz w:val="24"/>
                <w:highlight w:val="none"/>
                <w:lang w:val="en-US" w:eastAsia="zh-CN"/>
              </w:rPr>
              <w:fldChar w:fldCharType="separate"/>
            </w:r>
            <w:r>
              <w:rPr>
                <w:rFonts w:hint="eastAsia" w:ascii="仿宋" w:hAnsi="仿宋" w:eastAsia="仿宋" w:cs="仿宋"/>
                <w:color w:val="000000"/>
                <w:sz w:val="24"/>
                <w:highlight w:val="none"/>
                <w:lang w:val="en-US" w:eastAsia="zh-CN"/>
              </w:rPr>
              <w:t>https://www.zcygov.cn在线投标</w:t>
            </w:r>
            <w:r>
              <w:rPr>
                <w:rFonts w:hint="eastAsia" w:ascii="仿宋" w:hAnsi="仿宋" w:eastAsia="仿宋" w:cs="仿宋"/>
                <w:color w:val="000000"/>
                <w:sz w:val="24"/>
                <w:highlight w:val="none"/>
                <w:lang w:val="en-US" w:eastAsia="zh-CN"/>
              </w:rPr>
              <w:fldChar w:fldCharType="end"/>
            </w:r>
            <w:r>
              <w:rPr>
                <w:rFonts w:hint="eastAsia" w:ascii="仿宋" w:hAnsi="仿宋" w:eastAsia="仿宋" w:cs="仿宋"/>
                <w:color w:val="000000"/>
                <w:sz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20.5</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核心内容：乡镇、村庄规划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评标方法：综合评分法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推荐中标候选供应商的数量：</w:t>
            </w:r>
            <w:r>
              <w:rPr>
                <w:rFonts w:hint="eastAsia" w:ascii="仿宋" w:hAnsi="仿宋" w:eastAsia="仿宋" w:cs="仿宋"/>
                <w:color w:val="000000"/>
                <w:sz w:val="24"/>
                <w:highlight w:val="none"/>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7050" w:type="dxa"/>
            <w:noWrap w:val="0"/>
            <w:vAlign w:val="center"/>
          </w:tcPr>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招标人是否委托评标委员会直接确定中标人：</w:t>
            </w:r>
            <w:r>
              <w:rPr>
                <w:rFonts w:hint="eastAsia" w:ascii="仿宋" w:hAnsi="仿宋" w:eastAsia="仿宋" w:cs="仿宋"/>
                <w:color w:val="000000"/>
                <w:sz w:val="24"/>
                <w:highlight w:val="none"/>
                <w:u w:val="single"/>
              </w:rPr>
              <w:t>否</w:t>
            </w:r>
            <w:r>
              <w:rPr>
                <w:rFonts w:hint="eastAsia" w:ascii="仿宋" w:hAnsi="仿宋" w:eastAsia="仿宋" w:cs="仿宋"/>
                <w:color w:val="000000"/>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9"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31.1</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履约保证金金额：</w:t>
            </w:r>
            <w:r>
              <w:rPr>
                <w:rFonts w:hint="eastAsia" w:ascii="仿宋" w:hAnsi="仿宋" w:eastAsia="仿宋" w:cs="仿宋"/>
                <w:color w:val="000000"/>
                <w:sz w:val="24"/>
                <w:highlight w:val="none"/>
                <w:lang w:eastAsia="zh-CN"/>
              </w:rPr>
              <w:t>中标价的</w:t>
            </w:r>
            <w:r>
              <w:rPr>
                <w:rFonts w:hint="eastAsia" w:ascii="仿宋" w:hAnsi="仿宋" w:eastAsia="仿宋" w:cs="仿宋"/>
                <w:color w:val="000000"/>
                <w:sz w:val="24"/>
                <w:highlight w:val="none"/>
                <w:lang w:val="en-US" w:eastAsia="zh-CN"/>
              </w:rPr>
              <w:t>5%。</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履约保证金形式：</w:t>
            </w:r>
            <w:r>
              <w:rPr>
                <w:rFonts w:hint="eastAsia" w:ascii="仿宋" w:hAnsi="仿宋" w:eastAsia="仿宋" w:cs="仿宋"/>
                <w:color w:val="000000"/>
                <w:sz w:val="24"/>
                <w:highlight w:val="none"/>
                <w:lang w:eastAsia="zh-CN"/>
              </w:rPr>
              <w:t>转账、电汇、</w:t>
            </w:r>
            <w:r>
              <w:rPr>
                <w:rFonts w:hint="eastAsia" w:ascii="仿宋" w:hAnsi="仿宋" w:eastAsia="仿宋" w:cs="仿宋"/>
                <w:color w:val="000000"/>
                <w:sz w:val="24"/>
                <w:highlight w:val="none"/>
                <w:lang w:val="en-US" w:eastAsia="zh-CN"/>
              </w:rPr>
              <w:t>保函</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提交履约保证金的时间：</w:t>
            </w:r>
            <w:r>
              <w:rPr>
                <w:rFonts w:hint="eastAsia" w:ascii="仿宋" w:hAnsi="仿宋" w:eastAsia="仿宋" w:cs="仿宋"/>
                <w:color w:val="000000"/>
                <w:sz w:val="24"/>
                <w:highlight w:val="none"/>
                <w:lang w:val="en-US" w:eastAsia="zh-CN"/>
              </w:rPr>
              <w:t>与业主自行商定</w:t>
            </w:r>
          </w:p>
          <w:p>
            <w:pPr>
              <w:spacing w:line="240" w:lineRule="atLeas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服务验收合格后无息返还（双方也可以通过协商另行约定其他退还时间和方式及用途）。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w:t>
            </w:r>
          </w:p>
        </w:tc>
        <w:tc>
          <w:tcPr>
            <w:tcW w:w="7050" w:type="dxa"/>
            <w:noWrap w:val="0"/>
            <w:vAlign w:val="center"/>
          </w:tcPr>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招标代理服务费：根据发改价格【2015】299号文件《关于进一步放开建设项目专业服务价格的通知》协商确定，由中标单位支付，收费标准：中标金额的1.5%计取。</w:t>
            </w:r>
          </w:p>
          <w:p>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支付形式：对公转账  </w:t>
            </w:r>
          </w:p>
          <w:p>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支付时间：领取招标通知书时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pPr>
              <w:spacing w:line="240" w:lineRule="atLeas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备注</w:t>
            </w:r>
          </w:p>
        </w:tc>
        <w:tc>
          <w:tcPr>
            <w:tcW w:w="7050" w:type="dxa"/>
            <w:noWrap w:val="0"/>
            <w:vAlign w:val="center"/>
          </w:tcPr>
          <w:p>
            <w:pPr>
              <w:spacing w:line="240" w:lineRule="atLeas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所有投标供应商应在中标公告公示期结束后5个工作日内将上传的投标文件完整打印贰份加盖骑缝章提交给代理机构备案。</w:t>
            </w:r>
          </w:p>
          <w:p>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投标文件应包括“开标一览表及资格证明文件”和“商务及技术文件”两部分，两部分合成一册。</w:t>
            </w:r>
          </w:p>
          <w:p>
            <w:pPr>
              <w:spacing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000000"/>
                <w:sz w:val="24"/>
                <w:highlight w:val="none"/>
                <w:lang w:val="en-US" w:eastAsia="zh-CN"/>
              </w:rPr>
              <w:t>纸质投标文件采用双面打印、不可拆装的胶订方式装订。</w:t>
            </w:r>
          </w:p>
        </w:tc>
      </w:tr>
    </w:tbl>
    <w:p>
      <w:pPr>
        <w:spacing w:line="240" w:lineRule="atLeast"/>
        <w:ind w:left="1080" w:leftChars="257" w:hanging="540"/>
        <w:rPr>
          <w:rFonts w:hint="eastAsia" w:ascii="宋体" w:hAnsi="宋体" w:cs="宋体"/>
          <w:color w:val="000000"/>
          <w:sz w:val="24"/>
          <w:highlight w:val="none"/>
        </w:rPr>
        <w:sectPr>
          <w:headerReference r:id="rId13" w:type="default"/>
          <w:footerReference r:id="rId15" w:type="default"/>
          <w:headerReference r:id="rId14" w:type="even"/>
          <w:footerReference r:id="rId16" w:type="even"/>
          <w:pgSz w:w="11906" w:h="16838"/>
          <w:pgMar w:top="1474" w:right="1701" w:bottom="1474" w:left="1701" w:header="851" w:footer="992" w:gutter="0"/>
          <w:cols w:space="720" w:num="1"/>
          <w:docGrid w:linePitch="312" w:charSpace="0"/>
        </w:sectPr>
      </w:pPr>
    </w:p>
    <w:p>
      <w:pPr>
        <w:pStyle w:val="3"/>
        <w:numPr>
          <w:ilvl w:val="0"/>
          <w:numId w:val="6"/>
        </w:numPr>
        <w:tabs>
          <w:tab w:val="left" w:pos="0"/>
        </w:tabs>
        <w:spacing w:before="0" w:after="0" w:line="240" w:lineRule="atLeast"/>
        <w:rPr>
          <w:rFonts w:hint="eastAsia" w:ascii="仿宋" w:hAnsi="仿宋" w:eastAsia="仿宋" w:cs="仿宋"/>
          <w:color w:val="auto"/>
          <w:sz w:val="28"/>
          <w:szCs w:val="28"/>
        </w:rPr>
      </w:pPr>
      <w:bookmarkStart w:id="336" w:name="_Toc515647831"/>
      <w:bookmarkStart w:id="337" w:name="_Toc507399906"/>
      <w:bookmarkStart w:id="338" w:name="_Toc512937852"/>
      <w:bookmarkStart w:id="339" w:name="_Toc219175638"/>
      <w:bookmarkStart w:id="340" w:name="_Toc22779"/>
      <w:bookmarkStart w:id="341" w:name="_Toc9887"/>
      <w:bookmarkStart w:id="342" w:name="_Toc9032"/>
      <w:bookmarkStart w:id="343" w:name="_Toc218935354"/>
      <w:bookmarkStart w:id="344" w:name="_Toc216582825"/>
      <w:bookmarkStart w:id="345" w:name="_Toc32647"/>
      <w:bookmarkStart w:id="346" w:name="_Toc218935355"/>
      <w:bookmarkStart w:id="347" w:name="_Toc7971"/>
      <w:bookmarkStart w:id="348" w:name="_Toc515647832"/>
      <w:bookmarkStart w:id="349" w:name="_Toc216582826"/>
      <w:bookmarkStart w:id="350" w:name="_Toc23331"/>
      <w:bookmarkStart w:id="351" w:name="_Toc507399907"/>
      <w:bookmarkStart w:id="352" w:name="_Toc219175639"/>
      <w:r>
        <w:rPr>
          <w:rFonts w:hint="eastAsia" w:ascii="仿宋" w:hAnsi="仿宋" w:eastAsia="仿宋" w:cs="仿宋"/>
          <w:color w:val="000000"/>
          <w:highlight w:val="none"/>
          <w:lang w:val="en-US" w:eastAsia="zh-CN"/>
        </w:rPr>
        <w:t xml:space="preserve">  </w:t>
      </w:r>
      <w:bookmarkEnd w:id="336"/>
      <w:bookmarkEnd w:id="337"/>
      <w:bookmarkEnd w:id="338"/>
      <w:bookmarkEnd w:id="339"/>
      <w:bookmarkEnd w:id="340"/>
      <w:bookmarkEnd w:id="341"/>
      <w:bookmarkEnd w:id="342"/>
      <w:bookmarkEnd w:id="343"/>
      <w:bookmarkEnd w:id="344"/>
      <w:bookmarkStart w:id="353" w:name="_Toc32657"/>
      <w:bookmarkStart w:id="354" w:name="_Toc17024"/>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需求一览表及项目要求</w:t>
      </w:r>
      <w:bookmarkEnd w:id="353"/>
      <w:bookmarkEnd w:id="354"/>
    </w:p>
    <w:p>
      <w:pPr>
        <w:numPr>
          <w:ilvl w:val="0"/>
          <w:numId w:val="7"/>
        </w:numPr>
        <w:spacing w:line="520" w:lineRule="exact"/>
        <w:rPr>
          <w:rFonts w:hint="eastAsia" w:ascii="仿宋" w:hAnsi="仿宋" w:eastAsia="仿宋" w:cs="仿宋"/>
          <w:sz w:val="24"/>
        </w:rPr>
      </w:pPr>
      <w:bookmarkStart w:id="355" w:name="_Toc10204"/>
      <w:bookmarkStart w:id="356" w:name="_Toc29445"/>
      <w:bookmarkStart w:id="357" w:name="_Toc11338"/>
      <w:bookmarkStart w:id="358" w:name="_Toc25496"/>
      <w:bookmarkStart w:id="359" w:name="_Toc9172"/>
      <w:bookmarkStart w:id="360" w:name="_Toc28539"/>
      <w:bookmarkStart w:id="361" w:name="_Toc29890"/>
      <w:bookmarkStart w:id="362" w:name="_Toc11454"/>
      <w:bookmarkStart w:id="363" w:name="_Toc23395"/>
      <w:bookmarkStart w:id="364" w:name="_Toc22457"/>
      <w:bookmarkStart w:id="365" w:name="_Toc16036"/>
      <w:bookmarkStart w:id="366" w:name="_Toc25737"/>
      <w:bookmarkStart w:id="367" w:name="_Toc6173"/>
      <w:bookmarkStart w:id="368" w:name="_Toc13846"/>
      <w:bookmarkStart w:id="369" w:name="_Toc13655"/>
      <w:bookmarkStart w:id="370" w:name="_Toc27964"/>
      <w:bookmarkStart w:id="371" w:name="_Toc7935"/>
      <w:r>
        <w:rPr>
          <w:rFonts w:hint="eastAsia" w:ascii="仿宋" w:hAnsi="仿宋" w:eastAsia="仿宋" w:cs="仿宋"/>
          <w:b/>
          <w:bCs/>
          <w:sz w:val="24"/>
        </w:rPr>
        <w:t>采购需求：</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30264"/>
      <w:bookmarkStart w:id="373" w:name="_Toc27144"/>
      <w:bookmarkStart w:id="374" w:name="_Toc2722"/>
      <w:bookmarkStart w:id="375" w:name="_Toc31658"/>
      <w:bookmarkStart w:id="376" w:name="_Toc254"/>
      <w:bookmarkStart w:id="377" w:name="_Toc15637"/>
      <w:bookmarkStart w:id="378" w:name="_Toc27913"/>
      <w:bookmarkStart w:id="379" w:name="_Toc5512"/>
      <w:r>
        <w:rPr>
          <w:rFonts w:hint="eastAsia" w:ascii="仿宋" w:hAnsi="仿宋" w:eastAsia="仿宋" w:cs="仿宋"/>
          <w:sz w:val="24"/>
        </w:rPr>
        <w:t xml:space="preserve"> </w:t>
      </w:r>
      <w:bookmarkEnd w:id="369"/>
      <w:bookmarkEnd w:id="370"/>
      <w:bookmarkEnd w:id="371"/>
      <w:bookmarkEnd w:id="372"/>
      <w:bookmarkEnd w:id="373"/>
      <w:bookmarkEnd w:id="374"/>
      <w:bookmarkEnd w:id="375"/>
      <w:bookmarkEnd w:id="376"/>
      <w:bookmarkEnd w:id="377"/>
      <w:bookmarkEnd w:id="378"/>
      <w:bookmarkEnd w:id="379"/>
    </w:p>
    <w:p>
      <w:pPr>
        <w:pStyle w:val="26"/>
        <w:rPr>
          <w:rFonts w:hint="eastAsia" w:ascii="仿宋" w:hAnsi="仿宋" w:eastAsia="仿宋" w:cs="仿宋"/>
        </w:rPr>
      </w:pPr>
    </w:p>
    <w:p>
      <w:pPr>
        <w:pStyle w:val="93"/>
        <w:keepNext w:val="0"/>
        <w:keepLines w:val="0"/>
        <w:pageBreakBefore w:val="0"/>
        <w:widowControl w:val="0"/>
        <w:kinsoku/>
        <w:wordWrap/>
        <w:overflowPunct/>
        <w:topLinePunct w:val="0"/>
        <w:autoSpaceDE/>
        <w:autoSpaceDN/>
        <w:bidi w:val="0"/>
        <w:adjustRightInd/>
        <w:snapToGrid w:val="0"/>
        <w:spacing w:line="240" w:lineRule="auto"/>
        <w:ind w:firstLine="600"/>
        <w:textAlignment w:val="auto"/>
        <w:rPr>
          <w:rFonts w:hint="eastAsia" w:ascii="仿宋" w:hAnsi="仿宋" w:eastAsia="仿宋" w:cs="仿宋"/>
        </w:rPr>
      </w:pPr>
      <w:r>
        <w:rPr>
          <w:rFonts w:hint="eastAsia" w:ascii="仿宋" w:hAnsi="仿宋" w:eastAsia="仿宋" w:cs="仿宋"/>
        </w:rPr>
        <w:t>包括疏附县兰干镇、乌帕尔镇、萨依巴格乡、站敏乡、塔什米里克乡、铁日木乡、木什乡、布拉克苏乡共计8个乡（镇）以及县林场、县良种场、县园艺场3个场的国土空间总体规划编制，以及54个行政村的村庄规划编制工作，具体内容名称如下。</w:t>
      </w:r>
    </w:p>
    <w:p>
      <w:pPr>
        <w:pStyle w:val="93"/>
        <w:ind w:firstLine="0" w:firstLineChars="0"/>
        <w:jc w:val="center"/>
        <w:rPr>
          <w:rFonts w:hint="eastAsia" w:ascii="仿宋" w:hAnsi="仿宋" w:eastAsia="仿宋" w:cs="仿宋"/>
          <w:b/>
          <w:bCs w:val="0"/>
        </w:rPr>
      </w:pPr>
      <w:r>
        <w:rPr>
          <w:rFonts w:hint="eastAsia" w:ascii="仿宋" w:hAnsi="仿宋" w:eastAsia="仿宋" w:cs="仿宋"/>
          <w:b/>
          <w:bCs w:val="0"/>
        </w:rPr>
        <w:t>表1  8个乡镇和3个场名称一览表</w:t>
      </w:r>
    </w:p>
    <w:tbl>
      <w:tblPr>
        <w:tblStyle w:val="38"/>
        <w:tblW w:w="4853" w:type="pct"/>
        <w:tblInd w:w="250" w:type="dxa"/>
        <w:tblLayout w:type="autofit"/>
        <w:tblCellMar>
          <w:top w:w="0" w:type="dxa"/>
          <w:left w:w="108" w:type="dxa"/>
          <w:bottom w:w="0" w:type="dxa"/>
          <w:right w:w="108" w:type="dxa"/>
        </w:tblCellMar>
      </w:tblPr>
      <w:tblGrid>
        <w:gridCol w:w="2409"/>
        <w:gridCol w:w="6607"/>
      </w:tblGrid>
      <w:tr>
        <w:tblPrEx>
          <w:tblCellMar>
            <w:top w:w="0" w:type="dxa"/>
            <w:left w:w="108" w:type="dxa"/>
            <w:bottom w:w="0" w:type="dxa"/>
            <w:right w:w="108" w:type="dxa"/>
          </w:tblCellMar>
        </w:tblPrEx>
        <w:trPr>
          <w:trHeight w:val="429" w:hRule="atLeast"/>
        </w:trPr>
        <w:tc>
          <w:tcPr>
            <w:tcW w:w="1336" w:type="pct"/>
            <w:tcBorders>
              <w:top w:val="single" w:color="000000" w:sz="4" w:space="0"/>
              <w:left w:val="single" w:color="000000" w:sz="4" w:space="0"/>
              <w:bottom w:val="single" w:color="4BACC6" w:sz="4" w:space="0"/>
              <w:right w:val="single" w:color="000000" w:sz="4" w:space="0"/>
            </w:tcBorders>
            <w:vAlign w:val="center"/>
          </w:tcPr>
          <w:p>
            <w:pPr>
              <w:pStyle w:val="93"/>
              <w:spacing w:line="240" w:lineRule="auto"/>
              <w:ind w:firstLine="0" w:firstLineChars="0"/>
              <w:jc w:val="center"/>
              <w:rPr>
                <w:rFonts w:hint="eastAsia" w:ascii="仿宋" w:hAnsi="仿宋" w:eastAsia="仿宋" w:cs="仿宋"/>
                <w:b/>
                <w:bCs w:val="0"/>
                <w:sz w:val="22"/>
                <w:szCs w:val="24"/>
              </w:rPr>
            </w:pPr>
            <w:r>
              <w:rPr>
                <w:rFonts w:hint="eastAsia" w:ascii="仿宋" w:hAnsi="仿宋" w:eastAsia="仿宋" w:cs="仿宋"/>
                <w:b/>
                <w:bCs w:val="0"/>
                <w:sz w:val="22"/>
                <w:szCs w:val="24"/>
                <w:lang w:bidi="ar"/>
              </w:rPr>
              <w:t>序号</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b/>
                <w:bCs w:val="0"/>
                <w:sz w:val="22"/>
                <w:szCs w:val="24"/>
              </w:rPr>
            </w:pPr>
            <w:r>
              <w:rPr>
                <w:rFonts w:hint="eastAsia" w:ascii="仿宋" w:hAnsi="仿宋" w:eastAsia="仿宋" w:cs="仿宋"/>
                <w:b/>
                <w:bCs w:val="0"/>
                <w:sz w:val="22"/>
                <w:szCs w:val="24"/>
                <w:lang w:bidi="ar"/>
              </w:rPr>
              <w:t>乡镇名称</w:t>
            </w:r>
          </w:p>
        </w:tc>
      </w:tr>
      <w:tr>
        <w:tblPrEx>
          <w:tblCellMar>
            <w:top w:w="0" w:type="dxa"/>
            <w:left w:w="108" w:type="dxa"/>
            <w:bottom w:w="0" w:type="dxa"/>
            <w:right w:w="108" w:type="dxa"/>
          </w:tblCellMar>
        </w:tblPrEx>
        <w:trPr>
          <w:trHeight w:val="53" w:hRule="atLeast"/>
        </w:trPr>
        <w:tc>
          <w:tcPr>
            <w:tcW w:w="1336" w:type="pct"/>
            <w:tcBorders>
              <w:top w:val="single" w:color="4BACC6"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1</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兰干镇</w:t>
            </w:r>
          </w:p>
        </w:tc>
      </w:tr>
      <w:tr>
        <w:tblPrEx>
          <w:tblCellMar>
            <w:top w:w="0" w:type="dxa"/>
            <w:left w:w="108" w:type="dxa"/>
            <w:bottom w:w="0" w:type="dxa"/>
            <w:right w:w="108" w:type="dxa"/>
          </w:tblCellMar>
        </w:tblPrEx>
        <w:trPr>
          <w:trHeight w:val="119"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2</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乌帕尔镇</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lang w:bidi="ar"/>
              </w:rPr>
            </w:pPr>
            <w:r>
              <w:rPr>
                <w:rFonts w:hint="eastAsia" w:ascii="仿宋" w:hAnsi="仿宋" w:eastAsia="仿宋" w:cs="仿宋"/>
                <w:sz w:val="22"/>
                <w:szCs w:val="24"/>
                <w:lang w:bidi="ar"/>
              </w:rPr>
              <w:t>3</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lang w:bidi="ar"/>
              </w:rPr>
            </w:pPr>
            <w:r>
              <w:rPr>
                <w:rFonts w:hint="eastAsia" w:ascii="仿宋" w:hAnsi="仿宋" w:eastAsia="仿宋" w:cs="仿宋"/>
                <w:sz w:val="22"/>
                <w:szCs w:val="24"/>
                <w:lang w:bidi="ar"/>
              </w:rPr>
              <w:t>萨依巴格乡</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4</w:t>
            </w:r>
          </w:p>
        </w:tc>
        <w:tc>
          <w:tcPr>
            <w:tcW w:w="3664"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站敏乡</w:t>
            </w:r>
          </w:p>
        </w:tc>
      </w:tr>
      <w:tr>
        <w:tblPrEx>
          <w:tblCellMar>
            <w:top w:w="0" w:type="dxa"/>
            <w:left w:w="108" w:type="dxa"/>
            <w:bottom w:w="0" w:type="dxa"/>
            <w:right w:w="108" w:type="dxa"/>
          </w:tblCellMar>
        </w:tblPrEx>
        <w:trPr>
          <w:trHeight w:val="99"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5</w:t>
            </w:r>
          </w:p>
        </w:tc>
        <w:tc>
          <w:tcPr>
            <w:tcW w:w="3664"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塔什米里克乡</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6</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铁日木乡</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7</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木什乡</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lang w:bidi="ar"/>
              </w:rPr>
            </w:pPr>
            <w:r>
              <w:rPr>
                <w:rFonts w:hint="eastAsia" w:ascii="仿宋" w:hAnsi="仿宋" w:eastAsia="仿宋" w:cs="仿宋"/>
                <w:sz w:val="22"/>
                <w:szCs w:val="24"/>
                <w:lang w:bidi="ar"/>
              </w:rPr>
              <w:t>8</w:t>
            </w:r>
          </w:p>
        </w:tc>
        <w:tc>
          <w:tcPr>
            <w:tcW w:w="3664"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lang w:bidi="ar"/>
              </w:rPr>
            </w:pPr>
            <w:r>
              <w:rPr>
                <w:rFonts w:hint="eastAsia" w:ascii="仿宋" w:hAnsi="仿宋" w:eastAsia="仿宋" w:cs="仿宋"/>
                <w:sz w:val="22"/>
                <w:szCs w:val="24"/>
                <w:lang w:bidi="ar"/>
              </w:rPr>
              <w:t>布拉克苏乡</w:t>
            </w:r>
          </w:p>
        </w:tc>
      </w:tr>
      <w:tr>
        <w:tblPrEx>
          <w:tblCellMar>
            <w:top w:w="0" w:type="dxa"/>
            <w:left w:w="108" w:type="dxa"/>
            <w:bottom w:w="0" w:type="dxa"/>
            <w:right w:w="108" w:type="dxa"/>
          </w:tblCellMar>
        </w:tblPrEx>
        <w:trPr>
          <w:trHeight w:val="127"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9</w:t>
            </w:r>
          </w:p>
        </w:tc>
        <w:tc>
          <w:tcPr>
            <w:tcW w:w="3664" w:type="pct"/>
            <w:tcBorders>
              <w:top w:val="single" w:color="000000" w:sz="4" w:space="0"/>
              <w:left w:val="single" w:color="000000" w:sz="4" w:space="0"/>
              <w:bottom w:val="single" w:color="000000" w:sz="4" w:space="0"/>
              <w:right w:val="single" w:color="000000" w:sz="4" w:space="0"/>
            </w:tcBorders>
            <w:noWrap/>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rPr>
              <w:t>县林场</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10</w:t>
            </w:r>
          </w:p>
        </w:tc>
        <w:tc>
          <w:tcPr>
            <w:tcW w:w="3664" w:type="pct"/>
            <w:tcBorders>
              <w:top w:val="single" w:color="000000" w:sz="4" w:space="0"/>
              <w:left w:val="single" w:color="000000" w:sz="4" w:space="0"/>
              <w:bottom w:val="single" w:color="000000" w:sz="4" w:space="0"/>
              <w:right w:val="single" w:color="000000" w:sz="4" w:space="0"/>
            </w:tcBorders>
            <w:noWrap/>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rPr>
              <w:t>县良种场</w:t>
            </w:r>
          </w:p>
        </w:tc>
      </w:tr>
      <w:tr>
        <w:tblPrEx>
          <w:tblCellMar>
            <w:top w:w="0" w:type="dxa"/>
            <w:left w:w="108" w:type="dxa"/>
            <w:bottom w:w="0" w:type="dxa"/>
            <w:right w:w="108" w:type="dxa"/>
          </w:tblCellMar>
        </w:tblPrEx>
        <w:trPr>
          <w:trHeight w:val="53" w:hRule="atLeast"/>
        </w:trPr>
        <w:tc>
          <w:tcPr>
            <w:tcW w:w="1336"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lang w:bidi="ar"/>
              </w:rPr>
              <w:t>11</w:t>
            </w:r>
          </w:p>
        </w:tc>
        <w:tc>
          <w:tcPr>
            <w:tcW w:w="3664" w:type="pct"/>
            <w:tcBorders>
              <w:top w:val="single" w:color="000000" w:sz="4" w:space="0"/>
              <w:left w:val="single" w:color="000000" w:sz="4" w:space="0"/>
              <w:bottom w:val="single" w:color="000000" w:sz="4" w:space="0"/>
              <w:right w:val="single" w:color="000000" w:sz="4" w:space="0"/>
            </w:tcBorders>
            <w:noWrap/>
          </w:tcPr>
          <w:p>
            <w:pPr>
              <w:pStyle w:val="93"/>
              <w:spacing w:line="240" w:lineRule="auto"/>
              <w:ind w:firstLine="0" w:firstLineChars="0"/>
              <w:jc w:val="center"/>
              <w:rPr>
                <w:rFonts w:hint="eastAsia" w:ascii="仿宋" w:hAnsi="仿宋" w:eastAsia="仿宋" w:cs="仿宋"/>
                <w:sz w:val="22"/>
                <w:szCs w:val="24"/>
              </w:rPr>
            </w:pPr>
            <w:r>
              <w:rPr>
                <w:rFonts w:hint="eastAsia" w:ascii="仿宋" w:hAnsi="仿宋" w:eastAsia="仿宋" w:cs="仿宋"/>
                <w:sz w:val="22"/>
                <w:szCs w:val="24"/>
              </w:rPr>
              <w:t>县园艺场</w:t>
            </w:r>
          </w:p>
        </w:tc>
      </w:tr>
    </w:tbl>
    <w:p>
      <w:pPr>
        <w:pStyle w:val="93"/>
        <w:ind w:firstLine="0" w:firstLineChars="0"/>
        <w:jc w:val="center"/>
      </w:pPr>
    </w:p>
    <w:p>
      <w:pPr>
        <w:pStyle w:val="93"/>
        <w:ind w:firstLine="0" w:firstLineChars="0"/>
        <w:jc w:val="center"/>
        <w:rPr>
          <w:rFonts w:hint="eastAsia" w:ascii="仿宋" w:hAnsi="仿宋" w:eastAsia="仿宋" w:cs="仿宋"/>
          <w:b/>
          <w:bCs w:val="0"/>
        </w:rPr>
      </w:pPr>
      <w:r>
        <w:rPr>
          <w:rFonts w:hint="eastAsia" w:ascii="仿宋" w:hAnsi="仿宋" w:eastAsia="仿宋" w:cs="仿宋"/>
          <w:b/>
          <w:bCs w:val="0"/>
        </w:rPr>
        <w:t>表2  54个行政村名称一览表</w:t>
      </w:r>
    </w:p>
    <w:tbl>
      <w:tblPr>
        <w:tblStyle w:val="38"/>
        <w:tblW w:w="11964" w:type="pct"/>
        <w:tblInd w:w="250" w:type="dxa"/>
        <w:tblLayout w:type="autofit"/>
        <w:tblCellMar>
          <w:top w:w="0" w:type="dxa"/>
          <w:left w:w="108" w:type="dxa"/>
          <w:bottom w:w="0" w:type="dxa"/>
          <w:right w:w="108" w:type="dxa"/>
        </w:tblCellMar>
      </w:tblPr>
      <w:tblGrid>
        <w:gridCol w:w="1791"/>
        <w:gridCol w:w="2236"/>
        <w:gridCol w:w="5112"/>
        <w:gridCol w:w="4365"/>
        <w:gridCol w:w="4366"/>
        <w:gridCol w:w="4357"/>
      </w:tblGrid>
      <w:tr>
        <w:tblPrEx>
          <w:tblCellMar>
            <w:top w:w="0" w:type="dxa"/>
            <w:left w:w="108" w:type="dxa"/>
            <w:bottom w:w="0" w:type="dxa"/>
            <w:right w:w="108" w:type="dxa"/>
          </w:tblCellMar>
        </w:tblPrEx>
        <w:trPr>
          <w:gridAfter w:val="3"/>
          <w:wAfter w:w="2944" w:type="pct"/>
          <w:trHeight w:val="53" w:hRule="atLeast"/>
          <w:tblHeader/>
        </w:trPr>
        <w:tc>
          <w:tcPr>
            <w:tcW w:w="403" w:type="pct"/>
            <w:tcBorders>
              <w:top w:val="single" w:color="000000" w:sz="4" w:space="0"/>
              <w:left w:val="single" w:color="000000" w:sz="4" w:space="0"/>
              <w:bottom w:val="single" w:color="4BACC6" w:sz="4" w:space="0"/>
              <w:right w:val="single" w:color="000000" w:sz="4" w:space="0"/>
            </w:tcBorders>
            <w:vAlign w:val="center"/>
          </w:tcPr>
          <w:p>
            <w:pPr>
              <w:pStyle w:val="93"/>
              <w:spacing w:line="240" w:lineRule="auto"/>
              <w:ind w:firstLine="0" w:firstLineChars="0"/>
              <w:jc w:val="center"/>
              <w:rPr>
                <w:rFonts w:hint="eastAsia" w:ascii="仿宋" w:hAnsi="仿宋" w:eastAsia="仿宋" w:cs="仿宋"/>
                <w:b/>
                <w:bCs w:val="0"/>
                <w:sz w:val="21"/>
                <w:szCs w:val="21"/>
              </w:rPr>
            </w:pPr>
            <w:r>
              <w:rPr>
                <w:rFonts w:hint="eastAsia" w:ascii="仿宋" w:hAnsi="仿宋" w:eastAsia="仿宋" w:cs="仿宋"/>
                <w:b/>
                <w:bCs w:val="0"/>
                <w:sz w:val="21"/>
                <w:szCs w:val="21"/>
                <w:lang w:bidi="ar"/>
              </w:rPr>
              <w:t>序号</w:t>
            </w:r>
          </w:p>
        </w:tc>
        <w:tc>
          <w:tcPr>
            <w:tcW w:w="5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b/>
                <w:bCs w:val="0"/>
                <w:sz w:val="21"/>
                <w:szCs w:val="21"/>
              </w:rPr>
            </w:pPr>
            <w:r>
              <w:rPr>
                <w:rFonts w:hint="eastAsia" w:ascii="仿宋" w:hAnsi="仿宋" w:eastAsia="仿宋" w:cs="仿宋"/>
                <w:b/>
                <w:bCs w:val="0"/>
                <w:sz w:val="21"/>
                <w:szCs w:val="21"/>
                <w:lang w:bidi="ar"/>
              </w:rPr>
              <w:t>乡镇名称</w:t>
            </w: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b/>
                <w:bCs w:val="0"/>
                <w:sz w:val="21"/>
                <w:szCs w:val="21"/>
              </w:rPr>
            </w:pPr>
            <w:r>
              <w:rPr>
                <w:rFonts w:hint="eastAsia" w:ascii="仿宋" w:hAnsi="仿宋" w:eastAsia="仿宋" w:cs="仿宋"/>
                <w:b/>
                <w:bCs w:val="0"/>
                <w:sz w:val="21"/>
                <w:szCs w:val="21"/>
                <w:lang w:bidi="ar"/>
              </w:rPr>
              <w:t>村名称</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4BACC6"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1</w:t>
            </w:r>
          </w:p>
        </w:tc>
        <w:tc>
          <w:tcPr>
            <w:tcW w:w="503" w:type="pct"/>
            <w:vMerge w:val="restart"/>
            <w:tcBorders>
              <w:top w:val="single" w:color="000000" w:sz="4" w:space="0"/>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萨依巴格乡</w:t>
            </w: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尤喀克喀帕村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2</w:t>
            </w:r>
          </w:p>
        </w:tc>
        <w:tc>
          <w:tcPr>
            <w:tcW w:w="503" w:type="pct"/>
            <w:vMerge w:val="continue"/>
            <w:tcBorders>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托盖萨克村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w:t>
            </w:r>
          </w:p>
        </w:tc>
        <w:tc>
          <w:tcPr>
            <w:tcW w:w="503" w:type="pct"/>
            <w:vMerge w:val="continue"/>
            <w:tcBorders>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sz w:val="21"/>
                <w:szCs w:val="21"/>
              </w:rPr>
              <w:t>阔勒其村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4</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库普色额村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5</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肖尔村</w:t>
            </w:r>
          </w:p>
        </w:tc>
      </w:tr>
      <w:tr>
        <w:tblPrEx>
          <w:tblCellMar>
            <w:top w:w="0" w:type="dxa"/>
            <w:left w:w="108" w:type="dxa"/>
            <w:bottom w:w="0" w:type="dxa"/>
            <w:right w:w="108" w:type="dxa"/>
          </w:tblCellMar>
        </w:tblPrEx>
        <w:trPr>
          <w:gridAfter w:val="3"/>
          <w:wAfter w:w="2944" w:type="pct"/>
          <w:trHeight w:val="101"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6</w:t>
            </w:r>
          </w:p>
        </w:tc>
        <w:tc>
          <w:tcPr>
            <w:tcW w:w="503" w:type="pct"/>
            <w:vMerge w:val="continue"/>
            <w:tcBorders>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阿恰勒村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7</w:t>
            </w:r>
          </w:p>
        </w:tc>
        <w:tc>
          <w:tcPr>
            <w:tcW w:w="503" w:type="pct"/>
            <w:vMerge w:val="continue"/>
            <w:tcBorders>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古勒曲曼村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8</w:t>
            </w:r>
          </w:p>
        </w:tc>
        <w:tc>
          <w:tcPr>
            <w:tcW w:w="503" w:type="pct"/>
            <w:vMerge w:val="continue"/>
            <w:tcBorders>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阿亚克恰热克村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9</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木什乡</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艾斯里木什村</w:t>
            </w:r>
          </w:p>
        </w:tc>
      </w:tr>
      <w:tr>
        <w:tblPrEx>
          <w:tblCellMar>
            <w:top w:w="0" w:type="dxa"/>
            <w:left w:w="108" w:type="dxa"/>
            <w:bottom w:w="0" w:type="dxa"/>
            <w:right w:w="108" w:type="dxa"/>
          </w:tblCellMar>
        </w:tblPrEx>
        <w:trPr>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10</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吾斯塘博依村</w:t>
            </w:r>
          </w:p>
        </w:tc>
        <w:tc>
          <w:tcPr>
            <w:tcW w:w="982" w:type="pct"/>
            <w:vAlign w:val="center"/>
          </w:tcPr>
          <w:p>
            <w:pPr>
              <w:widowControl/>
              <w:jc w:val="left"/>
              <w:rPr>
                <w:rFonts w:hint="eastAsia" w:ascii="仿宋" w:hAnsi="仿宋" w:eastAsia="仿宋" w:cs="仿宋"/>
                <w:bCs/>
              </w:rPr>
            </w:pPr>
          </w:p>
        </w:tc>
        <w:tc>
          <w:tcPr>
            <w:tcW w:w="982" w:type="pct"/>
            <w:vAlign w:val="center"/>
          </w:tcPr>
          <w:p>
            <w:pPr>
              <w:widowControl/>
              <w:jc w:val="left"/>
              <w:rPr>
                <w:rFonts w:hint="eastAsia" w:ascii="仿宋" w:hAnsi="仿宋" w:eastAsia="仿宋" w:cs="仿宋"/>
                <w:bCs/>
              </w:rPr>
            </w:pPr>
          </w:p>
        </w:tc>
        <w:tc>
          <w:tcPr>
            <w:tcW w:w="981" w:type="pct"/>
            <w:vAlign w:val="center"/>
          </w:tcPr>
          <w:p>
            <w:pPr>
              <w:widowControl/>
              <w:jc w:val="left"/>
              <w:rPr>
                <w:rFonts w:hint="eastAsia" w:ascii="仿宋" w:hAnsi="仿宋" w:eastAsia="仿宋" w:cs="仿宋"/>
                <w:bCs/>
              </w:rPr>
            </w:pPr>
          </w:p>
        </w:tc>
      </w:tr>
      <w:tr>
        <w:tblPrEx>
          <w:tblCellMar>
            <w:top w:w="0" w:type="dxa"/>
            <w:left w:w="108" w:type="dxa"/>
            <w:bottom w:w="0" w:type="dxa"/>
            <w:right w:w="108" w:type="dxa"/>
          </w:tblCellMar>
        </w:tblPrEx>
        <w:trPr>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11</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站敏乡</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古勒巴格村</w:t>
            </w:r>
          </w:p>
        </w:tc>
        <w:tc>
          <w:tcPr>
            <w:tcW w:w="982" w:type="pct"/>
            <w:vAlign w:val="center"/>
          </w:tcPr>
          <w:p>
            <w:pPr>
              <w:widowControl/>
              <w:jc w:val="left"/>
              <w:rPr>
                <w:rFonts w:hint="eastAsia" w:ascii="仿宋" w:hAnsi="仿宋" w:eastAsia="仿宋" w:cs="仿宋"/>
                <w:lang w:bidi="ar"/>
              </w:rPr>
            </w:pPr>
          </w:p>
        </w:tc>
        <w:tc>
          <w:tcPr>
            <w:tcW w:w="982" w:type="pct"/>
            <w:vAlign w:val="center"/>
          </w:tcPr>
          <w:p>
            <w:pPr>
              <w:widowControl/>
              <w:jc w:val="left"/>
              <w:rPr>
                <w:rFonts w:hint="eastAsia" w:ascii="仿宋" w:hAnsi="仿宋" w:eastAsia="仿宋" w:cs="仿宋"/>
                <w:bCs/>
              </w:rPr>
            </w:pPr>
          </w:p>
        </w:tc>
        <w:tc>
          <w:tcPr>
            <w:tcW w:w="981" w:type="pct"/>
            <w:vAlign w:val="center"/>
          </w:tcPr>
          <w:p>
            <w:pPr>
              <w:widowControl/>
              <w:jc w:val="left"/>
              <w:rPr>
                <w:rFonts w:hint="eastAsia" w:ascii="仿宋" w:hAnsi="仿宋" w:eastAsia="仿宋" w:cs="仿宋"/>
                <w:bCs/>
              </w:rPr>
            </w:pP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12</w:t>
            </w:r>
          </w:p>
        </w:tc>
        <w:tc>
          <w:tcPr>
            <w:tcW w:w="503" w:type="pct"/>
            <w:vMerge w:val="continue"/>
            <w:tcBorders>
              <w:left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p>
        </w:tc>
        <w:tc>
          <w:tcPr>
            <w:tcW w:w="1150"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库勒且克艾日克村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sz w:val="21"/>
                <w:szCs w:val="21"/>
              </w:rPr>
              <w:t>13</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英勒克村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14</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阿亚克克孜勒克村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15</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博斯坦村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16</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尤喀克克孜勒克村</w:t>
            </w:r>
          </w:p>
        </w:tc>
      </w:tr>
      <w:tr>
        <w:tblPrEx>
          <w:tblCellMar>
            <w:top w:w="0" w:type="dxa"/>
            <w:left w:w="108" w:type="dxa"/>
            <w:bottom w:w="0" w:type="dxa"/>
            <w:right w:w="108" w:type="dxa"/>
          </w:tblCellMar>
        </w:tblPrEx>
        <w:trPr>
          <w:gridAfter w:val="3"/>
          <w:wAfter w:w="2944" w:type="pct"/>
          <w:trHeight w:val="144"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17</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布拉克苏乡</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比仁其英其开村</w:t>
            </w:r>
          </w:p>
        </w:tc>
      </w:tr>
      <w:tr>
        <w:tblPrEx>
          <w:tblCellMar>
            <w:top w:w="0" w:type="dxa"/>
            <w:left w:w="108" w:type="dxa"/>
            <w:bottom w:w="0" w:type="dxa"/>
            <w:right w:w="108" w:type="dxa"/>
          </w:tblCellMar>
        </w:tblPrEx>
        <w:trPr>
          <w:gridAfter w:val="3"/>
          <w:wAfter w:w="2944" w:type="pct"/>
          <w:trHeight w:val="122"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18</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伊肯其英其开村</w:t>
            </w:r>
          </w:p>
        </w:tc>
      </w:tr>
      <w:tr>
        <w:tblPrEx>
          <w:tblCellMar>
            <w:top w:w="0" w:type="dxa"/>
            <w:left w:w="108" w:type="dxa"/>
            <w:bottom w:w="0" w:type="dxa"/>
            <w:right w:w="108" w:type="dxa"/>
          </w:tblCellMar>
        </w:tblPrEx>
        <w:trPr>
          <w:gridAfter w:val="3"/>
          <w:wAfter w:w="2944" w:type="pct"/>
          <w:trHeight w:val="256"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19</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吐尔恰巴格村</w:t>
            </w:r>
          </w:p>
        </w:tc>
      </w:tr>
      <w:tr>
        <w:tblPrEx>
          <w:tblCellMar>
            <w:top w:w="0" w:type="dxa"/>
            <w:left w:w="108" w:type="dxa"/>
            <w:bottom w:w="0" w:type="dxa"/>
            <w:right w:w="108" w:type="dxa"/>
          </w:tblCellMar>
        </w:tblPrEx>
        <w:trPr>
          <w:gridAfter w:val="3"/>
          <w:wAfter w:w="2944" w:type="pct"/>
          <w:trHeight w:val="92"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20</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克孜坎特村</w:t>
            </w:r>
          </w:p>
        </w:tc>
      </w:tr>
      <w:tr>
        <w:tblPrEx>
          <w:tblCellMar>
            <w:top w:w="0" w:type="dxa"/>
            <w:left w:w="108" w:type="dxa"/>
            <w:bottom w:w="0" w:type="dxa"/>
            <w:right w:w="108" w:type="dxa"/>
          </w:tblCellMar>
        </w:tblPrEx>
        <w:trPr>
          <w:gridAfter w:val="3"/>
          <w:wAfter w:w="2944" w:type="pct"/>
          <w:trHeight w:val="8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21</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阔纳霍伊拉村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22</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英艾日克村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23</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喀拉巴格村</w:t>
            </w:r>
          </w:p>
        </w:tc>
      </w:tr>
      <w:tr>
        <w:tblPrEx>
          <w:tblCellMar>
            <w:top w:w="0" w:type="dxa"/>
            <w:left w:w="108" w:type="dxa"/>
            <w:bottom w:w="0" w:type="dxa"/>
            <w:right w:w="108" w:type="dxa"/>
          </w:tblCellMar>
        </w:tblPrEx>
        <w:trPr>
          <w:gridAfter w:val="3"/>
          <w:wAfter w:w="2944" w:type="pct"/>
          <w:trHeight w:val="13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24</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阿热勒村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25</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铁日木乡</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尤勒滚布格拉村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26</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尤喀克铁日木村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27</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塔什米里克乡</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萨干村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28</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喀什贝希村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29</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艾斯开村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30</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塔什巴格村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31</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尤喀克铁提尔村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32</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喀什噶尔也勒干村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33</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阿亚克铁提尔村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34</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尤喀克色日克阿塔村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35</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阿亚克色日克阿塔村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36</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阿亚克阿萨艾日克村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37</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哈勒塔阔恰村</w:t>
            </w:r>
          </w:p>
        </w:tc>
      </w:tr>
      <w:tr>
        <w:tblPrEx>
          <w:tblCellMar>
            <w:top w:w="0" w:type="dxa"/>
            <w:left w:w="108" w:type="dxa"/>
            <w:bottom w:w="0" w:type="dxa"/>
            <w:right w:w="108" w:type="dxa"/>
          </w:tblCellMar>
        </w:tblPrEx>
        <w:trPr>
          <w:gridAfter w:val="3"/>
          <w:wAfter w:w="2944" w:type="pct"/>
          <w:trHeight w:val="134"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38</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团结村</w:t>
            </w:r>
          </w:p>
        </w:tc>
      </w:tr>
      <w:tr>
        <w:tblPrEx>
          <w:tblCellMar>
            <w:top w:w="0" w:type="dxa"/>
            <w:left w:w="108" w:type="dxa"/>
            <w:bottom w:w="0" w:type="dxa"/>
            <w:right w:w="108" w:type="dxa"/>
          </w:tblCellMar>
        </w:tblPrEx>
        <w:trPr>
          <w:gridAfter w:val="3"/>
          <w:wAfter w:w="2944" w:type="pct"/>
          <w:trHeight w:val="111"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39</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幸福村</w:t>
            </w:r>
          </w:p>
        </w:tc>
      </w:tr>
      <w:tr>
        <w:tblPrEx>
          <w:tblCellMar>
            <w:top w:w="0" w:type="dxa"/>
            <w:left w:w="108" w:type="dxa"/>
            <w:bottom w:w="0" w:type="dxa"/>
            <w:right w:w="108" w:type="dxa"/>
          </w:tblCellMar>
        </w:tblPrEx>
        <w:trPr>
          <w:gridAfter w:val="3"/>
          <w:wAfter w:w="2944" w:type="pct"/>
          <w:trHeight w:val="10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40</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兰干镇</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巴什阿瓦提村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41</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喀拉古勒萨依村</w:t>
            </w:r>
          </w:p>
        </w:tc>
      </w:tr>
      <w:tr>
        <w:tblPrEx>
          <w:tblCellMar>
            <w:top w:w="0" w:type="dxa"/>
            <w:left w:w="108" w:type="dxa"/>
            <w:bottom w:w="0" w:type="dxa"/>
            <w:right w:w="108" w:type="dxa"/>
          </w:tblCellMar>
        </w:tblPrEx>
        <w:trPr>
          <w:gridAfter w:val="3"/>
          <w:wAfter w:w="2944" w:type="pct"/>
          <w:trHeight w:val="11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42</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玉吉米里克村</w:t>
            </w:r>
          </w:p>
        </w:tc>
      </w:tr>
      <w:tr>
        <w:tblPrEx>
          <w:tblCellMar>
            <w:top w:w="0" w:type="dxa"/>
            <w:left w:w="108" w:type="dxa"/>
            <w:bottom w:w="0" w:type="dxa"/>
            <w:right w:w="108" w:type="dxa"/>
          </w:tblCellMar>
        </w:tblPrEx>
        <w:trPr>
          <w:gridAfter w:val="3"/>
          <w:wAfter w:w="2944" w:type="pct"/>
          <w:trHeight w:val="117"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43</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克孜勒古力村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44</w:t>
            </w:r>
          </w:p>
        </w:tc>
        <w:tc>
          <w:tcPr>
            <w:tcW w:w="503" w:type="pct"/>
            <w:vMerge w:val="restart"/>
            <w:tcBorders>
              <w:top w:val="single" w:color="000000" w:sz="4" w:space="0"/>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乌帕尔镇</w:t>
            </w: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喀拉巴什村</w:t>
            </w:r>
          </w:p>
        </w:tc>
      </w:tr>
      <w:tr>
        <w:tblPrEx>
          <w:tblCellMar>
            <w:top w:w="0" w:type="dxa"/>
            <w:left w:w="108" w:type="dxa"/>
            <w:bottom w:w="0" w:type="dxa"/>
            <w:right w:w="108" w:type="dxa"/>
          </w:tblCellMar>
        </w:tblPrEx>
        <w:trPr>
          <w:gridAfter w:val="3"/>
          <w:wAfter w:w="2944" w:type="pct"/>
          <w:trHeight w:val="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45</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亚果村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46</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巴什亚果村</w:t>
            </w:r>
          </w:p>
        </w:tc>
      </w:tr>
      <w:tr>
        <w:tblPrEx>
          <w:tblCellMar>
            <w:top w:w="0" w:type="dxa"/>
            <w:left w:w="108" w:type="dxa"/>
            <w:bottom w:w="0" w:type="dxa"/>
            <w:right w:w="108" w:type="dxa"/>
          </w:tblCellMar>
        </w:tblPrEx>
        <w:trPr>
          <w:gridAfter w:val="3"/>
          <w:wAfter w:w="2944" w:type="pct"/>
          <w:trHeight w:val="19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47</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多格拉提村</w:t>
            </w:r>
          </w:p>
        </w:tc>
      </w:tr>
      <w:tr>
        <w:tblPrEx>
          <w:tblCellMar>
            <w:top w:w="0" w:type="dxa"/>
            <w:left w:w="108" w:type="dxa"/>
            <w:bottom w:w="0" w:type="dxa"/>
            <w:right w:w="108" w:type="dxa"/>
          </w:tblCellMar>
        </w:tblPrEx>
        <w:trPr>
          <w:gridAfter w:val="3"/>
          <w:wAfter w:w="2944" w:type="pct"/>
          <w:trHeight w:val="177"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48</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肖塔村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49</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约勒吉格代村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50</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喀拉吾斯塘村</w:t>
            </w:r>
          </w:p>
        </w:tc>
      </w:tr>
      <w:tr>
        <w:tblPrEx>
          <w:tblCellMar>
            <w:top w:w="0" w:type="dxa"/>
            <w:left w:w="108" w:type="dxa"/>
            <w:bottom w:w="0" w:type="dxa"/>
            <w:right w:w="108" w:type="dxa"/>
          </w:tblCellMar>
        </w:tblPrEx>
        <w:trPr>
          <w:gridAfter w:val="3"/>
          <w:wAfter w:w="2944" w:type="pct"/>
          <w:trHeight w:val="153"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51</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阿恰村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52</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光明村（诺喀提村）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53</w:t>
            </w:r>
          </w:p>
        </w:tc>
        <w:tc>
          <w:tcPr>
            <w:tcW w:w="503" w:type="pct"/>
            <w:vMerge w:val="continue"/>
            <w:tcBorders>
              <w:left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阿依丁库勒村</w:t>
            </w:r>
          </w:p>
        </w:tc>
      </w:tr>
      <w:tr>
        <w:tblPrEx>
          <w:tblCellMar>
            <w:top w:w="0" w:type="dxa"/>
            <w:left w:w="108" w:type="dxa"/>
            <w:bottom w:w="0" w:type="dxa"/>
            <w:right w:w="108" w:type="dxa"/>
          </w:tblCellMar>
        </w:tblPrEx>
        <w:trPr>
          <w:gridAfter w:val="3"/>
          <w:wAfter w:w="2944" w:type="pct"/>
          <w:trHeight w:val="429" w:hRule="atLeast"/>
        </w:trPr>
        <w:tc>
          <w:tcPr>
            <w:tcW w:w="403" w:type="pct"/>
            <w:tcBorders>
              <w:top w:val="single" w:color="000000" w:sz="4" w:space="0"/>
              <w:left w:val="single" w:color="000000" w:sz="4" w:space="0"/>
              <w:bottom w:val="single" w:color="000000" w:sz="4" w:space="0"/>
              <w:right w:val="single" w:color="000000" w:sz="4" w:space="0"/>
            </w:tcBorders>
            <w:vAlign w:val="center"/>
          </w:tcPr>
          <w:p>
            <w:pPr>
              <w:pStyle w:val="93"/>
              <w:spacing w:line="240" w:lineRule="auto"/>
              <w:ind w:firstLine="0" w:firstLineChars="0"/>
              <w:jc w:val="center"/>
              <w:rPr>
                <w:rFonts w:hint="eastAsia" w:ascii="仿宋" w:hAnsi="仿宋" w:eastAsia="仿宋" w:cs="仿宋"/>
                <w:sz w:val="21"/>
                <w:szCs w:val="21"/>
                <w:lang w:bidi="ar"/>
              </w:rPr>
            </w:pPr>
            <w:r>
              <w:rPr>
                <w:rFonts w:hint="eastAsia" w:ascii="仿宋" w:hAnsi="仿宋" w:eastAsia="仿宋" w:cs="仿宋"/>
                <w:color w:val="000000"/>
                <w:sz w:val="21"/>
                <w:szCs w:val="21"/>
              </w:rPr>
              <w:t>54</w:t>
            </w:r>
          </w:p>
        </w:tc>
        <w:tc>
          <w:tcPr>
            <w:tcW w:w="503" w:type="pct"/>
            <w:vMerge w:val="continue"/>
            <w:tcBorders>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p>
        </w:tc>
        <w:tc>
          <w:tcPr>
            <w:tcW w:w="1150" w:type="pct"/>
            <w:tcBorders>
              <w:top w:val="single" w:color="000000" w:sz="4" w:space="0"/>
              <w:left w:val="single" w:color="000000" w:sz="4" w:space="0"/>
              <w:bottom w:val="single" w:color="000000" w:sz="4" w:space="0"/>
              <w:right w:val="single" w:color="000000" w:sz="4" w:space="0"/>
            </w:tcBorders>
            <w:noWrap/>
            <w:vAlign w:val="center"/>
          </w:tcPr>
          <w:p>
            <w:pPr>
              <w:pStyle w:val="93"/>
              <w:spacing w:line="240" w:lineRule="auto"/>
              <w:ind w:firstLine="0" w:firstLineChars="0"/>
              <w:jc w:val="center"/>
              <w:rPr>
                <w:rFonts w:hint="eastAsia" w:ascii="仿宋" w:hAnsi="仿宋" w:eastAsia="仿宋" w:cs="仿宋"/>
                <w:sz w:val="21"/>
                <w:szCs w:val="21"/>
              </w:rPr>
            </w:pPr>
            <w:r>
              <w:rPr>
                <w:rFonts w:hint="eastAsia" w:ascii="仿宋" w:hAnsi="仿宋" w:eastAsia="仿宋" w:cs="仿宋"/>
                <w:sz w:val="21"/>
                <w:szCs w:val="21"/>
              </w:rPr>
              <w:t>阿克吾斯塘村</w:t>
            </w:r>
          </w:p>
        </w:tc>
      </w:tr>
    </w:tbl>
    <w:p>
      <w:pPr>
        <w:widowControl/>
        <w:spacing w:line="520" w:lineRule="exact"/>
        <w:rPr>
          <w:rFonts w:hint="eastAsia" w:ascii="仿宋" w:hAnsi="仿宋" w:eastAsia="仿宋" w:cs="仿宋"/>
          <w:b/>
          <w:bCs/>
          <w:kern w:val="0"/>
          <w:sz w:val="24"/>
          <w:lang w:bidi="ar"/>
        </w:rPr>
      </w:pPr>
      <w:r>
        <w:rPr>
          <w:rFonts w:hint="eastAsia" w:ascii="仿宋" w:hAnsi="仿宋" w:eastAsia="仿宋" w:cs="仿宋"/>
          <w:b/>
          <w:bCs/>
          <w:kern w:val="0"/>
          <w:sz w:val="24"/>
          <w:lang w:bidi="ar"/>
        </w:rPr>
        <w:t>二、技术要求：</w:t>
      </w:r>
    </w:p>
    <w:p>
      <w:pPr>
        <w:widowControl/>
        <w:spacing w:line="520" w:lineRule="exact"/>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严格按照《新疆维吾尔尔自治区乡镇国土空间总体规划编制技术指南》和《新疆维吾尔自治区村庄规划编制指南》执行。</w:t>
      </w:r>
    </w:p>
    <w:p>
      <w:pPr>
        <w:widowControl/>
        <w:numPr>
          <w:ilvl w:val="0"/>
          <w:numId w:val="8"/>
        </w:numPr>
        <w:spacing w:line="520" w:lineRule="exact"/>
        <w:rPr>
          <w:rFonts w:hint="eastAsia" w:ascii="仿宋" w:hAnsi="仿宋" w:eastAsia="仿宋" w:cs="仿宋"/>
          <w:kern w:val="0"/>
          <w:sz w:val="24"/>
          <w:lang w:bidi="ar"/>
        </w:rPr>
      </w:pPr>
      <w:r>
        <w:rPr>
          <w:rFonts w:hint="eastAsia" w:ascii="仿宋" w:hAnsi="仿宋" w:eastAsia="仿宋" w:cs="仿宋"/>
          <w:b/>
          <w:bCs/>
          <w:kern w:val="0"/>
          <w:sz w:val="24"/>
          <w:lang w:bidi="ar"/>
        </w:rPr>
        <w:t>售后服务：</w:t>
      </w:r>
      <w:r>
        <w:rPr>
          <w:rFonts w:hint="eastAsia" w:ascii="仿宋" w:hAnsi="仿宋" w:eastAsia="仿宋" w:cs="仿宋"/>
          <w:kern w:val="0"/>
          <w:sz w:val="24"/>
          <w:lang w:bidi="ar"/>
        </w:rPr>
        <w:t>在项目结束后，乙方将提供一年的免费实施辅导，包括对规划方案的沟通与宣贯、对方案实施过程中的问题进行解答。实施辅导阶段工作以电话、邮件沟通答疑为主，出现需要培训或重要会议等情况时项目组将赴现场参加。</w:t>
      </w:r>
    </w:p>
    <w:p>
      <w:pPr>
        <w:widowControl/>
        <w:spacing w:line="520" w:lineRule="exact"/>
        <w:rPr>
          <w:rFonts w:hint="eastAsia" w:ascii="仿宋" w:hAnsi="仿宋" w:eastAsia="仿宋" w:cs="仿宋"/>
          <w:kern w:val="0"/>
          <w:sz w:val="24"/>
          <w:lang w:bidi="ar"/>
        </w:rPr>
      </w:pPr>
      <w:r>
        <w:rPr>
          <w:rFonts w:hint="eastAsia" w:ascii="仿宋" w:hAnsi="仿宋" w:eastAsia="仿宋" w:cs="仿宋"/>
          <w:b/>
          <w:bCs/>
          <w:kern w:val="0"/>
          <w:sz w:val="24"/>
          <w:lang w:bidi="ar"/>
        </w:rPr>
        <w:t>四、</w:t>
      </w:r>
      <w:r>
        <w:rPr>
          <w:rFonts w:hint="eastAsia" w:ascii="仿宋" w:hAnsi="仿宋" w:eastAsia="仿宋" w:cs="仿宋"/>
          <w:b/>
          <w:bCs/>
          <w:kern w:val="0"/>
          <w:sz w:val="24"/>
          <w:lang w:val="en-US" w:eastAsia="zh-CN" w:bidi="ar"/>
        </w:rPr>
        <w:t>服务及</w:t>
      </w:r>
      <w:r>
        <w:rPr>
          <w:rFonts w:hint="eastAsia" w:ascii="仿宋" w:hAnsi="仿宋" w:eastAsia="仿宋" w:cs="仿宋"/>
          <w:b/>
          <w:bCs/>
          <w:kern w:val="0"/>
          <w:sz w:val="24"/>
          <w:lang w:bidi="ar"/>
        </w:rPr>
        <w:t>交付地点（范围）：</w:t>
      </w:r>
      <w:r>
        <w:rPr>
          <w:rFonts w:hint="eastAsia" w:ascii="仿宋" w:hAnsi="仿宋" w:eastAsia="仿宋" w:cs="仿宋"/>
          <w:kern w:val="0"/>
          <w:sz w:val="24"/>
          <w:lang w:bidi="ar"/>
        </w:rPr>
        <w:t>采购人指定地点</w:t>
      </w:r>
    </w:p>
    <w:p>
      <w:pPr>
        <w:widowControl/>
        <w:spacing w:line="520" w:lineRule="exact"/>
        <w:rPr>
          <w:rFonts w:hint="eastAsia" w:ascii="仿宋" w:hAnsi="仿宋" w:eastAsia="仿宋" w:cs="仿宋"/>
          <w:b/>
          <w:bCs/>
          <w:kern w:val="0"/>
          <w:sz w:val="24"/>
          <w:lang w:bidi="ar"/>
        </w:rPr>
      </w:pPr>
      <w:r>
        <w:rPr>
          <w:rFonts w:hint="eastAsia" w:ascii="仿宋" w:hAnsi="仿宋" w:eastAsia="仿宋" w:cs="仿宋"/>
          <w:b/>
          <w:bCs/>
          <w:kern w:val="0"/>
          <w:sz w:val="24"/>
          <w:lang w:bidi="ar"/>
        </w:rPr>
        <w:t>五、成果交付期：</w:t>
      </w:r>
      <w:r>
        <w:rPr>
          <w:rFonts w:hint="eastAsia" w:ascii="仿宋" w:hAnsi="仿宋" w:eastAsia="仿宋" w:cs="仿宋"/>
          <w:b w:val="0"/>
          <w:bCs w:val="0"/>
          <w:kern w:val="0"/>
          <w:sz w:val="24"/>
          <w:lang w:bidi="ar"/>
        </w:rPr>
        <w:t>自合同签订之日起300</w:t>
      </w:r>
      <w:r>
        <w:rPr>
          <w:rFonts w:hint="eastAsia" w:ascii="仿宋" w:hAnsi="仿宋" w:eastAsia="仿宋" w:cs="仿宋"/>
          <w:b w:val="0"/>
          <w:bCs w:val="0"/>
          <w:kern w:val="0"/>
          <w:sz w:val="24"/>
          <w:lang w:eastAsia="zh-CN" w:bidi="ar"/>
        </w:rPr>
        <w:t>日</w:t>
      </w:r>
      <w:r>
        <w:rPr>
          <w:rFonts w:hint="eastAsia" w:ascii="仿宋" w:hAnsi="仿宋" w:eastAsia="仿宋" w:cs="仿宋"/>
          <w:b w:val="0"/>
          <w:bCs w:val="0"/>
          <w:kern w:val="0"/>
          <w:sz w:val="24"/>
          <w:lang w:bidi="ar"/>
        </w:rPr>
        <w:t>内完成。</w:t>
      </w:r>
    </w:p>
    <w:p>
      <w:pPr>
        <w:widowControl/>
        <w:spacing w:line="520" w:lineRule="exact"/>
        <w:rPr>
          <w:rFonts w:hint="eastAsia" w:ascii="仿宋" w:hAnsi="仿宋" w:eastAsia="仿宋" w:cs="仿宋"/>
          <w:b w:val="0"/>
          <w:bCs w:val="0"/>
          <w:kern w:val="0"/>
          <w:sz w:val="24"/>
          <w:lang w:bidi="ar"/>
        </w:rPr>
      </w:pPr>
      <w:r>
        <w:rPr>
          <w:rFonts w:hint="eastAsia" w:ascii="仿宋" w:hAnsi="仿宋" w:eastAsia="仿宋" w:cs="仿宋"/>
          <w:b/>
          <w:bCs/>
          <w:kern w:val="0"/>
          <w:sz w:val="24"/>
          <w:lang w:val="en-US" w:eastAsia="zh-CN" w:bidi="ar"/>
        </w:rPr>
        <w:t>六</w:t>
      </w:r>
      <w:r>
        <w:rPr>
          <w:rFonts w:hint="eastAsia" w:ascii="仿宋" w:hAnsi="仿宋" w:eastAsia="仿宋" w:cs="仿宋"/>
          <w:b/>
          <w:bCs/>
          <w:kern w:val="0"/>
          <w:sz w:val="24"/>
          <w:lang w:bidi="ar"/>
        </w:rPr>
        <w:t>、</w:t>
      </w:r>
      <w:r>
        <w:rPr>
          <w:rFonts w:hint="eastAsia" w:ascii="仿宋" w:hAnsi="仿宋" w:eastAsia="仿宋" w:cs="仿宋"/>
          <w:b w:val="0"/>
          <w:bCs w:val="0"/>
          <w:kern w:val="0"/>
          <w:sz w:val="24"/>
          <w:lang w:bidi="ar"/>
        </w:rPr>
        <w:t>供应商所报价格应为含税全包价，包含提供相关服务的所有费用，合同存续期间采购人不额外支付任何费用。</w:t>
      </w:r>
    </w:p>
    <w:p>
      <w:pPr>
        <w:widowControl/>
        <w:spacing w:line="520" w:lineRule="exact"/>
        <w:rPr>
          <w:rFonts w:hint="eastAsia" w:ascii="仿宋" w:hAnsi="仿宋" w:eastAsia="仿宋" w:cs="仿宋"/>
          <w:b w:val="0"/>
          <w:bCs w:val="0"/>
          <w:kern w:val="0"/>
          <w:sz w:val="24"/>
          <w:lang w:bidi="ar"/>
        </w:rPr>
      </w:pPr>
      <w:r>
        <w:rPr>
          <w:rFonts w:hint="eastAsia" w:ascii="仿宋" w:hAnsi="仿宋" w:eastAsia="仿宋" w:cs="仿宋"/>
          <w:b/>
          <w:bCs/>
          <w:kern w:val="0"/>
          <w:sz w:val="24"/>
          <w:lang w:val="en-US" w:eastAsia="zh-CN" w:bidi="ar"/>
        </w:rPr>
        <w:t>七</w:t>
      </w:r>
      <w:r>
        <w:rPr>
          <w:rFonts w:hint="eastAsia" w:ascii="仿宋" w:hAnsi="仿宋" w:eastAsia="仿宋" w:cs="仿宋"/>
          <w:b/>
          <w:bCs/>
          <w:kern w:val="0"/>
          <w:sz w:val="24"/>
          <w:lang w:bidi="ar"/>
        </w:rPr>
        <w:t>、</w:t>
      </w:r>
      <w:r>
        <w:rPr>
          <w:rFonts w:hint="eastAsia" w:ascii="仿宋" w:hAnsi="仿宋" w:eastAsia="仿宋" w:cs="仿宋"/>
          <w:b/>
          <w:bCs/>
          <w:kern w:val="0"/>
          <w:sz w:val="24"/>
          <w:szCs w:val="24"/>
          <w:lang w:bidi="ar"/>
        </w:rPr>
        <w:t>付款条件、进度和方式</w:t>
      </w:r>
      <w:r>
        <w:rPr>
          <w:rFonts w:hint="eastAsia" w:ascii="仿宋" w:hAnsi="仿宋" w:eastAsia="仿宋" w:cs="仿宋"/>
          <w:b/>
          <w:bCs/>
          <w:kern w:val="0"/>
          <w:sz w:val="24"/>
          <w:lang w:bidi="ar"/>
        </w:rPr>
        <w:t>：</w:t>
      </w:r>
      <w:r>
        <w:rPr>
          <w:rFonts w:hint="eastAsia" w:ascii="仿宋" w:hAnsi="仿宋" w:eastAsia="仿宋" w:cs="仿宋"/>
          <w:b w:val="0"/>
          <w:bCs w:val="0"/>
          <w:kern w:val="0"/>
          <w:sz w:val="24"/>
          <w:lang w:bidi="ar"/>
        </w:rPr>
        <w:t>甲乙双方签订合同时自行约定。</w:t>
      </w:r>
    </w:p>
    <w:p>
      <w:pPr>
        <w:widowControl/>
        <w:spacing w:line="520" w:lineRule="exact"/>
        <w:rPr>
          <w:rFonts w:hint="eastAsia" w:ascii="仿宋" w:hAnsi="仿宋" w:eastAsia="仿宋" w:cs="仿宋"/>
          <w:b w:val="0"/>
          <w:bCs w:val="0"/>
          <w:kern w:val="0"/>
          <w:sz w:val="24"/>
          <w:lang w:bidi="ar"/>
        </w:rPr>
      </w:pPr>
      <w:r>
        <w:rPr>
          <w:rFonts w:hint="eastAsia" w:ascii="仿宋" w:hAnsi="仿宋" w:eastAsia="仿宋" w:cs="仿宋"/>
          <w:b/>
          <w:bCs/>
          <w:kern w:val="0"/>
          <w:sz w:val="24"/>
          <w:lang w:val="en-US" w:eastAsia="zh-CN" w:bidi="ar"/>
        </w:rPr>
        <w:t>八</w:t>
      </w:r>
      <w:r>
        <w:rPr>
          <w:rFonts w:hint="eastAsia" w:ascii="仿宋" w:hAnsi="仿宋" w:eastAsia="仿宋" w:cs="仿宋"/>
          <w:b/>
          <w:bCs/>
          <w:kern w:val="0"/>
          <w:sz w:val="24"/>
          <w:lang w:bidi="ar"/>
        </w:rPr>
        <w:t>、验收：</w:t>
      </w:r>
      <w:r>
        <w:rPr>
          <w:rFonts w:hint="eastAsia" w:ascii="仿宋" w:hAnsi="仿宋" w:eastAsia="仿宋" w:cs="仿宋"/>
          <w:b w:val="0"/>
          <w:bCs w:val="0"/>
          <w:kern w:val="0"/>
          <w:sz w:val="24"/>
          <w:lang w:bidi="ar"/>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pPr>
        <w:widowControl/>
        <w:spacing w:line="520" w:lineRule="exact"/>
        <w:rPr>
          <w:rFonts w:hint="eastAsia" w:ascii="仿宋" w:hAnsi="仿宋" w:eastAsia="仿宋" w:cs="仿宋"/>
          <w:b w:val="0"/>
          <w:bCs w:val="0"/>
          <w:kern w:val="0"/>
          <w:sz w:val="24"/>
          <w:lang w:bidi="ar"/>
        </w:rPr>
      </w:pPr>
      <w:r>
        <w:rPr>
          <w:rFonts w:hint="eastAsia" w:ascii="仿宋" w:hAnsi="仿宋" w:eastAsia="仿宋" w:cs="仿宋"/>
          <w:b/>
          <w:bCs/>
          <w:kern w:val="0"/>
          <w:sz w:val="24"/>
          <w:lang w:val="en-US" w:eastAsia="zh-CN" w:bidi="ar"/>
        </w:rPr>
        <w:t>九</w:t>
      </w:r>
      <w:r>
        <w:rPr>
          <w:rFonts w:hint="eastAsia" w:ascii="仿宋" w:hAnsi="仿宋" w:eastAsia="仿宋" w:cs="仿宋"/>
          <w:b/>
          <w:bCs/>
          <w:kern w:val="0"/>
          <w:sz w:val="24"/>
          <w:lang w:bidi="ar"/>
        </w:rPr>
        <w:t>、服务保障：</w:t>
      </w:r>
      <w:r>
        <w:rPr>
          <w:rFonts w:hint="eastAsia" w:ascii="仿宋" w:hAnsi="仿宋" w:eastAsia="仿宋" w:cs="仿宋"/>
          <w:b w:val="0"/>
          <w:bCs w:val="0"/>
          <w:kern w:val="0"/>
          <w:sz w:val="24"/>
          <w:lang w:bidi="ar"/>
        </w:rPr>
        <w:t>服务成果满足甲方需求，且符合国家标准。</w:t>
      </w:r>
    </w:p>
    <w:p>
      <w:pPr>
        <w:widowControl/>
        <w:spacing w:line="520" w:lineRule="exact"/>
        <w:rPr>
          <w:rFonts w:hint="eastAsia" w:ascii="仿宋" w:hAnsi="仿宋" w:eastAsia="仿宋" w:cs="仿宋"/>
          <w:b/>
          <w:bCs/>
          <w:kern w:val="0"/>
          <w:sz w:val="24"/>
          <w:lang w:bidi="ar"/>
        </w:rPr>
      </w:pPr>
      <w:r>
        <w:rPr>
          <w:rFonts w:hint="eastAsia" w:ascii="仿宋" w:hAnsi="仿宋" w:eastAsia="仿宋" w:cs="仿宋"/>
          <w:b/>
          <w:bCs/>
          <w:kern w:val="0"/>
          <w:sz w:val="24"/>
          <w:lang w:val="en-US" w:eastAsia="zh-CN" w:bidi="ar"/>
        </w:rPr>
        <w:t>十</w:t>
      </w:r>
      <w:r>
        <w:rPr>
          <w:rFonts w:hint="eastAsia" w:ascii="仿宋" w:hAnsi="仿宋" w:eastAsia="仿宋" w:cs="仿宋"/>
          <w:b/>
          <w:bCs/>
          <w:kern w:val="0"/>
          <w:sz w:val="24"/>
          <w:lang w:bidi="ar"/>
        </w:rPr>
        <w:t>、其他未尽事宜由供需双方在采购合同中详细约定。</w:t>
      </w:r>
    </w:p>
    <w:p>
      <w:pPr>
        <w:rPr>
          <w:rFonts w:hAnsi="宋体" w:cs="宋体"/>
          <w:color w:val="000000"/>
          <w:szCs w:val="18"/>
        </w:rPr>
      </w:pPr>
    </w:p>
    <w:p>
      <w:pPr>
        <w:pStyle w:val="26"/>
      </w:pPr>
    </w:p>
    <w:p>
      <w:pPr>
        <w:pStyle w:val="6"/>
        <w:spacing w:line="240" w:lineRule="atLeast"/>
        <w:ind w:left="1080" w:leftChars="257" w:hanging="540"/>
        <w:rPr>
          <w:rFonts w:hAnsi="宋体" w:cs="宋体"/>
          <w:color w:val="000000"/>
          <w:sz w:val="28"/>
        </w:rPr>
      </w:pPr>
    </w:p>
    <w:p>
      <w:pPr>
        <w:pStyle w:val="26"/>
        <w:rPr>
          <w:rFonts w:hint="eastAsia" w:hAnsi="宋体" w:cs="宋体"/>
          <w:color w:val="000000"/>
          <w:highlight w:val="yellow"/>
        </w:rPr>
      </w:pPr>
    </w:p>
    <w:p>
      <w:pPr>
        <w:pStyle w:val="9"/>
        <w:rPr>
          <w:rFonts w:hint="eastAsia" w:hAnsi="宋体" w:cs="宋体"/>
          <w:color w:val="000000"/>
          <w:highlight w:val="yellow"/>
        </w:rPr>
      </w:pPr>
    </w:p>
    <w:p>
      <w:pPr>
        <w:pStyle w:val="37"/>
        <w:rPr>
          <w:rFonts w:hint="eastAsia" w:hAnsi="宋体" w:cs="宋体"/>
          <w:color w:val="000000"/>
          <w:highlight w:val="yellow"/>
        </w:rPr>
      </w:pPr>
    </w:p>
    <w:p>
      <w:pPr>
        <w:rPr>
          <w:rFonts w:hint="eastAsia"/>
        </w:rPr>
      </w:pPr>
    </w:p>
    <w:p>
      <w:pPr>
        <w:pStyle w:val="26"/>
        <w:rPr>
          <w:rFonts w:hint="eastAsia"/>
        </w:rPr>
      </w:pPr>
    </w:p>
    <w:p>
      <w:pPr>
        <w:pStyle w:val="9"/>
        <w:rPr>
          <w:rFonts w:hint="eastAsia"/>
        </w:rPr>
      </w:pPr>
    </w:p>
    <w:p>
      <w:pPr>
        <w:pStyle w:val="37"/>
        <w:rPr>
          <w:rFonts w:hint="eastAsia"/>
        </w:rPr>
      </w:pPr>
    </w:p>
    <w:p>
      <w:pPr>
        <w:rPr>
          <w:rFonts w:hint="eastAsia"/>
        </w:rPr>
      </w:pPr>
    </w:p>
    <w:p>
      <w:pPr>
        <w:pStyle w:val="26"/>
        <w:rPr>
          <w:rFonts w:hint="eastAsia"/>
        </w:rPr>
      </w:pPr>
    </w:p>
    <w:p>
      <w:pPr>
        <w:pStyle w:val="9"/>
        <w:rPr>
          <w:rFonts w:hint="eastAsia"/>
        </w:rPr>
      </w:pPr>
    </w:p>
    <w:p>
      <w:pPr>
        <w:pStyle w:val="37"/>
        <w:rPr>
          <w:rFonts w:hint="eastAsia"/>
        </w:rPr>
      </w:pPr>
    </w:p>
    <w:p>
      <w:pPr>
        <w:rPr>
          <w:rFonts w:hint="eastAsia"/>
        </w:rPr>
      </w:pPr>
    </w:p>
    <w:bookmarkEnd w:id="345"/>
    <w:bookmarkEnd w:id="346"/>
    <w:bookmarkEnd w:id="347"/>
    <w:bookmarkEnd w:id="348"/>
    <w:bookmarkEnd w:id="349"/>
    <w:bookmarkEnd w:id="350"/>
    <w:bookmarkEnd w:id="351"/>
    <w:bookmarkEnd w:id="352"/>
    <w:p>
      <w:pPr>
        <w:pStyle w:val="3"/>
        <w:tabs>
          <w:tab w:val="left" w:pos="0"/>
        </w:tabs>
        <w:spacing w:before="0" w:after="0" w:line="240" w:lineRule="atLeast"/>
        <w:ind w:left="-15"/>
        <w:rPr>
          <w:rFonts w:hint="eastAsia" w:ascii="仿宋" w:hAnsi="仿宋" w:eastAsia="仿宋" w:cs="仿宋"/>
          <w:color w:val="000000"/>
          <w:highlight w:val="none"/>
        </w:rPr>
      </w:pPr>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章 评标方法和标准</w:t>
      </w:r>
    </w:p>
    <w:p>
      <w:pPr>
        <w:pStyle w:val="9"/>
        <w:keepNext w:val="0"/>
        <w:keepLines w:val="0"/>
        <w:pageBreakBefore w:val="0"/>
        <w:numPr>
          <w:ilvl w:val="0"/>
          <w:numId w:val="0"/>
        </w:numPr>
        <w:tabs>
          <w:tab w:val="clear" w:pos="567"/>
        </w:tabs>
        <w:kinsoku/>
        <w:wordWrap/>
        <w:overflowPunct/>
        <w:topLinePunct w:val="0"/>
        <w:bidi w:val="0"/>
        <w:adjustRightInd/>
        <w:spacing w:before="0" w:line="400" w:lineRule="exact"/>
        <w:ind w:firstLine="480" w:firstLineChars="200"/>
        <w:jc w:val="lef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本项目将按照</w:t>
      </w:r>
      <w:r>
        <w:rPr>
          <w:rFonts w:hint="eastAsia" w:ascii="仿宋" w:hAnsi="仿宋" w:eastAsia="仿宋" w:cs="仿宋"/>
          <w:b w:val="0"/>
          <w:bCs w:val="0"/>
          <w:color w:val="auto"/>
          <w:highlight w:val="none"/>
          <w:lang w:eastAsia="zh-CN"/>
        </w:rPr>
        <w:t>招标文件</w:t>
      </w:r>
      <w:r>
        <w:rPr>
          <w:rFonts w:hint="eastAsia" w:ascii="仿宋" w:hAnsi="仿宋" w:eastAsia="仿宋" w:cs="仿宋"/>
          <w:b w:val="0"/>
          <w:bCs w:val="0"/>
          <w:color w:val="auto"/>
          <w:highlight w:val="none"/>
        </w:rPr>
        <w:t xml:space="preserve">第一章供应商须知中“五 </w:t>
      </w:r>
      <w:r>
        <w:rPr>
          <w:rFonts w:hint="eastAsia" w:ascii="仿宋" w:hAnsi="仿宋" w:eastAsia="仿宋" w:cs="仿宋"/>
          <w:b w:val="0"/>
          <w:bCs w:val="0"/>
          <w:color w:val="auto"/>
          <w:highlight w:val="none"/>
          <w:lang w:val="en-US" w:eastAsia="zh-CN"/>
        </w:rPr>
        <w:t>招标</w:t>
      </w:r>
      <w:r>
        <w:rPr>
          <w:rFonts w:hint="eastAsia" w:ascii="仿宋" w:hAnsi="仿宋" w:eastAsia="仿宋" w:cs="仿宋"/>
          <w:b w:val="0"/>
          <w:bCs w:val="0"/>
          <w:color w:val="auto"/>
          <w:highlight w:val="none"/>
        </w:rPr>
        <w:t>开启及评审”、“六 确定</w:t>
      </w:r>
      <w:r>
        <w:rPr>
          <w:rFonts w:hint="eastAsia" w:ascii="仿宋" w:hAnsi="仿宋" w:eastAsia="仿宋" w:cs="仿宋"/>
          <w:b w:val="0"/>
          <w:bCs w:val="0"/>
          <w:color w:val="auto"/>
          <w:highlight w:val="none"/>
          <w:lang w:eastAsia="zh-CN"/>
        </w:rPr>
        <w:t>中标</w:t>
      </w:r>
      <w:r>
        <w:rPr>
          <w:rFonts w:hint="eastAsia" w:ascii="仿宋" w:hAnsi="仿宋" w:eastAsia="仿宋" w:cs="仿宋"/>
          <w:b w:val="0"/>
          <w:bCs w:val="0"/>
          <w:color w:val="auto"/>
          <w:highlight w:val="none"/>
        </w:rPr>
        <w:t>”及本章的规定评标。</w:t>
      </w:r>
    </w:p>
    <w:p>
      <w:pPr>
        <w:keepNext w:val="0"/>
        <w:keepLines w:val="0"/>
        <w:pageBreakBefore w:val="0"/>
        <w:numPr>
          <w:ilvl w:val="0"/>
          <w:numId w:val="0"/>
        </w:numPr>
        <w:kinsoku/>
        <w:wordWrap/>
        <w:overflowPunct/>
        <w:topLinePunct w:val="0"/>
        <w:bidi w:val="0"/>
        <w:adjustRightIn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i w:val="0"/>
          <w:caps w:val="0"/>
          <w:color w:val="auto"/>
          <w:spacing w:val="0"/>
          <w:kern w:val="0"/>
          <w:sz w:val="24"/>
          <w:szCs w:val="24"/>
          <w:lang w:val="en-US" w:eastAsia="zh-CN" w:bidi="ar"/>
        </w:rPr>
        <w:t>项目基本情况</w:t>
      </w:r>
    </w:p>
    <w:p>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 xml:space="preserve">项目名称：疏附县村庄规划编制项目（第二批）  </w:t>
      </w:r>
      <w:r>
        <w:rPr>
          <w:rFonts w:hint="eastAsia" w:ascii="仿宋" w:hAnsi="仿宋" w:eastAsia="仿宋" w:cs="仿宋"/>
          <w:color w:val="auto"/>
          <w:sz w:val="24"/>
          <w:lang w:val="en-US" w:eastAsia="zh-CN"/>
        </w:rPr>
        <w:t xml:space="preserve">      </w:t>
      </w:r>
    </w:p>
    <w:p>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w:t>
      </w:r>
      <w:r>
        <w:rPr>
          <w:rFonts w:hint="eastAsia" w:ascii="仿宋" w:hAnsi="仿宋" w:eastAsia="仿宋" w:cs="仿宋"/>
          <w:color w:val="auto"/>
          <w:sz w:val="24"/>
          <w:highlight w:val="none"/>
          <w:lang w:val="en-US" w:eastAsia="zh-CN"/>
        </w:rPr>
        <w:t>https://www.zcygov.cn在线投标</w:t>
      </w:r>
    </w:p>
    <w:p>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采购方式：公开招标</w:t>
      </w:r>
    </w:p>
    <w:p>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评标办法：综合评分法</w:t>
      </w:r>
    </w:p>
    <w:p>
      <w:pPr>
        <w:keepNext w:val="0"/>
        <w:keepLines w:val="0"/>
        <w:pageBreakBefore w:val="0"/>
        <w:numPr>
          <w:ilvl w:val="0"/>
          <w:numId w:val="0"/>
        </w:numPr>
        <w:kinsoku/>
        <w:wordWrap/>
        <w:overflowPunct/>
        <w:topLinePunct w:val="0"/>
        <w:bidi w:val="0"/>
        <w:adjustRightInd/>
        <w:spacing w:line="400" w:lineRule="exact"/>
        <w:ind w:leftChars="0"/>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eastAsia="zh-CN"/>
        </w:rPr>
        <w:t>是指投标文件满足招标文件全部实质性要求且按评审因素的量化指标评审得分最高的供应商为中标候选单位的评审方法。</w:t>
      </w:r>
    </w:p>
    <w:p>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拒绝接收投标文件的情形</w:t>
      </w:r>
    </w:p>
    <w:p>
      <w:pPr>
        <w:keepNext w:val="0"/>
        <w:keepLines w:val="0"/>
        <w:pageBreakBefore w:val="0"/>
        <w:kinsoku/>
        <w:wordWrap/>
        <w:overflowPunct/>
        <w:topLinePunct w:val="0"/>
        <w:bidi w:val="0"/>
        <w:adjustRightInd/>
        <w:spacing w:line="40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在递交</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截止时间后</w:t>
      </w:r>
      <w:r>
        <w:rPr>
          <w:rFonts w:hint="eastAsia" w:ascii="仿宋" w:hAnsi="仿宋" w:eastAsia="仿宋" w:cs="仿宋"/>
          <w:b w:val="0"/>
          <w:bCs w:val="0"/>
          <w:color w:val="auto"/>
          <w:sz w:val="24"/>
          <w:szCs w:val="24"/>
          <w:lang w:val="en-US" w:eastAsia="zh-CN"/>
        </w:rPr>
        <w:t>上传</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的，采购人和采购代理机构将拒绝</w:t>
      </w:r>
      <w:r>
        <w:rPr>
          <w:rFonts w:hint="eastAsia" w:ascii="仿宋" w:hAnsi="仿宋" w:eastAsia="仿宋" w:cs="仿宋"/>
          <w:b w:val="0"/>
          <w:bCs w:val="0"/>
          <w:color w:val="auto"/>
          <w:sz w:val="24"/>
          <w:szCs w:val="24"/>
          <w:lang w:val="en-US" w:eastAsia="zh-CN"/>
        </w:rPr>
        <w:t>签</w:t>
      </w:r>
      <w:r>
        <w:rPr>
          <w:rFonts w:hint="eastAsia" w:ascii="仿宋" w:hAnsi="仿宋" w:eastAsia="仿宋" w:cs="仿宋"/>
          <w:b w:val="0"/>
          <w:bCs w:val="0"/>
          <w:color w:val="auto"/>
          <w:sz w:val="24"/>
          <w:szCs w:val="24"/>
        </w:rPr>
        <w:t>收。</w:t>
      </w:r>
    </w:p>
    <w:p>
      <w:pPr>
        <w:keepNext w:val="0"/>
        <w:keepLines w:val="0"/>
        <w:pageBreakBefore w:val="0"/>
        <w:numPr>
          <w:ilvl w:val="0"/>
          <w:numId w:val="0"/>
        </w:numPr>
        <w:kinsoku/>
        <w:wordWrap/>
        <w:overflowPunct/>
        <w:topLinePunct w:val="0"/>
        <w:bidi w:val="0"/>
        <w:adjustRightIn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三、不得开启投标文件的情形</w:t>
      </w:r>
    </w:p>
    <w:p>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sz w:val="24"/>
          <w:szCs w:val="24"/>
          <w:highlight w:val="none"/>
        </w:rPr>
        <w:t>供应商不足3家的，不得开启</w:t>
      </w:r>
      <w:r>
        <w:rPr>
          <w:rFonts w:hint="eastAsia" w:ascii="仿宋" w:hAnsi="仿宋" w:eastAsia="仿宋" w:cs="仿宋"/>
          <w:b w:val="0"/>
          <w:bCs w:val="0"/>
          <w:color w:val="auto"/>
          <w:sz w:val="24"/>
          <w:szCs w:val="24"/>
          <w:highlight w:val="none"/>
          <w:lang w:eastAsia="zh-CN"/>
        </w:rPr>
        <w:t>投标文件</w:t>
      </w:r>
      <w:r>
        <w:rPr>
          <w:rFonts w:hint="eastAsia" w:ascii="仿宋" w:hAnsi="仿宋" w:eastAsia="仿宋" w:cs="仿宋"/>
          <w:b w:val="0"/>
          <w:bCs w:val="0"/>
          <w:color w:val="auto"/>
          <w:sz w:val="24"/>
          <w:szCs w:val="24"/>
          <w:highlight w:val="none"/>
        </w:rPr>
        <w:t>。</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四</w:t>
      </w:r>
      <w:r>
        <w:rPr>
          <w:rFonts w:hint="eastAsia" w:ascii="仿宋" w:hAnsi="仿宋" w:eastAsia="仿宋" w:cs="仿宋"/>
          <w:b/>
          <w:bCs/>
          <w:color w:val="auto"/>
        </w:rPr>
        <w:t>.</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rPr>
        <w:t>无效的情形：</w:t>
      </w:r>
    </w:p>
    <w:p>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采购人或采购代理机构将在</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开启前1个工作日至递交</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截止</w:t>
      </w:r>
      <w:r>
        <w:rPr>
          <w:rFonts w:hint="eastAsia" w:ascii="仿宋" w:hAnsi="仿宋" w:eastAsia="仿宋" w:cs="仿宋"/>
          <w:b w:val="0"/>
          <w:bCs w:val="0"/>
          <w:color w:val="auto"/>
          <w:sz w:val="24"/>
          <w:szCs w:val="24"/>
          <w:lang w:eastAsia="zh-CN"/>
        </w:rPr>
        <w:t>前</w:t>
      </w:r>
      <w:r>
        <w:rPr>
          <w:rFonts w:hint="eastAsia" w:ascii="仿宋" w:hAnsi="仿宋" w:eastAsia="仿宋" w:cs="仿宋"/>
          <w:b w:val="0"/>
          <w:bCs w:val="0"/>
          <w:color w:val="auto"/>
          <w:sz w:val="24"/>
          <w:szCs w:val="24"/>
        </w:rPr>
        <w:t>查询</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的信用记录。</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存在不良信用记录的，其</w:t>
      </w:r>
      <w:r>
        <w:rPr>
          <w:rFonts w:hint="eastAsia" w:ascii="仿宋" w:hAnsi="仿宋" w:eastAsia="仿宋" w:cs="仿宋"/>
          <w:b w:val="0"/>
          <w:bCs w:val="0"/>
          <w:color w:val="auto"/>
          <w:sz w:val="24"/>
          <w:szCs w:val="24"/>
          <w:lang w:val="en-US" w:eastAsia="zh-CN"/>
        </w:rPr>
        <w:t>投标</w:t>
      </w:r>
      <w:r>
        <w:rPr>
          <w:rFonts w:hint="eastAsia" w:ascii="仿宋" w:hAnsi="仿宋" w:eastAsia="仿宋" w:cs="仿宋"/>
          <w:b w:val="0"/>
          <w:bCs w:val="0"/>
          <w:color w:val="auto"/>
          <w:sz w:val="24"/>
          <w:szCs w:val="24"/>
        </w:rPr>
        <w:t>资格将被认定为无效。</w:t>
      </w:r>
    </w:p>
    <w:p>
      <w:pPr>
        <w:pStyle w:val="10"/>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如采购人所采购产品为政府强制采购的节能产品，供应商所投产品的品牌及型号必须为清单中有效期内产品并提供证明文件，否则其</w:t>
      </w:r>
      <w:r>
        <w:rPr>
          <w:rFonts w:hint="eastAsia" w:ascii="仿宋" w:hAnsi="仿宋" w:eastAsia="仿宋" w:cs="仿宋"/>
          <w:b w:val="0"/>
          <w:bCs w:val="0"/>
          <w:color w:val="auto"/>
          <w:sz w:val="24"/>
          <w:szCs w:val="24"/>
          <w:lang w:eastAsia="zh-CN"/>
        </w:rPr>
        <w:t>投标资格</w:t>
      </w:r>
      <w:r>
        <w:rPr>
          <w:rFonts w:hint="eastAsia" w:ascii="仿宋" w:hAnsi="仿宋" w:eastAsia="仿宋" w:cs="仿宋"/>
          <w:b w:val="0"/>
          <w:bCs w:val="0"/>
          <w:color w:val="auto"/>
          <w:sz w:val="24"/>
          <w:szCs w:val="24"/>
        </w:rPr>
        <w:t>将被认定为无效。</w:t>
      </w:r>
    </w:p>
    <w:p>
      <w:pPr>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在比较与评价之前，根据本须知的规定，</w:t>
      </w:r>
      <w:r>
        <w:rPr>
          <w:rFonts w:hint="eastAsia" w:ascii="仿宋" w:hAnsi="仿宋" w:eastAsia="仿宋" w:cs="仿宋"/>
          <w:b w:val="0"/>
          <w:bCs w:val="0"/>
          <w:color w:val="auto"/>
          <w:sz w:val="24"/>
          <w:szCs w:val="24"/>
          <w:lang w:eastAsia="zh-CN"/>
        </w:rPr>
        <w:t>评审委员会</w:t>
      </w:r>
      <w:r>
        <w:rPr>
          <w:rFonts w:hint="eastAsia" w:ascii="仿宋" w:hAnsi="仿宋" w:eastAsia="仿宋" w:cs="仿宋"/>
          <w:b w:val="0"/>
          <w:bCs w:val="0"/>
          <w:color w:val="auto"/>
          <w:sz w:val="24"/>
          <w:szCs w:val="24"/>
        </w:rPr>
        <w:t>要审查每份</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是否实质上响应了</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的要求。实质上响应的</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应该是与</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要求的全部条款、条件和规格相符，没有重大偏离的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。对关键条款的偏离，将被认定为无效。供应商不得通过修正或撤销不符合要求的偏离，从而使其</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成为实质上响应的</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未按</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规定的形式和金额提交</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保证金的；</w:t>
      </w:r>
    </w:p>
    <w:p>
      <w:pPr>
        <w:keepNext w:val="0"/>
        <w:keepLines w:val="0"/>
        <w:pageBreakBefore w:val="0"/>
        <w:tabs>
          <w:tab w:val="left" w:pos="817"/>
        </w:tabs>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未按照</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规定要求签署、盖章的；</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未满足</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中技术条款的实质性要求；</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与其他供应商串通参加</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，或者与采购人串通参加</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规定的其他无效情形；</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lang w:eastAsia="zh-CN"/>
        </w:rPr>
        <w:t>评审委员会</w:t>
      </w:r>
      <w:r>
        <w:rPr>
          <w:rFonts w:hint="eastAsia" w:ascii="仿宋" w:hAnsi="仿宋" w:eastAsia="仿宋" w:cs="仿宋"/>
          <w:b w:val="0"/>
          <w:bCs w:val="0"/>
          <w:color w:val="auto"/>
          <w:sz w:val="24"/>
          <w:szCs w:val="24"/>
        </w:rPr>
        <w:t>认为供应商的报价明显低于其他通过符合性检查供应商的报价，有可能影响履约的，且供应商未按照规定证明其报价合理性的；</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含有采购人不能接受的附加条件的；</w:t>
      </w:r>
    </w:p>
    <w:p>
      <w:pPr>
        <w:keepNext w:val="0"/>
        <w:keepLines w:val="0"/>
        <w:pageBreakBefore w:val="0"/>
        <w:tabs>
          <w:tab w:val="left" w:pos="0"/>
        </w:tabs>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不符合法规和</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中规定的其他实质性要求的。</w:t>
      </w:r>
    </w:p>
    <w:p>
      <w:pPr>
        <w:pStyle w:val="10"/>
        <w:keepNext w:val="0"/>
        <w:keepLines w:val="0"/>
        <w:pageBreakBefore w:val="0"/>
        <w:kinsoku/>
        <w:wordWrap/>
        <w:overflowPunct/>
        <w:topLinePunct w:val="0"/>
        <w:bidi w:val="0"/>
        <w:adjustRightIn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五、投标文件的开启</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开标</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开标在招标文件确定的提交投标文件截止时间后进行。开标由采购代理主持,供应商采用电子投标的供应商应委派代表参加电子投标会议。</w:t>
      </w:r>
    </w:p>
    <w:p>
      <w:pPr>
        <w:pStyle w:val="16"/>
        <w:keepNext w:val="0"/>
        <w:keepLines w:val="0"/>
        <w:pageBreakBefore w:val="0"/>
        <w:numPr>
          <w:ilvl w:val="0"/>
          <w:numId w:val="0"/>
        </w:numPr>
        <w:kinsoku/>
        <w:wordWrap/>
        <w:overflowPunct/>
        <w:topLinePunct w:val="0"/>
        <w:bidi w:val="0"/>
        <w:adjustRightInd/>
        <w:snapToGrid w:val="0"/>
        <w:spacing w:line="400" w:lineRule="exact"/>
        <w:ind w:firstLine="466" w:firstLineChars="200"/>
        <w:textAlignment w:val="auto"/>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六、项目评审专家：</w:t>
      </w:r>
    </w:p>
    <w:p>
      <w:pPr>
        <w:pStyle w:val="16"/>
        <w:keepNext w:val="0"/>
        <w:keepLines w:val="0"/>
        <w:pageBreakBefore w:val="0"/>
        <w:numPr>
          <w:ilvl w:val="0"/>
          <w:numId w:val="0"/>
        </w:numPr>
        <w:kinsoku/>
        <w:wordWrap/>
        <w:overflowPunct/>
        <w:topLinePunct w:val="0"/>
        <w:bidi w:val="0"/>
        <w:adjustRightInd/>
        <w:snapToGrid w:val="0"/>
        <w:spacing w:line="400" w:lineRule="exact"/>
        <w:ind w:firstLine="464" w:firstLineChars="200"/>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按照《中华人民共和国政府采购法》、《中华人民共和国政府采购法实施条例》、</w:t>
      </w:r>
      <w:r>
        <w:rPr>
          <w:rFonts w:hint="eastAsia" w:ascii="仿宋" w:hAnsi="仿宋" w:eastAsia="仿宋" w:cs="仿宋"/>
          <w:color w:val="auto"/>
          <w:sz w:val="24"/>
          <w:lang w:eastAsia="zh-CN"/>
        </w:rPr>
        <w:t>《政府采购竞争性投标采购方式管理暂行办法》</w:t>
      </w:r>
      <w:r>
        <w:rPr>
          <w:rFonts w:hint="eastAsia" w:ascii="仿宋" w:hAnsi="仿宋" w:eastAsia="仿宋" w:cs="仿宋"/>
          <w:b w:val="0"/>
          <w:bCs w:val="0"/>
          <w:color w:val="auto"/>
          <w:spacing w:val="-4"/>
          <w:sz w:val="24"/>
          <w:szCs w:val="24"/>
          <w:lang w:val="en-US" w:eastAsia="zh-CN"/>
        </w:rPr>
        <w:t>及本项目本级和上级财政部门的有关规定依法组建的评审小组，负责评审工作；</w:t>
      </w: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本项目评审专家由7人组成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政采云专家库</w:t>
      </w:r>
      <w:r>
        <w:rPr>
          <w:rFonts w:hint="eastAsia" w:ascii="仿宋" w:hAnsi="仿宋" w:eastAsia="仿宋" w:cs="仿宋"/>
          <w:color w:val="000000" w:themeColor="text1"/>
          <w:sz w:val="24"/>
          <w:highlight w:val="none"/>
          <w14:textFill>
            <w14:solidFill>
              <w14:schemeClr w14:val="tx1"/>
            </w14:solidFill>
          </w14:textFill>
        </w:rPr>
        <w:t>随机抽取专家</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名</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业主代表1名</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pacing w:val="-4"/>
          <w:sz w:val="24"/>
          <w:szCs w:val="24"/>
          <w:lang w:val="en-US" w:eastAsia="zh-CN"/>
          <w14:textFill>
            <w14:solidFill>
              <w14:schemeClr w14:val="tx1"/>
            </w14:solidFill>
          </w14:textFill>
        </w:rPr>
        <w:t>评审专</w:t>
      </w:r>
      <w:r>
        <w:rPr>
          <w:rFonts w:hint="eastAsia" w:ascii="仿宋" w:hAnsi="仿宋" w:eastAsia="仿宋" w:cs="仿宋"/>
          <w:b w:val="0"/>
          <w:bCs w:val="0"/>
          <w:color w:val="auto"/>
          <w:spacing w:val="-4"/>
          <w:sz w:val="24"/>
          <w:szCs w:val="24"/>
          <w:lang w:val="en-US" w:eastAsia="zh-CN"/>
        </w:rPr>
        <w:t>家要求：</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1.组织评标委员会推选评标组长，采购人代表不得担任组长；</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4"/>
          <w:sz w:val="24"/>
          <w:szCs w:val="24"/>
          <w:lang w:val="en-US" w:eastAsia="zh-CN"/>
        </w:rPr>
        <w:t>　　2.在评标期间采取必要的通讯管理措施，保证评标活动不受外界干扰，将手机关闭或调成静音交友现场项目监督人员统一保管；</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3.审查、评价投标文件是否符合招标文件的商务、技术等实质性要求；</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4.要求投标人对投标文件有关事项作出澄清或者说明；</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5.对投标文件进行比较和评价；</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6.确定中标候选人名单，以及根据采购人委托直接确定中标人；</w:t>
      </w:r>
    </w:p>
    <w:p>
      <w:pPr>
        <w:pStyle w:val="16"/>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7.向采购人、采购代理机构或者有关部门报告评标中发现的违法行为。</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七、</w:t>
      </w:r>
      <w:r>
        <w:rPr>
          <w:rFonts w:hint="eastAsia" w:ascii="宋体" w:hAnsi="宋体" w:eastAsia="宋体" w:cs="宋体"/>
          <w:b/>
          <w:bCs/>
          <w:color w:val="auto"/>
        </w:rPr>
        <w:t>评标</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1、评标的依据为招标文件和投标文件；</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2、本项目采用综合评分法：总分100分，其中报价分值10分，商务及技术部分得分90分。</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3、评审委员会成员到齐后，推选评审委员会组长。依据招标文件和投标文件进行认真查阅。审查响文件是否完整，是否有计算错误，要求的投标保证金是否提供，文件是否恰当地签署；</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4、在对投标文件进行详细评估前，依据投标方提供的资格证明文件审查投标方的财务、技术和服务能力。如果确定投标方无资格履行合同，其投标将被拒绝；</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对投标文件的评估和比较：</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对投标文件的评估和比较分为两步进行，评审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服务的技术水平、能力；服务的质量和适用性；</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初步评审</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 xml:space="preserve">    评标委员会应当对投标人提交的投标文件进行初步审查。初审分为资格性检查和符合性检查</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资格性检查</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依据法律法规和招标文件的规定，对投标文件中的资格证明进行审查，以确定投标人是否具备投标资格。</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投标文件的符合性审查</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 xml:space="preserve">    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详细评审</w:t>
      </w:r>
    </w:p>
    <w:p>
      <w:pPr>
        <w:pStyle w:val="9"/>
        <w:keepNext w:val="0"/>
        <w:keepLines w:val="0"/>
        <w:pageBreakBefore w:val="0"/>
        <w:numPr>
          <w:ilvl w:val="0"/>
          <w:numId w:val="9"/>
        </w:numPr>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经初步评审合格的投标文件，评审委员会应当根据本文件确定的评标标准和方法，对其技术和商务部分作进一步的评审和比较。</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2、采用综合评分法，即投标文件满足招标文件全部实质性要求，且按照评审因素的量化指标评审得分最高的投标人为中标候选人。</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评标的保密性</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1、开标后，直到授予投标商合同为止，凡属于审查、澄清、评价和比较的有关资料以及授标建议等评审委员会成员或参与评标的有关工作人员均不得向投标商或其他无关人员透露，</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违者给予警告、取消担任评审委员会成员的资格，不得再参加任何项目的评标。</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2、投标商在评标过程中，所进行的力图影响评标结果的不符合《政府采购法》、《政府采购竞争性投标采购方式管理暂行办法》及本次项目中有关规定的活动，将被取消中标资格。</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八、定标</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1.定标标准</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（一）原则：招标人将依据本项目根据评审委员会推荐的中标候选人名单，按顺序确定中标人。</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（二）程序：</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1、采购代理机构在评审结束后2个工作日内将评审报告送采购人确认。</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在省级以上财政部门指定的政府采购信息发布媒体上公告成交结果，同时向中标单位发出成交通知书，并将招标文件随成交结果同时公告。 采购人与中标单位应当在成交通知书发出之日起30日内，按照招标文件确定的合同文本以及采购标的、规格型号、采购金额、采购数量、技术和服务要求等事项签订政府采购合同。</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3、采购单位不退回投标人投标文件和其他资料。</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bCs/>
          <w:color w:val="auto"/>
          <w:lang w:val="en-US" w:eastAsia="zh-CN"/>
        </w:rPr>
        <w:t>中标候选人并列式时的处理方式：</w:t>
      </w:r>
      <w:r>
        <w:rPr>
          <w:rFonts w:hint="eastAsia" w:ascii="仿宋" w:hAnsi="仿宋" w:eastAsia="仿宋" w:cs="仿宋"/>
          <w:b w:val="0"/>
          <w:bCs w:val="0"/>
          <w:color w:val="auto"/>
          <w:lang w:val="en-US" w:eastAsia="zh-CN"/>
        </w:rPr>
        <w:t xml:space="preserve">   </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u w:val="single"/>
          <w:lang w:val="en-US" w:eastAsia="zh-CN"/>
        </w:rPr>
      </w:pPr>
      <w:r>
        <w:rPr>
          <w:rFonts w:hint="eastAsia" w:ascii="仿宋" w:hAnsi="仿宋" w:eastAsia="仿宋" w:cs="仿宋"/>
          <w:b w:val="0"/>
          <w:bCs w:val="0"/>
          <w:color w:val="auto"/>
          <w:lang w:val="en-US" w:eastAsia="zh-CN"/>
        </w:rPr>
        <w:t>采用综合评标法，则：</w:t>
      </w:r>
      <w:r>
        <w:rPr>
          <w:rFonts w:hint="eastAsia" w:ascii="仿宋" w:hAnsi="仿宋" w:eastAsia="仿宋" w:cs="仿宋"/>
          <w:b w:val="0"/>
          <w:bCs w:val="0"/>
          <w:color w:val="auto"/>
          <w:u w:val="single"/>
          <w:lang w:val="en-US" w:eastAsia="zh-CN"/>
        </w:rPr>
        <w:t xml:space="preserve">（1）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u w:val="single"/>
          <w:lang w:val="en-US" w:eastAsia="zh-CN"/>
        </w:rPr>
      </w:pP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u w:val="single"/>
          <w:lang w:val="en-US" w:eastAsia="zh-CN"/>
        </w:rPr>
        <w:t>评标结果按评审后得分由高到低顺序排列。得分不同的，最高分供应商为排名第一的中标候选人。</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rPr>
      </w:pPr>
      <w:r>
        <w:rPr>
          <w:rFonts w:hint="eastAsia" w:ascii="仿宋" w:hAnsi="仿宋" w:eastAsia="仿宋" w:cs="仿宋"/>
          <w:b/>
          <w:bCs/>
          <w:color w:val="auto"/>
        </w:rPr>
        <w:t xml:space="preserve">中标候选人并列式时的处理方式： </w:t>
      </w:r>
      <w:r>
        <w:rPr>
          <w:rFonts w:hint="eastAsia" w:ascii="仿宋" w:hAnsi="仿宋" w:eastAsia="仿宋" w:cs="仿宋"/>
          <w:b w:val="0"/>
          <w:bCs w:val="0"/>
          <w:color w:val="auto"/>
        </w:rPr>
        <w:t xml:space="preserve">  </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rPr>
        <w:t>采用综合评标法，则：</w:t>
      </w:r>
      <w:r>
        <w:rPr>
          <w:rFonts w:hint="eastAsia" w:ascii="仿宋" w:hAnsi="仿宋" w:eastAsia="仿宋" w:cs="仿宋"/>
          <w:b w:val="0"/>
          <w:bCs w:val="0"/>
          <w:color w:val="auto"/>
          <w:u w:val="single"/>
        </w:rPr>
        <w:t>评标结果按评审后得分由高到低顺序排列。得分相同的，按投标报价由低到高顺序排列。得分且投标报价相同的并列。</w:t>
      </w:r>
      <w:r>
        <w:rPr>
          <w:rFonts w:hint="eastAsia" w:ascii="仿宋" w:hAnsi="仿宋" w:eastAsia="仿宋" w:cs="仿宋"/>
          <w:b w:val="0"/>
          <w:bCs w:val="0"/>
          <w:color w:val="auto"/>
          <w:u w:val="single"/>
          <w:lang w:eastAsia="zh-CN"/>
        </w:rPr>
        <w:t>投标文件</w:t>
      </w:r>
      <w:r>
        <w:rPr>
          <w:rFonts w:hint="eastAsia" w:ascii="仿宋" w:hAnsi="仿宋" w:eastAsia="仿宋" w:cs="仿宋"/>
          <w:b w:val="0"/>
          <w:bCs w:val="0"/>
          <w:color w:val="auto"/>
          <w:u w:val="single"/>
        </w:rPr>
        <w:t>满足招标文件全部实质性要求，且按照评审因素的量化指标评审得分最高的供应商为排名第一的中标候选人。</w:t>
      </w:r>
    </w:p>
    <w:p>
      <w:pPr>
        <w:pStyle w:val="9"/>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rPr>
      </w:pPr>
      <w:r>
        <w:rPr>
          <w:rFonts w:hint="eastAsia" w:ascii="仿宋" w:hAnsi="仿宋" w:eastAsia="仿宋" w:cs="仿宋"/>
          <w:b/>
          <w:bCs/>
          <w:color w:val="auto"/>
          <w:sz w:val="24"/>
          <w:szCs w:val="24"/>
          <w:lang w:val="en-US" w:eastAsia="zh-CN"/>
        </w:rPr>
        <w:t>九、中小企业落实政策</w:t>
      </w:r>
    </w:p>
    <w:p>
      <w:pPr>
        <w:pStyle w:val="9"/>
        <w:keepNext w:val="0"/>
        <w:keepLines w:val="0"/>
        <w:pageBreakBefore w:val="0"/>
        <w:tabs>
          <w:tab w:val="clear" w:pos="567"/>
        </w:tabs>
        <w:kinsoku/>
        <w:wordWrap/>
        <w:overflowPunct/>
        <w:topLinePunct w:val="0"/>
        <w:bidi w:val="0"/>
        <w:adjustRightInd/>
        <w:spacing w:before="0" w:line="400" w:lineRule="exact"/>
        <w:ind w:firstLine="482" w:firstLineChars="200"/>
        <w:textAlignment w:val="auto"/>
        <w:rPr>
          <w:rFonts w:hint="eastAsia" w:ascii="仿宋" w:hAnsi="仿宋" w:eastAsia="仿宋" w:cs="仿宋"/>
          <w:b w:val="0"/>
          <w:bCs w:val="0"/>
          <w:color w:val="auto"/>
        </w:rPr>
      </w:pPr>
      <w:r>
        <w:rPr>
          <w:rFonts w:hint="eastAsia" w:ascii="仿宋" w:hAnsi="仿宋" w:eastAsia="仿宋" w:cs="仿宋"/>
          <w:b/>
          <w:bCs/>
          <w:color w:val="auto"/>
          <w:kern w:val="2"/>
          <w:sz w:val="24"/>
          <w:szCs w:val="20"/>
          <w:highlight w:val="none"/>
          <w:lang w:val="en-US" w:eastAsia="zh-CN" w:bidi="ar-SA"/>
        </w:rPr>
        <w:t>潜在投标企业属于中小微企业的，请在投标文件中提供“中小企业声明函”，如果未提供或提供虛假的“中小企业声明函”，投标企业将承担由此造成的一切不利后果。</w:t>
      </w:r>
    </w:p>
    <w:p>
      <w:pPr>
        <w:pStyle w:val="9"/>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b w:val="0"/>
          <w:bCs w:val="0"/>
          <w:color w:val="auto"/>
          <w:lang w:eastAsia="zh-CN"/>
        </w:rPr>
        <w:t>投标文件</w:t>
      </w:r>
      <w:r>
        <w:rPr>
          <w:rFonts w:hint="eastAsia" w:ascii="仿宋" w:hAnsi="仿宋" w:eastAsia="仿宋" w:cs="仿宋"/>
          <w:b w:val="0"/>
          <w:bCs w:val="0"/>
          <w:color w:val="auto"/>
        </w:rPr>
        <w:t>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val="0"/>
          <w:bCs w:val="0"/>
          <w:color w:val="auto"/>
          <w:u w:val="single"/>
          <w:lang w:val="en-US" w:eastAsia="zh-CN"/>
        </w:rPr>
        <w:t xml:space="preserve">10 </w:t>
      </w:r>
      <w:r>
        <w:rPr>
          <w:rFonts w:hint="eastAsia" w:ascii="仿宋" w:hAnsi="仿宋" w:eastAsia="仿宋" w:cs="仿宋"/>
          <w:b w:val="0"/>
          <w:bCs w:val="0"/>
          <w:color w:val="auto"/>
        </w:rPr>
        <w:t>%后参与评审。对于同时属于小微企业、监狱企业残疾人福利性单位的，不重复进行投标报价扣除。</w:t>
      </w:r>
    </w:p>
    <w:p>
      <w:pPr>
        <w:keepNext w:val="0"/>
        <w:keepLines w:val="0"/>
        <w:pageBreakBefore w:val="0"/>
        <w:widowControl/>
        <w:kinsoku/>
        <w:wordWrap/>
        <w:overflowPunct/>
        <w:topLinePunct w:val="0"/>
        <w:bidi w:val="0"/>
        <w:adjustRightInd/>
        <w:spacing w:line="400" w:lineRule="exact"/>
        <w:ind w:firstLine="480" w:firstLineChars="200"/>
        <w:jc w:val="lef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2.联合协议中约定，小型、微型企业和监狱企业的协议合同金额占到联合体协议合同总金额30%以上的，可给予联合体</w:t>
      </w:r>
      <w:r>
        <w:rPr>
          <w:rFonts w:hint="eastAsia" w:ascii="仿宋" w:hAnsi="仿宋" w:eastAsia="仿宋" w:cs="仿宋"/>
          <w:b w:val="0"/>
          <w:bCs w:val="0"/>
          <w:color w:val="auto"/>
          <w:sz w:val="24"/>
          <w:u w:val="single"/>
        </w:rPr>
        <w:t xml:space="preserve">  /  </w:t>
      </w:r>
      <w:r>
        <w:rPr>
          <w:rFonts w:hint="eastAsia" w:ascii="仿宋" w:hAnsi="仿宋" w:eastAsia="仿宋" w:cs="仿宋"/>
          <w:b w:val="0"/>
          <w:bCs w:val="0"/>
          <w:color w:val="auto"/>
          <w:sz w:val="24"/>
        </w:rPr>
        <w:t>%的价格扣除。</w:t>
      </w:r>
    </w:p>
    <w:p>
      <w:pPr>
        <w:keepNext w:val="0"/>
        <w:keepLines w:val="0"/>
        <w:pageBreakBefore w:val="0"/>
        <w:widowControl/>
        <w:kinsoku/>
        <w:wordWrap/>
        <w:overflowPunct/>
        <w:topLinePunct w:val="0"/>
        <w:bidi w:val="0"/>
        <w:adjustRightInd/>
        <w:spacing w:line="400" w:lineRule="exact"/>
        <w:jc w:val="left"/>
        <w:textAlignment w:val="auto"/>
        <w:rPr>
          <w:rFonts w:hint="eastAsia" w:ascii="仿宋" w:hAnsi="仿宋" w:eastAsia="仿宋" w:cs="仿宋"/>
          <w:b/>
          <w:color w:val="000000"/>
          <w:sz w:val="32"/>
          <w:szCs w:val="32"/>
          <w:highlight w:val="none"/>
        </w:rPr>
      </w:pPr>
      <w:r>
        <w:rPr>
          <w:rFonts w:hint="eastAsia" w:ascii="仿宋" w:hAnsi="仿宋" w:eastAsia="仿宋" w:cs="仿宋"/>
          <w:b w:val="0"/>
          <w:bCs w:val="0"/>
          <w:color w:val="auto"/>
          <w:sz w:val="24"/>
        </w:rPr>
        <w:t>联合体各方均为小型、微型企业和监狱企业的，联合体视同为小型、微型企业和监狱企业。</w:t>
      </w:r>
    </w:p>
    <w:p>
      <w:pPr>
        <w:spacing w:line="440" w:lineRule="exact"/>
        <w:jc w:val="center"/>
        <w:outlineLvl w:val="0"/>
        <w:rPr>
          <w:rFonts w:hint="eastAsia" w:ascii="仿宋" w:hAnsi="仿宋" w:eastAsia="仿宋" w:cs="仿宋"/>
          <w:b/>
          <w:color w:val="000000"/>
          <w:sz w:val="32"/>
          <w:szCs w:val="32"/>
          <w:highlight w:val="none"/>
        </w:rPr>
      </w:pPr>
    </w:p>
    <w:p>
      <w:pPr>
        <w:spacing w:line="440" w:lineRule="exact"/>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投标文件的初审</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投标文件的初审分为资格性检查和符合性检查。</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（一）、资格性检查是指评标委员会依据法律法规和招标文件的规定，对投标文件中的资格证明、投标保证金等进行审查，以确定投标投标人是否具备投标资格。</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资格性检查包含如下内容：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项目</w:t>
            </w:r>
          </w:p>
        </w:tc>
        <w:tc>
          <w:tcPr>
            <w:tcW w:w="6717" w:type="dxa"/>
            <w:gridSpan w:val="2"/>
            <w:vMerge w:val="restart"/>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
                <w:color w:val="000000"/>
                <w:sz w:val="28"/>
                <w:szCs w:val="28"/>
                <w:highlight w:val="none"/>
              </w:rPr>
              <w:t>评审内容</w:t>
            </w:r>
          </w:p>
        </w:tc>
        <w:tc>
          <w:tcPr>
            <w:tcW w:w="1479" w:type="dxa"/>
            <w:gridSpan w:val="2"/>
            <w:noWrap w:val="0"/>
            <w:vAlign w:val="center"/>
          </w:tcPr>
          <w:p>
            <w:pPr>
              <w:spacing w:line="440" w:lineRule="exact"/>
              <w:jc w:val="center"/>
              <w:outlineLvl w:val="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w:t>
            </w:r>
          </w:p>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
                <w:color w:val="000000"/>
                <w:sz w:val="28"/>
                <w:szCs w:val="28"/>
                <w:highlight w:val="none"/>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6717" w:type="dxa"/>
            <w:gridSpan w:val="2"/>
            <w:vMerge w:val="continue"/>
            <w:noWrap w:val="0"/>
            <w:vAlign w:val="top"/>
          </w:tcPr>
          <w:p>
            <w:pPr>
              <w:spacing w:line="440" w:lineRule="exact"/>
              <w:jc w:val="left"/>
              <w:outlineLvl w:val="0"/>
              <w:rPr>
                <w:rFonts w:hint="eastAsia" w:ascii="仿宋" w:hAnsi="仿宋" w:eastAsia="仿宋" w:cs="仿宋"/>
                <w:bCs/>
                <w:color w:val="000000"/>
                <w:szCs w:val="21"/>
                <w:highlight w:val="none"/>
              </w:rPr>
            </w:pPr>
          </w:p>
        </w:tc>
        <w:tc>
          <w:tcPr>
            <w:tcW w:w="780" w:type="dxa"/>
            <w:noWrap w:val="0"/>
            <w:vAlign w:val="center"/>
          </w:tcPr>
          <w:p>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699" w:type="dxa"/>
            <w:noWrap w:val="0"/>
            <w:vAlign w:val="center"/>
          </w:tcPr>
          <w:p>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审查标准</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是否提供合格单位三证合一营业执照（事业单位法人证书）</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 w:val="0"/>
                <w:bCs w:val="0"/>
                <w:color w:val="000000" w:themeColor="text1"/>
                <w:szCs w:val="24"/>
                <w:highlight w:val="none"/>
                <w:lang w:val="en-US" w:eastAsia="zh-CN"/>
                <w14:textFill>
                  <w14:solidFill>
                    <w14:schemeClr w14:val="tx1"/>
                  </w14:solidFill>
                </w14:textFill>
              </w:rPr>
              <w:t>城乡规划编制乙级（含乙级）及以上资质或土地利用规划乙级（含乙级）及以上资质证书</w:t>
            </w:r>
            <w:r>
              <w:rPr>
                <w:rFonts w:hint="eastAsia" w:ascii="仿宋" w:hAnsi="仿宋" w:eastAsia="仿宋" w:cs="仿宋"/>
                <w:bCs/>
                <w:color w:val="000000" w:themeColor="text1"/>
                <w:szCs w:val="21"/>
                <w:highlight w:val="none"/>
                <w:lang w:val="en-US" w:eastAsia="zh-CN"/>
                <w14:textFill>
                  <w14:solidFill>
                    <w14:schemeClr w14:val="tx1"/>
                  </w14:solidFill>
                </w14:textFill>
              </w:rPr>
              <w:t>；</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3</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法人本人投标的需提供法定代表人身份证明书；被授权委托人需提供法人授权委托书；</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4</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具有良好的商业信誉和健全的财务会计制度，提供2022年度经会计事务所出具财务审计报告（事业单位法人可提供内审财务报表或征信证明）；（新成立的公司须提供近一个月的银行资信证明）</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5</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提供依法缴纳近三个月中任意一个月的社会保险社保缴纳凭证；依法缴纳近三个月任意一个月的税收良好记录证明</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6</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未在“信用中国”网站 被列入失信被执行人、重大税收违法案件当事人名单；“中国政府采购网”</w:t>
            </w:r>
            <w:r>
              <w:rPr>
                <w:rFonts w:hint="eastAsia" w:ascii="仿宋" w:hAnsi="仿宋" w:eastAsia="仿宋" w:cs="仿宋"/>
                <w:bCs/>
                <w:color w:val="000000"/>
                <w:szCs w:val="21"/>
                <w:highlight w:val="none"/>
                <w:lang w:val="en-US" w:eastAsia="zh-CN"/>
              </w:rPr>
              <w:fldChar w:fldCharType="begin"/>
            </w:r>
            <w:r>
              <w:rPr>
                <w:rFonts w:hint="eastAsia" w:ascii="仿宋" w:hAnsi="仿宋" w:eastAsia="仿宋" w:cs="仿宋"/>
                <w:bCs/>
                <w:color w:val="000000"/>
                <w:szCs w:val="21"/>
                <w:highlight w:val="none"/>
                <w:lang w:val="en-US" w:eastAsia="zh-CN"/>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rFonts w:hint="eastAsia" w:ascii="仿宋" w:hAnsi="仿宋" w:eastAsia="仿宋" w:cs="仿宋"/>
                <w:bCs/>
                <w:color w:val="000000"/>
                <w:szCs w:val="21"/>
                <w:highlight w:val="none"/>
                <w:lang w:val="en-US" w:eastAsia="zh-CN"/>
              </w:rPr>
              <w:fldChar w:fldCharType="separate"/>
            </w:r>
            <w:r>
              <w:rPr>
                <w:rFonts w:hint="eastAsia" w:ascii="仿宋" w:hAnsi="仿宋" w:eastAsia="仿宋" w:cs="仿宋"/>
                <w:bCs/>
                <w:color w:val="000000"/>
                <w:szCs w:val="21"/>
                <w:highlight w:val="none"/>
                <w:lang w:val="en-US"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bCs/>
                <w:color w:val="000000"/>
                <w:szCs w:val="21"/>
                <w:highlight w:val="none"/>
                <w:lang w:val="en-US" w:eastAsia="zh-CN"/>
              </w:rPr>
              <w:fldChar w:fldCharType="end"/>
            </w:r>
            <w:r>
              <w:rPr>
                <w:rFonts w:hint="eastAsia" w:ascii="仿宋" w:hAnsi="仿宋" w:eastAsia="仿宋" w:cs="仿宋"/>
                <w:bCs/>
                <w:color w:val="000000"/>
                <w:szCs w:val="21"/>
                <w:highlight w:val="none"/>
                <w:lang w:val="en-US" w:eastAsia="zh-CN"/>
              </w:rPr>
              <w:t>投标商</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7</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是否提供《反商业贿赂承诺书》</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8</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参加政府采购活动近3年内，在经营活动中没有重大违法记录的书面声明</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9</w:t>
            </w:r>
          </w:p>
        </w:tc>
        <w:tc>
          <w:tcPr>
            <w:tcW w:w="60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 w:val="0"/>
                <w:bCs w:val="0"/>
                <w:color w:val="000000"/>
                <w:szCs w:val="24"/>
                <w:highlight w:val="none"/>
                <w:lang w:val="en-US" w:eastAsia="zh-CN"/>
              </w:rPr>
              <w:t>投标保证金收据复印件或银行电子回单或银行保函</w:t>
            </w:r>
          </w:p>
        </w:tc>
        <w:tc>
          <w:tcPr>
            <w:tcW w:w="780"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705" w:type="dxa"/>
            <w:noWrap w:val="0"/>
            <w:vAlign w:val="top"/>
          </w:tcPr>
          <w:p>
            <w:pPr>
              <w:spacing w:line="440" w:lineRule="exact"/>
              <w:jc w:val="left"/>
              <w:outlineLvl w:val="0"/>
              <w:rPr>
                <w:rFonts w:hint="eastAsia" w:ascii="仿宋" w:hAnsi="仿宋" w:eastAsia="仿宋" w:cs="仿宋"/>
                <w:bCs/>
                <w:color w:val="000000"/>
                <w:szCs w:val="21"/>
                <w:highlight w:val="none"/>
              </w:rPr>
            </w:pPr>
          </w:p>
        </w:tc>
        <w:tc>
          <w:tcPr>
            <w:tcW w:w="6012" w:type="dxa"/>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479" w:type="dxa"/>
            <w:gridSpan w:val="2"/>
            <w:noWrap w:val="0"/>
            <w:vAlign w:val="top"/>
          </w:tcPr>
          <w:p>
            <w:pPr>
              <w:spacing w:line="440" w:lineRule="exact"/>
              <w:jc w:val="left"/>
              <w:outlineLvl w:val="0"/>
              <w:rPr>
                <w:rFonts w:hint="eastAsia" w:ascii="仿宋" w:hAnsi="仿宋" w:eastAsia="仿宋" w:cs="仿宋"/>
                <w:bCs/>
                <w:color w:val="000000"/>
                <w:szCs w:val="21"/>
                <w:highlight w:val="none"/>
              </w:rPr>
            </w:pPr>
          </w:p>
        </w:tc>
      </w:tr>
    </w:tbl>
    <w:p>
      <w:pPr>
        <w:spacing w:line="440" w:lineRule="exact"/>
        <w:jc w:val="center"/>
        <w:outlineLvl w:val="0"/>
        <w:rPr>
          <w:rFonts w:hint="eastAsia" w:ascii="仿宋" w:hAnsi="仿宋" w:eastAsia="仿宋" w:cs="仿宋"/>
          <w:b/>
          <w:color w:val="000000"/>
          <w:sz w:val="28"/>
          <w:szCs w:val="28"/>
          <w:highlight w:val="none"/>
        </w:rPr>
      </w:pP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通过上述资格性检查，可初步判定投标人的投标文件是否符合招标文件的要求。对于上述审查内容，投标人必须响应，否则其投标文件作废标处理。</w:t>
      </w:r>
    </w:p>
    <w:p>
      <w:pPr>
        <w:pStyle w:val="7"/>
        <w:rPr>
          <w:rFonts w:hint="eastAsia" w:ascii="仿宋" w:hAnsi="仿宋" w:eastAsia="仿宋" w:cs="仿宋"/>
        </w:rPr>
      </w:pPr>
    </w:p>
    <w:p>
      <w:pPr>
        <w:spacing w:line="440" w:lineRule="exact"/>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符合性检查</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1、符合性检查包含下列内容</w:t>
      </w:r>
    </w:p>
    <w:tbl>
      <w:tblPr>
        <w:tblStyle w:val="38"/>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noWrap w:val="0"/>
            <w:vAlign w:val="center"/>
          </w:tcPr>
          <w:p>
            <w:pPr>
              <w:spacing w:line="440" w:lineRule="exact"/>
              <w:jc w:val="left"/>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项目</w:t>
            </w:r>
          </w:p>
        </w:tc>
        <w:tc>
          <w:tcPr>
            <w:tcW w:w="6688" w:type="dxa"/>
            <w:gridSpan w:val="2"/>
            <w:tcBorders>
              <w:top w:val="single" w:color="auto" w:sz="4" w:space="0"/>
            </w:tcBorders>
            <w:noWrap w:val="0"/>
            <w:vAlign w:val="center"/>
          </w:tcPr>
          <w:p>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评审内容</w:t>
            </w:r>
          </w:p>
        </w:tc>
        <w:tc>
          <w:tcPr>
            <w:tcW w:w="1260" w:type="dxa"/>
            <w:gridSpan w:val="2"/>
            <w:tcBorders>
              <w:top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w:t>
            </w:r>
          </w:p>
          <w:p>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6688" w:type="dxa"/>
            <w:gridSpan w:val="2"/>
            <w:tcBorders>
              <w:bottom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683" w:type="dxa"/>
            <w:noWrap w:val="0"/>
            <w:vAlign w:val="center"/>
          </w:tcPr>
          <w:p>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577" w:type="dxa"/>
            <w:tcBorders>
              <w:right w:val="single" w:color="auto" w:sz="4" w:space="0"/>
            </w:tcBorders>
            <w:noWrap w:val="0"/>
            <w:vAlign w:val="center"/>
          </w:tcPr>
          <w:p>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w:t>
            </w:r>
          </w:p>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查</w:t>
            </w:r>
          </w:p>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标</w:t>
            </w:r>
          </w:p>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准</w:t>
            </w:r>
          </w:p>
        </w:tc>
        <w:tc>
          <w:tcPr>
            <w:tcW w:w="598" w:type="dxa"/>
            <w:tcBorders>
              <w:top w:val="single" w:color="auto" w:sz="4" w:space="0"/>
              <w:left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090" w:type="dxa"/>
            <w:tcBorders>
              <w:top w:val="single" w:color="auto" w:sz="4" w:space="0"/>
              <w:left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投标报价高于设定的采购预算价的；</w:t>
            </w:r>
          </w:p>
        </w:tc>
        <w:tc>
          <w:tcPr>
            <w:tcW w:w="683" w:type="dxa"/>
            <w:tcBorders>
              <w:left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090" w:type="dxa"/>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未按招标文件规定的格式填写，内容不全或关键字迹模糊、无法辨认的；</w:t>
            </w:r>
          </w:p>
        </w:tc>
        <w:tc>
          <w:tcPr>
            <w:tcW w:w="683" w:type="dxa"/>
            <w:tcBorders>
              <w:lef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投标人名称、组织机构与资格预审时不符，涉嫌以他人名义投标的；</w:t>
            </w:r>
          </w:p>
        </w:tc>
        <w:tc>
          <w:tcPr>
            <w:tcW w:w="683" w:type="dxa"/>
            <w:tcBorders>
              <w:lef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5</w:t>
            </w:r>
          </w:p>
        </w:tc>
        <w:tc>
          <w:tcPr>
            <w:tcW w:w="6090"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评标委员会共同确定有实质上不响应招标文件要求的；</w:t>
            </w:r>
          </w:p>
        </w:tc>
        <w:tc>
          <w:tcPr>
            <w:tcW w:w="683" w:type="dxa"/>
            <w:tcBorders>
              <w:lef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bottom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6</w:t>
            </w:r>
          </w:p>
        </w:tc>
        <w:tc>
          <w:tcPr>
            <w:tcW w:w="6090" w:type="dxa"/>
            <w:tcBorders>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7</w:t>
            </w:r>
          </w:p>
        </w:tc>
        <w:tc>
          <w:tcPr>
            <w:tcW w:w="609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8</w:t>
            </w:r>
          </w:p>
        </w:tc>
        <w:tc>
          <w:tcPr>
            <w:tcW w:w="6090"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投标文件附有采购人不能接受条件的；</w:t>
            </w:r>
          </w:p>
        </w:tc>
        <w:tc>
          <w:tcPr>
            <w:tcW w:w="683" w:type="dxa"/>
            <w:tcBorders>
              <w:lef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9</w:t>
            </w:r>
          </w:p>
        </w:tc>
        <w:tc>
          <w:tcPr>
            <w:tcW w:w="6090"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不满足招标文件实质性要求的其他情形.....</w:t>
            </w:r>
          </w:p>
        </w:tc>
        <w:tc>
          <w:tcPr>
            <w:tcW w:w="683" w:type="dxa"/>
            <w:tcBorders>
              <w:lef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pPr>
              <w:spacing w:line="440" w:lineRule="exact"/>
              <w:jc w:val="left"/>
              <w:outlineLvl w:val="0"/>
              <w:rPr>
                <w:rFonts w:hint="eastAsia" w:ascii="仿宋" w:hAnsi="仿宋" w:eastAsia="仿宋" w:cs="仿宋"/>
                <w:bCs/>
                <w:color w:val="000000"/>
                <w:szCs w:val="21"/>
                <w:highlight w:val="none"/>
              </w:rPr>
            </w:pPr>
          </w:p>
        </w:tc>
        <w:tc>
          <w:tcPr>
            <w:tcW w:w="6688" w:type="dxa"/>
            <w:gridSpan w:val="2"/>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top"/>
          </w:tcPr>
          <w:p>
            <w:pPr>
              <w:spacing w:line="440" w:lineRule="exact"/>
              <w:jc w:val="left"/>
              <w:outlineLvl w:val="0"/>
              <w:rPr>
                <w:rFonts w:hint="eastAsia" w:ascii="仿宋" w:hAnsi="仿宋" w:eastAsia="仿宋" w:cs="仿宋"/>
                <w:bCs/>
                <w:color w:val="000000"/>
                <w:szCs w:val="21"/>
                <w:highlight w:val="none"/>
              </w:rPr>
            </w:pPr>
          </w:p>
        </w:tc>
      </w:tr>
    </w:tbl>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9"/>
        <w:tabs>
          <w:tab w:val="clear" w:pos="567"/>
        </w:tabs>
        <w:spacing w:before="0" w:line="360" w:lineRule="auto"/>
        <w:ind w:left="-181" w:leftChars="-86" w:firstLine="180" w:firstLineChars="75"/>
        <w:rPr>
          <w:rFonts w:hint="eastAsia" w:cs="宋体"/>
          <w:color w:val="000000"/>
          <w:highlight w:val="none"/>
        </w:rPr>
      </w:pPr>
    </w:p>
    <w:p>
      <w:pPr>
        <w:pStyle w:val="37"/>
        <w:rPr>
          <w:rFonts w:hint="eastAsia"/>
        </w:rPr>
      </w:pPr>
    </w:p>
    <w:p>
      <w:pPr>
        <w:pStyle w:val="9"/>
        <w:tabs>
          <w:tab w:val="clear" w:pos="567"/>
        </w:tabs>
        <w:spacing w:before="0" w:line="360" w:lineRule="auto"/>
        <w:ind w:left="-181" w:leftChars="-86" w:firstLine="180" w:firstLineChars="75"/>
        <w:rPr>
          <w:rFonts w:hint="eastAsia" w:cs="宋体"/>
          <w:color w:val="000000"/>
          <w:highlight w:val="none"/>
        </w:rPr>
      </w:pPr>
    </w:p>
    <w:p>
      <w:pPr>
        <w:pStyle w:val="16"/>
        <w:ind w:right="-195"/>
        <w:jc w:val="both"/>
        <w:rPr>
          <w:rFonts w:hint="eastAsia" w:hAnsi="宋体" w:cs="宋体"/>
          <w:color w:val="000000"/>
          <w:kern w:val="0"/>
          <w:sz w:val="32"/>
          <w:szCs w:val="32"/>
          <w:highlight w:val="none"/>
        </w:rPr>
      </w:pPr>
    </w:p>
    <w:p>
      <w:pPr>
        <w:pStyle w:val="16"/>
        <w:ind w:right="-195"/>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评分细则</w:t>
      </w:r>
    </w:p>
    <w:tbl>
      <w:tblPr>
        <w:tblStyle w:val="38"/>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87"/>
        <w:gridCol w:w="822"/>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评分项</w:t>
            </w:r>
          </w:p>
        </w:tc>
        <w:tc>
          <w:tcPr>
            <w:tcW w:w="770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b/>
                <w:color w:val="000000"/>
                <w:szCs w:val="21"/>
              </w:rPr>
            </w:pPr>
            <w:r>
              <w:rPr>
                <w:rFonts w:hint="eastAsia" w:ascii="仿宋" w:hAnsi="仿宋" w:eastAsia="仿宋" w:cs="仿宋"/>
                <w:b/>
                <w:color w:val="000000"/>
                <w:szCs w:val="21"/>
              </w:rPr>
              <w:t>一</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left"/>
              <w:rPr>
                <w:rFonts w:hint="eastAsia" w:ascii="仿宋" w:hAnsi="仿宋" w:eastAsia="仿宋" w:cs="仿宋"/>
                <w:b/>
                <w:color w:val="000000"/>
                <w:szCs w:val="21"/>
              </w:rPr>
            </w:pPr>
            <w:r>
              <w:rPr>
                <w:rFonts w:hint="eastAsia" w:ascii="仿宋" w:hAnsi="仿宋" w:eastAsia="仿宋" w:cs="仿宋"/>
                <w:b/>
                <w:color w:val="000000"/>
                <w:szCs w:val="21"/>
              </w:rPr>
              <w:t>价格部分</w:t>
            </w:r>
          </w:p>
        </w:tc>
        <w:tc>
          <w:tcPr>
            <w:tcW w:w="770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b/>
                <w:color w:val="000000"/>
                <w:szCs w:val="21"/>
              </w:rPr>
            </w:pPr>
            <w:r>
              <w:rPr>
                <w:rFonts w:hint="eastAsia" w:ascii="仿宋" w:hAnsi="仿宋" w:eastAsia="仿宋" w:cs="仿宋"/>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color w:val="000000"/>
                <w:szCs w:val="21"/>
              </w:rPr>
            </w:pPr>
          </w:p>
        </w:tc>
        <w:tc>
          <w:tcPr>
            <w:tcW w:w="929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sz w:val="21"/>
                <w:szCs w:val="21"/>
                <w:shd w:val="clear" w:color="auto" w:fill="FFFFFF"/>
                <w:lang w:val="zh-CN"/>
              </w:rPr>
              <w:t>满足招标文件要求且投标价格最低的投标报价为评标基准价，其价格分为满分 10分。其他投标人的价格分统一按照下列公式计算：投标报价得分=(评标基准价／投标报价)×价格权值×100（价格权值为 10％）。</w:t>
            </w:r>
            <w:r>
              <w:rPr>
                <w:rFonts w:hint="eastAsia" w:ascii="仿宋" w:hAnsi="仿宋" w:eastAsia="仿宋" w:cs="仿宋"/>
                <w:color w:val="000000"/>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b/>
                <w:color w:val="000000"/>
                <w:szCs w:val="21"/>
              </w:rPr>
            </w:pPr>
            <w:r>
              <w:rPr>
                <w:rFonts w:hint="eastAsia" w:ascii="仿宋" w:hAnsi="仿宋" w:eastAsia="仿宋" w:cs="仿宋"/>
                <w:b/>
                <w:color w:val="000000"/>
                <w:szCs w:val="21"/>
              </w:rPr>
              <w:t>二</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left"/>
              <w:rPr>
                <w:rFonts w:hint="eastAsia" w:ascii="仿宋" w:hAnsi="仿宋" w:eastAsia="仿宋" w:cs="仿宋"/>
                <w:b/>
                <w:color w:val="000000"/>
                <w:szCs w:val="21"/>
              </w:rPr>
            </w:pPr>
            <w:r>
              <w:rPr>
                <w:rFonts w:hint="eastAsia" w:ascii="仿宋" w:hAnsi="仿宋" w:eastAsia="仿宋" w:cs="仿宋"/>
                <w:b/>
                <w:color w:val="000000"/>
                <w:szCs w:val="21"/>
              </w:rPr>
              <w:t>商务部分</w:t>
            </w:r>
          </w:p>
        </w:tc>
        <w:tc>
          <w:tcPr>
            <w:tcW w:w="770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b/>
                <w:color w:val="000000"/>
                <w:szCs w:val="21"/>
              </w:rPr>
            </w:pPr>
            <w:r>
              <w:rPr>
                <w:rFonts w:hint="eastAsia" w:ascii="仿宋" w:hAnsi="仿宋" w:eastAsia="仿宋" w:cs="仿宋"/>
                <w:b/>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674" w:type="dxa"/>
            <w:vMerge w:val="restart"/>
            <w:tcBorders>
              <w:top w:val="single" w:color="auto" w:sz="4" w:space="0"/>
              <w:left w:val="single" w:color="auto" w:sz="4" w:space="0"/>
              <w:right w:val="single" w:color="auto" w:sz="4" w:space="0"/>
            </w:tcBorders>
            <w:noWrap w:val="0"/>
            <w:vAlign w:val="center"/>
          </w:tcPr>
          <w:p>
            <w:pPr>
              <w:spacing w:line="300" w:lineRule="exact"/>
              <w:ind w:left="105" w:hanging="105"/>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评分因素</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分值</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企业业绩</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6</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rPr>
                <w:rFonts w:hint="eastAsia" w:ascii="仿宋" w:hAnsi="仿宋" w:eastAsia="仿宋" w:cs="仿宋"/>
                <w:color w:val="000000"/>
                <w:sz w:val="21"/>
                <w:szCs w:val="21"/>
                <w:shd w:val="clear" w:color="auto" w:fill="FFFFFF"/>
                <w:lang w:val="zh-CN"/>
              </w:rPr>
            </w:pPr>
            <w:r>
              <w:rPr>
                <w:rFonts w:hint="eastAsia" w:ascii="仿宋" w:hAnsi="仿宋" w:eastAsia="仿宋" w:cs="仿宋"/>
                <w:color w:val="000000" w:themeColor="text1"/>
                <w:sz w:val="21"/>
                <w:szCs w:val="21"/>
                <w:shd w:val="clear" w:color="auto" w:fill="FFFFFF"/>
                <w:lang w:val="zh-CN"/>
                <w14:textFill>
                  <w14:solidFill>
                    <w14:schemeClr w14:val="tx1"/>
                  </w14:solidFill>
                </w14:textFill>
              </w:rPr>
              <w:t>提供近3年以来的类似业绩证明材料（提供的业绩为2020年</w:t>
            </w:r>
            <w:r>
              <w:rPr>
                <w:rFonts w:hint="eastAsia" w:ascii="仿宋" w:hAnsi="仿宋" w:eastAsia="仿宋" w:cs="仿宋"/>
                <w:color w:val="000000" w:themeColor="text1"/>
                <w:sz w:val="21"/>
                <w:szCs w:val="21"/>
                <w:shd w:val="clear" w:color="auto" w:fill="FFFFFF"/>
                <w14:textFill>
                  <w14:solidFill>
                    <w14:schemeClr w14:val="tx1"/>
                  </w14:solidFill>
                </w14:textFill>
              </w:rPr>
              <w:t>1</w:t>
            </w:r>
            <w:r>
              <w:rPr>
                <w:rFonts w:hint="eastAsia" w:ascii="仿宋" w:hAnsi="仿宋" w:eastAsia="仿宋" w:cs="仿宋"/>
                <w:color w:val="000000" w:themeColor="text1"/>
                <w:sz w:val="21"/>
                <w:szCs w:val="21"/>
                <w:shd w:val="clear" w:color="auto" w:fill="FFFFFF"/>
                <w:lang w:val="zh-CN"/>
                <w14:textFill>
                  <w14:solidFill>
                    <w14:schemeClr w14:val="tx1"/>
                  </w14:solidFill>
                </w14:textFill>
              </w:rPr>
              <w:t>月</w:t>
            </w:r>
            <w:r>
              <w:rPr>
                <w:rFonts w:hint="eastAsia" w:ascii="仿宋" w:hAnsi="仿宋" w:eastAsia="仿宋" w:cs="仿宋"/>
                <w:color w:val="000000" w:themeColor="text1"/>
                <w:sz w:val="21"/>
                <w:szCs w:val="21"/>
                <w:shd w:val="clear" w:color="auto" w:fill="FFFFFF"/>
                <w14:textFill>
                  <w14:solidFill>
                    <w14:schemeClr w14:val="tx1"/>
                  </w14:solidFill>
                </w14:textFill>
              </w:rPr>
              <w:t>1</w:t>
            </w:r>
            <w:r>
              <w:rPr>
                <w:rFonts w:hint="eastAsia" w:ascii="仿宋" w:hAnsi="仿宋" w:eastAsia="仿宋" w:cs="仿宋"/>
                <w:color w:val="000000" w:themeColor="text1"/>
                <w:sz w:val="21"/>
                <w:szCs w:val="21"/>
                <w:shd w:val="clear" w:color="auto" w:fill="FFFFFF"/>
                <w:lang w:val="zh-CN"/>
                <w14:textFill>
                  <w14:solidFill>
                    <w14:schemeClr w14:val="tx1"/>
                  </w14:solidFill>
                </w14:textFill>
              </w:rPr>
              <w:t>日至</w:t>
            </w:r>
            <w:r>
              <w:rPr>
                <w:rFonts w:hint="eastAsia" w:ascii="仿宋" w:hAnsi="仿宋" w:eastAsia="仿宋" w:cs="仿宋"/>
                <w:color w:val="000000" w:themeColor="text1"/>
                <w:sz w:val="21"/>
                <w:szCs w:val="21"/>
                <w:shd w:val="clear" w:color="auto" w:fill="FFFFFF"/>
                <w14:textFill>
                  <w14:solidFill>
                    <w14:schemeClr w14:val="tx1"/>
                  </w14:solidFill>
                </w14:textFill>
              </w:rPr>
              <w:t>今</w:t>
            </w:r>
            <w:r>
              <w:rPr>
                <w:rFonts w:hint="eastAsia" w:ascii="仿宋" w:hAnsi="仿宋" w:eastAsia="仿宋" w:cs="仿宋"/>
                <w:color w:val="000000" w:themeColor="text1"/>
                <w:sz w:val="21"/>
                <w:szCs w:val="21"/>
                <w:shd w:val="clear" w:color="auto" w:fill="FFFFFF"/>
                <w:lang w:val="zh-CN"/>
                <w14:textFill>
                  <w14:solidFill>
                    <w14:schemeClr w14:val="tx1"/>
                  </w14:solidFill>
                </w14:textFill>
              </w:rPr>
              <w:t>）；国土空间总体规划每提供一项得2分(满分6分)，</w:t>
            </w:r>
            <w:r>
              <w:rPr>
                <w:rFonts w:hint="eastAsia" w:ascii="仿宋" w:hAnsi="仿宋" w:eastAsia="仿宋" w:cs="仿宋"/>
                <w:color w:val="000000" w:themeColor="text1"/>
                <w:kern w:val="0"/>
                <w:sz w:val="21"/>
                <w:szCs w:val="21"/>
                <w14:textFill>
                  <w14:solidFill>
                    <w14:schemeClr w14:val="tx1"/>
                  </w14:solidFill>
                </w14:textFill>
              </w:rPr>
              <w:t>（提供项目业绩中标通知书和合同复印件加盖投标单位公章，合同中必须体现甲乙双方单位名称，</w:t>
            </w:r>
            <w:r>
              <w:rPr>
                <w:rFonts w:hint="eastAsia" w:ascii="仿宋" w:hAnsi="仿宋" w:eastAsia="仿宋" w:cs="仿宋"/>
                <w:b/>
                <w:color w:val="000000"/>
                <w:sz w:val="21"/>
                <w:szCs w:val="21"/>
                <w:shd w:val="clear" w:color="auto" w:fill="FFFFFF"/>
                <w:lang w:val="zh-CN"/>
              </w:rPr>
              <w:t>未按要求提供的不得分</w:t>
            </w:r>
            <w:r>
              <w:rPr>
                <w:rFonts w:hint="eastAsia" w:ascii="仿宋" w:hAnsi="仿宋" w:eastAsia="仿宋" w:cs="仿宋"/>
                <w:color w:val="FF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lang w:val="zh-CN"/>
              </w:rPr>
            </w:pPr>
            <w:r>
              <w:rPr>
                <w:rFonts w:hint="eastAsia" w:ascii="仿宋" w:hAnsi="仿宋" w:eastAsia="仿宋" w:cs="仿宋"/>
                <w:color w:val="000000"/>
                <w:lang w:val="zh-CN"/>
              </w:rPr>
              <w:t>人员配备</w:t>
            </w:r>
          </w:p>
          <w:p>
            <w:pPr>
              <w:autoSpaceDE w:val="0"/>
              <w:autoSpaceDN w:val="0"/>
              <w:spacing w:line="400" w:lineRule="exact"/>
              <w:jc w:val="center"/>
              <w:rPr>
                <w:rFonts w:hint="eastAsia" w:ascii="仿宋" w:hAnsi="仿宋" w:eastAsia="仿宋" w:cs="仿宋"/>
                <w:color w:val="000000"/>
                <w:shd w:val="clear" w:color="auto" w:fill="FFFFFF"/>
              </w:rPr>
            </w:pPr>
            <w:r>
              <w:rPr>
                <w:rFonts w:hint="eastAsia" w:ascii="仿宋" w:hAnsi="仿宋" w:eastAsia="仿宋" w:cs="仿宋"/>
                <w:color w:val="000000"/>
                <w:lang w:val="zh-CN"/>
              </w:rPr>
              <w:t>情况</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18</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rPr>
                <w:rFonts w:hint="eastAsia" w:ascii="仿宋" w:hAnsi="仿宋" w:eastAsia="仿宋" w:cs="仿宋"/>
                <w:color w:val="000000"/>
                <w:sz w:val="21"/>
                <w:szCs w:val="21"/>
                <w:shd w:val="clear" w:color="auto" w:fill="FFFFFF"/>
                <w:lang w:val="zh-CN"/>
              </w:rPr>
            </w:pPr>
            <w:r>
              <w:rPr>
                <w:rFonts w:hint="eastAsia" w:ascii="仿宋" w:hAnsi="仿宋" w:eastAsia="仿宋" w:cs="仿宋"/>
                <w:color w:val="000000"/>
                <w:sz w:val="21"/>
                <w:szCs w:val="21"/>
                <w:shd w:val="clear" w:color="auto" w:fill="FFFFFF"/>
                <w:lang w:val="zh-CN"/>
              </w:rPr>
              <w:t>（1）项目负责人具有城市规划相关专业高级工程师或具有注册城乡规划师资格的得4分，满分为4分；</w:t>
            </w:r>
          </w:p>
          <w:p>
            <w:pPr>
              <w:autoSpaceDE w:val="0"/>
              <w:autoSpaceDN w:val="0"/>
              <w:spacing w:line="400" w:lineRule="exact"/>
              <w:rPr>
                <w:rFonts w:hint="eastAsia" w:ascii="仿宋" w:hAnsi="仿宋" w:eastAsia="仿宋" w:cs="仿宋"/>
                <w:color w:val="000000"/>
                <w:sz w:val="21"/>
                <w:szCs w:val="21"/>
                <w:shd w:val="clear" w:color="auto" w:fill="FFFFFF"/>
                <w:lang w:val="zh-CN"/>
              </w:rPr>
            </w:pPr>
            <w:r>
              <w:rPr>
                <w:rFonts w:hint="eastAsia" w:ascii="仿宋" w:hAnsi="仿宋" w:eastAsia="仿宋" w:cs="仿宋"/>
                <w:color w:val="000000"/>
                <w:sz w:val="21"/>
                <w:szCs w:val="21"/>
                <w:shd w:val="clear" w:color="auto" w:fill="FFFFFF"/>
                <w:lang w:val="zh-CN"/>
              </w:rPr>
              <w:t>（2）项目负责人自2017年1月1日至今获得全国优秀城乡规划设计奖（城市规划类）奖项的，每项得0.5分，本项最高得2分。（备注：项目负责人仅能一人担任，以相关证明材料为准，未按要求提供的不得分）。</w:t>
            </w:r>
          </w:p>
          <w:p>
            <w:pPr>
              <w:autoSpaceDE w:val="0"/>
              <w:autoSpaceDN w:val="0"/>
              <w:spacing w:line="400" w:lineRule="exact"/>
              <w:rPr>
                <w:rFonts w:hint="eastAsia" w:ascii="仿宋" w:hAnsi="仿宋" w:eastAsia="仿宋" w:cs="仿宋"/>
                <w:color w:val="000000"/>
                <w:sz w:val="21"/>
                <w:szCs w:val="21"/>
                <w:shd w:val="clear" w:color="auto" w:fill="FFFFFF"/>
                <w:lang w:val="zh-CN"/>
              </w:rPr>
            </w:pPr>
            <w:r>
              <w:rPr>
                <w:rFonts w:hint="eastAsia" w:ascii="仿宋" w:hAnsi="仿宋" w:eastAsia="仿宋" w:cs="仿宋"/>
                <w:color w:val="000000"/>
                <w:sz w:val="21"/>
                <w:szCs w:val="21"/>
                <w:shd w:val="clear" w:color="auto" w:fill="FFFFFF"/>
                <w:lang w:val="zh-CN"/>
              </w:rPr>
              <w:t>（3）除城市规划专业外，经济、交通、建筑工程、市政工程相关专业高级职称的人员每个专业得1.5分（重复专业不重复加分），本项最高6分。</w:t>
            </w:r>
          </w:p>
          <w:p>
            <w:pPr>
              <w:autoSpaceDE w:val="0"/>
              <w:autoSpaceDN w:val="0"/>
              <w:spacing w:line="400" w:lineRule="exact"/>
              <w:rPr>
                <w:rFonts w:hint="eastAsia" w:ascii="仿宋" w:hAnsi="仿宋" w:eastAsia="仿宋" w:cs="仿宋"/>
                <w:sz w:val="21"/>
                <w:szCs w:val="21"/>
                <w:lang w:val="zh-CN"/>
              </w:rPr>
            </w:pPr>
            <w:r>
              <w:rPr>
                <w:rFonts w:hint="eastAsia" w:ascii="仿宋" w:hAnsi="仿宋" w:eastAsia="仿宋" w:cs="仿宋"/>
                <w:color w:val="000000"/>
                <w:sz w:val="21"/>
                <w:szCs w:val="21"/>
                <w:shd w:val="clear" w:color="auto" w:fill="FFFFFF"/>
                <w:lang w:val="zh-CN"/>
              </w:rPr>
              <w:t>（4）投标人拟投入本项目的项目组成员（除项目负责人外）：具备国家注册城市规划师资格或城市规划专业高级（含副高）职称或城乡规划专业高级（含副高）职称的每增加1位加1分，本项最高6分。</w:t>
            </w:r>
          </w:p>
          <w:p>
            <w:pPr>
              <w:autoSpaceDE w:val="0"/>
              <w:autoSpaceDN w:val="0"/>
              <w:spacing w:line="400" w:lineRule="exact"/>
              <w:rPr>
                <w:rFonts w:hint="eastAsia" w:ascii="仿宋" w:hAnsi="仿宋" w:eastAsia="仿宋" w:cs="仿宋"/>
                <w:sz w:val="21"/>
                <w:szCs w:val="21"/>
                <w:lang w:val="zh-CN"/>
              </w:rPr>
            </w:pPr>
            <w:r>
              <w:rPr>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备注：提供相关证明资料（包括但不限于：</w:t>
            </w:r>
            <w:r>
              <w:rPr>
                <w:rFonts w:hint="eastAsia" w:ascii="仿宋" w:hAnsi="仿宋" w:eastAsia="仿宋" w:cs="仿宋"/>
                <w:b/>
                <w:bCs/>
                <w:color w:val="000000" w:themeColor="text1"/>
                <w:sz w:val="21"/>
                <w:szCs w:val="21"/>
                <w:shd w:val="clear" w:color="auto" w:fill="FFFFFF"/>
                <w:lang w:val="zh-CN"/>
                <w14:textFill>
                  <w14:solidFill>
                    <w14:schemeClr w14:val="tx1"/>
                  </w14:solidFill>
                </w14:textFill>
              </w:rPr>
              <w:t>身份证、毕业证、职称证书或注册证书</w:t>
            </w:r>
            <w:r>
              <w:rPr>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、在本单位缴纳的近3个月的社保缴纳证明等资料，</w:t>
            </w:r>
            <w:r>
              <w:rPr>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除国家不要求缴纳社保的或退休要提供退休证及聘用合同）</w:t>
            </w:r>
            <w:r>
              <w:rPr>
                <w:rFonts w:hint="eastAsia" w:ascii="仿宋" w:hAnsi="仿宋" w:eastAsia="仿宋" w:cs="仿宋"/>
                <w:b/>
                <w:bCs/>
                <w:color w:val="000000" w:themeColor="text1"/>
                <w:sz w:val="21"/>
                <w:szCs w:val="21"/>
                <w:shd w:val="clear" w:color="auto" w:fill="FFFFFF"/>
                <w:lang w:val="en-US" w:eastAsia="zh-CN"/>
                <w14:textFill>
                  <w14:solidFill>
                    <w14:schemeClr w14:val="tx1"/>
                  </w14:solidFill>
                </w14:textFill>
              </w:rPr>
              <w:t>未提供或提供不全的此项得不得分。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获奖情况</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themeColor="text1"/>
                <w:shd w:val="clear" w:color="auto" w:fill="FFFFFF"/>
                <w14:textFill>
                  <w14:solidFill>
                    <w14:schemeClr w14:val="tx1"/>
                  </w14:solidFill>
                </w14:textFill>
              </w:rPr>
            </w:pPr>
            <w:r>
              <w:rPr>
                <w:rFonts w:hint="eastAsia" w:ascii="仿宋" w:hAnsi="仿宋" w:eastAsia="仿宋" w:cs="仿宋"/>
                <w:color w:val="000000" w:themeColor="text1"/>
                <w:shd w:val="clear" w:color="auto" w:fill="FFFFFF"/>
                <w14:textFill>
                  <w14:solidFill>
                    <w14:schemeClr w14:val="tx1"/>
                  </w14:solidFill>
                </w14:textFill>
              </w:rPr>
              <w:t>10</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rPr>
                <w:rFonts w:hint="eastAsia" w:ascii="仿宋" w:hAnsi="仿宋" w:eastAsia="仿宋" w:cs="仿宋"/>
                <w:color w:val="000000" w:themeColor="text1"/>
                <w:sz w:val="21"/>
                <w:szCs w:val="21"/>
                <w:shd w:val="clear" w:color="auto" w:fill="FFFFFF"/>
                <w:lang w:val="zh-CN"/>
                <w14:textFill>
                  <w14:solidFill>
                    <w14:schemeClr w14:val="tx1"/>
                  </w14:solidFill>
                </w14:textFill>
              </w:rPr>
            </w:pPr>
            <w:r>
              <w:rPr>
                <w:rFonts w:hint="eastAsia" w:ascii="仿宋" w:hAnsi="仿宋" w:eastAsia="仿宋" w:cs="仿宋"/>
                <w:color w:val="000000" w:themeColor="text1"/>
                <w:sz w:val="21"/>
                <w:szCs w:val="21"/>
                <w:shd w:val="clear" w:color="auto" w:fill="FFFFFF"/>
                <w:lang w:val="zh-CN"/>
                <w14:textFill>
                  <w14:solidFill>
                    <w14:schemeClr w14:val="tx1"/>
                  </w14:solidFill>
                </w14:textFill>
              </w:rPr>
              <w:t>投标人自2017年1月1日至今获得中国城市规划协会颁发的全国优秀城乡规划设计奖（城市规划类）奖项的，一等奖的每项得1分，最高得7分。二等奖的，每项得0.5分，最高得2分。三等奖的，每项得0.2分，最高得1分。本项合计最高得10分。</w:t>
            </w:r>
          </w:p>
          <w:p>
            <w:pPr>
              <w:autoSpaceDE w:val="0"/>
              <w:autoSpaceDN w:val="0"/>
              <w:spacing w:line="400" w:lineRule="exact"/>
              <w:rPr>
                <w:rFonts w:hint="eastAsia" w:ascii="仿宋" w:hAnsi="仿宋" w:eastAsia="仿宋" w:cs="仿宋"/>
                <w:b/>
                <w:color w:val="0000FF"/>
              </w:rPr>
            </w:pPr>
            <w:r>
              <w:rPr>
                <w:rFonts w:hint="eastAsia" w:ascii="仿宋" w:hAnsi="仿宋" w:eastAsia="仿宋" w:cs="仿宋"/>
                <w:b/>
                <w:bCs/>
                <w:color w:val="000000" w:themeColor="text1"/>
                <w:sz w:val="21"/>
                <w:szCs w:val="21"/>
                <w:shd w:val="clear" w:color="auto" w:fill="FFFFFF"/>
                <w:lang w:val="zh-CN"/>
                <w14:textFill>
                  <w14:solidFill>
                    <w14:schemeClr w14:val="tx1"/>
                  </w14:solidFill>
                </w14:textFill>
              </w:rPr>
              <w:t>备注：（以获奖证书发证时间为准），同一项目获得多个奖项，按最高等级计算一个。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74" w:type="dxa"/>
            <w:vMerge w:val="continue"/>
            <w:tcBorders>
              <w:left w:val="single" w:color="auto" w:sz="4" w:space="0"/>
              <w:bottom w:val="single" w:color="auto" w:sz="4" w:space="0"/>
              <w:right w:val="single" w:color="auto" w:sz="4" w:space="0"/>
            </w:tcBorders>
            <w:noWrap w:val="0"/>
            <w:vAlign w:val="center"/>
          </w:tcPr>
          <w:p>
            <w:pPr>
              <w:spacing w:line="300" w:lineRule="exact"/>
              <w:ind w:left="105" w:hanging="105"/>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项目管理保障</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6</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投标人具有质量管理体系证书得1.5分，环境管理体系证书得1.5分，职业健康安全管理体系证书得1.5分，管理体系升级版AAA认证的证书得1.5分，本项最高得6分。</w:t>
            </w:r>
          </w:p>
          <w:p>
            <w:pPr>
              <w:autoSpaceDE w:val="0"/>
              <w:autoSpaceDN w:val="0"/>
              <w:spacing w:line="400" w:lineRule="exact"/>
              <w:rPr>
                <w:rFonts w:hint="eastAsia" w:ascii="仿宋" w:hAnsi="仿宋" w:eastAsia="仿宋" w:cs="仿宋"/>
                <w:color w:val="000000"/>
                <w:sz w:val="21"/>
                <w:szCs w:val="21"/>
                <w:highlight w:val="yellow"/>
              </w:rPr>
            </w:pPr>
            <w:r>
              <w:rPr>
                <w:rFonts w:hint="eastAsia" w:ascii="仿宋" w:hAnsi="仿宋" w:eastAsia="仿宋" w:cs="仿宋"/>
                <w:b/>
                <w:color w:val="000000"/>
                <w:sz w:val="21"/>
                <w:szCs w:val="21"/>
              </w:rPr>
              <w:t>备注：</w:t>
            </w:r>
            <w:r>
              <w:rPr>
                <w:rFonts w:hint="eastAsia" w:ascii="仿宋" w:hAnsi="仿宋" w:eastAsia="仿宋" w:cs="仿宋"/>
                <w:b/>
                <w:color w:val="000000"/>
                <w:sz w:val="21"/>
                <w:szCs w:val="21"/>
                <w:shd w:val="clear" w:color="auto" w:fill="FFFFFF"/>
                <w:lang w:val="zh-CN"/>
              </w:rPr>
              <w:t>（需提供证书扫描件，未按要求提供的不得分）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rPr>
                <w:rFonts w:hint="eastAsia" w:ascii="仿宋" w:hAnsi="仿宋" w:eastAsia="仿宋" w:cs="仿宋"/>
                <w:b/>
                <w:color w:val="000000"/>
                <w:szCs w:val="21"/>
              </w:rPr>
            </w:pPr>
            <w:r>
              <w:rPr>
                <w:rFonts w:hint="eastAsia" w:ascii="仿宋" w:hAnsi="仿宋" w:eastAsia="仿宋" w:cs="仿宋"/>
                <w:b/>
                <w:color w:val="000000"/>
                <w:szCs w:val="21"/>
              </w:rPr>
              <w:t>三</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10" w:leftChars="100" w:firstLine="105" w:firstLineChars="50"/>
              <w:rPr>
                <w:rFonts w:hint="eastAsia" w:ascii="仿宋" w:hAnsi="仿宋" w:eastAsia="仿宋" w:cs="仿宋"/>
                <w:b/>
                <w:color w:val="000000"/>
                <w:szCs w:val="21"/>
              </w:rPr>
            </w:pPr>
            <w:r>
              <w:rPr>
                <w:rFonts w:hint="eastAsia" w:ascii="仿宋" w:hAnsi="仿宋" w:eastAsia="仿宋" w:cs="仿宋"/>
                <w:b/>
                <w:color w:val="000000"/>
                <w:szCs w:val="21"/>
              </w:rPr>
              <w:t>技术部分</w:t>
            </w:r>
          </w:p>
        </w:tc>
        <w:tc>
          <w:tcPr>
            <w:tcW w:w="770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b/>
                <w:color w:val="000000"/>
                <w:szCs w:val="21"/>
              </w:rPr>
            </w:pPr>
            <w:r>
              <w:rPr>
                <w:rFonts w:hint="eastAsia" w:ascii="仿宋" w:hAnsi="仿宋" w:eastAsia="仿宋" w:cs="仿宋"/>
                <w:b/>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4" w:type="dxa"/>
            <w:vMerge w:val="restart"/>
            <w:tcBorders>
              <w:top w:val="single" w:color="auto" w:sz="4" w:space="0"/>
              <w:left w:val="single" w:color="auto" w:sz="4" w:space="0"/>
              <w:right w:val="single" w:color="auto" w:sz="4" w:space="0"/>
            </w:tcBorders>
            <w:noWrap w:val="0"/>
            <w:vAlign w:val="center"/>
          </w:tcPr>
          <w:p>
            <w:pPr>
              <w:spacing w:line="300" w:lineRule="exact"/>
              <w:ind w:left="105" w:hanging="105"/>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评分因素</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分值</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hanging="105"/>
              <w:jc w:val="center"/>
              <w:rPr>
                <w:rFonts w:hint="eastAsia" w:ascii="仿宋" w:hAnsi="仿宋" w:eastAsia="仿宋" w:cs="仿宋"/>
                <w:color w:val="000000"/>
                <w:szCs w:val="21"/>
              </w:rPr>
            </w:pPr>
            <w:r>
              <w:rPr>
                <w:rFonts w:hint="eastAsia" w:ascii="仿宋" w:hAnsi="仿宋" w:eastAsia="仿宋" w:cs="仿宋"/>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rPr>
            </w:pPr>
            <w:r>
              <w:rPr>
                <w:rFonts w:hint="eastAsia" w:ascii="仿宋" w:hAnsi="仿宋" w:eastAsia="仿宋" w:cs="仿宋"/>
                <w:color w:val="000000"/>
                <w:lang w:val="zh-CN"/>
              </w:rPr>
              <w:t>编制总体思路</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lang w:val="en-US" w:eastAsia="zh-CN"/>
              </w:rPr>
              <w:t>10</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hint="eastAsia" w:ascii="仿宋" w:hAnsi="仿宋" w:eastAsia="仿宋" w:cs="仿宋"/>
                <w:color w:val="000000"/>
              </w:rPr>
            </w:pPr>
            <w:r>
              <w:rPr>
                <w:rFonts w:hint="eastAsia" w:ascii="仿宋" w:hAnsi="仿宋" w:eastAsia="仿宋" w:cs="仿宋"/>
                <w:color w:val="000000"/>
                <w:lang w:val="zh-CN"/>
              </w:rPr>
              <w:t>对项目目的和意义阐述完整、思路</w:t>
            </w:r>
            <w:r>
              <w:rPr>
                <w:rFonts w:hint="eastAsia" w:ascii="仿宋" w:hAnsi="仿宋" w:eastAsia="仿宋" w:cs="仿宋"/>
                <w:color w:val="000000"/>
              </w:rPr>
              <w:t>清晰</w:t>
            </w:r>
            <w:r>
              <w:rPr>
                <w:rFonts w:hint="eastAsia" w:ascii="仿宋" w:hAnsi="仿宋" w:eastAsia="仿宋" w:cs="仿宋"/>
                <w:color w:val="000000"/>
                <w:lang w:val="zh-CN"/>
              </w:rPr>
              <w:t>可行得</w:t>
            </w:r>
            <w:r>
              <w:rPr>
                <w:rFonts w:hint="eastAsia" w:ascii="仿宋" w:hAnsi="仿宋" w:eastAsia="仿宋" w:cs="仿宋"/>
                <w:color w:val="000000"/>
                <w:lang w:val="en-US" w:eastAsia="zh-CN"/>
              </w:rPr>
              <w:t>10</w:t>
            </w:r>
            <w:r>
              <w:rPr>
                <w:rFonts w:hint="eastAsia" w:ascii="仿宋" w:hAnsi="仿宋" w:eastAsia="仿宋" w:cs="仿宋"/>
                <w:color w:val="000000"/>
                <w:lang w:val="zh-CN"/>
              </w:rPr>
              <w:t>分，</w:t>
            </w:r>
            <w:r>
              <w:rPr>
                <w:rFonts w:hint="eastAsia" w:ascii="仿宋" w:hAnsi="仿宋" w:eastAsia="仿宋" w:cs="仿宋"/>
                <w:color w:val="000000"/>
              </w:rPr>
              <w:t>良好</w:t>
            </w:r>
            <w:r>
              <w:rPr>
                <w:rFonts w:hint="eastAsia" w:ascii="仿宋" w:hAnsi="仿宋" w:eastAsia="仿宋" w:cs="仿宋"/>
                <w:color w:val="000000"/>
                <w:lang w:val="zh-CN"/>
              </w:rPr>
              <w:t>的得</w:t>
            </w:r>
            <w:r>
              <w:rPr>
                <w:rFonts w:hint="eastAsia" w:ascii="仿宋" w:hAnsi="仿宋" w:eastAsia="仿宋" w:cs="仿宋"/>
                <w:color w:val="000000"/>
                <w:lang w:val="en-US" w:eastAsia="zh-CN"/>
              </w:rPr>
              <w:t>6</w:t>
            </w:r>
            <w:r>
              <w:rPr>
                <w:rFonts w:hint="eastAsia" w:ascii="仿宋" w:hAnsi="仿宋" w:eastAsia="仿宋" w:cs="仿宋"/>
                <w:color w:val="000000"/>
                <w:lang w:val="zh-CN"/>
              </w:rPr>
              <w:t>分，</w:t>
            </w:r>
            <w:r>
              <w:rPr>
                <w:rFonts w:hint="eastAsia" w:ascii="仿宋" w:hAnsi="仿宋" w:eastAsia="仿宋" w:cs="仿宋"/>
                <w:color w:val="000000"/>
              </w:rPr>
              <w:t>一般</w:t>
            </w:r>
            <w:r>
              <w:rPr>
                <w:rFonts w:hint="eastAsia" w:ascii="仿宋" w:hAnsi="仿宋" w:eastAsia="仿宋" w:cs="仿宋"/>
                <w:color w:val="000000"/>
                <w:lang w:val="zh-CN"/>
              </w:rPr>
              <w:t>的得</w:t>
            </w:r>
            <w:r>
              <w:rPr>
                <w:rFonts w:hint="eastAsia" w:ascii="仿宋" w:hAnsi="仿宋" w:eastAsia="仿宋" w:cs="仿宋"/>
                <w:color w:val="000000"/>
                <w:lang w:val="en-US" w:eastAsia="zh-CN"/>
              </w:rPr>
              <w:t>3</w:t>
            </w:r>
            <w:r>
              <w:rPr>
                <w:rFonts w:hint="eastAsia" w:ascii="仿宋" w:hAnsi="仿宋" w:eastAsia="仿宋" w:cs="仿宋"/>
                <w:color w:val="000000"/>
                <w:lang w:val="zh-CN"/>
              </w:rPr>
              <w:t>分，</w:t>
            </w:r>
            <w:r>
              <w:rPr>
                <w:rFonts w:hint="eastAsia" w:ascii="仿宋" w:hAnsi="仿宋" w:eastAsia="仿宋" w:cs="仿宋"/>
                <w:color w:val="000000"/>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rPr>
            </w:pPr>
            <w:r>
              <w:rPr>
                <w:rFonts w:hint="eastAsia" w:ascii="仿宋" w:hAnsi="仿宋" w:eastAsia="仿宋" w:cs="仿宋"/>
                <w:color w:val="000000"/>
              </w:rPr>
              <w:t>技术路径</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hint="eastAsia" w:ascii="仿宋" w:hAnsi="仿宋" w:eastAsia="仿宋" w:cs="仿宋"/>
                <w:color w:val="000000"/>
                <w:szCs w:val="21"/>
              </w:rPr>
            </w:pPr>
            <w:r>
              <w:rPr>
                <w:rFonts w:hint="eastAsia" w:ascii="仿宋" w:hAnsi="仿宋" w:eastAsia="仿宋" w:cs="仿宋"/>
                <w:color w:val="000000"/>
              </w:rPr>
              <w:t>技术路径符合国家相关编制技术指南，</w:t>
            </w:r>
            <w:r>
              <w:rPr>
                <w:rFonts w:hint="eastAsia" w:ascii="仿宋" w:hAnsi="仿宋" w:eastAsia="仿宋" w:cs="仿宋"/>
                <w:color w:val="000000"/>
                <w:lang w:val="zh-CN"/>
              </w:rPr>
              <w:t>优秀的得</w:t>
            </w:r>
            <w:r>
              <w:rPr>
                <w:rFonts w:hint="eastAsia" w:ascii="仿宋" w:hAnsi="仿宋" w:eastAsia="仿宋" w:cs="仿宋"/>
                <w:color w:val="000000"/>
                <w:lang w:val="en-US" w:eastAsia="zh-CN"/>
              </w:rPr>
              <w:t>10</w:t>
            </w:r>
            <w:r>
              <w:rPr>
                <w:rFonts w:hint="eastAsia" w:ascii="仿宋" w:hAnsi="仿宋" w:eastAsia="仿宋" w:cs="仿宋"/>
                <w:color w:val="000000"/>
                <w:lang w:val="zh-CN"/>
              </w:rPr>
              <w:t>分，熟悉程度</w:t>
            </w:r>
            <w:r>
              <w:rPr>
                <w:rFonts w:hint="eastAsia" w:ascii="仿宋" w:hAnsi="仿宋" w:eastAsia="仿宋" w:cs="仿宋"/>
                <w:color w:val="000000"/>
              </w:rPr>
              <w:t>良好的</w:t>
            </w:r>
            <w:r>
              <w:rPr>
                <w:rFonts w:hint="eastAsia" w:ascii="仿宋" w:hAnsi="仿宋" w:eastAsia="仿宋" w:cs="仿宋"/>
                <w:color w:val="000000"/>
                <w:lang w:val="zh-CN"/>
              </w:rPr>
              <w:t>得</w:t>
            </w:r>
            <w:r>
              <w:rPr>
                <w:rFonts w:hint="eastAsia" w:ascii="仿宋" w:hAnsi="仿宋" w:eastAsia="仿宋" w:cs="仿宋"/>
                <w:color w:val="000000"/>
                <w:lang w:val="en-US" w:eastAsia="zh-CN"/>
              </w:rPr>
              <w:t>6</w:t>
            </w:r>
            <w:r>
              <w:rPr>
                <w:rFonts w:hint="eastAsia" w:ascii="仿宋" w:hAnsi="仿宋" w:eastAsia="仿宋" w:cs="仿宋"/>
                <w:color w:val="000000"/>
                <w:lang w:val="zh-CN"/>
              </w:rPr>
              <w:t>分，</w:t>
            </w:r>
            <w:r>
              <w:rPr>
                <w:rFonts w:hint="eastAsia" w:ascii="仿宋" w:hAnsi="仿宋" w:eastAsia="仿宋" w:cs="仿宋"/>
                <w:color w:val="000000"/>
              </w:rPr>
              <w:t>一般</w:t>
            </w:r>
            <w:r>
              <w:rPr>
                <w:rFonts w:hint="eastAsia" w:ascii="仿宋" w:hAnsi="仿宋" w:eastAsia="仿宋" w:cs="仿宋"/>
                <w:color w:val="000000"/>
                <w:lang w:val="zh-CN"/>
              </w:rPr>
              <w:t>的得</w:t>
            </w:r>
            <w:r>
              <w:rPr>
                <w:rFonts w:hint="eastAsia" w:ascii="仿宋" w:hAnsi="仿宋" w:eastAsia="仿宋" w:cs="仿宋"/>
                <w:color w:val="000000"/>
                <w:lang w:val="en-US" w:eastAsia="zh-CN"/>
              </w:rPr>
              <w:t>3</w:t>
            </w:r>
            <w:r>
              <w:rPr>
                <w:rFonts w:hint="eastAsia" w:ascii="仿宋" w:hAnsi="仿宋" w:eastAsia="仿宋" w:cs="仿宋"/>
                <w:color w:val="000000"/>
                <w:lang w:val="zh-CN"/>
              </w:rPr>
              <w:t>分，</w:t>
            </w:r>
            <w:r>
              <w:rPr>
                <w:rFonts w:hint="eastAsia" w:ascii="仿宋" w:hAnsi="仿宋" w:eastAsia="仿宋" w:cs="仿宋"/>
                <w:color w:val="000000"/>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rPr>
            </w:pPr>
            <w:r>
              <w:rPr>
                <w:rFonts w:hint="eastAsia" w:ascii="仿宋" w:hAnsi="仿宋" w:eastAsia="仿宋" w:cs="仿宋"/>
                <w:color w:val="000000"/>
              </w:rPr>
              <w:t>基础</w:t>
            </w:r>
            <w:r>
              <w:rPr>
                <w:rFonts w:hint="eastAsia" w:ascii="仿宋" w:hAnsi="仿宋" w:eastAsia="仿宋" w:cs="仿宋"/>
                <w:color w:val="000000"/>
                <w:lang w:val="zh-CN"/>
              </w:rPr>
              <w:t>研究</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hd w:val="clear" w:color="auto" w:fill="FFFFFF"/>
                <w:lang w:val="en-US" w:eastAsia="zh-CN"/>
              </w:rPr>
              <w:t>15</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Cs w:val="21"/>
              </w:rPr>
            </w:pPr>
            <w:r>
              <w:rPr>
                <w:rFonts w:hint="eastAsia" w:ascii="仿宋" w:hAnsi="仿宋" w:eastAsia="仿宋" w:cs="仿宋"/>
                <w:color w:val="000000"/>
              </w:rPr>
              <w:t>整个规划基础方案中，对现状情况了解，对地域空间格局和项目情况摸排清楚，进</w:t>
            </w:r>
            <w:r>
              <w:rPr>
                <w:rFonts w:hint="eastAsia" w:ascii="仿宋" w:hAnsi="仿宋" w:eastAsia="仿宋" w:cs="仿宋"/>
                <w:color w:val="000000"/>
                <w:lang w:val="zh-CN"/>
              </w:rPr>
              <w:t>行评判优秀的得</w:t>
            </w:r>
            <w:r>
              <w:rPr>
                <w:rFonts w:hint="eastAsia" w:ascii="仿宋" w:hAnsi="仿宋" w:eastAsia="仿宋" w:cs="仿宋"/>
                <w:color w:val="000000"/>
                <w:lang w:val="en-US" w:eastAsia="zh-CN"/>
              </w:rPr>
              <w:t>15</w:t>
            </w:r>
            <w:r>
              <w:rPr>
                <w:rFonts w:hint="eastAsia" w:ascii="仿宋" w:hAnsi="仿宋" w:eastAsia="仿宋" w:cs="仿宋"/>
                <w:color w:val="000000"/>
                <w:lang w:val="zh-CN"/>
              </w:rPr>
              <w:t>分，</w:t>
            </w:r>
            <w:r>
              <w:rPr>
                <w:rFonts w:hint="eastAsia" w:ascii="仿宋" w:hAnsi="仿宋" w:eastAsia="仿宋" w:cs="仿宋"/>
                <w:color w:val="000000"/>
              </w:rPr>
              <w:t>良好</w:t>
            </w:r>
            <w:r>
              <w:rPr>
                <w:rFonts w:hint="eastAsia" w:ascii="仿宋" w:hAnsi="仿宋" w:eastAsia="仿宋" w:cs="仿宋"/>
                <w:color w:val="000000"/>
                <w:lang w:val="zh-CN"/>
              </w:rPr>
              <w:t>的得</w:t>
            </w:r>
            <w:r>
              <w:rPr>
                <w:rFonts w:hint="eastAsia" w:ascii="仿宋" w:hAnsi="仿宋" w:eastAsia="仿宋" w:cs="仿宋"/>
                <w:color w:val="000000"/>
                <w:lang w:val="en-US" w:eastAsia="zh-CN"/>
              </w:rPr>
              <w:t>10</w:t>
            </w:r>
            <w:r>
              <w:rPr>
                <w:rFonts w:hint="eastAsia" w:ascii="仿宋" w:hAnsi="仿宋" w:eastAsia="仿宋" w:cs="仿宋"/>
                <w:color w:val="000000"/>
                <w:lang w:val="zh-CN"/>
              </w:rPr>
              <w:t>分，</w:t>
            </w:r>
            <w:r>
              <w:rPr>
                <w:rFonts w:hint="eastAsia" w:ascii="仿宋" w:hAnsi="仿宋" w:eastAsia="仿宋" w:cs="仿宋"/>
                <w:color w:val="000000"/>
              </w:rPr>
              <w:t>一般</w:t>
            </w:r>
            <w:r>
              <w:rPr>
                <w:rFonts w:hint="eastAsia" w:ascii="仿宋" w:hAnsi="仿宋" w:eastAsia="仿宋" w:cs="仿宋"/>
                <w:color w:val="000000"/>
                <w:lang w:val="zh-CN"/>
              </w:rPr>
              <w:t>的得</w:t>
            </w:r>
            <w:r>
              <w:rPr>
                <w:rFonts w:hint="eastAsia" w:ascii="仿宋" w:hAnsi="仿宋" w:eastAsia="仿宋" w:cs="仿宋"/>
                <w:color w:val="000000"/>
                <w:lang w:val="en-US" w:eastAsia="zh-CN"/>
              </w:rPr>
              <w:t>5</w:t>
            </w:r>
            <w:r>
              <w:rPr>
                <w:rFonts w:hint="eastAsia" w:ascii="仿宋" w:hAnsi="仿宋" w:eastAsia="仿宋" w:cs="仿宋"/>
                <w:color w:val="000000"/>
                <w:lang w:val="zh-CN"/>
              </w:rPr>
              <w:t>分，</w:t>
            </w:r>
            <w:r>
              <w:rPr>
                <w:rFonts w:hint="eastAsia" w:ascii="仿宋" w:hAnsi="仿宋" w:eastAsia="仿宋" w:cs="仿宋"/>
                <w:color w:val="000000"/>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rPr>
            </w:pPr>
            <w:r>
              <w:rPr>
                <w:rFonts w:hint="eastAsia" w:ascii="仿宋" w:hAnsi="仿宋" w:eastAsia="仿宋" w:cs="仿宋"/>
                <w:color w:val="000000"/>
                <w:lang w:val="zh-CN"/>
              </w:rPr>
              <w:t>质量和进度保证措施</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hd w:val="clear" w:color="auto" w:fill="FFFFFF"/>
                <w:lang w:val="en-US" w:eastAsia="zh-CN"/>
              </w:rPr>
              <w:t>5</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lang w:val="zh-CN"/>
              </w:rPr>
              <w:t>对本项目有明确的质量和进度保证计划、措施可靠且针对性强，根据其措施的可行性、合理性、全面性优秀的得</w:t>
            </w:r>
            <w:r>
              <w:rPr>
                <w:rFonts w:hint="eastAsia" w:ascii="仿宋" w:hAnsi="仿宋" w:eastAsia="仿宋" w:cs="仿宋"/>
                <w:color w:val="000000"/>
                <w:lang w:val="en-US" w:eastAsia="zh-CN"/>
              </w:rPr>
              <w:t>5</w:t>
            </w:r>
            <w:r>
              <w:rPr>
                <w:rFonts w:hint="eastAsia" w:ascii="仿宋" w:hAnsi="仿宋" w:eastAsia="仿宋" w:cs="仿宋"/>
                <w:color w:val="000000"/>
                <w:lang w:val="zh-CN"/>
              </w:rPr>
              <w:t>分，</w:t>
            </w:r>
            <w:r>
              <w:rPr>
                <w:rFonts w:hint="eastAsia" w:ascii="仿宋" w:hAnsi="仿宋" w:eastAsia="仿宋" w:cs="仿宋"/>
                <w:color w:val="000000"/>
              </w:rPr>
              <w:t>良好</w:t>
            </w:r>
            <w:r>
              <w:rPr>
                <w:rFonts w:hint="eastAsia" w:ascii="仿宋" w:hAnsi="仿宋" w:eastAsia="仿宋" w:cs="仿宋"/>
                <w:color w:val="000000"/>
                <w:lang w:val="zh-CN"/>
              </w:rPr>
              <w:t>的得</w:t>
            </w:r>
            <w:r>
              <w:rPr>
                <w:rFonts w:hint="eastAsia" w:ascii="仿宋" w:hAnsi="仿宋" w:eastAsia="仿宋" w:cs="仿宋"/>
                <w:color w:val="000000"/>
                <w:lang w:val="en-US" w:eastAsia="zh-CN"/>
              </w:rPr>
              <w:t>3</w:t>
            </w:r>
            <w:r>
              <w:rPr>
                <w:rFonts w:hint="eastAsia" w:ascii="仿宋" w:hAnsi="仿宋" w:eastAsia="仿宋" w:cs="仿宋"/>
                <w:color w:val="000000"/>
                <w:lang w:val="zh-CN"/>
              </w:rPr>
              <w:t>分，</w:t>
            </w:r>
            <w:r>
              <w:rPr>
                <w:rFonts w:hint="eastAsia" w:ascii="仿宋" w:hAnsi="仿宋" w:eastAsia="仿宋" w:cs="仿宋"/>
                <w:color w:val="000000"/>
              </w:rPr>
              <w:t>一般</w:t>
            </w:r>
            <w:r>
              <w:rPr>
                <w:rFonts w:hint="eastAsia" w:ascii="仿宋" w:hAnsi="仿宋" w:eastAsia="仿宋" w:cs="仿宋"/>
                <w:color w:val="000000"/>
                <w:lang w:val="zh-CN"/>
              </w:rPr>
              <w:t>的得</w:t>
            </w:r>
            <w:r>
              <w:rPr>
                <w:rFonts w:hint="eastAsia" w:ascii="仿宋" w:hAnsi="仿宋" w:eastAsia="仿宋" w:cs="仿宋"/>
                <w:color w:val="000000"/>
                <w:lang w:val="en-US" w:eastAsia="zh-CN"/>
              </w:rPr>
              <w:t>1</w:t>
            </w:r>
            <w:r>
              <w:rPr>
                <w:rFonts w:hint="eastAsia" w:ascii="仿宋" w:hAnsi="仿宋" w:eastAsia="仿宋" w:cs="仿宋"/>
                <w:color w:val="000000"/>
                <w:lang w:val="zh-CN"/>
              </w:rPr>
              <w:t>分，</w:t>
            </w:r>
            <w:r>
              <w:rPr>
                <w:rFonts w:hint="eastAsia" w:ascii="仿宋" w:hAnsi="仿宋" w:eastAsia="仿宋" w:cs="仿宋"/>
                <w:color w:val="000000"/>
              </w:rPr>
              <w:t>差的不得分。</w:t>
            </w:r>
            <w:bookmarkStart w:id="567" w:name="_GoBack"/>
            <w:bookmarkEnd w:id="5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4" w:type="dxa"/>
            <w:vMerge w:val="continue"/>
            <w:tcBorders>
              <w:left w:val="single" w:color="auto" w:sz="4" w:space="0"/>
              <w:right w:val="single" w:color="auto" w:sz="4" w:space="0"/>
            </w:tcBorders>
            <w:noWrap w:val="0"/>
            <w:vAlign w:val="center"/>
          </w:tcPr>
          <w:p>
            <w:pPr>
              <w:spacing w:line="300" w:lineRule="exact"/>
              <w:ind w:left="105" w:hanging="105"/>
              <w:rPr>
                <w:rFonts w:hint="eastAsia" w:ascii="仿宋" w:hAnsi="仿宋" w:eastAsia="仿宋" w:cs="仿宋"/>
                <w:color w:val="000000"/>
                <w:szCs w:val="21"/>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zCs w:val="21"/>
              </w:rPr>
            </w:pPr>
            <w:r>
              <w:rPr>
                <w:rFonts w:hint="eastAsia" w:ascii="仿宋" w:hAnsi="仿宋" w:eastAsia="仿宋" w:cs="仿宋"/>
                <w:color w:val="000000"/>
              </w:rPr>
              <w:t>成果内容</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kern w:val="0"/>
                <w:szCs w:val="21"/>
              </w:rPr>
            </w:pPr>
            <w:r>
              <w:rPr>
                <w:rFonts w:hint="eastAsia" w:ascii="仿宋" w:hAnsi="仿宋" w:eastAsia="仿宋" w:cs="仿宋"/>
                <w:color w:val="000000"/>
                <w:shd w:val="clear" w:color="auto" w:fill="FFFFFF"/>
              </w:rPr>
              <w:t>5</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pStyle w:val="94"/>
              <w:spacing w:line="360" w:lineRule="auto"/>
              <w:rPr>
                <w:rFonts w:hint="eastAsia" w:ascii="仿宋" w:hAnsi="仿宋" w:eastAsia="仿宋" w:cs="仿宋"/>
                <w:color w:val="000000"/>
                <w:kern w:val="2"/>
                <w:szCs w:val="21"/>
              </w:rPr>
            </w:pPr>
            <w:r>
              <w:rPr>
                <w:rFonts w:hint="eastAsia" w:ascii="仿宋" w:hAnsi="仿宋" w:eastAsia="仿宋" w:cs="仿宋"/>
                <w:color w:val="000000"/>
                <w:kern w:val="2"/>
                <w:lang w:val="en-US" w:bidi="ar-SA"/>
              </w:rPr>
              <w:t>技术文件中成果内容满足国土空间规划要求，优秀的得5分，良好的得3分，一般的得</w:t>
            </w:r>
            <w:r>
              <w:rPr>
                <w:rFonts w:hint="eastAsia" w:ascii="仿宋" w:hAnsi="仿宋" w:eastAsia="仿宋" w:cs="仿宋"/>
                <w:color w:val="000000"/>
                <w:kern w:val="2"/>
                <w:lang w:val="en-US" w:eastAsia="zh-CN" w:bidi="ar-SA"/>
              </w:rPr>
              <w:t>1</w:t>
            </w:r>
            <w:r>
              <w:rPr>
                <w:rFonts w:hint="eastAsia" w:ascii="仿宋" w:hAnsi="仿宋" w:eastAsia="仿宋" w:cs="仿宋"/>
                <w:color w:val="000000"/>
                <w:kern w:val="2"/>
                <w:lang w:val="en-US" w:bidi="ar-SA"/>
              </w:rPr>
              <w:t>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74"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color w:val="000000"/>
                <w:shd w:val="clear" w:color="auto" w:fill="FFFFFF"/>
                <w:lang w:val="zh-CN"/>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hd w:val="clear" w:color="auto" w:fill="FFFFFF"/>
                <w:lang w:val="zh-CN"/>
              </w:rPr>
            </w:pPr>
            <w:r>
              <w:rPr>
                <w:rFonts w:hint="eastAsia" w:ascii="仿宋" w:hAnsi="仿宋" w:eastAsia="仿宋" w:cs="仿宋"/>
                <w:color w:val="000000"/>
                <w:lang w:val="zh-CN"/>
              </w:rPr>
              <w:t>售后服务计划及服务承诺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jc w:val="center"/>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5</w:t>
            </w:r>
          </w:p>
        </w:tc>
        <w:tc>
          <w:tcPr>
            <w:tcW w:w="68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color w:val="000000"/>
                <w:lang w:val="zh-CN"/>
              </w:rPr>
            </w:pPr>
            <w:r>
              <w:rPr>
                <w:rFonts w:hint="eastAsia" w:ascii="仿宋" w:hAnsi="仿宋" w:eastAsia="仿宋" w:cs="仿宋"/>
                <w:color w:val="000000"/>
                <w:lang w:val="zh-CN"/>
              </w:rPr>
              <w:t>针对该项目须有详细的组织、配合、验收、售后等方面的服务能力相关承诺。所述内容响应招标文件要求优秀的得5分，</w:t>
            </w:r>
            <w:r>
              <w:rPr>
                <w:rFonts w:hint="eastAsia" w:ascii="仿宋" w:hAnsi="仿宋" w:eastAsia="仿宋" w:cs="仿宋"/>
                <w:color w:val="000000"/>
              </w:rPr>
              <w:t>良好</w:t>
            </w:r>
            <w:r>
              <w:rPr>
                <w:rFonts w:hint="eastAsia" w:ascii="仿宋" w:hAnsi="仿宋" w:eastAsia="仿宋" w:cs="仿宋"/>
                <w:color w:val="000000"/>
                <w:lang w:val="zh-CN"/>
              </w:rPr>
              <w:t>的得3分，</w:t>
            </w:r>
            <w:r>
              <w:rPr>
                <w:rFonts w:hint="eastAsia" w:ascii="仿宋" w:hAnsi="仿宋" w:eastAsia="仿宋" w:cs="仿宋"/>
                <w:color w:val="000000"/>
              </w:rPr>
              <w:t>一般</w:t>
            </w:r>
            <w:r>
              <w:rPr>
                <w:rFonts w:hint="eastAsia" w:ascii="仿宋" w:hAnsi="仿宋" w:eastAsia="仿宋" w:cs="仿宋"/>
                <w:color w:val="000000"/>
                <w:lang w:val="zh-CN"/>
              </w:rPr>
              <w:t>的得1分，</w:t>
            </w:r>
            <w:r>
              <w:rPr>
                <w:rFonts w:hint="eastAsia" w:ascii="仿宋" w:hAnsi="仿宋" w:eastAsia="仿宋" w:cs="仿宋"/>
                <w:color w:val="000000"/>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7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color w:val="000000"/>
                <w:lang w:val="zh-CN"/>
              </w:rPr>
            </w:pPr>
            <w:r>
              <w:rPr>
                <w:rFonts w:hint="eastAsia" w:ascii="仿宋" w:hAnsi="仿宋" w:eastAsia="仿宋" w:cs="仿宋"/>
                <w:b/>
                <w:bCs/>
                <w:color w:val="000000"/>
                <w:kern w:val="0"/>
                <w:lang w:val="zh-CN"/>
              </w:rPr>
              <w:t>评分办法中评审标准设定如下：</w:t>
            </w:r>
          </w:p>
          <w:p>
            <w:pPr>
              <w:adjustRightInd w:val="0"/>
              <w:snapToGrid w:val="0"/>
              <w:spacing w:line="360" w:lineRule="auto"/>
              <w:rPr>
                <w:rFonts w:hint="eastAsia" w:ascii="仿宋" w:hAnsi="仿宋" w:eastAsia="仿宋" w:cs="仿宋"/>
                <w:color w:val="000000"/>
                <w:kern w:val="0"/>
                <w:lang w:val="zh-CN"/>
              </w:rPr>
            </w:pPr>
            <w:r>
              <w:rPr>
                <w:rFonts w:hint="eastAsia" w:ascii="仿宋" w:hAnsi="仿宋" w:eastAsia="仿宋" w:cs="仿宋"/>
                <w:b/>
                <w:bCs/>
                <w:color w:val="000000"/>
                <w:kern w:val="0"/>
                <w:lang w:val="zh-CN"/>
              </w:rPr>
              <w:t>优秀：</w:t>
            </w:r>
            <w:r>
              <w:rPr>
                <w:rFonts w:hint="eastAsia" w:ascii="仿宋" w:hAnsi="仿宋" w:eastAsia="仿宋" w:cs="仿宋"/>
                <w:color w:val="000000"/>
                <w:kern w:val="0"/>
                <w:lang w:val="zh-CN"/>
              </w:rPr>
              <w:t>内容详实，方案科学、合理、安全，考虑周全，措施到位，针对性强，完全能够满足招标项目的需要。</w:t>
            </w:r>
          </w:p>
          <w:p>
            <w:pPr>
              <w:adjustRightInd w:val="0"/>
              <w:snapToGrid w:val="0"/>
              <w:spacing w:line="360" w:lineRule="auto"/>
              <w:rPr>
                <w:rFonts w:hint="eastAsia" w:ascii="仿宋" w:hAnsi="仿宋" w:eastAsia="仿宋" w:cs="仿宋"/>
                <w:color w:val="000000"/>
                <w:kern w:val="0"/>
                <w:lang w:val="zh-CN"/>
              </w:rPr>
            </w:pPr>
            <w:r>
              <w:rPr>
                <w:rFonts w:hint="eastAsia" w:ascii="仿宋" w:hAnsi="仿宋" w:eastAsia="仿宋" w:cs="仿宋"/>
                <w:b/>
                <w:bCs/>
                <w:color w:val="000000"/>
                <w:kern w:val="0"/>
                <w:lang w:val="zh-CN"/>
              </w:rPr>
              <w:t>良好：</w:t>
            </w:r>
            <w:r>
              <w:rPr>
                <w:rFonts w:hint="eastAsia" w:ascii="仿宋" w:hAnsi="仿宋" w:eastAsia="仿宋" w:cs="仿宋"/>
                <w:color w:val="000000"/>
                <w:kern w:val="0"/>
                <w:lang w:val="zh-CN"/>
              </w:rPr>
              <w:t>内容完整，方案基本科学、合理、安全，基本考虑周全，措施基本到位，针对性较强，可以满足招标项目的需要，但有个别细节需要进一步完善或提高</w:t>
            </w:r>
          </w:p>
          <w:p>
            <w:pPr>
              <w:adjustRightInd w:val="0"/>
              <w:snapToGrid w:val="0"/>
              <w:spacing w:line="360" w:lineRule="auto"/>
              <w:rPr>
                <w:rFonts w:hint="eastAsia" w:ascii="仿宋" w:hAnsi="仿宋" w:eastAsia="仿宋" w:cs="仿宋"/>
                <w:color w:val="000000"/>
                <w:kern w:val="0"/>
                <w:lang w:val="zh-CN"/>
              </w:rPr>
            </w:pPr>
            <w:r>
              <w:rPr>
                <w:rFonts w:hint="eastAsia" w:ascii="仿宋" w:hAnsi="仿宋" w:eastAsia="仿宋" w:cs="仿宋"/>
                <w:b/>
                <w:bCs/>
                <w:color w:val="000000"/>
                <w:kern w:val="0"/>
                <w:lang w:val="zh-CN"/>
              </w:rPr>
              <w:t>一般：</w:t>
            </w:r>
            <w:r>
              <w:rPr>
                <w:rFonts w:hint="eastAsia" w:ascii="仿宋" w:hAnsi="仿宋" w:eastAsia="仿宋" w:cs="仿宋"/>
                <w:color w:val="000000"/>
                <w:kern w:val="0"/>
                <w:lang w:val="zh-CN"/>
              </w:rPr>
              <w:t>内容基本完整，方案在科学、合理、安全性方面一般，基本考虑不周，措施不够到位， 针对性不强，虽然能够基本满足招标项目的需要，但有很多方面需要进一步完善。</w:t>
            </w:r>
          </w:p>
          <w:p>
            <w:pPr>
              <w:spacing w:line="400" w:lineRule="exact"/>
              <w:rPr>
                <w:rFonts w:hint="eastAsia" w:ascii="仿宋" w:hAnsi="仿宋" w:eastAsia="仿宋" w:cs="仿宋"/>
                <w:color w:val="000000"/>
                <w:kern w:val="0"/>
                <w:lang w:val="zh-CN"/>
              </w:rPr>
            </w:pPr>
            <w:r>
              <w:rPr>
                <w:rFonts w:hint="eastAsia" w:ascii="仿宋" w:hAnsi="仿宋" w:eastAsia="仿宋" w:cs="仿宋"/>
                <w:b/>
                <w:bCs/>
                <w:color w:val="000000"/>
                <w:kern w:val="0"/>
                <w:lang w:val="zh-CN"/>
              </w:rPr>
              <w:t>差的：</w:t>
            </w:r>
            <w:r>
              <w:rPr>
                <w:rFonts w:hint="eastAsia" w:ascii="仿宋" w:hAnsi="仿宋" w:eastAsia="仿宋" w:cs="仿宋"/>
                <w:color w:val="000000"/>
                <w:kern w:val="0"/>
                <w:lang w:val="zh-CN"/>
              </w:rPr>
              <w:t>内容不完整，方案在科学、合理、安全性方面不全，基本考虑不周，措施不够到位， 针对性不强，不能满足招标项目的需要，很多方面需要进一步完善甚至重新考虑。</w:t>
            </w:r>
          </w:p>
        </w:tc>
      </w:tr>
    </w:tbl>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pStyle w:val="16"/>
        <w:ind w:right="-195"/>
        <w:jc w:val="center"/>
        <w:rPr>
          <w:rFonts w:hint="eastAsia" w:hAnsi="宋体" w:cs="宋体"/>
          <w:color w:val="000000"/>
          <w:kern w:val="0"/>
          <w:sz w:val="32"/>
          <w:szCs w:val="32"/>
          <w:highlight w:val="none"/>
        </w:rPr>
      </w:pPr>
    </w:p>
    <w:p>
      <w:pPr>
        <w:spacing w:line="240" w:lineRule="atLeast"/>
        <w:ind w:left="1080" w:leftChars="257" w:hanging="540"/>
        <w:jc w:val="center"/>
        <w:rPr>
          <w:rFonts w:hint="eastAsia" w:ascii="宋体" w:hAnsi="宋体" w:cs="宋体"/>
          <w:b/>
          <w:color w:val="000000"/>
          <w:sz w:val="48"/>
          <w:szCs w:val="48"/>
          <w:highlight w:val="none"/>
        </w:rPr>
      </w:pPr>
      <w:bookmarkStart w:id="380" w:name="_Toc507399904"/>
    </w:p>
    <w:p>
      <w:pPr>
        <w:pStyle w:val="26"/>
        <w:rPr>
          <w:rFonts w:hint="eastAsia" w:ascii="宋体" w:hAnsi="宋体" w:cs="宋体"/>
          <w:b/>
          <w:color w:val="000000"/>
          <w:sz w:val="48"/>
          <w:szCs w:val="48"/>
          <w:highlight w:val="none"/>
        </w:rPr>
      </w:pPr>
    </w:p>
    <w:p>
      <w:pPr>
        <w:pStyle w:val="9"/>
        <w:rPr>
          <w:rFonts w:hint="eastAsia" w:ascii="宋体" w:hAnsi="宋体" w:cs="宋体"/>
          <w:b/>
          <w:color w:val="000000"/>
          <w:sz w:val="48"/>
          <w:szCs w:val="48"/>
          <w:highlight w:val="none"/>
        </w:rPr>
      </w:pPr>
    </w:p>
    <w:p>
      <w:pPr>
        <w:pStyle w:val="37"/>
        <w:rPr>
          <w:rFonts w:hint="eastAsia" w:ascii="宋体" w:hAnsi="宋体" w:cs="宋体"/>
          <w:b/>
          <w:color w:val="000000"/>
          <w:sz w:val="48"/>
          <w:szCs w:val="48"/>
          <w:highlight w:val="none"/>
        </w:rPr>
      </w:pPr>
    </w:p>
    <w:p>
      <w:pPr>
        <w:rPr>
          <w:rFonts w:hint="eastAsia"/>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宋体" w:hAnsi="宋体" w:cs="宋体"/>
          <w:b/>
          <w:color w:val="000000"/>
          <w:sz w:val="48"/>
          <w:szCs w:val="48"/>
          <w:highlight w:val="none"/>
        </w:rPr>
      </w:pPr>
    </w:p>
    <w:p>
      <w:pPr>
        <w:spacing w:line="240" w:lineRule="atLeast"/>
        <w:ind w:left="1080" w:leftChars="257" w:hanging="54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第三册</w:t>
      </w: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p>
    <w:p>
      <w:pPr>
        <w:spacing w:line="240" w:lineRule="atLeast"/>
        <w:ind w:left="1080" w:leftChars="257" w:hanging="540"/>
        <w:jc w:val="center"/>
        <w:rPr>
          <w:rFonts w:hint="eastAsia" w:ascii="宋体" w:hAnsi="宋体" w:cs="宋体"/>
          <w:b/>
          <w:color w:val="000000"/>
          <w:sz w:val="52"/>
          <w:highlight w:val="none"/>
        </w:rPr>
      </w:pPr>
      <w:r>
        <w:rPr>
          <w:rFonts w:hint="eastAsia" w:ascii="宋体" w:hAnsi="宋体" w:cs="宋体"/>
          <w:b/>
          <w:color w:val="000000"/>
          <w:sz w:val="52"/>
          <w:highlight w:val="none"/>
        </w:rPr>
        <w:t xml:space="preserve">  </w:t>
      </w:r>
    </w:p>
    <w:p>
      <w:pPr>
        <w:spacing w:line="240" w:lineRule="atLeast"/>
        <w:ind w:left="1080" w:leftChars="257" w:hanging="540"/>
        <w:rPr>
          <w:rFonts w:hint="eastAsia" w:ascii="宋体" w:hAnsi="宋体" w:cs="宋体"/>
          <w:b/>
          <w:color w:val="000000"/>
          <w:szCs w:val="21"/>
          <w:highlight w:val="none"/>
        </w:rPr>
      </w:pPr>
    </w:p>
    <w:p>
      <w:pPr>
        <w:rPr>
          <w:rFonts w:hint="eastAsia" w:ascii="仿宋" w:hAnsi="仿宋" w:eastAsia="仿宋" w:cs="仿宋"/>
          <w:color w:val="000000"/>
          <w:highlight w:val="none"/>
        </w:rPr>
      </w:pPr>
      <w:r>
        <w:rPr>
          <w:rFonts w:hint="eastAsia" w:ascii="宋体" w:hAnsi="宋体" w:cs="宋体"/>
          <w:b/>
          <w:color w:val="000000"/>
          <w:sz w:val="52"/>
          <w:highlight w:val="none"/>
        </w:rPr>
        <w:br w:type="page"/>
      </w:r>
    </w:p>
    <w:p>
      <w:pPr>
        <w:pStyle w:val="3"/>
        <w:tabs>
          <w:tab w:val="left" w:pos="0"/>
        </w:tabs>
        <w:spacing w:before="0" w:after="0" w:line="240" w:lineRule="atLeast"/>
        <w:ind w:left="-15"/>
        <w:rPr>
          <w:rFonts w:hint="eastAsia" w:ascii="仿宋" w:hAnsi="仿宋" w:eastAsia="仿宋" w:cs="仿宋"/>
          <w:color w:val="000000"/>
          <w:highlight w:val="none"/>
        </w:rPr>
      </w:pPr>
      <w:bookmarkStart w:id="381" w:name="_Toc6865"/>
      <w:bookmarkStart w:id="382" w:name="_Toc4337"/>
      <w:bookmarkStart w:id="383" w:name="_Toc4796"/>
      <w:bookmarkStart w:id="384" w:name="_Toc515647833"/>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章 政府采购合同</w:t>
      </w:r>
      <w:bookmarkEnd w:id="380"/>
      <w:bookmarkEnd w:id="381"/>
      <w:bookmarkEnd w:id="382"/>
      <w:bookmarkEnd w:id="383"/>
      <w:bookmarkEnd w:id="384"/>
      <w:bookmarkStart w:id="385" w:name="_Hlt487972895"/>
      <w:bookmarkEnd w:id="385"/>
      <w:bookmarkStart w:id="386" w:name="_Toc487900382"/>
      <w:bookmarkStart w:id="387" w:name="_Toc216513788"/>
    </w:p>
    <w:bookmarkEnd w:id="386"/>
    <w:bookmarkEnd w:id="387"/>
    <w:p>
      <w:pPr>
        <w:spacing w:line="240" w:lineRule="atLeast"/>
        <w:rPr>
          <w:rFonts w:hint="eastAsia" w:ascii="仿宋" w:hAnsi="仿宋" w:eastAsia="仿宋" w:cs="仿宋"/>
          <w:b/>
          <w:color w:val="000000"/>
          <w:kern w:val="44"/>
          <w:sz w:val="32"/>
          <w:szCs w:val="20"/>
          <w:highlight w:val="none"/>
        </w:rPr>
      </w:pPr>
    </w:p>
    <w:p>
      <w:pPr>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合同编号：</w:t>
      </w:r>
      <w:r>
        <w:rPr>
          <w:rFonts w:hint="eastAsia" w:ascii="仿宋" w:hAnsi="仿宋" w:eastAsia="仿宋" w:cs="仿宋"/>
          <w:color w:val="000000"/>
          <w:sz w:val="22"/>
          <w:szCs w:val="22"/>
          <w:highlight w:val="none"/>
          <w:u w:val="single"/>
        </w:rPr>
        <w:t xml:space="preserve">           </w:t>
      </w:r>
    </w:p>
    <w:p>
      <w:pPr>
        <w:pStyle w:val="6"/>
        <w:rPr>
          <w:rFonts w:hint="eastAsia" w:ascii="仿宋" w:hAnsi="仿宋" w:eastAsia="仿宋" w:cs="仿宋"/>
          <w:color w:val="000000"/>
          <w:sz w:val="22"/>
          <w:szCs w:val="18"/>
          <w:highlight w:val="none"/>
        </w:rPr>
      </w:pPr>
    </w:p>
    <w:p>
      <w:pPr>
        <w:spacing w:line="360" w:lineRule="auto"/>
        <w:jc w:val="center"/>
        <w:rPr>
          <w:rFonts w:hint="eastAsia" w:ascii="仿宋" w:hAnsi="仿宋" w:eastAsia="仿宋" w:cs="仿宋"/>
          <w:b/>
          <w:color w:val="000000"/>
          <w:sz w:val="40"/>
          <w:szCs w:val="40"/>
          <w:highlight w:val="none"/>
        </w:rPr>
      </w:pPr>
      <w:r>
        <w:rPr>
          <w:rFonts w:hint="eastAsia" w:ascii="仿宋" w:hAnsi="仿宋" w:eastAsia="仿宋" w:cs="仿宋"/>
          <w:b/>
          <w:color w:val="000000"/>
          <w:sz w:val="40"/>
          <w:szCs w:val="40"/>
          <w:highlight w:val="none"/>
        </w:rPr>
        <w:t>政府采购合同参考范本</w:t>
      </w:r>
    </w:p>
    <w:p>
      <w:pPr>
        <w:spacing w:line="360" w:lineRule="auto"/>
        <w:jc w:val="center"/>
        <w:rPr>
          <w:rFonts w:hint="eastAsia" w:ascii="仿宋" w:hAnsi="仿宋" w:eastAsia="仿宋" w:cs="仿宋"/>
          <w:b/>
          <w:color w:val="000000"/>
          <w:sz w:val="22"/>
          <w:szCs w:val="22"/>
          <w:highlight w:val="none"/>
        </w:rPr>
      </w:pPr>
      <w:r>
        <w:rPr>
          <w:rFonts w:hint="eastAsia" w:ascii="仿宋" w:hAnsi="仿宋" w:eastAsia="仿宋" w:cs="仿宋"/>
          <w:b/>
          <w:color w:val="000000"/>
          <w:sz w:val="22"/>
          <w:szCs w:val="22"/>
          <w:highlight w:val="none"/>
        </w:rPr>
        <w:t>（服务类）</w:t>
      </w:r>
    </w:p>
    <w:p>
      <w:pPr>
        <w:pStyle w:val="64"/>
        <w:spacing w:line="360" w:lineRule="auto"/>
        <w:ind w:firstLine="0"/>
        <w:rPr>
          <w:rFonts w:hint="eastAsia" w:ascii="仿宋" w:hAnsi="仿宋" w:eastAsia="仿宋" w:cs="仿宋"/>
          <w:color w:val="000000"/>
          <w:sz w:val="22"/>
          <w:szCs w:val="22"/>
          <w:highlight w:val="none"/>
        </w:rPr>
      </w:pPr>
    </w:p>
    <w:p>
      <w:pPr>
        <w:pStyle w:val="64"/>
        <w:spacing w:line="360" w:lineRule="auto"/>
        <w:ind w:firstLine="0"/>
        <w:rPr>
          <w:rFonts w:hint="eastAsia" w:ascii="仿宋" w:hAnsi="仿宋" w:eastAsia="仿宋" w:cs="仿宋"/>
          <w:color w:val="000000"/>
          <w:sz w:val="22"/>
          <w:szCs w:val="22"/>
          <w:highlight w:val="none"/>
        </w:rPr>
      </w:pPr>
    </w:p>
    <w:p>
      <w:pPr>
        <w:pStyle w:val="64"/>
        <w:spacing w:line="360" w:lineRule="auto"/>
        <w:ind w:firstLine="0"/>
        <w:rPr>
          <w:rFonts w:hint="eastAsia" w:ascii="仿宋" w:hAnsi="仿宋" w:eastAsia="仿宋" w:cs="仿宋"/>
          <w:color w:val="000000"/>
          <w:sz w:val="24"/>
          <w:szCs w:val="24"/>
          <w:highlight w:val="none"/>
        </w:rPr>
      </w:pPr>
    </w:p>
    <w:p>
      <w:pPr>
        <w:pStyle w:val="64"/>
        <w:spacing w:line="360" w:lineRule="auto"/>
        <w:ind w:firstLine="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第一部分 合同书</w:t>
      </w:r>
    </w:p>
    <w:p>
      <w:pPr>
        <w:pStyle w:val="64"/>
        <w:spacing w:line="360" w:lineRule="auto"/>
        <w:ind w:firstLine="0"/>
        <w:rPr>
          <w:rFonts w:hint="eastAsia" w:ascii="仿宋" w:hAnsi="仿宋" w:eastAsia="仿宋" w:cs="仿宋"/>
          <w:color w:val="000000"/>
          <w:sz w:val="24"/>
          <w:szCs w:val="24"/>
          <w:highlight w:val="none"/>
        </w:rPr>
      </w:pPr>
    </w:p>
    <w:p>
      <w:pPr>
        <w:spacing w:before="120" w:line="360" w:lineRule="auto"/>
        <w:rPr>
          <w:rFonts w:hint="eastAsia" w:ascii="仿宋" w:hAnsi="仿宋" w:eastAsia="仿宋" w:cs="仿宋"/>
          <w:color w:val="000000"/>
          <w:sz w:val="24"/>
          <w:szCs w:val="22"/>
          <w:highlight w:val="none"/>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81"/>
        <w:spacing w:before="120" w:line="22" w:lineRule="atLeast"/>
        <w:rPr>
          <w:rFonts w:hint="eastAsia" w:ascii="仿宋" w:hAnsi="仿宋" w:eastAsia="仿宋" w:cs="仿宋"/>
          <w:szCs w:val="24"/>
        </w:rPr>
      </w:pPr>
    </w:p>
    <w:p>
      <w:pPr>
        <w:pStyle w:val="81"/>
        <w:spacing w:before="120" w:line="22" w:lineRule="atLeast"/>
        <w:rPr>
          <w:rFonts w:hint="eastAsia" w:ascii="仿宋" w:hAnsi="仿宋" w:eastAsia="仿宋" w:cs="仿宋"/>
          <w:szCs w:val="24"/>
        </w:rPr>
      </w:pPr>
    </w:p>
    <w:p>
      <w:pPr>
        <w:rPr>
          <w:rFonts w:hint="eastAsia" w:ascii="仿宋" w:hAnsi="仿宋" w:eastAsia="仿宋" w:cs="仿宋"/>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utoSpaceDE w:val="0"/>
        <w:autoSpaceDN w:val="0"/>
        <w:adjustRightInd w:val="0"/>
        <w:spacing w:line="360" w:lineRule="auto"/>
        <w:ind w:firstLine="640"/>
        <w:jc w:val="center"/>
        <w:rPr>
          <w:rFonts w:hint="eastAsia" w:ascii="仿宋" w:hAnsi="仿宋" w:eastAsia="仿宋" w:cs="仿宋"/>
          <w:color w:val="000000"/>
          <w:sz w:val="24"/>
          <w:szCs w:val="22"/>
          <w:highlight w:val="none"/>
        </w:rPr>
        <w:sectPr>
          <w:headerReference r:id="rId19" w:type="first"/>
          <w:footerReference r:id="rId22" w:type="first"/>
          <w:headerReference r:id="rId17" w:type="default"/>
          <w:footerReference r:id="rId20" w:type="default"/>
          <w:headerReference r:id="rId18" w:type="even"/>
          <w:footerReference r:id="rId21" w:type="even"/>
          <w:pgSz w:w="11907" w:h="16840"/>
          <w:pgMar w:top="1474" w:right="1417" w:bottom="1474" w:left="1417" w:header="851" w:footer="851" w:gutter="0"/>
          <w:pgNumType w:fmt="decimal"/>
          <w:cols w:space="720" w:num="1"/>
          <w:docGrid w:linePitch="462" w:charSpace="0"/>
        </w:sectPr>
      </w:pPr>
    </w:p>
    <w:p>
      <w:pPr>
        <w:spacing w:line="560" w:lineRule="exact"/>
        <w:ind w:firstLine="440" w:firstLineChars="200"/>
        <w:rPr>
          <w:rFonts w:hint="eastAsia" w:ascii="仿宋" w:hAnsi="仿宋" w:eastAsia="仿宋" w:cs="仿宋"/>
          <w:sz w:val="24"/>
        </w:rPr>
      </w:pPr>
      <w:r>
        <w:rPr>
          <w:rFonts w:hint="eastAsia" w:ascii="仿宋" w:hAnsi="仿宋" w:eastAsia="仿宋" w:cs="仿宋"/>
          <w:color w:val="000000"/>
          <w:sz w:val="22"/>
          <w:szCs w:val="18"/>
          <w:highlight w:val="non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388" w:name="_Toc28855"/>
      <w:bookmarkStart w:id="389" w:name="_Toc22967"/>
      <w:bookmarkStart w:id="390" w:name="_Toc20421"/>
      <w:bookmarkStart w:id="391" w:name="_Toc15367"/>
      <w:bookmarkStart w:id="392" w:name="_Toc19273"/>
      <w:r>
        <w:rPr>
          <w:rFonts w:hint="eastAsia" w:ascii="仿宋" w:hAnsi="仿宋" w:eastAsia="仿宋" w:cs="仿宋"/>
          <w:b/>
          <w:sz w:val="24"/>
        </w:rPr>
        <w:t>1.1 合同组成部分</w:t>
      </w:r>
      <w:bookmarkEnd w:id="388"/>
      <w:bookmarkEnd w:id="389"/>
      <w:bookmarkEnd w:id="390"/>
      <w:bookmarkEnd w:id="391"/>
      <w:bookmarkEnd w:id="39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393" w:name="_Toc6311"/>
      <w:bookmarkStart w:id="394" w:name="_Toc6773"/>
      <w:bookmarkStart w:id="395" w:name="_Toc2918"/>
      <w:bookmarkStart w:id="396" w:name="_Toc22185"/>
      <w:bookmarkStart w:id="397" w:name="_Toc18585"/>
      <w:r>
        <w:rPr>
          <w:rFonts w:hint="eastAsia" w:ascii="仿宋" w:hAnsi="仿宋" w:eastAsia="仿宋" w:cs="仿宋"/>
          <w:b/>
          <w:sz w:val="24"/>
        </w:rPr>
        <w:t>1.2 标的</w:t>
      </w:r>
      <w:bookmarkEnd w:id="393"/>
      <w:bookmarkEnd w:id="394"/>
      <w:bookmarkEnd w:id="395"/>
      <w:bookmarkEnd w:id="396"/>
      <w:bookmarkEnd w:id="397"/>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398" w:name="_Toc5635"/>
      <w:bookmarkStart w:id="399" w:name="_Toc13918"/>
      <w:bookmarkStart w:id="400" w:name="_Toc4929"/>
      <w:bookmarkStart w:id="401" w:name="_Toc21124"/>
      <w:bookmarkStart w:id="402" w:name="_Toc1386"/>
      <w:r>
        <w:rPr>
          <w:rFonts w:hint="eastAsia" w:ascii="仿宋" w:hAnsi="仿宋" w:eastAsia="仿宋" w:cs="仿宋"/>
          <w:b/>
          <w:sz w:val="24"/>
        </w:rPr>
        <w:t>1.3 价款</w:t>
      </w:r>
      <w:bookmarkEnd w:id="398"/>
      <w:bookmarkEnd w:id="399"/>
      <w:bookmarkEnd w:id="400"/>
      <w:bookmarkEnd w:id="401"/>
      <w:bookmarkEnd w:id="40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pPr>
              <w:pStyle w:val="71"/>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71"/>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71"/>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sz w:val="24"/>
        </w:rPr>
      </w:pPr>
      <w:bookmarkStart w:id="403" w:name="_Toc30506"/>
      <w:bookmarkStart w:id="404" w:name="_Toc26916"/>
      <w:bookmarkStart w:id="405" w:name="_Toc14993"/>
      <w:bookmarkStart w:id="406" w:name="_Toc3654"/>
      <w:bookmarkStart w:id="407" w:name="_Toc30158"/>
      <w:r>
        <w:rPr>
          <w:rFonts w:hint="eastAsia" w:ascii="仿宋" w:hAnsi="仿宋" w:eastAsia="仿宋" w:cs="仿宋"/>
          <w:b/>
          <w:sz w:val="24"/>
        </w:rPr>
        <w:t>1.4 付款方式和发票开具方式</w:t>
      </w:r>
      <w:bookmarkEnd w:id="403"/>
      <w:bookmarkEnd w:id="404"/>
      <w:bookmarkEnd w:id="405"/>
      <w:bookmarkEnd w:id="406"/>
      <w:bookmarkEnd w:id="4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08" w:name="_Toc8772"/>
      <w:bookmarkStart w:id="409" w:name="_Toc4760"/>
      <w:bookmarkStart w:id="410" w:name="_Toc3625"/>
      <w:bookmarkStart w:id="411" w:name="_Toc11108"/>
      <w:bookmarkStart w:id="412" w:name="_Toc31421"/>
      <w:r>
        <w:rPr>
          <w:rFonts w:hint="eastAsia" w:ascii="仿宋" w:hAnsi="仿宋" w:eastAsia="仿宋" w:cs="仿宋"/>
          <w:b/>
          <w:sz w:val="24"/>
        </w:rPr>
        <w:t>1.5 履行期限、地点和方式</w:t>
      </w:r>
      <w:bookmarkEnd w:id="408"/>
      <w:bookmarkEnd w:id="409"/>
      <w:bookmarkEnd w:id="410"/>
      <w:bookmarkEnd w:id="411"/>
      <w:bookmarkEnd w:id="412"/>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13" w:name="_Toc3079"/>
      <w:bookmarkStart w:id="414" w:name="_Toc8586"/>
      <w:bookmarkStart w:id="415" w:name="_Toc2375"/>
      <w:bookmarkStart w:id="416" w:name="_Toc5698"/>
      <w:bookmarkStart w:id="417" w:name="_Toc24662"/>
      <w:r>
        <w:rPr>
          <w:rFonts w:hint="eastAsia" w:ascii="仿宋" w:hAnsi="仿宋" w:eastAsia="仿宋" w:cs="仿宋"/>
          <w:b/>
          <w:sz w:val="24"/>
        </w:rPr>
        <w:t>1.6 违约责任</w:t>
      </w:r>
      <w:bookmarkEnd w:id="413"/>
      <w:bookmarkEnd w:id="414"/>
      <w:bookmarkEnd w:id="415"/>
      <w:bookmarkEnd w:id="416"/>
      <w:bookmarkEnd w:id="41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sz w:val="24"/>
        </w:rPr>
      </w:pPr>
      <w:bookmarkStart w:id="418" w:name="_Toc18683"/>
      <w:bookmarkStart w:id="419" w:name="_Toc32454"/>
      <w:bookmarkStart w:id="420" w:name="_Toc30329"/>
      <w:bookmarkStart w:id="421" w:name="_Toc26807"/>
      <w:bookmarkStart w:id="422" w:name="_Toc9497"/>
      <w:r>
        <w:rPr>
          <w:rFonts w:hint="eastAsia" w:ascii="仿宋" w:hAnsi="仿宋" w:eastAsia="仿宋" w:cs="仿宋"/>
          <w:b/>
          <w:sz w:val="24"/>
        </w:rPr>
        <w:t>1.7 合同争议的解决</w:t>
      </w:r>
      <w:bookmarkEnd w:id="418"/>
      <w:bookmarkEnd w:id="419"/>
      <w:bookmarkEnd w:id="420"/>
      <w:bookmarkEnd w:id="421"/>
      <w:bookmarkEnd w:id="42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pPr>
        <w:spacing w:line="560" w:lineRule="exact"/>
        <w:ind w:firstLine="482" w:firstLineChars="200"/>
        <w:outlineLvl w:val="0"/>
        <w:rPr>
          <w:rFonts w:hint="eastAsia" w:ascii="仿宋" w:hAnsi="仿宋" w:eastAsia="仿宋" w:cs="仿宋"/>
          <w:b/>
          <w:sz w:val="24"/>
        </w:rPr>
      </w:pPr>
      <w:bookmarkStart w:id="423" w:name="_Toc12273"/>
      <w:bookmarkStart w:id="424" w:name="_Toc23784"/>
      <w:bookmarkStart w:id="425" w:name="_Toc26227"/>
      <w:bookmarkStart w:id="426" w:name="_Toc15827"/>
      <w:bookmarkStart w:id="427" w:name="_Toc16417"/>
      <w:r>
        <w:rPr>
          <w:rFonts w:hint="eastAsia" w:ascii="仿宋" w:hAnsi="仿宋" w:eastAsia="仿宋" w:cs="仿宋"/>
          <w:b/>
          <w:sz w:val="24"/>
        </w:rPr>
        <w:t>1.8 合同生效</w:t>
      </w:r>
      <w:bookmarkEnd w:id="423"/>
      <w:bookmarkEnd w:id="424"/>
      <w:bookmarkEnd w:id="425"/>
      <w:bookmarkEnd w:id="426"/>
      <w:bookmarkEnd w:id="427"/>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adjustRightInd w:val="0"/>
        <w:spacing w:line="560" w:lineRule="exact"/>
        <w:rPr>
          <w:rFonts w:hint="eastAsia" w:ascii="仿宋" w:hAnsi="仿宋" w:eastAsia="仿宋" w:cs="仿宋"/>
          <w:sz w:val="24"/>
          <w:lang w:val="zh-CN"/>
        </w:rPr>
      </w:pP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lang w:val="zh-CN"/>
        </w:rPr>
      </w:pP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法定代表人                             </w:t>
      </w:r>
      <w:r>
        <w:rPr>
          <w:rFonts w:hint="eastAsia" w:ascii="仿宋" w:hAnsi="仿宋" w:eastAsia="仿宋" w:cs="仿宋"/>
          <w:sz w:val="24"/>
          <w:lang w:val="en-US" w:eastAsia="zh-CN"/>
        </w:rPr>
        <w:t xml:space="preserve">  </w:t>
      </w:r>
      <w:r>
        <w:rPr>
          <w:rFonts w:hint="eastAsia" w:ascii="仿宋" w:hAnsi="仿宋" w:eastAsia="仿宋" w:cs="仿宋"/>
          <w:sz w:val="24"/>
          <w:lang w:val="zh-CN"/>
        </w:rPr>
        <w:t>法定代表人</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或授权代表（签字）：                     或授权代表（签字）: </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rPr>
      </w:pPr>
      <w:bookmarkStart w:id="428" w:name="_Toc331685783"/>
    </w:p>
    <w:p>
      <w:pPr>
        <w:widowControl/>
        <w:spacing w:line="560" w:lineRule="exact"/>
        <w:jc w:val="left"/>
        <w:rPr>
          <w:rFonts w:hint="eastAsia" w:ascii="仿宋" w:hAnsi="仿宋" w:eastAsia="仿宋" w:cs="仿宋"/>
          <w:b/>
        </w:rPr>
      </w:pPr>
    </w:p>
    <w:p>
      <w:pPr>
        <w:pStyle w:val="6"/>
        <w:rPr>
          <w:rFonts w:hint="eastAsia" w:ascii="仿宋" w:hAnsi="仿宋" w:eastAsia="仿宋" w:cs="仿宋"/>
          <w:b/>
        </w:rPr>
      </w:pPr>
    </w:p>
    <w:p>
      <w:pPr>
        <w:pStyle w:val="6"/>
        <w:rPr>
          <w:rFonts w:hint="eastAsia" w:ascii="仿宋" w:hAnsi="仿宋" w:eastAsia="仿宋" w:cs="仿宋"/>
          <w:b/>
        </w:rPr>
      </w:pPr>
    </w:p>
    <w:p>
      <w:pPr>
        <w:pStyle w:val="64"/>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8"/>
    </w:p>
    <w:p>
      <w:pPr>
        <w:spacing w:line="560" w:lineRule="exact"/>
        <w:ind w:firstLine="482" w:firstLineChars="200"/>
        <w:outlineLvl w:val="0"/>
        <w:rPr>
          <w:rFonts w:hint="eastAsia" w:ascii="仿宋" w:hAnsi="仿宋" w:eastAsia="仿宋" w:cs="仿宋"/>
          <w:b/>
          <w:sz w:val="24"/>
        </w:rPr>
      </w:pPr>
      <w:bookmarkStart w:id="429" w:name="_Toc25079"/>
      <w:bookmarkStart w:id="430" w:name="_Ref467379094"/>
      <w:bookmarkStart w:id="431" w:name="_Toc259093669"/>
      <w:bookmarkStart w:id="432" w:name="_Toc279701240"/>
      <w:bookmarkStart w:id="433" w:name="_Ref467379101"/>
      <w:bookmarkStart w:id="434" w:name="_Ref467379225"/>
      <w:bookmarkStart w:id="435" w:name="_Ref467378404"/>
      <w:bookmarkStart w:id="436" w:name="_Ref467379214"/>
      <w:bookmarkStart w:id="437" w:name="_Ref467378463"/>
      <w:bookmarkStart w:id="438" w:name="_Ref467379195"/>
      <w:bookmarkStart w:id="439" w:name="_Toc14021"/>
      <w:bookmarkStart w:id="440" w:name="_Toc31297"/>
      <w:bookmarkStart w:id="441" w:name="_Ref467379205"/>
      <w:bookmarkStart w:id="442" w:name="_Toc487900349"/>
      <w:bookmarkStart w:id="443" w:name="_Toc19680"/>
      <w:bookmarkStart w:id="444" w:name="_Ref467378499"/>
      <w:bookmarkStart w:id="445" w:name="_Ref467379109"/>
      <w:bookmarkStart w:id="446" w:name="_Toc5228"/>
      <w:r>
        <w:rPr>
          <w:rFonts w:hint="eastAsia" w:ascii="仿宋" w:hAnsi="仿宋" w:eastAsia="仿宋" w:cs="仿宋"/>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bookmarkStart w:id="447" w:name="_Ref467378840"/>
      <w:r>
        <w:rPr>
          <w:rFonts w:hint="eastAsia" w:ascii="仿宋" w:hAnsi="仿宋" w:eastAsia="仿宋" w:cs="仿宋"/>
          <w:sz w:val="24"/>
        </w:rPr>
        <w:t>2.1.4 “甲方”系指与中标供应商签署合同的采购人</w:t>
      </w:r>
      <w:bookmarkEnd w:id="447"/>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bookmarkStart w:id="448" w:name="_Ref467379400"/>
      <w:r>
        <w:rPr>
          <w:rFonts w:hint="eastAsia" w:ascii="仿宋" w:hAnsi="仿宋" w:eastAsia="仿宋" w:cs="仿宋"/>
          <w:sz w:val="24"/>
        </w:rPr>
        <w:t>2.1.5 “乙方”系指根据合同约定提供服务的中标供应商</w:t>
      </w:r>
      <w:bookmarkEnd w:id="448"/>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bookmarkStart w:id="449" w:name="_Ref467379436"/>
      <w:r>
        <w:rPr>
          <w:rFonts w:hint="eastAsia" w:ascii="仿宋" w:hAnsi="仿宋" w:eastAsia="仿宋" w:cs="仿宋"/>
          <w:sz w:val="24"/>
        </w:rPr>
        <w:t>2.1.6 “现场”系指合同约定提供服务的地点。</w:t>
      </w:r>
      <w:bookmarkEnd w:id="449"/>
    </w:p>
    <w:p>
      <w:pPr>
        <w:spacing w:line="560" w:lineRule="exact"/>
        <w:ind w:firstLine="482" w:firstLineChars="200"/>
        <w:outlineLvl w:val="0"/>
        <w:rPr>
          <w:rFonts w:hint="eastAsia" w:ascii="仿宋" w:hAnsi="仿宋" w:eastAsia="仿宋" w:cs="仿宋"/>
          <w:b/>
          <w:sz w:val="24"/>
        </w:rPr>
      </w:pPr>
      <w:bookmarkStart w:id="450" w:name="_Toc3769"/>
      <w:bookmarkStart w:id="451" w:name="_Toc19539"/>
      <w:bookmarkStart w:id="452" w:name="_Toc279701241"/>
      <w:bookmarkStart w:id="453" w:name="_Toc487900350"/>
      <w:bookmarkStart w:id="454" w:name="_Toc16752"/>
      <w:bookmarkStart w:id="455" w:name="_Toc23289"/>
      <w:bookmarkStart w:id="456" w:name="_Toc259093670"/>
      <w:bookmarkStart w:id="457" w:name="_Toc31402"/>
      <w:r>
        <w:rPr>
          <w:rFonts w:hint="eastAsia" w:ascii="仿宋" w:hAnsi="仿宋" w:eastAsia="仿宋" w:cs="仿宋"/>
          <w:b/>
          <w:sz w:val="24"/>
        </w:rPr>
        <w:t>2.2 技术规范</w:t>
      </w:r>
      <w:bookmarkEnd w:id="450"/>
      <w:bookmarkEnd w:id="451"/>
      <w:bookmarkEnd w:id="452"/>
      <w:bookmarkEnd w:id="453"/>
      <w:bookmarkEnd w:id="454"/>
      <w:bookmarkEnd w:id="455"/>
      <w:bookmarkEnd w:id="456"/>
      <w:bookmarkEnd w:id="45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58" w:name="_Toc4133"/>
      <w:bookmarkStart w:id="459" w:name="_Toc487900351"/>
      <w:bookmarkStart w:id="460" w:name="_Toc13673"/>
      <w:bookmarkStart w:id="461" w:name="_Toc12412"/>
      <w:bookmarkStart w:id="462" w:name="_Toc279701242"/>
      <w:bookmarkStart w:id="463" w:name="_Toc27945"/>
      <w:bookmarkStart w:id="464" w:name="_Toc9161"/>
      <w:bookmarkStart w:id="465" w:name="_Toc259093671"/>
      <w:r>
        <w:rPr>
          <w:rFonts w:hint="eastAsia" w:ascii="仿宋" w:hAnsi="仿宋" w:eastAsia="仿宋" w:cs="仿宋"/>
          <w:b/>
          <w:sz w:val="24"/>
        </w:rPr>
        <w:t>2.3 知识产权</w:t>
      </w:r>
      <w:bookmarkEnd w:id="458"/>
      <w:bookmarkEnd w:id="459"/>
      <w:bookmarkEnd w:id="460"/>
      <w:bookmarkEnd w:id="461"/>
      <w:bookmarkEnd w:id="462"/>
      <w:bookmarkEnd w:id="463"/>
      <w:bookmarkEnd w:id="464"/>
      <w:bookmarkEnd w:id="46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bookmarkStart w:id="466" w:name="_Ref467379657"/>
      <w:r>
        <w:rPr>
          <w:rFonts w:hint="eastAsia" w:ascii="仿宋" w:hAnsi="仿宋" w:eastAsia="仿宋" w:cs="仿宋"/>
          <w:sz w:val="24"/>
        </w:rPr>
        <w:t>2.4.1</w:t>
      </w:r>
      <w:bookmarkEnd w:id="466"/>
      <w:bookmarkStart w:id="467" w:name="_Toc186431854"/>
      <w:bookmarkStart w:id="468" w:name="_Toc259093676"/>
      <w:bookmarkStart w:id="469" w:name="_Ref467379807"/>
      <w:bookmarkStart w:id="470" w:name="_Toc279701247"/>
      <w:bookmarkStart w:id="471" w:name="_Toc487900357"/>
      <w:bookmarkStart w:id="472" w:name="_Ref467379793"/>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467"/>
      <w:bookmarkStart w:id="473" w:name="_Toc186431855"/>
      <w:r>
        <w:rPr>
          <w:rFonts w:hint="eastAsia" w:ascii="仿宋" w:hAnsi="仿宋" w:eastAsia="仿宋" w:cs="仿宋"/>
          <w:sz w:val="24"/>
        </w:rPr>
        <w:t>。</w:t>
      </w:r>
    </w:p>
    <w:bookmarkEnd w:id="473"/>
    <w:p>
      <w:pPr>
        <w:spacing w:line="560" w:lineRule="exact"/>
        <w:ind w:firstLine="482" w:firstLineChars="200"/>
        <w:outlineLvl w:val="0"/>
        <w:rPr>
          <w:rFonts w:hint="eastAsia" w:ascii="仿宋" w:hAnsi="仿宋" w:eastAsia="仿宋" w:cs="仿宋"/>
          <w:b/>
          <w:sz w:val="24"/>
        </w:rPr>
      </w:pPr>
      <w:bookmarkStart w:id="474" w:name="_Toc22011"/>
      <w:bookmarkStart w:id="475" w:name="_Toc31233"/>
      <w:bookmarkStart w:id="476" w:name="_Toc26555"/>
      <w:bookmarkStart w:id="477" w:name="_Toc32670"/>
      <w:bookmarkStart w:id="478" w:name="_Toc15447"/>
      <w:r>
        <w:rPr>
          <w:rFonts w:hint="eastAsia" w:ascii="仿宋" w:hAnsi="仿宋" w:eastAsia="仿宋" w:cs="仿宋"/>
          <w:b/>
          <w:sz w:val="24"/>
        </w:rPr>
        <w:t>2.5 结算方式和付款条件</w:t>
      </w:r>
      <w:bookmarkEnd w:id="468"/>
      <w:bookmarkEnd w:id="469"/>
      <w:bookmarkEnd w:id="470"/>
      <w:bookmarkEnd w:id="471"/>
      <w:bookmarkEnd w:id="472"/>
      <w:bookmarkEnd w:id="474"/>
      <w:bookmarkEnd w:id="475"/>
      <w:bookmarkEnd w:id="476"/>
      <w:bookmarkEnd w:id="477"/>
      <w:bookmarkEnd w:id="47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79" w:name="_Ref467379863"/>
      <w:bookmarkStart w:id="480" w:name="_Toc487900358"/>
      <w:bookmarkStart w:id="481" w:name="_Ref467379923"/>
      <w:bookmarkStart w:id="482" w:name="_Toc279701248"/>
      <w:bookmarkStart w:id="483" w:name="_Ref467379852"/>
      <w:bookmarkStart w:id="484" w:name="_Toc259093677"/>
      <w:bookmarkStart w:id="485" w:name="_Toc18990"/>
      <w:bookmarkStart w:id="486" w:name="_Toc13467"/>
      <w:bookmarkStart w:id="487" w:name="_Toc16163"/>
      <w:bookmarkStart w:id="488" w:name="_Toc13154"/>
      <w:bookmarkStart w:id="489" w:name="_Toc30507"/>
      <w:r>
        <w:rPr>
          <w:rFonts w:hint="eastAsia" w:ascii="仿宋" w:hAnsi="仿宋" w:eastAsia="仿宋" w:cs="仿宋"/>
          <w:b/>
          <w:sz w:val="24"/>
        </w:rPr>
        <w:t>2.6 技术资料</w:t>
      </w:r>
      <w:bookmarkEnd w:id="479"/>
      <w:bookmarkEnd w:id="480"/>
      <w:bookmarkEnd w:id="481"/>
      <w:bookmarkEnd w:id="482"/>
      <w:bookmarkEnd w:id="483"/>
      <w:bookmarkEnd w:id="484"/>
      <w:r>
        <w:rPr>
          <w:rFonts w:hint="eastAsia" w:ascii="仿宋" w:hAnsi="仿宋" w:eastAsia="仿宋" w:cs="仿宋"/>
          <w:b/>
          <w:sz w:val="24"/>
        </w:rPr>
        <w:t>和保密义务</w:t>
      </w:r>
      <w:bookmarkEnd w:id="485"/>
      <w:bookmarkEnd w:id="486"/>
      <w:bookmarkEnd w:id="487"/>
      <w:bookmarkEnd w:id="488"/>
      <w:bookmarkEnd w:id="48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90" w:name="_Toc19069"/>
      <w:bookmarkStart w:id="491" w:name="_Toc259093681"/>
      <w:bookmarkStart w:id="492" w:name="_Toc279701252"/>
      <w:bookmarkStart w:id="493" w:name="_Toc487900362"/>
      <w:r>
        <w:rPr>
          <w:rFonts w:hint="eastAsia" w:ascii="仿宋" w:hAnsi="仿宋" w:eastAsia="仿宋" w:cs="仿宋"/>
          <w:b/>
          <w:sz w:val="24"/>
        </w:rPr>
        <w:t>2.7 质量保证</w:t>
      </w:r>
      <w:bookmarkEnd w:id="49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94" w:name="_Toc22267"/>
      <w:r>
        <w:rPr>
          <w:rFonts w:hint="eastAsia" w:ascii="仿宋" w:hAnsi="仿宋" w:eastAsia="仿宋" w:cs="仿宋"/>
          <w:b/>
          <w:sz w:val="24"/>
        </w:rPr>
        <w:t>2.8 延迟</w:t>
      </w:r>
      <w:bookmarkEnd w:id="491"/>
      <w:bookmarkEnd w:id="492"/>
      <w:bookmarkEnd w:id="493"/>
      <w:r>
        <w:rPr>
          <w:rFonts w:hint="eastAsia" w:ascii="仿宋" w:hAnsi="仿宋" w:eastAsia="仿宋" w:cs="仿宋"/>
          <w:b/>
          <w:sz w:val="24"/>
        </w:rPr>
        <w:t>履行</w:t>
      </w:r>
      <w:bookmarkEnd w:id="49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95" w:name="_Toc10611"/>
      <w:bookmarkStart w:id="496" w:name="_Toc487900364"/>
      <w:bookmarkStart w:id="497" w:name="_Toc259093683"/>
      <w:bookmarkStart w:id="498" w:name="_Ref467378121"/>
      <w:bookmarkStart w:id="499" w:name="_Toc279701254"/>
      <w:r>
        <w:rPr>
          <w:rFonts w:hint="eastAsia" w:ascii="仿宋" w:hAnsi="仿宋" w:eastAsia="仿宋" w:cs="仿宋"/>
          <w:b/>
          <w:sz w:val="24"/>
        </w:rPr>
        <w:t>2.9 合同变更</w:t>
      </w:r>
      <w:bookmarkEnd w:id="49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500" w:name="_Toc259093688"/>
      <w:bookmarkStart w:id="501" w:name="_Toc487900369"/>
      <w:bookmarkStart w:id="502" w:name="_Toc279701259"/>
    </w:p>
    <w:p>
      <w:pPr>
        <w:spacing w:line="560" w:lineRule="exact"/>
        <w:ind w:firstLine="482" w:firstLineChars="200"/>
        <w:outlineLvl w:val="0"/>
        <w:rPr>
          <w:rFonts w:hint="eastAsia" w:ascii="仿宋" w:hAnsi="仿宋" w:eastAsia="仿宋" w:cs="仿宋"/>
          <w:b/>
          <w:sz w:val="24"/>
        </w:rPr>
      </w:pPr>
      <w:bookmarkStart w:id="503" w:name="_Toc23368"/>
      <w:bookmarkStart w:id="504" w:name="_Toc21830"/>
      <w:bookmarkStart w:id="505" w:name="_Toc10663"/>
      <w:bookmarkStart w:id="506" w:name="_Toc42"/>
      <w:bookmarkStart w:id="507" w:name="_Toc26689"/>
      <w:r>
        <w:rPr>
          <w:rFonts w:hint="eastAsia" w:ascii="仿宋" w:hAnsi="仿宋" w:eastAsia="仿宋" w:cs="仿宋"/>
          <w:b/>
          <w:sz w:val="24"/>
        </w:rPr>
        <w:t>2.10 合同转让</w:t>
      </w:r>
      <w:bookmarkEnd w:id="500"/>
      <w:bookmarkEnd w:id="501"/>
      <w:bookmarkEnd w:id="502"/>
      <w:r>
        <w:rPr>
          <w:rFonts w:hint="eastAsia" w:ascii="仿宋" w:hAnsi="仿宋" w:eastAsia="仿宋" w:cs="仿宋"/>
          <w:b/>
          <w:sz w:val="24"/>
        </w:rPr>
        <w:t>和分包</w:t>
      </w:r>
      <w:bookmarkEnd w:id="503"/>
      <w:bookmarkEnd w:id="504"/>
      <w:bookmarkEnd w:id="505"/>
      <w:bookmarkEnd w:id="506"/>
      <w:bookmarkEnd w:id="50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508" w:name="_Toc32494"/>
      <w:bookmarkStart w:id="509" w:name="_Toc14371"/>
      <w:bookmarkStart w:id="510" w:name="_Toc4720"/>
      <w:bookmarkStart w:id="511" w:name="_Toc25571"/>
      <w:bookmarkStart w:id="512" w:name="_Toc26633"/>
      <w:r>
        <w:rPr>
          <w:rFonts w:hint="eastAsia" w:ascii="仿宋" w:hAnsi="仿宋" w:eastAsia="仿宋" w:cs="仿宋"/>
          <w:b/>
          <w:sz w:val="24"/>
        </w:rPr>
        <w:t>2.11 不可抗力</w:t>
      </w:r>
      <w:bookmarkEnd w:id="508"/>
      <w:bookmarkEnd w:id="509"/>
      <w:bookmarkEnd w:id="510"/>
      <w:bookmarkEnd w:id="511"/>
      <w:bookmarkEnd w:id="512"/>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513" w:name="_Toc25783"/>
      <w:bookmarkStart w:id="514" w:name="_Toc14115"/>
      <w:bookmarkStart w:id="515" w:name="_Toc279701255"/>
      <w:bookmarkStart w:id="516" w:name="_Toc23854"/>
      <w:bookmarkStart w:id="517" w:name="_Toc24465"/>
      <w:bookmarkStart w:id="518" w:name="_Toc487900365"/>
      <w:bookmarkStart w:id="519" w:name="_Toc3638"/>
      <w:bookmarkStart w:id="520" w:name="_Toc259093684"/>
      <w:r>
        <w:rPr>
          <w:rFonts w:hint="eastAsia" w:ascii="仿宋" w:hAnsi="仿宋" w:eastAsia="仿宋" w:cs="仿宋"/>
          <w:b/>
          <w:sz w:val="24"/>
        </w:rPr>
        <w:t>2.12 税费</w:t>
      </w:r>
      <w:bookmarkEnd w:id="513"/>
      <w:bookmarkEnd w:id="514"/>
      <w:bookmarkEnd w:id="515"/>
      <w:bookmarkEnd w:id="516"/>
      <w:bookmarkEnd w:id="517"/>
      <w:bookmarkEnd w:id="518"/>
      <w:bookmarkEnd w:id="519"/>
      <w:bookmarkEnd w:id="520"/>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521" w:name="_Toc25525"/>
      <w:bookmarkStart w:id="522" w:name="_Toc14814"/>
      <w:bookmarkStart w:id="523" w:name="_Toc279701258"/>
      <w:bookmarkStart w:id="524" w:name="_Toc30105"/>
      <w:bookmarkStart w:id="525" w:name="_Toc7315"/>
      <w:bookmarkStart w:id="526" w:name="_Toc259093687"/>
      <w:bookmarkStart w:id="527" w:name="_Toc26883"/>
      <w:bookmarkStart w:id="528" w:name="_Toc487900368"/>
      <w:r>
        <w:rPr>
          <w:rFonts w:hint="eastAsia" w:ascii="仿宋" w:hAnsi="仿宋" w:eastAsia="仿宋" w:cs="仿宋"/>
          <w:b/>
          <w:sz w:val="24"/>
        </w:rPr>
        <w:t>2.13 乙方破产</w:t>
      </w:r>
      <w:bookmarkEnd w:id="521"/>
      <w:bookmarkEnd w:id="522"/>
      <w:bookmarkEnd w:id="523"/>
      <w:bookmarkEnd w:id="524"/>
      <w:bookmarkEnd w:id="525"/>
      <w:bookmarkEnd w:id="526"/>
      <w:bookmarkEnd w:id="527"/>
      <w:bookmarkEnd w:id="52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29" w:name="_Toc1123"/>
      <w:bookmarkStart w:id="530" w:name="_Toc2016"/>
      <w:bookmarkStart w:id="531" w:name="_Toc23323"/>
      <w:r>
        <w:rPr>
          <w:rFonts w:hint="eastAsia" w:ascii="仿宋" w:hAnsi="仿宋" w:eastAsia="仿宋" w:cs="仿宋"/>
          <w:b/>
          <w:sz w:val="24"/>
        </w:rPr>
        <w:t>2.14 合同中止、终止</w:t>
      </w:r>
      <w:bookmarkEnd w:id="529"/>
      <w:bookmarkEnd w:id="530"/>
      <w:bookmarkEnd w:id="53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32" w:name="_Toc17363"/>
      <w:bookmarkStart w:id="533" w:name="_Toc1969"/>
      <w:bookmarkStart w:id="534" w:name="_Toc14525"/>
      <w:r>
        <w:rPr>
          <w:rFonts w:hint="eastAsia" w:ascii="仿宋" w:hAnsi="仿宋" w:eastAsia="仿宋" w:cs="仿宋"/>
          <w:b/>
          <w:sz w:val="24"/>
        </w:rPr>
        <w:t>2.15 检验和验收</w:t>
      </w:r>
      <w:bookmarkEnd w:id="532"/>
      <w:bookmarkEnd w:id="533"/>
      <w:bookmarkEnd w:id="534"/>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6"/>
    <w:bookmarkEnd w:id="497"/>
    <w:bookmarkEnd w:id="498"/>
    <w:bookmarkEnd w:id="499"/>
    <w:p>
      <w:pPr>
        <w:spacing w:line="560" w:lineRule="exact"/>
        <w:ind w:firstLine="482" w:firstLineChars="200"/>
        <w:outlineLvl w:val="0"/>
        <w:rPr>
          <w:rFonts w:hint="eastAsia" w:ascii="仿宋" w:hAnsi="仿宋" w:eastAsia="仿宋" w:cs="仿宋"/>
          <w:b/>
          <w:sz w:val="24"/>
        </w:rPr>
      </w:pPr>
      <w:bookmarkStart w:id="535" w:name="_Toc487900371"/>
      <w:bookmarkStart w:id="536" w:name="_Toc279701261"/>
      <w:bookmarkStart w:id="537" w:name="_Toc259093690"/>
      <w:bookmarkStart w:id="538" w:name="_Toc9808"/>
      <w:bookmarkStart w:id="539" w:name="_Toc25198"/>
      <w:bookmarkStart w:id="540" w:name="_Toc12666"/>
      <w:bookmarkStart w:id="541" w:name="_Toc2308"/>
      <w:bookmarkStart w:id="542" w:name="_Toc31892"/>
      <w:r>
        <w:rPr>
          <w:rFonts w:hint="eastAsia" w:ascii="仿宋" w:hAnsi="仿宋" w:eastAsia="仿宋" w:cs="仿宋"/>
          <w:b/>
          <w:sz w:val="24"/>
        </w:rPr>
        <w:t>2.16 通知</w:t>
      </w:r>
      <w:bookmarkEnd w:id="535"/>
      <w:bookmarkEnd w:id="536"/>
      <w:bookmarkEnd w:id="537"/>
      <w:r>
        <w:rPr>
          <w:rFonts w:hint="eastAsia" w:ascii="仿宋" w:hAnsi="仿宋" w:eastAsia="仿宋" w:cs="仿宋"/>
          <w:b/>
          <w:sz w:val="24"/>
        </w:rPr>
        <w:t>和送达</w:t>
      </w:r>
      <w:bookmarkEnd w:id="538"/>
      <w:bookmarkEnd w:id="539"/>
      <w:bookmarkEnd w:id="540"/>
      <w:bookmarkEnd w:id="541"/>
      <w:bookmarkEnd w:id="542"/>
    </w:p>
    <w:p>
      <w:pPr>
        <w:spacing w:line="560" w:lineRule="exact"/>
        <w:ind w:firstLine="480" w:firstLineChars="200"/>
        <w:rPr>
          <w:rFonts w:hint="eastAsia" w:ascii="仿宋" w:hAnsi="仿宋" w:eastAsia="仿宋" w:cs="仿宋"/>
          <w:sz w:val="24"/>
        </w:rPr>
      </w:pPr>
      <w:bookmarkStart w:id="543" w:name="_Toc29220"/>
      <w:bookmarkStart w:id="544" w:name="_Toc7073"/>
      <w:bookmarkStart w:id="545" w:name="_Toc487900372"/>
      <w:bookmarkStart w:id="546" w:name="_Toc259093691"/>
      <w:bookmarkStart w:id="547"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543"/>
      <w:bookmarkEnd w:id="544"/>
    </w:p>
    <w:p>
      <w:pPr>
        <w:spacing w:line="560" w:lineRule="exact"/>
        <w:ind w:firstLine="480" w:firstLineChars="200"/>
        <w:rPr>
          <w:rFonts w:hint="eastAsia" w:ascii="仿宋" w:hAnsi="仿宋" w:eastAsia="仿宋" w:cs="仿宋"/>
          <w:sz w:val="24"/>
        </w:rPr>
      </w:pPr>
      <w:bookmarkStart w:id="548" w:name="_Toc18401"/>
      <w:bookmarkStart w:id="549" w:name="_Toc27674"/>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8"/>
      <w:bookmarkEnd w:id="549"/>
    </w:p>
    <w:bookmarkEnd w:id="545"/>
    <w:bookmarkEnd w:id="546"/>
    <w:bookmarkEnd w:id="547"/>
    <w:p>
      <w:pPr>
        <w:spacing w:line="560" w:lineRule="exact"/>
        <w:ind w:firstLine="482" w:firstLineChars="200"/>
        <w:outlineLvl w:val="0"/>
        <w:rPr>
          <w:rFonts w:hint="eastAsia" w:ascii="仿宋" w:hAnsi="仿宋" w:eastAsia="仿宋" w:cs="仿宋"/>
          <w:b/>
          <w:sz w:val="24"/>
        </w:rPr>
      </w:pPr>
      <w:bookmarkStart w:id="550" w:name="_Toc5063"/>
      <w:bookmarkStart w:id="551" w:name="_Toc28906"/>
      <w:bookmarkStart w:id="552" w:name="_Toc20808"/>
      <w:bookmarkStart w:id="553" w:name="_Toc27644"/>
      <w:bookmarkStart w:id="554" w:name="_Toc487900373"/>
      <w:bookmarkStart w:id="555" w:name="_Toc12254"/>
      <w:bookmarkStart w:id="556" w:name="_Toc279701263"/>
      <w:bookmarkStart w:id="557" w:name="_Toc259093692"/>
      <w:r>
        <w:rPr>
          <w:rFonts w:hint="eastAsia" w:ascii="仿宋" w:hAnsi="仿宋" w:eastAsia="仿宋" w:cs="仿宋"/>
          <w:b/>
          <w:sz w:val="24"/>
        </w:rPr>
        <w:t>2.17 合同使用的文字和适用的法律</w:t>
      </w:r>
      <w:bookmarkEnd w:id="550"/>
      <w:bookmarkEnd w:id="551"/>
      <w:bookmarkEnd w:id="552"/>
      <w:bookmarkEnd w:id="553"/>
      <w:bookmarkEnd w:id="554"/>
      <w:bookmarkEnd w:id="555"/>
      <w:bookmarkEnd w:id="556"/>
      <w:bookmarkEnd w:id="557"/>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58" w:name="_Toc27403"/>
      <w:bookmarkStart w:id="559" w:name="_Toc259093693"/>
      <w:bookmarkStart w:id="560" w:name="_Toc22266"/>
      <w:bookmarkStart w:id="561" w:name="_Toc1492"/>
      <w:bookmarkStart w:id="562" w:name="_Toc27127"/>
      <w:bookmarkStart w:id="563" w:name="_Toc279701264"/>
      <w:bookmarkStart w:id="564" w:name="_Toc30096"/>
      <w:bookmarkStart w:id="565" w:name="_Toc487900374"/>
      <w:r>
        <w:rPr>
          <w:rFonts w:hint="eastAsia" w:ascii="仿宋" w:hAnsi="仿宋" w:eastAsia="仿宋" w:cs="仿宋"/>
          <w:b/>
          <w:sz w:val="24"/>
        </w:rPr>
        <w:t>2.18 履约保证金</w:t>
      </w:r>
      <w:bookmarkEnd w:id="558"/>
      <w:bookmarkEnd w:id="559"/>
      <w:bookmarkEnd w:id="560"/>
      <w:bookmarkEnd w:id="561"/>
      <w:bookmarkEnd w:id="562"/>
      <w:bookmarkEnd w:id="563"/>
      <w:bookmarkEnd w:id="56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5"/>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4"/>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566" w:name="_Toc331685784"/>
      <w:r>
        <w:rPr>
          <w:rFonts w:hint="eastAsia" w:ascii="仿宋" w:hAnsi="仿宋" w:eastAsia="仿宋" w:cs="仿宋"/>
          <w:b/>
          <w:szCs w:val="24"/>
        </w:rPr>
        <w:t>第三部分  合同专用条款</w:t>
      </w:r>
      <w:bookmarkEnd w:id="56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560" w:lineRule="exact"/>
              <w:rPr>
                <w:rFonts w:hint="eastAsia" w:ascii="仿宋" w:hAnsi="仿宋" w:eastAsia="仿宋" w:cs="仿宋"/>
                <w:sz w:val="24"/>
              </w:rPr>
            </w:pPr>
          </w:p>
        </w:tc>
        <w:tc>
          <w:tcPr>
            <w:tcW w:w="7633" w:type="dxa"/>
            <w:noWrap w:val="0"/>
            <w:vAlign w:val="center"/>
          </w:tcPr>
          <w:p>
            <w:pPr>
              <w:spacing w:line="560" w:lineRule="exact"/>
              <w:rPr>
                <w:rFonts w:hint="eastAsia" w:ascii="仿宋" w:hAnsi="仿宋" w:eastAsia="仿宋" w:cs="仿宋"/>
                <w:sz w:val="24"/>
              </w:rPr>
            </w:pPr>
          </w:p>
        </w:tc>
      </w:tr>
    </w:tbl>
    <w:p>
      <w:pPr>
        <w:spacing w:after="156" w:line="560" w:lineRule="exact"/>
        <w:ind w:firstLine="480"/>
        <w:rPr>
          <w:rFonts w:hint="eastAsia" w:ascii="仿宋" w:hAnsi="仿宋" w:eastAsia="仿宋" w:cs="仿宋"/>
        </w:rPr>
      </w:pPr>
    </w:p>
    <w:p>
      <w:pPr>
        <w:pStyle w:val="2"/>
        <w:spacing w:before="0" w:line="240" w:lineRule="atLeast"/>
        <w:ind w:left="1080" w:leftChars="257" w:hanging="540"/>
        <w:rPr>
          <w:rFonts w:hint="eastAsia" w:ascii="仿宋" w:hAnsi="仿宋" w:eastAsia="仿宋" w:cs="仿宋"/>
          <w:sz w:val="24"/>
        </w:rPr>
      </w:pPr>
    </w:p>
    <w:p>
      <w:pPr>
        <w:rPr>
          <w:rFonts w:hint="eastAsia" w:ascii="仿宋" w:hAnsi="仿宋" w:eastAsia="仿宋" w:cs="仿宋"/>
        </w:rPr>
      </w:pPr>
    </w:p>
    <w:p>
      <w:pPr>
        <w:pStyle w:val="6"/>
        <w:spacing w:line="240" w:lineRule="atLeast"/>
        <w:ind w:left="1080" w:leftChars="257" w:hanging="540"/>
        <w:rPr>
          <w:rFonts w:hint="eastAsia" w:ascii="仿宋" w:hAnsi="仿宋" w:eastAsia="仿宋" w:cs="仿宋"/>
          <w:color w:val="000000"/>
          <w:sz w:val="24"/>
          <w:szCs w:val="18"/>
          <w:highlight w:val="none"/>
        </w:rPr>
      </w:pPr>
    </w:p>
    <w:p>
      <w:pPr>
        <w:pStyle w:val="6"/>
        <w:spacing w:line="240" w:lineRule="atLeast"/>
        <w:ind w:left="1080" w:leftChars="257" w:hanging="540"/>
        <w:rPr>
          <w:rFonts w:hint="eastAsia" w:ascii="仿宋" w:hAnsi="仿宋" w:eastAsia="仿宋" w:cs="仿宋"/>
          <w:color w:val="000000"/>
          <w:sz w:val="28"/>
          <w:highlight w:val="none"/>
        </w:rPr>
      </w:pPr>
    </w:p>
    <w:sectPr>
      <w:headerReference r:id="rId23" w:type="default"/>
      <w:footerReference r:id="rId2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p>
    <w:pPr>
      <w:pStyle w:val="2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right"/>
      <w:rPr>
        <w:rFonts w:hint="eastAsia"/>
      </w:rPr>
    </w:pPr>
    <w:r>
      <w:rPr>
        <w:sz w:val="18"/>
      </w:rPr>
      <w:pict>
        <v:shape id="_x0000_s2067" o:spid="_x0000_s206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2"/>
      </w:rPr>
    </w:pPr>
    <w:r>
      <w:fldChar w:fldCharType="begin"/>
    </w:r>
    <w:r>
      <w:rPr>
        <w:rStyle w:val="42"/>
      </w:rPr>
      <w:instrText xml:space="preserve">PAGE  </w:instrText>
    </w:r>
    <w:r>
      <w:fldChar w:fldCharType="end"/>
    </w:r>
  </w:p>
  <w:p>
    <w:pPr>
      <w:pStyle w:val="2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2"/>
      </w:rPr>
    </w:pPr>
  </w:p>
  <w:p>
    <w:pPr>
      <w:pStyle w:val="22"/>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w:r>
  </w:p>
  <w:p>
    <w:pPr>
      <w:pStyle w:val="22"/>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2"/>
      </w:rPr>
    </w:pPr>
    <w:r>
      <w:fldChar w:fldCharType="begin"/>
    </w:r>
    <w:r>
      <w:rPr>
        <w:rStyle w:val="42"/>
      </w:rPr>
      <w:instrText xml:space="preserve">PAGE  </w:instrText>
    </w:r>
    <w:r>
      <w:fldChar w:fldCharType="end"/>
    </w:r>
  </w:p>
  <w:p>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w:pict>
        <v:shape id="_x0000_s2068" o:spid="_x0000_s206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EBD7D177"/>
    <w:multiLevelType w:val="singleLevel"/>
    <w:tmpl w:val="EBD7D177"/>
    <w:lvl w:ilvl="0" w:tentative="0">
      <w:start w:val="3"/>
      <w:numFmt w:val="chineseCounting"/>
      <w:suff w:val="nothing"/>
      <w:lvlText w:val="%1、"/>
      <w:lvlJc w:val="left"/>
      <w:rPr>
        <w:rFonts w:hint="eastAsia"/>
      </w:rPr>
    </w:lvl>
  </w:abstractNum>
  <w:abstractNum w:abstractNumId="2">
    <w:nsid w:val="0FF9642E"/>
    <w:multiLevelType w:val="multilevel"/>
    <w:tmpl w:val="0FF9642E"/>
    <w:lvl w:ilvl="0" w:tentative="0">
      <w:start w:val="1"/>
      <w:numFmt w:val="decimal"/>
      <w:lvlText w:val="第%1章"/>
      <w:lvlJc w:val="left"/>
      <w:pPr>
        <w:tabs>
          <w:tab w:val="left" w:pos="3134"/>
        </w:tabs>
        <w:ind w:left="4440"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
    <w:nsid w:val="14694C14"/>
    <w:multiLevelType w:val="singleLevel"/>
    <w:tmpl w:val="14694C14"/>
    <w:lvl w:ilvl="0" w:tentative="0">
      <w:start w:val="1"/>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C536AA0"/>
    <w:multiLevelType w:val="multilevel"/>
    <w:tmpl w:val="3C536AA0"/>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49C7C59"/>
    <w:multiLevelType w:val="singleLevel"/>
    <w:tmpl w:val="449C7C59"/>
    <w:lvl w:ilvl="0" w:tentative="0">
      <w:start w:val="5"/>
      <w:numFmt w:val="decimal"/>
      <w:suff w:val="space"/>
      <w:lvlText w:val="第%1章"/>
      <w:lvlJc w:val="left"/>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2"/>
  </w:num>
  <w:num w:numId="2">
    <w:abstractNumId w:val="5"/>
  </w:num>
  <w:num w:numId="3">
    <w:abstractNumId w:val="8"/>
  </w:num>
  <w:num w:numId="4">
    <w:abstractNumId w:val="0"/>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N2JiNjU5NTVhZDJmMmQ1MmVlYzk2MTkxYzdiY2E1OGQ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3F68"/>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219F"/>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933"/>
    <w:rsid w:val="003A6B72"/>
    <w:rsid w:val="003B020F"/>
    <w:rsid w:val="003B3917"/>
    <w:rsid w:val="003B41D9"/>
    <w:rsid w:val="003B4356"/>
    <w:rsid w:val="003B5422"/>
    <w:rsid w:val="003B7293"/>
    <w:rsid w:val="003B7D7E"/>
    <w:rsid w:val="003C0EF3"/>
    <w:rsid w:val="003C53B2"/>
    <w:rsid w:val="003C6422"/>
    <w:rsid w:val="003C6C9A"/>
    <w:rsid w:val="003D5FC9"/>
    <w:rsid w:val="003D6961"/>
    <w:rsid w:val="003E2C77"/>
    <w:rsid w:val="003E2C89"/>
    <w:rsid w:val="003E3C14"/>
    <w:rsid w:val="003E6516"/>
    <w:rsid w:val="003E747A"/>
    <w:rsid w:val="003F0149"/>
    <w:rsid w:val="003F11BD"/>
    <w:rsid w:val="003F396B"/>
    <w:rsid w:val="003F4748"/>
    <w:rsid w:val="003F61AC"/>
    <w:rsid w:val="00401267"/>
    <w:rsid w:val="00401B70"/>
    <w:rsid w:val="00402836"/>
    <w:rsid w:val="0040298F"/>
    <w:rsid w:val="0040367C"/>
    <w:rsid w:val="00404B23"/>
    <w:rsid w:val="00405154"/>
    <w:rsid w:val="004109B8"/>
    <w:rsid w:val="00410FBC"/>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470E1"/>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76998"/>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D6DEB"/>
    <w:rsid w:val="004E0517"/>
    <w:rsid w:val="004E0C12"/>
    <w:rsid w:val="004E13F0"/>
    <w:rsid w:val="004E4854"/>
    <w:rsid w:val="004E5FCE"/>
    <w:rsid w:val="004E616D"/>
    <w:rsid w:val="004F036B"/>
    <w:rsid w:val="004F052D"/>
    <w:rsid w:val="004F0E54"/>
    <w:rsid w:val="004F3F46"/>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34C2F"/>
    <w:rsid w:val="00540C55"/>
    <w:rsid w:val="00542227"/>
    <w:rsid w:val="005422EB"/>
    <w:rsid w:val="0054426F"/>
    <w:rsid w:val="0054508F"/>
    <w:rsid w:val="00546903"/>
    <w:rsid w:val="00546F3A"/>
    <w:rsid w:val="005475C6"/>
    <w:rsid w:val="00550C61"/>
    <w:rsid w:val="00550FFE"/>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89D"/>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27BF"/>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46CBF"/>
    <w:rsid w:val="00653EEF"/>
    <w:rsid w:val="00656DB1"/>
    <w:rsid w:val="0065706C"/>
    <w:rsid w:val="006570F3"/>
    <w:rsid w:val="006574CA"/>
    <w:rsid w:val="00663087"/>
    <w:rsid w:val="006631B5"/>
    <w:rsid w:val="006633B3"/>
    <w:rsid w:val="00666E6E"/>
    <w:rsid w:val="00667926"/>
    <w:rsid w:val="00672A07"/>
    <w:rsid w:val="00672A3D"/>
    <w:rsid w:val="00673284"/>
    <w:rsid w:val="00673C56"/>
    <w:rsid w:val="00674E3C"/>
    <w:rsid w:val="00684218"/>
    <w:rsid w:val="00684A17"/>
    <w:rsid w:val="0068548A"/>
    <w:rsid w:val="00686ACA"/>
    <w:rsid w:val="006904AF"/>
    <w:rsid w:val="00693C8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B7741"/>
    <w:rsid w:val="006C0F43"/>
    <w:rsid w:val="006C2D51"/>
    <w:rsid w:val="006C3C74"/>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1E4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458"/>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5B96"/>
    <w:rsid w:val="007863E1"/>
    <w:rsid w:val="007910D3"/>
    <w:rsid w:val="0079336E"/>
    <w:rsid w:val="00797BFE"/>
    <w:rsid w:val="007A5BD0"/>
    <w:rsid w:val="007B4B46"/>
    <w:rsid w:val="007B5E5F"/>
    <w:rsid w:val="007B6CA0"/>
    <w:rsid w:val="007B6F71"/>
    <w:rsid w:val="007C06F8"/>
    <w:rsid w:val="007C27E5"/>
    <w:rsid w:val="007C2E24"/>
    <w:rsid w:val="007C3F78"/>
    <w:rsid w:val="007C4B09"/>
    <w:rsid w:val="007C6167"/>
    <w:rsid w:val="007C6455"/>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1049"/>
    <w:rsid w:val="0085232F"/>
    <w:rsid w:val="00854E2A"/>
    <w:rsid w:val="008550CD"/>
    <w:rsid w:val="00857E3A"/>
    <w:rsid w:val="00861135"/>
    <w:rsid w:val="00863E40"/>
    <w:rsid w:val="00864495"/>
    <w:rsid w:val="0086449D"/>
    <w:rsid w:val="008651BC"/>
    <w:rsid w:val="00866B3F"/>
    <w:rsid w:val="00867059"/>
    <w:rsid w:val="00867A5A"/>
    <w:rsid w:val="008711B1"/>
    <w:rsid w:val="00871FBA"/>
    <w:rsid w:val="00872119"/>
    <w:rsid w:val="008722FB"/>
    <w:rsid w:val="00874256"/>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0918"/>
    <w:rsid w:val="00947632"/>
    <w:rsid w:val="0094786C"/>
    <w:rsid w:val="00947B9F"/>
    <w:rsid w:val="00947FB4"/>
    <w:rsid w:val="00952834"/>
    <w:rsid w:val="00952D2F"/>
    <w:rsid w:val="00952D60"/>
    <w:rsid w:val="00952E44"/>
    <w:rsid w:val="00955447"/>
    <w:rsid w:val="00955A17"/>
    <w:rsid w:val="00957C50"/>
    <w:rsid w:val="00960E12"/>
    <w:rsid w:val="0096331F"/>
    <w:rsid w:val="00963914"/>
    <w:rsid w:val="00963A90"/>
    <w:rsid w:val="00966C71"/>
    <w:rsid w:val="009729D8"/>
    <w:rsid w:val="0097453F"/>
    <w:rsid w:val="00974577"/>
    <w:rsid w:val="00975045"/>
    <w:rsid w:val="0097622D"/>
    <w:rsid w:val="00976670"/>
    <w:rsid w:val="00976BC3"/>
    <w:rsid w:val="00976E64"/>
    <w:rsid w:val="00977929"/>
    <w:rsid w:val="0098426D"/>
    <w:rsid w:val="009851AF"/>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98E"/>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AE7"/>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5D62"/>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139D"/>
    <w:rsid w:val="00C62A8F"/>
    <w:rsid w:val="00C634E0"/>
    <w:rsid w:val="00C671BC"/>
    <w:rsid w:val="00C70919"/>
    <w:rsid w:val="00C759E4"/>
    <w:rsid w:val="00C75BEC"/>
    <w:rsid w:val="00C80D96"/>
    <w:rsid w:val="00C82CA8"/>
    <w:rsid w:val="00C83560"/>
    <w:rsid w:val="00C836E3"/>
    <w:rsid w:val="00C83A19"/>
    <w:rsid w:val="00C8527E"/>
    <w:rsid w:val="00C855D2"/>
    <w:rsid w:val="00C85E96"/>
    <w:rsid w:val="00C86FBD"/>
    <w:rsid w:val="00C9128F"/>
    <w:rsid w:val="00C91666"/>
    <w:rsid w:val="00C9219D"/>
    <w:rsid w:val="00C923D5"/>
    <w:rsid w:val="00C9249C"/>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89F"/>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1955"/>
    <w:rsid w:val="00E42235"/>
    <w:rsid w:val="00E43B3E"/>
    <w:rsid w:val="00E4414C"/>
    <w:rsid w:val="00E443BA"/>
    <w:rsid w:val="00E45FB7"/>
    <w:rsid w:val="00E470CE"/>
    <w:rsid w:val="00E50F94"/>
    <w:rsid w:val="00E528C9"/>
    <w:rsid w:val="00E5462E"/>
    <w:rsid w:val="00E61156"/>
    <w:rsid w:val="00E62AD0"/>
    <w:rsid w:val="00E65605"/>
    <w:rsid w:val="00E65AFF"/>
    <w:rsid w:val="00E6767D"/>
    <w:rsid w:val="00E7411A"/>
    <w:rsid w:val="00E77A83"/>
    <w:rsid w:val="00E84814"/>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7F6"/>
    <w:rsid w:val="00F0680A"/>
    <w:rsid w:val="00F06ED0"/>
    <w:rsid w:val="00F12013"/>
    <w:rsid w:val="00F12999"/>
    <w:rsid w:val="00F13822"/>
    <w:rsid w:val="00F14565"/>
    <w:rsid w:val="00F14A70"/>
    <w:rsid w:val="00F175A5"/>
    <w:rsid w:val="00F21E39"/>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723"/>
    <w:rsid w:val="00F46AD5"/>
    <w:rsid w:val="00F47DCD"/>
    <w:rsid w:val="00F50CA4"/>
    <w:rsid w:val="00F50CE7"/>
    <w:rsid w:val="00F51438"/>
    <w:rsid w:val="00F5301A"/>
    <w:rsid w:val="00F549E7"/>
    <w:rsid w:val="00F5550D"/>
    <w:rsid w:val="00F618BB"/>
    <w:rsid w:val="00F6302F"/>
    <w:rsid w:val="00F67625"/>
    <w:rsid w:val="00F70A23"/>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333953"/>
    <w:rsid w:val="01592D24"/>
    <w:rsid w:val="01775986"/>
    <w:rsid w:val="018E7ABF"/>
    <w:rsid w:val="0198796C"/>
    <w:rsid w:val="01AB1D86"/>
    <w:rsid w:val="01AC7B8B"/>
    <w:rsid w:val="01C04E49"/>
    <w:rsid w:val="01C133B8"/>
    <w:rsid w:val="01E34F8B"/>
    <w:rsid w:val="02004BC4"/>
    <w:rsid w:val="020F2171"/>
    <w:rsid w:val="02192B92"/>
    <w:rsid w:val="0247556A"/>
    <w:rsid w:val="02A3645B"/>
    <w:rsid w:val="02F778BD"/>
    <w:rsid w:val="03121468"/>
    <w:rsid w:val="03791753"/>
    <w:rsid w:val="03800D34"/>
    <w:rsid w:val="03822C68"/>
    <w:rsid w:val="039F2BBC"/>
    <w:rsid w:val="03D1333D"/>
    <w:rsid w:val="03D96AC5"/>
    <w:rsid w:val="047862F9"/>
    <w:rsid w:val="04E46DE8"/>
    <w:rsid w:val="05071955"/>
    <w:rsid w:val="050B36B6"/>
    <w:rsid w:val="051E3875"/>
    <w:rsid w:val="0533125B"/>
    <w:rsid w:val="054F4EE9"/>
    <w:rsid w:val="05A36F5B"/>
    <w:rsid w:val="060542D0"/>
    <w:rsid w:val="06563FCE"/>
    <w:rsid w:val="06AB5586"/>
    <w:rsid w:val="06BF2353"/>
    <w:rsid w:val="06CB44B7"/>
    <w:rsid w:val="06EE20B1"/>
    <w:rsid w:val="071F6AB6"/>
    <w:rsid w:val="072744D7"/>
    <w:rsid w:val="075524D7"/>
    <w:rsid w:val="075B63E2"/>
    <w:rsid w:val="076A2856"/>
    <w:rsid w:val="07877DBB"/>
    <w:rsid w:val="07B1625B"/>
    <w:rsid w:val="07D96E9C"/>
    <w:rsid w:val="082522C9"/>
    <w:rsid w:val="08534B88"/>
    <w:rsid w:val="0880773A"/>
    <w:rsid w:val="08C031CE"/>
    <w:rsid w:val="08D276BA"/>
    <w:rsid w:val="08F062C2"/>
    <w:rsid w:val="08F55202"/>
    <w:rsid w:val="08FC70AE"/>
    <w:rsid w:val="090B19E1"/>
    <w:rsid w:val="0910646C"/>
    <w:rsid w:val="094C41B9"/>
    <w:rsid w:val="095A3DD5"/>
    <w:rsid w:val="09AC6517"/>
    <w:rsid w:val="09E15530"/>
    <w:rsid w:val="09E57B43"/>
    <w:rsid w:val="09EA5159"/>
    <w:rsid w:val="0A1B58FF"/>
    <w:rsid w:val="0A2335E3"/>
    <w:rsid w:val="0A3867E6"/>
    <w:rsid w:val="0A4725AB"/>
    <w:rsid w:val="0A5151D8"/>
    <w:rsid w:val="0A6D7B49"/>
    <w:rsid w:val="0A755B00"/>
    <w:rsid w:val="0AA63267"/>
    <w:rsid w:val="0AB87005"/>
    <w:rsid w:val="0AD11D45"/>
    <w:rsid w:val="0AE047FE"/>
    <w:rsid w:val="0AE903B8"/>
    <w:rsid w:val="0B113E1C"/>
    <w:rsid w:val="0B1873A5"/>
    <w:rsid w:val="0B1E2716"/>
    <w:rsid w:val="0B584344"/>
    <w:rsid w:val="0B5961B4"/>
    <w:rsid w:val="0B7462A1"/>
    <w:rsid w:val="0B9C6927"/>
    <w:rsid w:val="0BA16641"/>
    <w:rsid w:val="0BEE4B46"/>
    <w:rsid w:val="0BF70980"/>
    <w:rsid w:val="0C9661EF"/>
    <w:rsid w:val="0CAC6BB6"/>
    <w:rsid w:val="0CC34F37"/>
    <w:rsid w:val="0CC80889"/>
    <w:rsid w:val="0CD8573D"/>
    <w:rsid w:val="0CEA1C84"/>
    <w:rsid w:val="0CF467AA"/>
    <w:rsid w:val="0D52069E"/>
    <w:rsid w:val="0D864353"/>
    <w:rsid w:val="0DD505F0"/>
    <w:rsid w:val="0DE40862"/>
    <w:rsid w:val="0DEA5E6A"/>
    <w:rsid w:val="0DFC36FB"/>
    <w:rsid w:val="0E0013EF"/>
    <w:rsid w:val="0E333E52"/>
    <w:rsid w:val="0E6122BA"/>
    <w:rsid w:val="0E924011"/>
    <w:rsid w:val="0EB37705"/>
    <w:rsid w:val="0F0106A7"/>
    <w:rsid w:val="0F0D26CC"/>
    <w:rsid w:val="0F184ADA"/>
    <w:rsid w:val="0F3F29DE"/>
    <w:rsid w:val="0FA1669B"/>
    <w:rsid w:val="0FA32E66"/>
    <w:rsid w:val="0FD07480"/>
    <w:rsid w:val="0FFA7624"/>
    <w:rsid w:val="101B1843"/>
    <w:rsid w:val="10B804EE"/>
    <w:rsid w:val="10D27139"/>
    <w:rsid w:val="10EF538B"/>
    <w:rsid w:val="11312DC0"/>
    <w:rsid w:val="114701EB"/>
    <w:rsid w:val="118848CF"/>
    <w:rsid w:val="11AB1590"/>
    <w:rsid w:val="11C11380"/>
    <w:rsid w:val="11DE30D8"/>
    <w:rsid w:val="12092462"/>
    <w:rsid w:val="120F2891"/>
    <w:rsid w:val="121C431D"/>
    <w:rsid w:val="121D403F"/>
    <w:rsid w:val="1264260D"/>
    <w:rsid w:val="12716CB4"/>
    <w:rsid w:val="129832B1"/>
    <w:rsid w:val="129F7C67"/>
    <w:rsid w:val="12CB268D"/>
    <w:rsid w:val="13117400"/>
    <w:rsid w:val="131D39A4"/>
    <w:rsid w:val="1331023E"/>
    <w:rsid w:val="13380DD8"/>
    <w:rsid w:val="1344521A"/>
    <w:rsid w:val="1345318E"/>
    <w:rsid w:val="135875D7"/>
    <w:rsid w:val="13645ACB"/>
    <w:rsid w:val="13E957B5"/>
    <w:rsid w:val="13F54664"/>
    <w:rsid w:val="14412BB2"/>
    <w:rsid w:val="14641D14"/>
    <w:rsid w:val="146F2D0E"/>
    <w:rsid w:val="146F703C"/>
    <w:rsid w:val="14D94203"/>
    <w:rsid w:val="14EA0703"/>
    <w:rsid w:val="150B2427"/>
    <w:rsid w:val="152534E9"/>
    <w:rsid w:val="152F6116"/>
    <w:rsid w:val="15A078BC"/>
    <w:rsid w:val="15AE733A"/>
    <w:rsid w:val="1643020E"/>
    <w:rsid w:val="165276B0"/>
    <w:rsid w:val="16F93153"/>
    <w:rsid w:val="17253C74"/>
    <w:rsid w:val="172A1253"/>
    <w:rsid w:val="174049D0"/>
    <w:rsid w:val="17807C9B"/>
    <w:rsid w:val="17F81646"/>
    <w:rsid w:val="18904498"/>
    <w:rsid w:val="18972950"/>
    <w:rsid w:val="18982224"/>
    <w:rsid w:val="18A3471E"/>
    <w:rsid w:val="18ED431E"/>
    <w:rsid w:val="190D3E3D"/>
    <w:rsid w:val="19240802"/>
    <w:rsid w:val="192B246C"/>
    <w:rsid w:val="192B4DF7"/>
    <w:rsid w:val="193366FA"/>
    <w:rsid w:val="194F5E74"/>
    <w:rsid w:val="196B52AE"/>
    <w:rsid w:val="19856C4C"/>
    <w:rsid w:val="19B53C5F"/>
    <w:rsid w:val="19BA6371"/>
    <w:rsid w:val="19F90D7B"/>
    <w:rsid w:val="1A165AF6"/>
    <w:rsid w:val="1A3C1CBB"/>
    <w:rsid w:val="1A4964D8"/>
    <w:rsid w:val="1A4E34E2"/>
    <w:rsid w:val="1A7F18ED"/>
    <w:rsid w:val="1A820B06"/>
    <w:rsid w:val="1ABE11AA"/>
    <w:rsid w:val="1AC47300"/>
    <w:rsid w:val="1AF6583C"/>
    <w:rsid w:val="1B7B66B5"/>
    <w:rsid w:val="1B894627"/>
    <w:rsid w:val="1B8B0910"/>
    <w:rsid w:val="1B967424"/>
    <w:rsid w:val="1C225F98"/>
    <w:rsid w:val="1C272EF4"/>
    <w:rsid w:val="1C4C57FF"/>
    <w:rsid w:val="1C7F3E27"/>
    <w:rsid w:val="1CAE64BA"/>
    <w:rsid w:val="1CBB5B95"/>
    <w:rsid w:val="1CC17F9B"/>
    <w:rsid w:val="1CDD6AD1"/>
    <w:rsid w:val="1D02622A"/>
    <w:rsid w:val="1D320A97"/>
    <w:rsid w:val="1D3541D9"/>
    <w:rsid w:val="1D3E6FE0"/>
    <w:rsid w:val="1D4F2685"/>
    <w:rsid w:val="1D5F1562"/>
    <w:rsid w:val="1DCF5CE9"/>
    <w:rsid w:val="1E081BFA"/>
    <w:rsid w:val="1E3E2D25"/>
    <w:rsid w:val="1E426EBA"/>
    <w:rsid w:val="1E4507E4"/>
    <w:rsid w:val="1E5219F4"/>
    <w:rsid w:val="1E6210B8"/>
    <w:rsid w:val="1EC014EF"/>
    <w:rsid w:val="1EC664F8"/>
    <w:rsid w:val="1EDA6951"/>
    <w:rsid w:val="1EE34AF2"/>
    <w:rsid w:val="1FB83BBA"/>
    <w:rsid w:val="1FF318DD"/>
    <w:rsid w:val="1FF91559"/>
    <w:rsid w:val="200A3A07"/>
    <w:rsid w:val="204A64FA"/>
    <w:rsid w:val="20762E53"/>
    <w:rsid w:val="20D920A8"/>
    <w:rsid w:val="20E166A5"/>
    <w:rsid w:val="21132D8F"/>
    <w:rsid w:val="2116462E"/>
    <w:rsid w:val="21442F49"/>
    <w:rsid w:val="219A700D"/>
    <w:rsid w:val="21A32365"/>
    <w:rsid w:val="21A3266E"/>
    <w:rsid w:val="21C92CFB"/>
    <w:rsid w:val="21D414F5"/>
    <w:rsid w:val="22155EFF"/>
    <w:rsid w:val="221D3FAD"/>
    <w:rsid w:val="22322360"/>
    <w:rsid w:val="226006F6"/>
    <w:rsid w:val="22E61393"/>
    <w:rsid w:val="23207452"/>
    <w:rsid w:val="23474F72"/>
    <w:rsid w:val="2364528E"/>
    <w:rsid w:val="2395665B"/>
    <w:rsid w:val="239C42E6"/>
    <w:rsid w:val="241B7961"/>
    <w:rsid w:val="24A91605"/>
    <w:rsid w:val="24F36825"/>
    <w:rsid w:val="252922FF"/>
    <w:rsid w:val="25341526"/>
    <w:rsid w:val="25445D9E"/>
    <w:rsid w:val="257B5BEF"/>
    <w:rsid w:val="26284BE7"/>
    <w:rsid w:val="263D4A6F"/>
    <w:rsid w:val="26437C73"/>
    <w:rsid w:val="265C52FC"/>
    <w:rsid w:val="267B565F"/>
    <w:rsid w:val="26A10D09"/>
    <w:rsid w:val="26CF57CC"/>
    <w:rsid w:val="26EA3C96"/>
    <w:rsid w:val="27022042"/>
    <w:rsid w:val="27640C62"/>
    <w:rsid w:val="276C29FF"/>
    <w:rsid w:val="27A54A31"/>
    <w:rsid w:val="27AB4523"/>
    <w:rsid w:val="27B13177"/>
    <w:rsid w:val="27F6479E"/>
    <w:rsid w:val="28090A48"/>
    <w:rsid w:val="282059D2"/>
    <w:rsid w:val="2836300E"/>
    <w:rsid w:val="28855A7D"/>
    <w:rsid w:val="28A9755D"/>
    <w:rsid w:val="28DA1012"/>
    <w:rsid w:val="28E82768"/>
    <w:rsid w:val="297F5466"/>
    <w:rsid w:val="29B328DF"/>
    <w:rsid w:val="29EB624B"/>
    <w:rsid w:val="29EC23D0"/>
    <w:rsid w:val="29F43901"/>
    <w:rsid w:val="29FD63E9"/>
    <w:rsid w:val="2A0876CB"/>
    <w:rsid w:val="2A270611"/>
    <w:rsid w:val="2A472991"/>
    <w:rsid w:val="2A9949B6"/>
    <w:rsid w:val="2A9D1189"/>
    <w:rsid w:val="2A9F7442"/>
    <w:rsid w:val="2ABF25ED"/>
    <w:rsid w:val="2AD74E2E"/>
    <w:rsid w:val="2AE7106A"/>
    <w:rsid w:val="2B2A3917"/>
    <w:rsid w:val="2B593A95"/>
    <w:rsid w:val="2BCF560F"/>
    <w:rsid w:val="2BE74A05"/>
    <w:rsid w:val="2BE95450"/>
    <w:rsid w:val="2C0440A1"/>
    <w:rsid w:val="2C1124EA"/>
    <w:rsid w:val="2C2643AF"/>
    <w:rsid w:val="2CC76232"/>
    <w:rsid w:val="2CE81574"/>
    <w:rsid w:val="2CF271A5"/>
    <w:rsid w:val="2D1C7470"/>
    <w:rsid w:val="2D395076"/>
    <w:rsid w:val="2D3B3693"/>
    <w:rsid w:val="2D426A09"/>
    <w:rsid w:val="2D69305E"/>
    <w:rsid w:val="2D78301E"/>
    <w:rsid w:val="2D8400D7"/>
    <w:rsid w:val="2D851D9A"/>
    <w:rsid w:val="2E4B691E"/>
    <w:rsid w:val="2EDE0726"/>
    <w:rsid w:val="2F5432E2"/>
    <w:rsid w:val="2F650C5A"/>
    <w:rsid w:val="2F7B10A8"/>
    <w:rsid w:val="2F9634CD"/>
    <w:rsid w:val="2FE7396B"/>
    <w:rsid w:val="300D7D4A"/>
    <w:rsid w:val="309E313D"/>
    <w:rsid w:val="30B77333"/>
    <w:rsid w:val="31591565"/>
    <w:rsid w:val="317258B0"/>
    <w:rsid w:val="317E6003"/>
    <w:rsid w:val="31CC3E43"/>
    <w:rsid w:val="31CC4FC0"/>
    <w:rsid w:val="31D1455C"/>
    <w:rsid w:val="31D32E61"/>
    <w:rsid w:val="31E700F2"/>
    <w:rsid w:val="31FE7C49"/>
    <w:rsid w:val="321D403E"/>
    <w:rsid w:val="322070BA"/>
    <w:rsid w:val="322F37A1"/>
    <w:rsid w:val="32406EF5"/>
    <w:rsid w:val="324463DD"/>
    <w:rsid w:val="324F79A0"/>
    <w:rsid w:val="32C5103D"/>
    <w:rsid w:val="32DA4D9D"/>
    <w:rsid w:val="330733A8"/>
    <w:rsid w:val="332901F1"/>
    <w:rsid w:val="3337444C"/>
    <w:rsid w:val="33995376"/>
    <w:rsid w:val="33DE722D"/>
    <w:rsid w:val="33FB0DDF"/>
    <w:rsid w:val="346644D8"/>
    <w:rsid w:val="34D47B0A"/>
    <w:rsid w:val="34D84DA0"/>
    <w:rsid w:val="34F5482E"/>
    <w:rsid w:val="351D5F0F"/>
    <w:rsid w:val="352C5D76"/>
    <w:rsid w:val="35425F9B"/>
    <w:rsid w:val="35AB313F"/>
    <w:rsid w:val="35B6520A"/>
    <w:rsid w:val="35E60968"/>
    <w:rsid w:val="360607D9"/>
    <w:rsid w:val="36190C5C"/>
    <w:rsid w:val="363D616D"/>
    <w:rsid w:val="36617AB4"/>
    <w:rsid w:val="3680580C"/>
    <w:rsid w:val="36E27E9F"/>
    <w:rsid w:val="36E81F5E"/>
    <w:rsid w:val="373047DD"/>
    <w:rsid w:val="375C30B0"/>
    <w:rsid w:val="376021F7"/>
    <w:rsid w:val="37F7266B"/>
    <w:rsid w:val="380641E7"/>
    <w:rsid w:val="38124861"/>
    <w:rsid w:val="381B79C3"/>
    <w:rsid w:val="38482D1C"/>
    <w:rsid w:val="385A07E5"/>
    <w:rsid w:val="389E008F"/>
    <w:rsid w:val="38A94C99"/>
    <w:rsid w:val="38BC3F4C"/>
    <w:rsid w:val="38D6246F"/>
    <w:rsid w:val="38DF3E75"/>
    <w:rsid w:val="38F00189"/>
    <w:rsid w:val="395F4B2D"/>
    <w:rsid w:val="39893797"/>
    <w:rsid w:val="399334B6"/>
    <w:rsid w:val="39995F33"/>
    <w:rsid w:val="39FE23D7"/>
    <w:rsid w:val="3A347BA7"/>
    <w:rsid w:val="3A3C70DA"/>
    <w:rsid w:val="3A8E5D10"/>
    <w:rsid w:val="3AB900AC"/>
    <w:rsid w:val="3AD9490D"/>
    <w:rsid w:val="3AE11A4E"/>
    <w:rsid w:val="3B10495E"/>
    <w:rsid w:val="3B2A4FB6"/>
    <w:rsid w:val="3B5F6EA5"/>
    <w:rsid w:val="3B932D9C"/>
    <w:rsid w:val="3BB86CD3"/>
    <w:rsid w:val="3BCB083D"/>
    <w:rsid w:val="3BCB5B0D"/>
    <w:rsid w:val="3BD26834"/>
    <w:rsid w:val="3BEC625F"/>
    <w:rsid w:val="3C19288C"/>
    <w:rsid w:val="3C516087"/>
    <w:rsid w:val="3C5D5A52"/>
    <w:rsid w:val="3C65052B"/>
    <w:rsid w:val="3C6A415F"/>
    <w:rsid w:val="3C791991"/>
    <w:rsid w:val="3C8768C8"/>
    <w:rsid w:val="3CB94393"/>
    <w:rsid w:val="3CBA43FC"/>
    <w:rsid w:val="3CCE5FE8"/>
    <w:rsid w:val="3CD1792F"/>
    <w:rsid w:val="3D475AC0"/>
    <w:rsid w:val="3D573AAE"/>
    <w:rsid w:val="3D7D7AB7"/>
    <w:rsid w:val="3DC54FBA"/>
    <w:rsid w:val="3DDC6AF7"/>
    <w:rsid w:val="3E42660A"/>
    <w:rsid w:val="3E5E6B64"/>
    <w:rsid w:val="3E5F1E94"/>
    <w:rsid w:val="3E7C1B1C"/>
    <w:rsid w:val="3E8916EE"/>
    <w:rsid w:val="3E955A06"/>
    <w:rsid w:val="3EC10360"/>
    <w:rsid w:val="3ED44C44"/>
    <w:rsid w:val="3EFE0737"/>
    <w:rsid w:val="3F022944"/>
    <w:rsid w:val="3F125943"/>
    <w:rsid w:val="3F566811"/>
    <w:rsid w:val="3F632287"/>
    <w:rsid w:val="3F817D6A"/>
    <w:rsid w:val="3FAB7767"/>
    <w:rsid w:val="3FAF4912"/>
    <w:rsid w:val="3FF65CE6"/>
    <w:rsid w:val="4001677D"/>
    <w:rsid w:val="40161AFD"/>
    <w:rsid w:val="405126BE"/>
    <w:rsid w:val="406A72FF"/>
    <w:rsid w:val="40CD787E"/>
    <w:rsid w:val="4151633F"/>
    <w:rsid w:val="41804241"/>
    <w:rsid w:val="41A62A0A"/>
    <w:rsid w:val="42010CB6"/>
    <w:rsid w:val="42162288"/>
    <w:rsid w:val="421B7832"/>
    <w:rsid w:val="42254A34"/>
    <w:rsid w:val="42855BC9"/>
    <w:rsid w:val="429462ED"/>
    <w:rsid w:val="42BC7DDF"/>
    <w:rsid w:val="42BE1986"/>
    <w:rsid w:val="42FC1899"/>
    <w:rsid w:val="43076C51"/>
    <w:rsid w:val="43104F29"/>
    <w:rsid w:val="432033BE"/>
    <w:rsid w:val="43776D56"/>
    <w:rsid w:val="437E2698"/>
    <w:rsid w:val="43AD43B9"/>
    <w:rsid w:val="44003B51"/>
    <w:rsid w:val="44201AAB"/>
    <w:rsid w:val="44780ABD"/>
    <w:rsid w:val="44805BE0"/>
    <w:rsid w:val="448A72D9"/>
    <w:rsid w:val="44EF1B82"/>
    <w:rsid w:val="45122A9A"/>
    <w:rsid w:val="455E59EB"/>
    <w:rsid w:val="45797C51"/>
    <w:rsid w:val="459B6D2C"/>
    <w:rsid w:val="45A166B9"/>
    <w:rsid w:val="45A168B6"/>
    <w:rsid w:val="45A81449"/>
    <w:rsid w:val="45DE7647"/>
    <w:rsid w:val="45E725A1"/>
    <w:rsid w:val="45EE4E64"/>
    <w:rsid w:val="461B2714"/>
    <w:rsid w:val="46244F73"/>
    <w:rsid w:val="4657626C"/>
    <w:rsid w:val="465C6982"/>
    <w:rsid w:val="46F41301"/>
    <w:rsid w:val="46F6158D"/>
    <w:rsid w:val="46FC6C97"/>
    <w:rsid w:val="470A5B17"/>
    <w:rsid w:val="47231D97"/>
    <w:rsid w:val="473D2DF8"/>
    <w:rsid w:val="473F0AAE"/>
    <w:rsid w:val="47D74B9C"/>
    <w:rsid w:val="47F66832"/>
    <w:rsid w:val="481D611E"/>
    <w:rsid w:val="486A20A2"/>
    <w:rsid w:val="498C3173"/>
    <w:rsid w:val="49A95790"/>
    <w:rsid w:val="49AF724A"/>
    <w:rsid w:val="49BA7429"/>
    <w:rsid w:val="49BF7BAD"/>
    <w:rsid w:val="4ABB577A"/>
    <w:rsid w:val="4AF869CF"/>
    <w:rsid w:val="4B214123"/>
    <w:rsid w:val="4B570338"/>
    <w:rsid w:val="4B807D59"/>
    <w:rsid w:val="4B83204C"/>
    <w:rsid w:val="4BA72EF2"/>
    <w:rsid w:val="4BDE3E16"/>
    <w:rsid w:val="4C3E203F"/>
    <w:rsid w:val="4C4A2448"/>
    <w:rsid w:val="4CA37009"/>
    <w:rsid w:val="4CF6285E"/>
    <w:rsid w:val="4DB27309"/>
    <w:rsid w:val="4DBF06EC"/>
    <w:rsid w:val="4DED52D5"/>
    <w:rsid w:val="4E217FEA"/>
    <w:rsid w:val="4E3B2540"/>
    <w:rsid w:val="4ECF17A1"/>
    <w:rsid w:val="4F136F24"/>
    <w:rsid w:val="4F342A5E"/>
    <w:rsid w:val="4F351F9F"/>
    <w:rsid w:val="4F73779A"/>
    <w:rsid w:val="4FB97DFA"/>
    <w:rsid w:val="4FEE3857"/>
    <w:rsid w:val="502A4E02"/>
    <w:rsid w:val="504B4D66"/>
    <w:rsid w:val="50902684"/>
    <w:rsid w:val="50A20E32"/>
    <w:rsid w:val="50DF56DA"/>
    <w:rsid w:val="50EA500B"/>
    <w:rsid w:val="516A1F01"/>
    <w:rsid w:val="51907961"/>
    <w:rsid w:val="52031FDD"/>
    <w:rsid w:val="523A25A8"/>
    <w:rsid w:val="523B0DC6"/>
    <w:rsid w:val="52693681"/>
    <w:rsid w:val="527103FC"/>
    <w:rsid w:val="52910A3B"/>
    <w:rsid w:val="529A792F"/>
    <w:rsid w:val="52A4759B"/>
    <w:rsid w:val="52B35629"/>
    <w:rsid w:val="52D32AFD"/>
    <w:rsid w:val="532C049D"/>
    <w:rsid w:val="53481136"/>
    <w:rsid w:val="5362532D"/>
    <w:rsid w:val="53916C12"/>
    <w:rsid w:val="539F3171"/>
    <w:rsid w:val="53C2720D"/>
    <w:rsid w:val="53E80794"/>
    <w:rsid w:val="54414C19"/>
    <w:rsid w:val="544C0A13"/>
    <w:rsid w:val="5471215B"/>
    <w:rsid w:val="54802DA4"/>
    <w:rsid w:val="54AE7824"/>
    <w:rsid w:val="54CA318A"/>
    <w:rsid w:val="54DC2EBD"/>
    <w:rsid w:val="54F0176D"/>
    <w:rsid w:val="550564C5"/>
    <w:rsid w:val="556829A3"/>
    <w:rsid w:val="55992337"/>
    <w:rsid w:val="561F1F50"/>
    <w:rsid w:val="56262AA1"/>
    <w:rsid w:val="562E2336"/>
    <w:rsid w:val="565F1615"/>
    <w:rsid w:val="56B670D7"/>
    <w:rsid w:val="56BA722E"/>
    <w:rsid w:val="56E5664D"/>
    <w:rsid w:val="56F35993"/>
    <w:rsid w:val="56FA762A"/>
    <w:rsid w:val="57995095"/>
    <w:rsid w:val="57B27C22"/>
    <w:rsid w:val="57E667F4"/>
    <w:rsid w:val="57F61A15"/>
    <w:rsid w:val="57FB7AFE"/>
    <w:rsid w:val="58632F34"/>
    <w:rsid w:val="58686D75"/>
    <w:rsid w:val="58863D65"/>
    <w:rsid w:val="588D4BFA"/>
    <w:rsid w:val="589E309B"/>
    <w:rsid w:val="58D26CDD"/>
    <w:rsid w:val="58DF6CF4"/>
    <w:rsid w:val="5904132B"/>
    <w:rsid w:val="59157827"/>
    <w:rsid w:val="594400A5"/>
    <w:rsid w:val="59460EC7"/>
    <w:rsid w:val="59641E81"/>
    <w:rsid w:val="598F6750"/>
    <w:rsid w:val="59A51405"/>
    <w:rsid w:val="59B06EA8"/>
    <w:rsid w:val="59C90F05"/>
    <w:rsid w:val="59CD2932"/>
    <w:rsid w:val="5A0C68A2"/>
    <w:rsid w:val="5A355549"/>
    <w:rsid w:val="5A3A2B60"/>
    <w:rsid w:val="5A425B48"/>
    <w:rsid w:val="5A55060E"/>
    <w:rsid w:val="5A695661"/>
    <w:rsid w:val="5A7F5484"/>
    <w:rsid w:val="5A9410D3"/>
    <w:rsid w:val="5AB23A35"/>
    <w:rsid w:val="5AF413B3"/>
    <w:rsid w:val="5B04773F"/>
    <w:rsid w:val="5B4F7AA0"/>
    <w:rsid w:val="5B7458E4"/>
    <w:rsid w:val="5B944FA2"/>
    <w:rsid w:val="5BBC24FA"/>
    <w:rsid w:val="5BDE4C01"/>
    <w:rsid w:val="5C3914B8"/>
    <w:rsid w:val="5C675762"/>
    <w:rsid w:val="5C6D68F5"/>
    <w:rsid w:val="5C85755D"/>
    <w:rsid w:val="5CB0284C"/>
    <w:rsid w:val="5CE018ED"/>
    <w:rsid w:val="5D0E478E"/>
    <w:rsid w:val="5D1F13A6"/>
    <w:rsid w:val="5D7647EC"/>
    <w:rsid w:val="5DBA1FF8"/>
    <w:rsid w:val="5DCA5FA9"/>
    <w:rsid w:val="5E1D3725"/>
    <w:rsid w:val="5E2735C3"/>
    <w:rsid w:val="5E37668B"/>
    <w:rsid w:val="5E5036FB"/>
    <w:rsid w:val="5E8A398A"/>
    <w:rsid w:val="5E9C51FA"/>
    <w:rsid w:val="5EC42D73"/>
    <w:rsid w:val="5ED54C52"/>
    <w:rsid w:val="5F161B26"/>
    <w:rsid w:val="5F267751"/>
    <w:rsid w:val="5F92436A"/>
    <w:rsid w:val="5F963BEE"/>
    <w:rsid w:val="5FE92BF5"/>
    <w:rsid w:val="5FF76DFD"/>
    <w:rsid w:val="601D73D2"/>
    <w:rsid w:val="60C3152C"/>
    <w:rsid w:val="60C346C6"/>
    <w:rsid w:val="60C73328"/>
    <w:rsid w:val="61141727"/>
    <w:rsid w:val="614918DA"/>
    <w:rsid w:val="61593740"/>
    <w:rsid w:val="618B1EF3"/>
    <w:rsid w:val="61D41829"/>
    <w:rsid w:val="61E433B1"/>
    <w:rsid w:val="623E0D13"/>
    <w:rsid w:val="62445441"/>
    <w:rsid w:val="62452491"/>
    <w:rsid w:val="625E1FC6"/>
    <w:rsid w:val="628F003F"/>
    <w:rsid w:val="62950332"/>
    <w:rsid w:val="62C54F90"/>
    <w:rsid w:val="630011AB"/>
    <w:rsid w:val="630048F7"/>
    <w:rsid w:val="63215DB8"/>
    <w:rsid w:val="632757F0"/>
    <w:rsid w:val="6342799E"/>
    <w:rsid w:val="639C2195"/>
    <w:rsid w:val="63B77B8E"/>
    <w:rsid w:val="63F3316E"/>
    <w:rsid w:val="63FA4DC2"/>
    <w:rsid w:val="64220275"/>
    <w:rsid w:val="643E06B3"/>
    <w:rsid w:val="6443691C"/>
    <w:rsid w:val="645079A9"/>
    <w:rsid w:val="646447D2"/>
    <w:rsid w:val="646B5735"/>
    <w:rsid w:val="64BE130D"/>
    <w:rsid w:val="65064BEE"/>
    <w:rsid w:val="650A4AEB"/>
    <w:rsid w:val="65160EC7"/>
    <w:rsid w:val="65762F21"/>
    <w:rsid w:val="65CB33B9"/>
    <w:rsid w:val="65D02B72"/>
    <w:rsid w:val="65D75707"/>
    <w:rsid w:val="65F362B8"/>
    <w:rsid w:val="660D737A"/>
    <w:rsid w:val="661D7DE2"/>
    <w:rsid w:val="66526AE4"/>
    <w:rsid w:val="666E595E"/>
    <w:rsid w:val="66763DB7"/>
    <w:rsid w:val="66770C98"/>
    <w:rsid w:val="66847D31"/>
    <w:rsid w:val="668F7750"/>
    <w:rsid w:val="669C395B"/>
    <w:rsid w:val="66B0366A"/>
    <w:rsid w:val="66F06D87"/>
    <w:rsid w:val="66FA4DE3"/>
    <w:rsid w:val="670D0267"/>
    <w:rsid w:val="67380427"/>
    <w:rsid w:val="673D6DBF"/>
    <w:rsid w:val="674816B3"/>
    <w:rsid w:val="67C41CBB"/>
    <w:rsid w:val="67D20125"/>
    <w:rsid w:val="67D71F14"/>
    <w:rsid w:val="67FA2386"/>
    <w:rsid w:val="6878082B"/>
    <w:rsid w:val="68873540"/>
    <w:rsid w:val="68F10571"/>
    <w:rsid w:val="69005C27"/>
    <w:rsid w:val="692B0CE1"/>
    <w:rsid w:val="69942680"/>
    <w:rsid w:val="69AF0748"/>
    <w:rsid w:val="69D460C0"/>
    <w:rsid w:val="6A160FCF"/>
    <w:rsid w:val="6A2922A9"/>
    <w:rsid w:val="6A296146"/>
    <w:rsid w:val="6A8F72B9"/>
    <w:rsid w:val="6A9C1BAB"/>
    <w:rsid w:val="6AAB7F50"/>
    <w:rsid w:val="6AF20FCD"/>
    <w:rsid w:val="6B07083C"/>
    <w:rsid w:val="6B601982"/>
    <w:rsid w:val="6BB46349"/>
    <w:rsid w:val="6BC72219"/>
    <w:rsid w:val="6BFC46D6"/>
    <w:rsid w:val="6C0E5BFA"/>
    <w:rsid w:val="6C296732"/>
    <w:rsid w:val="6C310293"/>
    <w:rsid w:val="6C5D7FE5"/>
    <w:rsid w:val="6C7812C6"/>
    <w:rsid w:val="6CC90D79"/>
    <w:rsid w:val="6CD97BC4"/>
    <w:rsid w:val="6D02522C"/>
    <w:rsid w:val="6D553175"/>
    <w:rsid w:val="6D9956BA"/>
    <w:rsid w:val="6DDB103E"/>
    <w:rsid w:val="6DFC351E"/>
    <w:rsid w:val="6E3E12BD"/>
    <w:rsid w:val="6E625129"/>
    <w:rsid w:val="6E642207"/>
    <w:rsid w:val="6EA16987"/>
    <w:rsid w:val="6EE113A4"/>
    <w:rsid w:val="6F1572A0"/>
    <w:rsid w:val="6F2D3DC4"/>
    <w:rsid w:val="6F484143"/>
    <w:rsid w:val="6F574271"/>
    <w:rsid w:val="6F750F26"/>
    <w:rsid w:val="6F7B72E9"/>
    <w:rsid w:val="6F8445D4"/>
    <w:rsid w:val="6F8D5C1A"/>
    <w:rsid w:val="6F8E342E"/>
    <w:rsid w:val="6FA8133A"/>
    <w:rsid w:val="6FB25C71"/>
    <w:rsid w:val="6FCD6B73"/>
    <w:rsid w:val="6FD27139"/>
    <w:rsid w:val="70034D5E"/>
    <w:rsid w:val="70340665"/>
    <w:rsid w:val="70343755"/>
    <w:rsid w:val="70CD2B48"/>
    <w:rsid w:val="71092E34"/>
    <w:rsid w:val="710F28F2"/>
    <w:rsid w:val="71126EE7"/>
    <w:rsid w:val="71154488"/>
    <w:rsid w:val="713B42AD"/>
    <w:rsid w:val="71654E27"/>
    <w:rsid w:val="71997D14"/>
    <w:rsid w:val="719E73CE"/>
    <w:rsid w:val="71CF18EC"/>
    <w:rsid w:val="71F413EE"/>
    <w:rsid w:val="71F6500C"/>
    <w:rsid w:val="728F5F29"/>
    <w:rsid w:val="72AB1549"/>
    <w:rsid w:val="72FA3F26"/>
    <w:rsid w:val="730E6F63"/>
    <w:rsid w:val="731A170A"/>
    <w:rsid w:val="731A2A07"/>
    <w:rsid w:val="737C78ED"/>
    <w:rsid w:val="737E24ED"/>
    <w:rsid w:val="737E590F"/>
    <w:rsid w:val="73817937"/>
    <w:rsid w:val="73E343B5"/>
    <w:rsid w:val="74203020"/>
    <w:rsid w:val="7420471D"/>
    <w:rsid w:val="75491A51"/>
    <w:rsid w:val="757C043C"/>
    <w:rsid w:val="75B0387E"/>
    <w:rsid w:val="75CD3D27"/>
    <w:rsid w:val="75FB2D49"/>
    <w:rsid w:val="76134845"/>
    <w:rsid w:val="763922F4"/>
    <w:rsid w:val="764F27B8"/>
    <w:rsid w:val="7665615C"/>
    <w:rsid w:val="768C6099"/>
    <w:rsid w:val="76C64C3A"/>
    <w:rsid w:val="774B075C"/>
    <w:rsid w:val="77896DD2"/>
    <w:rsid w:val="77C13F0D"/>
    <w:rsid w:val="77D53A70"/>
    <w:rsid w:val="77DC2835"/>
    <w:rsid w:val="77F83FF8"/>
    <w:rsid w:val="782A7F03"/>
    <w:rsid w:val="782B7A40"/>
    <w:rsid w:val="784D1858"/>
    <w:rsid w:val="785F7D93"/>
    <w:rsid w:val="78B6564F"/>
    <w:rsid w:val="792235CC"/>
    <w:rsid w:val="79616DC4"/>
    <w:rsid w:val="797701CE"/>
    <w:rsid w:val="79E820BE"/>
    <w:rsid w:val="79EB6E3D"/>
    <w:rsid w:val="79F93A46"/>
    <w:rsid w:val="7A4F53A0"/>
    <w:rsid w:val="7A5B1025"/>
    <w:rsid w:val="7A606FCD"/>
    <w:rsid w:val="7A69418C"/>
    <w:rsid w:val="7A6E0372"/>
    <w:rsid w:val="7A862644"/>
    <w:rsid w:val="7A971443"/>
    <w:rsid w:val="7A9C37B8"/>
    <w:rsid w:val="7AC57DCC"/>
    <w:rsid w:val="7AFB37ED"/>
    <w:rsid w:val="7B0862F8"/>
    <w:rsid w:val="7B3C614D"/>
    <w:rsid w:val="7B4128F5"/>
    <w:rsid w:val="7B4A65B5"/>
    <w:rsid w:val="7B681A01"/>
    <w:rsid w:val="7B86410F"/>
    <w:rsid w:val="7BAC1C0B"/>
    <w:rsid w:val="7BCA68E0"/>
    <w:rsid w:val="7BD3539E"/>
    <w:rsid w:val="7BFA37D9"/>
    <w:rsid w:val="7C0D14C3"/>
    <w:rsid w:val="7C47478B"/>
    <w:rsid w:val="7C6929D9"/>
    <w:rsid w:val="7C7306E6"/>
    <w:rsid w:val="7CAA54CB"/>
    <w:rsid w:val="7CB42860"/>
    <w:rsid w:val="7D021F92"/>
    <w:rsid w:val="7D0270B5"/>
    <w:rsid w:val="7D4A3E30"/>
    <w:rsid w:val="7D711B45"/>
    <w:rsid w:val="7D7A4E9D"/>
    <w:rsid w:val="7DBD04BA"/>
    <w:rsid w:val="7DC914E1"/>
    <w:rsid w:val="7E046E5D"/>
    <w:rsid w:val="7E6E2E4D"/>
    <w:rsid w:val="7E767848"/>
    <w:rsid w:val="7E8E21A9"/>
    <w:rsid w:val="7EAF6DC9"/>
    <w:rsid w:val="7EAF7C44"/>
    <w:rsid w:val="7EBE6F11"/>
    <w:rsid w:val="7EC40A46"/>
    <w:rsid w:val="7EE30DF1"/>
    <w:rsid w:val="7F02245E"/>
    <w:rsid w:val="7F611CD0"/>
    <w:rsid w:val="7F814F6E"/>
    <w:rsid w:val="7F833D8D"/>
    <w:rsid w:val="7FA93039"/>
    <w:rsid w:val="7FE85550"/>
    <w:rsid w:val="7FFA0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4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widowControl/>
      <w:spacing w:before="120" w:after="0" w:line="240" w:lineRule="auto"/>
      <w:ind w:left="0" w:firstLine="3584"/>
    </w:pPr>
  </w:style>
  <w:style w:type="paragraph" w:styleId="8">
    <w:name w:val="annotation text"/>
    <w:basedOn w:val="1"/>
    <w:link w:val="49"/>
    <w:qFormat/>
    <w:uiPriority w:val="99"/>
    <w:pPr>
      <w:jc w:val="left"/>
    </w:pPr>
  </w:style>
  <w:style w:type="paragraph" w:styleId="9">
    <w:name w:val="Body Text"/>
    <w:basedOn w:val="1"/>
    <w:next w:val="10"/>
    <w:link w:val="45"/>
    <w:qFormat/>
    <w:uiPriority w:val="0"/>
    <w:pPr>
      <w:tabs>
        <w:tab w:val="left" w:pos="567"/>
      </w:tabs>
      <w:spacing w:before="120" w:line="22" w:lineRule="atLeast"/>
    </w:pPr>
    <w:rPr>
      <w:rFonts w:ascii="宋体" w:hAnsi="宋体"/>
      <w:sz w:val="24"/>
    </w:rPr>
  </w:style>
  <w:style w:type="paragraph" w:customStyle="1" w:styleId="10">
    <w:name w:val="Default"/>
    <w:next w:val="1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1">
    <w:name w:val="大标题"/>
    <w:basedOn w:val="1"/>
    <w:next w:val="12"/>
    <w:qFormat/>
    <w:uiPriority w:val="0"/>
    <w:pPr>
      <w:jc w:val="center"/>
    </w:pPr>
    <w:rPr>
      <w:rFonts w:ascii="Arial" w:hAnsi="Arial" w:eastAsia="宋体" w:cs="Times New Roman"/>
      <w:b/>
      <w:sz w:val="28"/>
      <w:szCs w:val="24"/>
    </w:rPr>
  </w:style>
  <w:style w:type="paragraph" w:styleId="12">
    <w:name w:val="Body Text First Indent 2"/>
    <w:basedOn w:val="13"/>
    <w:next w:val="6"/>
    <w:qFormat/>
    <w:uiPriority w:val="99"/>
    <w:pPr>
      <w:ind w:firstLine="420"/>
    </w:pPr>
  </w:style>
  <w:style w:type="paragraph" w:styleId="13">
    <w:name w:val="Body Text Indent"/>
    <w:basedOn w:val="1"/>
    <w:next w:val="12"/>
    <w:qFormat/>
    <w:uiPriority w:val="0"/>
    <w:pPr>
      <w:spacing w:line="360" w:lineRule="auto"/>
      <w:ind w:firstLine="570"/>
    </w:pPr>
    <w:rPr>
      <w:sz w:val="24"/>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7"/>
    <w:link w:val="50"/>
    <w:qFormat/>
    <w:uiPriority w:val="0"/>
    <w:rPr>
      <w:rFonts w:ascii="宋体" w:hAnsi="Courier New"/>
      <w:szCs w:val="20"/>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toc 8"/>
    <w:basedOn w:val="1"/>
    <w:next w:val="1"/>
    <w:qFormat/>
    <w:uiPriority w:val="39"/>
    <w:pPr>
      <w:ind w:left="2940" w:leftChars="1400"/>
    </w:pPr>
  </w:style>
  <w:style w:type="paragraph" w:styleId="19">
    <w:name w:val="Date"/>
    <w:basedOn w:val="1"/>
    <w:next w:val="1"/>
    <w:link w:val="51"/>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2"/>
    <w:qFormat/>
    <w:uiPriority w:val="0"/>
    <w:rPr>
      <w:sz w:val="18"/>
      <w:szCs w:val="18"/>
    </w:rPr>
  </w:style>
  <w:style w:type="paragraph" w:styleId="22">
    <w:name w:val="footer"/>
    <w:basedOn w:val="1"/>
    <w:link w:val="5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footnote text"/>
    <w:basedOn w:val="1"/>
    <w:next w:val="9"/>
    <w:unhideWhenUsed/>
    <w:qFormat/>
    <w:uiPriority w:val="99"/>
    <w:pPr>
      <w:snapToGrid w:val="0"/>
      <w:jc w:val="left"/>
    </w:pPr>
    <w:rPr>
      <w:sz w:val="18"/>
      <w:szCs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unhideWhenUsed/>
    <w:qFormat/>
    <w:uiPriority w:val="99"/>
    <w:pPr>
      <w:spacing w:after="120" w:line="480" w:lineRule="auto"/>
    </w:pPr>
  </w:style>
  <w:style w:type="paragraph" w:styleId="3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34">
    <w:name w:val="index 1"/>
    <w:basedOn w:val="1"/>
    <w:next w:val="1"/>
    <w:semiHidden/>
    <w:qFormat/>
    <w:uiPriority w:val="0"/>
    <w:rPr>
      <w:szCs w:val="20"/>
    </w:rPr>
  </w:style>
  <w:style w:type="paragraph" w:styleId="35">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36">
    <w:name w:val="annotation subject"/>
    <w:basedOn w:val="8"/>
    <w:next w:val="8"/>
    <w:link w:val="55"/>
    <w:qFormat/>
    <w:uiPriority w:val="0"/>
    <w:rPr>
      <w:b/>
      <w:bCs/>
    </w:rPr>
  </w:style>
  <w:style w:type="paragraph" w:styleId="37">
    <w:name w:val="Body Text First Indent"/>
    <w:basedOn w:val="9"/>
    <w:next w:val="1"/>
    <w:qFormat/>
    <w:uiPriority w:val="0"/>
    <w:pPr>
      <w:widowControl/>
      <w:spacing w:line="312" w:lineRule="auto"/>
      <w:ind w:firstLine="420" w:firstLineChars="100"/>
    </w:pPr>
    <w:rPr>
      <w:rFonts w:hint="eastAsia" w:ascii="微软雅黑" w:hAnsi="微软雅黑" w:eastAsia="微软雅黑" w:cs="微软雅黑"/>
      <w:szCs w:val="21"/>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正文文本 Char"/>
    <w:link w:val="9"/>
    <w:qFormat/>
    <w:uiPriority w:val="0"/>
    <w:rPr>
      <w:rFonts w:ascii="宋体" w:hAnsi="宋体"/>
      <w:kern w:val="2"/>
      <w:sz w:val="24"/>
      <w:szCs w:val="24"/>
    </w:rPr>
  </w:style>
  <w:style w:type="character" w:customStyle="1" w:styleId="46">
    <w:name w:val="标题 1 Char"/>
    <w:link w:val="3"/>
    <w:qFormat/>
    <w:uiPriority w:val="0"/>
    <w:rPr>
      <w:rFonts w:ascii="宋体"/>
      <w:b/>
      <w:kern w:val="44"/>
      <w:sz w:val="32"/>
    </w:rPr>
  </w:style>
  <w:style w:type="character" w:customStyle="1" w:styleId="47">
    <w:name w:val="标题 2 Char"/>
    <w:link w:val="2"/>
    <w:qFormat/>
    <w:uiPriority w:val="0"/>
    <w:rPr>
      <w:rFonts w:ascii="Arial" w:hAnsi="Arial" w:eastAsia="黑体"/>
      <w:b/>
      <w:sz w:val="30"/>
    </w:rPr>
  </w:style>
  <w:style w:type="character" w:customStyle="1" w:styleId="48">
    <w:name w:val="标题 3 Char"/>
    <w:link w:val="4"/>
    <w:qFormat/>
    <w:uiPriority w:val="0"/>
    <w:rPr>
      <w:rFonts w:ascii="宋体"/>
      <w:b/>
      <w:sz w:val="24"/>
      <w:u w:val="single"/>
    </w:rPr>
  </w:style>
  <w:style w:type="character" w:customStyle="1" w:styleId="49">
    <w:name w:val="批注文字 Char"/>
    <w:link w:val="8"/>
    <w:qFormat/>
    <w:uiPriority w:val="99"/>
    <w:rPr>
      <w:kern w:val="2"/>
      <w:sz w:val="21"/>
      <w:szCs w:val="24"/>
    </w:rPr>
  </w:style>
  <w:style w:type="character" w:customStyle="1" w:styleId="50">
    <w:name w:val="纯文本 Char"/>
    <w:link w:val="16"/>
    <w:qFormat/>
    <w:uiPriority w:val="0"/>
    <w:rPr>
      <w:rFonts w:ascii="宋体" w:hAnsi="Courier New"/>
      <w:kern w:val="2"/>
      <w:sz w:val="21"/>
    </w:rPr>
  </w:style>
  <w:style w:type="character" w:customStyle="1" w:styleId="51">
    <w:name w:val="日期 Char"/>
    <w:link w:val="19"/>
    <w:qFormat/>
    <w:uiPriority w:val="0"/>
    <w:rPr>
      <w:rFonts w:ascii="仿宋_GB2312" w:hAnsi="宋体" w:eastAsia="仿宋_GB2312"/>
      <w:color w:val="000000"/>
      <w:kern w:val="2"/>
      <w:sz w:val="24"/>
      <w:szCs w:val="24"/>
    </w:rPr>
  </w:style>
  <w:style w:type="character" w:customStyle="1" w:styleId="52">
    <w:name w:val="批注框文本 Char"/>
    <w:link w:val="21"/>
    <w:qFormat/>
    <w:uiPriority w:val="0"/>
    <w:rPr>
      <w:kern w:val="2"/>
      <w:sz w:val="18"/>
      <w:szCs w:val="18"/>
    </w:rPr>
  </w:style>
  <w:style w:type="character" w:customStyle="1" w:styleId="53">
    <w:name w:val="页脚 Char"/>
    <w:link w:val="22"/>
    <w:qFormat/>
    <w:uiPriority w:val="99"/>
    <w:rPr>
      <w:rFonts w:ascii="宋体"/>
      <w:sz w:val="18"/>
    </w:rPr>
  </w:style>
  <w:style w:type="character" w:customStyle="1" w:styleId="54">
    <w:name w:val="页眉 Char"/>
    <w:link w:val="23"/>
    <w:qFormat/>
    <w:uiPriority w:val="0"/>
    <w:rPr>
      <w:kern w:val="2"/>
      <w:sz w:val="18"/>
      <w:szCs w:val="18"/>
    </w:rPr>
  </w:style>
  <w:style w:type="character" w:customStyle="1" w:styleId="55">
    <w:name w:val="批注主题 Char"/>
    <w:link w:val="36"/>
    <w:qFormat/>
    <w:uiPriority w:val="0"/>
    <w:rPr>
      <w:b/>
      <w:bCs/>
      <w:kern w:val="2"/>
      <w:sz w:val="21"/>
      <w:szCs w:val="24"/>
    </w:rPr>
  </w:style>
  <w:style w:type="paragraph" w:customStyle="1" w:styleId="56">
    <w:name w:val="列出段落1"/>
    <w:basedOn w:val="1"/>
    <w:qFormat/>
    <w:uiPriority w:val="34"/>
    <w:pPr>
      <w:widowControl/>
      <w:ind w:firstLine="420" w:firstLineChars="200"/>
      <w:jc w:val="left"/>
    </w:pPr>
    <w:rPr>
      <w:kern w:val="0"/>
      <w:sz w:val="24"/>
    </w:rPr>
  </w:style>
  <w:style w:type="character" w:customStyle="1" w:styleId="57">
    <w:name w:val="font201"/>
    <w:basedOn w:val="40"/>
    <w:qFormat/>
    <w:uiPriority w:val="0"/>
    <w:rPr>
      <w:rFonts w:hint="eastAsia" w:ascii="微软雅黑" w:hAnsi="微软雅黑" w:eastAsia="微软雅黑" w:cs="微软雅黑"/>
      <w:color w:val="000000"/>
      <w:sz w:val="24"/>
      <w:szCs w:val="24"/>
      <w:u w:val="none"/>
    </w:rPr>
  </w:style>
  <w:style w:type="character" w:customStyle="1" w:styleId="58">
    <w:name w:val="批注框文本 Char1"/>
    <w:semiHidden/>
    <w:qFormat/>
    <w:uiPriority w:val="99"/>
    <w:rPr>
      <w:kern w:val="2"/>
      <w:sz w:val="18"/>
      <w:szCs w:val="18"/>
    </w:rPr>
  </w:style>
  <w:style w:type="character" w:customStyle="1" w:styleId="59">
    <w:name w:val="批注主题 Char1"/>
    <w:semiHidden/>
    <w:qFormat/>
    <w:uiPriority w:val="99"/>
    <w:rPr>
      <w:b/>
      <w:bCs/>
      <w:kern w:val="2"/>
      <w:sz w:val="21"/>
      <w:szCs w:val="24"/>
    </w:rPr>
  </w:style>
  <w:style w:type="character" w:customStyle="1" w:styleId="60">
    <w:name w:val="font122"/>
    <w:basedOn w:val="40"/>
    <w:qFormat/>
    <w:uiPriority w:val="0"/>
    <w:rPr>
      <w:rFonts w:ascii="宋体" w:hAnsi="宋体" w:eastAsia="宋体" w:cs="宋体"/>
      <w:color w:val="000000"/>
      <w:sz w:val="24"/>
      <w:szCs w:val="24"/>
      <w:u w:val="none"/>
    </w:rPr>
  </w:style>
  <w:style w:type="character" w:customStyle="1" w:styleId="61">
    <w:name w:val="font11"/>
    <w:qFormat/>
    <w:uiPriority w:val="0"/>
    <w:rPr>
      <w:rFonts w:hint="eastAsia" w:ascii="宋体" w:hAnsi="宋体" w:eastAsia="宋体" w:cs="宋体"/>
      <w:color w:val="000000"/>
      <w:sz w:val="20"/>
      <w:szCs w:val="20"/>
      <w:u w:val="none"/>
      <w:vertAlign w:val="superscript"/>
    </w:rPr>
  </w:style>
  <w:style w:type="character" w:customStyle="1" w:styleId="62">
    <w:name w:val="font41"/>
    <w:basedOn w:val="40"/>
    <w:qFormat/>
    <w:uiPriority w:val="0"/>
    <w:rPr>
      <w:rFonts w:hint="eastAsia" w:ascii="微软雅黑" w:hAnsi="微软雅黑" w:eastAsia="微软雅黑" w:cs="微软雅黑"/>
      <w:color w:val="000000"/>
      <w:sz w:val="24"/>
      <w:szCs w:val="24"/>
      <w:u w:val="none"/>
    </w:rPr>
  </w:style>
  <w:style w:type="character" w:customStyle="1" w:styleId="63">
    <w:name w:val="正文缩进 Char1"/>
    <w:link w:val="64"/>
    <w:qFormat/>
    <w:uiPriority w:val="0"/>
    <w:rPr>
      <w:rFonts w:ascii="宋体"/>
      <w:sz w:val="24"/>
    </w:rPr>
  </w:style>
  <w:style w:type="paragraph" w:customStyle="1" w:styleId="64">
    <w:name w:val="正文缩进1"/>
    <w:basedOn w:val="1"/>
    <w:link w:val="63"/>
    <w:qFormat/>
    <w:uiPriority w:val="0"/>
    <w:pPr>
      <w:autoSpaceDE w:val="0"/>
      <w:autoSpaceDN w:val="0"/>
      <w:adjustRightInd w:val="0"/>
      <w:ind w:firstLine="420"/>
      <w:jc w:val="left"/>
    </w:pPr>
    <w:rPr>
      <w:rFonts w:ascii="宋体"/>
      <w:kern w:val="0"/>
      <w:sz w:val="24"/>
      <w:szCs w:val="20"/>
    </w:rPr>
  </w:style>
  <w:style w:type="character" w:customStyle="1" w:styleId="65">
    <w:name w:val="font01"/>
    <w:qFormat/>
    <w:uiPriority w:val="0"/>
    <w:rPr>
      <w:rFonts w:hint="eastAsia" w:ascii="宋体" w:hAnsi="宋体" w:eastAsia="宋体" w:cs="宋体"/>
      <w:color w:val="000000"/>
      <w:sz w:val="22"/>
      <w:szCs w:val="22"/>
      <w:u w:val="none"/>
    </w:rPr>
  </w:style>
  <w:style w:type="character" w:customStyle="1" w:styleId="66">
    <w:name w:val="font191"/>
    <w:basedOn w:val="40"/>
    <w:qFormat/>
    <w:uiPriority w:val="0"/>
    <w:rPr>
      <w:rFonts w:ascii="宋体" w:hAnsi="宋体" w:eastAsia="宋体" w:cs="宋体"/>
      <w:color w:val="000000"/>
      <w:sz w:val="24"/>
      <w:szCs w:val="24"/>
      <w:u w:val="none"/>
    </w:rPr>
  </w:style>
  <w:style w:type="character" w:customStyle="1" w:styleId="67">
    <w:name w:val="页眉 Char1"/>
    <w:semiHidden/>
    <w:qFormat/>
    <w:uiPriority w:val="99"/>
    <w:rPr>
      <w:kern w:val="2"/>
      <w:sz w:val="18"/>
      <w:szCs w:val="18"/>
    </w:rPr>
  </w:style>
  <w:style w:type="character" w:customStyle="1" w:styleId="68">
    <w:name w:val="font212"/>
    <w:basedOn w:val="40"/>
    <w:qFormat/>
    <w:uiPriority w:val="0"/>
    <w:rPr>
      <w:rFonts w:hint="eastAsia" w:ascii="微软雅黑" w:hAnsi="微软雅黑" w:eastAsia="微软雅黑" w:cs="微软雅黑"/>
      <w:color w:val="000000"/>
      <w:sz w:val="24"/>
      <w:szCs w:val="24"/>
      <w:u w:val="none"/>
    </w:rPr>
  </w:style>
  <w:style w:type="character" w:customStyle="1" w:styleId="69">
    <w:name w:val="font111"/>
    <w:basedOn w:val="40"/>
    <w:qFormat/>
    <w:uiPriority w:val="0"/>
    <w:rPr>
      <w:rFonts w:hint="default" w:ascii="Times New Roman" w:hAnsi="Times New Roman" w:cs="Times New Roman"/>
      <w:color w:val="000000"/>
      <w:sz w:val="24"/>
      <w:szCs w:val="24"/>
      <w:u w:val="none"/>
    </w:rPr>
  </w:style>
  <w:style w:type="character" w:customStyle="1" w:styleId="70">
    <w:name w:val="纯文本 Char1"/>
    <w:link w:val="71"/>
    <w:qFormat/>
    <w:uiPriority w:val="0"/>
    <w:rPr>
      <w:rFonts w:ascii="宋体" w:hAnsi="Courier New"/>
    </w:rPr>
  </w:style>
  <w:style w:type="paragraph" w:customStyle="1" w:styleId="71">
    <w:name w:val="纯文本1"/>
    <w:basedOn w:val="1"/>
    <w:link w:val="70"/>
    <w:qFormat/>
    <w:uiPriority w:val="0"/>
    <w:rPr>
      <w:rFonts w:ascii="宋体" w:hAnsi="Courier New"/>
      <w:kern w:val="0"/>
      <w:sz w:val="20"/>
      <w:szCs w:val="20"/>
    </w:rPr>
  </w:style>
  <w:style w:type="character" w:customStyle="1" w:styleId="72">
    <w:name w:val="font171"/>
    <w:basedOn w:val="40"/>
    <w:qFormat/>
    <w:uiPriority w:val="0"/>
    <w:rPr>
      <w:rFonts w:hint="eastAsia" w:ascii="微软雅黑" w:hAnsi="微软雅黑" w:eastAsia="微软雅黑" w:cs="微软雅黑"/>
      <w:color w:val="000000"/>
      <w:sz w:val="24"/>
      <w:szCs w:val="24"/>
      <w:u w:val="none"/>
    </w:rPr>
  </w:style>
  <w:style w:type="character" w:customStyle="1" w:styleId="73">
    <w:name w:val="font12"/>
    <w:basedOn w:val="40"/>
    <w:qFormat/>
    <w:uiPriority w:val="0"/>
    <w:rPr>
      <w:rFonts w:hint="default" w:ascii="Times New Roman" w:hAnsi="Times New Roman" w:cs="Times New Roman"/>
      <w:color w:val="000000"/>
      <w:sz w:val="24"/>
      <w:szCs w:val="24"/>
      <w:u w:val="none"/>
    </w:rPr>
  </w:style>
  <w:style w:type="character" w:customStyle="1" w:styleId="74">
    <w:name w:val="font121"/>
    <w:basedOn w:val="40"/>
    <w:qFormat/>
    <w:uiPriority w:val="0"/>
    <w:rPr>
      <w:rFonts w:ascii="宋体" w:hAnsi="宋体" w:eastAsia="宋体" w:cs="宋体"/>
      <w:color w:val="000000"/>
      <w:sz w:val="24"/>
      <w:szCs w:val="24"/>
      <w:u w:val="none"/>
    </w:rPr>
  </w:style>
  <w:style w:type="character" w:customStyle="1" w:styleId="75">
    <w:name w:val="font131"/>
    <w:basedOn w:val="40"/>
    <w:qFormat/>
    <w:uiPriority w:val="0"/>
    <w:rPr>
      <w:rFonts w:hint="default" w:ascii="Times New Roman" w:hAnsi="Times New Roman" w:cs="Times New Roman"/>
      <w:color w:val="000000"/>
      <w:sz w:val="24"/>
      <w:szCs w:val="24"/>
      <w:u w:val="none"/>
    </w:rPr>
  </w:style>
  <w:style w:type="character" w:customStyle="1" w:styleId="76">
    <w:name w:val="font181"/>
    <w:basedOn w:val="40"/>
    <w:qFormat/>
    <w:uiPriority w:val="0"/>
    <w:rPr>
      <w:rFonts w:hint="default" w:ascii="Times New Roman" w:hAnsi="Times New Roman" w:cs="Times New Roman"/>
      <w:color w:val="000000"/>
      <w:sz w:val="24"/>
      <w:szCs w:val="24"/>
      <w:u w:val="none"/>
    </w:rPr>
  </w:style>
  <w:style w:type="character" w:customStyle="1" w:styleId="77">
    <w:name w:val="font31"/>
    <w:qFormat/>
    <w:uiPriority w:val="0"/>
    <w:rPr>
      <w:rFonts w:hint="eastAsia" w:ascii="宋体" w:hAnsi="宋体" w:eastAsia="宋体" w:cs="宋体"/>
      <w:color w:val="000000"/>
      <w:sz w:val="24"/>
      <w:szCs w:val="24"/>
      <w:u w:val="none"/>
    </w:rPr>
  </w:style>
  <w:style w:type="character" w:customStyle="1" w:styleId="78">
    <w:name w:val="font21"/>
    <w:qFormat/>
    <w:uiPriority w:val="0"/>
    <w:rPr>
      <w:rFonts w:hint="eastAsia" w:ascii="宋体" w:hAnsi="宋体" w:eastAsia="宋体" w:cs="宋体"/>
      <w:color w:val="000000"/>
      <w:sz w:val="20"/>
      <w:szCs w:val="20"/>
      <w:u w:val="none"/>
    </w:rPr>
  </w:style>
  <w:style w:type="character" w:customStyle="1" w:styleId="79">
    <w:name w:val="批注文字 Char1"/>
    <w:semiHidden/>
    <w:qFormat/>
    <w:uiPriority w:val="99"/>
    <w:rPr>
      <w:kern w:val="2"/>
      <w:sz w:val="21"/>
      <w:szCs w:val="24"/>
    </w:rPr>
  </w:style>
  <w:style w:type="character" w:customStyle="1" w:styleId="80">
    <w:name w:val="font141"/>
    <w:basedOn w:val="40"/>
    <w:qFormat/>
    <w:uiPriority w:val="0"/>
    <w:rPr>
      <w:rFonts w:hint="eastAsia" w:ascii="微软雅黑" w:hAnsi="微软雅黑" w:eastAsia="微软雅黑" w:cs="微软雅黑"/>
      <w:color w:val="000000"/>
      <w:sz w:val="24"/>
      <w:szCs w:val="24"/>
      <w:u w:val="none"/>
    </w:rPr>
  </w:style>
  <w:style w:type="paragraph" w:customStyle="1" w:styleId="81">
    <w:name w:val="索引 11"/>
    <w:basedOn w:val="1"/>
    <w:next w:val="1"/>
    <w:qFormat/>
    <w:uiPriority w:val="0"/>
    <w:pPr>
      <w:spacing w:line="360" w:lineRule="auto"/>
    </w:pPr>
    <w:rPr>
      <w:rFonts w:ascii="仿宋_GB2312" w:eastAsia="仿宋_GB2312"/>
      <w:sz w:val="24"/>
      <w:szCs w:val="20"/>
    </w:rPr>
  </w:style>
  <w:style w:type="paragraph" w:customStyle="1" w:styleId="82">
    <w:name w:val="Char"/>
    <w:basedOn w:val="1"/>
    <w:qFormat/>
    <w:uiPriority w:val="0"/>
    <w:pPr>
      <w:tabs>
        <w:tab w:val="left" w:pos="360"/>
      </w:tabs>
    </w:pPr>
    <w:rPr>
      <w:sz w:val="24"/>
    </w:rPr>
  </w:style>
  <w:style w:type="paragraph" w:styleId="83">
    <w:name w:val="List Paragraph"/>
    <w:basedOn w:val="1"/>
    <w:qFormat/>
    <w:uiPriority w:val="34"/>
    <w:pPr>
      <w:ind w:firstLine="420" w:firstLineChars="200"/>
    </w:pPr>
  </w:style>
  <w:style w:type="paragraph" w:customStyle="1" w:styleId="84">
    <w:name w:val="z-窗体顶端1"/>
    <w:basedOn w:val="1"/>
    <w:qFormat/>
    <w:uiPriority w:val="0"/>
    <w:pPr>
      <w:ind w:firstLine="420" w:firstLineChars="200"/>
    </w:pPr>
  </w:style>
  <w:style w:type="paragraph" w:customStyle="1" w:styleId="85">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86">
    <w:name w:val="列出段落"/>
    <w:basedOn w:val="1"/>
    <w:qFormat/>
    <w:uiPriority w:val="34"/>
    <w:pPr>
      <w:widowControl/>
      <w:ind w:firstLine="420" w:firstLineChars="200"/>
      <w:jc w:val="left"/>
    </w:pPr>
    <w:rPr>
      <w:kern w:val="0"/>
      <w:sz w:val="24"/>
    </w:rPr>
  </w:style>
  <w:style w:type="paragraph" w:customStyle="1" w:styleId="8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8">
    <w:name w:val="WPSOffice手动目录 2"/>
    <w:qFormat/>
    <w:uiPriority w:val="0"/>
    <w:pPr>
      <w:ind w:left="200" w:leftChars="200"/>
    </w:pPr>
    <w:rPr>
      <w:rFonts w:ascii="Calibri" w:hAnsi="Calibri" w:eastAsia="宋体" w:cs="Times New Roman"/>
      <w:kern w:val="2"/>
      <w:sz w:val="24"/>
      <w:szCs w:val="24"/>
      <w:lang w:val="en-US" w:eastAsia="zh-CN" w:bidi="ar-SA"/>
    </w:rPr>
  </w:style>
  <w:style w:type="paragraph" w:customStyle="1" w:styleId="89">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90">
    <w:name w:val="普通(网站)1"/>
    <w:basedOn w:val="1"/>
    <w:qFormat/>
    <w:uiPriority w:val="2"/>
    <w:pPr>
      <w:spacing w:before="75" w:after="75"/>
      <w:ind w:left="0" w:right="0" w:firstLine="0"/>
      <w:jc w:val="left"/>
    </w:pPr>
    <w:rPr>
      <w:kern w:val="0"/>
      <w:sz w:val="24"/>
      <w:lang w:val="en-US" w:eastAsia="zh-CN" w:bidi="ar"/>
    </w:rPr>
  </w:style>
  <w:style w:type="paragraph" w:customStyle="1" w:styleId="91">
    <w:name w:val="4正文"/>
    <w:basedOn w:val="1"/>
    <w:qFormat/>
    <w:uiPriority w:val="0"/>
    <w:pPr>
      <w:jc w:val="left"/>
    </w:pPr>
    <w:rPr>
      <w:szCs w:val="24"/>
    </w:rPr>
  </w:style>
  <w:style w:type="paragraph" w:customStyle="1" w:styleId="92">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93">
    <w:name w:val="任务书正文"/>
    <w:basedOn w:val="1"/>
    <w:qFormat/>
    <w:uiPriority w:val="0"/>
    <w:pPr>
      <w:snapToGrid w:val="0"/>
      <w:spacing w:line="360" w:lineRule="auto"/>
      <w:ind w:firstLine="200" w:firstLineChars="200"/>
    </w:pPr>
    <w:rPr>
      <w:rFonts w:eastAsia="仿宋"/>
      <w:bCs/>
      <w:spacing w:val="10"/>
      <w:kern w:val="0"/>
      <w:sz w:val="28"/>
      <w:szCs w:val="32"/>
    </w:rPr>
  </w:style>
  <w:style w:type="paragraph" w:customStyle="1" w:styleId="9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67" textRotate="1"/>
    <customShpInfo spid="_x0000_s2057" textRotate="1"/>
    <customShpInfo spid="_x0000_s2068" textRotate="1"/>
    <customShpInfo spid="_x0000_s2059" textRotate="1"/>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34158</Words>
  <Characters>36306</Characters>
  <Lines>258</Lines>
  <Paragraphs>72</Paragraphs>
  <TotalTime>12</TotalTime>
  <ScaleCrop>false</ScaleCrop>
  <LinksUpToDate>false</LinksUpToDate>
  <CharactersWithSpaces>41195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羿小玲</cp:lastModifiedBy>
  <cp:lastPrinted>2023-08-24T12:17:00Z</cp:lastPrinted>
  <dcterms:modified xsi:type="dcterms:W3CDTF">2023-08-31T10:53:35Z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3BE621CB49104D3CA5EBE425344CD8BB</vt:lpwstr>
  </property>
</Properties>
</file>